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6B6390" w:rsidRDefault="00EC6F8D" w:rsidP="00EC6F8D">
      <w:pPr>
        <w:spacing w:before="1440"/>
        <w:jc w:val="center"/>
        <w:rPr>
          <w:rFonts w:asciiTheme="minorBidi" w:hAnsiTheme="minorBidi" w:cstheme="minorBidi"/>
          <w:b/>
          <w:sz w:val="22"/>
          <w:szCs w:val="22"/>
          <w:lang w:val="en-GB"/>
        </w:rPr>
      </w:pPr>
      <w:r w:rsidRPr="006B6390">
        <w:rPr>
          <w:rFonts w:asciiTheme="minorBidi" w:hAnsiTheme="minorBidi" w:cstheme="minorBidi"/>
          <w:b/>
          <w:sz w:val="22"/>
          <w:szCs w:val="22"/>
          <w:lang w:val="en-GB"/>
        </w:rPr>
        <w:t>CONVENTION FOR THE SAFEGUARDING OF THE</w:t>
      </w:r>
      <w:r w:rsidRPr="006B6390">
        <w:rPr>
          <w:rFonts w:asciiTheme="minorBidi" w:hAnsiTheme="minorBidi" w:cstheme="minorBidi"/>
          <w:b/>
          <w:sz w:val="22"/>
          <w:szCs w:val="22"/>
          <w:lang w:val="en-GB"/>
        </w:rPr>
        <w:br/>
        <w:t>INTANGIBLE CULTURAL HERITAGE</w:t>
      </w:r>
    </w:p>
    <w:p w14:paraId="3F72B1D3" w14:textId="77777777" w:rsidR="00EC6F8D" w:rsidRPr="006B6390" w:rsidRDefault="00EC6F8D" w:rsidP="00EC6F8D">
      <w:pPr>
        <w:spacing w:before="1200"/>
        <w:jc w:val="center"/>
        <w:rPr>
          <w:rFonts w:asciiTheme="minorBidi" w:hAnsiTheme="minorBidi" w:cstheme="minorBidi"/>
          <w:b/>
          <w:sz w:val="22"/>
          <w:szCs w:val="22"/>
          <w:lang w:val="en-GB"/>
        </w:rPr>
      </w:pPr>
      <w:r w:rsidRPr="006B6390">
        <w:rPr>
          <w:rFonts w:asciiTheme="minorBidi" w:hAnsiTheme="minorBidi" w:cstheme="minorBidi"/>
          <w:b/>
          <w:sz w:val="22"/>
          <w:szCs w:val="22"/>
          <w:lang w:val="en-GB"/>
        </w:rPr>
        <w:t>INTERGOVERNMENTAL COMMITTEE FOR THE</w:t>
      </w:r>
      <w:r w:rsidRPr="006B6390">
        <w:rPr>
          <w:rFonts w:asciiTheme="minorBidi" w:hAnsiTheme="minorBidi" w:cstheme="minorBidi"/>
          <w:b/>
          <w:sz w:val="22"/>
          <w:szCs w:val="22"/>
          <w:lang w:val="en-GB"/>
        </w:rPr>
        <w:br/>
        <w:t>SAFEGUARDING OF THE INTANGIBLE CULTURAL HERITAGE</w:t>
      </w:r>
    </w:p>
    <w:p w14:paraId="2E1CD4B4" w14:textId="0D8D1D3D" w:rsidR="00EC6F8D" w:rsidRPr="006B6390" w:rsidRDefault="00B2172B" w:rsidP="001D14FE">
      <w:pPr>
        <w:spacing w:before="840"/>
        <w:jc w:val="center"/>
        <w:rPr>
          <w:rFonts w:asciiTheme="minorBidi" w:hAnsiTheme="minorBidi" w:cstheme="minorBidi"/>
          <w:b/>
          <w:sz w:val="22"/>
          <w:szCs w:val="22"/>
          <w:lang w:val="en-GB"/>
        </w:rPr>
      </w:pPr>
      <w:r w:rsidRPr="006B6390">
        <w:rPr>
          <w:rFonts w:asciiTheme="minorBidi" w:eastAsiaTheme="minorEastAsia" w:hAnsiTheme="minorBidi" w:cstheme="minorBidi"/>
          <w:b/>
          <w:sz w:val="22"/>
          <w:szCs w:val="22"/>
          <w:lang w:val="en-GB" w:eastAsia="ko-KR"/>
        </w:rPr>
        <w:t xml:space="preserve">Sixteenth </w:t>
      </w:r>
      <w:r w:rsidR="00EC6F8D" w:rsidRPr="006B6390">
        <w:rPr>
          <w:rFonts w:asciiTheme="minorBidi" w:hAnsiTheme="minorBidi" w:cstheme="minorBidi"/>
          <w:b/>
          <w:sz w:val="22"/>
          <w:szCs w:val="22"/>
          <w:lang w:val="en-GB"/>
        </w:rPr>
        <w:t>session</w:t>
      </w:r>
    </w:p>
    <w:p w14:paraId="1FD89575" w14:textId="61EF9DD2" w:rsidR="00B2172B" w:rsidRPr="006B6390" w:rsidRDefault="004F5DBF" w:rsidP="00B2172B">
      <w:pPr>
        <w:jc w:val="center"/>
        <w:rPr>
          <w:rFonts w:asciiTheme="minorBidi" w:hAnsiTheme="minorBidi" w:cstheme="minorBidi"/>
          <w:b/>
          <w:sz w:val="22"/>
          <w:szCs w:val="22"/>
          <w:lang w:val="en-GB"/>
        </w:rPr>
      </w:pPr>
      <w:r>
        <w:rPr>
          <w:rFonts w:asciiTheme="minorBidi" w:hAnsiTheme="minorBidi" w:cstheme="minorBidi"/>
          <w:b/>
          <w:sz w:val="22"/>
          <w:szCs w:val="22"/>
          <w:lang w:val="en-GB"/>
        </w:rPr>
        <w:t>Online</w:t>
      </w:r>
    </w:p>
    <w:p w14:paraId="52EA6D50" w14:textId="77777777" w:rsidR="00B2172B" w:rsidRPr="006B6390" w:rsidRDefault="00B2172B" w:rsidP="00B2172B">
      <w:pPr>
        <w:jc w:val="center"/>
        <w:rPr>
          <w:rFonts w:asciiTheme="minorBidi" w:hAnsiTheme="minorBidi" w:cstheme="minorBidi"/>
          <w:b/>
          <w:sz w:val="22"/>
          <w:szCs w:val="22"/>
          <w:lang w:val="en-GB"/>
        </w:rPr>
      </w:pPr>
      <w:r w:rsidRPr="006B6390">
        <w:rPr>
          <w:rFonts w:asciiTheme="minorBidi" w:hAnsiTheme="minorBidi" w:cstheme="minorBidi"/>
          <w:b/>
          <w:sz w:val="22"/>
          <w:szCs w:val="22"/>
          <w:lang w:val="en-GB"/>
        </w:rPr>
        <w:t>13 to 18 December 2021</w:t>
      </w:r>
    </w:p>
    <w:p w14:paraId="0365203A" w14:textId="4CACA97D" w:rsidR="00EC6F8D" w:rsidRPr="006B6390" w:rsidRDefault="00EC6F8D" w:rsidP="00EC6F8D">
      <w:pPr>
        <w:pStyle w:val="Sansinterligne2"/>
        <w:spacing w:before="1200"/>
        <w:jc w:val="center"/>
        <w:rPr>
          <w:rFonts w:asciiTheme="minorBidi" w:hAnsiTheme="minorBidi" w:cstheme="minorBidi"/>
          <w:b/>
          <w:sz w:val="22"/>
          <w:szCs w:val="22"/>
          <w:lang w:val="en-GB"/>
        </w:rPr>
      </w:pPr>
      <w:r w:rsidRPr="006B6390">
        <w:rPr>
          <w:rFonts w:asciiTheme="minorBidi" w:hAnsiTheme="minorBidi" w:cstheme="minorBidi"/>
          <w:b/>
          <w:sz w:val="22"/>
          <w:szCs w:val="22"/>
          <w:u w:val="single"/>
          <w:lang w:val="en-GB"/>
        </w:rPr>
        <w:t xml:space="preserve">Item </w:t>
      </w:r>
      <w:r w:rsidR="008E6803" w:rsidRPr="006B6390">
        <w:rPr>
          <w:rFonts w:asciiTheme="minorBidi" w:hAnsiTheme="minorBidi" w:cstheme="minorBidi"/>
          <w:b/>
          <w:sz w:val="22"/>
          <w:szCs w:val="22"/>
          <w:u w:val="single"/>
          <w:lang w:val="en-GB"/>
        </w:rPr>
        <w:t>5.b</w:t>
      </w:r>
      <w:r w:rsidR="00651A5B" w:rsidRPr="006B6390">
        <w:rPr>
          <w:rFonts w:asciiTheme="minorBidi" w:hAnsiTheme="minorBidi" w:cstheme="minorBidi"/>
          <w:b/>
          <w:sz w:val="22"/>
          <w:szCs w:val="22"/>
          <w:u w:val="single"/>
          <w:lang w:val="en-GB"/>
        </w:rPr>
        <w:t xml:space="preserve"> </w:t>
      </w:r>
      <w:r w:rsidRPr="006B6390">
        <w:rPr>
          <w:rFonts w:asciiTheme="minorBidi" w:hAnsiTheme="minorBidi" w:cstheme="minorBidi"/>
          <w:b/>
          <w:sz w:val="22"/>
          <w:szCs w:val="22"/>
          <w:u w:val="single"/>
          <w:lang w:val="en-GB"/>
        </w:rPr>
        <w:t>of the Provisional Agenda</w:t>
      </w:r>
      <w:r w:rsidRPr="006B6390">
        <w:rPr>
          <w:rFonts w:asciiTheme="minorBidi" w:hAnsiTheme="minorBidi" w:cstheme="minorBidi"/>
          <w:b/>
          <w:sz w:val="22"/>
          <w:szCs w:val="22"/>
          <w:lang w:val="en-GB"/>
        </w:rPr>
        <w:t>:</w:t>
      </w:r>
    </w:p>
    <w:p w14:paraId="0529DC9A" w14:textId="77777777" w:rsidR="008E6803" w:rsidRPr="006B6390" w:rsidRDefault="008E6803" w:rsidP="008E6803">
      <w:pPr>
        <w:pStyle w:val="Sansinterligne2"/>
        <w:jc w:val="center"/>
        <w:rPr>
          <w:rFonts w:asciiTheme="minorBidi" w:hAnsiTheme="minorBidi" w:cstheme="minorBidi"/>
          <w:b/>
          <w:sz w:val="22"/>
          <w:szCs w:val="22"/>
          <w:lang w:val="en-GB"/>
        </w:rPr>
      </w:pPr>
      <w:r w:rsidRPr="006B6390">
        <w:rPr>
          <w:rFonts w:asciiTheme="minorBidi" w:hAnsiTheme="minorBidi" w:cstheme="minorBidi"/>
          <w:b/>
          <w:sz w:val="22"/>
          <w:szCs w:val="22"/>
          <w:lang w:val="en-GB"/>
        </w:rPr>
        <w:t>Report by the Secretariat on its activities</w:t>
      </w:r>
    </w:p>
    <w:p w14:paraId="59920478" w14:textId="3200AC3B" w:rsidR="004A2875" w:rsidRPr="006B6390" w:rsidRDefault="008E6803" w:rsidP="004A2875">
      <w:pPr>
        <w:pStyle w:val="Sansinterligne2"/>
        <w:spacing w:after="960"/>
        <w:jc w:val="center"/>
        <w:rPr>
          <w:rFonts w:asciiTheme="minorBidi" w:hAnsiTheme="minorBidi" w:cstheme="minorBidi"/>
          <w:b/>
          <w:sz w:val="22"/>
          <w:szCs w:val="22"/>
          <w:lang w:val="en-GB"/>
        </w:rPr>
      </w:pPr>
      <w:r w:rsidRPr="006B6390">
        <w:rPr>
          <w:rFonts w:asciiTheme="minorBidi" w:hAnsiTheme="minorBidi" w:cstheme="minorBidi"/>
          <w:b/>
          <w:sz w:val="22"/>
          <w:szCs w:val="22"/>
          <w:lang w:val="en-GB"/>
        </w:rPr>
        <w:t>(January 2020 to June 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B6390" w14:paraId="75AC6221" w14:textId="77777777" w:rsidTr="00EC6F8D">
        <w:trPr>
          <w:jc w:val="center"/>
        </w:trPr>
        <w:tc>
          <w:tcPr>
            <w:tcW w:w="5670" w:type="dxa"/>
            <w:vAlign w:val="center"/>
          </w:tcPr>
          <w:p w14:paraId="51C260A9" w14:textId="11F41187" w:rsidR="00EC6F8D" w:rsidRPr="006B6390" w:rsidRDefault="00EC6F8D" w:rsidP="00CA56BB">
            <w:pPr>
              <w:pStyle w:val="Sansinterligne1"/>
              <w:spacing w:before="200" w:after="200"/>
              <w:jc w:val="center"/>
              <w:rPr>
                <w:rFonts w:asciiTheme="minorBidi" w:hAnsiTheme="minorBidi" w:cstheme="minorBidi"/>
                <w:b/>
                <w:sz w:val="22"/>
                <w:szCs w:val="22"/>
                <w:lang w:val="en-GB"/>
              </w:rPr>
            </w:pPr>
            <w:r w:rsidRPr="006B6390">
              <w:rPr>
                <w:rFonts w:asciiTheme="minorBidi" w:hAnsiTheme="minorBidi" w:cstheme="minorBidi"/>
                <w:b/>
                <w:sz w:val="22"/>
                <w:szCs w:val="22"/>
                <w:lang w:val="en-GB"/>
              </w:rPr>
              <w:t>Summary</w:t>
            </w:r>
          </w:p>
          <w:p w14:paraId="5B512675" w14:textId="2F290B28" w:rsidR="00171AF0" w:rsidRPr="006B6390" w:rsidRDefault="00171AF0" w:rsidP="00171AF0">
            <w:pPr>
              <w:pStyle w:val="Sansinterligne1"/>
              <w:spacing w:before="200" w:after="200"/>
              <w:jc w:val="both"/>
              <w:rPr>
                <w:rFonts w:asciiTheme="minorBidi" w:hAnsiTheme="minorBidi" w:cstheme="minorBidi"/>
                <w:bCs/>
                <w:sz w:val="22"/>
                <w:szCs w:val="22"/>
                <w:lang w:val="en-GB"/>
              </w:rPr>
            </w:pPr>
            <w:r w:rsidRPr="006B6390">
              <w:rPr>
                <w:rFonts w:asciiTheme="minorBidi" w:hAnsiTheme="minorBidi" w:cstheme="minorBidi"/>
                <w:bCs/>
                <w:sz w:val="22"/>
                <w:szCs w:val="22"/>
                <w:lang w:val="en-GB"/>
              </w:rPr>
              <w:t>This document provides an overview of the activities undertaken by the Secretariat of the 2003 Convention from 1 January</w:t>
            </w:r>
            <w:r w:rsidR="0033689E" w:rsidRPr="006B6390">
              <w:rPr>
                <w:rFonts w:asciiTheme="minorBidi" w:hAnsiTheme="minorBidi" w:cstheme="minorBidi"/>
                <w:bCs/>
                <w:sz w:val="22"/>
                <w:szCs w:val="22"/>
                <w:lang w:val="en-GB"/>
              </w:rPr>
              <w:t> </w:t>
            </w:r>
            <w:r w:rsidRPr="006B6390">
              <w:rPr>
                <w:rFonts w:asciiTheme="minorBidi" w:hAnsiTheme="minorBidi" w:cstheme="minorBidi"/>
                <w:bCs/>
                <w:sz w:val="22"/>
                <w:szCs w:val="22"/>
                <w:lang w:val="en-GB"/>
              </w:rPr>
              <w:t xml:space="preserve">2020 to </w:t>
            </w:r>
            <w:r w:rsidR="00672AC9" w:rsidRPr="006B6390">
              <w:rPr>
                <w:rFonts w:asciiTheme="minorBidi" w:hAnsiTheme="minorBidi" w:cstheme="minorBidi"/>
                <w:bCs/>
                <w:sz w:val="22"/>
                <w:szCs w:val="22"/>
                <w:lang w:val="en-GB"/>
              </w:rPr>
              <w:t>30</w:t>
            </w:r>
            <w:r w:rsidR="0033689E" w:rsidRPr="006B6390">
              <w:rPr>
                <w:rFonts w:asciiTheme="minorBidi" w:hAnsiTheme="minorBidi" w:cstheme="minorBidi"/>
                <w:bCs/>
                <w:sz w:val="22"/>
                <w:szCs w:val="22"/>
                <w:lang w:val="en-GB"/>
              </w:rPr>
              <w:t> </w:t>
            </w:r>
            <w:r w:rsidRPr="006B6390">
              <w:rPr>
                <w:rFonts w:asciiTheme="minorBidi" w:hAnsiTheme="minorBidi" w:cstheme="minorBidi"/>
                <w:bCs/>
                <w:sz w:val="22"/>
                <w:szCs w:val="22"/>
                <w:lang w:val="en-GB"/>
              </w:rPr>
              <w:t>June 2021, including the response to the COVID-19 pandemic.</w:t>
            </w:r>
          </w:p>
          <w:p w14:paraId="290310E8" w14:textId="5172488C" w:rsidR="00EC6F8D" w:rsidRPr="006B6390" w:rsidRDefault="00EC6F8D" w:rsidP="00CA56BB">
            <w:pPr>
              <w:pStyle w:val="Sansinterligne2"/>
              <w:spacing w:before="200" w:after="200"/>
              <w:jc w:val="both"/>
              <w:rPr>
                <w:rFonts w:asciiTheme="minorBidi" w:hAnsiTheme="minorBidi" w:cstheme="minorBidi"/>
                <w:b/>
                <w:sz w:val="22"/>
                <w:szCs w:val="22"/>
                <w:lang w:val="en-GB"/>
              </w:rPr>
            </w:pPr>
            <w:r w:rsidRPr="006B6390">
              <w:rPr>
                <w:rFonts w:asciiTheme="minorBidi" w:hAnsiTheme="minorBidi" w:cstheme="minorBidi"/>
                <w:b/>
                <w:sz w:val="22"/>
                <w:szCs w:val="22"/>
                <w:lang w:val="en-GB"/>
              </w:rPr>
              <w:t>Decision required</w:t>
            </w:r>
            <w:r w:rsidRPr="006B6390">
              <w:rPr>
                <w:rFonts w:asciiTheme="minorBidi" w:hAnsiTheme="minorBidi" w:cstheme="minorBidi"/>
                <w:bCs/>
                <w:sz w:val="22"/>
                <w:szCs w:val="22"/>
                <w:lang w:val="en-GB"/>
              </w:rPr>
              <w:t>:</w:t>
            </w:r>
            <w:r w:rsidRPr="006B6390">
              <w:rPr>
                <w:rFonts w:asciiTheme="minorBidi" w:hAnsiTheme="minorBidi" w:cstheme="minorBidi"/>
                <w:b/>
                <w:sz w:val="22"/>
                <w:szCs w:val="22"/>
                <w:lang w:val="en-GB"/>
              </w:rPr>
              <w:t xml:space="preserve"> </w:t>
            </w:r>
            <w:r w:rsidRPr="006B6390">
              <w:rPr>
                <w:rFonts w:asciiTheme="minorBidi" w:hAnsiTheme="minorBidi" w:cstheme="minorBidi"/>
                <w:bCs/>
                <w:sz w:val="22"/>
                <w:szCs w:val="22"/>
                <w:lang w:val="en-GB"/>
              </w:rPr>
              <w:t xml:space="preserve">paragraph </w:t>
            </w:r>
            <w:r w:rsidR="0059752C" w:rsidRPr="006B6390">
              <w:rPr>
                <w:rFonts w:asciiTheme="minorBidi" w:hAnsiTheme="minorBidi" w:cstheme="minorBidi"/>
                <w:bCs/>
                <w:sz w:val="22"/>
                <w:szCs w:val="22"/>
                <w:lang w:val="en-GB"/>
              </w:rPr>
              <w:t>4</w:t>
            </w:r>
            <w:r w:rsidR="00726BC2" w:rsidRPr="006B6390">
              <w:rPr>
                <w:rFonts w:asciiTheme="minorBidi" w:hAnsiTheme="minorBidi" w:cstheme="minorBidi"/>
                <w:bCs/>
                <w:sz w:val="22"/>
                <w:szCs w:val="22"/>
                <w:lang w:val="en-GB"/>
              </w:rPr>
              <w:t>2</w:t>
            </w:r>
          </w:p>
        </w:tc>
      </w:tr>
    </w:tbl>
    <w:p w14:paraId="713D819F" w14:textId="77777777" w:rsidR="004A2875" w:rsidRPr="006B6390" w:rsidRDefault="00655736" w:rsidP="00FA0871">
      <w:pPr>
        <w:pStyle w:val="ListParagraph"/>
        <w:keepLines/>
        <w:numPr>
          <w:ilvl w:val="0"/>
          <w:numId w:val="5"/>
        </w:numPr>
        <w:spacing w:after="240"/>
        <w:ind w:left="567" w:hanging="567"/>
        <w:contextualSpacing w:val="0"/>
        <w:rPr>
          <w:rFonts w:asciiTheme="minorBidi" w:hAnsiTheme="minorBidi" w:cstheme="minorBidi"/>
          <w:b/>
          <w:snapToGrid w:val="0"/>
          <w:sz w:val="22"/>
          <w:szCs w:val="22"/>
          <w:lang w:val="en-GB" w:eastAsia="en-US"/>
        </w:rPr>
      </w:pPr>
      <w:r w:rsidRPr="006B6390">
        <w:rPr>
          <w:rFonts w:asciiTheme="minorBidi" w:hAnsiTheme="minorBidi" w:cstheme="minorBidi"/>
          <w:sz w:val="22"/>
          <w:szCs w:val="22"/>
          <w:lang w:val="en-GB"/>
        </w:rPr>
        <w:br w:type="page"/>
      </w:r>
    </w:p>
    <w:p w14:paraId="347605C4" w14:textId="569B871E" w:rsidR="00310CA5" w:rsidRPr="006B6390" w:rsidRDefault="00310CA5" w:rsidP="00E94030">
      <w:pPr>
        <w:pStyle w:val="COMPara"/>
        <w:numPr>
          <w:ilvl w:val="0"/>
          <w:numId w:val="6"/>
        </w:numPr>
        <w:spacing w:before="240"/>
        <w:ind w:left="576" w:hanging="432"/>
        <w:jc w:val="both"/>
        <w:rPr>
          <w:rFonts w:asciiTheme="minorBidi" w:hAnsiTheme="minorBidi" w:cstheme="minorBidi"/>
          <w:b/>
          <w:bCs/>
        </w:rPr>
      </w:pPr>
      <w:r w:rsidRPr="006B6390">
        <w:rPr>
          <w:rFonts w:asciiTheme="minorBidi" w:hAnsiTheme="minorBidi" w:cstheme="minorBidi"/>
          <w:b/>
          <w:bCs/>
        </w:rPr>
        <w:lastRenderedPageBreak/>
        <w:t>Introduction</w:t>
      </w:r>
    </w:p>
    <w:p w14:paraId="2443C576" w14:textId="1E22D38E" w:rsidR="00C93594" w:rsidRPr="006B6390" w:rsidRDefault="00F67986" w:rsidP="00CD4AD5">
      <w:pPr>
        <w:pStyle w:val="COMPara"/>
        <w:ind w:left="567" w:hanging="567"/>
        <w:jc w:val="both"/>
        <w:rPr>
          <w:rFonts w:asciiTheme="minorBidi" w:hAnsiTheme="minorBidi" w:cstheme="minorBidi"/>
        </w:rPr>
      </w:pPr>
      <w:r w:rsidRPr="006B6390">
        <w:rPr>
          <w:rFonts w:asciiTheme="minorBidi" w:hAnsiTheme="minorBidi" w:cstheme="minorBidi"/>
        </w:rPr>
        <w:t xml:space="preserve">The present </w:t>
      </w:r>
      <w:r w:rsidR="000A1D29" w:rsidRPr="006B6390">
        <w:rPr>
          <w:rFonts w:asciiTheme="minorBidi" w:hAnsiTheme="minorBidi" w:cstheme="minorBidi"/>
        </w:rPr>
        <w:t>report</w:t>
      </w:r>
      <w:r w:rsidR="000A1D29" w:rsidRPr="006B6390">
        <w:rPr>
          <w:rStyle w:val="FootnoteReference"/>
          <w:rFonts w:asciiTheme="minorBidi" w:hAnsiTheme="minorBidi" w:cstheme="minorBidi"/>
        </w:rPr>
        <w:footnoteReference w:id="1"/>
      </w:r>
      <w:r w:rsidR="000A1D29" w:rsidRPr="006B6390">
        <w:rPr>
          <w:rFonts w:asciiTheme="minorBidi" w:hAnsiTheme="minorBidi" w:cstheme="minorBidi"/>
        </w:rPr>
        <w:t xml:space="preserve"> focuses</w:t>
      </w:r>
      <w:r w:rsidRPr="006B6390">
        <w:rPr>
          <w:rFonts w:asciiTheme="minorBidi" w:hAnsiTheme="minorBidi" w:cstheme="minorBidi"/>
        </w:rPr>
        <w:t xml:space="preserve"> on the work of the Secretariat of the 2003 Convention from January 2020 to June 2021</w:t>
      </w:r>
      <w:r w:rsidR="00376548" w:rsidRPr="006B6390">
        <w:rPr>
          <w:rFonts w:asciiTheme="minorBidi" w:hAnsiTheme="minorBidi" w:cstheme="minorBidi"/>
        </w:rPr>
        <w:t xml:space="preserve"> and</w:t>
      </w:r>
      <w:r w:rsidR="00B64CF6" w:rsidRPr="006B6390">
        <w:rPr>
          <w:rFonts w:asciiTheme="minorBidi" w:hAnsiTheme="minorBidi" w:cstheme="minorBidi"/>
        </w:rPr>
        <w:t xml:space="preserve"> </w:t>
      </w:r>
      <w:r w:rsidR="00376548" w:rsidRPr="006B6390">
        <w:rPr>
          <w:rFonts w:asciiTheme="minorBidi" w:hAnsiTheme="minorBidi" w:cstheme="minorBidi"/>
        </w:rPr>
        <w:t xml:space="preserve">follows the report presented by the Secretariat to the eighth session of the General Assembly in September 2020, which covered the period from January 2018 to December 2019. </w:t>
      </w:r>
      <w:r w:rsidR="00672AC9" w:rsidRPr="006B6390">
        <w:rPr>
          <w:rFonts w:asciiTheme="minorBidi" w:hAnsiTheme="minorBidi" w:cstheme="minorBidi"/>
          <w:bCs/>
        </w:rPr>
        <w:t>The report</w:t>
      </w:r>
      <w:r w:rsidR="00CF6E69" w:rsidRPr="006B6390">
        <w:rPr>
          <w:rFonts w:asciiTheme="minorBidi" w:hAnsiTheme="minorBidi" w:cstheme="minorBidi"/>
          <w:bCs/>
        </w:rPr>
        <w:t>ing period</w:t>
      </w:r>
      <w:r w:rsidR="00672AC9" w:rsidRPr="006B6390">
        <w:rPr>
          <w:rFonts w:asciiTheme="minorBidi" w:hAnsiTheme="minorBidi" w:cstheme="minorBidi"/>
          <w:bCs/>
        </w:rPr>
        <w:t xml:space="preserve"> corresponds </w:t>
      </w:r>
      <w:r w:rsidR="00CF6E69" w:rsidRPr="006B6390">
        <w:rPr>
          <w:rFonts w:asciiTheme="minorBidi" w:hAnsiTheme="minorBidi" w:cstheme="minorBidi"/>
          <w:bCs/>
        </w:rPr>
        <w:t xml:space="preserve">to the timeframe of the </w:t>
      </w:r>
      <w:hyperlink r:id="rId8" w:history="1">
        <w:r w:rsidR="00CF6E69" w:rsidRPr="006B6390">
          <w:rPr>
            <w:rStyle w:val="Hyperlink"/>
            <w:rFonts w:asciiTheme="minorBidi" w:hAnsiTheme="minorBidi" w:cstheme="minorBidi"/>
            <w:bCs/>
          </w:rPr>
          <w:t>40C/5 Approved programme and budget</w:t>
        </w:r>
      </w:hyperlink>
      <w:r w:rsidR="00CF6E69" w:rsidRPr="006B6390">
        <w:rPr>
          <w:rFonts w:asciiTheme="minorBidi" w:hAnsiTheme="minorBidi" w:cstheme="minorBidi"/>
          <w:bCs/>
        </w:rPr>
        <w:t xml:space="preserve"> and</w:t>
      </w:r>
      <w:r w:rsidR="00672AC9" w:rsidRPr="006B6390">
        <w:rPr>
          <w:rFonts w:asciiTheme="minorBidi" w:hAnsiTheme="minorBidi" w:cstheme="minorBidi"/>
          <w:bCs/>
        </w:rPr>
        <w:t xml:space="preserve"> </w:t>
      </w:r>
      <w:r w:rsidR="00E81C1E" w:rsidRPr="006B6390">
        <w:rPr>
          <w:rFonts w:asciiTheme="minorBidi" w:hAnsiTheme="minorBidi" w:cstheme="minorBidi"/>
          <w:bCs/>
        </w:rPr>
        <w:t xml:space="preserve">would be aligned with </w:t>
      </w:r>
      <w:r w:rsidR="00672AC9" w:rsidRPr="006B6390">
        <w:rPr>
          <w:rFonts w:asciiTheme="minorBidi" w:hAnsiTheme="minorBidi" w:cstheme="minorBidi"/>
          <w:bCs/>
        </w:rPr>
        <w:t>UNESCO’s other main statutory reporting processes</w:t>
      </w:r>
      <w:r w:rsidR="00E81C1E" w:rsidRPr="006B6390">
        <w:rPr>
          <w:rFonts w:asciiTheme="minorBidi" w:hAnsiTheme="minorBidi" w:cstheme="minorBidi"/>
          <w:bCs/>
        </w:rPr>
        <w:t xml:space="preserve"> – </w:t>
      </w:r>
      <w:r w:rsidR="00672AC9" w:rsidRPr="006B6390">
        <w:rPr>
          <w:rFonts w:asciiTheme="minorBidi" w:hAnsiTheme="minorBidi" w:cstheme="minorBidi"/>
          <w:bCs/>
        </w:rPr>
        <w:t>namely</w:t>
      </w:r>
      <w:r w:rsidR="00E81C1E" w:rsidRPr="006B6390">
        <w:rPr>
          <w:rFonts w:asciiTheme="minorBidi" w:hAnsiTheme="minorBidi" w:cstheme="minorBidi"/>
          <w:bCs/>
        </w:rPr>
        <w:t xml:space="preserve"> </w:t>
      </w:r>
      <w:r w:rsidR="00672AC9" w:rsidRPr="006B6390">
        <w:rPr>
          <w:rFonts w:asciiTheme="minorBidi" w:hAnsiTheme="minorBidi" w:cstheme="minorBidi"/>
          <w:bCs/>
        </w:rPr>
        <w:t>the Director-General’s reports to the Executive Board on the execution of the programme adopted by the General Conference (EX/4)</w:t>
      </w:r>
      <w:r w:rsidR="00E81C1E" w:rsidRPr="006B6390">
        <w:rPr>
          <w:rFonts w:asciiTheme="minorBidi" w:hAnsiTheme="minorBidi" w:cstheme="minorBidi"/>
          <w:bCs/>
        </w:rPr>
        <w:t xml:space="preserve"> – as endorsed by UNESCO’s Executive Board at its 212th session (</w:t>
      </w:r>
      <w:hyperlink r:id="rId9" w:history="1">
        <w:r w:rsidR="00E81C1E" w:rsidRPr="006B6390">
          <w:rPr>
            <w:rStyle w:val="Hyperlink"/>
            <w:rFonts w:asciiTheme="minorBidi" w:hAnsiTheme="minorBidi" w:cstheme="minorBidi"/>
            <w:bCs/>
          </w:rPr>
          <w:t>212 EX/SR.4</w:t>
        </w:r>
      </w:hyperlink>
      <w:r w:rsidR="00E81C1E" w:rsidRPr="006B6390">
        <w:rPr>
          <w:rFonts w:asciiTheme="minorBidi" w:hAnsiTheme="minorBidi" w:cstheme="minorBidi"/>
          <w:bCs/>
        </w:rPr>
        <w:t>)</w:t>
      </w:r>
      <w:r w:rsidR="00672AC9" w:rsidRPr="006B6390">
        <w:rPr>
          <w:rFonts w:asciiTheme="minorBidi" w:hAnsiTheme="minorBidi" w:cstheme="minorBidi"/>
          <w:bCs/>
        </w:rPr>
        <w:t>.</w:t>
      </w:r>
      <w:r w:rsidR="00EE4588" w:rsidRPr="006B6390">
        <w:rPr>
          <w:rFonts w:asciiTheme="minorBidi" w:hAnsiTheme="minorBidi" w:cstheme="minorBidi"/>
        </w:rPr>
        <w:t xml:space="preserve">The report seeks to highlight </w:t>
      </w:r>
      <w:r w:rsidR="00E8244C" w:rsidRPr="006B6390">
        <w:rPr>
          <w:rFonts w:asciiTheme="minorBidi" w:hAnsiTheme="minorBidi" w:cstheme="minorBidi"/>
        </w:rPr>
        <w:t>a</w:t>
      </w:r>
      <w:r w:rsidR="00EE4588" w:rsidRPr="006B6390">
        <w:rPr>
          <w:rFonts w:asciiTheme="minorBidi" w:hAnsiTheme="minorBidi" w:cstheme="minorBidi"/>
        </w:rPr>
        <w:t xml:space="preserve"> strategic </w:t>
      </w:r>
      <w:r w:rsidR="00672AC9" w:rsidRPr="006B6390">
        <w:rPr>
          <w:rFonts w:asciiTheme="minorBidi" w:hAnsiTheme="minorBidi" w:cstheme="minorBidi"/>
        </w:rPr>
        <w:t>overview</w:t>
      </w:r>
      <w:r w:rsidR="00EE4588" w:rsidRPr="006B6390">
        <w:rPr>
          <w:rFonts w:asciiTheme="minorBidi" w:hAnsiTheme="minorBidi" w:cstheme="minorBidi"/>
        </w:rPr>
        <w:t xml:space="preserve"> of the Secretariat’s activities, its key achievements and challenges encountered. </w:t>
      </w:r>
      <w:r w:rsidR="00147B1F" w:rsidRPr="006B6390">
        <w:rPr>
          <w:rFonts w:asciiTheme="minorBidi" w:hAnsiTheme="minorBidi" w:cstheme="minorBidi"/>
        </w:rPr>
        <w:t>Annex I</w:t>
      </w:r>
      <w:r w:rsidR="00EE4588" w:rsidRPr="006B6390">
        <w:rPr>
          <w:rFonts w:asciiTheme="minorBidi" w:hAnsiTheme="minorBidi" w:cstheme="minorBidi"/>
        </w:rPr>
        <w:t xml:space="preserve"> further demonstrates the contribution of the Secretariat’s work to the 40C/5 results framework and, more specifically</w:t>
      </w:r>
      <w:r w:rsidR="00E8244C" w:rsidRPr="006B6390">
        <w:rPr>
          <w:rFonts w:asciiTheme="minorBidi" w:hAnsiTheme="minorBidi" w:cstheme="minorBidi"/>
        </w:rPr>
        <w:t>,</w:t>
      </w:r>
      <w:r w:rsidR="00EE4588" w:rsidRPr="006B6390">
        <w:rPr>
          <w:rFonts w:asciiTheme="minorBidi" w:hAnsiTheme="minorBidi" w:cstheme="minorBidi"/>
        </w:rPr>
        <w:t xml:space="preserve"> to the performance indicators of Expected Result 6 within Major Programme IV.</w:t>
      </w:r>
    </w:p>
    <w:p w14:paraId="47723C07" w14:textId="51B0647A" w:rsidR="00180563" w:rsidRPr="006B6390" w:rsidRDefault="00B674F8" w:rsidP="009D02BE">
      <w:pPr>
        <w:pStyle w:val="COMPara"/>
        <w:ind w:left="567" w:hanging="567"/>
        <w:jc w:val="both"/>
        <w:rPr>
          <w:rFonts w:asciiTheme="minorBidi" w:hAnsiTheme="minorBidi" w:cstheme="minorBidi"/>
        </w:rPr>
      </w:pPr>
      <w:r w:rsidRPr="006B6390">
        <w:rPr>
          <w:rFonts w:asciiTheme="minorBidi" w:hAnsiTheme="minorBidi" w:cstheme="minorBidi"/>
        </w:rPr>
        <w:t>The Living Heritage Entity</w:t>
      </w:r>
      <w:r w:rsidRPr="006B6390">
        <w:rPr>
          <w:rStyle w:val="FootnoteReference"/>
          <w:rFonts w:asciiTheme="minorBidi" w:hAnsiTheme="minorBidi" w:cstheme="minorBidi"/>
        </w:rPr>
        <w:footnoteReference w:id="2"/>
      </w:r>
      <w:r w:rsidRPr="006B6390">
        <w:rPr>
          <w:rFonts w:asciiTheme="minorBidi" w:hAnsiTheme="minorBidi" w:cstheme="minorBidi"/>
        </w:rPr>
        <w:t xml:space="preserve"> serves as the Secretariat of the Convention. It is structured </w:t>
      </w:r>
      <w:r w:rsidR="005831A9" w:rsidRPr="006B6390">
        <w:rPr>
          <w:rFonts w:asciiTheme="minorBidi" w:hAnsiTheme="minorBidi" w:cstheme="minorBidi"/>
        </w:rPr>
        <w:t>around</w:t>
      </w:r>
      <w:r w:rsidRPr="006B6390">
        <w:rPr>
          <w:rFonts w:asciiTheme="minorBidi" w:hAnsiTheme="minorBidi" w:cstheme="minorBidi"/>
        </w:rPr>
        <w:t xml:space="preserve"> two units and two teams: the Programme Management Unit (including the Statutory Support Team) and the Capacity Building and Heritage Policy Unit</w:t>
      </w:r>
      <w:r w:rsidR="005831A9" w:rsidRPr="006B6390">
        <w:rPr>
          <w:rFonts w:asciiTheme="minorBidi" w:hAnsiTheme="minorBidi" w:cstheme="minorBidi"/>
        </w:rPr>
        <w:t>,</w:t>
      </w:r>
      <w:r w:rsidRPr="006B6390">
        <w:rPr>
          <w:rFonts w:asciiTheme="minorBidi" w:hAnsiTheme="minorBidi" w:cstheme="minorBidi"/>
        </w:rPr>
        <w:t xml:space="preserve"> as well as the Safeguarding, Implementation and Monitoring Team and the Knowledge Management and Outreach Team.</w:t>
      </w:r>
    </w:p>
    <w:p w14:paraId="4875C2EC" w14:textId="113BEC7B" w:rsidR="00EE4588" w:rsidRPr="006B6390" w:rsidRDefault="0056127D" w:rsidP="009D02BE">
      <w:pPr>
        <w:pStyle w:val="COMPara"/>
        <w:ind w:left="567" w:hanging="567"/>
        <w:jc w:val="both"/>
        <w:rPr>
          <w:rFonts w:asciiTheme="minorBidi" w:hAnsiTheme="minorBidi" w:cstheme="minorBidi"/>
        </w:rPr>
      </w:pPr>
      <w:r w:rsidRPr="006B6390">
        <w:rPr>
          <w:rFonts w:asciiTheme="minorBidi" w:hAnsiTheme="minorBidi" w:cstheme="minorBidi"/>
        </w:rPr>
        <w:t xml:space="preserve">As the outbreak and propagation of the COVID-19 pandemic marked the </w:t>
      </w:r>
      <w:r w:rsidR="005831A9" w:rsidRPr="006B6390">
        <w:rPr>
          <w:rFonts w:asciiTheme="minorBidi" w:hAnsiTheme="minorBidi" w:cstheme="minorBidi"/>
        </w:rPr>
        <w:t>reporting period</w:t>
      </w:r>
      <w:r w:rsidRPr="006B6390">
        <w:rPr>
          <w:rFonts w:asciiTheme="minorBidi" w:hAnsiTheme="minorBidi" w:cstheme="minorBidi"/>
        </w:rPr>
        <w:t xml:space="preserve">, the Secretariat strived to bring </w:t>
      </w:r>
      <w:r w:rsidR="005831A9" w:rsidRPr="006B6390">
        <w:rPr>
          <w:rFonts w:asciiTheme="minorBidi" w:hAnsiTheme="minorBidi" w:cstheme="minorBidi"/>
        </w:rPr>
        <w:t xml:space="preserve">an </w:t>
      </w:r>
      <w:r w:rsidRPr="006B6390">
        <w:rPr>
          <w:rFonts w:asciiTheme="minorBidi" w:hAnsiTheme="minorBidi" w:cstheme="minorBidi"/>
        </w:rPr>
        <w:t>adequate response</w:t>
      </w:r>
      <w:r w:rsidR="005831A9" w:rsidRPr="006B6390">
        <w:rPr>
          <w:rFonts w:asciiTheme="minorBidi" w:hAnsiTheme="minorBidi" w:cstheme="minorBidi"/>
        </w:rPr>
        <w:t xml:space="preserve"> to new challenges posed by the pandemic</w:t>
      </w:r>
      <w:r w:rsidRPr="006B6390">
        <w:rPr>
          <w:rFonts w:asciiTheme="minorBidi" w:hAnsiTheme="minorBidi" w:cstheme="minorBidi"/>
        </w:rPr>
        <w:t xml:space="preserve"> (see section I</w:t>
      </w:r>
      <w:r w:rsidR="005831A9" w:rsidRPr="006B6390">
        <w:rPr>
          <w:rFonts w:asciiTheme="minorBidi" w:hAnsiTheme="minorBidi" w:cstheme="minorBidi"/>
        </w:rPr>
        <w:t>I</w:t>
      </w:r>
      <w:r w:rsidRPr="006B6390">
        <w:rPr>
          <w:rFonts w:asciiTheme="minorBidi" w:hAnsiTheme="minorBidi" w:cstheme="minorBidi"/>
        </w:rPr>
        <w:t xml:space="preserve">). </w:t>
      </w:r>
      <w:r w:rsidR="005831A9" w:rsidRPr="006B6390">
        <w:rPr>
          <w:rFonts w:asciiTheme="minorBidi" w:hAnsiTheme="minorBidi" w:cstheme="minorBidi"/>
        </w:rPr>
        <w:t>In this context, t</w:t>
      </w:r>
      <w:r w:rsidR="00EE4588" w:rsidRPr="006B6390">
        <w:rPr>
          <w:rFonts w:asciiTheme="minorBidi" w:hAnsiTheme="minorBidi" w:cstheme="minorBidi"/>
        </w:rPr>
        <w:t xml:space="preserve">he Secretariat’s core activities focused on </w:t>
      </w:r>
      <w:r w:rsidR="005831A9" w:rsidRPr="006B6390">
        <w:rPr>
          <w:rFonts w:asciiTheme="minorBidi" w:hAnsiTheme="minorBidi" w:cstheme="minorBidi"/>
        </w:rPr>
        <w:t>four</w:t>
      </w:r>
      <w:r w:rsidR="00EE4588" w:rsidRPr="006B6390">
        <w:rPr>
          <w:rFonts w:asciiTheme="minorBidi" w:hAnsiTheme="minorBidi" w:cstheme="minorBidi"/>
        </w:rPr>
        <w:t xml:space="preserve"> main axes: Governance of the 2003 Convention (see section I</w:t>
      </w:r>
      <w:r w:rsidR="005831A9" w:rsidRPr="006B6390">
        <w:rPr>
          <w:rFonts w:asciiTheme="minorBidi" w:hAnsiTheme="minorBidi" w:cstheme="minorBidi"/>
        </w:rPr>
        <w:t>I</w:t>
      </w:r>
      <w:r w:rsidR="00EE4588" w:rsidRPr="006B6390">
        <w:rPr>
          <w:rFonts w:asciiTheme="minorBidi" w:hAnsiTheme="minorBidi" w:cstheme="minorBidi"/>
        </w:rPr>
        <w:t xml:space="preserve">I), </w:t>
      </w:r>
      <w:r w:rsidR="005831A9" w:rsidRPr="006B6390">
        <w:rPr>
          <w:rFonts w:asciiTheme="minorBidi" w:hAnsiTheme="minorBidi" w:cstheme="minorBidi"/>
        </w:rPr>
        <w:t>the implementation of o</w:t>
      </w:r>
      <w:r w:rsidR="00EE4588" w:rsidRPr="006B6390">
        <w:rPr>
          <w:rFonts w:asciiTheme="minorBidi" w:hAnsiTheme="minorBidi" w:cstheme="minorBidi"/>
        </w:rPr>
        <w:t xml:space="preserve">perational </w:t>
      </w:r>
      <w:r w:rsidRPr="006B6390">
        <w:rPr>
          <w:rFonts w:asciiTheme="minorBidi" w:hAnsiTheme="minorBidi" w:cstheme="minorBidi"/>
        </w:rPr>
        <w:t xml:space="preserve">priorities on </w:t>
      </w:r>
      <w:r w:rsidR="00EE4588" w:rsidRPr="006B6390">
        <w:rPr>
          <w:rFonts w:asciiTheme="minorBidi" w:hAnsiTheme="minorBidi" w:cstheme="minorBidi"/>
        </w:rPr>
        <w:t xml:space="preserve">capacity building and </w:t>
      </w:r>
      <w:r w:rsidR="00180563" w:rsidRPr="006B6390">
        <w:rPr>
          <w:rFonts w:asciiTheme="minorBidi" w:hAnsiTheme="minorBidi" w:cstheme="minorBidi"/>
        </w:rPr>
        <w:t>i</w:t>
      </w:r>
      <w:r w:rsidR="00EE4588" w:rsidRPr="006B6390">
        <w:rPr>
          <w:rFonts w:asciiTheme="minorBidi" w:hAnsiTheme="minorBidi" w:cstheme="minorBidi"/>
        </w:rPr>
        <w:t xml:space="preserve">ntangible </w:t>
      </w:r>
      <w:r w:rsidR="00180563" w:rsidRPr="006B6390">
        <w:rPr>
          <w:rFonts w:asciiTheme="minorBidi" w:hAnsiTheme="minorBidi" w:cstheme="minorBidi"/>
        </w:rPr>
        <w:t>c</w:t>
      </w:r>
      <w:r w:rsidR="00EE4588" w:rsidRPr="006B6390">
        <w:rPr>
          <w:rFonts w:asciiTheme="minorBidi" w:hAnsiTheme="minorBidi" w:cstheme="minorBidi"/>
        </w:rPr>
        <w:t xml:space="preserve">ultural </w:t>
      </w:r>
      <w:r w:rsidR="00180563" w:rsidRPr="006B6390">
        <w:rPr>
          <w:rFonts w:asciiTheme="minorBidi" w:hAnsiTheme="minorBidi" w:cstheme="minorBidi"/>
        </w:rPr>
        <w:t>h</w:t>
      </w:r>
      <w:r w:rsidR="00EE4588" w:rsidRPr="006B6390">
        <w:rPr>
          <w:rFonts w:asciiTheme="minorBidi" w:hAnsiTheme="minorBidi" w:cstheme="minorBidi"/>
        </w:rPr>
        <w:t xml:space="preserve">eritage and </w:t>
      </w:r>
      <w:r w:rsidR="00180563" w:rsidRPr="006B6390">
        <w:rPr>
          <w:rFonts w:asciiTheme="minorBidi" w:hAnsiTheme="minorBidi" w:cstheme="minorBidi"/>
        </w:rPr>
        <w:t>e</w:t>
      </w:r>
      <w:r w:rsidR="00EE4588" w:rsidRPr="006B6390">
        <w:rPr>
          <w:rFonts w:asciiTheme="minorBidi" w:hAnsiTheme="minorBidi" w:cstheme="minorBidi"/>
        </w:rPr>
        <w:t>ducation (see section I</w:t>
      </w:r>
      <w:r w:rsidR="005831A9" w:rsidRPr="006B6390">
        <w:rPr>
          <w:rFonts w:asciiTheme="minorBidi" w:hAnsiTheme="minorBidi" w:cstheme="minorBidi"/>
        </w:rPr>
        <w:t>V</w:t>
      </w:r>
      <w:r w:rsidR="00EE4588" w:rsidRPr="006B6390">
        <w:rPr>
          <w:rFonts w:asciiTheme="minorBidi" w:hAnsiTheme="minorBidi" w:cstheme="minorBidi"/>
        </w:rPr>
        <w:t xml:space="preserve">), </w:t>
      </w:r>
      <w:r w:rsidR="009D02BE" w:rsidRPr="006B6390">
        <w:rPr>
          <w:rFonts w:asciiTheme="minorBidi" w:hAnsiTheme="minorBidi" w:cstheme="minorBidi"/>
        </w:rPr>
        <w:t xml:space="preserve">as well as </w:t>
      </w:r>
      <w:r w:rsidR="005831A9" w:rsidRPr="006B6390">
        <w:rPr>
          <w:rFonts w:asciiTheme="minorBidi" w:hAnsiTheme="minorBidi" w:cstheme="minorBidi"/>
        </w:rPr>
        <w:t>c</w:t>
      </w:r>
      <w:r w:rsidR="00EE4588" w:rsidRPr="006B6390">
        <w:rPr>
          <w:rFonts w:asciiTheme="minorBidi" w:hAnsiTheme="minorBidi" w:cstheme="minorBidi"/>
        </w:rPr>
        <w:t xml:space="preserve">ommunication and </w:t>
      </w:r>
      <w:r w:rsidR="005831A9" w:rsidRPr="006B6390">
        <w:rPr>
          <w:rFonts w:asciiTheme="minorBidi" w:hAnsiTheme="minorBidi" w:cstheme="minorBidi"/>
        </w:rPr>
        <w:t>o</w:t>
      </w:r>
      <w:r w:rsidR="00EE4588" w:rsidRPr="006B6390">
        <w:rPr>
          <w:rFonts w:asciiTheme="minorBidi" w:hAnsiTheme="minorBidi" w:cstheme="minorBidi"/>
        </w:rPr>
        <w:t xml:space="preserve">utreach (section </w:t>
      </w:r>
      <w:r w:rsidR="005831A9" w:rsidRPr="006B6390">
        <w:rPr>
          <w:rFonts w:asciiTheme="minorBidi" w:hAnsiTheme="minorBidi" w:cstheme="minorBidi"/>
        </w:rPr>
        <w:t>V</w:t>
      </w:r>
      <w:r w:rsidR="00EE4588" w:rsidRPr="006B6390">
        <w:rPr>
          <w:rFonts w:asciiTheme="minorBidi" w:hAnsiTheme="minorBidi" w:cstheme="minorBidi"/>
        </w:rPr>
        <w:t>). In addition,</w:t>
      </w:r>
      <w:r w:rsidR="009D02BE" w:rsidRPr="006B6390">
        <w:rPr>
          <w:rFonts w:asciiTheme="minorBidi" w:hAnsiTheme="minorBidi" w:cstheme="minorBidi"/>
        </w:rPr>
        <w:t xml:space="preserve"> the Secretariat endeavoured to initiate</w:t>
      </w:r>
      <w:r w:rsidR="00180563" w:rsidRPr="006B6390">
        <w:rPr>
          <w:rFonts w:asciiTheme="minorBidi" w:hAnsiTheme="minorBidi" w:cstheme="minorBidi"/>
        </w:rPr>
        <w:t xml:space="preserve"> and reinforce</w:t>
      </w:r>
      <w:r w:rsidR="009D02BE" w:rsidRPr="006B6390">
        <w:rPr>
          <w:rFonts w:asciiTheme="minorBidi" w:hAnsiTheme="minorBidi" w:cstheme="minorBidi"/>
        </w:rPr>
        <w:t xml:space="preserve"> thematic initiatives linking living heritage with sustainable development (section VI) and to</w:t>
      </w:r>
      <w:r w:rsidR="00EE4588" w:rsidRPr="006B6390">
        <w:rPr>
          <w:rFonts w:asciiTheme="minorBidi" w:hAnsiTheme="minorBidi" w:cstheme="minorBidi"/>
        </w:rPr>
        <w:t xml:space="preserve"> </w:t>
      </w:r>
      <w:r w:rsidR="00180563" w:rsidRPr="006B6390">
        <w:rPr>
          <w:rFonts w:asciiTheme="minorBidi" w:hAnsiTheme="minorBidi" w:cstheme="minorBidi"/>
        </w:rPr>
        <w:t>strengthen</w:t>
      </w:r>
      <w:r w:rsidR="005831A9" w:rsidRPr="006B6390">
        <w:rPr>
          <w:rFonts w:asciiTheme="minorBidi" w:hAnsiTheme="minorBidi" w:cstheme="minorBidi"/>
        </w:rPr>
        <w:t xml:space="preserve"> </w:t>
      </w:r>
      <w:r w:rsidR="009D02BE" w:rsidRPr="006B6390">
        <w:rPr>
          <w:rFonts w:asciiTheme="minorBidi" w:hAnsiTheme="minorBidi" w:cstheme="minorBidi"/>
        </w:rPr>
        <w:t xml:space="preserve">synergies with </w:t>
      </w:r>
      <w:r w:rsidR="00E8244C" w:rsidRPr="006B6390">
        <w:rPr>
          <w:rFonts w:asciiTheme="minorBidi" w:hAnsiTheme="minorBidi" w:cstheme="minorBidi"/>
        </w:rPr>
        <w:t xml:space="preserve">UNESCO’s </w:t>
      </w:r>
      <w:r w:rsidR="009D02BE" w:rsidRPr="006B6390">
        <w:rPr>
          <w:rFonts w:asciiTheme="minorBidi" w:hAnsiTheme="minorBidi" w:cstheme="minorBidi"/>
        </w:rPr>
        <w:t>other normative instruments in the field of culture (section VII).</w:t>
      </w:r>
    </w:p>
    <w:p w14:paraId="0A892B27" w14:textId="53725DF4" w:rsidR="002F69C3" w:rsidRPr="006B6390" w:rsidRDefault="002F69C3" w:rsidP="00FA0871">
      <w:pPr>
        <w:pStyle w:val="COMPara"/>
        <w:numPr>
          <w:ilvl w:val="0"/>
          <w:numId w:val="6"/>
        </w:numPr>
        <w:spacing w:before="240"/>
        <w:ind w:left="567" w:hanging="425"/>
        <w:jc w:val="both"/>
        <w:rPr>
          <w:rFonts w:asciiTheme="minorBidi" w:hAnsiTheme="minorBidi" w:cstheme="minorBidi"/>
          <w:b/>
          <w:bCs/>
        </w:rPr>
      </w:pPr>
      <w:r w:rsidRPr="006B6390">
        <w:rPr>
          <w:rFonts w:asciiTheme="minorBidi" w:hAnsiTheme="minorBidi" w:cstheme="minorBidi"/>
          <w:b/>
          <w:bCs/>
        </w:rPr>
        <w:t>Impact of and response to the COVID-19 pandemic</w:t>
      </w:r>
    </w:p>
    <w:p w14:paraId="036C1640" w14:textId="469BE9D5" w:rsidR="009B4DB0" w:rsidRPr="006B6390" w:rsidRDefault="009B4DB0" w:rsidP="00F829DB">
      <w:pPr>
        <w:pStyle w:val="COMPara"/>
        <w:ind w:left="567" w:hanging="567"/>
        <w:jc w:val="both"/>
        <w:rPr>
          <w:rFonts w:asciiTheme="minorBidi" w:hAnsiTheme="minorBidi" w:cstheme="minorBidi"/>
          <w:bCs/>
        </w:rPr>
      </w:pPr>
      <w:r w:rsidRPr="006B6390">
        <w:rPr>
          <w:rFonts w:asciiTheme="minorBidi" w:hAnsiTheme="minorBidi" w:cstheme="minorBidi"/>
          <w:b/>
          <w:bCs/>
        </w:rPr>
        <w:t>Impact on the work of the Secretariat</w:t>
      </w:r>
      <w:r w:rsidR="009B5B2B" w:rsidRPr="006B6390">
        <w:rPr>
          <w:rFonts w:asciiTheme="minorBidi" w:hAnsiTheme="minorBidi" w:cstheme="minorBidi"/>
        </w:rPr>
        <w:t>:</w:t>
      </w:r>
      <w:r w:rsidRPr="006B6390">
        <w:rPr>
          <w:rFonts w:asciiTheme="minorBidi" w:hAnsiTheme="minorBidi" w:cstheme="minorBidi"/>
        </w:rPr>
        <w:t xml:space="preserve"> </w:t>
      </w:r>
      <w:r w:rsidRPr="006B6390">
        <w:rPr>
          <w:rFonts w:asciiTheme="minorBidi" w:hAnsiTheme="minorBidi" w:cstheme="minorBidi"/>
          <w:bCs/>
        </w:rPr>
        <w:t>The operations of the Secretariat for the implementation of the Convention have been and still remain significantly impacted</w:t>
      </w:r>
      <w:r w:rsidR="00F0630D" w:rsidRPr="006B6390">
        <w:rPr>
          <w:rFonts w:asciiTheme="minorBidi" w:hAnsiTheme="minorBidi" w:cstheme="minorBidi"/>
          <w:bCs/>
        </w:rPr>
        <w:t xml:space="preserve"> by the pandemic</w:t>
      </w:r>
      <w:r w:rsidRPr="006B6390">
        <w:rPr>
          <w:rFonts w:asciiTheme="minorBidi" w:hAnsiTheme="minorBidi" w:cstheme="minorBidi"/>
          <w:bCs/>
        </w:rPr>
        <w:t>.</w:t>
      </w:r>
      <w:r w:rsidR="00376548" w:rsidRPr="006B6390">
        <w:rPr>
          <w:rFonts w:asciiTheme="minorBidi" w:hAnsiTheme="minorBidi" w:cstheme="minorBidi"/>
          <w:bCs/>
        </w:rPr>
        <w:t xml:space="preserve"> An interim report on measures taken by the Secretariat was presented to the General Assembly in 2020 (see document </w:t>
      </w:r>
      <w:hyperlink r:id="rId10" w:history="1">
        <w:r w:rsidR="00376548" w:rsidRPr="006B6390">
          <w:rPr>
            <w:rStyle w:val="Hyperlink"/>
            <w:rFonts w:asciiTheme="minorBidi" w:hAnsiTheme="minorBidi" w:cstheme="minorBidi"/>
            <w:bCs/>
          </w:rPr>
          <w:t>LHE/20/8.GA/6</w:t>
        </w:r>
        <w:r w:rsidR="001403BE" w:rsidRPr="006B6390">
          <w:rPr>
            <w:rStyle w:val="Hyperlink"/>
            <w:rFonts w:asciiTheme="minorBidi" w:hAnsiTheme="minorBidi" w:cstheme="minorBidi"/>
            <w:bCs/>
          </w:rPr>
          <w:t>+</w:t>
        </w:r>
        <w:r w:rsidR="00376548" w:rsidRPr="006B6390">
          <w:rPr>
            <w:rStyle w:val="Hyperlink"/>
            <w:rFonts w:asciiTheme="minorBidi" w:hAnsiTheme="minorBidi" w:cstheme="minorBidi"/>
            <w:bCs/>
          </w:rPr>
          <w:t>Add</w:t>
        </w:r>
        <w:r w:rsidR="001403BE" w:rsidRPr="006B6390">
          <w:rPr>
            <w:rStyle w:val="Hyperlink"/>
            <w:rFonts w:asciiTheme="minorBidi" w:hAnsiTheme="minorBidi" w:cstheme="minorBidi"/>
            <w:bCs/>
          </w:rPr>
          <w:t>.</w:t>
        </w:r>
      </w:hyperlink>
      <w:r w:rsidR="00376548" w:rsidRPr="006B6390">
        <w:rPr>
          <w:rFonts w:asciiTheme="minorBidi" w:hAnsiTheme="minorBidi" w:cstheme="minorBidi"/>
          <w:bCs/>
        </w:rPr>
        <w:t>)</w:t>
      </w:r>
      <w:r w:rsidR="001403BE" w:rsidRPr="006B6390">
        <w:rPr>
          <w:rFonts w:asciiTheme="minorBidi" w:hAnsiTheme="minorBidi" w:cstheme="minorBidi"/>
          <w:bCs/>
        </w:rPr>
        <w:t>.</w:t>
      </w:r>
      <w:r w:rsidRPr="006B6390">
        <w:rPr>
          <w:rFonts w:asciiTheme="minorBidi" w:hAnsiTheme="minorBidi" w:cstheme="minorBidi"/>
          <w:bCs/>
        </w:rPr>
        <w:t xml:space="preserve"> This involved increasing technological support</w:t>
      </w:r>
      <w:r w:rsidR="00F0630D" w:rsidRPr="006B6390">
        <w:rPr>
          <w:rFonts w:asciiTheme="minorBidi" w:hAnsiTheme="minorBidi" w:cstheme="minorBidi"/>
          <w:bCs/>
        </w:rPr>
        <w:t>,</w:t>
      </w:r>
      <w:r w:rsidRPr="006B6390">
        <w:rPr>
          <w:rFonts w:asciiTheme="minorBidi" w:hAnsiTheme="minorBidi" w:cstheme="minorBidi"/>
          <w:bCs/>
        </w:rPr>
        <w:t xml:space="preserve"> </w:t>
      </w:r>
      <w:r w:rsidR="00F0630D" w:rsidRPr="006B6390">
        <w:rPr>
          <w:rFonts w:asciiTheme="minorBidi" w:hAnsiTheme="minorBidi" w:cstheme="minorBidi"/>
          <w:bCs/>
        </w:rPr>
        <w:t xml:space="preserve">developing new </w:t>
      </w:r>
      <w:r w:rsidR="00D20305" w:rsidRPr="006B6390">
        <w:rPr>
          <w:rFonts w:asciiTheme="minorBidi" w:hAnsiTheme="minorBidi" w:cstheme="minorBidi"/>
          <w:bCs/>
        </w:rPr>
        <w:t xml:space="preserve">content, </w:t>
      </w:r>
      <w:r w:rsidR="00F0630D" w:rsidRPr="006B6390">
        <w:rPr>
          <w:rFonts w:asciiTheme="minorBidi" w:hAnsiTheme="minorBidi" w:cstheme="minorBidi"/>
          <w:bCs/>
        </w:rPr>
        <w:t>tools and interfaces adapted to online meetings and changing meeting modalities (</w:t>
      </w:r>
      <w:r w:rsidR="00F0630D" w:rsidRPr="006B6390">
        <w:rPr>
          <w:rFonts w:asciiTheme="minorBidi" w:hAnsiTheme="minorBidi" w:cstheme="minorBidi"/>
          <w:bCs/>
          <w:i/>
          <w:iCs/>
        </w:rPr>
        <w:t>in presentia</w:t>
      </w:r>
      <w:r w:rsidR="00F0630D" w:rsidRPr="006B6390">
        <w:rPr>
          <w:rFonts w:asciiTheme="minorBidi" w:hAnsiTheme="minorBidi" w:cstheme="minorBidi"/>
          <w:bCs/>
        </w:rPr>
        <w:t>, online, hybrid) at short notice</w:t>
      </w:r>
      <w:r w:rsidRPr="006B6390">
        <w:rPr>
          <w:rFonts w:asciiTheme="minorBidi" w:hAnsiTheme="minorBidi" w:cstheme="minorBidi"/>
          <w:bCs/>
        </w:rPr>
        <w:t>. Also</w:t>
      </w:r>
      <w:r w:rsidR="00E8244C" w:rsidRPr="006B6390">
        <w:rPr>
          <w:rFonts w:asciiTheme="minorBidi" w:hAnsiTheme="minorBidi" w:cstheme="minorBidi"/>
          <w:bCs/>
        </w:rPr>
        <w:t>,</w:t>
      </w:r>
      <w:r w:rsidRPr="006B6390">
        <w:rPr>
          <w:rFonts w:asciiTheme="minorBidi" w:hAnsiTheme="minorBidi" w:cstheme="minorBidi"/>
          <w:bCs/>
        </w:rPr>
        <w:t xml:space="preserve"> most of the capacity</w:t>
      </w:r>
      <w:r w:rsidR="00D20305" w:rsidRPr="006B6390">
        <w:rPr>
          <w:rFonts w:asciiTheme="minorBidi" w:hAnsiTheme="minorBidi" w:cstheme="minorBidi"/>
          <w:bCs/>
        </w:rPr>
        <w:t>-</w:t>
      </w:r>
      <w:r w:rsidRPr="006B6390">
        <w:rPr>
          <w:rFonts w:asciiTheme="minorBidi" w:hAnsiTheme="minorBidi" w:cstheme="minorBidi"/>
          <w:bCs/>
        </w:rPr>
        <w:t>building events were scheduled to be cost</w:t>
      </w:r>
      <w:r w:rsidR="00E8244C" w:rsidRPr="006B6390">
        <w:rPr>
          <w:rFonts w:asciiTheme="minorBidi" w:hAnsiTheme="minorBidi" w:cstheme="minorBidi"/>
          <w:bCs/>
        </w:rPr>
        <w:t>-</w:t>
      </w:r>
      <w:r w:rsidRPr="006B6390">
        <w:rPr>
          <w:rFonts w:asciiTheme="minorBidi" w:hAnsiTheme="minorBidi" w:cstheme="minorBidi"/>
          <w:bCs/>
        </w:rPr>
        <w:t>shared with host states, who quite naturally cancelled their planned cost sharing when events were no longer held in their country. This means that</w:t>
      </w:r>
      <w:r w:rsidR="00E8244C" w:rsidRPr="006B6390">
        <w:rPr>
          <w:rFonts w:asciiTheme="minorBidi" w:hAnsiTheme="minorBidi" w:cstheme="minorBidi"/>
          <w:bCs/>
        </w:rPr>
        <w:t>,</w:t>
      </w:r>
      <w:r w:rsidRPr="006B6390">
        <w:rPr>
          <w:rFonts w:asciiTheme="minorBidi" w:hAnsiTheme="minorBidi" w:cstheme="minorBidi"/>
          <w:bCs/>
        </w:rPr>
        <w:t xml:space="preserve"> overall</w:t>
      </w:r>
      <w:r w:rsidR="00E8244C" w:rsidRPr="006B6390">
        <w:rPr>
          <w:rFonts w:asciiTheme="minorBidi" w:hAnsiTheme="minorBidi" w:cstheme="minorBidi"/>
          <w:bCs/>
        </w:rPr>
        <w:t>,</w:t>
      </w:r>
      <w:r w:rsidRPr="006B6390">
        <w:rPr>
          <w:rFonts w:asciiTheme="minorBidi" w:hAnsiTheme="minorBidi" w:cstheme="minorBidi"/>
          <w:bCs/>
        </w:rPr>
        <w:t xml:space="preserve"> the adaptations due to the crisis </w:t>
      </w:r>
      <w:r w:rsidR="00D20305" w:rsidRPr="006B6390">
        <w:rPr>
          <w:rFonts w:asciiTheme="minorBidi" w:hAnsiTheme="minorBidi" w:cstheme="minorBidi"/>
          <w:bCs/>
        </w:rPr>
        <w:t xml:space="preserve">and rescheduling of events </w:t>
      </w:r>
      <w:r w:rsidRPr="006B6390">
        <w:rPr>
          <w:rFonts w:asciiTheme="minorBidi" w:hAnsiTheme="minorBidi" w:cstheme="minorBidi"/>
          <w:bCs/>
        </w:rPr>
        <w:t xml:space="preserve">did not result in any </w:t>
      </w:r>
      <w:r w:rsidR="00F0630D" w:rsidRPr="006B6390">
        <w:rPr>
          <w:rFonts w:asciiTheme="minorBidi" w:hAnsiTheme="minorBidi" w:cstheme="minorBidi"/>
          <w:bCs/>
        </w:rPr>
        <w:t xml:space="preserve">significant </w:t>
      </w:r>
      <w:r w:rsidRPr="006B6390">
        <w:rPr>
          <w:rFonts w:asciiTheme="minorBidi" w:hAnsiTheme="minorBidi" w:cstheme="minorBidi"/>
          <w:bCs/>
        </w:rPr>
        <w:t>cost savings</w:t>
      </w:r>
      <w:r w:rsidR="00D20305" w:rsidRPr="006B6390">
        <w:rPr>
          <w:rFonts w:asciiTheme="minorBidi" w:hAnsiTheme="minorBidi" w:cstheme="minorBidi"/>
          <w:bCs/>
        </w:rPr>
        <w:t xml:space="preserve"> and in fact</w:t>
      </w:r>
      <w:r w:rsidR="00F0630D" w:rsidRPr="006B6390">
        <w:rPr>
          <w:rFonts w:asciiTheme="minorBidi" w:hAnsiTheme="minorBidi" w:cstheme="minorBidi"/>
          <w:bCs/>
        </w:rPr>
        <w:t xml:space="preserve"> brought with them a significant increase in the workload of the Secretariat. </w:t>
      </w:r>
      <w:r w:rsidRPr="006B6390">
        <w:rPr>
          <w:rFonts w:asciiTheme="minorBidi" w:hAnsiTheme="minorBidi" w:cstheme="minorBidi"/>
          <w:bCs/>
        </w:rPr>
        <w:t>Nevertheless, the Secretariat</w:t>
      </w:r>
      <w:r w:rsidR="00841E86" w:rsidRPr="006B6390">
        <w:rPr>
          <w:rFonts w:asciiTheme="minorBidi" w:hAnsiTheme="minorBidi" w:cstheme="minorBidi"/>
          <w:bCs/>
        </w:rPr>
        <w:t>’s</w:t>
      </w:r>
      <w:r w:rsidRPr="006B6390">
        <w:rPr>
          <w:rFonts w:asciiTheme="minorBidi" w:hAnsiTheme="minorBidi" w:cstheme="minorBidi"/>
          <w:bCs/>
        </w:rPr>
        <w:t xml:space="preserve"> actions demonstrated that it is possible to adapt modalities and working methods, if planned carefully, and that new ways of working can point to new and interesting opportunities for carrying out activities under the Convention. </w:t>
      </w:r>
      <w:r w:rsidR="00E8244C" w:rsidRPr="006B6390">
        <w:rPr>
          <w:rFonts w:asciiTheme="minorBidi" w:hAnsiTheme="minorBidi" w:cstheme="minorBidi"/>
          <w:bCs/>
        </w:rPr>
        <w:t>The i</w:t>
      </w:r>
      <w:r w:rsidRPr="006B6390">
        <w:rPr>
          <w:rFonts w:asciiTheme="minorBidi" w:hAnsiTheme="minorBidi" w:cstheme="minorBidi"/>
          <w:bCs/>
        </w:rPr>
        <w:t xml:space="preserve">mpact </w:t>
      </w:r>
      <w:r w:rsidR="00F0630D" w:rsidRPr="006B6390">
        <w:rPr>
          <w:rFonts w:asciiTheme="minorBidi" w:hAnsiTheme="minorBidi" w:cstheme="minorBidi"/>
          <w:bCs/>
        </w:rPr>
        <w:t xml:space="preserve">of the pandemic </w:t>
      </w:r>
      <w:r w:rsidRPr="006B6390">
        <w:rPr>
          <w:rFonts w:asciiTheme="minorBidi" w:hAnsiTheme="minorBidi" w:cstheme="minorBidi"/>
          <w:bCs/>
        </w:rPr>
        <w:t xml:space="preserve">on specific meetings, activities and mechanisms, as well as </w:t>
      </w:r>
      <w:r w:rsidR="002053F7" w:rsidRPr="006B6390">
        <w:rPr>
          <w:rFonts w:asciiTheme="minorBidi" w:hAnsiTheme="minorBidi" w:cstheme="minorBidi"/>
          <w:bCs/>
        </w:rPr>
        <w:t xml:space="preserve">remedial </w:t>
      </w:r>
      <w:r w:rsidRPr="006B6390">
        <w:rPr>
          <w:rFonts w:asciiTheme="minorBidi" w:hAnsiTheme="minorBidi" w:cstheme="minorBidi"/>
          <w:bCs/>
        </w:rPr>
        <w:t>actions taken</w:t>
      </w:r>
      <w:r w:rsidR="00E8244C" w:rsidRPr="006B6390">
        <w:rPr>
          <w:rFonts w:asciiTheme="minorBidi" w:hAnsiTheme="minorBidi" w:cstheme="minorBidi"/>
          <w:bCs/>
        </w:rPr>
        <w:t>,</w:t>
      </w:r>
      <w:r w:rsidRPr="006B6390">
        <w:rPr>
          <w:rFonts w:asciiTheme="minorBidi" w:hAnsiTheme="minorBidi" w:cstheme="minorBidi"/>
          <w:bCs/>
        </w:rPr>
        <w:t xml:space="preserve"> are detailed in the appropriate sections of this </w:t>
      </w:r>
      <w:r w:rsidR="002053F7" w:rsidRPr="006B6390">
        <w:rPr>
          <w:rFonts w:asciiTheme="minorBidi" w:hAnsiTheme="minorBidi" w:cstheme="minorBidi"/>
          <w:bCs/>
        </w:rPr>
        <w:t>report</w:t>
      </w:r>
      <w:r w:rsidRPr="006B6390">
        <w:rPr>
          <w:rFonts w:asciiTheme="minorBidi" w:hAnsiTheme="minorBidi" w:cstheme="minorBidi"/>
          <w:bCs/>
        </w:rPr>
        <w:t>.</w:t>
      </w:r>
    </w:p>
    <w:p w14:paraId="5BDA0F63" w14:textId="04AC1980" w:rsidR="006C77FA" w:rsidRPr="006B6390" w:rsidRDefault="00AB6288" w:rsidP="00AB6288">
      <w:pPr>
        <w:pStyle w:val="COMPara"/>
        <w:ind w:left="567" w:hanging="567"/>
        <w:jc w:val="both"/>
        <w:rPr>
          <w:rFonts w:asciiTheme="minorBidi" w:hAnsiTheme="minorBidi" w:cstheme="minorBidi"/>
        </w:rPr>
      </w:pPr>
      <w:r w:rsidRPr="006B6390">
        <w:rPr>
          <w:rFonts w:asciiTheme="minorBidi" w:hAnsiTheme="minorBidi" w:cstheme="minorBidi"/>
          <w:b/>
          <w:bCs/>
        </w:rPr>
        <w:t>Response to the pandemic</w:t>
      </w:r>
      <w:r w:rsidR="009B5B2B" w:rsidRPr="006B6390">
        <w:rPr>
          <w:rFonts w:asciiTheme="minorBidi" w:hAnsiTheme="minorBidi" w:cstheme="minorBidi"/>
        </w:rPr>
        <w:t>:</w:t>
      </w:r>
      <w:r w:rsidRPr="006B6390">
        <w:rPr>
          <w:rFonts w:asciiTheme="minorBidi" w:hAnsiTheme="minorBidi" w:cstheme="minorBidi"/>
        </w:rPr>
        <w:t xml:space="preserve"> </w:t>
      </w:r>
      <w:r w:rsidR="006C77FA" w:rsidRPr="006B6390">
        <w:rPr>
          <w:rFonts w:asciiTheme="minorBidi" w:hAnsiTheme="minorBidi" w:cstheme="minorBidi"/>
        </w:rPr>
        <w:t xml:space="preserve">Across the organization, UNESCO mobilized </w:t>
      </w:r>
      <w:r w:rsidR="0061460E" w:rsidRPr="006B6390">
        <w:rPr>
          <w:rFonts w:asciiTheme="minorBidi" w:hAnsiTheme="minorBidi" w:cstheme="minorBidi"/>
        </w:rPr>
        <w:t>the international community in</w:t>
      </w:r>
      <w:r w:rsidR="006C77FA" w:rsidRPr="006B6390">
        <w:rPr>
          <w:rFonts w:asciiTheme="minorBidi" w:hAnsiTheme="minorBidi" w:cstheme="minorBidi"/>
        </w:rPr>
        <w:t xml:space="preserve"> promot</w:t>
      </w:r>
      <w:r w:rsidR="0061460E" w:rsidRPr="006B6390">
        <w:rPr>
          <w:rFonts w:asciiTheme="minorBidi" w:hAnsiTheme="minorBidi" w:cstheme="minorBidi"/>
        </w:rPr>
        <w:t>ing</w:t>
      </w:r>
      <w:r w:rsidR="006C77FA" w:rsidRPr="006B6390">
        <w:rPr>
          <w:rFonts w:asciiTheme="minorBidi" w:hAnsiTheme="minorBidi" w:cstheme="minorBidi"/>
        </w:rPr>
        <w:t xml:space="preserve"> global solidar</w:t>
      </w:r>
      <w:r w:rsidR="0061460E" w:rsidRPr="006B6390">
        <w:rPr>
          <w:rFonts w:asciiTheme="minorBidi" w:hAnsiTheme="minorBidi" w:cstheme="minorBidi"/>
        </w:rPr>
        <w:t>it</w:t>
      </w:r>
      <w:r w:rsidR="006C77FA" w:rsidRPr="006B6390">
        <w:rPr>
          <w:rFonts w:asciiTheme="minorBidi" w:hAnsiTheme="minorBidi" w:cstheme="minorBidi"/>
        </w:rPr>
        <w:t xml:space="preserve">y through education, science, </w:t>
      </w:r>
      <w:r w:rsidR="0061460E" w:rsidRPr="006B6390">
        <w:rPr>
          <w:rFonts w:asciiTheme="minorBidi" w:hAnsiTheme="minorBidi" w:cstheme="minorBidi"/>
        </w:rPr>
        <w:t xml:space="preserve">culture and </w:t>
      </w:r>
      <w:r w:rsidR="006C77FA" w:rsidRPr="006B6390">
        <w:rPr>
          <w:rFonts w:asciiTheme="minorBidi" w:hAnsiTheme="minorBidi" w:cstheme="minorBidi"/>
        </w:rPr>
        <w:lastRenderedPageBreak/>
        <w:t xml:space="preserve">communication and information in response to the world-wide COVID-19 crisis. The Living Heritage Entity actively participated in the Culture Sector task force that was formed and contributed to the immediate communication campaign </w:t>
      </w:r>
      <w:r w:rsidR="0061460E" w:rsidRPr="006B6390">
        <w:rPr>
          <w:rFonts w:asciiTheme="minorBidi" w:hAnsiTheme="minorBidi" w:cstheme="minorBidi"/>
        </w:rPr>
        <w:t>l</w:t>
      </w:r>
      <w:r w:rsidR="006C77FA" w:rsidRPr="006B6390">
        <w:rPr>
          <w:rFonts w:asciiTheme="minorBidi" w:hAnsiTheme="minorBidi" w:cstheme="minorBidi"/>
        </w:rPr>
        <w:t>aunched and to the open access initiative</w:t>
      </w:r>
      <w:r w:rsidR="00661C60" w:rsidRPr="006B6390">
        <w:rPr>
          <w:rFonts w:asciiTheme="minorBidi" w:hAnsiTheme="minorBidi" w:cstheme="minorBidi"/>
        </w:rPr>
        <w:t xml:space="preserve">, with the </w:t>
      </w:r>
      <w:r w:rsidR="006C77FA" w:rsidRPr="006B6390">
        <w:rPr>
          <w:rFonts w:asciiTheme="minorBidi" w:hAnsiTheme="minorBidi" w:cstheme="minorBidi"/>
        </w:rPr>
        <w:t xml:space="preserve">public release of all its capacity-building materials on </w:t>
      </w:r>
      <w:r w:rsidR="00661C60" w:rsidRPr="006B6390">
        <w:rPr>
          <w:rFonts w:asciiTheme="minorBidi" w:hAnsiTheme="minorBidi" w:cstheme="minorBidi"/>
        </w:rPr>
        <w:t xml:space="preserve">the </w:t>
      </w:r>
      <w:r w:rsidR="006C77FA" w:rsidRPr="006B6390">
        <w:rPr>
          <w:rFonts w:asciiTheme="minorBidi" w:hAnsiTheme="minorBidi" w:cstheme="minorBidi"/>
        </w:rPr>
        <w:t>safeguarding</w:t>
      </w:r>
      <w:r w:rsidR="00661C60" w:rsidRPr="006B6390">
        <w:rPr>
          <w:rFonts w:asciiTheme="minorBidi" w:hAnsiTheme="minorBidi" w:cstheme="minorBidi"/>
        </w:rPr>
        <w:t xml:space="preserve"> of intangible cultural heritage</w:t>
      </w:r>
      <w:r w:rsidR="006C77FA" w:rsidRPr="006B6390">
        <w:rPr>
          <w:rFonts w:asciiTheme="minorBidi" w:hAnsiTheme="minorBidi" w:cstheme="minorBidi"/>
        </w:rPr>
        <w:t>.</w:t>
      </w:r>
    </w:p>
    <w:p w14:paraId="7BDE01AB" w14:textId="52D2C006" w:rsidR="001E222D" w:rsidRPr="006B6390" w:rsidRDefault="00DF3813" w:rsidP="001E222D">
      <w:pPr>
        <w:pStyle w:val="COMPara"/>
        <w:ind w:left="567" w:hanging="567"/>
        <w:jc w:val="both"/>
        <w:rPr>
          <w:rFonts w:asciiTheme="minorBidi" w:hAnsiTheme="minorBidi" w:cstheme="minorBidi"/>
        </w:rPr>
      </w:pPr>
      <w:r w:rsidRPr="006B6390">
        <w:rPr>
          <w:rFonts w:asciiTheme="minorBidi" w:hAnsiTheme="minorBidi" w:cstheme="minorBidi"/>
        </w:rPr>
        <w:t>In April 2020, t</w:t>
      </w:r>
      <w:r w:rsidR="006C77FA" w:rsidRPr="006B6390">
        <w:rPr>
          <w:rFonts w:asciiTheme="minorBidi" w:hAnsiTheme="minorBidi" w:cstheme="minorBidi"/>
        </w:rPr>
        <w:t xml:space="preserve">he Secretariat launched the </w:t>
      </w:r>
      <w:r w:rsidR="00661C60" w:rsidRPr="006B6390">
        <w:rPr>
          <w:rFonts w:asciiTheme="minorBidi" w:hAnsiTheme="minorBidi" w:cstheme="minorBidi"/>
        </w:rPr>
        <w:t xml:space="preserve">online </w:t>
      </w:r>
      <w:r w:rsidR="006C77FA" w:rsidRPr="006B6390">
        <w:rPr>
          <w:rFonts w:asciiTheme="minorBidi" w:hAnsiTheme="minorBidi" w:cstheme="minorBidi"/>
        </w:rPr>
        <w:t>survey ‘Living heritage experiences in the context of the COVID-19 pandemic’, targeting practitioners and communities in line with the Convention’s emphasis on community participation. The aim was to look at the impact of the crisis on living heritage and its role in helping communities during the pandemic, by providing a platform for people to speak about their experiences,</w:t>
      </w:r>
      <w:r w:rsidRPr="006B6390">
        <w:rPr>
          <w:rFonts w:asciiTheme="minorBidi" w:hAnsiTheme="minorBidi" w:cstheme="minorBidi"/>
        </w:rPr>
        <w:t xml:space="preserve"> thus</w:t>
      </w:r>
      <w:r w:rsidR="006C77FA" w:rsidRPr="006B6390">
        <w:rPr>
          <w:rFonts w:asciiTheme="minorBidi" w:hAnsiTheme="minorBidi" w:cstheme="minorBidi"/>
        </w:rPr>
        <w:t xml:space="preserve"> bringing community voices to the forefront. A wide range of cultural actors contributed</w:t>
      </w:r>
      <w:r w:rsidRPr="006B6390">
        <w:rPr>
          <w:rFonts w:asciiTheme="minorBidi" w:hAnsiTheme="minorBidi" w:cstheme="minorBidi"/>
        </w:rPr>
        <w:t>,</w:t>
      </w:r>
      <w:r w:rsidR="006C77FA" w:rsidRPr="006B6390">
        <w:rPr>
          <w:rFonts w:asciiTheme="minorBidi" w:hAnsiTheme="minorBidi" w:cstheme="minorBidi"/>
        </w:rPr>
        <w:t xml:space="preserve"> with more than 230</w:t>
      </w:r>
      <w:r w:rsidR="00661C60" w:rsidRPr="006B6390">
        <w:rPr>
          <w:rFonts w:asciiTheme="minorBidi" w:hAnsiTheme="minorBidi" w:cstheme="minorBidi"/>
        </w:rPr>
        <w:t> </w:t>
      </w:r>
      <w:r w:rsidR="006C77FA" w:rsidRPr="006B6390">
        <w:rPr>
          <w:rFonts w:asciiTheme="minorBidi" w:hAnsiTheme="minorBidi" w:cstheme="minorBidi"/>
        </w:rPr>
        <w:t xml:space="preserve">testimonies from </w:t>
      </w:r>
      <w:r w:rsidRPr="006B6390">
        <w:rPr>
          <w:rFonts w:asciiTheme="minorBidi" w:hAnsiTheme="minorBidi" w:cstheme="minorBidi"/>
        </w:rPr>
        <w:t>seventy-eight </w:t>
      </w:r>
      <w:r w:rsidR="006C77FA" w:rsidRPr="006B6390">
        <w:rPr>
          <w:rFonts w:asciiTheme="minorBidi" w:hAnsiTheme="minorBidi" w:cstheme="minorBidi"/>
        </w:rPr>
        <w:t xml:space="preserve">countries, all accessible from a dedicated </w:t>
      </w:r>
      <w:hyperlink r:id="rId11" w:history="1">
        <w:r w:rsidR="006C77FA" w:rsidRPr="006B6390">
          <w:rPr>
            <w:rStyle w:val="Hyperlink"/>
            <w:rFonts w:asciiTheme="minorBidi" w:hAnsiTheme="minorBidi" w:cstheme="minorBidi"/>
          </w:rPr>
          <w:t>interface</w:t>
        </w:r>
      </w:hyperlink>
      <w:r w:rsidR="006C77FA" w:rsidRPr="006B6390">
        <w:rPr>
          <w:rFonts w:asciiTheme="minorBidi" w:hAnsiTheme="minorBidi" w:cstheme="minorBidi"/>
        </w:rPr>
        <w:t xml:space="preserve">. </w:t>
      </w:r>
      <w:r w:rsidR="001E222D" w:rsidRPr="006B6390">
        <w:rPr>
          <w:rFonts w:asciiTheme="minorBidi" w:hAnsiTheme="minorBidi" w:cstheme="minorBidi"/>
        </w:rPr>
        <w:t xml:space="preserve">As part of the UNESCO-wide response to COVID-19, preliminary findings from the survey were published in </w:t>
      </w:r>
      <w:r w:rsidR="00395383" w:rsidRPr="006B6390">
        <w:rPr>
          <w:rFonts w:asciiTheme="minorBidi" w:hAnsiTheme="minorBidi" w:cstheme="minorBidi"/>
        </w:rPr>
        <w:t xml:space="preserve">a </w:t>
      </w:r>
      <w:r w:rsidRPr="006B6390">
        <w:rPr>
          <w:rFonts w:asciiTheme="minorBidi" w:hAnsiTheme="minorBidi" w:cstheme="minorBidi"/>
        </w:rPr>
        <w:t>‘</w:t>
      </w:r>
      <w:r w:rsidR="00395383" w:rsidRPr="006B6390">
        <w:rPr>
          <w:rFonts w:asciiTheme="minorBidi" w:hAnsiTheme="minorBidi" w:cstheme="minorBidi"/>
        </w:rPr>
        <w:t xml:space="preserve">Spotlight on living heritage’ in the </w:t>
      </w:r>
      <w:hyperlink r:id="rId12" w:history="1">
        <w:r w:rsidR="00395383" w:rsidRPr="006B6390">
          <w:rPr>
            <w:rStyle w:val="Hyperlink"/>
            <w:rFonts w:asciiTheme="minorBidi" w:hAnsiTheme="minorBidi" w:cstheme="minorBidi"/>
          </w:rPr>
          <w:t>Culture &amp; COVID: Impact &amp; Response Tracker</w:t>
        </w:r>
      </w:hyperlink>
      <w:r w:rsidR="00395383" w:rsidRPr="006B6390">
        <w:rPr>
          <w:rFonts w:asciiTheme="minorBidi" w:hAnsiTheme="minorBidi" w:cstheme="minorBidi"/>
        </w:rPr>
        <w:t xml:space="preserve"> (Issue 4, 6 May 2020) and an article in </w:t>
      </w:r>
      <w:hyperlink r:id="rId13" w:history="1">
        <w:r w:rsidR="00395383" w:rsidRPr="006B6390">
          <w:rPr>
            <w:rStyle w:val="Hyperlink"/>
            <w:rFonts w:asciiTheme="minorBidi" w:hAnsiTheme="minorBidi" w:cstheme="minorBidi"/>
            <w:i/>
          </w:rPr>
          <w:t>World Heritage</w:t>
        </w:r>
      </w:hyperlink>
      <w:r w:rsidR="00395383" w:rsidRPr="006B6390">
        <w:rPr>
          <w:rFonts w:asciiTheme="minorBidi" w:hAnsiTheme="minorBidi" w:cstheme="minorBidi"/>
        </w:rPr>
        <w:t xml:space="preserve"> (no. 95)</w:t>
      </w:r>
      <w:r w:rsidR="001E222D" w:rsidRPr="006B6390">
        <w:rPr>
          <w:rFonts w:asciiTheme="minorBidi" w:hAnsiTheme="minorBidi" w:cstheme="minorBidi"/>
        </w:rPr>
        <w:t>; an online ResiliArt dialogue on the pandemic was organized during the eighth session of the General Assembly in September 2020.</w:t>
      </w:r>
    </w:p>
    <w:p w14:paraId="764876A8" w14:textId="77777777" w:rsidR="008E6E47" w:rsidRPr="006B6390" w:rsidRDefault="001C5067" w:rsidP="0083003B">
      <w:pPr>
        <w:pStyle w:val="COMPara"/>
        <w:ind w:left="567" w:hanging="567"/>
        <w:jc w:val="both"/>
        <w:rPr>
          <w:rFonts w:asciiTheme="minorBidi" w:hAnsiTheme="minorBidi" w:cstheme="minorBidi"/>
          <w:bCs/>
        </w:rPr>
      </w:pPr>
      <w:r w:rsidRPr="006B6390">
        <w:rPr>
          <w:rFonts w:asciiTheme="minorBidi" w:hAnsiTheme="minorBidi" w:cstheme="minorBidi"/>
        </w:rPr>
        <w:t xml:space="preserve">Published in May 2021, the </w:t>
      </w:r>
      <w:r w:rsidR="006C50C8" w:rsidRPr="006B6390">
        <w:rPr>
          <w:rFonts w:asciiTheme="minorBidi" w:hAnsiTheme="minorBidi" w:cstheme="minorBidi"/>
        </w:rPr>
        <w:t xml:space="preserve">UNESCO </w:t>
      </w:r>
      <w:r w:rsidRPr="006B6390">
        <w:rPr>
          <w:rFonts w:asciiTheme="minorBidi" w:hAnsiTheme="minorBidi" w:cstheme="minorBidi"/>
        </w:rPr>
        <w:t>report ‘</w:t>
      </w:r>
      <w:hyperlink r:id="rId14" w:history="1">
        <w:r w:rsidRPr="006B6390">
          <w:rPr>
            <w:rStyle w:val="Hyperlink"/>
            <w:rFonts w:asciiTheme="minorBidi" w:hAnsiTheme="minorBidi" w:cstheme="minorBidi"/>
          </w:rPr>
          <w:t>Living Heritage in the face of COVID-19</w:t>
        </w:r>
      </w:hyperlink>
      <w:r w:rsidRPr="006B6390">
        <w:rPr>
          <w:rFonts w:asciiTheme="minorBidi" w:hAnsiTheme="minorBidi" w:cstheme="minorBidi"/>
        </w:rPr>
        <w:t>’ presents in detail the outcomes of this survey. It demonstrates that the pandemic greatly impacted the living heritage of communities around the world. In many cases, communities adapted their practice of living heritage to specific contexts, highlighting the resilience of many forms of living heritage in complex situations. The practice of living heritage also proved to be an important means of resilience for people to overcome</w:t>
      </w:r>
      <w:r w:rsidR="00DF3813" w:rsidRPr="006B6390">
        <w:rPr>
          <w:rFonts w:asciiTheme="minorBidi" w:hAnsiTheme="minorBidi" w:cstheme="minorBidi"/>
        </w:rPr>
        <w:t xml:space="preserve"> the</w:t>
      </w:r>
      <w:r w:rsidRPr="006B6390">
        <w:rPr>
          <w:rFonts w:asciiTheme="minorBidi" w:hAnsiTheme="minorBidi" w:cstheme="minorBidi"/>
        </w:rPr>
        <w:t xml:space="preserve"> social and psychological challenges they faced in the context of the pandemic and to maintain social interconnectedness. </w:t>
      </w:r>
      <w:r w:rsidR="006C50C8" w:rsidRPr="006B6390">
        <w:rPr>
          <w:rFonts w:asciiTheme="minorBidi" w:hAnsiTheme="minorBidi" w:cstheme="minorBidi"/>
        </w:rPr>
        <w:t>The report</w:t>
      </w:r>
      <w:r w:rsidRPr="006B6390">
        <w:rPr>
          <w:rFonts w:asciiTheme="minorBidi" w:hAnsiTheme="minorBidi" w:cstheme="minorBidi"/>
        </w:rPr>
        <w:t xml:space="preserve"> </w:t>
      </w:r>
      <w:r w:rsidR="006C50C8" w:rsidRPr="006B6390">
        <w:rPr>
          <w:rFonts w:asciiTheme="minorBidi" w:hAnsiTheme="minorBidi" w:cstheme="minorBidi"/>
        </w:rPr>
        <w:t>recommends</w:t>
      </w:r>
      <w:r w:rsidR="00841E86" w:rsidRPr="006B6390">
        <w:rPr>
          <w:rFonts w:asciiTheme="minorBidi" w:hAnsiTheme="minorBidi" w:cstheme="minorBidi"/>
        </w:rPr>
        <w:t xml:space="preserve"> to</w:t>
      </w:r>
      <w:r w:rsidRPr="006B6390">
        <w:rPr>
          <w:rFonts w:asciiTheme="minorBidi" w:hAnsiTheme="minorBidi" w:cstheme="minorBidi"/>
        </w:rPr>
        <w:t xml:space="preserve"> </w:t>
      </w:r>
      <w:r w:rsidR="006C50C8" w:rsidRPr="006B6390">
        <w:rPr>
          <w:rFonts w:asciiTheme="minorBidi" w:hAnsiTheme="minorBidi" w:cstheme="minorBidi"/>
        </w:rPr>
        <w:t xml:space="preserve">governments, civil society, the private sector and bearers </w:t>
      </w:r>
      <w:r w:rsidRPr="006B6390">
        <w:rPr>
          <w:rFonts w:asciiTheme="minorBidi" w:hAnsiTheme="minorBidi" w:cstheme="minorBidi"/>
        </w:rPr>
        <w:t xml:space="preserve">three broad areas of action </w:t>
      </w:r>
      <w:r w:rsidR="006C50C8" w:rsidRPr="006B6390">
        <w:rPr>
          <w:rFonts w:asciiTheme="minorBidi" w:hAnsiTheme="minorBidi" w:cstheme="minorBidi"/>
        </w:rPr>
        <w:t xml:space="preserve">to </w:t>
      </w:r>
      <w:r w:rsidR="00160605" w:rsidRPr="006B6390">
        <w:rPr>
          <w:rFonts w:asciiTheme="minorBidi" w:hAnsiTheme="minorBidi" w:cstheme="minorBidi"/>
        </w:rPr>
        <w:t>prepare for</w:t>
      </w:r>
      <w:r w:rsidR="00EC11E1" w:rsidRPr="006B6390">
        <w:rPr>
          <w:rFonts w:asciiTheme="minorBidi" w:hAnsiTheme="minorBidi" w:cstheme="minorBidi"/>
        </w:rPr>
        <w:t xml:space="preserve"> the</w:t>
      </w:r>
      <w:r w:rsidR="006C50C8" w:rsidRPr="006B6390">
        <w:rPr>
          <w:rFonts w:asciiTheme="minorBidi" w:hAnsiTheme="minorBidi" w:cstheme="minorBidi"/>
        </w:rPr>
        <w:t xml:space="preserve"> recovery phase and beyond</w:t>
      </w:r>
      <w:r w:rsidRPr="006B6390">
        <w:rPr>
          <w:rFonts w:asciiTheme="minorBidi" w:hAnsiTheme="minorBidi" w:cstheme="minorBidi"/>
        </w:rPr>
        <w:t xml:space="preserve">: </w:t>
      </w:r>
      <w:r w:rsidR="006C50C8" w:rsidRPr="006B6390">
        <w:rPr>
          <w:rFonts w:asciiTheme="minorBidi" w:hAnsiTheme="minorBidi" w:cstheme="minorBidi"/>
        </w:rPr>
        <w:t xml:space="preserve">(a) </w:t>
      </w:r>
      <w:r w:rsidRPr="006B6390">
        <w:rPr>
          <w:rFonts w:asciiTheme="minorBidi" w:hAnsiTheme="minorBidi" w:cstheme="minorBidi"/>
        </w:rPr>
        <w:t>strengthen</w:t>
      </w:r>
      <w:r w:rsidRPr="006B6390">
        <w:rPr>
          <w:rFonts w:asciiTheme="minorBidi" w:hAnsiTheme="minorBidi" w:cstheme="minorBidi"/>
          <w:b/>
          <w:bCs/>
        </w:rPr>
        <w:t xml:space="preserve"> </w:t>
      </w:r>
      <w:r w:rsidRPr="006B6390">
        <w:rPr>
          <w:rFonts w:asciiTheme="minorBidi" w:hAnsiTheme="minorBidi" w:cstheme="minorBidi"/>
        </w:rPr>
        <w:t xml:space="preserve">direct support mechanisms to living heritage bearers; </w:t>
      </w:r>
      <w:r w:rsidR="006C50C8" w:rsidRPr="006B6390">
        <w:rPr>
          <w:rFonts w:asciiTheme="minorBidi" w:hAnsiTheme="minorBidi" w:cstheme="minorBidi"/>
        </w:rPr>
        <w:t>(b) </w:t>
      </w:r>
      <w:r w:rsidRPr="006B6390">
        <w:rPr>
          <w:rFonts w:asciiTheme="minorBidi" w:hAnsiTheme="minorBidi" w:cstheme="minorBidi"/>
        </w:rPr>
        <w:t xml:space="preserve">leverage opportunities offered by digital technologies to support resilience and safeguarding; </w:t>
      </w:r>
      <w:r w:rsidR="006C50C8" w:rsidRPr="006B6390">
        <w:rPr>
          <w:rFonts w:asciiTheme="minorBidi" w:hAnsiTheme="minorBidi" w:cstheme="minorBidi"/>
        </w:rPr>
        <w:t xml:space="preserve">(c) </w:t>
      </w:r>
      <w:r w:rsidRPr="006B6390">
        <w:rPr>
          <w:rFonts w:asciiTheme="minorBidi" w:hAnsiTheme="minorBidi" w:cstheme="minorBidi"/>
        </w:rPr>
        <w:t>integrate living heritage safeguarding into emergency preparedness, response and recovery plans</w:t>
      </w:r>
      <w:r w:rsidR="00160605" w:rsidRPr="006B6390">
        <w:rPr>
          <w:rFonts w:asciiTheme="minorBidi" w:hAnsiTheme="minorBidi" w:cstheme="minorBidi"/>
        </w:rPr>
        <w:t xml:space="preserve"> (see Annex II)</w:t>
      </w:r>
      <w:r w:rsidRPr="006B6390">
        <w:rPr>
          <w:rFonts w:asciiTheme="minorBidi" w:hAnsiTheme="minorBidi" w:cstheme="minorBidi"/>
        </w:rPr>
        <w:t>.</w:t>
      </w:r>
    </w:p>
    <w:p w14:paraId="128C76B7" w14:textId="4942EAD9" w:rsidR="006C77FA" w:rsidRPr="006B6390" w:rsidRDefault="006C77FA" w:rsidP="0083003B">
      <w:pPr>
        <w:pStyle w:val="COMPara"/>
        <w:ind w:left="567" w:hanging="567"/>
        <w:jc w:val="both"/>
        <w:rPr>
          <w:rFonts w:asciiTheme="minorBidi" w:hAnsiTheme="minorBidi" w:cstheme="minorBidi"/>
          <w:bCs/>
        </w:rPr>
      </w:pPr>
      <w:r w:rsidRPr="006B6390">
        <w:rPr>
          <w:rFonts w:asciiTheme="minorBidi" w:hAnsiTheme="minorBidi" w:cstheme="minorBidi"/>
        </w:rPr>
        <w:t xml:space="preserve">After consultation with </w:t>
      </w:r>
      <w:r w:rsidR="00841E86" w:rsidRPr="006B6390">
        <w:rPr>
          <w:rFonts w:asciiTheme="minorBidi" w:hAnsiTheme="minorBidi" w:cstheme="minorBidi"/>
        </w:rPr>
        <w:t>F</w:t>
      </w:r>
      <w:r w:rsidRPr="006B6390">
        <w:rPr>
          <w:rFonts w:asciiTheme="minorBidi" w:hAnsiTheme="minorBidi" w:cstheme="minorBidi"/>
        </w:rPr>
        <w:t xml:space="preserve">ield </w:t>
      </w:r>
      <w:r w:rsidR="00841E86" w:rsidRPr="006B6390">
        <w:rPr>
          <w:rFonts w:asciiTheme="minorBidi" w:hAnsiTheme="minorBidi" w:cstheme="minorBidi"/>
        </w:rPr>
        <w:t>O</w:t>
      </w:r>
      <w:r w:rsidRPr="006B6390">
        <w:rPr>
          <w:rFonts w:asciiTheme="minorBidi" w:hAnsiTheme="minorBidi" w:cstheme="minorBidi"/>
        </w:rPr>
        <w:t xml:space="preserve">ffices and </w:t>
      </w:r>
      <w:r w:rsidR="00841E86" w:rsidRPr="006B6390">
        <w:rPr>
          <w:rFonts w:asciiTheme="minorBidi" w:hAnsiTheme="minorBidi" w:cstheme="minorBidi"/>
        </w:rPr>
        <w:t>national authorities</w:t>
      </w:r>
      <w:r w:rsidRPr="006B6390">
        <w:rPr>
          <w:rFonts w:asciiTheme="minorBidi" w:hAnsiTheme="minorBidi" w:cstheme="minorBidi"/>
        </w:rPr>
        <w:t xml:space="preserve">, </w:t>
      </w:r>
      <w:r w:rsidR="00841E86" w:rsidRPr="006B6390">
        <w:rPr>
          <w:rFonts w:asciiTheme="minorBidi" w:hAnsiTheme="minorBidi" w:cstheme="minorBidi"/>
        </w:rPr>
        <w:t>UNESCO</w:t>
      </w:r>
      <w:r w:rsidRPr="006B6390">
        <w:rPr>
          <w:rFonts w:asciiTheme="minorBidi" w:hAnsiTheme="minorBidi" w:cstheme="minorBidi"/>
        </w:rPr>
        <w:t xml:space="preserve"> decided to dedicate US$80,000 from </w:t>
      </w:r>
      <w:r w:rsidR="006C50C8" w:rsidRPr="006B6390">
        <w:rPr>
          <w:rFonts w:asciiTheme="minorBidi" w:hAnsiTheme="minorBidi" w:cstheme="minorBidi"/>
        </w:rPr>
        <w:t xml:space="preserve">UNESCO’s </w:t>
      </w:r>
      <w:r w:rsidRPr="006B6390">
        <w:rPr>
          <w:rFonts w:asciiTheme="minorBidi" w:hAnsiTheme="minorBidi" w:cstheme="minorBidi"/>
        </w:rPr>
        <w:t xml:space="preserve">regular programme to </w:t>
      </w:r>
      <w:r w:rsidR="006C50C8" w:rsidRPr="006B6390">
        <w:rPr>
          <w:rFonts w:asciiTheme="minorBidi" w:hAnsiTheme="minorBidi" w:cstheme="minorBidi"/>
        </w:rPr>
        <w:t>pilot</w:t>
      </w:r>
      <w:r w:rsidRPr="006B6390">
        <w:rPr>
          <w:rFonts w:asciiTheme="minorBidi" w:hAnsiTheme="minorBidi" w:cstheme="minorBidi"/>
        </w:rPr>
        <w:t xml:space="preserve"> these recommendations through </w:t>
      </w:r>
      <w:hyperlink r:id="rId15" w:history="1">
        <w:r w:rsidRPr="006B6390">
          <w:rPr>
            <w:rStyle w:val="Hyperlink"/>
            <w:rFonts w:asciiTheme="minorBidi" w:hAnsiTheme="minorBidi" w:cstheme="minorBidi"/>
          </w:rPr>
          <w:t xml:space="preserve">eight </w:t>
        </w:r>
        <w:r w:rsidR="006C50C8" w:rsidRPr="006B6390">
          <w:rPr>
            <w:rStyle w:val="Hyperlink"/>
            <w:rFonts w:asciiTheme="minorBidi" w:hAnsiTheme="minorBidi" w:cstheme="minorBidi"/>
          </w:rPr>
          <w:t>activities</w:t>
        </w:r>
      </w:hyperlink>
      <w:r w:rsidRPr="006B6390">
        <w:rPr>
          <w:rFonts w:asciiTheme="minorBidi" w:hAnsiTheme="minorBidi" w:cstheme="minorBidi"/>
        </w:rPr>
        <w:t xml:space="preserve"> in </w:t>
      </w:r>
      <w:r w:rsidR="00EA045A" w:rsidRPr="006B6390">
        <w:rPr>
          <w:rFonts w:asciiTheme="minorBidi" w:hAnsiTheme="minorBidi" w:cstheme="minorBidi"/>
          <w:lang w:eastAsia="fr-FR"/>
        </w:rPr>
        <w:t xml:space="preserve">Barbados, </w:t>
      </w:r>
      <w:r w:rsidR="00496C56" w:rsidRPr="006B6390">
        <w:rPr>
          <w:rFonts w:asciiTheme="minorBidi" w:hAnsiTheme="minorBidi" w:cstheme="minorBidi"/>
          <w:lang w:eastAsia="fr-FR"/>
        </w:rPr>
        <w:t xml:space="preserve">Plurinational State of </w:t>
      </w:r>
      <w:r w:rsidR="00EA045A" w:rsidRPr="006B6390">
        <w:rPr>
          <w:rFonts w:asciiTheme="minorBidi" w:hAnsiTheme="minorBidi" w:cstheme="minorBidi"/>
          <w:lang w:eastAsia="fr-FR"/>
        </w:rPr>
        <w:t xml:space="preserve">Bolivia, Bosnia and Herzegovina, Colombia, Ecuador, Gambia, Indonesia, Jamaica, Saint Vincent and the </w:t>
      </w:r>
      <w:r w:rsidR="00EA045A" w:rsidRPr="00546D04">
        <w:rPr>
          <w:rFonts w:asciiTheme="minorBidi" w:hAnsiTheme="minorBidi" w:cstheme="minorBidi"/>
          <w:lang w:eastAsia="fr-FR"/>
        </w:rPr>
        <w:t xml:space="preserve">Grenadines </w:t>
      </w:r>
      <w:r w:rsidR="00D257AB" w:rsidRPr="00546D04">
        <w:rPr>
          <w:rFonts w:asciiTheme="minorBidi" w:hAnsiTheme="minorBidi" w:cstheme="minorBidi"/>
          <w:lang w:eastAsia="fr-FR"/>
        </w:rPr>
        <w:t xml:space="preserve">and </w:t>
      </w:r>
      <w:r w:rsidR="00EA045A" w:rsidRPr="00546D04">
        <w:rPr>
          <w:rFonts w:asciiTheme="minorBidi" w:hAnsiTheme="minorBidi" w:cstheme="minorBidi"/>
          <w:lang w:eastAsia="fr-FR"/>
        </w:rPr>
        <w:t>Sint Maarten</w:t>
      </w:r>
      <w:r w:rsidRPr="00546D04">
        <w:rPr>
          <w:rFonts w:asciiTheme="minorBidi" w:hAnsiTheme="minorBidi" w:cstheme="minorBidi"/>
          <w:snapToGrid/>
          <w:lang w:eastAsia="fr-FR"/>
        </w:rPr>
        <w:t>. Started in June 2021, these projects are</w:t>
      </w:r>
      <w:r w:rsidRPr="00546D04">
        <w:rPr>
          <w:rFonts w:asciiTheme="minorBidi" w:hAnsiTheme="minorBidi" w:cstheme="minorBidi"/>
        </w:rPr>
        <w:t xml:space="preserve"> already bringing concrete </w:t>
      </w:r>
      <w:r w:rsidR="006C50C8" w:rsidRPr="00546D04">
        <w:rPr>
          <w:rFonts w:asciiTheme="minorBidi" w:hAnsiTheme="minorBidi" w:cstheme="minorBidi"/>
        </w:rPr>
        <w:t>outputs, from</w:t>
      </w:r>
      <w:r w:rsidRPr="00546D04">
        <w:rPr>
          <w:rFonts w:asciiTheme="minorBidi" w:hAnsiTheme="minorBidi" w:cstheme="minorBidi"/>
        </w:rPr>
        <w:t xml:space="preserve"> the production</w:t>
      </w:r>
      <w:r w:rsidRPr="006B6390">
        <w:rPr>
          <w:rFonts w:asciiTheme="minorBidi" w:hAnsiTheme="minorBidi" w:cstheme="minorBidi"/>
        </w:rPr>
        <w:t xml:space="preserve"> of audio</w:t>
      </w:r>
      <w:r w:rsidR="00EA045A" w:rsidRPr="006B6390">
        <w:rPr>
          <w:rFonts w:asciiTheme="minorBidi" w:hAnsiTheme="minorBidi" w:cstheme="minorBidi"/>
        </w:rPr>
        <w:t>-</w:t>
      </w:r>
      <w:r w:rsidRPr="006B6390">
        <w:rPr>
          <w:rFonts w:asciiTheme="minorBidi" w:hAnsiTheme="minorBidi" w:cstheme="minorBidi"/>
        </w:rPr>
        <w:t>visual</w:t>
      </w:r>
      <w:r w:rsidR="006C50C8" w:rsidRPr="006B6390">
        <w:rPr>
          <w:rFonts w:asciiTheme="minorBidi" w:hAnsiTheme="minorBidi" w:cstheme="minorBidi"/>
        </w:rPr>
        <w:t xml:space="preserve"> materials</w:t>
      </w:r>
      <w:r w:rsidRPr="006B6390">
        <w:rPr>
          <w:rFonts w:asciiTheme="minorBidi" w:hAnsiTheme="minorBidi" w:cstheme="minorBidi"/>
        </w:rPr>
        <w:t xml:space="preserve"> explaining the impacts of the crisis in Bolivia, Colombia, Ecuador</w:t>
      </w:r>
      <w:r w:rsidR="00841E86" w:rsidRPr="006B6390">
        <w:rPr>
          <w:rFonts w:asciiTheme="minorBidi" w:hAnsiTheme="minorBidi" w:cstheme="minorBidi"/>
        </w:rPr>
        <w:t xml:space="preserve">, </w:t>
      </w:r>
      <w:r w:rsidR="00D257AB">
        <w:rPr>
          <w:rFonts w:asciiTheme="minorBidi" w:hAnsiTheme="minorBidi" w:cstheme="minorBidi"/>
        </w:rPr>
        <w:t xml:space="preserve">and </w:t>
      </w:r>
      <w:r w:rsidR="00841E86" w:rsidRPr="006B6390">
        <w:rPr>
          <w:rFonts w:asciiTheme="minorBidi" w:hAnsiTheme="minorBidi" w:cstheme="minorBidi"/>
        </w:rPr>
        <w:t>Sint Ma</w:t>
      </w:r>
      <w:r w:rsidR="00CE5B4C" w:rsidRPr="006B6390">
        <w:rPr>
          <w:rFonts w:asciiTheme="minorBidi" w:hAnsiTheme="minorBidi" w:cstheme="minorBidi"/>
        </w:rPr>
        <w:t>a</w:t>
      </w:r>
      <w:r w:rsidR="00841E86" w:rsidRPr="006B6390">
        <w:rPr>
          <w:rFonts w:asciiTheme="minorBidi" w:hAnsiTheme="minorBidi" w:cstheme="minorBidi"/>
        </w:rPr>
        <w:t>rten</w:t>
      </w:r>
      <w:r w:rsidRPr="006B6390">
        <w:rPr>
          <w:rFonts w:asciiTheme="minorBidi" w:hAnsiTheme="minorBidi" w:cstheme="minorBidi"/>
        </w:rPr>
        <w:t xml:space="preserve">, </w:t>
      </w:r>
      <w:r w:rsidR="00CE5B4C" w:rsidRPr="006B6390">
        <w:rPr>
          <w:rFonts w:asciiTheme="minorBidi" w:hAnsiTheme="minorBidi" w:cstheme="minorBidi"/>
        </w:rPr>
        <w:t xml:space="preserve">to </w:t>
      </w:r>
      <w:r w:rsidRPr="006B6390">
        <w:rPr>
          <w:rFonts w:asciiTheme="minorBidi" w:hAnsiTheme="minorBidi" w:cstheme="minorBidi"/>
        </w:rPr>
        <w:t>workshops and virtual discussion</w:t>
      </w:r>
      <w:r w:rsidR="00CE5B4C" w:rsidRPr="006B6390">
        <w:rPr>
          <w:rFonts w:asciiTheme="minorBidi" w:hAnsiTheme="minorBidi" w:cstheme="minorBidi"/>
        </w:rPr>
        <w:t>s</w:t>
      </w:r>
      <w:r w:rsidRPr="006B6390">
        <w:rPr>
          <w:rFonts w:asciiTheme="minorBidi" w:hAnsiTheme="minorBidi" w:cstheme="minorBidi"/>
        </w:rPr>
        <w:t xml:space="preserve"> between authorities and communities in Barbados </w:t>
      </w:r>
      <w:r w:rsidR="00CE5B4C" w:rsidRPr="006B6390">
        <w:rPr>
          <w:rFonts w:asciiTheme="minorBidi" w:hAnsiTheme="minorBidi" w:cstheme="minorBidi"/>
        </w:rPr>
        <w:t>and</w:t>
      </w:r>
      <w:r w:rsidRPr="006B6390">
        <w:rPr>
          <w:rFonts w:asciiTheme="minorBidi" w:hAnsiTheme="minorBidi" w:cstheme="minorBidi"/>
        </w:rPr>
        <w:t xml:space="preserve"> Bosnia and Herzegovina, </w:t>
      </w:r>
      <w:r w:rsidR="006C50C8" w:rsidRPr="006B6390">
        <w:rPr>
          <w:rFonts w:asciiTheme="minorBidi" w:hAnsiTheme="minorBidi" w:cstheme="minorBidi"/>
        </w:rPr>
        <w:t>to</w:t>
      </w:r>
      <w:r w:rsidRPr="006B6390">
        <w:rPr>
          <w:rFonts w:asciiTheme="minorBidi" w:hAnsiTheme="minorBidi" w:cstheme="minorBidi"/>
        </w:rPr>
        <w:t xml:space="preserve"> </w:t>
      </w:r>
      <w:r w:rsidR="006C50C8" w:rsidRPr="006B6390">
        <w:rPr>
          <w:rFonts w:asciiTheme="minorBidi" w:hAnsiTheme="minorBidi" w:cstheme="minorBidi"/>
        </w:rPr>
        <w:t>inventory</w:t>
      </w:r>
      <w:r w:rsidRPr="006B6390">
        <w:rPr>
          <w:rFonts w:asciiTheme="minorBidi" w:hAnsiTheme="minorBidi" w:cstheme="minorBidi"/>
        </w:rPr>
        <w:t xml:space="preserve"> fieldwork</w:t>
      </w:r>
      <w:r w:rsidR="006C50C8" w:rsidRPr="006B6390">
        <w:rPr>
          <w:rFonts w:asciiTheme="minorBidi" w:hAnsiTheme="minorBidi" w:cstheme="minorBidi"/>
        </w:rPr>
        <w:t xml:space="preserve"> with communities</w:t>
      </w:r>
      <w:r w:rsidRPr="006B6390">
        <w:rPr>
          <w:rFonts w:asciiTheme="minorBidi" w:hAnsiTheme="minorBidi" w:cstheme="minorBidi"/>
        </w:rPr>
        <w:t xml:space="preserve"> in </w:t>
      </w:r>
      <w:r w:rsidR="006C50C8" w:rsidRPr="006B6390">
        <w:rPr>
          <w:rFonts w:asciiTheme="minorBidi" w:hAnsiTheme="minorBidi" w:cstheme="minorBidi"/>
        </w:rPr>
        <w:t xml:space="preserve">the </w:t>
      </w:r>
      <w:r w:rsidRPr="006B6390">
        <w:rPr>
          <w:rFonts w:asciiTheme="minorBidi" w:hAnsiTheme="minorBidi" w:cstheme="minorBidi"/>
        </w:rPr>
        <w:t xml:space="preserve">Gambia to </w:t>
      </w:r>
      <w:r w:rsidR="006C50C8" w:rsidRPr="006B6390">
        <w:rPr>
          <w:rFonts w:asciiTheme="minorBidi" w:hAnsiTheme="minorBidi" w:cstheme="minorBidi"/>
        </w:rPr>
        <w:t>identify</w:t>
      </w:r>
      <w:r w:rsidRPr="006B6390">
        <w:rPr>
          <w:rFonts w:asciiTheme="minorBidi" w:hAnsiTheme="minorBidi" w:cstheme="minorBidi"/>
        </w:rPr>
        <w:t xml:space="preserve"> knowledge and know-how that could contribute to disaster risk reduction and crisis recovery</w:t>
      </w:r>
      <w:r w:rsidR="006C50C8" w:rsidRPr="006B6390">
        <w:rPr>
          <w:rFonts w:asciiTheme="minorBidi" w:hAnsiTheme="minorBidi" w:cstheme="minorBidi"/>
        </w:rPr>
        <w:t>.</w:t>
      </w:r>
    </w:p>
    <w:p w14:paraId="13B4E8A4" w14:textId="56B2202C" w:rsidR="00310CA5" w:rsidRPr="006B6390" w:rsidRDefault="00310CA5" w:rsidP="00E94030">
      <w:pPr>
        <w:pStyle w:val="COMPara"/>
        <w:numPr>
          <w:ilvl w:val="0"/>
          <w:numId w:val="6"/>
        </w:numPr>
        <w:spacing w:before="240"/>
        <w:ind w:left="576" w:hanging="432"/>
        <w:jc w:val="both"/>
        <w:rPr>
          <w:rFonts w:asciiTheme="minorBidi" w:hAnsiTheme="minorBidi" w:cstheme="minorBidi"/>
          <w:b/>
          <w:bCs/>
        </w:rPr>
      </w:pPr>
      <w:r w:rsidRPr="006B6390">
        <w:rPr>
          <w:rFonts w:asciiTheme="minorBidi" w:hAnsiTheme="minorBidi" w:cstheme="minorBidi"/>
          <w:b/>
          <w:bCs/>
        </w:rPr>
        <w:t>Governance of the Convention</w:t>
      </w:r>
      <w:r w:rsidR="00211BC5" w:rsidRPr="006B6390">
        <w:rPr>
          <w:rFonts w:asciiTheme="minorBidi" w:hAnsiTheme="minorBidi" w:cstheme="minorBidi"/>
          <w:b/>
          <w:bCs/>
        </w:rPr>
        <w:t>: Statutory support</w:t>
      </w:r>
    </w:p>
    <w:p w14:paraId="299DAF5B" w14:textId="6502461E" w:rsidR="000C4013" w:rsidRPr="006B6390" w:rsidRDefault="007B1277" w:rsidP="00D17791">
      <w:pPr>
        <w:pStyle w:val="COMPara"/>
        <w:ind w:left="567" w:hanging="567"/>
        <w:jc w:val="both"/>
        <w:rPr>
          <w:rFonts w:asciiTheme="minorBidi" w:hAnsiTheme="minorBidi" w:cstheme="minorBidi"/>
        </w:rPr>
      </w:pPr>
      <w:r w:rsidRPr="006B6390">
        <w:rPr>
          <w:rFonts w:asciiTheme="minorBidi" w:hAnsiTheme="minorBidi" w:cstheme="minorBidi"/>
          <w:b/>
          <w:bCs/>
        </w:rPr>
        <w:t>M</w:t>
      </w:r>
      <w:r w:rsidR="00310CA5" w:rsidRPr="006B6390">
        <w:rPr>
          <w:rFonts w:asciiTheme="minorBidi" w:hAnsiTheme="minorBidi" w:cstheme="minorBidi"/>
          <w:b/>
          <w:bCs/>
        </w:rPr>
        <w:t>eetings and mechanisms</w:t>
      </w:r>
      <w:r w:rsidRPr="006B6390">
        <w:rPr>
          <w:rFonts w:asciiTheme="minorBidi" w:hAnsiTheme="minorBidi" w:cstheme="minorBidi"/>
          <w:b/>
          <w:bCs/>
        </w:rPr>
        <w:t xml:space="preserve"> of the 2003 Convention</w:t>
      </w:r>
      <w:r w:rsidR="00E315B0" w:rsidRPr="006B6390">
        <w:rPr>
          <w:rFonts w:asciiTheme="minorBidi" w:hAnsiTheme="minorBidi" w:cstheme="minorBidi"/>
        </w:rPr>
        <w:t xml:space="preserve">: </w:t>
      </w:r>
      <w:r w:rsidR="006335AD" w:rsidRPr="006B6390">
        <w:rPr>
          <w:rFonts w:asciiTheme="minorBidi" w:hAnsiTheme="minorBidi" w:cstheme="minorBidi"/>
        </w:rPr>
        <w:t>As noted by</w:t>
      </w:r>
      <w:r w:rsidR="00B06CA4" w:rsidRPr="006B6390">
        <w:rPr>
          <w:rFonts w:asciiTheme="minorBidi" w:hAnsiTheme="minorBidi" w:cstheme="minorBidi"/>
        </w:rPr>
        <w:t xml:space="preserve"> the </w:t>
      </w:r>
      <w:hyperlink r:id="rId16" w:history="1">
        <w:r w:rsidR="00B06CA4" w:rsidRPr="006B6390">
          <w:rPr>
            <w:rStyle w:val="Hyperlink"/>
            <w:rFonts w:asciiTheme="minorBidi" w:hAnsiTheme="minorBidi" w:cstheme="minorBidi"/>
          </w:rPr>
          <w:t xml:space="preserve">IOS Evaluation </w:t>
        </w:r>
        <w:r w:rsidR="00477C0F" w:rsidRPr="006B6390">
          <w:rPr>
            <w:rStyle w:val="Hyperlink"/>
            <w:rFonts w:asciiTheme="minorBidi" w:hAnsiTheme="minorBidi" w:cstheme="minorBidi"/>
          </w:rPr>
          <w:t>(2021)</w:t>
        </w:r>
      </w:hyperlink>
      <w:r w:rsidR="00477C0F" w:rsidRPr="006B6390">
        <w:rPr>
          <w:rFonts w:asciiTheme="minorBidi" w:hAnsiTheme="minorBidi" w:cstheme="minorBidi"/>
        </w:rPr>
        <w:t xml:space="preserve"> of </w:t>
      </w:r>
      <w:r w:rsidR="00B06CA4" w:rsidRPr="006B6390">
        <w:rPr>
          <w:rFonts w:asciiTheme="minorBidi" w:hAnsiTheme="minorBidi" w:cstheme="minorBidi"/>
        </w:rPr>
        <w:t>UNESCO’s action in the framework of the 2003 Convention for the Safeguarding of the Intangible Cultural Heritage (hereafter the ‘IOS Evaluation</w:t>
      </w:r>
      <w:r w:rsidR="00477C0F" w:rsidRPr="006B6390">
        <w:rPr>
          <w:rFonts w:asciiTheme="minorBidi" w:hAnsiTheme="minorBidi" w:cstheme="minorBidi"/>
        </w:rPr>
        <w:t>’), t</w:t>
      </w:r>
      <w:r w:rsidR="00E315B0" w:rsidRPr="006B6390">
        <w:rPr>
          <w:rFonts w:asciiTheme="minorBidi" w:hAnsiTheme="minorBidi" w:cstheme="minorBidi"/>
        </w:rPr>
        <w:t xml:space="preserve">he Secretariat has provided substantial support for the work of the governing bodies </w:t>
      </w:r>
      <w:r w:rsidRPr="006B6390">
        <w:rPr>
          <w:rFonts w:asciiTheme="minorBidi" w:hAnsiTheme="minorBidi" w:cstheme="minorBidi"/>
        </w:rPr>
        <w:t xml:space="preserve">of the Convention </w:t>
      </w:r>
      <w:r w:rsidR="00E315B0" w:rsidRPr="006B6390">
        <w:rPr>
          <w:rFonts w:asciiTheme="minorBidi" w:hAnsiTheme="minorBidi" w:cstheme="minorBidi"/>
        </w:rPr>
        <w:t xml:space="preserve">in taking a set of key decisions during </w:t>
      </w:r>
      <w:r w:rsidR="00841E86" w:rsidRPr="006B6390">
        <w:rPr>
          <w:rFonts w:asciiTheme="minorBidi" w:hAnsiTheme="minorBidi" w:cstheme="minorBidi"/>
        </w:rPr>
        <w:t>fourteen</w:t>
      </w:r>
      <w:r w:rsidR="00E315B0" w:rsidRPr="006B6390">
        <w:rPr>
          <w:rFonts w:asciiTheme="minorBidi" w:hAnsiTheme="minorBidi" w:cstheme="minorBidi"/>
        </w:rPr>
        <w:t xml:space="preserve"> statutory meetings organized </w:t>
      </w:r>
      <w:r w:rsidR="0046485B" w:rsidRPr="006B6390">
        <w:rPr>
          <w:rFonts w:asciiTheme="minorBidi" w:hAnsiTheme="minorBidi" w:cstheme="minorBidi"/>
        </w:rPr>
        <w:t xml:space="preserve">notably </w:t>
      </w:r>
      <w:r w:rsidR="00E315B0" w:rsidRPr="006B6390">
        <w:rPr>
          <w:rFonts w:asciiTheme="minorBidi" w:hAnsiTheme="minorBidi" w:cstheme="minorBidi"/>
        </w:rPr>
        <w:t xml:space="preserve">for the General Assembly, the Committee, </w:t>
      </w:r>
      <w:r w:rsidR="0046485B" w:rsidRPr="006B6390">
        <w:rPr>
          <w:rFonts w:asciiTheme="minorBidi" w:hAnsiTheme="minorBidi" w:cstheme="minorBidi"/>
        </w:rPr>
        <w:t>t</w:t>
      </w:r>
      <w:r w:rsidR="00E315B0" w:rsidRPr="006B6390">
        <w:rPr>
          <w:rFonts w:asciiTheme="minorBidi" w:hAnsiTheme="minorBidi" w:cstheme="minorBidi"/>
        </w:rPr>
        <w:t>he Bureau of the Committee</w:t>
      </w:r>
      <w:r w:rsidR="0046485B" w:rsidRPr="006B6390">
        <w:rPr>
          <w:rFonts w:asciiTheme="minorBidi" w:hAnsiTheme="minorBidi" w:cstheme="minorBidi"/>
        </w:rPr>
        <w:t xml:space="preserve"> and the Evaluation Body</w:t>
      </w:r>
      <w:r w:rsidR="00F551EF" w:rsidRPr="006B6390">
        <w:rPr>
          <w:rFonts w:asciiTheme="minorBidi" w:hAnsiTheme="minorBidi" w:cstheme="minorBidi"/>
        </w:rPr>
        <w:t>, as well as information-sharing meetings on statutory matters</w:t>
      </w:r>
      <w:r w:rsidR="00841E86" w:rsidRPr="006B6390">
        <w:rPr>
          <w:rFonts w:asciiTheme="minorBidi" w:hAnsiTheme="minorBidi" w:cstheme="minorBidi"/>
        </w:rPr>
        <w:t xml:space="preserve"> and preparatory meetings organized specifically to discuss the organization of statutory meetings through online means</w:t>
      </w:r>
      <w:r w:rsidR="00E315B0" w:rsidRPr="006B6390">
        <w:rPr>
          <w:rFonts w:asciiTheme="minorBidi" w:hAnsiTheme="minorBidi" w:cstheme="minorBidi"/>
        </w:rPr>
        <w:t xml:space="preserve">. </w:t>
      </w:r>
      <w:r w:rsidR="00144400" w:rsidRPr="006B6390">
        <w:rPr>
          <w:rFonts w:asciiTheme="minorBidi" w:hAnsiTheme="minorBidi" w:cstheme="minorBidi"/>
        </w:rPr>
        <w:t xml:space="preserve">Adapting to the evolving health situation, statutory meetings were </w:t>
      </w:r>
      <w:r w:rsidR="00A76C86" w:rsidRPr="006B6390">
        <w:rPr>
          <w:rFonts w:asciiTheme="minorBidi" w:hAnsiTheme="minorBidi" w:cstheme="minorBidi"/>
        </w:rPr>
        <w:t>held through</w:t>
      </w:r>
      <w:r w:rsidR="00144400" w:rsidRPr="006B6390">
        <w:rPr>
          <w:rFonts w:asciiTheme="minorBidi" w:hAnsiTheme="minorBidi" w:cstheme="minorBidi"/>
        </w:rPr>
        <w:t xml:space="preserve"> various modalities</w:t>
      </w:r>
      <w:r w:rsidR="00A76C86" w:rsidRPr="006B6390">
        <w:rPr>
          <w:rFonts w:asciiTheme="minorBidi" w:hAnsiTheme="minorBidi" w:cstheme="minorBidi"/>
        </w:rPr>
        <w:t>, thanks to which the statutory life of the Convention remain</w:t>
      </w:r>
      <w:r w:rsidR="00841E86" w:rsidRPr="006B6390">
        <w:rPr>
          <w:rFonts w:asciiTheme="minorBidi" w:hAnsiTheme="minorBidi" w:cstheme="minorBidi"/>
        </w:rPr>
        <w:t>ed</w:t>
      </w:r>
      <w:r w:rsidR="00A76C86" w:rsidRPr="006B6390">
        <w:rPr>
          <w:rFonts w:asciiTheme="minorBidi" w:hAnsiTheme="minorBidi" w:cstheme="minorBidi"/>
        </w:rPr>
        <w:t xml:space="preserve"> uninterrupted despite adverse circumstances</w:t>
      </w:r>
      <w:r w:rsidR="00144400" w:rsidRPr="006B6390">
        <w:rPr>
          <w:rFonts w:asciiTheme="minorBidi" w:hAnsiTheme="minorBidi" w:cstheme="minorBidi"/>
        </w:rPr>
        <w:t xml:space="preserve">: two </w:t>
      </w:r>
      <w:r w:rsidR="00144400" w:rsidRPr="006B6390">
        <w:rPr>
          <w:rFonts w:asciiTheme="minorBidi" w:hAnsiTheme="minorBidi" w:cstheme="minorBidi"/>
          <w:i/>
          <w:iCs/>
        </w:rPr>
        <w:t>in presentia</w:t>
      </w:r>
      <w:r w:rsidR="00144400" w:rsidRPr="006B6390">
        <w:rPr>
          <w:rFonts w:asciiTheme="minorBidi" w:hAnsiTheme="minorBidi" w:cstheme="minorBidi"/>
        </w:rPr>
        <w:t xml:space="preserve"> meetings with social distancing measures (including the eighth session of the General Assembly), </w:t>
      </w:r>
      <w:r w:rsidR="000C4013" w:rsidRPr="006B6390">
        <w:rPr>
          <w:rFonts w:asciiTheme="minorBidi" w:hAnsiTheme="minorBidi" w:cstheme="minorBidi"/>
        </w:rPr>
        <w:t xml:space="preserve">one </w:t>
      </w:r>
      <w:r w:rsidR="000C4013" w:rsidRPr="006B6390">
        <w:rPr>
          <w:rFonts w:asciiTheme="minorBidi" w:hAnsiTheme="minorBidi" w:cstheme="minorBidi"/>
          <w:i/>
          <w:iCs/>
        </w:rPr>
        <w:t>in presentia</w:t>
      </w:r>
      <w:r w:rsidR="000C4013" w:rsidRPr="006B6390">
        <w:rPr>
          <w:rFonts w:asciiTheme="minorBidi" w:hAnsiTheme="minorBidi" w:cstheme="minorBidi"/>
        </w:rPr>
        <w:t xml:space="preserve"> meeting before the outbreak of the pandemic and eleven</w:t>
      </w:r>
      <w:r w:rsidR="00144400" w:rsidRPr="006B6390">
        <w:rPr>
          <w:rFonts w:asciiTheme="minorBidi" w:hAnsiTheme="minorBidi" w:cstheme="minorBidi"/>
        </w:rPr>
        <w:t xml:space="preserve"> online meetings (including the fifteenth session of the Committee).</w:t>
      </w:r>
    </w:p>
    <w:p w14:paraId="146C8C40" w14:textId="549E9442" w:rsidR="00D51184" w:rsidRPr="006B6390" w:rsidRDefault="00E315B0" w:rsidP="00D17791">
      <w:pPr>
        <w:pStyle w:val="COMPara"/>
        <w:ind w:left="567" w:hanging="567"/>
        <w:jc w:val="both"/>
        <w:rPr>
          <w:rFonts w:asciiTheme="minorBidi" w:hAnsiTheme="minorBidi" w:cstheme="minorBidi"/>
        </w:rPr>
      </w:pPr>
      <w:r w:rsidRPr="006B6390">
        <w:rPr>
          <w:rFonts w:asciiTheme="minorBidi" w:hAnsiTheme="minorBidi" w:cstheme="minorBidi"/>
        </w:rPr>
        <w:lastRenderedPageBreak/>
        <w:t xml:space="preserve">The </w:t>
      </w:r>
      <w:r w:rsidR="007B1277" w:rsidRPr="006B6390">
        <w:rPr>
          <w:rFonts w:asciiTheme="minorBidi" w:hAnsiTheme="minorBidi" w:cstheme="minorBidi"/>
        </w:rPr>
        <w:t>eighth</w:t>
      </w:r>
      <w:r w:rsidRPr="006B6390">
        <w:rPr>
          <w:rFonts w:asciiTheme="minorBidi" w:hAnsiTheme="minorBidi" w:cstheme="minorBidi"/>
        </w:rPr>
        <w:t xml:space="preserve"> session of the General Assembly in </w:t>
      </w:r>
      <w:r w:rsidR="007B1277" w:rsidRPr="006B6390">
        <w:rPr>
          <w:rFonts w:asciiTheme="minorBidi" w:hAnsiTheme="minorBidi" w:cstheme="minorBidi"/>
        </w:rPr>
        <w:t>September 2020</w:t>
      </w:r>
      <w:r w:rsidRPr="006B6390">
        <w:rPr>
          <w:rFonts w:asciiTheme="minorBidi" w:hAnsiTheme="minorBidi" w:cstheme="minorBidi"/>
        </w:rPr>
        <w:t xml:space="preserve"> and the </w:t>
      </w:r>
      <w:r w:rsidR="007B1277" w:rsidRPr="006B6390">
        <w:rPr>
          <w:rFonts w:asciiTheme="minorBidi" w:hAnsiTheme="minorBidi" w:cstheme="minorBidi"/>
        </w:rPr>
        <w:t>fifteen</w:t>
      </w:r>
      <w:r w:rsidR="00F00392" w:rsidRPr="006B6390">
        <w:rPr>
          <w:rFonts w:asciiTheme="minorBidi" w:hAnsiTheme="minorBidi" w:cstheme="minorBidi"/>
        </w:rPr>
        <w:t>th</w:t>
      </w:r>
      <w:r w:rsidRPr="006B6390">
        <w:rPr>
          <w:rFonts w:asciiTheme="minorBidi" w:hAnsiTheme="minorBidi" w:cstheme="minorBidi"/>
        </w:rPr>
        <w:t xml:space="preserve"> session of the Committee in December </w:t>
      </w:r>
      <w:r w:rsidR="007B1277" w:rsidRPr="006B6390">
        <w:rPr>
          <w:rFonts w:asciiTheme="minorBidi" w:hAnsiTheme="minorBidi" w:cstheme="minorBidi"/>
        </w:rPr>
        <w:t>2020</w:t>
      </w:r>
      <w:r w:rsidRPr="006B6390">
        <w:rPr>
          <w:rFonts w:asciiTheme="minorBidi" w:hAnsiTheme="minorBidi" w:cstheme="minorBidi"/>
        </w:rPr>
        <w:t xml:space="preserve"> were instrumental in defining directions for the future development of the Convention</w:t>
      </w:r>
      <w:r w:rsidR="005E4BA8" w:rsidRPr="006B6390">
        <w:rPr>
          <w:rFonts w:asciiTheme="minorBidi" w:hAnsiTheme="minorBidi" w:cstheme="minorBidi"/>
        </w:rPr>
        <w:t xml:space="preserve">. The General Assembly adopted </w:t>
      </w:r>
      <w:r w:rsidR="001C25BB" w:rsidRPr="006B6390">
        <w:rPr>
          <w:rFonts w:asciiTheme="minorBidi" w:hAnsiTheme="minorBidi" w:cstheme="minorBidi"/>
        </w:rPr>
        <w:t>Operational principles and modalities for safeguarding intangible cultural heritage in emergencies</w:t>
      </w:r>
      <w:r w:rsidR="00996106" w:rsidRPr="006B6390">
        <w:rPr>
          <w:rFonts w:asciiTheme="minorBidi" w:hAnsiTheme="minorBidi" w:cstheme="minorBidi"/>
        </w:rPr>
        <w:t xml:space="preserve"> and </w:t>
      </w:r>
      <w:r w:rsidR="001C25BB" w:rsidRPr="006B6390">
        <w:rPr>
          <w:rFonts w:asciiTheme="minorBidi" w:hAnsiTheme="minorBidi" w:cstheme="minorBidi"/>
        </w:rPr>
        <w:t xml:space="preserve">introduced a dialogue process between the Evaluation Body and submitting States as part of the </w:t>
      </w:r>
      <w:r w:rsidR="000C4013" w:rsidRPr="006B6390">
        <w:rPr>
          <w:rFonts w:asciiTheme="minorBidi" w:hAnsiTheme="minorBidi" w:cstheme="minorBidi"/>
        </w:rPr>
        <w:t xml:space="preserve">evaluation </w:t>
      </w:r>
      <w:r w:rsidR="001C25BB" w:rsidRPr="006B6390">
        <w:rPr>
          <w:rFonts w:asciiTheme="minorBidi" w:hAnsiTheme="minorBidi" w:cstheme="minorBidi"/>
        </w:rPr>
        <w:t>process</w:t>
      </w:r>
      <w:r w:rsidR="00996106" w:rsidRPr="006B6390">
        <w:rPr>
          <w:rFonts w:asciiTheme="minorBidi" w:hAnsiTheme="minorBidi" w:cstheme="minorBidi"/>
        </w:rPr>
        <w:t>.</w:t>
      </w:r>
      <w:r w:rsidR="00D51184" w:rsidRPr="006B6390">
        <w:rPr>
          <w:rFonts w:asciiTheme="minorBidi" w:hAnsiTheme="minorBidi" w:cstheme="minorBidi"/>
        </w:rPr>
        <w:t xml:space="preserve"> Meanwhile, the fifteenth session of the Committee, which examined a reduced number of items due to the </w:t>
      </w:r>
      <w:r w:rsidR="00576B15" w:rsidRPr="006B6390">
        <w:rPr>
          <w:rFonts w:asciiTheme="minorBidi" w:hAnsiTheme="minorBidi" w:cstheme="minorBidi"/>
        </w:rPr>
        <w:t>online modality of the session,</w:t>
      </w:r>
      <w:r w:rsidR="00D51184" w:rsidRPr="006B6390">
        <w:rPr>
          <w:rFonts w:asciiTheme="minorBidi" w:hAnsiTheme="minorBidi" w:cstheme="minorBidi"/>
        </w:rPr>
        <w:t xml:space="preserve"> inscribed the highest number of multinational elements </w:t>
      </w:r>
      <w:r w:rsidR="00047A91" w:rsidRPr="006B6390">
        <w:rPr>
          <w:rFonts w:asciiTheme="minorBidi" w:hAnsiTheme="minorBidi" w:cstheme="minorBidi"/>
        </w:rPr>
        <w:t>–</w:t>
      </w:r>
      <w:r w:rsidR="00D51184" w:rsidRPr="006B6390">
        <w:rPr>
          <w:rFonts w:asciiTheme="minorBidi" w:hAnsiTheme="minorBidi" w:cstheme="minorBidi"/>
        </w:rPr>
        <w:t xml:space="preserve"> fourteen </w:t>
      </w:r>
      <w:r w:rsidR="00047A91" w:rsidRPr="006B6390">
        <w:rPr>
          <w:rFonts w:asciiTheme="minorBidi" w:hAnsiTheme="minorBidi" w:cstheme="minorBidi"/>
        </w:rPr>
        <w:t>–</w:t>
      </w:r>
      <w:r w:rsidR="00D51184" w:rsidRPr="006B6390">
        <w:rPr>
          <w:rFonts w:asciiTheme="minorBidi" w:hAnsiTheme="minorBidi" w:cstheme="minorBidi"/>
        </w:rPr>
        <w:t xml:space="preserve"> testifying to the ability of intangible cultural heritage to bring people together and promote international cooperation.</w:t>
      </w:r>
    </w:p>
    <w:p w14:paraId="6842BCF2" w14:textId="62AA8D81" w:rsidR="00F00392" w:rsidRPr="006B6390" w:rsidRDefault="006335AD" w:rsidP="004A39C7">
      <w:pPr>
        <w:pStyle w:val="COMPara"/>
        <w:ind w:left="567" w:hanging="567"/>
        <w:jc w:val="both"/>
        <w:rPr>
          <w:rFonts w:asciiTheme="minorBidi" w:hAnsiTheme="minorBidi" w:cstheme="minorBidi"/>
        </w:rPr>
      </w:pPr>
      <w:r w:rsidRPr="006B6390">
        <w:rPr>
          <w:rFonts w:asciiTheme="minorBidi" w:hAnsiTheme="minorBidi" w:cstheme="minorBidi"/>
        </w:rPr>
        <w:t>Importantly</w:t>
      </w:r>
      <w:r w:rsidR="0046485B" w:rsidRPr="006B6390">
        <w:rPr>
          <w:rFonts w:asciiTheme="minorBidi" w:hAnsiTheme="minorBidi" w:cstheme="minorBidi"/>
        </w:rPr>
        <w:t>, t</w:t>
      </w:r>
      <w:r w:rsidR="00F00392" w:rsidRPr="006B6390">
        <w:rPr>
          <w:rFonts w:asciiTheme="minorBidi" w:hAnsiTheme="minorBidi" w:cstheme="minorBidi"/>
        </w:rPr>
        <w:t>he biennium was marked by the</w:t>
      </w:r>
      <w:r w:rsidR="0046485B" w:rsidRPr="006B6390">
        <w:rPr>
          <w:rFonts w:asciiTheme="minorBidi" w:hAnsiTheme="minorBidi" w:cstheme="minorBidi"/>
        </w:rPr>
        <w:t xml:space="preserve"> continuation of the</w:t>
      </w:r>
      <w:r w:rsidR="00F00392" w:rsidRPr="006B6390">
        <w:rPr>
          <w:rFonts w:asciiTheme="minorBidi" w:hAnsiTheme="minorBidi" w:cstheme="minorBidi"/>
        </w:rPr>
        <w:t xml:space="preserve"> global reflection on the listing mechanisms of the Convention, initiated by the twelfth session of the Committee</w:t>
      </w:r>
      <w:r w:rsidR="0046485B" w:rsidRPr="006B6390">
        <w:rPr>
          <w:rFonts w:asciiTheme="minorBidi" w:hAnsiTheme="minorBidi" w:cstheme="minorBidi"/>
        </w:rPr>
        <w:t xml:space="preserve"> in 2017</w:t>
      </w:r>
      <w:r w:rsidR="008B1960" w:rsidRPr="006B6390">
        <w:rPr>
          <w:rFonts w:asciiTheme="minorBidi" w:hAnsiTheme="minorBidi" w:cstheme="minorBidi"/>
        </w:rPr>
        <w:t xml:space="preserve"> with the support from Japan</w:t>
      </w:r>
      <w:r w:rsidR="00F00392" w:rsidRPr="006B6390">
        <w:rPr>
          <w:rFonts w:asciiTheme="minorBidi" w:hAnsiTheme="minorBidi" w:cstheme="minorBidi"/>
        </w:rPr>
        <w:t>, with the organization of a</w:t>
      </w:r>
      <w:r w:rsidR="000C4013" w:rsidRPr="006B6390">
        <w:rPr>
          <w:rFonts w:asciiTheme="minorBidi" w:hAnsiTheme="minorBidi" w:cstheme="minorBidi"/>
        </w:rPr>
        <w:t>n online</w:t>
      </w:r>
      <w:r w:rsidR="00F00392" w:rsidRPr="006B6390">
        <w:rPr>
          <w:rFonts w:asciiTheme="minorBidi" w:hAnsiTheme="minorBidi" w:cstheme="minorBidi"/>
        </w:rPr>
        <w:t xml:space="preserve"> category VI meeting of experts in May 2021 and a two-part </w:t>
      </w:r>
      <w:r w:rsidR="000C4013" w:rsidRPr="006B6390">
        <w:rPr>
          <w:rFonts w:asciiTheme="minorBidi" w:hAnsiTheme="minorBidi" w:cstheme="minorBidi"/>
        </w:rPr>
        <w:t xml:space="preserve">online </w:t>
      </w:r>
      <w:r w:rsidR="00F00392" w:rsidRPr="006B6390">
        <w:rPr>
          <w:rFonts w:asciiTheme="minorBidi" w:hAnsiTheme="minorBidi" w:cstheme="minorBidi"/>
        </w:rPr>
        <w:t>meeting of the Open-ended intergovernmental working group in July and September 2021.</w:t>
      </w:r>
      <w:r w:rsidR="00395383" w:rsidRPr="006B6390">
        <w:rPr>
          <w:rStyle w:val="FootnoteReference"/>
          <w:rFonts w:asciiTheme="minorBidi" w:hAnsiTheme="minorBidi" w:cstheme="minorBidi"/>
        </w:rPr>
        <w:footnoteReference w:id="3"/>
      </w:r>
      <w:r w:rsidR="00F00392" w:rsidRPr="006B6390">
        <w:rPr>
          <w:rFonts w:asciiTheme="minorBidi" w:hAnsiTheme="minorBidi" w:cstheme="minorBidi"/>
        </w:rPr>
        <w:t xml:space="preserve"> </w:t>
      </w:r>
      <w:r w:rsidR="0046485B" w:rsidRPr="006B6390">
        <w:rPr>
          <w:rFonts w:asciiTheme="minorBidi" w:hAnsiTheme="minorBidi" w:cstheme="minorBidi"/>
        </w:rPr>
        <w:t xml:space="preserve">Based on </w:t>
      </w:r>
      <w:r w:rsidR="000C4013" w:rsidRPr="006B6390">
        <w:rPr>
          <w:rFonts w:asciiTheme="minorBidi" w:hAnsiTheme="minorBidi" w:cstheme="minorBidi"/>
        </w:rPr>
        <w:t>a</w:t>
      </w:r>
      <w:r w:rsidR="0046485B" w:rsidRPr="006B6390">
        <w:rPr>
          <w:rFonts w:asciiTheme="minorBidi" w:hAnsiTheme="minorBidi" w:cstheme="minorBidi"/>
        </w:rPr>
        <w:t xml:space="preserve"> survey</w:t>
      </w:r>
      <w:r w:rsidR="00EC11E1" w:rsidRPr="006B6390">
        <w:rPr>
          <w:rFonts w:asciiTheme="minorBidi" w:hAnsiTheme="minorBidi" w:cstheme="minorBidi"/>
        </w:rPr>
        <w:t xml:space="preserve"> addressed to more than 200 experts, r</w:t>
      </w:r>
      <w:r w:rsidR="0046485B" w:rsidRPr="006B6390">
        <w:rPr>
          <w:rFonts w:asciiTheme="minorBidi" w:hAnsiTheme="minorBidi" w:cstheme="minorBidi"/>
        </w:rPr>
        <w:t xml:space="preserve">ecommendations from </w:t>
      </w:r>
      <w:r w:rsidR="00844198" w:rsidRPr="006B6390">
        <w:rPr>
          <w:rFonts w:asciiTheme="minorBidi" w:hAnsiTheme="minorBidi" w:cstheme="minorBidi"/>
        </w:rPr>
        <w:t xml:space="preserve">the </w:t>
      </w:r>
      <w:r w:rsidR="0046485B" w:rsidRPr="006B6390">
        <w:rPr>
          <w:rFonts w:asciiTheme="minorBidi" w:hAnsiTheme="minorBidi" w:cstheme="minorBidi"/>
        </w:rPr>
        <w:t xml:space="preserve">thirty-four experts </w:t>
      </w:r>
      <w:r w:rsidR="00EC11E1" w:rsidRPr="006B6390">
        <w:rPr>
          <w:rFonts w:asciiTheme="minorBidi" w:hAnsiTheme="minorBidi" w:cstheme="minorBidi"/>
        </w:rPr>
        <w:t>laid the ground for the Open-ended intergovernmental working group, which reflected on the nature and purposes of the listing mechanisms,</w:t>
      </w:r>
      <w:r w:rsidR="00844198" w:rsidRPr="006B6390">
        <w:rPr>
          <w:rFonts w:asciiTheme="minorBidi" w:hAnsiTheme="minorBidi" w:cstheme="minorBidi"/>
        </w:rPr>
        <w:t xml:space="preserve"> the inscription criteria,</w:t>
      </w:r>
      <w:r w:rsidR="00EC11E1" w:rsidRPr="006B6390">
        <w:rPr>
          <w:rFonts w:asciiTheme="minorBidi" w:hAnsiTheme="minorBidi" w:cstheme="minorBidi"/>
        </w:rPr>
        <w:t xml:space="preserve"> the follow-up of inscribed elements and </w:t>
      </w:r>
      <w:r w:rsidR="00844198" w:rsidRPr="006B6390">
        <w:rPr>
          <w:rFonts w:asciiTheme="minorBidi" w:hAnsiTheme="minorBidi" w:cstheme="minorBidi"/>
        </w:rPr>
        <w:t>the methodology of evaluation. Recommendations from the Open-ended intergovernmental working group, which will be examined at the present session, constitute a landmark for the Convention, reinforcing the credibility of its listing mechanisms while underlining the continued importance of community participation throughout the process.</w:t>
      </w:r>
    </w:p>
    <w:p w14:paraId="2770B84E" w14:textId="44036C6C" w:rsidR="00576B15" w:rsidRPr="006B6390" w:rsidRDefault="00576B15" w:rsidP="00576B15">
      <w:pPr>
        <w:pStyle w:val="COMPara"/>
        <w:ind w:left="567" w:hanging="567"/>
        <w:jc w:val="both"/>
        <w:rPr>
          <w:rFonts w:asciiTheme="minorBidi" w:hAnsiTheme="minorBidi" w:cstheme="minorBidi"/>
        </w:rPr>
      </w:pPr>
      <w:r w:rsidRPr="006B6390">
        <w:rPr>
          <w:rFonts w:asciiTheme="minorBidi" w:hAnsiTheme="minorBidi" w:cstheme="minorBidi"/>
        </w:rPr>
        <w:t>In addition, the Secretariat undertook administrative tasks for the Evaluation Body to support it in its evaluation of the nomination files under the 2020 and 2021 cycles, while checking the technical completeness of nominations under the 2022 cycle. Furthermore, periodic reports, and accreditation and renewal requests from non-governmental organizations (NGOs) were processed during the given period. All these tasks were performed within the statutory requirements defined by the text of the Convention and its Operational Directives</w:t>
      </w:r>
      <w:r w:rsidR="00B32D3D" w:rsidRPr="006B6390">
        <w:rPr>
          <w:rFonts w:asciiTheme="minorBidi" w:hAnsiTheme="minorBidi" w:cstheme="minorBidi"/>
        </w:rPr>
        <w:t xml:space="preserve">, while allowing some leniency given the circumstances </w:t>
      </w:r>
      <w:r w:rsidR="00B441C2" w:rsidRPr="006B6390">
        <w:rPr>
          <w:rFonts w:asciiTheme="minorBidi" w:hAnsiTheme="minorBidi" w:cstheme="minorBidi"/>
        </w:rPr>
        <w:t xml:space="preserve">surrounding </w:t>
      </w:r>
      <w:r w:rsidR="00B32D3D" w:rsidRPr="006B6390">
        <w:rPr>
          <w:rFonts w:asciiTheme="minorBidi" w:hAnsiTheme="minorBidi" w:cstheme="minorBidi"/>
        </w:rPr>
        <w:t>the pandemic</w:t>
      </w:r>
      <w:r w:rsidRPr="006B6390">
        <w:rPr>
          <w:rFonts w:asciiTheme="minorBidi" w:hAnsiTheme="minorBidi" w:cstheme="minorBidi"/>
        </w:rPr>
        <w:t>.</w:t>
      </w:r>
    </w:p>
    <w:p w14:paraId="359015E5" w14:textId="52634DEA" w:rsidR="00FA400F" w:rsidRPr="006B6390" w:rsidRDefault="00FA400F" w:rsidP="00FA400F">
      <w:pPr>
        <w:pStyle w:val="COMPara"/>
        <w:ind w:left="567" w:hanging="567"/>
        <w:jc w:val="both"/>
        <w:rPr>
          <w:rFonts w:asciiTheme="minorBidi" w:hAnsiTheme="minorBidi" w:cstheme="minorBidi"/>
        </w:rPr>
      </w:pPr>
      <w:r w:rsidRPr="006B6390">
        <w:rPr>
          <w:rFonts w:asciiTheme="minorBidi" w:hAnsiTheme="minorBidi" w:cstheme="minorBidi"/>
          <w:b/>
          <w:bCs/>
        </w:rPr>
        <w:t>Non-governmental organizations</w:t>
      </w:r>
      <w:r w:rsidRPr="006B6390">
        <w:rPr>
          <w:rFonts w:asciiTheme="minorBidi" w:hAnsiTheme="minorBidi" w:cstheme="minorBidi"/>
        </w:rPr>
        <w:t xml:space="preserve">: Pursuant to the two-year </w:t>
      </w:r>
      <w:hyperlink r:id="rId17" w:history="1">
        <w:r w:rsidRPr="006B6390">
          <w:rPr>
            <w:rStyle w:val="Hyperlink"/>
            <w:rFonts w:asciiTheme="minorBidi" w:hAnsiTheme="minorBidi" w:cstheme="minorBidi"/>
          </w:rPr>
          <w:t>reflection</w:t>
        </w:r>
      </w:hyperlink>
      <w:r w:rsidRPr="006B6390">
        <w:rPr>
          <w:rFonts w:asciiTheme="minorBidi" w:hAnsiTheme="minorBidi" w:cstheme="minorBidi"/>
        </w:rPr>
        <w:t xml:space="preserve"> on the role of accredited non-governmental organizations, which was concluded by the General Assembly in 2020, the ICH NGO Forum and the Secretariat strengthened their collaboration by planning a mapping of the domains of competencies of accredited non-governmental organizations.</w:t>
      </w:r>
      <w:r w:rsidRPr="006B6390">
        <w:rPr>
          <w:rStyle w:val="FootnoteReference"/>
          <w:rFonts w:asciiTheme="minorBidi" w:hAnsiTheme="minorBidi" w:cstheme="minorBidi"/>
        </w:rPr>
        <w:footnoteReference w:id="4"/>
      </w:r>
      <w:r w:rsidRPr="006B6390">
        <w:rPr>
          <w:rFonts w:asciiTheme="minorBidi" w:hAnsiTheme="minorBidi" w:cstheme="minorBidi"/>
        </w:rPr>
        <w:t xml:space="preserve"> Expected results from this exercise will contribute to identifying ways through which accredited NGOs would be in a position to provide advisory services to the Committee, while facilitating potential cooperation </w:t>
      </w:r>
      <w:r w:rsidR="00B441C2" w:rsidRPr="006B6390">
        <w:rPr>
          <w:rFonts w:asciiTheme="minorBidi" w:hAnsiTheme="minorBidi" w:cstheme="minorBidi"/>
        </w:rPr>
        <w:t xml:space="preserve">between accredited NGOs and States Parties </w:t>
      </w:r>
      <w:r w:rsidRPr="006B6390">
        <w:rPr>
          <w:rFonts w:asciiTheme="minorBidi" w:hAnsiTheme="minorBidi" w:cstheme="minorBidi"/>
        </w:rPr>
        <w:t>at the national level.</w:t>
      </w:r>
    </w:p>
    <w:p w14:paraId="0365FD0C" w14:textId="61FB9720" w:rsidR="00AD4431" w:rsidRPr="006B6390" w:rsidRDefault="00FA0871" w:rsidP="00AD4431">
      <w:pPr>
        <w:pStyle w:val="COMPara"/>
        <w:ind w:left="567" w:hanging="567"/>
        <w:jc w:val="both"/>
        <w:rPr>
          <w:rFonts w:asciiTheme="minorBidi" w:hAnsiTheme="minorBidi" w:cstheme="minorBidi"/>
        </w:rPr>
      </w:pPr>
      <w:r w:rsidRPr="006B6390">
        <w:rPr>
          <w:rFonts w:asciiTheme="minorBidi" w:hAnsiTheme="minorBidi" w:cstheme="minorBidi"/>
          <w:b/>
          <w:bCs/>
        </w:rPr>
        <w:t>Knowledge management</w:t>
      </w:r>
      <w:r w:rsidR="00765B3D" w:rsidRPr="006B6390">
        <w:rPr>
          <w:rFonts w:asciiTheme="minorBidi" w:hAnsiTheme="minorBidi" w:cstheme="minorBidi"/>
        </w:rPr>
        <w:t xml:space="preserve">: </w:t>
      </w:r>
      <w:r w:rsidR="00AD4431" w:rsidRPr="006B6390">
        <w:rPr>
          <w:rFonts w:asciiTheme="minorBidi" w:hAnsiTheme="minorBidi" w:cstheme="minorBidi"/>
        </w:rPr>
        <w:t xml:space="preserve">Knowledge management services had a critical role to play to ensure the ‘business continuity’ of the Secretariat, but also for online mechanisms such as the evaluation of nominations or the completion of periodic reports. In 2020 and 2021, the Evaluation Body members </w:t>
      </w:r>
      <w:r w:rsidR="00B32D3D" w:rsidRPr="006B6390">
        <w:rPr>
          <w:rFonts w:asciiTheme="minorBidi" w:hAnsiTheme="minorBidi" w:cstheme="minorBidi"/>
        </w:rPr>
        <w:t>were not</w:t>
      </w:r>
      <w:r w:rsidR="00AD4431" w:rsidRPr="006B6390">
        <w:rPr>
          <w:rFonts w:asciiTheme="minorBidi" w:hAnsiTheme="minorBidi" w:cstheme="minorBidi"/>
        </w:rPr>
        <w:t xml:space="preserve"> able to mee</w:t>
      </w:r>
      <w:r w:rsidR="00B32D3D" w:rsidRPr="006B6390">
        <w:rPr>
          <w:rFonts w:asciiTheme="minorBidi" w:hAnsiTheme="minorBidi" w:cstheme="minorBidi"/>
        </w:rPr>
        <w:t xml:space="preserve">t </w:t>
      </w:r>
      <w:r w:rsidR="00B32D3D" w:rsidRPr="006B6390">
        <w:rPr>
          <w:rFonts w:asciiTheme="minorBidi" w:hAnsiTheme="minorBidi" w:cstheme="minorBidi"/>
          <w:i/>
          <w:iCs/>
        </w:rPr>
        <w:t>in presentia</w:t>
      </w:r>
      <w:r w:rsidR="00AD4431" w:rsidRPr="006B6390">
        <w:rPr>
          <w:rFonts w:asciiTheme="minorBidi" w:hAnsiTheme="minorBidi" w:cstheme="minorBidi"/>
        </w:rPr>
        <w:t>, as they usually do</w:t>
      </w:r>
      <w:r w:rsidR="00B441C2" w:rsidRPr="006B6390">
        <w:rPr>
          <w:rFonts w:asciiTheme="minorBidi" w:hAnsiTheme="minorBidi" w:cstheme="minorBidi"/>
        </w:rPr>
        <w:t>,</w:t>
      </w:r>
      <w:r w:rsidR="00AD4431" w:rsidRPr="006B6390">
        <w:rPr>
          <w:rFonts w:asciiTheme="minorBidi" w:hAnsiTheme="minorBidi" w:cstheme="minorBidi"/>
        </w:rPr>
        <w:t xml:space="preserve"> to confront their opinions and reach consensus over </w:t>
      </w:r>
      <w:r w:rsidR="00B32D3D" w:rsidRPr="006B6390">
        <w:rPr>
          <w:rFonts w:asciiTheme="minorBidi" w:hAnsiTheme="minorBidi" w:cstheme="minorBidi"/>
        </w:rPr>
        <w:t>five</w:t>
      </w:r>
      <w:r w:rsidR="00AD4431" w:rsidRPr="006B6390">
        <w:rPr>
          <w:rFonts w:asciiTheme="minorBidi" w:hAnsiTheme="minorBidi" w:cstheme="minorBidi"/>
        </w:rPr>
        <w:t xml:space="preserve"> days</w:t>
      </w:r>
      <w:r w:rsidR="00B32D3D" w:rsidRPr="006B6390">
        <w:rPr>
          <w:rFonts w:asciiTheme="minorBidi" w:hAnsiTheme="minorBidi" w:cstheme="minorBidi"/>
        </w:rPr>
        <w:t xml:space="preserve"> (</w:t>
      </w:r>
      <w:r w:rsidR="00B441C2" w:rsidRPr="006B6390">
        <w:rPr>
          <w:rFonts w:asciiTheme="minorBidi" w:hAnsiTheme="minorBidi" w:cstheme="minorBidi"/>
        </w:rPr>
        <w:t>six</w:t>
      </w:r>
      <w:r w:rsidR="00AD4431" w:rsidRPr="006B6390">
        <w:rPr>
          <w:rFonts w:asciiTheme="minorBidi" w:hAnsiTheme="minorBidi" w:cstheme="minorBidi"/>
        </w:rPr>
        <w:t xml:space="preserve"> hours a day</w:t>
      </w:r>
      <w:r w:rsidR="00B32D3D" w:rsidRPr="006B6390">
        <w:rPr>
          <w:rFonts w:asciiTheme="minorBidi" w:hAnsiTheme="minorBidi" w:cstheme="minorBidi"/>
        </w:rPr>
        <w:t>)</w:t>
      </w:r>
      <w:r w:rsidR="00AD4431" w:rsidRPr="006B6390">
        <w:rPr>
          <w:rFonts w:asciiTheme="minorBidi" w:hAnsiTheme="minorBidi" w:cstheme="minorBidi"/>
        </w:rPr>
        <w:t xml:space="preserve"> which </w:t>
      </w:r>
      <w:r w:rsidR="00B32D3D" w:rsidRPr="006B6390">
        <w:rPr>
          <w:rFonts w:asciiTheme="minorBidi" w:hAnsiTheme="minorBidi" w:cstheme="minorBidi"/>
        </w:rPr>
        <w:t xml:space="preserve">could have </w:t>
      </w:r>
      <w:r w:rsidR="00AD4431" w:rsidRPr="006B6390">
        <w:rPr>
          <w:rFonts w:asciiTheme="minorBidi" w:hAnsiTheme="minorBidi" w:cstheme="minorBidi"/>
        </w:rPr>
        <w:t xml:space="preserve">jeopardized their capacity to perform their tasks. </w:t>
      </w:r>
      <w:r w:rsidR="006335AD" w:rsidRPr="006B6390">
        <w:rPr>
          <w:rFonts w:asciiTheme="minorBidi" w:hAnsiTheme="minorBidi" w:cstheme="minorBidi"/>
        </w:rPr>
        <w:t>A n</w:t>
      </w:r>
      <w:r w:rsidR="00AD4431" w:rsidRPr="006B6390">
        <w:rPr>
          <w:rFonts w:asciiTheme="minorBidi" w:hAnsiTheme="minorBidi" w:cstheme="minorBidi"/>
        </w:rPr>
        <w:t xml:space="preserve">ew online </w:t>
      </w:r>
      <w:r w:rsidR="006335AD" w:rsidRPr="006B6390">
        <w:rPr>
          <w:rFonts w:asciiTheme="minorBidi" w:hAnsiTheme="minorBidi" w:cstheme="minorBidi"/>
        </w:rPr>
        <w:t xml:space="preserve">monitoring interface </w:t>
      </w:r>
      <w:r w:rsidR="00AD4431" w:rsidRPr="006B6390">
        <w:rPr>
          <w:rFonts w:asciiTheme="minorBidi" w:hAnsiTheme="minorBidi" w:cstheme="minorBidi"/>
        </w:rPr>
        <w:t>w</w:t>
      </w:r>
      <w:r w:rsidR="006335AD" w:rsidRPr="006B6390">
        <w:rPr>
          <w:rFonts w:asciiTheme="minorBidi" w:hAnsiTheme="minorBidi" w:cstheme="minorBidi"/>
        </w:rPr>
        <w:t>as</w:t>
      </w:r>
      <w:r w:rsidR="00AD4431" w:rsidRPr="006B6390">
        <w:rPr>
          <w:rFonts w:asciiTheme="minorBidi" w:hAnsiTheme="minorBidi" w:cstheme="minorBidi"/>
        </w:rPr>
        <w:t xml:space="preserve"> developed to compensate for the reduced time and limited interactivity imposed by virtual meetings.</w:t>
      </w:r>
      <w:r w:rsidR="006335AD" w:rsidRPr="006B6390">
        <w:rPr>
          <w:rFonts w:asciiTheme="minorBidi" w:hAnsiTheme="minorBidi" w:cstheme="minorBidi"/>
        </w:rPr>
        <w:t xml:space="preserve"> Given its usefulness, this tool will be used for future cycles even if Evaluation Body members are able to meet in person.</w:t>
      </w:r>
      <w:r w:rsidR="00AD4431" w:rsidRPr="006B6390">
        <w:rPr>
          <w:rFonts w:asciiTheme="minorBidi" w:hAnsiTheme="minorBidi" w:cstheme="minorBidi"/>
        </w:rPr>
        <w:t xml:space="preserve"> </w:t>
      </w:r>
      <w:r w:rsidR="006335AD" w:rsidRPr="006B6390">
        <w:rPr>
          <w:rFonts w:asciiTheme="minorBidi" w:hAnsiTheme="minorBidi" w:cstheme="minorBidi"/>
        </w:rPr>
        <w:t>Furthermore, t</w:t>
      </w:r>
      <w:r w:rsidR="00AD4431" w:rsidRPr="006B6390">
        <w:rPr>
          <w:rFonts w:asciiTheme="minorBidi" w:hAnsiTheme="minorBidi" w:cstheme="minorBidi"/>
        </w:rPr>
        <w:t xml:space="preserve">he ever-growing usage of the knowledge management system caused a strong pressure on the server and degraded performances </w:t>
      </w:r>
      <w:r w:rsidR="00B32D3D" w:rsidRPr="006B6390">
        <w:rPr>
          <w:rFonts w:asciiTheme="minorBidi" w:hAnsiTheme="minorBidi" w:cstheme="minorBidi"/>
        </w:rPr>
        <w:t xml:space="preserve">at the </w:t>
      </w:r>
      <w:r w:rsidR="00AD4431" w:rsidRPr="006B6390">
        <w:rPr>
          <w:rFonts w:asciiTheme="minorBidi" w:hAnsiTheme="minorBidi" w:cstheme="minorBidi"/>
        </w:rPr>
        <w:t xml:space="preserve">end </w:t>
      </w:r>
      <w:r w:rsidR="00B32D3D" w:rsidRPr="006B6390">
        <w:rPr>
          <w:rFonts w:asciiTheme="minorBidi" w:hAnsiTheme="minorBidi" w:cstheme="minorBidi"/>
        </w:rPr>
        <w:t xml:space="preserve">of </w:t>
      </w:r>
      <w:r w:rsidR="00AD4431" w:rsidRPr="006B6390">
        <w:rPr>
          <w:rFonts w:asciiTheme="minorBidi" w:hAnsiTheme="minorBidi" w:cstheme="minorBidi"/>
        </w:rPr>
        <w:t>2020</w:t>
      </w:r>
      <w:r w:rsidR="00B32D3D" w:rsidRPr="006B6390">
        <w:rPr>
          <w:rFonts w:asciiTheme="minorBidi" w:hAnsiTheme="minorBidi" w:cstheme="minorBidi"/>
        </w:rPr>
        <w:t xml:space="preserve"> and in </w:t>
      </w:r>
      <w:r w:rsidR="00AD4431" w:rsidRPr="006B6390">
        <w:rPr>
          <w:rFonts w:asciiTheme="minorBidi" w:hAnsiTheme="minorBidi" w:cstheme="minorBidi"/>
        </w:rPr>
        <w:t>early 2021. The application has</w:t>
      </w:r>
      <w:r w:rsidR="00B32D3D" w:rsidRPr="006B6390">
        <w:rPr>
          <w:rFonts w:asciiTheme="minorBidi" w:hAnsiTheme="minorBidi" w:cstheme="minorBidi"/>
        </w:rPr>
        <w:t xml:space="preserve"> since </w:t>
      </w:r>
      <w:r w:rsidR="00AD4431" w:rsidRPr="006B6390">
        <w:rPr>
          <w:rFonts w:asciiTheme="minorBidi" w:hAnsiTheme="minorBidi" w:cstheme="minorBidi"/>
        </w:rPr>
        <w:t xml:space="preserve">been optimized and </w:t>
      </w:r>
      <w:r w:rsidR="00B441C2" w:rsidRPr="006B6390">
        <w:rPr>
          <w:rFonts w:asciiTheme="minorBidi" w:hAnsiTheme="minorBidi" w:cstheme="minorBidi"/>
        </w:rPr>
        <w:t xml:space="preserve">was </w:t>
      </w:r>
      <w:r w:rsidR="00AD4431" w:rsidRPr="006B6390">
        <w:rPr>
          <w:rFonts w:asciiTheme="minorBidi" w:hAnsiTheme="minorBidi" w:cstheme="minorBidi"/>
        </w:rPr>
        <w:t xml:space="preserve">migrated </w:t>
      </w:r>
      <w:r w:rsidR="00B441C2" w:rsidRPr="006B6390">
        <w:rPr>
          <w:rFonts w:asciiTheme="minorBidi" w:hAnsiTheme="minorBidi" w:cstheme="minorBidi"/>
        </w:rPr>
        <w:t>t</w:t>
      </w:r>
      <w:r w:rsidR="00AD4431" w:rsidRPr="006B6390">
        <w:rPr>
          <w:rFonts w:asciiTheme="minorBidi" w:hAnsiTheme="minorBidi" w:cstheme="minorBidi"/>
        </w:rPr>
        <w:t>o new servers in June 2021.</w:t>
      </w:r>
    </w:p>
    <w:p w14:paraId="3122D676" w14:textId="09234A7A" w:rsidR="00765B3D" w:rsidRPr="006B6390" w:rsidRDefault="00765B3D" w:rsidP="00765B3D">
      <w:pPr>
        <w:pStyle w:val="COMPara"/>
        <w:ind w:left="567" w:hanging="567"/>
        <w:jc w:val="both"/>
        <w:rPr>
          <w:rFonts w:asciiTheme="minorBidi" w:hAnsiTheme="minorBidi" w:cstheme="minorBidi"/>
        </w:rPr>
      </w:pPr>
      <w:r w:rsidRPr="006B6390">
        <w:rPr>
          <w:rFonts w:asciiTheme="minorBidi" w:hAnsiTheme="minorBidi" w:cstheme="minorBidi"/>
          <w:b/>
          <w:bCs/>
        </w:rPr>
        <w:t>International Assistance</w:t>
      </w:r>
      <w:r w:rsidRPr="006B6390">
        <w:rPr>
          <w:rFonts w:asciiTheme="minorBidi" w:hAnsiTheme="minorBidi" w:cstheme="minorBidi"/>
        </w:rPr>
        <w:t xml:space="preserve">: </w:t>
      </w:r>
      <w:r w:rsidR="009E5CC7" w:rsidRPr="006B6390">
        <w:rPr>
          <w:rFonts w:asciiTheme="minorBidi" w:hAnsiTheme="minorBidi" w:cstheme="minorBidi"/>
        </w:rPr>
        <w:t>T</w:t>
      </w:r>
      <w:r w:rsidRPr="006B6390">
        <w:rPr>
          <w:rFonts w:asciiTheme="minorBidi" w:hAnsiTheme="minorBidi" w:cstheme="minorBidi"/>
        </w:rPr>
        <w:t xml:space="preserve">he General Assembly approved, at its seventh session in June 2018, the creation of three fixed-term extrabudgetary posts, allowing </w:t>
      </w:r>
      <w:r w:rsidR="00B441C2" w:rsidRPr="006B6390">
        <w:rPr>
          <w:rFonts w:asciiTheme="minorBidi" w:hAnsiTheme="minorBidi" w:cstheme="minorBidi"/>
        </w:rPr>
        <w:t xml:space="preserve">for </w:t>
      </w:r>
      <w:r w:rsidRPr="006B6390">
        <w:rPr>
          <w:rFonts w:asciiTheme="minorBidi" w:hAnsiTheme="minorBidi" w:cstheme="minorBidi"/>
        </w:rPr>
        <w:t xml:space="preserve">the creation of the Safeguarding Implementation and Monitoring team within the Secretariat, dedicated to the </w:t>
      </w:r>
      <w:r w:rsidRPr="006B6390">
        <w:rPr>
          <w:rFonts w:asciiTheme="minorBidi" w:hAnsiTheme="minorBidi" w:cstheme="minorBidi"/>
        </w:rPr>
        <w:lastRenderedPageBreak/>
        <w:t>implementation of the International Assistance mechanisms.</w:t>
      </w:r>
      <w:r w:rsidRPr="006B6390">
        <w:rPr>
          <w:rFonts w:asciiTheme="minorBidi" w:hAnsiTheme="minorBidi" w:cstheme="minorBidi"/>
          <w:vertAlign w:val="superscript"/>
        </w:rPr>
        <w:footnoteReference w:id="5"/>
      </w:r>
      <w:r w:rsidRPr="006B6390">
        <w:rPr>
          <w:rFonts w:asciiTheme="minorBidi" w:hAnsiTheme="minorBidi" w:cstheme="minorBidi"/>
          <w:vertAlign w:val="superscript"/>
        </w:rPr>
        <w:t xml:space="preserve"> </w:t>
      </w:r>
      <w:r w:rsidRPr="006B6390">
        <w:rPr>
          <w:rFonts w:asciiTheme="minorBidi" w:hAnsiTheme="minorBidi" w:cstheme="minorBidi"/>
        </w:rPr>
        <w:t>The team has been operational since October 2019. It aims to manage the mechanism holistically, facilitating access to the Fund for States Parties, assisting them in the submission of requests, supporting the implementation of projects and providing improved monitoring and impact assessment.</w:t>
      </w:r>
    </w:p>
    <w:p w14:paraId="208A2823" w14:textId="44D4BEB7" w:rsidR="00765B3D" w:rsidRPr="006B6390" w:rsidRDefault="00765B3D" w:rsidP="00765B3D">
      <w:pPr>
        <w:pStyle w:val="COMPara"/>
        <w:ind w:left="567" w:hanging="567"/>
        <w:jc w:val="both"/>
        <w:rPr>
          <w:rFonts w:asciiTheme="minorBidi" w:hAnsiTheme="minorBidi" w:cstheme="minorBidi"/>
        </w:rPr>
      </w:pPr>
      <w:r w:rsidRPr="006B6390">
        <w:rPr>
          <w:rFonts w:asciiTheme="minorBidi" w:hAnsiTheme="minorBidi" w:cstheme="minorBidi"/>
        </w:rPr>
        <w:t xml:space="preserve">Between January 2020 and June 2021, expenditures linked to International Assistance have reached US$1.6 million, while taking into account that </w:t>
      </w:r>
      <w:r w:rsidR="00A522D2" w:rsidRPr="006B6390">
        <w:rPr>
          <w:rFonts w:asciiTheme="minorBidi" w:hAnsiTheme="minorBidi" w:cstheme="minorBidi"/>
        </w:rPr>
        <w:t xml:space="preserve">the </w:t>
      </w:r>
      <w:r w:rsidRPr="006B6390">
        <w:rPr>
          <w:rFonts w:asciiTheme="minorBidi" w:hAnsiTheme="minorBidi" w:cstheme="minorBidi"/>
        </w:rPr>
        <w:t>planned expenditure for the last semester of the biennium will bring expenditures up to the same level as in the previous biennium (around US$2.8 million).</w:t>
      </w:r>
      <w:r w:rsidRPr="006B6390">
        <w:rPr>
          <w:rFonts w:asciiTheme="minorBidi" w:hAnsiTheme="minorBidi" w:cstheme="minorBidi"/>
          <w:vertAlign w:val="superscript"/>
        </w:rPr>
        <w:footnoteReference w:id="6"/>
      </w:r>
      <w:r w:rsidRPr="006B6390">
        <w:rPr>
          <w:rFonts w:asciiTheme="minorBidi" w:hAnsiTheme="minorBidi" w:cstheme="minorBidi"/>
        </w:rPr>
        <w:t xml:space="preserve"> </w:t>
      </w:r>
      <w:r w:rsidR="00E155DF" w:rsidRPr="006B6390">
        <w:rPr>
          <w:rFonts w:asciiTheme="minorBidi" w:hAnsiTheme="minorBidi" w:cstheme="minorBidi"/>
        </w:rPr>
        <w:t>Eleven new projects were approved by the Committee and its Bureau, including five in Africa and three in Small Island Developing States</w:t>
      </w:r>
      <w:r w:rsidR="00A522D2" w:rsidRPr="006B6390">
        <w:rPr>
          <w:rFonts w:asciiTheme="minorBidi" w:hAnsiTheme="minorBidi" w:cstheme="minorBidi"/>
        </w:rPr>
        <w:t xml:space="preserve"> (SIDS)</w:t>
      </w:r>
      <w:r w:rsidR="00E155DF" w:rsidRPr="006B6390">
        <w:rPr>
          <w:rFonts w:asciiTheme="minorBidi" w:hAnsiTheme="minorBidi" w:cstheme="minorBidi"/>
        </w:rPr>
        <w:t xml:space="preserve">. </w:t>
      </w:r>
      <w:r w:rsidRPr="006B6390">
        <w:rPr>
          <w:rFonts w:asciiTheme="minorBidi" w:hAnsiTheme="minorBidi" w:cstheme="minorBidi"/>
        </w:rPr>
        <w:t xml:space="preserve">It should however be noted that the number of requests submitted by States Parties decreased, from forty-eight requests registered and treated by the Secretariat in the 2018–2019 biennium to twenty-seven during the </w:t>
      </w:r>
      <w:r w:rsidR="00A522D2" w:rsidRPr="006B6390">
        <w:rPr>
          <w:rFonts w:asciiTheme="minorBidi" w:hAnsiTheme="minorBidi" w:cstheme="minorBidi"/>
        </w:rPr>
        <w:t xml:space="preserve">eighteen-month </w:t>
      </w:r>
      <w:r w:rsidRPr="006B6390">
        <w:rPr>
          <w:rFonts w:asciiTheme="minorBidi" w:hAnsiTheme="minorBidi" w:cstheme="minorBidi"/>
        </w:rPr>
        <w:t>reporting period</w:t>
      </w:r>
      <w:r w:rsidR="00A93ECB" w:rsidRPr="006B6390">
        <w:rPr>
          <w:rFonts w:asciiTheme="minorBidi" w:hAnsiTheme="minorBidi" w:cstheme="minorBidi"/>
        </w:rPr>
        <w:t xml:space="preserve"> (see document LHE/21/16.COM/7.d)</w:t>
      </w:r>
      <w:r w:rsidRPr="006B6390">
        <w:rPr>
          <w:rFonts w:asciiTheme="minorBidi" w:hAnsiTheme="minorBidi" w:cstheme="minorBidi"/>
        </w:rPr>
        <w:t xml:space="preserve">. Taking into account the recently decreasing number of requests which </w:t>
      </w:r>
      <w:r w:rsidR="0064048E" w:rsidRPr="006B6390">
        <w:rPr>
          <w:rFonts w:asciiTheme="minorBidi" w:hAnsiTheme="minorBidi" w:cstheme="minorBidi"/>
        </w:rPr>
        <w:t>is no doubt largely</w:t>
      </w:r>
      <w:r w:rsidRPr="006B6390">
        <w:rPr>
          <w:rFonts w:asciiTheme="minorBidi" w:hAnsiTheme="minorBidi" w:cstheme="minorBidi"/>
        </w:rPr>
        <w:t xml:space="preserve"> due to the impact of the pandemic, the Secretariat focused on analy</w:t>
      </w:r>
      <w:r w:rsidR="00B441C2" w:rsidRPr="006B6390">
        <w:rPr>
          <w:rFonts w:asciiTheme="minorBidi" w:hAnsiTheme="minorBidi" w:cstheme="minorBidi"/>
        </w:rPr>
        <w:t>s</w:t>
      </w:r>
      <w:r w:rsidRPr="006B6390">
        <w:rPr>
          <w:rFonts w:asciiTheme="minorBidi" w:hAnsiTheme="minorBidi" w:cstheme="minorBidi"/>
        </w:rPr>
        <w:t>ing the current implementation of the International Assistance mechanisms</w:t>
      </w:r>
      <w:r w:rsidR="004A3E18" w:rsidRPr="006B6390">
        <w:rPr>
          <w:rFonts w:asciiTheme="minorBidi" w:hAnsiTheme="minorBidi" w:cstheme="minorBidi"/>
        </w:rPr>
        <w:t xml:space="preserve"> and</w:t>
      </w:r>
      <w:r w:rsidRPr="006B6390">
        <w:rPr>
          <w:rFonts w:asciiTheme="minorBidi" w:hAnsiTheme="minorBidi" w:cstheme="minorBidi"/>
        </w:rPr>
        <w:t xml:space="preserve"> identifying challenges encountered by States and communities in the preparation of requests and the implementation of projects.</w:t>
      </w:r>
    </w:p>
    <w:p w14:paraId="05D1C79F" w14:textId="2A4E100B" w:rsidR="0057439C" w:rsidRPr="006B6390" w:rsidRDefault="001052E3" w:rsidP="00FA0871">
      <w:pPr>
        <w:pStyle w:val="COMPara"/>
        <w:numPr>
          <w:ilvl w:val="0"/>
          <w:numId w:val="6"/>
        </w:numPr>
        <w:spacing w:before="240"/>
        <w:ind w:left="567" w:hanging="425"/>
        <w:jc w:val="both"/>
        <w:rPr>
          <w:rFonts w:asciiTheme="minorBidi" w:hAnsiTheme="minorBidi" w:cstheme="minorBidi"/>
          <w:b/>
          <w:bCs/>
        </w:rPr>
      </w:pPr>
      <w:r w:rsidRPr="006B6390">
        <w:rPr>
          <w:rFonts w:asciiTheme="minorBidi" w:hAnsiTheme="minorBidi" w:cstheme="minorBidi"/>
          <w:b/>
          <w:bCs/>
        </w:rPr>
        <w:t>Operational priorities on capacity-building and the integration of intangible cultural heritage in formal and non-formal education</w:t>
      </w:r>
    </w:p>
    <w:p w14:paraId="35430C05" w14:textId="586762A3" w:rsidR="00AB5F82" w:rsidRPr="006B6390" w:rsidRDefault="000337E6" w:rsidP="00AB5F82">
      <w:pPr>
        <w:pStyle w:val="COMPara"/>
        <w:ind w:left="567" w:hanging="567"/>
        <w:jc w:val="both"/>
        <w:rPr>
          <w:rFonts w:asciiTheme="minorBidi" w:hAnsiTheme="minorBidi" w:cstheme="minorBidi"/>
        </w:rPr>
      </w:pPr>
      <w:r w:rsidRPr="006B6390">
        <w:rPr>
          <w:rFonts w:asciiTheme="minorBidi" w:hAnsiTheme="minorBidi" w:cstheme="minorBidi"/>
          <w:b/>
          <w:bCs/>
        </w:rPr>
        <w:t>Capacity building</w:t>
      </w:r>
      <w:r w:rsidRPr="006B6390">
        <w:rPr>
          <w:rFonts w:asciiTheme="minorBidi" w:hAnsiTheme="minorBidi" w:cstheme="minorBidi"/>
        </w:rPr>
        <w:t xml:space="preserve">: The Secretariat has </w:t>
      </w:r>
      <w:r w:rsidR="00A93ECB" w:rsidRPr="006B6390">
        <w:rPr>
          <w:rFonts w:asciiTheme="minorBidi" w:hAnsiTheme="minorBidi" w:cstheme="minorBidi"/>
        </w:rPr>
        <w:t>undertaken</w:t>
      </w:r>
      <w:r w:rsidRPr="006B6390">
        <w:rPr>
          <w:rFonts w:asciiTheme="minorBidi" w:hAnsiTheme="minorBidi" w:cstheme="minorBidi"/>
        </w:rPr>
        <w:t xml:space="preserve"> capacity-building </w:t>
      </w:r>
      <w:r w:rsidR="00A93ECB" w:rsidRPr="006B6390">
        <w:rPr>
          <w:rFonts w:asciiTheme="minorBidi" w:hAnsiTheme="minorBidi" w:cstheme="minorBidi"/>
        </w:rPr>
        <w:t>interventions in the widest sense since its inception in 2009,</w:t>
      </w:r>
      <w:r w:rsidRPr="006B6390">
        <w:rPr>
          <w:rFonts w:asciiTheme="minorBidi" w:hAnsiTheme="minorBidi" w:cstheme="minorBidi"/>
        </w:rPr>
        <w:t xml:space="preserve"> in 138</w:t>
      </w:r>
      <w:r w:rsidR="00805F5B" w:rsidRPr="006B6390">
        <w:rPr>
          <w:rFonts w:asciiTheme="minorBidi" w:hAnsiTheme="minorBidi" w:cstheme="minorBidi"/>
        </w:rPr>
        <w:t xml:space="preserve"> </w:t>
      </w:r>
      <w:r w:rsidRPr="006B6390">
        <w:rPr>
          <w:rFonts w:asciiTheme="minorBidi" w:hAnsiTheme="minorBidi" w:cstheme="minorBidi"/>
        </w:rPr>
        <w:t xml:space="preserve">countries, including </w:t>
      </w:r>
      <w:r w:rsidR="004A3E18" w:rsidRPr="006B6390">
        <w:rPr>
          <w:rFonts w:asciiTheme="minorBidi" w:hAnsiTheme="minorBidi" w:cstheme="minorBidi"/>
        </w:rPr>
        <w:t>forty-five</w:t>
      </w:r>
      <w:r w:rsidRPr="006B6390">
        <w:rPr>
          <w:rFonts w:asciiTheme="minorBidi" w:hAnsiTheme="minorBidi" w:cstheme="minorBidi"/>
        </w:rPr>
        <w:t xml:space="preserve"> in Africa and </w:t>
      </w:r>
      <w:r w:rsidR="004A3E18" w:rsidRPr="006B6390">
        <w:rPr>
          <w:rFonts w:asciiTheme="minorBidi" w:hAnsiTheme="minorBidi" w:cstheme="minorBidi"/>
        </w:rPr>
        <w:t>thirty</w:t>
      </w:r>
      <w:r w:rsidRPr="006B6390">
        <w:rPr>
          <w:rFonts w:asciiTheme="minorBidi" w:hAnsiTheme="minorBidi" w:cstheme="minorBidi"/>
        </w:rPr>
        <w:t xml:space="preserve"> in </w:t>
      </w:r>
      <w:r w:rsidR="004A3E18" w:rsidRPr="006B6390">
        <w:rPr>
          <w:rFonts w:asciiTheme="minorBidi" w:hAnsiTheme="minorBidi" w:cstheme="minorBidi"/>
        </w:rPr>
        <w:t>Small Island Developing States (</w:t>
      </w:r>
      <w:r w:rsidRPr="006B6390">
        <w:rPr>
          <w:rFonts w:asciiTheme="minorBidi" w:hAnsiTheme="minorBidi" w:cstheme="minorBidi"/>
        </w:rPr>
        <w:t>SIDS</w:t>
      </w:r>
      <w:r w:rsidR="004A3E18" w:rsidRPr="006B6390">
        <w:rPr>
          <w:rFonts w:asciiTheme="minorBidi" w:hAnsiTheme="minorBidi" w:cstheme="minorBidi"/>
        </w:rPr>
        <w:t>)</w:t>
      </w:r>
      <w:r w:rsidRPr="006B6390">
        <w:rPr>
          <w:rFonts w:asciiTheme="minorBidi" w:hAnsiTheme="minorBidi" w:cstheme="minorBidi"/>
        </w:rPr>
        <w:t xml:space="preserve">. Of these, </w:t>
      </w:r>
      <w:r w:rsidR="004A3E18" w:rsidRPr="006B6390">
        <w:rPr>
          <w:rFonts w:asciiTheme="minorBidi" w:hAnsiTheme="minorBidi" w:cstheme="minorBidi"/>
        </w:rPr>
        <w:t>fifty-two</w:t>
      </w:r>
      <w:r w:rsidRPr="006B6390">
        <w:rPr>
          <w:rFonts w:asciiTheme="minorBidi" w:hAnsiTheme="minorBidi" w:cstheme="minorBidi"/>
        </w:rPr>
        <w:t xml:space="preserve"> countries (</w:t>
      </w:r>
      <w:r w:rsidR="004A3E18" w:rsidRPr="006B6390">
        <w:rPr>
          <w:rFonts w:asciiTheme="minorBidi" w:hAnsiTheme="minorBidi" w:cstheme="minorBidi"/>
        </w:rPr>
        <w:t>eighteen</w:t>
      </w:r>
      <w:r w:rsidRPr="006B6390">
        <w:rPr>
          <w:rFonts w:asciiTheme="minorBidi" w:hAnsiTheme="minorBidi" w:cstheme="minorBidi"/>
        </w:rPr>
        <w:t xml:space="preserve"> in Africa)</w:t>
      </w:r>
      <w:r w:rsidR="004A3E18" w:rsidRPr="006B6390">
        <w:rPr>
          <w:rFonts w:asciiTheme="minorBidi" w:hAnsiTheme="minorBidi" w:cstheme="minorBidi"/>
        </w:rPr>
        <w:t xml:space="preserve"> have benefited from long-term projects,</w:t>
      </w:r>
      <w:r w:rsidRPr="006B6390">
        <w:rPr>
          <w:rFonts w:asciiTheme="minorBidi" w:hAnsiTheme="minorBidi" w:cstheme="minorBidi"/>
        </w:rPr>
        <w:t xml:space="preserve"> and 114 countries have benefitted from short-term projects</w:t>
      </w:r>
      <w:r w:rsidR="00A93ECB" w:rsidRPr="006B6390">
        <w:rPr>
          <w:rFonts w:asciiTheme="minorBidi" w:hAnsiTheme="minorBidi" w:cstheme="minorBidi"/>
        </w:rPr>
        <w:t xml:space="preserve"> under the global capacity-building programme</w:t>
      </w:r>
      <w:r w:rsidRPr="006B6390">
        <w:rPr>
          <w:rFonts w:asciiTheme="minorBidi" w:hAnsiTheme="minorBidi" w:cstheme="minorBidi"/>
        </w:rPr>
        <w:t>. Category</w:t>
      </w:r>
      <w:r w:rsidR="00B06CA4" w:rsidRPr="006B6390">
        <w:rPr>
          <w:rFonts w:asciiTheme="minorBidi" w:hAnsiTheme="minorBidi" w:cstheme="minorBidi"/>
        </w:rPr>
        <w:t> </w:t>
      </w:r>
      <w:r w:rsidRPr="006B6390">
        <w:rPr>
          <w:rFonts w:asciiTheme="minorBidi" w:hAnsiTheme="minorBidi" w:cstheme="minorBidi"/>
        </w:rPr>
        <w:t xml:space="preserve">2 centres have supported </w:t>
      </w:r>
      <w:r w:rsidR="004A3E18" w:rsidRPr="006B6390">
        <w:rPr>
          <w:rFonts w:asciiTheme="minorBidi" w:hAnsiTheme="minorBidi" w:cstheme="minorBidi"/>
        </w:rPr>
        <w:t>forty-one</w:t>
      </w:r>
      <w:r w:rsidRPr="006B6390">
        <w:rPr>
          <w:rFonts w:asciiTheme="minorBidi" w:hAnsiTheme="minorBidi" w:cstheme="minorBidi"/>
        </w:rPr>
        <w:t xml:space="preserve"> countries. </w:t>
      </w:r>
      <w:r w:rsidR="00AB5F82" w:rsidRPr="006B6390">
        <w:rPr>
          <w:rFonts w:asciiTheme="minorBidi" w:hAnsiTheme="minorBidi" w:cstheme="minorBidi"/>
        </w:rPr>
        <w:t>During the reporting period, t</w:t>
      </w:r>
      <w:r w:rsidRPr="006B6390">
        <w:rPr>
          <w:rFonts w:asciiTheme="minorBidi" w:hAnsiTheme="minorBidi" w:cstheme="minorBidi"/>
        </w:rPr>
        <w:t>he Programme initiated a strategic reorientation to include multi-modal delivery approaches to broaden access and delivery</w:t>
      </w:r>
      <w:r w:rsidR="0019226F" w:rsidRPr="006B6390">
        <w:rPr>
          <w:rFonts w:asciiTheme="minorBidi" w:hAnsiTheme="minorBidi" w:cstheme="minorBidi"/>
        </w:rPr>
        <w:t>, particularly in response to the COVID-19 pandemic</w:t>
      </w:r>
      <w:r w:rsidRPr="006B6390">
        <w:rPr>
          <w:rFonts w:asciiTheme="minorBidi" w:hAnsiTheme="minorBidi" w:cstheme="minorBidi"/>
        </w:rPr>
        <w:t>.</w:t>
      </w:r>
      <w:r w:rsidR="00A93ECB" w:rsidRPr="006B6390">
        <w:rPr>
          <w:rFonts w:asciiTheme="minorBidi" w:hAnsiTheme="minorBidi" w:cstheme="minorBidi"/>
        </w:rPr>
        <w:t xml:space="preserve"> This </w:t>
      </w:r>
      <w:r w:rsidR="00AB5F82" w:rsidRPr="006B6390">
        <w:rPr>
          <w:rFonts w:asciiTheme="minorBidi" w:hAnsiTheme="minorBidi" w:cstheme="minorBidi"/>
        </w:rPr>
        <w:t>reorientation is in line with the IOS evaluation</w:t>
      </w:r>
      <w:r w:rsidR="004A3E18" w:rsidRPr="006B6390">
        <w:rPr>
          <w:rFonts w:asciiTheme="minorBidi" w:hAnsiTheme="minorBidi" w:cstheme="minorBidi"/>
        </w:rPr>
        <w:t>,</w:t>
      </w:r>
      <w:r w:rsidR="00AB5F82" w:rsidRPr="006B6390">
        <w:rPr>
          <w:rFonts w:asciiTheme="minorBidi" w:hAnsiTheme="minorBidi" w:cstheme="minorBidi"/>
        </w:rPr>
        <w:t xml:space="preserve"> which confirmed the centrality of the Programme and highlighted the need to adapt to evolving demands.</w:t>
      </w:r>
    </w:p>
    <w:p w14:paraId="56B9A549" w14:textId="6ACFE680" w:rsidR="000337E6" w:rsidRPr="006B6390" w:rsidRDefault="000337E6" w:rsidP="000337E6">
      <w:pPr>
        <w:pStyle w:val="COMPara"/>
        <w:ind w:left="567" w:hanging="567"/>
        <w:jc w:val="both"/>
        <w:rPr>
          <w:rFonts w:asciiTheme="minorBidi" w:hAnsiTheme="minorBidi" w:cstheme="minorBidi"/>
        </w:rPr>
      </w:pPr>
      <w:r w:rsidRPr="006B6390">
        <w:rPr>
          <w:rFonts w:asciiTheme="minorBidi" w:hAnsiTheme="minorBidi" w:cstheme="minorBidi"/>
        </w:rPr>
        <w:t>The Secretariat furthermore strengthened its global network of facilitators</w:t>
      </w:r>
      <w:r w:rsidR="004A3E18" w:rsidRPr="006B6390">
        <w:rPr>
          <w:rFonts w:asciiTheme="minorBidi" w:hAnsiTheme="minorBidi" w:cstheme="minorBidi"/>
        </w:rPr>
        <w:t>,</w:t>
      </w:r>
      <w:r w:rsidRPr="006B6390">
        <w:rPr>
          <w:rFonts w:asciiTheme="minorBidi" w:hAnsiTheme="minorBidi" w:cstheme="minorBidi"/>
        </w:rPr>
        <w:t xml:space="preserve"> with </w:t>
      </w:r>
      <w:r w:rsidR="004A3E18" w:rsidRPr="006B6390">
        <w:rPr>
          <w:rFonts w:asciiTheme="minorBidi" w:hAnsiTheme="minorBidi" w:cstheme="minorBidi"/>
        </w:rPr>
        <w:t>fifty-five</w:t>
      </w:r>
      <w:r w:rsidR="00D17791" w:rsidRPr="006B6390">
        <w:rPr>
          <w:rFonts w:asciiTheme="minorBidi" w:hAnsiTheme="minorBidi" w:cstheme="minorBidi"/>
        </w:rPr>
        <w:t> </w:t>
      </w:r>
      <w:r w:rsidRPr="006B6390">
        <w:rPr>
          <w:rFonts w:asciiTheme="minorBidi" w:hAnsiTheme="minorBidi" w:cstheme="minorBidi"/>
        </w:rPr>
        <w:t>new trained members (54% women) from Asia and the Pacific, Africa, Europe and the Arab States</w:t>
      </w:r>
      <w:r w:rsidR="00A522D2" w:rsidRPr="006B6390">
        <w:rPr>
          <w:rFonts w:asciiTheme="minorBidi" w:hAnsiTheme="minorBidi" w:cstheme="minorBidi"/>
        </w:rPr>
        <w:t>,</w:t>
      </w:r>
      <w:r w:rsidRPr="006B6390">
        <w:rPr>
          <w:rFonts w:asciiTheme="minorBidi" w:hAnsiTheme="minorBidi" w:cstheme="minorBidi"/>
        </w:rPr>
        <w:t xml:space="preserve"> increasing the total to 103 facilitators (61% women). Other highlights include the creation of an interregional working group, </w:t>
      </w:r>
      <w:r w:rsidR="00A522D2" w:rsidRPr="006B6390">
        <w:rPr>
          <w:rFonts w:asciiTheme="minorBidi" w:hAnsiTheme="minorBidi" w:cstheme="minorBidi"/>
        </w:rPr>
        <w:t xml:space="preserve">the </w:t>
      </w:r>
      <w:r w:rsidRPr="006B6390">
        <w:rPr>
          <w:rFonts w:asciiTheme="minorBidi" w:hAnsiTheme="minorBidi" w:cstheme="minorBidi"/>
        </w:rPr>
        <w:t>launch of a webinar series and</w:t>
      </w:r>
      <w:r w:rsidR="00A522D2" w:rsidRPr="006B6390">
        <w:rPr>
          <w:rFonts w:asciiTheme="minorBidi" w:hAnsiTheme="minorBidi" w:cstheme="minorBidi"/>
        </w:rPr>
        <w:t xml:space="preserve"> an</w:t>
      </w:r>
      <w:r w:rsidRPr="006B6390">
        <w:rPr>
          <w:rFonts w:asciiTheme="minorBidi" w:hAnsiTheme="minorBidi" w:cstheme="minorBidi"/>
        </w:rPr>
        <w:t xml:space="preserve"> </w:t>
      </w:r>
      <w:hyperlink r:id="rId18" w:history="1">
        <w:r w:rsidRPr="006B6390">
          <w:rPr>
            <w:rStyle w:val="Hyperlink"/>
            <w:rFonts w:asciiTheme="minorBidi" w:hAnsiTheme="minorBidi" w:cstheme="minorBidi"/>
          </w:rPr>
          <w:t>improved network’s webpage</w:t>
        </w:r>
      </w:hyperlink>
      <w:r w:rsidRPr="006B6390">
        <w:rPr>
          <w:rFonts w:asciiTheme="minorBidi" w:hAnsiTheme="minorBidi" w:cstheme="minorBidi"/>
        </w:rPr>
        <w:t xml:space="preserve">. Over 140 universities engaged in </w:t>
      </w:r>
      <w:r w:rsidR="00A522D2" w:rsidRPr="006B6390">
        <w:rPr>
          <w:rFonts w:asciiTheme="minorBidi" w:hAnsiTheme="minorBidi" w:cstheme="minorBidi"/>
        </w:rPr>
        <w:t>intangible cultural heritage</w:t>
      </w:r>
      <w:r w:rsidRPr="006B6390">
        <w:rPr>
          <w:rFonts w:asciiTheme="minorBidi" w:hAnsiTheme="minorBidi" w:cstheme="minorBidi"/>
        </w:rPr>
        <w:t xml:space="preserve"> were identified through regional surveys leading to </w:t>
      </w:r>
      <w:hyperlink r:id="rId19" w:history="1">
        <w:r w:rsidRPr="006B6390">
          <w:rPr>
            <w:rStyle w:val="Hyperlink"/>
            <w:rFonts w:asciiTheme="minorBidi" w:hAnsiTheme="minorBidi" w:cstheme="minorBidi"/>
          </w:rPr>
          <w:t>network development in three regions</w:t>
        </w:r>
      </w:hyperlink>
      <w:r w:rsidRPr="006B6390">
        <w:rPr>
          <w:rFonts w:asciiTheme="minorBidi" w:hAnsiTheme="minorBidi" w:cstheme="minorBidi"/>
        </w:rPr>
        <w:t xml:space="preserve">. To offer effective training on gender-responsive approaches in the field of living heritage, materials were developed including a </w:t>
      </w:r>
      <w:hyperlink r:id="rId20" w:history="1">
        <w:r w:rsidRPr="006B6390">
          <w:rPr>
            <w:rStyle w:val="Hyperlink"/>
            <w:rFonts w:asciiTheme="minorBidi" w:hAnsiTheme="minorBidi" w:cstheme="minorBidi"/>
          </w:rPr>
          <w:t>video animation</w:t>
        </w:r>
      </w:hyperlink>
      <w:r w:rsidRPr="006B6390">
        <w:rPr>
          <w:rFonts w:asciiTheme="minorBidi" w:hAnsiTheme="minorBidi" w:cstheme="minorBidi"/>
        </w:rPr>
        <w:t xml:space="preserve"> and a policy note on gender equality and </w:t>
      </w:r>
      <w:r w:rsidR="00A522D2" w:rsidRPr="006B6390">
        <w:rPr>
          <w:rFonts w:asciiTheme="minorBidi" w:hAnsiTheme="minorBidi" w:cstheme="minorBidi"/>
        </w:rPr>
        <w:t>intangible cultural heritage</w:t>
      </w:r>
      <w:r w:rsidRPr="006B6390">
        <w:rPr>
          <w:rFonts w:asciiTheme="minorBidi" w:hAnsiTheme="minorBidi" w:cstheme="minorBidi"/>
        </w:rPr>
        <w:t>. These tools</w:t>
      </w:r>
      <w:r w:rsidR="004A3E18" w:rsidRPr="006B6390">
        <w:rPr>
          <w:rFonts w:asciiTheme="minorBidi" w:hAnsiTheme="minorBidi" w:cstheme="minorBidi"/>
        </w:rPr>
        <w:t>,</w:t>
      </w:r>
      <w:r w:rsidRPr="006B6390">
        <w:rPr>
          <w:rFonts w:asciiTheme="minorBidi" w:hAnsiTheme="minorBidi" w:cstheme="minorBidi"/>
        </w:rPr>
        <w:t xml:space="preserve"> together with an </w:t>
      </w:r>
      <w:hyperlink r:id="rId21" w:history="1">
        <w:r w:rsidRPr="006B6390">
          <w:rPr>
            <w:rStyle w:val="Hyperlink"/>
            <w:rFonts w:asciiTheme="minorBidi" w:hAnsiTheme="minorBidi" w:cstheme="minorBidi"/>
          </w:rPr>
          <w:t>online toolbox</w:t>
        </w:r>
      </w:hyperlink>
      <w:r w:rsidRPr="006B6390">
        <w:rPr>
          <w:rFonts w:asciiTheme="minorBidi" w:hAnsiTheme="minorBidi" w:cstheme="minorBidi"/>
        </w:rPr>
        <w:t xml:space="preserve"> on </w:t>
      </w:r>
      <w:r w:rsidR="00A522D2" w:rsidRPr="006B6390">
        <w:rPr>
          <w:rFonts w:asciiTheme="minorBidi" w:hAnsiTheme="minorBidi" w:cstheme="minorBidi"/>
        </w:rPr>
        <w:t xml:space="preserve">living heritage </w:t>
      </w:r>
      <w:r w:rsidRPr="006B6390">
        <w:rPr>
          <w:rFonts w:asciiTheme="minorBidi" w:hAnsiTheme="minorBidi" w:cstheme="minorBidi"/>
        </w:rPr>
        <w:t>and sustainable development and the</w:t>
      </w:r>
      <w:r w:rsidR="00A522D2" w:rsidRPr="006B6390">
        <w:rPr>
          <w:rFonts w:asciiTheme="minorBidi" w:hAnsiTheme="minorBidi" w:cstheme="minorBidi"/>
        </w:rPr>
        <w:t xml:space="preserve"> ongoing development of a</w:t>
      </w:r>
      <w:r w:rsidRPr="006B6390">
        <w:rPr>
          <w:rFonts w:asciiTheme="minorBidi" w:hAnsiTheme="minorBidi" w:cstheme="minorBidi"/>
        </w:rPr>
        <w:t xml:space="preserve"> first </w:t>
      </w:r>
      <w:r w:rsidR="004A3E18" w:rsidRPr="006B6390">
        <w:rPr>
          <w:rFonts w:asciiTheme="minorBidi" w:hAnsiTheme="minorBidi" w:cstheme="minorBidi"/>
        </w:rPr>
        <w:t>m</w:t>
      </w:r>
      <w:r w:rsidR="00AC4F7E" w:rsidRPr="006B6390">
        <w:rPr>
          <w:rFonts w:asciiTheme="minorBidi" w:hAnsiTheme="minorBidi" w:cstheme="minorBidi"/>
        </w:rPr>
        <w:t>assive online open course (</w:t>
      </w:r>
      <w:r w:rsidRPr="006B6390">
        <w:rPr>
          <w:rFonts w:asciiTheme="minorBidi" w:hAnsiTheme="minorBidi" w:cstheme="minorBidi"/>
        </w:rPr>
        <w:t>MOOC</w:t>
      </w:r>
      <w:r w:rsidR="00AC4F7E" w:rsidRPr="006B6390">
        <w:rPr>
          <w:rFonts w:asciiTheme="minorBidi" w:hAnsiTheme="minorBidi" w:cstheme="minorBidi"/>
        </w:rPr>
        <w:t>)</w:t>
      </w:r>
      <w:r w:rsidRPr="006B6390">
        <w:rPr>
          <w:rFonts w:asciiTheme="minorBidi" w:hAnsiTheme="minorBidi" w:cstheme="minorBidi"/>
        </w:rPr>
        <w:t xml:space="preserve"> on the topic</w:t>
      </w:r>
      <w:r w:rsidR="006C4666" w:rsidRPr="006B6390">
        <w:rPr>
          <w:rFonts w:asciiTheme="minorBidi" w:hAnsiTheme="minorBidi" w:cstheme="minorBidi"/>
        </w:rPr>
        <w:t>,</w:t>
      </w:r>
      <w:r w:rsidRPr="006B6390">
        <w:rPr>
          <w:rFonts w:asciiTheme="minorBidi" w:hAnsiTheme="minorBidi" w:cstheme="minorBidi"/>
        </w:rPr>
        <w:t xml:space="preserve"> further contribute to the 2030 Agenda</w:t>
      </w:r>
      <w:r w:rsidR="00A522D2" w:rsidRPr="006B6390">
        <w:rPr>
          <w:rFonts w:asciiTheme="minorBidi" w:hAnsiTheme="minorBidi" w:cstheme="minorBidi"/>
        </w:rPr>
        <w:t xml:space="preserve"> for Sustainable Development</w:t>
      </w:r>
      <w:r w:rsidRPr="006B6390">
        <w:rPr>
          <w:rFonts w:asciiTheme="minorBidi" w:hAnsiTheme="minorBidi" w:cstheme="minorBidi"/>
        </w:rPr>
        <w:t>.</w:t>
      </w:r>
    </w:p>
    <w:p w14:paraId="05790C1F" w14:textId="3A283910" w:rsidR="00657B7C" w:rsidRPr="006B6390" w:rsidRDefault="00AC4F7E" w:rsidP="00657B7C">
      <w:pPr>
        <w:pStyle w:val="COMPara"/>
        <w:ind w:left="567" w:hanging="567"/>
        <w:jc w:val="both"/>
        <w:rPr>
          <w:rFonts w:asciiTheme="minorBidi" w:hAnsiTheme="minorBidi" w:cstheme="minorBidi"/>
        </w:rPr>
      </w:pPr>
      <w:r w:rsidRPr="006B6390">
        <w:rPr>
          <w:rFonts w:asciiTheme="minorBidi" w:hAnsiTheme="minorBidi" w:cstheme="minorBidi"/>
        </w:rPr>
        <w:t>Following the reform of the periodic reporting mechanism</w:t>
      </w:r>
      <w:r w:rsidR="00ED4A08" w:rsidRPr="006B6390">
        <w:rPr>
          <w:rStyle w:val="FootnoteReference"/>
          <w:rFonts w:asciiTheme="minorBidi" w:hAnsiTheme="minorBidi" w:cstheme="minorBidi"/>
        </w:rPr>
        <w:footnoteReference w:id="7"/>
      </w:r>
      <w:r w:rsidRPr="006B6390">
        <w:rPr>
          <w:rFonts w:asciiTheme="minorBidi" w:hAnsiTheme="minorBidi" w:cstheme="minorBidi"/>
        </w:rPr>
        <w:t xml:space="preserve"> adopted by the General Assembly in</w:t>
      </w:r>
      <w:r w:rsidR="00D51184" w:rsidRPr="006B6390">
        <w:rPr>
          <w:rFonts w:asciiTheme="minorBidi" w:hAnsiTheme="minorBidi" w:cstheme="minorBidi"/>
        </w:rPr>
        <w:t xml:space="preserve"> 2018</w:t>
      </w:r>
      <w:r w:rsidRPr="006B6390">
        <w:rPr>
          <w:rFonts w:asciiTheme="minorBidi" w:hAnsiTheme="minorBidi" w:cstheme="minorBidi"/>
        </w:rPr>
        <w:t xml:space="preserve">, Latin America and the Caribbean was the first region to submit periodic reports under the new system. </w:t>
      </w:r>
      <w:r w:rsidR="00576B15" w:rsidRPr="006B6390">
        <w:rPr>
          <w:rFonts w:asciiTheme="minorBidi" w:hAnsiTheme="minorBidi" w:cstheme="minorBidi"/>
        </w:rPr>
        <w:t>The move to a regional cycle of periodic reporting allowed enhanced and concerted efforts for capacity-building in the region. A comprehensive online training course on periodic reporting tailored to the needs of the region was implemented by the Secretariat, together with the Regional Centre for the Safeguarding of Intangible Cultural Heritage of Latin America (CRESPIAL) and facilitators from the global network of the Convention, in two languages (English</w:t>
      </w:r>
      <w:r w:rsidR="006C4666" w:rsidRPr="006B6390">
        <w:rPr>
          <w:rFonts w:asciiTheme="minorBidi" w:hAnsiTheme="minorBidi" w:cstheme="minorBidi"/>
        </w:rPr>
        <w:t xml:space="preserve"> and</w:t>
      </w:r>
      <w:r w:rsidR="00576B15" w:rsidRPr="006B6390">
        <w:rPr>
          <w:rFonts w:asciiTheme="minorBidi" w:hAnsiTheme="minorBidi" w:cstheme="minorBidi"/>
        </w:rPr>
        <w:t xml:space="preserve"> Spanish). This took the form of a series of online </w:t>
      </w:r>
      <w:r w:rsidR="00657B7C" w:rsidRPr="006B6390">
        <w:rPr>
          <w:rFonts w:asciiTheme="minorBidi" w:hAnsiTheme="minorBidi" w:cstheme="minorBidi"/>
        </w:rPr>
        <w:t>events</w:t>
      </w:r>
      <w:r w:rsidR="00576B15" w:rsidRPr="006B6390">
        <w:rPr>
          <w:rFonts w:asciiTheme="minorBidi" w:hAnsiTheme="minorBidi" w:cstheme="minorBidi"/>
        </w:rPr>
        <w:t xml:space="preserve"> over six week</w:t>
      </w:r>
      <w:r w:rsidR="003C7650" w:rsidRPr="006B6390">
        <w:rPr>
          <w:rFonts w:asciiTheme="minorBidi" w:hAnsiTheme="minorBidi" w:cstheme="minorBidi"/>
        </w:rPr>
        <w:t>s</w:t>
      </w:r>
      <w:r w:rsidR="006C4666" w:rsidRPr="006B6390">
        <w:rPr>
          <w:rFonts w:asciiTheme="minorBidi" w:hAnsiTheme="minorBidi" w:cstheme="minorBidi"/>
        </w:rPr>
        <w:t>,</w:t>
      </w:r>
      <w:r w:rsidR="00576B15" w:rsidRPr="006B6390">
        <w:rPr>
          <w:rFonts w:asciiTheme="minorBidi" w:hAnsiTheme="minorBidi" w:cstheme="minorBidi"/>
        </w:rPr>
        <w:t xml:space="preserve"> from 19 May to 23 June 2020, combining weekly webinars, videos, reading materials and online forum sessions. A total of 100 participants, of which forty-seven focal points from </w:t>
      </w:r>
      <w:r w:rsidR="00576B15" w:rsidRPr="006B6390">
        <w:rPr>
          <w:rFonts w:asciiTheme="minorBidi" w:hAnsiTheme="minorBidi" w:cstheme="minorBidi"/>
        </w:rPr>
        <w:lastRenderedPageBreak/>
        <w:t>thirty-two States Parties, as well as senior facilitators and UNESCO culture officers from the region, participated in this training.</w:t>
      </w:r>
      <w:r w:rsidR="00657B7C" w:rsidRPr="006B6390">
        <w:rPr>
          <w:rFonts w:asciiTheme="minorBidi" w:hAnsiTheme="minorBidi" w:cstheme="minorBidi"/>
        </w:rPr>
        <w:t xml:space="preserve"> The Secretariat also provided additional support by organizing a wrap-up session for focal points in September 2020, followed by help desk assistance for technical and content-related issues in filling in the periodic reporting form. Nevertheless, taking into account the impact of the COVID-19 pandemic and in compliance with paragraph 152 of the Operational Directives, the Secretariat asked States concerned to initially submit their report using the online periodic reporting Form ICH-10 by the set statutory deadline and the</w:t>
      </w:r>
      <w:r w:rsidR="006C4666" w:rsidRPr="006B6390">
        <w:rPr>
          <w:rFonts w:asciiTheme="minorBidi" w:hAnsiTheme="minorBidi" w:cstheme="minorBidi"/>
        </w:rPr>
        <w:t>n</w:t>
      </w:r>
      <w:r w:rsidR="00657B7C" w:rsidRPr="006B6390">
        <w:rPr>
          <w:rFonts w:asciiTheme="minorBidi" w:hAnsiTheme="minorBidi" w:cstheme="minorBidi"/>
        </w:rPr>
        <w:t xml:space="preserve"> gave the possibility to complete it by mid-March 2021. Twenty-eight out of thirty-two States Parties in the Latin America and Caribbean region (87.5 </w:t>
      </w:r>
      <w:r w:rsidR="006C4666" w:rsidRPr="006B6390">
        <w:rPr>
          <w:rFonts w:asciiTheme="minorBidi" w:hAnsiTheme="minorBidi" w:cstheme="minorBidi"/>
        </w:rPr>
        <w:t>%</w:t>
      </w:r>
      <w:r w:rsidR="00657B7C" w:rsidRPr="006B6390">
        <w:rPr>
          <w:rFonts w:asciiTheme="minorBidi" w:hAnsiTheme="minorBidi" w:cstheme="minorBidi"/>
        </w:rPr>
        <w:t>) submitted their report, which represents the highest submission rate since the creation of the Convention.</w:t>
      </w:r>
    </w:p>
    <w:p w14:paraId="415F2734" w14:textId="3421ED4F" w:rsidR="005A2B43" w:rsidRPr="006B6390" w:rsidRDefault="00462506" w:rsidP="005A2B43">
      <w:pPr>
        <w:pStyle w:val="COMPara"/>
        <w:ind w:left="567" w:hanging="567"/>
        <w:jc w:val="both"/>
        <w:rPr>
          <w:rFonts w:asciiTheme="minorBidi" w:hAnsiTheme="minorBidi" w:cstheme="minorBidi"/>
        </w:rPr>
      </w:pPr>
      <w:r w:rsidRPr="006B6390">
        <w:rPr>
          <w:rFonts w:asciiTheme="minorBidi" w:hAnsiTheme="minorBidi" w:cstheme="minorBidi"/>
        </w:rPr>
        <w:t>While the Programme has concentrated on strengthening capacity-building in the core areas of the Convention, it has further broadened its thematic expertise</w:t>
      </w:r>
      <w:r w:rsidR="00A7776F" w:rsidRPr="006B6390">
        <w:rPr>
          <w:rFonts w:asciiTheme="minorBidi" w:hAnsiTheme="minorBidi" w:cstheme="minorBidi"/>
        </w:rPr>
        <w:t>,</w:t>
      </w:r>
      <w:r w:rsidRPr="006B6390">
        <w:rPr>
          <w:rFonts w:asciiTheme="minorBidi" w:hAnsiTheme="minorBidi" w:cstheme="minorBidi"/>
        </w:rPr>
        <w:t xml:space="preserve"> such as disaster risk reduction</w:t>
      </w:r>
      <w:r w:rsidR="00A7776F" w:rsidRPr="006B6390">
        <w:rPr>
          <w:rFonts w:asciiTheme="minorBidi" w:hAnsiTheme="minorBidi" w:cstheme="minorBidi"/>
        </w:rPr>
        <w:t>,</w:t>
      </w:r>
      <w:r w:rsidR="00CF495B" w:rsidRPr="006B6390">
        <w:rPr>
          <w:rFonts w:asciiTheme="minorBidi" w:hAnsiTheme="minorBidi" w:cstheme="minorBidi"/>
        </w:rPr>
        <w:t xml:space="preserve"> in line with the Operational principles and modalities for safeguarding intangible cultural heritage in emergencies</w:t>
      </w:r>
      <w:r w:rsidRPr="006B6390">
        <w:rPr>
          <w:rFonts w:asciiTheme="minorBidi" w:hAnsiTheme="minorBidi" w:cstheme="minorBidi"/>
        </w:rPr>
        <w:t xml:space="preserve">. </w:t>
      </w:r>
      <w:r w:rsidR="005A2B43" w:rsidRPr="006B6390">
        <w:rPr>
          <w:rFonts w:asciiTheme="minorBidi" w:hAnsiTheme="minorBidi" w:cstheme="minorBidi"/>
        </w:rPr>
        <w:t>Since their adoption by the General Assembly in September 2020, the Secretariat has focused its activities on building capacities and raising awareness of their importance among relevant stakeholders. Online training workshops were undertaken in Honduras and the Philippines</w:t>
      </w:r>
      <w:r w:rsidR="008B1960" w:rsidRPr="006B6390">
        <w:rPr>
          <w:rFonts w:asciiTheme="minorBidi" w:hAnsiTheme="minorBidi" w:cstheme="minorBidi"/>
        </w:rPr>
        <w:t>, thanks to support from Switzerland,</w:t>
      </w:r>
      <w:r w:rsidR="005A2B43" w:rsidRPr="006B6390">
        <w:rPr>
          <w:rFonts w:asciiTheme="minorBidi" w:hAnsiTheme="minorBidi" w:cstheme="minorBidi"/>
        </w:rPr>
        <w:t xml:space="preserve"> to enhance the capacities of communities, national authorities and civil society organizations in the safeguarding of their living heritage in disaster-prone contexts. A capacity-building approach tailored to conflict situations, including forced displacement, is furthermore under development</w:t>
      </w:r>
      <w:r w:rsidR="00F563AA" w:rsidRPr="006B6390">
        <w:rPr>
          <w:rFonts w:asciiTheme="minorBidi" w:hAnsiTheme="minorBidi" w:cstheme="minorBidi"/>
        </w:rPr>
        <w:t>,</w:t>
      </w:r>
      <w:r w:rsidR="005A2B43" w:rsidRPr="006B6390">
        <w:rPr>
          <w:rFonts w:asciiTheme="minorBidi" w:hAnsiTheme="minorBidi" w:cstheme="minorBidi"/>
        </w:rPr>
        <w:t xml:space="preserve"> with consultations ongoing to assess training needs.</w:t>
      </w:r>
    </w:p>
    <w:p w14:paraId="4DEE4C89" w14:textId="1C4DF59B" w:rsidR="00C052CE" w:rsidRPr="006B6390" w:rsidRDefault="00496D24" w:rsidP="00C052CE">
      <w:pPr>
        <w:pStyle w:val="COMPara"/>
        <w:ind w:left="567" w:hanging="567"/>
        <w:jc w:val="both"/>
        <w:rPr>
          <w:rFonts w:asciiTheme="minorBidi" w:hAnsiTheme="minorBidi" w:cstheme="minorBidi"/>
        </w:rPr>
      </w:pPr>
      <w:r w:rsidRPr="006B6390">
        <w:rPr>
          <w:rFonts w:asciiTheme="minorBidi" w:hAnsiTheme="minorBidi" w:cstheme="minorBidi"/>
          <w:b/>
          <w:bCs/>
        </w:rPr>
        <w:t>Intangible cultural heritage and education</w:t>
      </w:r>
      <w:r w:rsidR="00C052CE" w:rsidRPr="006B6390">
        <w:rPr>
          <w:rFonts w:asciiTheme="minorBidi" w:hAnsiTheme="minorBidi" w:cstheme="minorBidi"/>
        </w:rPr>
        <w:t xml:space="preserve">: Four years ago, the Secretariat, developed the </w:t>
      </w:r>
      <w:r w:rsidR="00F563AA" w:rsidRPr="006B6390">
        <w:rPr>
          <w:rFonts w:asciiTheme="minorBidi" w:hAnsiTheme="minorBidi" w:cstheme="minorBidi"/>
        </w:rPr>
        <w:t>p</w:t>
      </w:r>
      <w:r w:rsidR="00C052CE" w:rsidRPr="006B6390">
        <w:rPr>
          <w:rFonts w:asciiTheme="minorBidi" w:hAnsiTheme="minorBidi" w:cstheme="minorBidi"/>
        </w:rPr>
        <w:t xml:space="preserve">rogramme </w:t>
      </w:r>
      <w:r w:rsidR="00F563AA" w:rsidRPr="006B6390">
        <w:rPr>
          <w:rFonts w:asciiTheme="minorBidi" w:hAnsiTheme="minorBidi" w:cstheme="minorBidi"/>
        </w:rPr>
        <w:t>on</w:t>
      </w:r>
      <w:r w:rsidR="00C052CE" w:rsidRPr="006B6390">
        <w:rPr>
          <w:rFonts w:asciiTheme="minorBidi" w:hAnsiTheme="minorBidi" w:cstheme="minorBidi"/>
        </w:rPr>
        <w:t xml:space="preserve"> Safeguarding intangible cultural heritage in formal and non</w:t>
      </w:r>
      <w:r w:rsidR="00F563AA" w:rsidRPr="006B6390">
        <w:rPr>
          <w:rFonts w:asciiTheme="minorBidi" w:hAnsiTheme="minorBidi" w:cstheme="minorBidi"/>
        </w:rPr>
        <w:t>-</w:t>
      </w:r>
      <w:r w:rsidR="00C052CE" w:rsidRPr="006B6390">
        <w:rPr>
          <w:rFonts w:asciiTheme="minorBidi" w:hAnsiTheme="minorBidi" w:cstheme="minorBidi"/>
        </w:rPr>
        <w:t>formal</w:t>
      </w:r>
      <w:r w:rsidR="00D96750" w:rsidRPr="006B6390">
        <w:rPr>
          <w:rFonts w:asciiTheme="minorBidi" w:hAnsiTheme="minorBidi" w:cstheme="minorBidi"/>
        </w:rPr>
        <w:t xml:space="preserve"> education</w:t>
      </w:r>
      <w:r w:rsidR="00C052CE" w:rsidRPr="006B6390">
        <w:rPr>
          <w:rFonts w:asciiTheme="minorBidi" w:hAnsiTheme="minorBidi" w:cstheme="minorBidi"/>
        </w:rPr>
        <w:t xml:space="preserve"> through consultation with the Education Sector, which the Committee adopted as a second funding priority for 2018</w:t>
      </w:r>
      <w:r w:rsidR="00F563AA" w:rsidRPr="006B6390">
        <w:rPr>
          <w:rFonts w:asciiTheme="minorBidi" w:hAnsiTheme="minorBidi" w:cstheme="minorBidi"/>
        </w:rPr>
        <w:t>–</w:t>
      </w:r>
      <w:r w:rsidR="00C052CE" w:rsidRPr="006B6390">
        <w:rPr>
          <w:rFonts w:asciiTheme="minorBidi" w:hAnsiTheme="minorBidi" w:cstheme="minorBidi"/>
        </w:rPr>
        <w:t>2021.</w:t>
      </w:r>
      <w:r w:rsidR="003C7650" w:rsidRPr="006B6390">
        <w:rPr>
          <w:rStyle w:val="FootnoteReference"/>
          <w:rFonts w:asciiTheme="minorBidi" w:hAnsiTheme="minorBidi" w:cstheme="minorBidi"/>
        </w:rPr>
        <w:footnoteReference w:id="8"/>
      </w:r>
      <w:r w:rsidR="00C052CE" w:rsidRPr="006B6390">
        <w:rPr>
          <w:rFonts w:asciiTheme="minorBidi" w:hAnsiTheme="minorBidi" w:cstheme="minorBidi"/>
        </w:rPr>
        <w:t xml:space="preserve"> Both </w:t>
      </w:r>
      <w:r w:rsidR="00F563AA" w:rsidRPr="006B6390">
        <w:rPr>
          <w:rFonts w:asciiTheme="minorBidi" w:hAnsiTheme="minorBidi" w:cstheme="minorBidi"/>
        </w:rPr>
        <w:t>s</w:t>
      </w:r>
      <w:r w:rsidR="00C052CE" w:rsidRPr="006B6390">
        <w:rPr>
          <w:rFonts w:asciiTheme="minorBidi" w:hAnsiTheme="minorBidi" w:cstheme="minorBidi"/>
        </w:rPr>
        <w:t>ectors saw clear strategic advantages of promoting a broader approach to safeguarding that has the potential to reach communities while helping States meet their commitments under Sustainable Development Goal 4</w:t>
      </w:r>
      <w:r w:rsidR="00D96750" w:rsidRPr="006B6390">
        <w:rPr>
          <w:rFonts w:asciiTheme="minorBidi" w:hAnsiTheme="minorBidi" w:cstheme="minorBidi"/>
        </w:rPr>
        <w:t xml:space="preserve"> (SDG 4)</w:t>
      </w:r>
      <w:r w:rsidR="00C052CE" w:rsidRPr="006B6390">
        <w:rPr>
          <w:rFonts w:asciiTheme="minorBidi" w:hAnsiTheme="minorBidi" w:cstheme="minorBidi"/>
        </w:rPr>
        <w:t xml:space="preserve">. Since then, the Secretariat has successfully steered intersectoral cooperation at Headquarters and in </w:t>
      </w:r>
      <w:r w:rsidR="00F563AA" w:rsidRPr="006B6390">
        <w:rPr>
          <w:rFonts w:asciiTheme="minorBidi" w:hAnsiTheme="minorBidi" w:cstheme="minorBidi"/>
        </w:rPr>
        <w:t>f</w:t>
      </w:r>
      <w:r w:rsidR="00C052CE" w:rsidRPr="006B6390">
        <w:rPr>
          <w:rFonts w:asciiTheme="minorBidi" w:hAnsiTheme="minorBidi" w:cstheme="minorBidi"/>
        </w:rPr>
        <w:t xml:space="preserve">ield </w:t>
      </w:r>
      <w:r w:rsidR="00F563AA" w:rsidRPr="006B6390">
        <w:rPr>
          <w:rFonts w:asciiTheme="minorBidi" w:hAnsiTheme="minorBidi" w:cstheme="minorBidi"/>
        </w:rPr>
        <w:t>o</w:t>
      </w:r>
      <w:r w:rsidR="00C052CE" w:rsidRPr="006B6390">
        <w:rPr>
          <w:rFonts w:asciiTheme="minorBidi" w:hAnsiTheme="minorBidi" w:cstheme="minorBidi"/>
        </w:rPr>
        <w:t xml:space="preserve">ffices through joint projects and a </w:t>
      </w:r>
      <w:hyperlink r:id="rId22" w:history="1">
        <w:r w:rsidR="00C052CE" w:rsidRPr="006B6390">
          <w:rPr>
            <w:rStyle w:val="Hyperlink"/>
            <w:rFonts w:asciiTheme="minorBidi" w:hAnsiTheme="minorBidi" w:cstheme="minorBidi"/>
          </w:rPr>
          <w:t>global meeting (2019)</w:t>
        </w:r>
      </w:hyperlink>
      <w:r w:rsidR="00C052CE" w:rsidRPr="006B6390">
        <w:rPr>
          <w:rFonts w:asciiTheme="minorBidi" w:hAnsiTheme="minorBidi" w:cstheme="minorBidi"/>
        </w:rPr>
        <w:t xml:space="preserve">, and anchored the </w:t>
      </w:r>
      <w:r w:rsidR="00F563AA" w:rsidRPr="006B6390">
        <w:rPr>
          <w:rFonts w:asciiTheme="minorBidi" w:hAnsiTheme="minorBidi" w:cstheme="minorBidi"/>
        </w:rPr>
        <w:t>l</w:t>
      </w:r>
      <w:r w:rsidR="00C052CE" w:rsidRPr="006B6390">
        <w:rPr>
          <w:rFonts w:asciiTheme="minorBidi" w:hAnsiTheme="minorBidi" w:cstheme="minorBidi"/>
        </w:rPr>
        <w:t>iving heritage and education programme as an intersectoral priority area in UNESCO</w:t>
      </w:r>
      <w:r w:rsidR="00F563AA" w:rsidRPr="006B6390">
        <w:rPr>
          <w:rFonts w:asciiTheme="minorBidi" w:hAnsiTheme="minorBidi" w:cstheme="minorBidi"/>
        </w:rPr>
        <w:t>’</w:t>
      </w:r>
      <w:r w:rsidR="00C052CE" w:rsidRPr="006B6390">
        <w:rPr>
          <w:rFonts w:asciiTheme="minorBidi" w:hAnsiTheme="minorBidi" w:cstheme="minorBidi"/>
        </w:rPr>
        <w:t>s programme (40C/5</w:t>
      </w:r>
      <w:r w:rsidR="00D96750" w:rsidRPr="006B6390">
        <w:rPr>
          <w:rFonts w:asciiTheme="minorBidi" w:hAnsiTheme="minorBidi" w:cstheme="minorBidi"/>
        </w:rPr>
        <w:t xml:space="preserve"> an</w:t>
      </w:r>
      <w:r w:rsidR="00F563AA" w:rsidRPr="006B6390">
        <w:rPr>
          <w:rFonts w:asciiTheme="minorBidi" w:hAnsiTheme="minorBidi" w:cstheme="minorBidi"/>
        </w:rPr>
        <w:t>d</w:t>
      </w:r>
      <w:r w:rsidR="00D96750" w:rsidRPr="006B6390">
        <w:rPr>
          <w:rFonts w:asciiTheme="minorBidi" w:hAnsiTheme="minorBidi" w:cstheme="minorBidi"/>
        </w:rPr>
        <w:t xml:space="preserve"> draft 41C/5</w:t>
      </w:r>
      <w:r w:rsidR="00C052CE" w:rsidRPr="006B6390">
        <w:rPr>
          <w:rFonts w:asciiTheme="minorBidi" w:hAnsiTheme="minorBidi" w:cstheme="minorBidi"/>
        </w:rPr>
        <w:t>). Today, the role of living heritage and its importance for achieving SDG 4 for quality education is better understood and illustrated.</w:t>
      </w:r>
    </w:p>
    <w:p w14:paraId="49FAF3A5" w14:textId="549DCCFE" w:rsidR="00C052CE" w:rsidRPr="006B6390" w:rsidRDefault="00E453D5" w:rsidP="00C052CE">
      <w:pPr>
        <w:pStyle w:val="COMPara"/>
        <w:ind w:left="567" w:hanging="567"/>
        <w:jc w:val="both"/>
        <w:rPr>
          <w:rFonts w:asciiTheme="minorBidi" w:hAnsiTheme="minorBidi" w:cstheme="minorBidi"/>
        </w:rPr>
      </w:pPr>
      <w:r w:rsidRPr="006B6390">
        <w:rPr>
          <w:rFonts w:asciiTheme="minorBidi" w:hAnsiTheme="minorBidi" w:cstheme="minorBidi"/>
        </w:rPr>
        <w:t>S</w:t>
      </w:r>
      <w:r w:rsidR="00C052CE" w:rsidRPr="006B6390">
        <w:rPr>
          <w:rFonts w:asciiTheme="minorBidi" w:hAnsiTheme="minorBidi" w:cstheme="minorBidi"/>
        </w:rPr>
        <w:t>ixteen field offices have spearheaded projects and activities in more than fifty countries, integrating living heritage in school-based and non-formal education and building capacities of teachers and teacher educators. Three regions (Europe, Asia and the Pacific, Latin America and the Caribbean) generated knowledge about existing experiences through surveys. Fifteen projects were evaluated in the IOS evaluation with promising results: increased awareness of and respect for living heritage amongst youth and the wider community together with fostered identity, pride and appreciation for cultural diversity. Participating teachers developed capacities and confidence to integrate intangible cultural heritage in their teaching across all subjects, and the partnerships developed between communities, bearers and schools were considered one of the most rewarding features of the projects. There is now a need to scale up the projects to anchor them in education systems.</w:t>
      </w:r>
    </w:p>
    <w:p w14:paraId="3B61CC8B" w14:textId="43961530" w:rsidR="00C052CE" w:rsidRPr="006B6390" w:rsidRDefault="00C052CE" w:rsidP="00C052CE">
      <w:pPr>
        <w:pStyle w:val="COMPara"/>
        <w:ind w:left="567" w:hanging="567"/>
        <w:jc w:val="both"/>
        <w:rPr>
          <w:rFonts w:asciiTheme="minorBidi" w:hAnsiTheme="minorBidi" w:cstheme="minorBidi"/>
        </w:rPr>
      </w:pPr>
      <w:r w:rsidRPr="006B6390">
        <w:rPr>
          <w:rFonts w:asciiTheme="minorBidi" w:hAnsiTheme="minorBidi" w:cstheme="minorBidi"/>
          <w:color w:val="000000"/>
        </w:rPr>
        <w:t>At the global level,</w:t>
      </w:r>
      <w:r w:rsidRPr="006B6390">
        <w:rPr>
          <w:rFonts w:asciiTheme="minorBidi" w:hAnsiTheme="minorBidi" w:cstheme="minorBidi"/>
          <w:color w:val="666666"/>
        </w:rPr>
        <w:t xml:space="preserve"> </w:t>
      </w:r>
      <w:r w:rsidRPr="006B6390">
        <w:rPr>
          <w:rFonts w:asciiTheme="minorBidi" w:hAnsiTheme="minorBidi" w:cstheme="minorBidi"/>
        </w:rPr>
        <w:t xml:space="preserve">the Secretariat built new knowledge, in collaboration with the Education Sector, on </w:t>
      </w:r>
      <w:r w:rsidR="0011652D" w:rsidRPr="006B6390">
        <w:rPr>
          <w:rFonts w:asciiTheme="minorBidi" w:hAnsiTheme="minorBidi" w:cstheme="minorBidi"/>
        </w:rPr>
        <w:t xml:space="preserve">the </w:t>
      </w:r>
      <w:r w:rsidRPr="006B6390">
        <w:rPr>
          <w:rFonts w:asciiTheme="minorBidi" w:hAnsiTheme="minorBidi" w:cstheme="minorBidi"/>
        </w:rPr>
        <w:t xml:space="preserve">education-related indicators of the Overall </w:t>
      </w:r>
      <w:r w:rsidR="00F563AA" w:rsidRPr="006B6390">
        <w:rPr>
          <w:rFonts w:asciiTheme="minorBidi" w:hAnsiTheme="minorBidi" w:cstheme="minorBidi"/>
        </w:rPr>
        <w:t>R</w:t>
      </w:r>
      <w:r w:rsidRPr="006B6390">
        <w:rPr>
          <w:rFonts w:asciiTheme="minorBidi" w:hAnsiTheme="minorBidi" w:cstheme="minorBidi"/>
        </w:rPr>
        <w:t xml:space="preserve">esults </w:t>
      </w:r>
      <w:r w:rsidR="00F563AA" w:rsidRPr="006B6390">
        <w:rPr>
          <w:rFonts w:asciiTheme="minorBidi" w:hAnsiTheme="minorBidi" w:cstheme="minorBidi"/>
        </w:rPr>
        <w:t>F</w:t>
      </w:r>
      <w:r w:rsidRPr="006B6390">
        <w:rPr>
          <w:rFonts w:asciiTheme="minorBidi" w:hAnsiTheme="minorBidi" w:cstheme="minorBidi"/>
        </w:rPr>
        <w:t xml:space="preserve">ramework for the Convention and their relationship with SDG 4 (2020) through an expert meeting and a public </w:t>
      </w:r>
      <w:hyperlink r:id="rId23" w:history="1">
        <w:r w:rsidRPr="006B6390">
          <w:rPr>
            <w:rStyle w:val="Hyperlink"/>
            <w:rFonts w:asciiTheme="minorBidi" w:hAnsiTheme="minorBidi" w:cstheme="minorBidi"/>
          </w:rPr>
          <w:t>webinar</w:t>
        </w:r>
      </w:hyperlink>
      <w:r w:rsidRPr="006B6390">
        <w:rPr>
          <w:rFonts w:asciiTheme="minorBidi" w:hAnsiTheme="minorBidi" w:cstheme="minorBidi"/>
        </w:rPr>
        <w:t xml:space="preserve"> (2021). </w:t>
      </w:r>
      <w:r w:rsidR="0011652D" w:rsidRPr="006B6390">
        <w:rPr>
          <w:rFonts w:asciiTheme="minorBidi" w:hAnsiTheme="minorBidi" w:cstheme="minorBidi"/>
        </w:rPr>
        <w:t>F</w:t>
      </w:r>
      <w:r w:rsidRPr="006B6390">
        <w:rPr>
          <w:rFonts w:asciiTheme="minorBidi" w:hAnsiTheme="minorBidi" w:cstheme="minorBidi"/>
        </w:rPr>
        <w:t xml:space="preserve">urthermore, </w:t>
      </w:r>
      <w:r w:rsidR="0011652D" w:rsidRPr="006B6390">
        <w:rPr>
          <w:rFonts w:asciiTheme="minorBidi" w:hAnsiTheme="minorBidi" w:cstheme="minorBidi"/>
        </w:rPr>
        <w:t xml:space="preserve">it </w:t>
      </w:r>
      <w:r w:rsidRPr="006B6390">
        <w:rPr>
          <w:rFonts w:asciiTheme="minorBidi" w:hAnsiTheme="minorBidi" w:cstheme="minorBidi"/>
        </w:rPr>
        <w:t>developed an online training course on living heritage and education</w:t>
      </w:r>
      <w:r w:rsidR="0011652D" w:rsidRPr="006B6390">
        <w:rPr>
          <w:rFonts w:asciiTheme="minorBidi" w:hAnsiTheme="minorBidi" w:cstheme="minorBidi"/>
        </w:rPr>
        <w:t>,</w:t>
      </w:r>
      <w:r w:rsidRPr="006B6390">
        <w:rPr>
          <w:rFonts w:asciiTheme="minorBidi" w:hAnsiTheme="minorBidi" w:cstheme="minorBidi"/>
        </w:rPr>
        <w:t xml:space="preserve"> resulting in a global learning network of </w:t>
      </w:r>
      <w:r w:rsidR="0011652D" w:rsidRPr="006B6390">
        <w:rPr>
          <w:rFonts w:asciiTheme="minorBidi" w:hAnsiTheme="minorBidi" w:cstheme="minorBidi"/>
        </w:rPr>
        <w:t>forty</w:t>
      </w:r>
      <w:r w:rsidRPr="006B6390">
        <w:rPr>
          <w:rFonts w:asciiTheme="minorBidi" w:hAnsiTheme="minorBidi" w:cstheme="minorBidi"/>
        </w:rPr>
        <w:t xml:space="preserve"> resource person</w:t>
      </w:r>
      <w:r w:rsidR="0011652D" w:rsidRPr="006B6390">
        <w:rPr>
          <w:rFonts w:asciiTheme="minorBidi" w:hAnsiTheme="minorBidi" w:cstheme="minorBidi"/>
        </w:rPr>
        <w:t>s</w:t>
      </w:r>
      <w:r w:rsidRPr="006B6390">
        <w:rPr>
          <w:rFonts w:asciiTheme="minorBidi" w:hAnsiTheme="minorBidi" w:cstheme="minorBidi"/>
        </w:rPr>
        <w:t xml:space="preserve"> equipped to provide training and advisory services on demand. Finally, to facilitate knowledge</w:t>
      </w:r>
      <w:r w:rsidR="0011652D" w:rsidRPr="006B6390">
        <w:rPr>
          <w:rFonts w:asciiTheme="minorBidi" w:hAnsiTheme="minorBidi" w:cstheme="minorBidi"/>
        </w:rPr>
        <w:t>-</w:t>
      </w:r>
      <w:r w:rsidRPr="006B6390">
        <w:rPr>
          <w:rFonts w:asciiTheme="minorBidi" w:hAnsiTheme="minorBidi" w:cstheme="minorBidi"/>
        </w:rPr>
        <w:t xml:space="preserve">sharing, cooperation and innovation, the Secretariat developed a </w:t>
      </w:r>
      <w:hyperlink r:id="rId24" w:history="1">
        <w:r w:rsidRPr="006B6390">
          <w:rPr>
            <w:rStyle w:val="Hyperlink"/>
            <w:rFonts w:asciiTheme="minorBidi" w:hAnsiTheme="minorBidi" w:cstheme="minorBidi"/>
          </w:rPr>
          <w:t>clearinghouse</w:t>
        </w:r>
      </w:hyperlink>
      <w:r w:rsidRPr="006B6390">
        <w:rPr>
          <w:rFonts w:asciiTheme="minorBidi" w:hAnsiTheme="minorBidi" w:cstheme="minorBidi"/>
        </w:rPr>
        <w:t xml:space="preserve"> on living heritage and education</w:t>
      </w:r>
      <w:r w:rsidR="0011652D" w:rsidRPr="006B6390">
        <w:rPr>
          <w:rFonts w:asciiTheme="minorBidi" w:hAnsiTheme="minorBidi" w:cstheme="minorBidi"/>
        </w:rPr>
        <w:t>,</w:t>
      </w:r>
      <w:r w:rsidRPr="006B6390">
        <w:rPr>
          <w:rFonts w:asciiTheme="minorBidi" w:hAnsiTheme="minorBidi" w:cstheme="minorBidi"/>
        </w:rPr>
        <w:t xml:space="preserve"> which contains documentation of all the innovative projects carried out </w:t>
      </w:r>
      <w:r w:rsidR="00D96750" w:rsidRPr="006B6390">
        <w:rPr>
          <w:rFonts w:asciiTheme="minorBidi" w:hAnsiTheme="minorBidi" w:cstheme="minorBidi"/>
        </w:rPr>
        <w:t xml:space="preserve">so far </w:t>
      </w:r>
      <w:r w:rsidRPr="006B6390">
        <w:rPr>
          <w:rFonts w:asciiTheme="minorBidi" w:hAnsiTheme="minorBidi" w:cstheme="minorBidi"/>
        </w:rPr>
        <w:t>under the programme.</w:t>
      </w:r>
    </w:p>
    <w:p w14:paraId="558E21D4" w14:textId="77777777" w:rsidR="00AA440C" w:rsidRPr="006B6390" w:rsidRDefault="00AA440C" w:rsidP="00AA440C">
      <w:pPr>
        <w:pStyle w:val="COMPara"/>
        <w:numPr>
          <w:ilvl w:val="0"/>
          <w:numId w:val="6"/>
        </w:numPr>
        <w:spacing w:before="240"/>
        <w:ind w:left="567" w:hanging="425"/>
        <w:jc w:val="both"/>
        <w:rPr>
          <w:rFonts w:asciiTheme="minorBidi" w:hAnsiTheme="minorBidi" w:cstheme="minorBidi"/>
          <w:b/>
          <w:bCs/>
        </w:rPr>
      </w:pPr>
      <w:r w:rsidRPr="006B6390">
        <w:rPr>
          <w:rFonts w:asciiTheme="minorBidi" w:hAnsiTheme="minorBidi" w:cstheme="minorBidi"/>
          <w:b/>
          <w:bCs/>
        </w:rPr>
        <w:lastRenderedPageBreak/>
        <w:t>Communication and outreach</w:t>
      </w:r>
    </w:p>
    <w:p w14:paraId="564735A6" w14:textId="2712F015" w:rsidR="00AA440C" w:rsidRPr="006B6390" w:rsidRDefault="00AA440C" w:rsidP="00AA440C">
      <w:pPr>
        <w:pStyle w:val="COMPara"/>
        <w:ind w:left="567" w:hanging="567"/>
        <w:jc w:val="both"/>
        <w:rPr>
          <w:rFonts w:asciiTheme="minorBidi" w:hAnsiTheme="minorBidi" w:cstheme="minorBidi"/>
        </w:rPr>
      </w:pPr>
      <w:r w:rsidRPr="006B6390">
        <w:rPr>
          <w:rFonts w:asciiTheme="minorBidi" w:hAnsiTheme="minorBidi" w:cstheme="minorBidi"/>
        </w:rPr>
        <w:t xml:space="preserve">Building on the </w:t>
      </w:r>
      <w:r w:rsidR="00E453D5" w:rsidRPr="006B6390">
        <w:rPr>
          <w:rFonts w:asciiTheme="minorBidi" w:hAnsiTheme="minorBidi" w:cstheme="minorBidi"/>
        </w:rPr>
        <w:t xml:space="preserve">positive feedback </w:t>
      </w:r>
      <w:r w:rsidRPr="006B6390">
        <w:rPr>
          <w:rFonts w:asciiTheme="minorBidi" w:hAnsiTheme="minorBidi" w:cstheme="minorBidi"/>
        </w:rPr>
        <w:t xml:space="preserve">– especially </w:t>
      </w:r>
      <w:r w:rsidR="00E453D5" w:rsidRPr="006B6390">
        <w:rPr>
          <w:rFonts w:asciiTheme="minorBidi" w:hAnsiTheme="minorBidi" w:cstheme="minorBidi"/>
        </w:rPr>
        <w:t>from</w:t>
      </w:r>
      <w:r w:rsidRPr="006B6390">
        <w:rPr>
          <w:rFonts w:asciiTheme="minorBidi" w:hAnsiTheme="minorBidi" w:cstheme="minorBidi"/>
        </w:rPr>
        <w:t xml:space="preserve"> youth – </w:t>
      </w:r>
      <w:r w:rsidR="0011652D" w:rsidRPr="006B6390">
        <w:rPr>
          <w:rFonts w:asciiTheme="minorBidi" w:hAnsiTheme="minorBidi" w:cstheme="minorBidi"/>
        </w:rPr>
        <w:t>to</w:t>
      </w:r>
      <w:r w:rsidRPr="006B6390">
        <w:rPr>
          <w:rFonts w:asciiTheme="minorBidi" w:hAnsiTheme="minorBidi" w:cstheme="minorBidi"/>
        </w:rPr>
        <w:t xml:space="preserve"> the project ‘</w:t>
      </w:r>
      <w:hyperlink r:id="rId25" w:history="1">
        <w:r w:rsidRPr="006B6390">
          <w:rPr>
            <w:rStyle w:val="Hyperlink"/>
            <w:rFonts w:asciiTheme="minorBidi" w:hAnsiTheme="minorBidi" w:cstheme="minorBidi"/>
          </w:rPr>
          <w:t>Dive into intangible cultural heritage</w:t>
        </w:r>
      </w:hyperlink>
      <w:r w:rsidRPr="006B6390">
        <w:rPr>
          <w:rFonts w:asciiTheme="minorBidi" w:hAnsiTheme="minorBidi" w:cstheme="minorBidi"/>
        </w:rPr>
        <w:t>’ launched at the end of 2019</w:t>
      </w:r>
      <w:r w:rsidR="008B1960" w:rsidRPr="006B6390">
        <w:rPr>
          <w:rFonts w:asciiTheme="minorBidi" w:hAnsiTheme="minorBidi" w:cstheme="minorBidi"/>
        </w:rPr>
        <w:t xml:space="preserve"> with the support from the Netherlands</w:t>
      </w:r>
      <w:r w:rsidRPr="006B6390">
        <w:rPr>
          <w:rFonts w:asciiTheme="minorBidi" w:hAnsiTheme="minorBidi" w:cstheme="minorBidi"/>
        </w:rPr>
        <w:t xml:space="preserve">, the Secretariat further improved the interface demonstrating the wide-ranging ways in which living heritage echoes sustainable development, and how more than 500 inscribed elements connect to Sustainable Development Goals. Released during the fifteenth session of the Committee in December 2020, this interface </w:t>
      </w:r>
      <w:r w:rsidR="0015752B" w:rsidRPr="006B6390">
        <w:rPr>
          <w:rFonts w:asciiTheme="minorBidi" w:hAnsiTheme="minorBidi" w:cstheme="minorBidi"/>
        </w:rPr>
        <w:t>was</w:t>
      </w:r>
      <w:r w:rsidRPr="006B6390">
        <w:rPr>
          <w:rFonts w:asciiTheme="minorBidi" w:hAnsiTheme="minorBidi" w:cstheme="minorBidi"/>
        </w:rPr>
        <w:t xml:space="preserve"> featured on 21 May 2021 during the High-level event on Culture and Sustainable Development convened in New York by the President of the United Nations General Assembly.</w:t>
      </w:r>
    </w:p>
    <w:p w14:paraId="04E204AA" w14:textId="28E126D0" w:rsidR="00AA440C" w:rsidRPr="006B6390" w:rsidRDefault="00AA440C" w:rsidP="00AA440C">
      <w:pPr>
        <w:pStyle w:val="COMPara"/>
        <w:ind w:left="567" w:hanging="567"/>
        <w:jc w:val="both"/>
        <w:rPr>
          <w:rFonts w:asciiTheme="minorBidi" w:hAnsiTheme="minorBidi" w:cstheme="minorBidi"/>
        </w:rPr>
      </w:pPr>
      <w:r w:rsidRPr="006B6390">
        <w:rPr>
          <w:rFonts w:asciiTheme="minorBidi" w:hAnsiTheme="minorBidi" w:cstheme="minorBidi"/>
        </w:rPr>
        <w:t xml:space="preserve">An effort </w:t>
      </w:r>
      <w:r w:rsidR="0015752B" w:rsidRPr="006B6390">
        <w:rPr>
          <w:rFonts w:asciiTheme="minorBidi" w:hAnsiTheme="minorBidi" w:cstheme="minorBidi"/>
        </w:rPr>
        <w:t>was</w:t>
      </w:r>
      <w:r w:rsidRPr="006B6390">
        <w:rPr>
          <w:rFonts w:asciiTheme="minorBidi" w:hAnsiTheme="minorBidi" w:cstheme="minorBidi"/>
        </w:rPr>
        <w:t xml:space="preserve"> engaged in 2021 to provide more frequent, diversified and engaging content on the portal of the Convention. Initiatives were taken to better </w:t>
      </w:r>
      <w:r w:rsidR="0015752B" w:rsidRPr="006B6390">
        <w:rPr>
          <w:rFonts w:asciiTheme="minorBidi" w:hAnsiTheme="minorBidi" w:cstheme="minorBidi"/>
        </w:rPr>
        <w:t>highlight</w:t>
      </w:r>
      <w:r w:rsidRPr="006B6390">
        <w:rPr>
          <w:rFonts w:asciiTheme="minorBidi" w:hAnsiTheme="minorBidi" w:cstheme="minorBidi"/>
        </w:rPr>
        <w:t xml:space="preserve"> thematic content, with the creation in 2020 of thematic pages dedicated to </w:t>
      </w:r>
      <w:hyperlink r:id="rId26" w:history="1">
        <w:r w:rsidRPr="006B6390">
          <w:rPr>
            <w:rStyle w:val="Hyperlink"/>
            <w:rFonts w:asciiTheme="minorBidi" w:hAnsiTheme="minorBidi" w:cstheme="minorBidi"/>
          </w:rPr>
          <w:t>living heritage in emergency situations</w:t>
        </w:r>
      </w:hyperlink>
      <w:r w:rsidRPr="006B6390">
        <w:rPr>
          <w:rFonts w:asciiTheme="minorBidi" w:hAnsiTheme="minorBidi" w:cstheme="minorBidi"/>
        </w:rPr>
        <w:t xml:space="preserve"> and </w:t>
      </w:r>
      <w:hyperlink r:id="rId27" w:history="1">
        <w:r w:rsidRPr="006B6390">
          <w:rPr>
            <w:rStyle w:val="Hyperlink"/>
            <w:rFonts w:asciiTheme="minorBidi" w:hAnsiTheme="minorBidi" w:cstheme="minorBidi"/>
          </w:rPr>
          <w:t>living heritage and education</w:t>
        </w:r>
      </w:hyperlink>
      <w:r w:rsidRPr="006B6390">
        <w:rPr>
          <w:rFonts w:asciiTheme="minorBidi" w:hAnsiTheme="minorBidi" w:cstheme="minorBidi"/>
        </w:rPr>
        <w:t>. A series of news items related to International Days has been published to better connect living heritage initiatives to UN-wide communication efforts. The exhibition ‘Sounds of living heritage, a journey through indigenous languages</w:t>
      </w:r>
      <w:r w:rsidR="0015752B" w:rsidRPr="006B6390">
        <w:rPr>
          <w:rFonts w:asciiTheme="minorBidi" w:hAnsiTheme="minorBidi" w:cstheme="minorBidi"/>
        </w:rPr>
        <w:t>,</w:t>
      </w:r>
      <w:r w:rsidRPr="006B6390">
        <w:rPr>
          <w:rFonts w:asciiTheme="minorBidi" w:hAnsiTheme="minorBidi" w:cstheme="minorBidi"/>
        </w:rPr>
        <w:t>’ initially launched in 2019, is displayed in the halls of UNESCO Headquarters, ahead of the 2022–2032 International Decade of Indigenous Languages.</w:t>
      </w:r>
    </w:p>
    <w:p w14:paraId="0B405391" w14:textId="5F61D0C8" w:rsidR="0033689E" w:rsidRPr="006B6390" w:rsidRDefault="0033689E" w:rsidP="009657E7">
      <w:pPr>
        <w:pStyle w:val="COMPara"/>
        <w:keepNext/>
        <w:numPr>
          <w:ilvl w:val="0"/>
          <w:numId w:val="6"/>
        </w:numPr>
        <w:spacing w:before="240"/>
        <w:ind w:left="567" w:hanging="425"/>
        <w:jc w:val="both"/>
        <w:rPr>
          <w:rFonts w:asciiTheme="minorBidi" w:hAnsiTheme="minorBidi" w:cstheme="minorBidi"/>
          <w:b/>
          <w:bCs/>
        </w:rPr>
      </w:pPr>
      <w:r w:rsidRPr="006B6390">
        <w:rPr>
          <w:rFonts w:asciiTheme="minorBidi" w:hAnsiTheme="minorBidi" w:cstheme="minorBidi"/>
          <w:b/>
          <w:bCs/>
        </w:rPr>
        <w:t>Thematic initiatives</w:t>
      </w:r>
    </w:p>
    <w:p w14:paraId="0E24C16C" w14:textId="5BA0DCA2" w:rsidR="00FF7943" w:rsidRPr="006B6390" w:rsidRDefault="00FF7943" w:rsidP="004710D7">
      <w:pPr>
        <w:pStyle w:val="COMPara"/>
        <w:ind w:left="567" w:hanging="567"/>
        <w:jc w:val="both"/>
        <w:rPr>
          <w:rFonts w:asciiTheme="minorBidi" w:eastAsiaTheme="minorEastAsia" w:hAnsiTheme="minorBidi" w:cstheme="minorBidi"/>
          <w:lang w:eastAsia="zh-CN"/>
        </w:rPr>
      </w:pPr>
      <w:r w:rsidRPr="006B6390">
        <w:rPr>
          <w:rFonts w:asciiTheme="minorBidi" w:eastAsiaTheme="minorEastAsia" w:hAnsiTheme="minorBidi" w:cstheme="minorBidi"/>
          <w:lang w:eastAsia="zh-CN"/>
        </w:rPr>
        <w:t xml:space="preserve">In line with </w:t>
      </w:r>
      <w:r w:rsidR="004B00ED" w:rsidRPr="006B6390">
        <w:rPr>
          <w:rFonts w:asciiTheme="minorBidi" w:eastAsiaTheme="minorEastAsia" w:hAnsiTheme="minorBidi" w:cstheme="minorBidi"/>
          <w:lang w:eastAsia="zh-CN"/>
        </w:rPr>
        <w:t xml:space="preserve">UNESCO’s </w:t>
      </w:r>
      <w:r w:rsidR="00D10013" w:rsidRPr="006B6390">
        <w:rPr>
          <w:rFonts w:asciiTheme="minorBidi" w:eastAsiaTheme="minorEastAsia" w:hAnsiTheme="minorBidi" w:cstheme="minorBidi"/>
          <w:lang w:eastAsia="zh-CN"/>
        </w:rPr>
        <w:t>Draft</w:t>
      </w:r>
      <w:r w:rsidR="004B00ED" w:rsidRPr="006B6390">
        <w:rPr>
          <w:rFonts w:asciiTheme="minorBidi" w:eastAsiaTheme="minorEastAsia" w:hAnsiTheme="minorBidi" w:cstheme="minorBidi"/>
          <w:lang w:eastAsia="zh-CN"/>
        </w:rPr>
        <w:t xml:space="preserve"> Medium-Term Strategy for 2022</w:t>
      </w:r>
      <w:r w:rsidR="00F8650B" w:rsidRPr="006B6390">
        <w:rPr>
          <w:rFonts w:asciiTheme="minorBidi" w:hAnsiTheme="minorBidi" w:cstheme="minorBidi"/>
        </w:rPr>
        <w:t>–</w:t>
      </w:r>
      <w:r w:rsidR="004B00ED" w:rsidRPr="006B6390">
        <w:rPr>
          <w:rFonts w:asciiTheme="minorBidi" w:eastAsiaTheme="minorEastAsia" w:hAnsiTheme="minorBidi" w:cstheme="minorBidi"/>
          <w:lang w:eastAsia="zh-CN"/>
        </w:rPr>
        <w:t>2029</w:t>
      </w:r>
      <w:r w:rsidR="00D10013" w:rsidRPr="006B6390">
        <w:rPr>
          <w:rFonts w:asciiTheme="minorBidi" w:eastAsiaTheme="minorEastAsia" w:hAnsiTheme="minorBidi" w:cstheme="minorBidi"/>
          <w:lang w:eastAsia="zh-CN"/>
        </w:rPr>
        <w:t xml:space="preserve"> </w:t>
      </w:r>
      <w:r w:rsidR="004B00ED" w:rsidRPr="006B6390">
        <w:rPr>
          <w:rFonts w:asciiTheme="minorBidi" w:eastAsiaTheme="minorEastAsia" w:hAnsiTheme="minorBidi" w:cstheme="minorBidi"/>
          <w:lang w:eastAsia="zh-CN"/>
        </w:rPr>
        <w:t>(</w:t>
      </w:r>
      <w:r w:rsidR="00D10013" w:rsidRPr="006B6390">
        <w:rPr>
          <w:rFonts w:asciiTheme="minorBidi" w:eastAsiaTheme="minorEastAsia" w:hAnsiTheme="minorBidi" w:cstheme="minorBidi"/>
          <w:lang w:eastAsia="zh-CN"/>
        </w:rPr>
        <w:t>41C/4</w:t>
      </w:r>
      <w:r w:rsidR="004B00ED" w:rsidRPr="006B6390">
        <w:rPr>
          <w:rFonts w:asciiTheme="minorBidi" w:eastAsiaTheme="minorEastAsia" w:hAnsiTheme="minorBidi" w:cstheme="minorBidi"/>
          <w:lang w:eastAsia="zh-CN"/>
        </w:rPr>
        <w:t>)</w:t>
      </w:r>
      <w:r w:rsidR="00E52240" w:rsidRPr="006B6390">
        <w:rPr>
          <w:rFonts w:asciiTheme="minorBidi" w:eastAsiaTheme="minorEastAsia" w:hAnsiTheme="minorBidi" w:cstheme="minorBidi"/>
          <w:lang w:eastAsia="zh-CN"/>
        </w:rPr>
        <w:t xml:space="preserve">, </w:t>
      </w:r>
      <w:r w:rsidR="00FD523B" w:rsidRPr="006B6390">
        <w:rPr>
          <w:rFonts w:asciiTheme="minorBidi" w:eastAsiaTheme="minorEastAsia" w:hAnsiTheme="minorBidi" w:cstheme="minorBidi"/>
          <w:lang w:eastAsia="zh-CN"/>
        </w:rPr>
        <w:t>the Operational Directives of the Convention (Chapter VI)</w:t>
      </w:r>
      <w:r w:rsidR="00E52240" w:rsidRPr="006B6390">
        <w:rPr>
          <w:rFonts w:asciiTheme="minorBidi" w:eastAsiaTheme="minorEastAsia" w:hAnsiTheme="minorBidi" w:cstheme="minorBidi"/>
          <w:lang w:eastAsia="zh-CN"/>
        </w:rPr>
        <w:t xml:space="preserve"> and the Committee’s Decision underli</w:t>
      </w:r>
      <w:r w:rsidR="00B44C6A" w:rsidRPr="006B6390">
        <w:rPr>
          <w:rFonts w:asciiTheme="minorBidi" w:eastAsiaTheme="minorEastAsia" w:hAnsiTheme="minorBidi" w:cstheme="minorBidi"/>
          <w:lang w:eastAsia="zh-CN"/>
        </w:rPr>
        <w:t>n</w:t>
      </w:r>
      <w:r w:rsidR="00E52240" w:rsidRPr="006B6390">
        <w:rPr>
          <w:rFonts w:asciiTheme="minorBidi" w:eastAsiaTheme="minorEastAsia" w:hAnsiTheme="minorBidi" w:cstheme="minorBidi"/>
          <w:lang w:eastAsia="zh-CN"/>
        </w:rPr>
        <w:t xml:space="preserve">ing the importance </w:t>
      </w:r>
      <w:r w:rsidR="00F8650B" w:rsidRPr="006B6390">
        <w:rPr>
          <w:rFonts w:asciiTheme="minorBidi" w:eastAsiaTheme="minorEastAsia" w:hAnsiTheme="minorBidi" w:cstheme="minorBidi"/>
          <w:lang w:eastAsia="zh-CN"/>
        </w:rPr>
        <w:t>of</w:t>
      </w:r>
      <w:r w:rsidR="00E52240" w:rsidRPr="006B6390">
        <w:rPr>
          <w:rFonts w:asciiTheme="minorBidi" w:eastAsiaTheme="minorEastAsia" w:hAnsiTheme="minorBidi" w:cstheme="minorBidi"/>
          <w:lang w:eastAsia="zh-CN"/>
        </w:rPr>
        <w:t xml:space="preserve"> highlight</w:t>
      </w:r>
      <w:r w:rsidR="00F8650B" w:rsidRPr="006B6390">
        <w:rPr>
          <w:rFonts w:asciiTheme="minorBidi" w:eastAsiaTheme="minorEastAsia" w:hAnsiTheme="minorBidi" w:cstheme="minorBidi"/>
          <w:lang w:eastAsia="zh-CN"/>
        </w:rPr>
        <w:t>ing</w:t>
      </w:r>
      <w:r w:rsidR="00E52240" w:rsidRPr="006B6390">
        <w:rPr>
          <w:rFonts w:asciiTheme="minorBidi" w:eastAsiaTheme="minorEastAsia" w:hAnsiTheme="minorBidi" w:cstheme="minorBidi"/>
          <w:lang w:eastAsia="zh-CN"/>
        </w:rPr>
        <w:t xml:space="preserve"> the contributions of living heritage to </w:t>
      </w:r>
      <w:r w:rsidR="00F91DBB" w:rsidRPr="006B6390">
        <w:rPr>
          <w:rFonts w:asciiTheme="minorBidi" w:eastAsiaTheme="minorEastAsia" w:hAnsiTheme="minorBidi" w:cstheme="minorBidi"/>
          <w:lang w:eastAsia="zh-CN"/>
        </w:rPr>
        <w:t>sustainable development</w:t>
      </w:r>
      <w:r w:rsidR="00D10013" w:rsidRPr="006B6390">
        <w:rPr>
          <w:rFonts w:asciiTheme="minorBidi" w:eastAsiaTheme="minorEastAsia" w:hAnsiTheme="minorBidi" w:cstheme="minorBidi"/>
          <w:lang w:eastAsia="zh-CN"/>
        </w:rPr>
        <w:t>,</w:t>
      </w:r>
      <w:bookmarkStart w:id="0" w:name="_Ref88177584"/>
      <w:r w:rsidR="00635B5A" w:rsidRPr="006B6390">
        <w:rPr>
          <w:rStyle w:val="FootnoteReference"/>
          <w:rFonts w:asciiTheme="minorBidi" w:eastAsiaTheme="minorEastAsia" w:hAnsiTheme="minorBidi" w:cstheme="minorBidi"/>
          <w:lang w:eastAsia="zh-CN"/>
        </w:rPr>
        <w:footnoteReference w:id="9"/>
      </w:r>
      <w:bookmarkEnd w:id="0"/>
      <w:r w:rsidR="00FD523B" w:rsidRPr="006B6390">
        <w:rPr>
          <w:rFonts w:asciiTheme="minorBidi" w:eastAsiaTheme="minorEastAsia" w:hAnsiTheme="minorBidi" w:cstheme="minorBidi"/>
          <w:lang w:eastAsia="zh-CN"/>
        </w:rPr>
        <w:t xml:space="preserve"> the Secretariat initiated efforts in specific thematic areas to </w:t>
      </w:r>
      <w:r w:rsidR="00F91DBB" w:rsidRPr="006B6390">
        <w:rPr>
          <w:rFonts w:asciiTheme="minorBidi" w:eastAsiaTheme="minorEastAsia" w:hAnsiTheme="minorBidi" w:cstheme="minorBidi"/>
          <w:lang w:eastAsia="zh-CN"/>
        </w:rPr>
        <w:t xml:space="preserve">contribute to </w:t>
      </w:r>
      <w:r w:rsidR="00FD523B" w:rsidRPr="006B6390">
        <w:rPr>
          <w:rFonts w:asciiTheme="minorBidi" w:eastAsiaTheme="minorEastAsia" w:hAnsiTheme="minorBidi" w:cstheme="minorBidi"/>
          <w:lang w:eastAsia="zh-CN"/>
        </w:rPr>
        <w:t>a holistic approach to heritage safeguarding and sustainable development. These efforts also respond to the concerns raised by stakeholders interviewed as part of the IOS evaluation and to IOS Recommendation 3 to intensify efforts in priority thematic areas.</w:t>
      </w:r>
    </w:p>
    <w:p w14:paraId="065B8A51" w14:textId="6B21E89B" w:rsidR="004710D7" w:rsidRPr="006B6390" w:rsidRDefault="004710D7" w:rsidP="004710D7">
      <w:pPr>
        <w:pStyle w:val="COMPara"/>
        <w:ind w:left="567" w:hanging="567"/>
        <w:jc w:val="both"/>
        <w:rPr>
          <w:rFonts w:asciiTheme="minorBidi" w:eastAsiaTheme="minorEastAsia" w:hAnsiTheme="minorBidi" w:cstheme="minorBidi"/>
          <w:lang w:eastAsia="zh-CN"/>
        </w:rPr>
      </w:pPr>
      <w:r w:rsidRPr="006B6390">
        <w:rPr>
          <w:rFonts w:asciiTheme="minorBidi" w:hAnsiTheme="minorBidi" w:cstheme="minorBidi"/>
          <w:b/>
          <w:bCs/>
        </w:rPr>
        <w:t>Intangible cultural heritage and climate change</w:t>
      </w:r>
      <w:r w:rsidR="00462506" w:rsidRPr="006B6390">
        <w:rPr>
          <w:rFonts w:asciiTheme="minorBidi" w:hAnsiTheme="minorBidi" w:cstheme="minorBidi"/>
        </w:rPr>
        <w:t>:</w:t>
      </w:r>
      <w:r w:rsidR="00462506" w:rsidRPr="006B6390">
        <w:rPr>
          <w:rFonts w:asciiTheme="minorBidi" w:hAnsiTheme="minorBidi" w:cstheme="minorBidi"/>
          <w:b/>
          <w:bCs/>
        </w:rPr>
        <w:t xml:space="preserve"> </w:t>
      </w:r>
      <w:r w:rsidR="00462506" w:rsidRPr="006B6390">
        <w:rPr>
          <w:rFonts w:asciiTheme="minorBidi" w:hAnsiTheme="minorBidi" w:cstheme="minorBidi"/>
        </w:rPr>
        <w:t>An emerging area of concern is the relationship between intangible cultural heritage and climate change, including climate-induced disasters</w:t>
      </w:r>
      <w:r w:rsidR="00FD523B" w:rsidRPr="006B6390">
        <w:rPr>
          <w:rFonts w:asciiTheme="minorBidi" w:hAnsiTheme="minorBidi" w:cstheme="minorBidi"/>
        </w:rPr>
        <w:t>.</w:t>
      </w:r>
      <w:r w:rsidR="00462506" w:rsidRPr="006B6390">
        <w:rPr>
          <w:rFonts w:asciiTheme="minorBidi" w:hAnsiTheme="minorBidi" w:cstheme="minorBidi"/>
        </w:rPr>
        <w:t xml:space="preserve"> </w:t>
      </w:r>
      <w:r w:rsidR="00FD523B" w:rsidRPr="006B6390">
        <w:rPr>
          <w:rFonts w:asciiTheme="minorBidi" w:hAnsiTheme="minorBidi" w:cstheme="minorBidi"/>
        </w:rPr>
        <w:t>T</w:t>
      </w:r>
      <w:r w:rsidR="00462506" w:rsidRPr="006B6390">
        <w:rPr>
          <w:rFonts w:asciiTheme="minorBidi" w:hAnsiTheme="minorBidi" w:cstheme="minorBidi"/>
        </w:rPr>
        <w:t>o this end</w:t>
      </w:r>
      <w:r w:rsidR="00E52240" w:rsidRPr="006B6390">
        <w:rPr>
          <w:rFonts w:asciiTheme="minorBidi" w:hAnsiTheme="minorBidi" w:cstheme="minorBidi"/>
        </w:rPr>
        <w:t xml:space="preserve"> and in response to the Committee’s request</w:t>
      </w:r>
      <w:r w:rsidR="005C0B46" w:rsidRPr="006B6390">
        <w:rPr>
          <w:rFonts w:asciiTheme="minorBidi" w:hAnsiTheme="minorBidi" w:cstheme="minorBidi"/>
        </w:rPr>
        <w:t xml:space="preserve"> to better highlight the links between intangible cultural heritage and environmental sustainability</w:t>
      </w:r>
      <w:r w:rsidR="00462506" w:rsidRPr="006B6390">
        <w:rPr>
          <w:rFonts w:asciiTheme="minorBidi" w:hAnsiTheme="minorBidi" w:cstheme="minorBidi"/>
        </w:rPr>
        <w:t>,</w:t>
      </w:r>
      <w:r w:rsidR="005C0B46" w:rsidRPr="006B6390">
        <w:rPr>
          <w:rFonts w:asciiTheme="minorBidi" w:hAnsiTheme="minorBidi" w:cstheme="minorBidi"/>
          <w:vertAlign w:val="superscript"/>
        </w:rPr>
        <w:fldChar w:fldCharType="begin"/>
      </w:r>
      <w:r w:rsidR="005C0B46" w:rsidRPr="006B6390">
        <w:rPr>
          <w:rFonts w:asciiTheme="minorBidi" w:hAnsiTheme="minorBidi" w:cstheme="minorBidi"/>
          <w:vertAlign w:val="superscript"/>
        </w:rPr>
        <w:instrText xml:space="preserve"> NOTEREF _Ref88177584 \h  \* MERGEFORMAT </w:instrText>
      </w:r>
      <w:r w:rsidR="005C0B46" w:rsidRPr="006B6390">
        <w:rPr>
          <w:rFonts w:asciiTheme="minorBidi" w:hAnsiTheme="minorBidi" w:cstheme="minorBidi"/>
          <w:vertAlign w:val="superscript"/>
        </w:rPr>
      </w:r>
      <w:r w:rsidR="005C0B46" w:rsidRPr="006B6390">
        <w:rPr>
          <w:rFonts w:asciiTheme="minorBidi" w:hAnsiTheme="minorBidi" w:cstheme="minorBidi"/>
          <w:vertAlign w:val="superscript"/>
        </w:rPr>
        <w:fldChar w:fldCharType="separate"/>
      </w:r>
      <w:r w:rsidR="000004B6" w:rsidRPr="006B6390">
        <w:rPr>
          <w:rFonts w:asciiTheme="minorBidi" w:hAnsiTheme="minorBidi" w:cstheme="minorBidi"/>
          <w:vertAlign w:val="superscript"/>
        </w:rPr>
        <w:t>9</w:t>
      </w:r>
      <w:r w:rsidR="005C0B46" w:rsidRPr="006B6390">
        <w:rPr>
          <w:rFonts w:asciiTheme="minorBidi" w:hAnsiTheme="minorBidi" w:cstheme="minorBidi"/>
          <w:vertAlign w:val="superscript"/>
        </w:rPr>
        <w:fldChar w:fldCharType="end"/>
      </w:r>
      <w:r w:rsidR="00462506" w:rsidRPr="006B6390">
        <w:rPr>
          <w:rFonts w:asciiTheme="minorBidi" w:hAnsiTheme="minorBidi" w:cstheme="minorBidi"/>
        </w:rPr>
        <w:t xml:space="preserve"> the Secretariat initiated work</w:t>
      </w:r>
      <w:r w:rsidR="00FD523B" w:rsidRPr="006B6390">
        <w:rPr>
          <w:rFonts w:asciiTheme="minorBidi" w:hAnsiTheme="minorBidi" w:cstheme="minorBidi"/>
        </w:rPr>
        <w:t xml:space="preserve"> with experts</w:t>
      </w:r>
      <w:r w:rsidR="00462506" w:rsidRPr="006B6390">
        <w:rPr>
          <w:rFonts w:asciiTheme="minorBidi" w:hAnsiTheme="minorBidi" w:cstheme="minorBidi"/>
        </w:rPr>
        <w:t xml:space="preserve"> on </w:t>
      </w:r>
      <w:r w:rsidR="00FD523B" w:rsidRPr="006B6390">
        <w:rPr>
          <w:rFonts w:asciiTheme="minorBidi" w:hAnsiTheme="minorBidi" w:cstheme="minorBidi"/>
        </w:rPr>
        <w:t xml:space="preserve">the development of </w:t>
      </w:r>
      <w:r w:rsidR="00462506" w:rsidRPr="006B6390">
        <w:rPr>
          <w:rFonts w:asciiTheme="minorBidi" w:hAnsiTheme="minorBidi" w:cstheme="minorBidi"/>
        </w:rPr>
        <w:t>a concept note to consolidate existing knowledge</w:t>
      </w:r>
      <w:r w:rsidR="00A366FA" w:rsidRPr="006B6390">
        <w:rPr>
          <w:rFonts w:asciiTheme="minorBidi" w:hAnsiTheme="minorBidi" w:cstheme="minorBidi"/>
        </w:rPr>
        <w:t xml:space="preserve"> with a view to developing a position paper</w:t>
      </w:r>
      <w:r w:rsidR="008E6E47" w:rsidRPr="006B6390">
        <w:rPr>
          <w:rFonts w:asciiTheme="minorBidi" w:hAnsiTheme="minorBidi" w:cstheme="minorBidi"/>
        </w:rPr>
        <w:t xml:space="preserve"> </w:t>
      </w:r>
      <w:r w:rsidR="00462506" w:rsidRPr="006B6390">
        <w:rPr>
          <w:rFonts w:asciiTheme="minorBidi" w:hAnsiTheme="minorBidi" w:cstheme="minorBidi"/>
        </w:rPr>
        <w:t>on strengthening safeguarding practices in the context of climate change.</w:t>
      </w:r>
      <w:r w:rsidR="00635B5A" w:rsidRPr="006B6390">
        <w:rPr>
          <w:rFonts w:asciiTheme="minorBidi" w:hAnsiTheme="minorBidi" w:cstheme="minorBidi"/>
        </w:rPr>
        <w:t xml:space="preserve"> The </w:t>
      </w:r>
      <w:r w:rsidR="00E26DD4" w:rsidRPr="006B6390">
        <w:rPr>
          <w:rFonts w:asciiTheme="minorBidi" w:hAnsiTheme="minorBidi" w:cstheme="minorBidi"/>
        </w:rPr>
        <w:t>work</w:t>
      </w:r>
      <w:r w:rsidR="00635B5A" w:rsidRPr="006B6390">
        <w:rPr>
          <w:rFonts w:asciiTheme="minorBidi" w:hAnsiTheme="minorBidi" w:cstheme="minorBidi"/>
        </w:rPr>
        <w:t xml:space="preserve"> is planned to be finalized in 2022 and will provide a basis for future work in this area.</w:t>
      </w:r>
    </w:p>
    <w:p w14:paraId="50616606" w14:textId="4C2E50D8" w:rsidR="0033689E" w:rsidRPr="006B6390" w:rsidRDefault="0033689E" w:rsidP="004A39C7">
      <w:pPr>
        <w:pStyle w:val="COMPara"/>
        <w:ind w:left="567" w:hanging="567"/>
        <w:jc w:val="both"/>
        <w:rPr>
          <w:rFonts w:asciiTheme="minorBidi" w:eastAsiaTheme="minorEastAsia" w:hAnsiTheme="minorBidi" w:cstheme="minorBidi"/>
          <w:lang w:eastAsia="zh-CN"/>
        </w:rPr>
      </w:pPr>
      <w:r w:rsidRPr="006B6390">
        <w:rPr>
          <w:rFonts w:asciiTheme="minorBidi" w:hAnsiTheme="minorBidi" w:cstheme="minorBidi"/>
          <w:b/>
          <w:bCs/>
        </w:rPr>
        <w:t>Intangible cultural heritage and commercialization</w:t>
      </w:r>
      <w:r w:rsidR="00A72429" w:rsidRPr="006B6390">
        <w:rPr>
          <w:rFonts w:asciiTheme="minorBidi" w:hAnsiTheme="minorBidi" w:cstheme="minorBidi"/>
        </w:rPr>
        <w:t>:</w:t>
      </w:r>
      <w:r w:rsidR="00FD523B" w:rsidRPr="006B6390">
        <w:rPr>
          <w:rFonts w:asciiTheme="minorBidi" w:hAnsiTheme="minorBidi" w:cstheme="minorBidi"/>
        </w:rPr>
        <w:t xml:space="preserve"> </w:t>
      </w:r>
      <w:r w:rsidR="00635B5A" w:rsidRPr="006B6390">
        <w:rPr>
          <w:rFonts w:asciiTheme="minorBidi" w:hAnsiTheme="minorBidi" w:cstheme="minorBidi"/>
        </w:rPr>
        <w:t>Pursuant to the Committee’s request to develop a guidance note on safeguarding measures and good practices addressing the risk of decontextualization and over-commercialization of intangible cultural heritage,</w:t>
      </w:r>
      <w:r w:rsidR="00635B5A" w:rsidRPr="006B6390">
        <w:rPr>
          <w:rStyle w:val="FootnoteReference"/>
          <w:rFonts w:asciiTheme="minorBidi" w:hAnsiTheme="minorBidi" w:cstheme="minorBidi"/>
        </w:rPr>
        <w:footnoteReference w:id="10"/>
      </w:r>
      <w:r w:rsidR="00635B5A" w:rsidRPr="006B6390">
        <w:rPr>
          <w:rFonts w:asciiTheme="minorBidi" w:hAnsiTheme="minorBidi" w:cstheme="minorBidi"/>
        </w:rPr>
        <w:t xml:space="preserve"> the Secretariat started the analysis of related recommendations from the Evaluation Body, which will be included in the guidance note. Beyond the preparation of the guidance note for States and communities, work in this area will include literature research, the identification of experts, the development of case studies and the </w:t>
      </w:r>
      <w:r w:rsidR="005C0B46" w:rsidRPr="006B6390">
        <w:rPr>
          <w:rFonts w:asciiTheme="minorBidi" w:hAnsiTheme="minorBidi" w:cstheme="minorBidi"/>
        </w:rPr>
        <w:t>launch</w:t>
      </w:r>
      <w:r w:rsidR="00635B5A" w:rsidRPr="006B6390">
        <w:rPr>
          <w:rFonts w:asciiTheme="minorBidi" w:hAnsiTheme="minorBidi" w:cstheme="minorBidi"/>
        </w:rPr>
        <w:t xml:space="preserve"> of a survey addressed to ‘focal points’ of the Convention at the national level and to contact persons associated with elements inscribed on the </w:t>
      </w:r>
      <w:r w:rsidR="003C750F" w:rsidRPr="006B6390">
        <w:rPr>
          <w:rFonts w:asciiTheme="minorBidi" w:hAnsiTheme="minorBidi" w:cstheme="minorBidi"/>
        </w:rPr>
        <w:t>Lists of the Convention</w:t>
      </w:r>
      <w:r w:rsidR="005C0B46" w:rsidRPr="006B6390">
        <w:rPr>
          <w:rFonts w:asciiTheme="minorBidi" w:hAnsiTheme="minorBidi" w:cstheme="minorBidi"/>
        </w:rPr>
        <w:t>, so as to gather insights on the positive and negative effects of commercialization on the viability of living heritage, as well as identify measures to</w:t>
      </w:r>
      <w:r w:rsidR="00EA7221" w:rsidRPr="006B6390">
        <w:rPr>
          <w:rFonts w:asciiTheme="minorBidi" w:hAnsiTheme="minorBidi" w:cstheme="minorBidi"/>
        </w:rPr>
        <w:t xml:space="preserve"> address these</w:t>
      </w:r>
      <w:r w:rsidR="005C0B46" w:rsidRPr="006B6390">
        <w:rPr>
          <w:rFonts w:asciiTheme="minorBidi" w:hAnsiTheme="minorBidi" w:cstheme="minorBidi"/>
        </w:rPr>
        <w:t>, in view of sharing good practices</w:t>
      </w:r>
      <w:r w:rsidR="003C750F" w:rsidRPr="006B6390">
        <w:rPr>
          <w:rFonts w:asciiTheme="minorBidi" w:hAnsiTheme="minorBidi" w:cstheme="minorBidi"/>
        </w:rPr>
        <w:t>.</w:t>
      </w:r>
    </w:p>
    <w:p w14:paraId="22B09D46" w14:textId="17011745" w:rsidR="004710D7" w:rsidRPr="006B6390" w:rsidRDefault="004710D7" w:rsidP="003C750F">
      <w:pPr>
        <w:pStyle w:val="COMPara"/>
        <w:ind w:left="567" w:hanging="567"/>
        <w:jc w:val="both"/>
        <w:rPr>
          <w:rFonts w:asciiTheme="minorBidi" w:eastAsiaTheme="minorEastAsia" w:hAnsiTheme="minorBidi" w:cstheme="minorBidi"/>
          <w:lang w:eastAsia="zh-CN"/>
        </w:rPr>
      </w:pPr>
      <w:r w:rsidRPr="006B6390">
        <w:rPr>
          <w:rFonts w:asciiTheme="minorBidi" w:hAnsiTheme="minorBidi" w:cstheme="minorBidi"/>
          <w:b/>
          <w:bCs/>
        </w:rPr>
        <w:t>Intangible cultural heritage in urban context</w:t>
      </w:r>
      <w:r w:rsidR="00871000" w:rsidRPr="006B6390">
        <w:rPr>
          <w:rFonts w:asciiTheme="minorBidi" w:hAnsiTheme="minorBidi" w:cstheme="minorBidi"/>
          <w:b/>
          <w:bCs/>
        </w:rPr>
        <w:t>s</w:t>
      </w:r>
      <w:r w:rsidR="001E222D" w:rsidRPr="006B6390">
        <w:rPr>
          <w:rFonts w:asciiTheme="minorBidi" w:hAnsiTheme="minorBidi" w:cstheme="minorBidi"/>
        </w:rPr>
        <w:t xml:space="preserve">: </w:t>
      </w:r>
      <w:r w:rsidR="003C750F" w:rsidRPr="006B6390">
        <w:rPr>
          <w:rFonts w:asciiTheme="minorBidi" w:hAnsiTheme="minorBidi" w:cstheme="minorBidi"/>
        </w:rPr>
        <w:t xml:space="preserve">A third area of interest concerns the safeguarding of living heritage in urban </w:t>
      </w:r>
      <w:r w:rsidR="00871000" w:rsidRPr="006B6390">
        <w:rPr>
          <w:rFonts w:asciiTheme="minorBidi" w:hAnsiTheme="minorBidi" w:cstheme="minorBidi"/>
        </w:rPr>
        <w:t>planning</w:t>
      </w:r>
      <w:r w:rsidR="003C750F" w:rsidRPr="006B6390">
        <w:rPr>
          <w:rFonts w:asciiTheme="minorBidi" w:hAnsiTheme="minorBidi" w:cstheme="minorBidi"/>
        </w:rPr>
        <w:t xml:space="preserve"> and its contribution to the development of sustainable cities, in line with Sustainable Development Goal 11, and the impact of urbanization o</w:t>
      </w:r>
      <w:r w:rsidR="001B1637" w:rsidRPr="006B6390">
        <w:rPr>
          <w:rFonts w:asciiTheme="minorBidi" w:hAnsiTheme="minorBidi" w:cstheme="minorBidi"/>
        </w:rPr>
        <w:t>n</w:t>
      </w:r>
      <w:r w:rsidR="003C750F" w:rsidRPr="006B6390">
        <w:rPr>
          <w:rFonts w:asciiTheme="minorBidi" w:hAnsiTheme="minorBidi" w:cstheme="minorBidi"/>
        </w:rPr>
        <w:t xml:space="preserve"> its viability. In this regard, </w:t>
      </w:r>
      <w:r w:rsidRPr="006B6390">
        <w:rPr>
          <w:rFonts w:asciiTheme="minorBidi" w:hAnsiTheme="minorBidi" w:cstheme="minorBidi"/>
        </w:rPr>
        <w:t>the Secretariat</w:t>
      </w:r>
      <w:r w:rsidR="00115958" w:rsidRPr="006B6390">
        <w:rPr>
          <w:rFonts w:asciiTheme="minorBidi" w:hAnsiTheme="minorBidi" w:cstheme="minorBidi"/>
        </w:rPr>
        <w:t xml:space="preserve"> is currently developing a position paper based</w:t>
      </w:r>
      <w:r w:rsidRPr="006B6390">
        <w:rPr>
          <w:rFonts w:asciiTheme="minorBidi" w:hAnsiTheme="minorBidi" w:cstheme="minorBidi"/>
        </w:rPr>
        <w:t xml:space="preserve"> </w:t>
      </w:r>
      <w:r w:rsidR="00115958" w:rsidRPr="006B6390">
        <w:rPr>
          <w:rFonts w:asciiTheme="minorBidi" w:hAnsiTheme="minorBidi" w:cstheme="minorBidi"/>
        </w:rPr>
        <w:t xml:space="preserve">on the </w:t>
      </w:r>
      <w:r w:rsidR="003C750F" w:rsidRPr="006B6390">
        <w:rPr>
          <w:rFonts w:asciiTheme="minorBidi" w:hAnsiTheme="minorBidi" w:cstheme="minorBidi"/>
        </w:rPr>
        <w:t xml:space="preserve">implementation of </w:t>
      </w:r>
      <w:r w:rsidR="00115958" w:rsidRPr="006B6390">
        <w:rPr>
          <w:rFonts w:asciiTheme="minorBidi" w:hAnsiTheme="minorBidi" w:cstheme="minorBidi"/>
        </w:rPr>
        <w:t>an</w:t>
      </w:r>
      <w:r w:rsidR="003C750F" w:rsidRPr="006B6390">
        <w:rPr>
          <w:rFonts w:asciiTheme="minorBidi" w:hAnsiTheme="minorBidi" w:cstheme="minorBidi"/>
        </w:rPr>
        <w:t xml:space="preserve"> </w:t>
      </w:r>
      <w:r w:rsidRPr="006B6390">
        <w:rPr>
          <w:rFonts w:asciiTheme="minorBidi" w:hAnsiTheme="minorBidi" w:cstheme="minorBidi"/>
          <w:color w:val="000000" w:themeColor="text1"/>
        </w:rPr>
        <w:t>extrabudgetary project</w:t>
      </w:r>
      <w:r w:rsidR="00115958" w:rsidRPr="006B6390">
        <w:rPr>
          <w:rFonts w:asciiTheme="minorBidi" w:hAnsiTheme="minorBidi" w:cstheme="minorBidi"/>
          <w:color w:val="000000" w:themeColor="text1"/>
        </w:rPr>
        <w:t xml:space="preserve"> </w:t>
      </w:r>
      <w:r w:rsidRPr="006B6390">
        <w:rPr>
          <w:rFonts w:asciiTheme="minorBidi" w:hAnsiTheme="minorBidi" w:cstheme="minorBidi"/>
          <w:color w:val="000000" w:themeColor="text1"/>
        </w:rPr>
        <w:t xml:space="preserve">funded by </w:t>
      </w:r>
      <w:r w:rsidR="005C0B46" w:rsidRPr="006B6390">
        <w:rPr>
          <w:rFonts w:asciiTheme="minorBidi" w:hAnsiTheme="minorBidi" w:cstheme="minorBidi"/>
          <w:color w:val="000000" w:themeColor="text1"/>
        </w:rPr>
        <w:t xml:space="preserve">the private sector </w:t>
      </w:r>
      <w:r w:rsidR="005C0B46" w:rsidRPr="006B6390">
        <w:rPr>
          <w:rFonts w:asciiTheme="minorBidi" w:hAnsiTheme="minorBidi" w:cstheme="minorBidi"/>
          <w:color w:val="000000" w:themeColor="text1"/>
        </w:rPr>
        <w:lastRenderedPageBreak/>
        <w:t xml:space="preserve">in China </w:t>
      </w:r>
      <w:r w:rsidR="003C750F" w:rsidRPr="006B6390">
        <w:rPr>
          <w:rFonts w:asciiTheme="minorBidi" w:hAnsiTheme="minorBidi" w:cstheme="minorBidi"/>
          <w:color w:val="000000" w:themeColor="text1"/>
        </w:rPr>
        <w:t>since 2018</w:t>
      </w:r>
      <w:r w:rsidRPr="006B6390">
        <w:rPr>
          <w:rFonts w:asciiTheme="minorBidi" w:hAnsiTheme="minorBidi" w:cstheme="minorBidi"/>
          <w:color w:val="000000" w:themeColor="text1"/>
        </w:rPr>
        <w:t>.</w:t>
      </w:r>
      <w:r w:rsidRPr="006B6390">
        <w:rPr>
          <w:rFonts w:asciiTheme="minorBidi" w:hAnsiTheme="minorBidi" w:cstheme="minorBidi"/>
        </w:rPr>
        <w:t xml:space="preserve"> </w:t>
      </w:r>
      <w:r w:rsidR="00115958" w:rsidRPr="006B6390">
        <w:rPr>
          <w:rFonts w:asciiTheme="minorBidi" w:hAnsiTheme="minorBidi" w:cstheme="minorBidi"/>
        </w:rPr>
        <w:t>As part of its second phase, t</w:t>
      </w:r>
      <w:r w:rsidRPr="006B6390">
        <w:rPr>
          <w:rFonts w:asciiTheme="minorBidi" w:hAnsiTheme="minorBidi" w:cstheme="minorBidi"/>
        </w:rPr>
        <w:t>wo pilot projects were successfully implemented in the reporting period</w:t>
      </w:r>
      <w:r w:rsidR="003C750F" w:rsidRPr="006B6390">
        <w:rPr>
          <w:rFonts w:asciiTheme="minorBidi" w:hAnsiTheme="minorBidi" w:cstheme="minorBidi"/>
        </w:rPr>
        <w:t xml:space="preserve"> in</w:t>
      </w:r>
      <w:r w:rsidRPr="006B6390">
        <w:rPr>
          <w:rFonts w:asciiTheme="minorBidi" w:hAnsiTheme="minorBidi" w:cstheme="minorBidi"/>
        </w:rPr>
        <w:t xml:space="preserve"> Ayacucho</w:t>
      </w:r>
      <w:r w:rsidR="00115958" w:rsidRPr="006B6390">
        <w:rPr>
          <w:rFonts w:asciiTheme="minorBidi" w:hAnsiTheme="minorBidi" w:cstheme="minorBidi"/>
        </w:rPr>
        <w:t xml:space="preserve"> (</w:t>
      </w:r>
      <w:r w:rsidRPr="006B6390">
        <w:rPr>
          <w:rFonts w:asciiTheme="minorBidi" w:hAnsiTheme="minorBidi" w:cstheme="minorBidi"/>
        </w:rPr>
        <w:t>Peru</w:t>
      </w:r>
      <w:r w:rsidR="00115958" w:rsidRPr="006B6390">
        <w:rPr>
          <w:rFonts w:asciiTheme="minorBidi" w:hAnsiTheme="minorBidi" w:cstheme="minorBidi"/>
        </w:rPr>
        <w:t>)</w:t>
      </w:r>
      <w:r w:rsidRPr="006B6390">
        <w:rPr>
          <w:rFonts w:asciiTheme="minorBidi" w:hAnsiTheme="minorBidi" w:cstheme="minorBidi"/>
        </w:rPr>
        <w:t xml:space="preserve"> and Tbilisi </w:t>
      </w:r>
      <w:r w:rsidR="00115958" w:rsidRPr="006B6390">
        <w:rPr>
          <w:rFonts w:asciiTheme="minorBidi" w:hAnsiTheme="minorBidi" w:cstheme="minorBidi"/>
        </w:rPr>
        <w:t>(</w:t>
      </w:r>
      <w:r w:rsidRPr="006B6390">
        <w:rPr>
          <w:rFonts w:asciiTheme="minorBidi" w:hAnsiTheme="minorBidi" w:cstheme="minorBidi"/>
        </w:rPr>
        <w:t>Georgia</w:t>
      </w:r>
      <w:r w:rsidR="00115958" w:rsidRPr="006B6390">
        <w:rPr>
          <w:rFonts w:asciiTheme="minorBidi" w:hAnsiTheme="minorBidi" w:cstheme="minorBidi"/>
        </w:rPr>
        <w:t>)</w:t>
      </w:r>
      <w:r w:rsidRPr="006B6390">
        <w:rPr>
          <w:rFonts w:asciiTheme="minorBidi" w:hAnsiTheme="minorBidi" w:cstheme="minorBidi"/>
        </w:rPr>
        <w:t xml:space="preserve">. Due to the </w:t>
      </w:r>
      <w:r w:rsidR="005C0B46" w:rsidRPr="006B6390">
        <w:rPr>
          <w:rFonts w:asciiTheme="minorBidi" w:hAnsiTheme="minorBidi" w:cstheme="minorBidi"/>
        </w:rPr>
        <w:t>health</w:t>
      </w:r>
      <w:r w:rsidRPr="006B6390">
        <w:rPr>
          <w:rFonts w:asciiTheme="minorBidi" w:hAnsiTheme="minorBidi" w:cstheme="minorBidi"/>
        </w:rPr>
        <w:t xml:space="preserve"> restrictions imposed by the COVID-19 pandemic, capacity-building workshops, community-based inventorying and awareness raising activities were adapted and implemented using hybrid formats. </w:t>
      </w:r>
      <w:r w:rsidR="00115958" w:rsidRPr="006B6390">
        <w:rPr>
          <w:rFonts w:asciiTheme="minorBidi" w:hAnsiTheme="minorBidi" w:cstheme="minorBidi"/>
        </w:rPr>
        <w:t xml:space="preserve">Concrete </w:t>
      </w:r>
      <w:r w:rsidR="005C0B46" w:rsidRPr="006B6390">
        <w:rPr>
          <w:rFonts w:asciiTheme="minorBidi" w:hAnsiTheme="minorBidi" w:cstheme="minorBidi"/>
        </w:rPr>
        <w:t>outputs</w:t>
      </w:r>
      <w:r w:rsidR="00115958" w:rsidRPr="006B6390">
        <w:rPr>
          <w:rFonts w:asciiTheme="minorBidi" w:hAnsiTheme="minorBidi" w:cstheme="minorBidi"/>
        </w:rPr>
        <w:t xml:space="preserve"> include </w:t>
      </w:r>
      <w:r w:rsidRPr="006B6390">
        <w:rPr>
          <w:rFonts w:asciiTheme="minorBidi" w:hAnsiTheme="minorBidi" w:cstheme="minorBidi"/>
        </w:rPr>
        <w:t xml:space="preserve">a </w:t>
      </w:r>
      <w:hyperlink r:id="rId28" w:history="1">
        <w:r w:rsidRPr="006B6390">
          <w:rPr>
            <w:rStyle w:val="Hyperlink"/>
            <w:rFonts w:asciiTheme="minorBidi" w:hAnsiTheme="minorBidi" w:cstheme="minorBidi"/>
          </w:rPr>
          <w:t>Methodological guide for the preparation of inventories of intangible heritage in urban contexts</w:t>
        </w:r>
      </w:hyperlink>
      <w:r w:rsidRPr="006B6390">
        <w:rPr>
          <w:rFonts w:asciiTheme="minorBidi" w:hAnsiTheme="minorBidi" w:cstheme="minorBidi"/>
        </w:rPr>
        <w:t xml:space="preserve"> </w:t>
      </w:r>
      <w:r w:rsidR="00115958" w:rsidRPr="006B6390">
        <w:rPr>
          <w:rFonts w:asciiTheme="minorBidi" w:hAnsiTheme="minorBidi" w:cstheme="minorBidi"/>
        </w:rPr>
        <w:t>(Peru)</w:t>
      </w:r>
      <w:r w:rsidRPr="006B6390">
        <w:rPr>
          <w:rFonts w:asciiTheme="minorBidi" w:hAnsiTheme="minorBidi" w:cstheme="minorBidi"/>
        </w:rPr>
        <w:t xml:space="preserve"> and </w:t>
      </w:r>
      <w:r w:rsidR="00115958" w:rsidRPr="006B6390">
        <w:rPr>
          <w:rFonts w:asciiTheme="minorBidi" w:hAnsiTheme="minorBidi" w:cstheme="minorBidi"/>
        </w:rPr>
        <w:t xml:space="preserve">the production of twenty-one </w:t>
      </w:r>
      <w:r w:rsidRPr="006B6390">
        <w:rPr>
          <w:rFonts w:asciiTheme="minorBidi" w:hAnsiTheme="minorBidi" w:cstheme="minorBidi"/>
        </w:rPr>
        <w:t>short videos on living heritage in Old Tbilisi, which were disseminated through a dedicated online film festival</w:t>
      </w:r>
      <w:r w:rsidR="00115958" w:rsidRPr="006B6390">
        <w:rPr>
          <w:rFonts w:asciiTheme="minorBidi" w:hAnsiTheme="minorBidi" w:cstheme="minorBidi"/>
        </w:rPr>
        <w:t xml:space="preserve"> (Georgia)</w:t>
      </w:r>
      <w:r w:rsidRPr="006B6390">
        <w:rPr>
          <w:rFonts w:asciiTheme="minorBidi" w:hAnsiTheme="minorBidi" w:cstheme="minorBidi"/>
        </w:rPr>
        <w:t xml:space="preserve">. </w:t>
      </w:r>
      <w:r w:rsidR="00115958" w:rsidRPr="006B6390">
        <w:rPr>
          <w:rFonts w:asciiTheme="minorBidi" w:hAnsiTheme="minorBidi" w:cstheme="minorBidi"/>
        </w:rPr>
        <w:t xml:space="preserve">From 2021 to 2022, </w:t>
      </w:r>
      <w:r w:rsidRPr="006B6390">
        <w:rPr>
          <w:rFonts w:asciiTheme="minorBidi" w:hAnsiTheme="minorBidi" w:cstheme="minorBidi"/>
        </w:rPr>
        <w:t>two</w:t>
      </w:r>
      <w:r w:rsidR="00115958" w:rsidRPr="006B6390">
        <w:rPr>
          <w:rFonts w:asciiTheme="minorBidi" w:hAnsiTheme="minorBidi" w:cstheme="minorBidi"/>
        </w:rPr>
        <w:t xml:space="preserve"> additional</w:t>
      </w:r>
      <w:r w:rsidRPr="006B6390">
        <w:rPr>
          <w:rFonts w:asciiTheme="minorBidi" w:hAnsiTheme="minorBidi" w:cstheme="minorBidi"/>
        </w:rPr>
        <w:t xml:space="preserve"> pilot projects</w:t>
      </w:r>
      <w:r w:rsidR="00115958" w:rsidRPr="006B6390">
        <w:rPr>
          <w:rFonts w:asciiTheme="minorBidi" w:hAnsiTheme="minorBidi" w:cstheme="minorBidi"/>
        </w:rPr>
        <w:t xml:space="preserve"> are planned</w:t>
      </w:r>
      <w:r w:rsidRPr="006B6390">
        <w:rPr>
          <w:rFonts w:asciiTheme="minorBidi" w:hAnsiTheme="minorBidi" w:cstheme="minorBidi"/>
        </w:rPr>
        <w:t xml:space="preserve"> in Irbid</w:t>
      </w:r>
      <w:r w:rsidR="00115958" w:rsidRPr="006B6390">
        <w:rPr>
          <w:rFonts w:asciiTheme="minorBidi" w:hAnsiTheme="minorBidi" w:cstheme="minorBidi"/>
        </w:rPr>
        <w:t xml:space="preserve"> (</w:t>
      </w:r>
      <w:r w:rsidRPr="006B6390">
        <w:rPr>
          <w:rFonts w:asciiTheme="minorBidi" w:hAnsiTheme="minorBidi" w:cstheme="minorBidi"/>
        </w:rPr>
        <w:t>Jordan</w:t>
      </w:r>
      <w:r w:rsidR="00115958" w:rsidRPr="006B6390">
        <w:rPr>
          <w:rFonts w:asciiTheme="minorBidi" w:hAnsiTheme="minorBidi" w:cstheme="minorBidi"/>
        </w:rPr>
        <w:t>)</w:t>
      </w:r>
      <w:r w:rsidRPr="006B6390">
        <w:rPr>
          <w:rFonts w:asciiTheme="minorBidi" w:hAnsiTheme="minorBidi" w:cstheme="minorBidi"/>
        </w:rPr>
        <w:t xml:space="preserve"> and in China (</w:t>
      </w:r>
      <w:r w:rsidR="00115958" w:rsidRPr="006B6390">
        <w:rPr>
          <w:rFonts w:asciiTheme="minorBidi" w:hAnsiTheme="minorBidi" w:cstheme="minorBidi"/>
        </w:rPr>
        <w:t xml:space="preserve">city </w:t>
      </w:r>
      <w:r w:rsidRPr="006B6390">
        <w:rPr>
          <w:rFonts w:asciiTheme="minorBidi" w:hAnsiTheme="minorBidi" w:cstheme="minorBidi"/>
        </w:rPr>
        <w:t>to be confirmed)</w:t>
      </w:r>
      <w:r w:rsidR="00115958" w:rsidRPr="006B6390">
        <w:rPr>
          <w:rFonts w:asciiTheme="minorBidi" w:hAnsiTheme="minorBidi" w:cstheme="minorBidi"/>
        </w:rPr>
        <w:t xml:space="preserve"> before a</w:t>
      </w:r>
      <w:r w:rsidRPr="006B6390">
        <w:rPr>
          <w:rFonts w:asciiTheme="minorBidi" w:eastAsiaTheme="minorEastAsia" w:hAnsiTheme="minorBidi" w:cstheme="minorBidi"/>
          <w:lang w:eastAsia="zh-CN"/>
        </w:rPr>
        <w:t xml:space="preserve"> wrap</w:t>
      </w:r>
      <w:r w:rsidR="001B1637" w:rsidRPr="006B6390">
        <w:rPr>
          <w:rFonts w:asciiTheme="minorBidi" w:eastAsiaTheme="minorEastAsia" w:hAnsiTheme="minorBidi" w:cstheme="minorBidi"/>
          <w:lang w:eastAsia="zh-CN"/>
        </w:rPr>
        <w:t>-</w:t>
      </w:r>
      <w:r w:rsidRPr="006B6390">
        <w:rPr>
          <w:rFonts w:asciiTheme="minorBidi" w:eastAsiaTheme="minorEastAsia" w:hAnsiTheme="minorBidi" w:cstheme="minorBidi"/>
          <w:lang w:eastAsia="zh-CN"/>
        </w:rPr>
        <w:t xml:space="preserve">up workshop in </w:t>
      </w:r>
      <w:r w:rsidR="00115958" w:rsidRPr="006B6390">
        <w:rPr>
          <w:rFonts w:asciiTheme="minorBidi" w:eastAsiaTheme="minorEastAsia" w:hAnsiTheme="minorBidi" w:cstheme="minorBidi"/>
          <w:lang w:eastAsia="zh-CN"/>
        </w:rPr>
        <w:t xml:space="preserve">the </w:t>
      </w:r>
      <w:r w:rsidRPr="006B6390">
        <w:rPr>
          <w:rFonts w:asciiTheme="minorBidi" w:eastAsiaTheme="minorEastAsia" w:hAnsiTheme="minorBidi" w:cstheme="minorBidi"/>
          <w:lang w:eastAsia="zh-CN"/>
        </w:rPr>
        <w:t>first half of 2022</w:t>
      </w:r>
      <w:r w:rsidR="00115958" w:rsidRPr="006B6390">
        <w:rPr>
          <w:rFonts w:asciiTheme="minorBidi" w:eastAsiaTheme="minorEastAsia" w:hAnsiTheme="minorBidi" w:cstheme="minorBidi"/>
          <w:lang w:eastAsia="zh-CN"/>
        </w:rPr>
        <w:t>.</w:t>
      </w:r>
    </w:p>
    <w:p w14:paraId="1940477F" w14:textId="41D2F0E8" w:rsidR="00AB6288" w:rsidRPr="006B6390" w:rsidRDefault="00AB6288" w:rsidP="00FA0871">
      <w:pPr>
        <w:pStyle w:val="COMPara"/>
        <w:numPr>
          <w:ilvl w:val="0"/>
          <w:numId w:val="6"/>
        </w:numPr>
        <w:spacing w:before="240"/>
        <w:ind w:left="567" w:hanging="425"/>
        <w:jc w:val="both"/>
        <w:rPr>
          <w:rFonts w:asciiTheme="minorBidi" w:hAnsiTheme="minorBidi" w:cstheme="minorBidi"/>
          <w:b/>
          <w:bCs/>
        </w:rPr>
      </w:pPr>
      <w:r w:rsidRPr="006B6390">
        <w:rPr>
          <w:rFonts w:asciiTheme="minorBidi" w:hAnsiTheme="minorBidi" w:cstheme="minorBidi"/>
          <w:b/>
          <w:bCs/>
        </w:rPr>
        <w:t xml:space="preserve">Synergies with other </w:t>
      </w:r>
      <w:r w:rsidR="00AD0B69" w:rsidRPr="006B6390">
        <w:rPr>
          <w:rFonts w:asciiTheme="minorBidi" w:hAnsiTheme="minorBidi" w:cstheme="minorBidi"/>
          <w:b/>
          <w:bCs/>
        </w:rPr>
        <w:t>cultural c</w:t>
      </w:r>
      <w:r w:rsidRPr="006B6390">
        <w:rPr>
          <w:rFonts w:asciiTheme="minorBidi" w:hAnsiTheme="minorBidi" w:cstheme="minorBidi"/>
          <w:b/>
          <w:bCs/>
        </w:rPr>
        <w:t>onventions</w:t>
      </w:r>
    </w:p>
    <w:p w14:paraId="35AA0F0E" w14:textId="71158F45" w:rsidR="00AD0B69" w:rsidRPr="006B6390" w:rsidRDefault="00AE12BD" w:rsidP="00AD0B69">
      <w:pPr>
        <w:pStyle w:val="COMPara"/>
        <w:ind w:left="567" w:hanging="567"/>
        <w:jc w:val="both"/>
        <w:rPr>
          <w:rFonts w:asciiTheme="minorBidi" w:hAnsiTheme="minorBidi" w:cstheme="minorBidi"/>
        </w:rPr>
      </w:pPr>
      <w:r w:rsidRPr="006B6390">
        <w:rPr>
          <w:rFonts w:asciiTheme="minorBidi" w:hAnsiTheme="minorBidi" w:cstheme="minorBidi"/>
        </w:rPr>
        <w:t>T</w:t>
      </w:r>
      <w:r w:rsidR="00462506" w:rsidRPr="006B6390">
        <w:rPr>
          <w:rFonts w:asciiTheme="minorBidi" w:hAnsiTheme="minorBidi" w:cstheme="minorBidi"/>
        </w:rPr>
        <w:t xml:space="preserve">he Secretariat collaborated with the Secretariat of the 1954 </w:t>
      </w:r>
      <w:r w:rsidR="00464158" w:rsidRPr="006B6390">
        <w:rPr>
          <w:rFonts w:asciiTheme="minorBidi" w:hAnsiTheme="minorBidi" w:cstheme="minorBidi"/>
        </w:rPr>
        <w:t xml:space="preserve">Hague </w:t>
      </w:r>
      <w:r w:rsidR="00462506" w:rsidRPr="006B6390">
        <w:rPr>
          <w:rFonts w:asciiTheme="minorBidi" w:hAnsiTheme="minorBidi" w:cstheme="minorBidi"/>
        </w:rPr>
        <w:t xml:space="preserve">Convention and its two </w:t>
      </w:r>
      <w:r w:rsidR="00464158" w:rsidRPr="006B6390">
        <w:rPr>
          <w:rFonts w:asciiTheme="minorBidi" w:hAnsiTheme="minorBidi" w:cstheme="minorBidi"/>
        </w:rPr>
        <w:t>P</w:t>
      </w:r>
      <w:r w:rsidR="00462506" w:rsidRPr="006B6390">
        <w:rPr>
          <w:rFonts w:asciiTheme="minorBidi" w:hAnsiTheme="minorBidi" w:cstheme="minorBidi"/>
        </w:rPr>
        <w:t xml:space="preserve">rotocols to prepare a reflection document on </w:t>
      </w:r>
      <w:r w:rsidR="00464158" w:rsidRPr="006B6390">
        <w:rPr>
          <w:rFonts w:asciiTheme="minorBidi" w:hAnsiTheme="minorBidi" w:cstheme="minorBidi"/>
        </w:rPr>
        <w:t>synergies in safeguarding intangible cultural heritage in emergency situations</w:t>
      </w:r>
      <w:r w:rsidR="00462506" w:rsidRPr="006B6390">
        <w:rPr>
          <w:rFonts w:asciiTheme="minorBidi" w:hAnsiTheme="minorBidi" w:cstheme="minorBidi"/>
        </w:rPr>
        <w:t>.</w:t>
      </w:r>
      <w:r w:rsidR="00464158" w:rsidRPr="006B6390">
        <w:rPr>
          <w:rStyle w:val="FootnoteReference"/>
          <w:rFonts w:asciiTheme="minorBidi" w:hAnsiTheme="minorBidi" w:cstheme="minorBidi"/>
        </w:rPr>
        <w:footnoteReference w:id="11"/>
      </w:r>
      <w:r w:rsidR="00462506" w:rsidRPr="006B6390">
        <w:rPr>
          <w:rFonts w:asciiTheme="minorBidi" w:hAnsiTheme="minorBidi" w:cstheme="minorBidi"/>
        </w:rPr>
        <w:t xml:space="preserve"> The</w:t>
      </w:r>
      <w:r w:rsidR="00464158" w:rsidRPr="006B6390">
        <w:rPr>
          <w:rFonts w:asciiTheme="minorBidi" w:hAnsiTheme="minorBidi" w:cstheme="minorBidi"/>
        </w:rPr>
        <w:t xml:space="preserve"> information</w:t>
      </w:r>
      <w:r w:rsidR="00462506" w:rsidRPr="006B6390">
        <w:rPr>
          <w:rFonts w:asciiTheme="minorBidi" w:hAnsiTheme="minorBidi" w:cstheme="minorBidi"/>
        </w:rPr>
        <w:t xml:space="preserve"> document </w:t>
      </w:r>
      <w:r w:rsidR="00464158" w:rsidRPr="006B6390">
        <w:rPr>
          <w:rFonts w:asciiTheme="minorBidi" w:hAnsiTheme="minorBidi" w:cstheme="minorBidi"/>
        </w:rPr>
        <w:t>is</w:t>
      </w:r>
      <w:r w:rsidR="00462506" w:rsidRPr="006B6390">
        <w:rPr>
          <w:rFonts w:asciiTheme="minorBidi" w:hAnsiTheme="minorBidi" w:cstheme="minorBidi"/>
        </w:rPr>
        <w:t xml:space="preserve"> </w:t>
      </w:r>
      <w:r w:rsidR="00464158" w:rsidRPr="006B6390">
        <w:rPr>
          <w:rFonts w:asciiTheme="minorBidi" w:hAnsiTheme="minorBidi" w:cstheme="minorBidi"/>
        </w:rPr>
        <w:t>brought to the attention of</w:t>
      </w:r>
      <w:r w:rsidR="00462506" w:rsidRPr="006B6390">
        <w:rPr>
          <w:rFonts w:asciiTheme="minorBidi" w:hAnsiTheme="minorBidi" w:cstheme="minorBidi"/>
        </w:rPr>
        <w:t xml:space="preserve"> the Committee for the Protection of Cultural Property in the Event of Armed Conflict at its sixteenth meeting in December 2021. </w:t>
      </w:r>
      <w:r w:rsidR="00464158" w:rsidRPr="006B6390">
        <w:rPr>
          <w:rFonts w:asciiTheme="minorBidi" w:hAnsiTheme="minorBidi" w:cstheme="minorBidi"/>
        </w:rPr>
        <w:t>A proposed way forward in the immediate future is to build the capacities of these actors to operationalize the Operational principles and modalities for safeguarding intangible cultural heritage in emergencies and build awareness of their importance among relevant stakeholders.</w:t>
      </w:r>
    </w:p>
    <w:p w14:paraId="3C842049" w14:textId="31578816" w:rsidR="00AD0B69" w:rsidRPr="006B6390" w:rsidRDefault="00BE7841" w:rsidP="00AD0B69">
      <w:pPr>
        <w:pStyle w:val="COMPara"/>
        <w:ind w:left="567" w:hanging="567"/>
        <w:jc w:val="both"/>
        <w:rPr>
          <w:rFonts w:asciiTheme="minorBidi" w:hAnsiTheme="minorBidi" w:cstheme="minorBidi"/>
        </w:rPr>
      </w:pPr>
      <w:r w:rsidRPr="006B6390">
        <w:rPr>
          <w:rFonts w:asciiTheme="minorBidi" w:hAnsiTheme="minorBidi" w:cstheme="minorBidi"/>
        </w:rPr>
        <w:t xml:space="preserve">Linkages with the </w:t>
      </w:r>
      <w:r w:rsidR="00AD0B69" w:rsidRPr="006B6390">
        <w:rPr>
          <w:rFonts w:asciiTheme="minorBidi" w:hAnsiTheme="minorBidi" w:cstheme="minorBidi"/>
        </w:rPr>
        <w:t>1972</w:t>
      </w:r>
      <w:r w:rsidRPr="006B6390">
        <w:rPr>
          <w:rFonts w:asciiTheme="minorBidi" w:hAnsiTheme="minorBidi" w:cstheme="minorBidi"/>
        </w:rPr>
        <w:t xml:space="preserve"> World Heritage</w:t>
      </w:r>
      <w:r w:rsidR="00AD0B69" w:rsidRPr="006B6390">
        <w:rPr>
          <w:rFonts w:asciiTheme="minorBidi" w:hAnsiTheme="minorBidi" w:cstheme="minorBidi"/>
        </w:rPr>
        <w:t xml:space="preserve"> Convention</w:t>
      </w:r>
      <w:r w:rsidRPr="006B6390">
        <w:rPr>
          <w:rFonts w:asciiTheme="minorBidi" w:hAnsiTheme="minorBidi" w:cstheme="minorBidi"/>
        </w:rPr>
        <w:t xml:space="preserve"> are particularly highlighted in </w:t>
      </w:r>
      <w:r w:rsidR="00182C3D" w:rsidRPr="006B6390">
        <w:rPr>
          <w:rFonts w:asciiTheme="minorBidi" w:hAnsiTheme="minorBidi" w:cstheme="minorBidi"/>
        </w:rPr>
        <w:t>operational projects implemented in the field</w:t>
      </w:r>
      <w:r w:rsidR="005C0B46" w:rsidRPr="006B6390">
        <w:rPr>
          <w:rFonts w:asciiTheme="minorBidi" w:hAnsiTheme="minorBidi" w:cstheme="minorBidi"/>
        </w:rPr>
        <w:t>. While only a partial overview can be provided given the large scope of projects, UNESCO initiatives</w:t>
      </w:r>
      <w:r w:rsidR="003946BE" w:rsidRPr="006B6390">
        <w:rPr>
          <w:rFonts w:asciiTheme="minorBidi" w:hAnsiTheme="minorBidi" w:cstheme="minorBidi"/>
        </w:rPr>
        <w:t>,</w:t>
      </w:r>
      <w:r w:rsidR="005C0B46" w:rsidRPr="006B6390">
        <w:rPr>
          <w:rFonts w:asciiTheme="minorBidi" w:hAnsiTheme="minorBidi" w:cstheme="minorBidi"/>
        </w:rPr>
        <w:t xml:space="preserve"> for instance</w:t>
      </w:r>
      <w:r w:rsidR="003946BE" w:rsidRPr="006B6390">
        <w:rPr>
          <w:rFonts w:asciiTheme="minorBidi" w:hAnsiTheme="minorBidi" w:cstheme="minorBidi"/>
        </w:rPr>
        <w:t>,</w:t>
      </w:r>
      <w:r w:rsidR="00182C3D" w:rsidRPr="006B6390">
        <w:rPr>
          <w:rFonts w:asciiTheme="minorBidi" w:hAnsiTheme="minorBidi" w:cstheme="minorBidi"/>
        </w:rPr>
        <w:t xml:space="preserve"> aim at promoting living heritage and developing cultural tourism at World Heritage properties (India, Delhi Office), inventorying intangible cultural heritage in urban contexts (Malaysia, Headquarters and Bangkok Office), sensitizing and training young professionals on tangible and intangible cultural heritage safeguarding in a project jointly implemented in Europe with the World Heritage Centre (Headquarters and Venice Office).</w:t>
      </w:r>
    </w:p>
    <w:p w14:paraId="4C472617" w14:textId="1FE6647F" w:rsidR="00182C3D" w:rsidRPr="006B6390" w:rsidRDefault="00182C3D" w:rsidP="00182C3D">
      <w:pPr>
        <w:pStyle w:val="COMPara"/>
        <w:ind w:left="567" w:hanging="567"/>
        <w:jc w:val="both"/>
        <w:rPr>
          <w:rFonts w:asciiTheme="minorBidi" w:hAnsiTheme="minorBidi" w:cstheme="minorBidi"/>
        </w:rPr>
      </w:pPr>
      <w:r w:rsidRPr="006B6390">
        <w:rPr>
          <w:rFonts w:asciiTheme="minorBidi" w:hAnsiTheme="minorBidi" w:cstheme="minorBidi"/>
        </w:rPr>
        <w:t xml:space="preserve">The synergies with the 2005 Convention on the protection and promotion of the diversity of cultural expressions are </w:t>
      </w:r>
      <w:r w:rsidR="005C0B46" w:rsidRPr="006B6390">
        <w:rPr>
          <w:rFonts w:asciiTheme="minorBidi" w:hAnsiTheme="minorBidi" w:cstheme="minorBidi"/>
        </w:rPr>
        <w:t xml:space="preserve">similarly </w:t>
      </w:r>
      <w:r w:rsidRPr="006B6390">
        <w:rPr>
          <w:rFonts w:asciiTheme="minorBidi" w:hAnsiTheme="minorBidi" w:cstheme="minorBidi"/>
        </w:rPr>
        <w:t>strengthened in the field, through projects</w:t>
      </w:r>
      <w:r w:rsidR="00460F33" w:rsidRPr="006B6390">
        <w:rPr>
          <w:rFonts w:asciiTheme="minorBidi" w:hAnsiTheme="minorBidi" w:cstheme="minorBidi"/>
        </w:rPr>
        <w:t xml:space="preserve"> focusing on the safeguarding of craftsmanship in the context of climate change (Morocco, Rabat Office), the development of rural craft and cultural hubs in West Bengal (India, Delhi Office) or in support </w:t>
      </w:r>
      <w:r w:rsidR="003946BE" w:rsidRPr="006B6390">
        <w:rPr>
          <w:rFonts w:asciiTheme="minorBidi" w:hAnsiTheme="minorBidi" w:cstheme="minorBidi"/>
        </w:rPr>
        <w:t>of</w:t>
      </w:r>
      <w:r w:rsidR="00460F33" w:rsidRPr="006B6390">
        <w:rPr>
          <w:rFonts w:asciiTheme="minorBidi" w:hAnsiTheme="minorBidi" w:cstheme="minorBidi"/>
        </w:rPr>
        <w:t xml:space="preserve"> the transmission of musical know-how among young people (Morocco, Rabat Office).</w:t>
      </w:r>
    </w:p>
    <w:p w14:paraId="35A2CF35" w14:textId="44CE0B18" w:rsidR="008B1960" w:rsidRPr="006B6390" w:rsidRDefault="008B1960" w:rsidP="008B1960">
      <w:pPr>
        <w:pStyle w:val="COMPara"/>
        <w:ind w:left="567" w:hanging="567"/>
        <w:jc w:val="both"/>
        <w:rPr>
          <w:rFonts w:asciiTheme="minorBidi" w:hAnsiTheme="minorBidi" w:cstheme="minorBidi"/>
        </w:rPr>
      </w:pPr>
      <w:r w:rsidRPr="006B6390">
        <w:rPr>
          <w:rFonts w:asciiTheme="minorBidi" w:hAnsiTheme="minorBidi" w:cstheme="minorBidi"/>
        </w:rPr>
        <w:t>In 2021, the Secretariat participated in the sector-wide Working group on the establishment of model rules of procedure for the assemblies/conferences of parties to the UNESCO cultural conventions/protocol. Outcomes from these meetings were presented to the forty-first session of UNESCO’s General Conference.</w:t>
      </w:r>
    </w:p>
    <w:p w14:paraId="76C92B93" w14:textId="11057403" w:rsidR="00496D24" w:rsidRPr="006B6390" w:rsidRDefault="00496D24" w:rsidP="00FA0871">
      <w:pPr>
        <w:pStyle w:val="COMPara"/>
        <w:numPr>
          <w:ilvl w:val="0"/>
          <w:numId w:val="6"/>
        </w:numPr>
        <w:spacing w:before="240"/>
        <w:ind w:left="567" w:hanging="425"/>
        <w:jc w:val="both"/>
        <w:rPr>
          <w:rFonts w:asciiTheme="minorBidi" w:hAnsiTheme="minorBidi" w:cstheme="minorBidi"/>
          <w:b/>
          <w:bCs/>
        </w:rPr>
      </w:pPr>
      <w:r w:rsidRPr="006B6390">
        <w:rPr>
          <w:rFonts w:asciiTheme="minorBidi" w:hAnsiTheme="minorBidi" w:cstheme="minorBidi"/>
          <w:b/>
          <w:bCs/>
        </w:rPr>
        <w:t>Key challenges and ways forward</w:t>
      </w:r>
    </w:p>
    <w:p w14:paraId="3F10CA90" w14:textId="6C8D1B8A" w:rsidR="009B0BCE" w:rsidRPr="006B6390" w:rsidRDefault="00B63B65" w:rsidP="002577F9">
      <w:pPr>
        <w:pStyle w:val="COMPara"/>
        <w:ind w:left="567" w:hanging="567"/>
        <w:jc w:val="both"/>
        <w:rPr>
          <w:rFonts w:asciiTheme="minorBidi" w:hAnsiTheme="minorBidi" w:cstheme="minorBidi"/>
        </w:rPr>
      </w:pPr>
      <w:r w:rsidRPr="006B6390">
        <w:rPr>
          <w:rFonts w:asciiTheme="minorBidi" w:hAnsiTheme="minorBidi" w:cstheme="minorBidi"/>
        </w:rPr>
        <w:t>The eighteen-month reporting period has largely been marked by the COVID-19 pandemic</w:t>
      </w:r>
      <w:r w:rsidR="00F57321" w:rsidRPr="006B6390">
        <w:rPr>
          <w:rFonts w:asciiTheme="minorBidi" w:hAnsiTheme="minorBidi" w:cstheme="minorBidi"/>
        </w:rPr>
        <w:t>,</w:t>
      </w:r>
      <w:r w:rsidRPr="006B6390">
        <w:rPr>
          <w:rFonts w:asciiTheme="minorBidi" w:hAnsiTheme="minorBidi" w:cstheme="minorBidi"/>
        </w:rPr>
        <w:t xml:space="preserve"> which </w:t>
      </w:r>
      <w:r w:rsidR="009B0BCE" w:rsidRPr="006B6390">
        <w:rPr>
          <w:rFonts w:asciiTheme="minorBidi" w:hAnsiTheme="minorBidi" w:cstheme="minorBidi"/>
        </w:rPr>
        <w:t xml:space="preserve">put in stark relief the value of intangible cultural heritage and the importance communities attach to its continued practice and expression. </w:t>
      </w:r>
      <w:r w:rsidR="00F57321" w:rsidRPr="006B6390">
        <w:rPr>
          <w:rFonts w:asciiTheme="minorBidi" w:hAnsiTheme="minorBidi" w:cstheme="minorBidi"/>
        </w:rPr>
        <w:t xml:space="preserve">The impact of the pandemic has been far-reaching, </w:t>
      </w:r>
      <w:r w:rsidR="009B0BCE" w:rsidRPr="006B6390">
        <w:rPr>
          <w:rFonts w:asciiTheme="minorBidi" w:hAnsiTheme="minorBidi" w:cstheme="minorBidi"/>
        </w:rPr>
        <w:t>challenging communities in many ways</w:t>
      </w:r>
      <w:r w:rsidR="00F57321" w:rsidRPr="006B6390">
        <w:rPr>
          <w:rFonts w:asciiTheme="minorBidi" w:hAnsiTheme="minorBidi" w:cstheme="minorBidi"/>
        </w:rPr>
        <w:t xml:space="preserve"> and in virtually all regions of the world.</w:t>
      </w:r>
      <w:r w:rsidR="009B0BCE" w:rsidRPr="006B6390">
        <w:rPr>
          <w:rFonts w:asciiTheme="minorBidi" w:hAnsiTheme="minorBidi" w:cstheme="minorBidi"/>
        </w:rPr>
        <w:t xml:space="preserve"> </w:t>
      </w:r>
      <w:r w:rsidR="006C1CA6" w:rsidRPr="006B6390">
        <w:rPr>
          <w:rFonts w:asciiTheme="minorBidi" w:hAnsiTheme="minorBidi" w:cstheme="minorBidi"/>
        </w:rPr>
        <w:t xml:space="preserve">While this impact has often and at first been negative, the crisis also demonstrated both the capacities of communities to adapt their practice of living heritage and to mobilize their heritage for their own resilience. Against this backdrop, the work of the governing bodies and of the Secretariat has </w:t>
      </w:r>
      <w:r w:rsidR="00F60C58" w:rsidRPr="006B6390">
        <w:rPr>
          <w:rFonts w:asciiTheme="minorBidi" w:hAnsiTheme="minorBidi" w:cstheme="minorBidi"/>
        </w:rPr>
        <w:t xml:space="preserve">been affected by the uncertainties around the various modalities through which stakeholders of the Convention could interact. While the crisis is still ongoing, it should be noted that the </w:t>
      </w:r>
      <w:r w:rsidR="00F26557" w:rsidRPr="006B6390">
        <w:rPr>
          <w:rFonts w:asciiTheme="minorBidi" w:hAnsiTheme="minorBidi" w:cstheme="minorBidi"/>
        </w:rPr>
        <w:t>governing bodies of the Convention, statutory mechanisms and key operational initiatives of the Convention, supported by the Secretariat, continued without any interruptio</w:t>
      </w:r>
      <w:r w:rsidR="0065187F" w:rsidRPr="006B6390">
        <w:rPr>
          <w:rFonts w:asciiTheme="minorBidi" w:hAnsiTheme="minorBidi" w:cstheme="minorBidi"/>
        </w:rPr>
        <w:t>n, preserving equity among decision-makers</w:t>
      </w:r>
      <w:r w:rsidR="00996106" w:rsidRPr="006B6390">
        <w:rPr>
          <w:rFonts w:asciiTheme="minorBidi" w:hAnsiTheme="minorBidi" w:cstheme="minorBidi"/>
        </w:rPr>
        <w:t xml:space="preserve"> and </w:t>
      </w:r>
      <w:r w:rsidR="0065187F" w:rsidRPr="006B6390">
        <w:rPr>
          <w:rFonts w:asciiTheme="minorBidi" w:hAnsiTheme="minorBidi" w:cstheme="minorBidi"/>
        </w:rPr>
        <w:t>the regional distribution of stakeholders involved, i</w:t>
      </w:r>
      <w:r w:rsidR="00F26557" w:rsidRPr="006B6390">
        <w:rPr>
          <w:rFonts w:asciiTheme="minorBidi" w:hAnsiTheme="minorBidi" w:cstheme="minorBidi"/>
        </w:rPr>
        <w:t xml:space="preserve">n line with the provisions of the Operational Directives. </w:t>
      </w:r>
      <w:r w:rsidR="00F60C58" w:rsidRPr="006B6390">
        <w:rPr>
          <w:rFonts w:asciiTheme="minorBidi" w:hAnsiTheme="minorBidi" w:cstheme="minorBidi"/>
        </w:rPr>
        <w:t xml:space="preserve">This proved that </w:t>
      </w:r>
      <w:r w:rsidR="00F60C58" w:rsidRPr="006B6390">
        <w:rPr>
          <w:rFonts w:asciiTheme="minorBidi" w:hAnsiTheme="minorBidi" w:cstheme="minorBidi"/>
        </w:rPr>
        <w:lastRenderedPageBreak/>
        <w:t xml:space="preserve">the statutory structure put in place </w:t>
      </w:r>
      <w:r w:rsidR="00996106" w:rsidRPr="006B6390">
        <w:rPr>
          <w:rFonts w:asciiTheme="minorBidi" w:hAnsiTheme="minorBidi" w:cstheme="minorBidi"/>
        </w:rPr>
        <w:t>w</w:t>
      </w:r>
      <w:r w:rsidR="00F60C58" w:rsidRPr="006B6390">
        <w:rPr>
          <w:rFonts w:asciiTheme="minorBidi" w:hAnsiTheme="minorBidi" w:cstheme="minorBidi"/>
        </w:rPr>
        <w:t xml:space="preserve">as simultaneously solid enough to withstand the impact of the crisis and flexible enough to adapt to adverse circumstances. </w:t>
      </w:r>
      <w:r w:rsidR="002577F9" w:rsidRPr="006B6390">
        <w:rPr>
          <w:rFonts w:asciiTheme="minorBidi" w:hAnsiTheme="minorBidi" w:cstheme="minorBidi"/>
        </w:rPr>
        <w:t xml:space="preserve">Innovative ways to maintain the possibility </w:t>
      </w:r>
      <w:r w:rsidR="003946BE" w:rsidRPr="006B6390">
        <w:rPr>
          <w:rFonts w:asciiTheme="minorBidi" w:hAnsiTheme="minorBidi" w:cstheme="minorBidi"/>
        </w:rPr>
        <w:t>of</w:t>
      </w:r>
      <w:r w:rsidR="002577F9" w:rsidRPr="006B6390">
        <w:rPr>
          <w:rFonts w:asciiTheme="minorBidi" w:hAnsiTheme="minorBidi" w:cstheme="minorBidi"/>
        </w:rPr>
        <w:t xml:space="preserve"> work</w:t>
      </w:r>
      <w:r w:rsidR="003946BE" w:rsidRPr="006B6390">
        <w:rPr>
          <w:rFonts w:asciiTheme="minorBidi" w:hAnsiTheme="minorBidi" w:cstheme="minorBidi"/>
        </w:rPr>
        <w:t>ing</w:t>
      </w:r>
      <w:r w:rsidR="002577F9" w:rsidRPr="006B6390">
        <w:rPr>
          <w:rFonts w:asciiTheme="minorBidi" w:hAnsiTheme="minorBidi" w:cstheme="minorBidi"/>
        </w:rPr>
        <w:t xml:space="preserve"> collaboratively were introduced</w:t>
      </w:r>
      <w:r w:rsidR="003946BE" w:rsidRPr="006B6390">
        <w:rPr>
          <w:rFonts w:asciiTheme="minorBidi" w:hAnsiTheme="minorBidi" w:cstheme="minorBidi"/>
        </w:rPr>
        <w:t xml:space="preserve"> and</w:t>
      </w:r>
      <w:r w:rsidR="002577F9" w:rsidRPr="006B6390">
        <w:rPr>
          <w:rFonts w:asciiTheme="minorBidi" w:hAnsiTheme="minorBidi" w:cstheme="minorBidi"/>
        </w:rPr>
        <w:t xml:space="preserve"> digital tools were developed, some of which offered new possibilities that could remain in place in a post-pandemic environment.</w:t>
      </w:r>
    </w:p>
    <w:p w14:paraId="5E3DCA86" w14:textId="0279D673" w:rsidR="008622E1" w:rsidRPr="006B6390" w:rsidRDefault="009671CE" w:rsidP="00C9235A">
      <w:pPr>
        <w:pStyle w:val="COMPara"/>
        <w:ind w:left="567" w:hanging="567"/>
        <w:jc w:val="both"/>
        <w:rPr>
          <w:rFonts w:asciiTheme="minorBidi" w:hAnsiTheme="minorBidi" w:cstheme="minorBidi"/>
        </w:rPr>
      </w:pPr>
      <w:r w:rsidRPr="006B6390">
        <w:rPr>
          <w:rFonts w:asciiTheme="minorBidi" w:hAnsiTheme="minorBidi" w:cstheme="minorBidi"/>
        </w:rPr>
        <w:t>The Convention continues develop</w:t>
      </w:r>
      <w:r w:rsidR="00996106" w:rsidRPr="006B6390">
        <w:rPr>
          <w:rFonts w:asciiTheme="minorBidi" w:hAnsiTheme="minorBidi" w:cstheme="minorBidi"/>
        </w:rPr>
        <w:t xml:space="preserve">ing </w:t>
      </w:r>
      <w:r w:rsidRPr="006B6390">
        <w:rPr>
          <w:rFonts w:asciiTheme="minorBidi" w:hAnsiTheme="minorBidi" w:cstheme="minorBidi"/>
        </w:rPr>
        <w:t>and expand</w:t>
      </w:r>
      <w:r w:rsidR="00996106" w:rsidRPr="006B6390">
        <w:rPr>
          <w:rFonts w:asciiTheme="minorBidi" w:hAnsiTheme="minorBidi" w:cstheme="minorBidi"/>
        </w:rPr>
        <w:t>ing</w:t>
      </w:r>
      <w:r w:rsidRPr="006B6390">
        <w:rPr>
          <w:rFonts w:asciiTheme="minorBidi" w:hAnsiTheme="minorBidi" w:cstheme="minorBidi"/>
        </w:rPr>
        <w:t xml:space="preserve"> its reach. </w:t>
      </w:r>
      <w:r w:rsidR="008622E1" w:rsidRPr="006B6390">
        <w:rPr>
          <w:rFonts w:asciiTheme="minorBidi" w:hAnsiTheme="minorBidi" w:cstheme="minorBidi"/>
        </w:rPr>
        <w:t>As pointed out by the IOS evaluation, the implementation of the Convention ‘has gone through many reforms and transformations that have significantly strengthened the Organization’s support to Member States, partners and communities.’</w:t>
      </w:r>
      <w:r w:rsidR="008622E1" w:rsidRPr="006B6390">
        <w:rPr>
          <w:rStyle w:val="FootnoteReference"/>
          <w:rFonts w:asciiTheme="minorBidi" w:hAnsiTheme="minorBidi" w:cstheme="minorBidi"/>
        </w:rPr>
        <w:footnoteReference w:id="12"/>
      </w:r>
      <w:r w:rsidR="008622E1" w:rsidRPr="006B6390">
        <w:rPr>
          <w:rFonts w:asciiTheme="minorBidi" w:hAnsiTheme="minorBidi" w:cstheme="minorBidi"/>
        </w:rPr>
        <w:t xml:space="preserve"> However, </w:t>
      </w:r>
      <w:r w:rsidR="009300B1" w:rsidRPr="006B6390">
        <w:rPr>
          <w:rFonts w:asciiTheme="minorBidi" w:hAnsiTheme="minorBidi" w:cstheme="minorBidi"/>
        </w:rPr>
        <w:t xml:space="preserve">while the development of the Convention is of course a positive sign for the increased awareness </w:t>
      </w:r>
      <w:r w:rsidR="003946BE" w:rsidRPr="006B6390">
        <w:rPr>
          <w:rFonts w:asciiTheme="minorBidi" w:hAnsiTheme="minorBidi" w:cstheme="minorBidi"/>
        </w:rPr>
        <w:t xml:space="preserve">of </w:t>
      </w:r>
      <w:r w:rsidR="009300B1" w:rsidRPr="006B6390">
        <w:rPr>
          <w:rFonts w:asciiTheme="minorBidi" w:hAnsiTheme="minorBidi" w:cstheme="minorBidi"/>
        </w:rPr>
        <w:t>intangible cultural heritage in different arenas, it also translates into an increased demand for UNESCO support to States Parties.</w:t>
      </w:r>
      <w:r w:rsidR="00155955" w:rsidRPr="006B6390">
        <w:rPr>
          <w:rFonts w:asciiTheme="minorBidi" w:hAnsiTheme="minorBidi" w:cstheme="minorBidi"/>
        </w:rPr>
        <w:t xml:space="preserve"> Given the limited resources of the Secretariat, </w:t>
      </w:r>
      <w:r w:rsidR="00456ED7" w:rsidRPr="006B6390">
        <w:rPr>
          <w:rFonts w:asciiTheme="minorBidi" w:hAnsiTheme="minorBidi" w:cstheme="minorBidi"/>
        </w:rPr>
        <w:t>it is important to</w:t>
      </w:r>
      <w:r w:rsidR="00155955" w:rsidRPr="006B6390">
        <w:rPr>
          <w:rFonts w:asciiTheme="minorBidi" w:hAnsiTheme="minorBidi" w:cstheme="minorBidi"/>
        </w:rPr>
        <w:t xml:space="preserve"> maintain a high-quality level of support to the governing bodies, </w:t>
      </w:r>
      <w:r w:rsidR="00986D3E" w:rsidRPr="006B6390">
        <w:rPr>
          <w:rFonts w:asciiTheme="minorBidi" w:hAnsiTheme="minorBidi" w:cstheme="minorBidi"/>
        </w:rPr>
        <w:t>States,</w:t>
      </w:r>
      <w:r w:rsidR="00155955" w:rsidRPr="006B6390">
        <w:rPr>
          <w:rFonts w:asciiTheme="minorBidi" w:hAnsiTheme="minorBidi" w:cstheme="minorBidi"/>
        </w:rPr>
        <w:t xml:space="preserve"> and communities, i</w:t>
      </w:r>
      <w:r w:rsidR="009300B1" w:rsidRPr="006B6390">
        <w:rPr>
          <w:rFonts w:asciiTheme="minorBidi" w:hAnsiTheme="minorBidi" w:cstheme="minorBidi"/>
        </w:rPr>
        <w:t>n line with</w:t>
      </w:r>
      <w:r w:rsidR="000175CA" w:rsidRPr="006B6390">
        <w:rPr>
          <w:rFonts w:asciiTheme="minorBidi" w:hAnsiTheme="minorBidi" w:cstheme="minorBidi"/>
        </w:rPr>
        <w:t xml:space="preserve"> </w:t>
      </w:r>
      <w:r w:rsidR="009300B1" w:rsidRPr="006B6390">
        <w:rPr>
          <w:rFonts w:asciiTheme="minorBidi" w:hAnsiTheme="minorBidi" w:cstheme="minorBidi"/>
        </w:rPr>
        <w:t>IOS Recommendation 1, ‘</w:t>
      </w:r>
      <w:r w:rsidR="00AD51AF" w:rsidRPr="006B6390">
        <w:rPr>
          <w:rFonts w:asciiTheme="minorBidi" w:hAnsiTheme="minorBidi" w:cstheme="minorBidi"/>
        </w:rPr>
        <w:t>Strategic decisions on priorities, particularly on the need to focus on programme support versus statutory requirements and on use of its limited resources will need to be made in the near future.</w:t>
      </w:r>
      <w:r w:rsidR="009300B1" w:rsidRPr="006B6390">
        <w:rPr>
          <w:rFonts w:asciiTheme="minorBidi" w:hAnsiTheme="minorBidi" w:cstheme="minorBidi"/>
        </w:rPr>
        <w:t>’</w:t>
      </w:r>
      <w:r w:rsidR="000175CA" w:rsidRPr="006B6390">
        <w:rPr>
          <w:rStyle w:val="FootnoteReference"/>
          <w:rFonts w:asciiTheme="minorBidi" w:hAnsiTheme="minorBidi" w:cstheme="minorBidi"/>
        </w:rPr>
        <w:footnoteReference w:id="13"/>
      </w:r>
    </w:p>
    <w:p w14:paraId="187CB848" w14:textId="335017E5" w:rsidR="009671CE" w:rsidRPr="006B6390" w:rsidRDefault="009671CE" w:rsidP="00C9235A">
      <w:pPr>
        <w:pStyle w:val="COMPara"/>
        <w:ind w:left="567" w:hanging="567"/>
        <w:jc w:val="both"/>
        <w:rPr>
          <w:rFonts w:asciiTheme="minorBidi" w:hAnsiTheme="minorBidi" w:cstheme="minorBidi"/>
        </w:rPr>
      </w:pPr>
      <w:r w:rsidRPr="006B6390">
        <w:rPr>
          <w:rFonts w:asciiTheme="minorBidi" w:hAnsiTheme="minorBidi" w:cstheme="minorBidi"/>
        </w:rPr>
        <w:t xml:space="preserve">Going forward, the </w:t>
      </w:r>
      <w:r w:rsidR="009F529F" w:rsidRPr="006B6390">
        <w:rPr>
          <w:rFonts w:asciiTheme="minorBidi" w:hAnsiTheme="minorBidi" w:cstheme="minorBidi"/>
        </w:rPr>
        <w:t xml:space="preserve">follow-up to the global reflection on the listing mechanisms </w:t>
      </w:r>
      <w:r w:rsidR="00C9235A" w:rsidRPr="006B6390">
        <w:rPr>
          <w:rFonts w:asciiTheme="minorBidi" w:hAnsiTheme="minorBidi" w:cstheme="minorBidi"/>
        </w:rPr>
        <w:t xml:space="preserve">will constitute </w:t>
      </w:r>
      <w:r w:rsidR="009F529F" w:rsidRPr="006B6390">
        <w:rPr>
          <w:rFonts w:asciiTheme="minorBidi" w:hAnsiTheme="minorBidi" w:cstheme="minorBidi"/>
        </w:rPr>
        <w:t>important interventions by the Secretariat</w:t>
      </w:r>
      <w:r w:rsidR="008622E1" w:rsidRPr="006B6390">
        <w:rPr>
          <w:rFonts w:asciiTheme="minorBidi" w:hAnsiTheme="minorBidi" w:cstheme="minorBidi"/>
        </w:rPr>
        <w:t xml:space="preserve">. While the revisions to the Operational Directives </w:t>
      </w:r>
      <w:r w:rsidR="00D230D0" w:rsidRPr="006B6390">
        <w:rPr>
          <w:rFonts w:asciiTheme="minorBidi" w:hAnsiTheme="minorBidi" w:cstheme="minorBidi"/>
        </w:rPr>
        <w:t xml:space="preserve">that </w:t>
      </w:r>
      <w:r w:rsidR="008622E1" w:rsidRPr="006B6390">
        <w:rPr>
          <w:rFonts w:asciiTheme="minorBidi" w:hAnsiTheme="minorBidi" w:cstheme="minorBidi"/>
        </w:rPr>
        <w:t>will be examined by the Committee at the present session</w:t>
      </w:r>
      <w:r w:rsidR="00155955" w:rsidRPr="006B6390">
        <w:rPr>
          <w:rFonts w:asciiTheme="minorBidi" w:hAnsiTheme="minorBidi" w:cstheme="minorBidi"/>
        </w:rPr>
        <w:t xml:space="preserve"> (Item 14)</w:t>
      </w:r>
      <w:r w:rsidR="008622E1" w:rsidRPr="006B6390">
        <w:rPr>
          <w:rFonts w:asciiTheme="minorBidi" w:hAnsiTheme="minorBidi" w:cstheme="minorBidi"/>
        </w:rPr>
        <w:t xml:space="preserve"> are expected to reinforce the credibility of the listing mechanisms, the introduction of new procedures does not come without challenges for States, communities</w:t>
      </w:r>
      <w:r w:rsidR="00996106" w:rsidRPr="006B6390">
        <w:rPr>
          <w:rFonts w:asciiTheme="minorBidi" w:hAnsiTheme="minorBidi" w:cstheme="minorBidi"/>
        </w:rPr>
        <w:t>, the Evaluation Body</w:t>
      </w:r>
      <w:r w:rsidR="008622E1" w:rsidRPr="006B6390">
        <w:rPr>
          <w:rFonts w:asciiTheme="minorBidi" w:hAnsiTheme="minorBidi" w:cstheme="minorBidi"/>
        </w:rPr>
        <w:t xml:space="preserve"> and the Secretariat.</w:t>
      </w:r>
      <w:r w:rsidR="00155955" w:rsidRPr="006B6390">
        <w:rPr>
          <w:rFonts w:asciiTheme="minorBidi" w:hAnsiTheme="minorBidi" w:cstheme="minorBidi"/>
        </w:rPr>
        <w:t xml:space="preserve"> </w:t>
      </w:r>
      <w:r w:rsidR="00FC31FA" w:rsidRPr="006B6390">
        <w:rPr>
          <w:rFonts w:asciiTheme="minorBidi" w:hAnsiTheme="minorBidi" w:cstheme="minorBidi"/>
        </w:rPr>
        <w:t xml:space="preserve">One of the interesting outcomes of the reflection process also pertains to the </w:t>
      </w:r>
      <w:r w:rsidR="00240DD6" w:rsidRPr="006B6390">
        <w:rPr>
          <w:rFonts w:asciiTheme="minorBidi" w:hAnsiTheme="minorBidi" w:cstheme="minorBidi"/>
        </w:rPr>
        <w:t xml:space="preserve">recommendation of the Open-ended intergovernmental working group to reflect further on </w:t>
      </w:r>
      <w:r w:rsidR="006C07DA" w:rsidRPr="006B6390">
        <w:rPr>
          <w:rFonts w:asciiTheme="minorBidi" w:hAnsiTheme="minorBidi" w:cstheme="minorBidi"/>
        </w:rPr>
        <w:t>a</w:t>
      </w:r>
      <w:r w:rsidR="00240DD6" w:rsidRPr="006B6390">
        <w:rPr>
          <w:rFonts w:asciiTheme="minorBidi" w:hAnsiTheme="minorBidi" w:cstheme="minorBidi"/>
        </w:rPr>
        <w:t xml:space="preserve"> broader </w:t>
      </w:r>
      <w:r w:rsidR="006C07DA" w:rsidRPr="006B6390">
        <w:rPr>
          <w:rFonts w:asciiTheme="minorBidi" w:hAnsiTheme="minorBidi" w:cstheme="minorBidi"/>
        </w:rPr>
        <w:t>application of</w:t>
      </w:r>
      <w:r w:rsidR="00240DD6" w:rsidRPr="006B6390">
        <w:rPr>
          <w:rFonts w:asciiTheme="minorBidi" w:hAnsiTheme="minorBidi" w:cstheme="minorBidi"/>
        </w:rPr>
        <w:t xml:space="preserve"> </w:t>
      </w:r>
      <w:r w:rsidR="004F0AB1" w:rsidRPr="006B6390">
        <w:rPr>
          <w:rFonts w:asciiTheme="minorBidi" w:hAnsiTheme="minorBidi" w:cstheme="minorBidi"/>
        </w:rPr>
        <w:t xml:space="preserve"> Article 18 of the Convention</w:t>
      </w:r>
      <w:r w:rsidR="00240DD6" w:rsidRPr="006B6390">
        <w:rPr>
          <w:rFonts w:asciiTheme="minorBidi" w:hAnsiTheme="minorBidi" w:cstheme="minorBidi"/>
        </w:rPr>
        <w:t xml:space="preserve"> and for which the support from Sweden has already been received</w:t>
      </w:r>
      <w:r w:rsidR="004F0AB1" w:rsidRPr="006B6390">
        <w:rPr>
          <w:rFonts w:asciiTheme="minorBidi" w:hAnsiTheme="minorBidi" w:cstheme="minorBidi"/>
        </w:rPr>
        <w:t>. In addition, t</w:t>
      </w:r>
      <w:r w:rsidR="00155955" w:rsidRPr="006B6390">
        <w:rPr>
          <w:rFonts w:asciiTheme="minorBidi" w:hAnsiTheme="minorBidi" w:cstheme="minorBidi"/>
        </w:rPr>
        <w:t xml:space="preserve">he </w:t>
      </w:r>
      <w:r w:rsidR="009F529F" w:rsidRPr="006B6390">
        <w:rPr>
          <w:rFonts w:asciiTheme="minorBidi" w:hAnsiTheme="minorBidi" w:cstheme="minorBidi"/>
        </w:rPr>
        <w:t>continued</w:t>
      </w:r>
      <w:r w:rsidR="00155955" w:rsidRPr="006B6390">
        <w:rPr>
          <w:rFonts w:asciiTheme="minorBidi" w:hAnsiTheme="minorBidi" w:cstheme="minorBidi"/>
        </w:rPr>
        <w:t xml:space="preserve"> operationalization of International Assistance mechanisms with a reinforced monitoring and evaluation system (Item</w:t>
      </w:r>
      <w:r w:rsidR="00996106" w:rsidRPr="006B6390">
        <w:rPr>
          <w:rFonts w:asciiTheme="minorBidi" w:hAnsiTheme="minorBidi" w:cstheme="minorBidi"/>
        </w:rPr>
        <w:t> </w:t>
      </w:r>
      <w:r w:rsidR="00155955" w:rsidRPr="006B6390">
        <w:rPr>
          <w:rFonts w:asciiTheme="minorBidi" w:hAnsiTheme="minorBidi" w:cstheme="minorBidi"/>
        </w:rPr>
        <w:t>13) is</w:t>
      </w:r>
      <w:r w:rsidR="00996106" w:rsidRPr="006B6390">
        <w:rPr>
          <w:rFonts w:asciiTheme="minorBidi" w:hAnsiTheme="minorBidi" w:cstheme="minorBidi"/>
        </w:rPr>
        <w:t xml:space="preserve"> also</w:t>
      </w:r>
      <w:r w:rsidR="00155955" w:rsidRPr="006B6390">
        <w:rPr>
          <w:rFonts w:asciiTheme="minorBidi" w:hAnsiTheme="minorBidi" w:cstheme="minorBidi"/>
        </w:rPr>
        <w:t xml:space="preserve"> foreseen as a priority area of action in the next biennia.</w:t>
      </w:r>
    </w:p>
    <w:p w14:paraId="5382824D" w14:textId="22B168F6" w:rsidR="00805FD2" w:rsidRPr="006B6390" w:rsidRDefault="00DE7B9B" w:rsidP="00DE7B9B">
      <w:pPr>
        <w:pStyle w:val="COMPara"/>
        <w:ind w:left="567" w:hanging="567"/>
        <w:jc w:val="both"/>
        <w:rPr>
          <w:rFonts w:asciiTheme="minorBidi" w:hAnsiTheme="minorBidi" w:cstheme="minorBidi"/>
        </w:rPr>
      </w:pPr>
      <w:r w:rsidRPr="006B6390">
        <w:rPr>
          <w:rFonts w:asciiTheme="minorBidi" w:hAnsiTheme="minorBidi" w:cstheme="minorBidi"/>
        </w:rPr>
        <w:t>Demands for the capacity-building programme are still high and continue to exceed the delivery capacity.</w:t>
      </w:r>
      <w:r w:rsidR="00805FD2" w:rsidRPr="006B6390">
        <w:rPr>
          <w:rFonts w:asciiTheme="minorBidi" w:hAnsiTheme="minorBidi" w:cstheme="minorBidi"/>
        </w:rPr>
        <w:t xml:space="preserve"> The emergence of the COVID-19 crisis and the related restrictions made particularly clear that the capacity-building programme needs to adapt, calling for creative and innovative ways for programme delivery in an online environment. The programme has successfully piloted new online and hybrid delivery formats. Building on the lessons learnt, the Secretariat intends to continue reorienting the programme to include a multimodal delivery approach, thus providing opportunities for expanding programme outreach to new audiences and harnessing innovative pedagogy, while ensuring cost-effectiveness. These efforts to support the capacity-building programme will be carried out in complement to actions aiming to facilitate the access of States Parties to the International Assistance from the Intangible Cultural Heritage Fund.</w:t>
      </w:r>
    </w:p>
    <w:p w14:paraId="421C3D06" w14:textId="0E1EDBF2" w:rsidR="00DE7B9B" w:rsidRPr="006B6390" w:rsidRDefault="00805FD2" w:rsidP="00E26DD4">
      <w:pPr>
        <w:pStyle w:val="COMPara"/>
        <w:ind w:left="567" w:hanging="567"/>
        <w:jc w:val="both"/>
        <w:rPr>
          <w:rFonts w:asciiTheme="minorBidi" w:hAnsiTheme="minorBidi" w:cstheme="minorBidi"/>
        </w:rPr>
      </w:pPr>
      <w:r w:rsidRPr="006B6390">
        <w:rPr>
          <w:rFonts w:asciiTheme="minorBidi" w:hAnsiTheme="minorBidi" w:cstheme="minorBidi"/>
        </w:rPr>
        <w:t>Regarding</w:t>
      </w:r>
      <w:r w:rsidR="00DE7B9B" w:rsidRPr="006B6390">
        <w:rPr>
          <w:rFonts w:asciiTheme="minorBidi" w:hAnsiTheme="minorBidi" w:cstheme="minorBidi"/>
        </w:rPr>
        <w:t xml:space="preserve"> the second funding priority on intangible cultural heritage and education</w:t>
      </w:r>
      <w:r w:rsidRPr="006B6390">
        <w:rPr>
          <w:rFonts w:asciiTheme="minorBidi" w:hAnsiTheme="minorBidi" w:cstheme="minorBidi"/>
        </w:rPr>
        <w:t>,</w:t>
      </w:r>
      <w:r w:rsidR="00DE7B9B" w:rsidRPr="006B6390">
        <w:rPr>
          <w:rFonts w:asciiTheme="minorBidi" w:hAnsiTheme="minorBidi" w:cstheme="minorBidi"/>
        </w:rPr>
        <w:t xml:space="preserve"> </w:t>
      </w:r>
      <w:r w:rsidRPr="006B6390">
        <w:rPr>
          <w:rFonts w:asciiTheme="minorBidi" w:hAnsiTheme="minorBidi" w:cstheme="minorBidi"/>
        </w:rPr>
        <w:t>the IOS evaluation emphasized that</w:t>
      </w:r>
      <w:r w:rsidR="00D230D0" w:rsidRPr="006B6390">
        <w:rPr>
          <w:rFonts w:asciiTheme="minorBidi" w:hAnsiTheme="minorBidi" w:cstheme="minorBidi"/>
        </w:rPr>
        <w:t>,</w:t>
      </w:r>
      <w:r w:rsidRPr="006B6390">
        <w:rPr>
          <w:rFonts w:asciiTheme="minorBidi" w:hAnsiTheme="minorBidi" w:cstheme="minorBidi"/>
        </w:rPr>
        <w:t xml:space="preserve"> while some progress has been achieved through projects, it tends to be isolated and local. Scaling up with a more strategic focus on education systems is needed to promote a pedagogical shift and effectively feed results into the national discourse and advance the 2030 Agenda through education and culture. Based on the assessment and insights gained from substantive work carried out in related fields, such as intercultural education, indigenous education, education for sustainable development, and others, UNESCO will centre its efforts on further expanding and scaling up the intersectoral Programme for greater impact and sustainability.</w:t>
      </w:r>
    </w:p>
    <w:p w14:paraId="0219F4F6" w14:textId="50E887AA" w:rsidR="00DF0B7B" w:rsidRPr="006B6390" w:rsidRDefault="00DF0B7B" w:rsidP="00E3326F">
      <w:pPr>
        <w:pStyle w:val="COMPara"/>
        <w:ind w:left="567" w:hanging="567"/>
        <w:jc w:val="both"/>
        <w:rPr>
          <w:rFonts w:asciiTheme="minorBidi" w:hAnsiTheme="minorBidi" w:cstheme="minorBidi"/>
        </w:rPr>
      </w:pPr>
      <w:r w:rsidRPr="006B6390">
        <w:rPr>
          <w:rFonts w:asciiTheme="minorBidi" w:hAnsiTheme="minorBidi" w:cstheme="minorBidi"/>
        </w:rPr>
        <w:t>Planned communication and outreach activities were deeply affected by the COVID-19 pandemic</w:t>
      </w:r>
      <w:r w:rsidR="00D230D0" w:rsidRPr="006B6390">
        <w:rPr>
          <w:rFonts w:asciiTheme="minorBidi" w:hAnsiTheme="minorBidi" w:cstheme="minorBidi"/>
        </w:rPr>
        <w:t>,</w:t>
      </w:r>
      <w:r w:rsidRPr="006B6390">
        <w:rPr>
          <w:rFonts w:asciiTheme="minorBidi" w:hAnsiTheme="minorBidi" w:cstheme="minorBidi"/>
        </w:rPr>
        <w:t xml:space="preserve"> with efforts focusing on the dissemination of materials and the development of tools and interfaces to gather information and data, while facilitating communication among stakeholders. Moving forward, the Secretariat plans to explore new avenues for communication and outreach targeting the general public and youth in particular, as </w:t>
      </w:r>
      <w:r w:rsidRPr="006B6390">
        <w:rPr>
          <w:rFonts w:asciiTheme="minorBidi" w:hAnsiTheme="minorBidi" w:cstheme="minorBidi"/>
        </w:rPr>
        <w:lastRenderedPageBreak/>
        <w:t>recommended by the IOS evaluation.</w:t>
      </w:r>
      <w:r w:rsidRPr="006B6390">
        <w:rPr>
          <w:rStyle w:val="FootnoteReference"/>
          <w:rFonts w:asciiTheme="minorBidi" w:hAnsiTheme="minorBidi" w:cstheme="minorBidi"/>
        </w:rPr>
        <w:footnoteReference w:id="14"/>
      </w:r>
      <w:r w:rsidRPr="006B6390">
        <w:rPr>
          <w:rFonts w:asciiTheme="minorBidi" w:hAnsiTheme="minorBidi" w:cstheme="minorBidi"/>
        </w:rPr>
        <w:t xml:space="preserve"> Beyond its alignment with UNESCO’s new graphic charter, the website will be restructured to better tell stories, provide thematic approaches and reinforce the capacity of its website to serve as an exchange and communication platform, in particular building on the communication and outreach potential of its partners (category 2 centres, accredited NGOs, UNESCO Chairs and national institutions).</w:t>
      </w:r>
    </w:p>
    <w:p w14:paraId="3566DAC9" w14:textId="286A3394" w:rsidR="00440EAF" w:rsidRPr="006B6390" w:rsidRDefault="00440EAF" w:rsidP="00E26DD4">
      <w:pPr>
        <w:pStyle w:val="COMPara"/>
        <w:ind w:left="567" w:hanging="567"/>
        <w:jc w:val="both"/>
        <w:rPr>
          <w:rFonts w:asciiTheme="minorBidi" w:hAnsiTheme="minorBidi" w:cstheme="minorBidi"/>
        </w:rPr>
      </w:pPr>
      <w:r w:rsidRPr="006B6390">
        <w:rPr>
          <w:rFonts w:asciiTheme="minorBidi" w:hAnsiTheme="minorBidi" w:cstheme="minorBidi"/>
        </w:rPr>
        <w:t xml:space="preserve">Building on </w:t>
      </w:r>
      <w:r w:rsidR="001A1331" w:rsidRPr="006B6390">
        <w:rPr>
          <w:rFonts w:asciiTheme="minorBidi" w:hAnsiTheme="minorBidi" w:cstheme="minorBidi"/>
        </w:rPr>
        <w:t xml:space="preserve">forays made into new thematic </w:t>
      </w:r>
      <w:r w:rsidR="001E7429" w:rsidRPr="006B6390">
        <w:rPr>
          <w:rFonts w:asciiTheme="minorBidi" w:hAnsiTheme="minorBidi" w:cstheme="minorBidi"/>
        </w:rPr>
        <w:t xml:space="preserve">initiatives </w:t>
      </w:r>
      <w:r w:rsidR="001A1331" w:rsidRPr="006B6390">
        <w:rPr>
          <w:rFonts w:asciiTheme="minorBidi" w:hAnsiTheme="minorBidi" w:cstheme="minorBidi"/>
        </w:rPr>
        <w:t xml:space="preserve">during the last biennium, in particular on the safeguarding of intangible cultural heritage and emergencies and on the integration of intangible cultural heritage </w:t>
      </w:r>
      <w:r w:rsidR="00996106" w:rsidRPr="006B6390">
        <w:rPr>
          <w:rFonts w:asciiTheme="minorBidi" w:hAnsiTheme="minorBidi" w:cstheme="minorBidi"/>
        </w:rPr>
        <w:t>into</w:t>
      </w:r>
      <w:r w:rsidR="001A1331" w:rsidRPr="006B6390">
        <w:rPr>
          <w:rFonts w:asciiTheme="minorBidi" w:hAnsiTheme="minorBidi" w:cstheme="minorBidi"/>
        </w:rPr>
        <w:t xml:space="preserve"> education, the Secretariat will intensify its efforts with the implementation of </w:t>
      </w:r>
      <w:r w:rsidR="00996106" w:rsidRPr="006B6390">
        <w:rPr>
          <w:rFonts w:asciiTheme="minorBidi" w:hAnsiTheme="minorBidi" w:cstheme="minorBidi"/>
        </w:rPr>
        <w:t xml:space="preserve">pilot </w:t>
      </w:r>
      <w:r w:rsidR="001A1331" w:rsidRPr="006B6390">
        <w:rPr>
          <w:rFonts w:asciiTheme="minorBidi" w:hAnsiTheme="minorBidi" w:cstheme="minorBidi"/>
        </w:rPr>
        <w:t xml:space="preserve">operational activities, the development of capacity-building materials, </w:t>
      </w:r>
      <w:r w:rsidR="00142E0D" w:rsidRPr="006B6390">
        <w:rPr>
          <w:rFonts w:asciiTheme="minorBidi" w:hAnsiTheme="minorBidi" w:cstheme="minorBidi"/>
        </w:rPr>
        <w:t xml:space="preserve">and </w:t>
      </w:r>
      <w:r w:rsidR="001A1331" w:rsidRPr="006B6390">
        <w:rPr>
          <w:rFonts w:asciiTheme="minorBidi" w:hAnsiTheme="minorBidi" w:cstheme="minorBidi"/>
        </w:rPr>
        <w:t>the strengthening of partnerships with the wider network of institutions and individuals associated with the Convention. Beyond these two themes, the work initiated during the reporting period on the economic aspects of intangible cultural heritage and on intangible cultural heritage in urban contexts will be continued and deepened, also calling upon the inputs from State</w:t>
      </w:r>
      <w:r w:rsidR="00996106" w:rsidRPr="006B6390">
        <w:rPr>
          <w:rFonts w:asciiTheme="minorBidi" w:hAnsiTheme="minorBidi" w:cstheme="minorBidi"/>
        </w:rPr>
        <w:t>s</w:t>
      </w:r>
      <w:r w:rsidR="001A1331" w:rsidRPr="006B6390">
        <w:rPr>
          <w:rFonts w:asciiTheme="minorBidi" w:hAnsiTheme="minorBidi" w:cstheme="minorBidi"/>
        </w:rPr>
        <w:t xml:space="preserve"> Parties and communities associated with elements inscribed on the Lists of the Convention, with the idea to strengthen cooperation and information-sharing among communities facing similar issues. In all these endeavours, </w:t>
      </w:r>
      <w:r w:rsidR="00A06AB0" w:rsidRPr="006B6390">
        <w:rPr>
          <w:rFonts w:asciiTheme="minorBidi" w:hAnsiTheme="minorBidi" w:cstheme="minorBidi"/>
        </w:rPr>
        <w:t>the Secretariat will be mindful of existing initiatives both within the Organization and outside</w:t>
      </w:r>
      <w:r w:rsidR="00142E0D" w:rsidRPr="006B6390">
        <w:rPr>
          <w:rFonts w:asciiTheme="minorBidi" w:hAnsiTheme="minorBidi" w:cstheme="minorBidi"/>
        </w:rPr>
        <w:t>,</w:t>
      </w:r>
      <w:r w:rsidR="00A06AB0" w:rsidRPr="006B6390">
        <w:rPr>
          <w:rFonts w:asciiTheme="minorBidi" w:hAnsiTheme="minorBidi" w:cstheme="minorBidi"/>
        </w:rPr>
        <w:t xml:space="preserve"> </w:t>
      </w:r>
      <w:r w:rsidR="00142E0D" w:rsidRPr="006B6390">
        <w:rPr>
          <w:rFonts w:asciiTheme="minorBidi" w:hAnsiTheme="minorBidi" w:cstheme="minorBidi"/>
        </w:rPr>
        <w:t>in order</w:t>
      </w:r>
      <w:r w:rsidR="00A06AB0" w:rsidRPr="006B6390">
        <w:rPr>
          <w:rFonts w:asciiTheme="minorBidi" w:hAnsiTheme="minorBidi" w:cstheme="minorBidi"/>
        </w:rPr>
        <w:t xml:space="preserve"> to bring intangible cultural heritage to the forefront of these cross-cutting issues in an effective and concerted manner.</w:t>
      </w:r>
    </w:p>
    <w:p w14:paraId="38C207FD" w14:textId="6009A9FA" w:rsidR="009F529F" w:rsidRPr="006B6390" w:rsidRDefault="009F529F" w:rsidP="00E26DD4">
      <w:pPr>
        <w:pStyle w:val="COMPara"/>
        <w:ind w:left="567" w:hanging="567"/>
        <w:jc w:val="both"/>
        <w:rPr>
          <w:rFonts w:asciiTheme="minorBidi" w:hAnsiTheme="minorBidi" w:cstheme="minorBidi"/>
        </w:rPr>
      </w:pPr>
      <w:r w:rsidRPr="006B6390">
        <w:rPr>
          <w:rFonts w:asciiTheme="minorBidi" w:hAnsiTheme="minorBidi" w:cstheme="minorBidi"/>
        </w:rPr>
        <w:t xml:space="preserve">Notwithstanding the potential that these new developments and thematic </w:t>
      </w:r>
      <w:r w:rsidR="001E7429" w:rsidRPr="006B6390">
        <w:rPr>
          <w:rFonts w:asciiTheme="minorBidi" w:hAnsiTheme="minorBidi" w:cstheme="minorBidi"/>
        </w:rPr>
        <w:t>initiatives</w:t>
      </w:r>
      <w:r w:rsidRPr="006B6390">
        <w:rPr>
          <w:rFonts w:asciiTheme="minorBidi" w:hAnsiTheme="minorBidi" w:cstheme="minorBidi"/>
        </w:rPr>
        <w:t xml:space="preserve"> represent, it is </w:t>
      </w:r>
      <w:r w:rsidR="002076E8" w:rsidRPr="006B6390">
        <w:rPr>
          <w:rFonts w:asciiTheme="minorBidi" w:hAnsiTheme="minorBidi" w:cstheme="minorBidi"/>
        </w:rPr>
        <w:t>vital for the further development of the Convention</w:t>
      </w:r>
      <w:r w:rsidRPr="006B6390">
        <w:rPr>
          <w:rFonts w:asciiTheme="minorBidi" w:hAnsiTheme="minorBidi" w:cstheme="minorBidi"/>
        </w:rPr>
        <w:t xml:space="preserve"> that – as noted by the IOS evaluation in its Recommendation 1 – a decision be made on the priority areas in which the Secretariat should focus its efforts</w:t>
      </w:r>
      <w:r w:rsidR="00CF3FD9" w:rsidRPr="006B6390">
        <w:rPr>
          <w:rFonts w:asciiTheme="minorBidi" w:hAnsiTheme="minorBidi" w:cstheme="minorBidi"/>
        </w:rPr>
        <w:t xml:space="preserve">. Given the </w:t>
      </w:r>
      <w:r w:rsidR="00DD4AF9" w:rsidRPr="006B6390">
        <w:rPr>
          <w:rFonts w:asciiTheme="minorBidi" w:hAnsiTheme="minorBidi" w:cstheme="minorBidi"/>
        </w:rPr>
        <w:t xml:space="preserve">perduring </w:t>
      </w:r>
      <w:r w:rsidR="00CF3FD9" w:rsidRPr="006B6390">
        <w:rPr>
          <w:rFonts w:asciiTheme="minorBidi" w:hAnsiTheme="minorBidi" w:cstheme="minorBidi"/>
        </w:rPr>
        <w:t>constraints in terms of human and financial resources, the governing bodies</w:t>
      </w:r>
      <w:r w:rsidR="00321130" w:rsidRPr="006B6390">
        <w:rPr>
          <w:rFonts w:asciiTheme="minorBidi" w:hAnsiTheme="minorBidi" w:cstheme="minorBidi"/>
        </w:rPr>
        <w:t xml:space="preserve"> of the Convention may find it timely </w:t>
      </w:r>
      <w:r w:rsidR="00CF3FD9" w:rsidRPr="006B6390">
        <w:rPr>
          <w:rFonts w:asciiTheme="minorBidi" w:hAnsiTheme="minorBidi" w:cstheme="minorBidi"/>
        </w:rPr>
        <w:t>to take stock of this situation</w:t>
      </w:r>
      <w:r w:rsidR="00321130" w:rsidRPr="006B6390">
        <w:rPr>
          <w:rFonts w:asciiTheme="minorBidi" w:hAnsiTheme="minorBidi" w:cstheme="minorBidi"/>
        </w:rPr>
        <w:t>, provide guidance</w:t>
      </w:r>
      <w:r w:rsidR="00CF3FD9" w:rsidRPr="006B6390">
        <w:rPr>
          <w:rFonts w:asciiTheme="minorBidi" w:hAnsiTheme="minorBidi" w:cstheme="minorBidi"/>
        </w:rPr>
        <w:t xml:space="preserve"> and establish priorities for the coming years.</w:t>
      </w:r>
    </w:p>
    <w:p w14:paraId="7C8BC899" w14:textId="165968C6" w:rsidR="003A2D34" w:rsidRPr="006B6390" w:rsidRDefault="003A2D34" w:rsidP="00EA045A">
      <w:pPr>
        <w:pStyle w:val="COMPara"/>
        <w:numPr>
          <w:ilvl w:val="0"/>
          <w:numId w:val="0"/>
        </w:numPr>
        <w:spacing w:before="240"/>
        <w:ind w:left="567" w:hanging="567"/>
        <w:jc w:val="center"/>
        <w:rPr>
          <w:rFonts w:asciiTheme="minorBidi" w:hAnsiTheme="minorBidi" w:cstheme="minorBidi"/>
        </w:rPr>
      </w:pPr>
      <w:r w:rsidRPr="006B6390">
        <w:rPr>
          <w:rFonts w:asciiTheme="minorBidi" w:hAnsiTheme="minorBidi" w:cstheme="minorBidi"/>
        </w:rPr>
        <w:t>***</w:t>
      </w:r>
    </w:p>
    <w:p w14:paraId="50D3EAFF" w14:textId="4E12E56F" w:rsidR="00D95C4C" w:rsidRPr="006B6390" w:rsidRDefault="000B1C8F" w:rsidP="000B1C8F">
      <w:pPr>
        <w:pStyle w:val="COMPara"/>
        <w:ind w:left="567" w:hanging="567"/>
        <w:rPr>
          <w:rFonts w:asciiTheme="minorBidi" w:hAnsiTheme="minorBidi" w:cstheme="minorBidi"/>
        </w:rPr>
      </w:pPr>
      <w:r w:rsidRPr="006B6390">
        <w:rPr>
          <w:rFonts w:asciiTheme="minorBidi" w:hAnsiTheme="minorBidi" w:cstheme="minorBidi"/>
        </w:rPr>
        <w:t>The Committee may wish to adopt the following decision</w:t>
      </w:r>
      <w:r w:rsidR="00D95C4C" w:rsidRPr="006B6390">
        <w:rPr>
          <w:rFonts w:asciiTheme="minorBidi" w:hAnsiTheme="minorBidi" w:cstheme="minorBidi"/>
        </w:rPr>
        <w:t>:</w:t>
      </w:r>
    </w:p>
    <w:p w14:paraId="51047F3B" w14:textId="77777777" w:rsidR="0059752C" w:rsidRPr="006B6390" w:rsidRDefault="0059752C" w:rsidP="0059752C">
      <w:pPr>
        <w:pStyle w:val="COMTitleDecision"/>
        <w:rPr>
          <w:rFonts w:asciiTheme="minorBidi" w:eastAsia="SimSun" w:hAnsiTheme="minorBidi" w:cstheme="minorBidi"/>
        </w:rPr>
      </w:pPr>
      <w:r w:rsidRPr="006B6390">
        <w:rPr>
          <w:rFonts w:asciiTheme="minorBidi" w:hAnsiTheme="minorBidi" w:cstheme="minorBidi"/>
        </w:rPr>
        <w:t>DRAFT DECISION 16.COM 5.b</w:t>
      </w:r>
    </w:p>
    <w:p w14:paraId="3491E3C9" w14:textId="77777777" w:rsidR="0059752C" w:rsidRPr="006B6390" w:rsidRDefault="0059752C" w:rsidP="0059752C">
      <w:pPr>
        <w:pStyle w:val="COMPreambulaDecisions"/>
        <w:rPr>
          <w:rFonts w:asciiTheme="minorBidi" w:eastAsia="SimSun" w:hAnsiTheme="minorBidi" w:cstheme="minorBidi"/>
        </w:rPr>
      </w:pPr>
      <w:r w:rsidRPr="006B6390">
        <w:rPr>
          <w:rFonts w:asciiTheme="minorBidi" w:hAnsiTheme="minorBidi" w:cstheme="minorBidi"/>
        </w:rPr>
        <w:t>The Committee,</w:t>
      </w:r>
    </w:p>
    <w:p w14:paraId="5BDC5854" w14:textId="41EEF96F" w:rsidR="0059752C" w:rsidRPr="006B6390" w:rsidRDefault="0059752C" w:rsidP="0059752C">
      <w:pPr>
        <w:pStyle w:val="GAParaResolution"/>
        <w:numPr>
          <w:ilvl w:val="0"/>
          <w:numId w:val="7"/>
        </w:numPr>
        <w:ind w:left="1134" w:hanging="567"/>
        <w:rPr>
          <w:rFonts w:asciiTheme="minorBidi" w:hAnsiTheme="minorBidi" w:cstheme="minorBidi"/>
        </w:rPr>
      </w:pPr>
      <w:r w:rsidRPr="006B6390">
        <w:rPr>
          <w:rFonts w:asciiTheme="minorBidi" w:hAnsiTheme="minorBidi" w:cstheme="minorBidi"/>
        </w:rPr>
        <w:t>Having examined</w:t>
      </w:r>
      <w:r w:rsidRPr="006B6390">
        <w:rPr>
          <w:rFonts w:asciiTheme="minorBidi" w:hAnsiTheme="minorBidi" w:cstheme="minorBidi"/>
          <w:u w:val="none"/>
        </w:rPr>
        <w:t xml:space="preserve"> document LHE/21/16.COM/5.b</w:t>
      </w:r>
      <w:r w:rsidR="00846342">
        <w:rPr>
          <w:rFonts w:asciiTheme="minorBidi" w:hAnsiTheme="minorBidi" w:cstheme="minorBidi"/>
          <w:u w:val="none"/>
        </w:rPr>
        <w:t xml:space="preserve"> Rev.</w:t>
      </w:r>
      <w:r w:rsidR="00F30AE0" w:rsidRPr="006B6390">
        <w:rPr>
          <w:rFonts w:asciiTheme="minorBidi" w:hAnsiTheme="minorBidi" w:cstheme="minorBidi"/>
          <w:u w:val="none"/>
        </w:rPr>
        <w:t xml:space="preserve"> and its annexes</w:t>
      </w:r>
      <w:r w:rsidRPr="006B6390">
        <w:rPr>
          <w:rFonts w:asciiTheme="minorBidi" w:hAnsiTheme="minorBidi" w:cstheme="minorBidi"/>
          <w:u w:val="none"/>
        </w:rPr>
        <w:t>,</w:t>
      </w:r>
    </w:p>
    <w:p w14:paraId="2F358534" w14:textId="0D498B16" w:rsidR="0059752C" w:rsidRPr="006B6390" w:rsidRDefault="0059752C" w:rsidP="0059752C">
      <w:pPr>
        <w:pStyle w:val="GAParaResolution"/>
        <w:numPr>
          <w:ilvl w:val="0"/>
          <w:numId w:val="7"/>
        </w:numPr>
        <w:ind w:left="1134" w:hanging="567"/>
        <w:rPr>
          <w:rFonts w:asciiTheme="minorBidi" w:hAnsiTheme="minorBidi" w:cstheme="minorBidi"/>
        </w:rPr>
      </w:pPr>
      <w:r w:rsidRPr="006B6390">
        <w:rPr>
          <w:rFonts w:asciiTheme="minorBidi" w:hAnsiTheme="minorBidi" w:cstheme="minorBidi"/>
        </w:rPr>
        <w:t>Takes note</w:t>
      </w:r>
      <w:r w:rsidRPr="006B6390">
        <w:rPr>
          <w:rFonts w:asciiTheme="minorBidi" w:hAnsiTheme="minorBidi" w:cstheme="minorBidi"/>
          <w:u w:val="none"/>
        </w:rPr>
        <w:t xml:space="preserve"> of the far-reaching impacts of the COVID-19 pandemic on living heritage and on its bearers and practitioners, </w:t>
      </w:r>
      <w:r w:rsidRPr="006B6390">
        <w:rPr>
          <w:rFonts w:asciiTheme="minorBidi" w:hAnsiTheme="minorBidi" w:cstheme="minorBidi"/>
        </w:rPr>
        <w:t>welcomes</w:t>
      </w:r>
      <w:r w:rsidRPr="006B6390">
        <w:rPr>
          <w:rFonts w:asciiTheme="minorBidi" w:hAnsiTheme="minorBidi" w:cstheme="minorBidi"/>
          <w:u w:val="none"/>
        </w:rPr>
        <w:t xml:space="preserve"> the recommendations </w:t>
      </w:r>
      <w:r w:rsidR="003E1A1C" w:rsidRPr="006B6390">
        <w:rPr>
          <w:rFonts w:asciiTheme="minorBidi" w:hAnsiTheme="minorBidi" w:cstheme="minorBidi"/>
          <w:u w:val="none"/>
        </w:rPr>
        <w:t>to prepare for the recovery phase</w:t>
      </w:r>
      <w:r w:rsidRPr="006B6390">
        <w:rPr>
          <w:rFonts w:asciiTheme="minorBidi" w:hAnsiTheme="minorBidi" w:cstheme="minorBidi"/>
          <w:u w:val="none"/>
        </w:rPr>
        <w:t xml:space="preserve"> as described in the UNESCO report ‘Living Heritage in the face of COVID-19’</w:t>
      </w:r>
      <w:r w:rsidR="007C44BA" w:rsidRPr="006B6390">
        <w:rPr>
          <w:rFonts w:asciiTheme="minorBidi" w:hAnsiTheme="minorBidi" w:cstheme="minorBidi"/>
          <w:u w:val="none"/>
        </w:rPr>
        <w:t>,</w:t>
      </w:r>
      <w:r w:rsidRPr="006B6390">
        <w:rPr>
          <w:rFonts w:asciiTheme="minorBidi" w:hAnsiTheme="minorBidi" w:cstheme="minorBidi"/>
          <w:u w:val="none"/>
        </w:rPr>
        <w:t xml:space="preserve"> and </w:t>
      </w:r>
      <w:r w:rsidRPr="006B6390">
        <w:rPr>
          <w:rFonts w:asciiTheme="minorBidi" w:hAnsiTheme="minorBidi" w:cstheme="minorBidi"/>
        </w:rPr>
        <w:t>encourages</w:t>
      </w:r>
      <w:r w:rsidRPr="006B6390">
        <w:rPr>
          <w:rFonts w:asciiTheme="minorBidi" w:hAnsiTheme="minorBidi" w:cstheme="minorBidi"/>
          <w:u w:val="none"/>
        </w:rPr>
        <w:t xml:space="preserve"> their implementation by States and communities, including through the International Assistance mechanisms of the Intangible Cultural Heritage Fund;</w:t>
      </w:r>
    </w:p>
    <w:p w14:paraId="03B44603" w14:textId="5969880F" w:rsidR="00B16B18" w:rsidRPr="006B6390" w:rsidRDefault="0059752C" w:rsidP="00B16B18">
      <w:pPr>
        <w:pStyle w:val="GAParaResolution"/>
        <w:numPr>
          <w:ilvl w:val="0"/>
          <w:numId w:val="7"/>
        </w:numPr>
        <w:ind w:left="1134" w:hanging="567"/>
        <w:rPr>
          <w:rFonts w:asciiTheme="minorBidi" w:hAnsiTheme="minorBidi" w:cstheme="minorBidi"/>
          <w:u w:val="none"/>
        </w:rPr>
      </w:pPr>
      <w:r w:rsidRPr="006B6390">
        <w:rPr>
          <w:rFonts w:asciiTheme="minorBidi" w:hAnsiTheme="minorBidi" w:cstheme="minorBidi"/>
        </w:rPr>
        <w:t>Further takes note</w:t>
      </w:r>
      <w:r w:rsidRPr="006B6390">
        <w:rPr>
          <w:rFonts w:asciiTheme="minorBidi" w:hAnsiTheme="minorBidi" w:cstheme="minorBidi"/>
          <w:u w:val="none"/>
        </w:rPr>
        <w:t xml:space="preserve"> of the challenges posed by the global health crisis on the statutory mechanisms and programmes of the Convention</w:t>
      </w:r>
      <w:r w:rsidR="00B16B18" w:rsidRPr="006B6390">
        <w:rPr>
          <w:rFonts w:asciiTheme="minorBidi" w:hAnsiTheme="minorBidi" w:cstheme="minorBidi"/>
          <w:u w:val="none"/>
        </w:rPr>
        <w:t>,</w:t>
      </w:r>
      <w:r w:rsidRPr="006B6390">
        <w:rPr>
          <w:rFonts w:asciiTheme="minorBidi" w:hAnsiTheme="minorBidi" w:cstheme="minorBidi"/>
          <w:u w:val="none"/>
        </w:rPr>
        <w:t xml:space="preserve"> </w:t>
      </w:r>
      <w:r w:rsidRPr="006B6390">
        <w:rPr>
          <w:rFonts w:asciiTheme="minorBidi" w:hAnsiTheme="minorBidi" w:cstheme="minorBidi"/>
        </w:rPr>
        <w:t>commends</w:t>
      </w:r>
      <w:r w:rsidRPr="006B6390">
        <w:rPr>
          <w:rFonts w:asciiTheme="minorBidi" w:hAnsiTheme="minorBidi" w:cstheme="minorBidi"/>
          <w:u w:val="none"/>
        </w:rPr>
        <w:t xml:space="preserve"> the Secretariat for taking the necessary measures to ensure that the governance of the Convention could be maintained, in line with the Convention and its Operational Directives</w:t>
      </w:r>
      <w:r w:rsidR="00B16B18" w:rsidRPr="006B6390">
        <w:rPr>
          <w:rFonts w:asciiTheme="minorBidi" w:hAnsiTheme="minorBidi" w:cstheme="minorBidi"/>
          <w:u w:val="none"/>
        </w:rPr>
        <w:t xml:space="preserve"> and </w:t>
      </w:r>
      <w:r w:rsidR="00B16B18" w:rsidRPr="006B6390">
        <w:rPr>
          <w:rFonts w:asciiTheme="minorBidi" w:hAnsiTheme="minorBidi" w:cstheme="minorBidi"/>
        </w:rPr>
        <w:t>appreciates</w:t>
      </w:r>
      <w:r w:rsidR="00B16B18" w:rsidRPr="006B6390">
        <w:rPr>
          <w:rFonts w:asciiTheme="minorBidi" w:hAnsiTheme="minorBidi" w:cstheme="minorBidi"/>
          <w:u w:val="none"/>
        </w:rPr>
        <w:t xml:space="preserve"> the implementation of the various outreach and communications initiatives, in particular those launched in the context of the wider response to the COVID-19 pandemic;</w:t>
      </w:r>
    </w:p>
    <w:p w14:paraId="61DFEB25" w14:textId="20BD9CE5" w:rsidR="0059752C" w:rsidRPr="006B6390" w:rsidRDefault="0059752C" w:rsidP="0059752C">
      <w:pPr>
        <w:pStyle w:val="COMParaDecision"/>
        <w:ind w:left="1134" w:hanging="567"/>
        <w:rPr>
          <w:rFonts w:asciiTheme="minorBidi" w:hAnsiTheme="minorBidi" w:cstheme="minorBidi"/>
          <w:u w:val="none"/>
        </w:rPr>
      </w:pPr>
      <w:r w:rsidRPr="006B6390">
        <w:rPr>
          <w:rFonts w:asciiTheme="minorBidi" w:hAnsiTheme="minorBidi" w:cstheme="minorBidi"/>
        </w:rPr>
        <w:t>Highlights</w:t>
      </w:r>
      <w:r w:rsidRPr="006B6390">
        <w:rPr>
          <w:rFonts w:asciiTheme="minorBidi" w:hAnsiTheme="minorBidi" w:cstheme="minorBidi"/>
          <w:u w:val="none"/>
        </w:rPr>
        <w:t xml:space="preserve"> the achievements made in the geographical and thematic expansion of the global capacity-building programme since its inception and </w:t>
      </w:r>
      <w:r w:rsidRPr="006B6390">
        <w:rPr>
          <w:rFonts w:asciiTheme="minorBidi" w:hAnsiTheme="minorBidi" w:cstheme="minorBidi"/>
        </w:rPr>
        <w:t>welcomes</w:t>
      </w:r>
      <w:r w:rsidRPr="006B6390">
        <w:rPr>
          <w:rFonts w:asciiTheme="minorBidi" w:hAnsiTheme="minorBidi" w:cstheme="minorBidi"/>
          <w:u w:val="none"/>
        </w:rPr>
        <w:t xml:space="preserve"> its ongoing reorientation to adapt to the need for multi-modal delivery approaches and to strengthen partnerships in the delivery and management of the programme;</w:t>
      </w:r>
    </w:p>
    <w:p w14:paraId="664CCCD2" w14:textId="5D4DA03E" w:rsidR="0059752C" w:rsidRPr="006B6390" w:rsidRDefault="00B16B18" w:rsidP="0059752C">
      <w:pPr>
        <w:pStyle w:val="COMParaDecision"/>
        <w:ind w:left="1134" w:hanging="567"/>
        <w:rPr>
          <w:rFonts w:asciiTheme="minorBidi" w:hAnsiTheme="minorBidi" w:cstheme="minorBidi"/>
          <w:u w:val="none"/>
        </w:rPr>
      </w:pPr>
      <w:r w:rsidRPr="006B6390">
        <w:rPr>
          <w:rFonts w:asciiTheme="minorBidi" w:hAnsiTheme="minorBidi" w:cstheme="minorBidi"/>
        </w:rPr>
        <w:t>Further a</w:t>
      </w:r>
      <w:r w:rsidR="0059752C" w:rsidRPr="006B6390">
        <w:rPr>
          <w:rFonts w:asciiTheme="minorBidi" w:hAnsiTheme="minorBidi" w:cstheme="minorBidi"/>
        </w:rPr>
        <w:t>ppreciates</w:t>
      </w:r>
      <w:r w:rsidR="0059752C" w:rsidRPr="006B6390">
        <w:rPr>
          <w:rFonts w:asciiTheme="minorBidi" w:hAnsiTheme="minorBidi" w:cstheme="minorBidi"/>
          <w:u w:val="none"/>
        </w:rPr>
        <w:t xml:space="preserve"> the progress made in the implementation of the funding priority ‘safeguarding and transmission of intangible cultural heritage through formal and non-</w:t>
      </w:r>
      <w:r w:rsidR="0059752C" w:rsidRPr="006B6390">
        <w:rPr>
          <w:rFonts w:asciiTheme="minorBidi" w:hAnsiTheme="minorBidi" w:cstheme="minorBidi"/>
          <w:u w:val="none"/>
        </w:rPr>
        <w:lastRenderedPageBreak/>
        <w:t>formal education’</w:t>
      </w:r>
      <w:r w:rsidR="003961C7" w:rsidRPr="006B6390">
        <w:rPr>
          <w:rFonts w:asciiTheme="minorBidi" w:hAnsiTheme="minorBidi" w:cstheme="minorBidi"/>
          <w:u w:val="none"/>
        </w:rPr>
        <w:t xml:space="preserve"> and</w:t>
      </w:r>
      <w:r w:rsidR="0059752C" w:rsidRPr="006B6390">
        <w:rPr>
          <w:rFonts w:asciiTheme="minorBidi" w:hAnsiTheme="minorBidi" w:cstheme="minorBidi"/>
          <w:u w:val="none"/>
        </w:rPr>
        <w:t xml:space="preserve"> </w:t>
      </w:r>
      <w:r w:rsidR="0059752C" w:rsidRPr="006B6390">
        <w:rPr>
          <w:rFonts w:asciiTheme="minorBidi" w:hAnsiTheme="minorBidi" w:cstheme="minorBidi"/>
        </w:rPr>
        <w:t>underlines</w:t>
      </w:r>
      <w:r w:rsidR="0059752C" w:rsidRPr="006B6390">
        <w:rPr>
          <w:rFonts w:asciiTheme="minorBidi" w:hAnsiTheme="minorBidi" w:cstheme="minorBidi"/>
          <w:u w:val="none"/>
        </w:rPr>
        <w:t xml:space="preserve"> the importance of strengthening intersectoral collaboration for greater impact;</w:t>
      </w:r>
    </w:p>
    <w:p w14:paraId="68996D8B" w14:textId="775823BF" w:rsidR="0059752C" w:rsidRPr="006B6390" w:rsidRDefault="0059752C" w:rsidP="0059752C">
      <w:pPr>
        <w:pStyle w:val="COMParaDecision"/>
        <w:ind w:left="1134" w:hanging="567"/>
        <w:rPr>
          <w:rFonts w:asciiTheme="minorBidi" w:hAnsiTheme="minorBidi" w:cstheme="minorBidi"/>
        </w:rPr>
      </w:pPr>
      <w:r w:rsidRPr="006B6390">
        <w:rPr>
          <w:rFonts w:asciiTheme="minorBidi" w:hAnsiTheme="minorBidi" w:cstheme="minorBidi"/>
        </w:rPr>
        <w:t>Further commends</w:t>
      </w:r>
      <w:r w:rsidRPr="006B6390">
        <w:rPr>
          <w:rFonts w:asciiTheme="minorBidi" w:hAnsiTheme="minorBidi" w:cstheme="minorBidi"/>
          <w:u w:val="none"/>
        </w:rPr>
        <w:t xml:space="preserve"> the Secretariat for initiating and continuing thematic initiatives such as intangible cultural heritage and climate change, commercialization, education and urban contexts, </w:t>
      </w:r>
      <w:r w:rsidRPr="006B6390">
        <w:rPr>
          <w:rFonts w:asciiTheme="minorBidi" w:hAnsiTheme="minorBidi" w:cstheme="minorBidi"/>
        </w:rPr>
        <w:t>underlines</w:t>
      </w:r>
      <w:r w:rsidRPr="006B6390">
        <w:rPr>
          <w:rFonts w:asciiTheme="minorBidi" w:hAnsiTheme="minorBidi" w:cstheme="minorBidi"/>
          <w:u w:val="none"/>
        </w:rPr>
        <w:t xml:space="preserve"> the importance of ensuring synergies with UNESCO’s cultural conventions and other relevant programmes in that regard, and </w:t>
      </w:r>
      <w:r w:rsidRPr="006B6390">
        <w:rPr>
          <w:rFonts w:asciiTheme="minorBidi" w:hAnsiTheme="minorBidi" w:cstheme="minorBidi"/>
        </w:rPr>
        <w:t>invites</w:t>
      </w:r>
      <w:r w:rsidRPr="006B6390">
        <w:rPr>
          <w:rFonts w:asciiTheme="minorBidi" w:hAnsiTheme="minorBidi" w:cstheme="minorBidi"/>
          <w:u w:val="none"/>
        </w:rPr>
        <w:t xml:space="preserve"> the Secretariat to pursue its efforts</w:t>
      </w:r>
      <w:r w:rsidR="00316415" w:rsidRPr="006B6390">
        <w:rPr>
          <w:rFonts w:asciiTheme="minorBidi" w:hAnsiTheme="minorBidi" w:cstheme="minorBidi"/>
          <w:u w:val="none"/>
        </w:rPr>
        <w:t xml:space="preserve">; </w:t>
      </w:r>
    </w:p>
    <w:p w14:paraId="4EFCEF9C" w14:textId="05AD493E" w:rsidR="000D7BD9" w:rsidRPr="006B6390" w:rsidRDefault="000D7BD9" w:rsidP="00EA045A">
      <w:pPr>
        <w:pStyle w:val="COMParaDecision"/>
        <w:ind w:left="1134" w:hanging="567"/>
        <w:rPr>
          <w:rFonts w:asciiTheme="minorBidi" w:hAnsiTheme="minorBidi" w:cstheme="minorBidi"/>
          <w:u w:val="none"/>
        </w:rPr>
        <w:sectPr w:rsidR="000D7BD9" w:rsidRPr="006B6390" w:rsidSect="00655736">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134" w:left="1134" w:header="397" w:footer="284" w:gutter="0"/>
          <w:cols w:space="708"/>
          <w:titlePg/>
          <w:docGrid w:linePitch="360"/>
        </w:sectPr>
      </w:pPr>
      <w:r w:rsidRPr="006B6390">
        <w:rPr>
          <w:rFonts w:asciiTheme="minorBidi" w:hAnsiTheme="minorBidi" w:cstheme="minorBidi"/>
        </w:rPr>
        <w:t>Requests</w:t>
      </w:r>
      <w:r w:rsidRPr="006B6390">
        <w:rPr>
          <w:rFonts w:asciiTheme="minorBidi" w:hAnsiTheme="minorBidi" w:cstheme="minorBidi"/>
          <w:u w:val="none"/>
        </w:rPr>
        <w:t xml:space="preserve"> that the Secretariat prepares information on its main activities, with cost implications and workload-related issues, for examination by the seventeenth session of the Committee, who may take stock of the situation, provide guidance and establish priorities.</w:t>
      </w:r>
    </w:p>
    <w:p w14:paraId="733850BC" w14:textId="099BA82C" w:rsidR="0030560C" w:rsidRPr="006B6390" w:rsidRDefault="0030560C" w:rsidP="0030560C">
      <w:pPr>
        <w:pStyle w:val="COMParaDecision"/>
        <w:numPr>
          <w:ilvl w:val="0"/>
          <w:numId w:val="0"/>
        </w:numPr>
        <w:jc w:val="center"/>
        <w:rPr>
          <w:rFonts w:asciiTheme="minorBidi" w:hAnsiTheme="minorBidi" w:cstheme="minorBidi"/>
          <w:b/>
        </w:rPr>
      </w:pPr>
      <w:r w:rsidRPr="006B6390">
        <w:rPr>
          <w:rFonts w:asciiTheme="minorBidi" w:hAnsiTheme="minorBidi" w:cstheme="minorBidi"/>
          <w:b/>
        </w:rPr>
        <w:lastRenderedPageBreak/>
        <w:t>Annex</w:t>
      </w:r>
      <w:r w:rsidR="00160605" w:rsidRPr="006B6390">
        <w:rPr>
          <w:rFonts w:asciiTheme="minorBidi" w:hAnsiTheme="minorBidi" w:cstheme="minorBidi"/>
          <w:b/>
        </w:rPr>
        <w:t xml:space="preserve"> I</w:t>
      </w:r>
    </w:p>
    <w:p w14:paraId="527E2AF7" w14:textId="77777777" w:rsidR="0030560C" w:rsidRPr="006B6390" w:rsidRDefault="0030560C" w:rsidP="0030560C">
      <w:pPr>
        <w:pStyle w:val="COMParaDecision"/>
        <w:numPr>
          <w:ilvl w:val="0"/>
          <w:numId w:val="0"/>
        </w:numPr>
        <w:spacing w:after="240"/>
        <w:jc w:val="center"/>
        <w:rPr>
          <w:rFonts w:asciiTheme="minorBidi" w:hAnsiTheme="minorBidi" w:cstheme="minorBidi"/>
          <w:b/>
          <w:u w:val="none"/>
        </w:rPr>
      </w:pPr>
      <w:r w:rsidRPr="006B6390">
        <w:rPr>
          <w:rFonts w:asciiTheme="minorBidi" w:hAnsiTheme="minorBidi" w:cstheme="minorBidi"/>
          <w:b/>
          <w:u w:val="none"/>
        </w:rPr>
        <w:t>Assessment by performance indicator</w:t>
      </w:r>
    </w:p>
    <w:tbl>
      <w:tblPr>
        <w:tblStyle w:val="TableGrid2"/>
        <w:tblW w:w="14572" w:type="dxa"/>
        <w:tblLook w:val="04A0" w:firstRow="1" w:lastRow="0" w:firstColumn="1" w:lastColumn="0" w:noHBand="0" w:noVBand="1"/>
      </w:tblPr>
      <w:tblGrid>
        <w:gridCol w:w="3789"/>
        <w:gridCol w:w="10783"/>
      </w:tblGrid>
      <w:tr w:rsidR="0030560C" w:rsidRPr="00546D04" w14:paraId="59ED848B" w14:textId="77777777" w:rsidTr="00E26DD4">
        <w:trPr>
          <w:cantSplit/>
        </w:trPr>
        <w:tc>
          <w:tcPr>
            <w:tcW w:w="1300" w:type="pct"/>
            <w:shd w:val="clear" w:color="auto" w:fill="808080" w:themeFill="background1" w:themeFillShade="80"/>
            <w:vAlign w:val="center"/>
          </w:tcPr>
          <w:p w14:paraId="4D432A82" w14:textId="77777777" w:rsidR="0030560C" w:rsidRPr="006B6390" w:rsidRDefault="0030560C" w:rsidP="00E26DD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40C/5 Performance Indicator 1</w:t>
            </w:r>
          </w:p>
        </w:tc>
        <w:tc>
          <w:tcPr>
            <w:tcW w:w="3700" w:type="pct"/>
            <w:shd w:val="clear" w:color="auto" w:fill="808080" w:themeFill="background1" w:themeFillShade="80"/>
            <w:vAlign w:val="center"/>
          </w:tcPr>
          <w:p w14:paraId="24C2A2D5" w14:textId="77777777" w:rsidR="0030560C" w:rsidRPr="006B6390" w:rsidRDefault="0030560C" w:rsidP="00E26DD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Sound governance exercised through the adoption and implementation of strategic resolutions/decisions of the governing bodies of the 2003 Convention.</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30560C" w:rsidRPr="006B6390" w14:paraId="61207128" w14:textId="77777777" w:rsidTr="00E26DD4">
        <w:trPr>
          <w:tblHeader/>
        </w:trPr>
        <w:tc>
          <w:tcPr>
            <w:tcW w:w="1300" w:type="pct"/>
            <w:shd w:val="clear" w:color="auto" w:fill="D9D9D9" w:themeFill="background1" w:themeFillShade="D9"/>
            <w:vAlign w:val="center"/>
          </w:tcPr>
          <w:p w14:paraId="0802A70F"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Assessed according to the following:</w:t>
            </w:r>
          </w:p>
        </w:tc>
        <w:tc>
          <w:tcPr>
            <w:tcW w:w="577" w:type="pct"/>
            <w:shd w:val="clear" w:color="auto" w:fill="D9D9D9" w:themeFill="background1" w:themeFillShade="D9"/>
            <w:vAlign w:val="center"/>
          </w:tcPr>
          <w:p w14:paraId="68CFA6C4"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hAnsiTheme="minorBidi" w:cstheme="minorBidi"/>
                <w:b/>
                <w:bCs/>
                <w:sz w:val="22"/>
                <w:szCs w:val="22"/>
                <w:lang w:val="en-GB"/>
              </w:rPr>
              <w:t>Baselines</w:t>
            </w:r>
          </w:p>
        </w:tc>
        <w:tc>
          <w:tcPr>
            <w:tcW w:w="673" w:type="pct"/>
            <w:shd w:val="clear" w:color="auto" w:fill="D9D9D9" w:themeFill="background1" w:themeFillShade="D9"/>
            <w:vAlign w:val="center"/>
          </w:tcPr>
          <w:p w14:paraId="013D8F83"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Targets 2020-2021</w:t>
            </w:r>
          </w:p>
        </w:tc>
        <w:tc>
          <w:tcPr>
            <w:tcW w:w="2451" w:type="pct"/>
            <w:shd w:val="clear" w:color="auto" w:fill="D9D9D9" w:themeFill="background1" w:themeFillShade="D9"/>
            <w:vAlign w:val="center"/>
          </w:tcPr>
          <w:p w14:paraId="31B7540E" w14:textId="77777777" w:rsidR="0030560C" w:rsidRPr="006B6390" w:rsidRDefault="0030560C" w:rsidP="00E26DD4">
            <w:pPr>
              <w:autoSpaceDE w:val="0"/>
              <w:autoSpaceDN w:val="0"/>
              <w:adjustRightInd w:val="0"/>
              <w:jc w:val="center"/>
              <w:rPr>
                <w:rFonts w:asciiTheme="minorBidi" w:eastAsia="Calibri" w:hAnsiTheme="minorBidi" w:cstheme="minorBidi"/>
                <w:b/>
                <w:color w:val="000000"/>
                <w:sz w:val="22"/>
                <w:szCs w:val="22"/>
                <w:lang w:val="en-GB"/>
              </w:rPr>
            </w:pPr>
            <w:r w:rsidRPr="006B6390">
              <w:rPr>
                <w:rFonts w:asciiTheme="minorBidi" w:eastAsia="Calibri" w:hAnsiTheme="minorBidi" w:cstheme="minorBidi"/>
                <w:b/>
                <w:sz w:val="22"/>
                <w:szCs w:val="22"/>
                <w:lang w:val="en-GB"/>
              </w:rPr>
              <w:t>Assessment of progress:</w:t>
            </w:r>
            <w:r w:rsidRPr="006B6390">
              <w:rPr>
                <w:rFonts w:asciiTheme="minorBidi" w:eastAsia="Calibri" w:hAnsiTheme="minorBidi" w:cstheme="minorBidi"/>
                <w:b/>
                <w:sz w:val="22"/>
                <w:szCs w:val="22"/>
                <w:lang w:val="en-GB"/>
              </w:rPr>
              <w:br/>
              <w:t xml:space="preserve">01/01/2020 to 30/06/2021 </w:t>
            </w:r>
          </w:p>
        </w:tc>
      </w:tr>
      <w:tr w:rsidR="0030560C" w:rsidRPr="00546D04" w14:paraId="1FE9952F" w14:textId="77777777" w:rsidTr="00EA045A">
        <w:trPr>
          <w:trHeight w:val="1498"/>
        </w:trPr>
        <w:tc>
          <w:tcPr>
            <w:tcW w:w="1300" w:type="pct"/>
            <w:tcBorders>
              <w:bottom w:val="single" w:sz="4" w:space="0" w:color="auto"/>
            </w:tcBorders>
          </w:tcPr>
          <w:p w14:paraId="34A1E93B" w14:textId="77777777" w:rsidR="0030560C" w:rsidRPr="006B6390" w:rsidRDefault="0030560C" w:rsidP="00040539">
            <w:pPr>
              <w:pStyle w:val="ListParagraph"/>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Strengthened ability to provide strategic guidance to States Parties for the implementation and monitoring of the Convention, including through examination of submitted periodic reports</w:t>
            </w:r>
          </w:p>
          <w:p w14:paraId="427D4890" w14:textId="77777777" w:rsidR="0030560C" w:rsidRPr="006B6390" w:rsidRDefault="0030560C" w:rsidP="00040539">
            <w:pPr>
              <w:pStyle w:val="ListParagraph"/>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Working methods of the governing bodies improved</w:t>
            </w:r>
          </w:p>
          <w:p w14:paraId="5B5584C4" w14:textId="77777777" w:rsidR="0030560C" w:rsidRPr="006B6390" w:rsidRDefault="0030560C" w:rsidP="00040539">
            <w:pPr>
              <w:pStyle w:val="ListParagraph"/>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Level of funding to the implementation of decisions adopted by the governing bodies</w:t>
            </w:r>
          </w:p>
          <w:p w14:paraId="7AD345D7" w14:textId="6919DA2D" w:rsidR="0030560C" w:rsidRPr="006B6390" w:rsidRDefault="0030560C" w:rsidP="00040539">
            <w:pPr>
              <w:pStyle w:val="ListParagraph"/>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Level of contribution of non-governmental organizations with recognized competence in the field of intangible cultural heritage to the Convention’s governance</w:t>
            </w:r>
          </w:p>
        </w:tc>
        <w:tc>
          <w:tcPr>
            <w:tcW w:w="577" w:type="pct"/>
            <w:tcBorders>
              <w:bottom w:val="single" w:sz="4" w:space="0" w:color="auto"/>
            </w:tcBorders>
            <w:shd w:val="clear" w:color="auto" w:fill="auto"/>
          </w:tcPr>
          <w:p w14:paraId="162B45DD" w14:textId="77777777" w:rsidR="0030560C" w:rsidRPr="006B6390" w:rsidRDefault="0030560C" w:rsidP="0030560C">
            <w:pPr>
              <w:pStyle w:val="ListParagraph"/>
              <w:numPr>
                <w:ilvl w:val="0"/>
                <w:numId w:val="40"/>
              </w:numPr>
              <w:spacing w:before="120" w:after="120"/>
              <w:ind w:left="312" w:hanging="340"/>
              <w:contextualSpacing w:val="0"/>
              <w:rPr>
                <w:rFonts w:asciiTheme="minorBidi" w:hAnsiTheme="minorBidi" w:cstheme="minorBidi"/>
                <w:sz w:val="22"/>
                <w:szCs w:val="22"/>
                <w:lang w:val="en-GB"/>
              </w:rPr>
            </w:pPr>
            <w:r w:rsidRPr="006B6390">
              <w:rPr>
                <w:rFonts w:asciiTheme="minorBidi" w:hAnsiTheme="minorBidi" w:cstheme="minorBidi"/>
                <w:sz w:val="22"/>
                <w:szCs w:val="22"/>
                <w:lang w:val="en-GB"/>
              </w:rPr>
              <w:t>Yes</w:t>
            </w:r>
          </w:p>
        </w:tc>
        <w:tc>
          <w:tcPr>
            <w:tcW w:w="673" w:type="pct"/>
            <w:tcBorders>
              <w:bottom w:val="single" w:sz="4" w:space="0" w:color="auto"/>
            </w:tcBorders>
            <w:shd w:val="clear" w:color="auto" w:fill="auto"/>
          </w:tcPr>
          <w:p w14:paraId="1523F366" w14:textId="77777777" w:rsidR="0030560C" w:rsidRPr="006B6390" w:rsidRDefault="0030560C" w:rsidP="0030560C">
            <w:pPr>
              <w:pStyle w:val="ListParagraph"/>
              <w:numPr>
                <w:ilvl w:val="0"/>
                <w:numId w:val="40"/>
              </w:numPr>
              <w:spacing w:before="120" w:after="120"/>
              <w:ind w:left="312" w:hanging="340"/>
              <w:contextualSpacing w:val="0"/>
              <w:rPr>
                <w:rFonts w:asciiTheme="minorBidi" w:hAnsiTheme="minorBidi" w:cstheme="minorBidi"/>
                <w:sz w:val="22"/>
                <w:szCs w:val="22"/>
                <w:lang w:val="en-GB"/>
              </w:rPr>
            </w:pPr>
            <w:r w:rsidRPr="006B6390">
              <w:rPr>
                <w:rFonts w:asciiTheme="minorBidi" w:hAnsiTheme="minorBidi" w:cstheme="minorBidi"/>
                <w:sz w:val="22"/>
                <w:szCs w:val="22"/>
                <w:lang w:val="en-GB"/>
              </w:rPr>
              <w:t>Yes</w:t>
            </w:r>
          </w:p>
        </w:tc>
        <w:tc>
          <w:tcPr>
            <w:tcW w:w="2451" w:type="pct"/>
            <w:tcBorders>
              <w:bottom w:val="single" w:sz="4" w:space="0" w:color="auto"/>
            </w:tcBorders>
            <w:shd w:val="clear" w:color="auto" w:fill="auto"/>
          </w:tcPr>
          <w:p w14:paraId="1F3D47CE" w14:textId="1FD3EDEE"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Working methods and tools of the Convention’s governing bodies and evaluation bodies adapted to online modalities, and knowledge management services optimized to ensure the continuity of statutory mechanisms and meetings.</w:t>
            </w:r>
          </w:p>
          <w:p w14:paraId="0CF862B6" w14:textId="77777777" w:rsidR="0030560C" w:rsidRPr="006B6390" w:rsidRDefault="0030560C" w:rsidP="00986D3E">
            <w:pPr>
              <w:pStyle w:val="ListParagraph"/>
              <w:numPr>
                <w:ilvl w:val="0"/>
                <w:numId w:val="40"/>
              </w:numPr>
              <w:spacing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Operational principles and modalities for the safeguarding of intangible cultural heritage in emergencies adopted.</w:t>
            </w:r>
            <w:r w:rsidRPr="006B6390">
              <w:rPr>
                <w:rStyle w:val="FootnoteReference"/>
                <w:rFonts w:asciiTheme="minorBidi" w:hAnsiTheme="minorBidi" w:cstheme="minorBidi"/>
                <w:sz w:val="22"/>
                <w:szCs w:val="22"/>
                <w:lang w:val="en-GB"/>
              </w:rPr>
              <w:footnoteReference w:id="15"/>
            </w:r>
          </w:p>
          <w:p w14:paraId="2FEF8E6D" w14:textId="72670A68"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Dialogue process between the Evaluation Body and submitting States – in the form of a short question</w:t>
            </w:r>
            <w:r w:rsidR="00550FB3"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and</w:t>
            </w:r>
            <w:r w:rsidR="00550FB3"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answer – introduced in the evaluation procedure and timetable of nominations, proposals and requests and related revisions to the Operational Directives adopted.</w:t>
            </w:r>
            <w:r w:rsidRPr="006B6390">
              <w:rPr>
                <w:rStyle w:val="FootnoteReference"/>
                <w:rFonts w:asciiTheme="minorBidi" w:hAnsiTheme="minorBidi" w:cstheme="minorBidi"/>
                <w:sz w:val="22"/>
                <w:szCs w:val="22"/>
                <w:lang w:val="en-GB"/>
              </w:rPr>
              <w:footnoteReference w:id="16"/>
            </w:r>
            <w:r w:rsidRPr="006B6390">
              <w:rPr>
                <w:rFonts w:asciiTheme="minorBidi" w:hAnsiTheme="minorBidi" w:cstheme="minorBidi"/>
                <w:sz w:val="22"/>
                <w:szCs w:val="22"/>
                <w:lang w:val="en-GB"/>
              </w:rPr>
              <w:t xml:space="preserve"> The dialogue process was carried out for 11 files in 2020 and 15 files in 2021.</w:t>
            </w:r>
          </w:p>
          <w:p w14:paraId="1437A8D1" w14:textId="76071F41"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6</w:t>
            </w:r>
            <w:r w:rsidR="00497A55" w:rsidRPr="006B6390">
              <w:rPr>
                <w:rFonts w:asciiTheme="minorBidi" w:hAnsiTheme="minorBidi" w:cstheme="minorBidi"/>
                <w:sz w:val="22"/>
                <w:szCs w:val="22"/>
                <w:lang w:val="en-GB"/>
              </w:rPr>
              <w:t>2</w:t>
            </w:r>
            <w:r w:rsidRPr="006B6390">
              <w:rPr>
                <w:rFonts w:asciiTheme="minorBidi" w:hAnsiTheme="minorBidi" w:cstheme="minorBidi"/>
                <w:sz w:val="22"/>
                <w:szCs w:val="22"/>
                <w:lang w:val="en-GB"/>
              </w:rPr>
              <w:t xml:space="preserve"> nomination files from 6</w:t>
            </w:r>
            <w:r w:rsidR="00497A55" w:rsidRPr="006B6390">
              <w:rPr>
                <w:rFonts w:asciiTheme="minorBidi" w:hAnsiTheme="minorBidi" w:cstheme="minorBidi"/>
                <w:sz w:val="22"/>
                <w:szCs w:val="22"/>
                <w:lang w:val="en-GB"/>
              </w:rPr>
              <w:t>2</w:t>
            </w:r>
            <w:r w:rsidRPr="006B6390">
              <w:rPr>
                <w:rFonts w:asciiTheme="minorBidi" w:hAnsiTheme="minorBidi" w:cstheme="minorBidi"/>
                <w:sz w:val="22"/>
                <w:szCs w:val="22"/>
                <w:lang w:val="en-GB"/>
              </w:rPr>
              <w:t xml:space="preserve"> States were </w:t>
            </w:r>
            <w:r w:rsidR="00C47951" w:rsidRPr="006B6390">
              <w:rPr>
                <w:rFonts w:asciiTheme="minorBidi" w:hAnsiTheme="minorBidi" w:cstheme="minorBidi"/>
                <w:sz w:val="22"/>
                <w:szCs w:val="22"/>
                <w:lang w:val="en-GB"/>
              </w:rPr>
              <w:t xml:space="preserve">newly </w:t>
            </w:r>
            <w:r w:rsidRPr="006B6390">
              <w:rPr>
                <w:rFonts w:asciiTheme="minorBidi" w:hAnsiTheme="minorBidi" w:cstheme="minorBidi"/>
                <w:sz w:val="22"/>
                <w:szCs w:val="22"/>
                <w:lang w:val="en-GB"/>
              </w:rPr>
              <w:t>submitted for the 2020 cycle; 7</w:t>
            </w:r>
            <w:r w:rsidR="00497A55" w:rsidRPr="006B6390">
              <w:rPr>
                <w:rFonts w:asciiTheme="minorBidi" w:hAnsiTheme="minorBidi" w:cstheme="minorBidi"/>
                <w:sz w:val="22"/>
                <w:szCs w:val="22"/>
                <w:lang w:val="en-GB"/>
              </w:rPr>
              <w:t>4</w:t>
            </w:r>
            <w:r w:rsidRPr="006B6390">
              <w:rPr>
                <w:rFonts w:asciiTheme="minorBidi" w:hAnsiTheme="minorBidi" w:cstheme="minorBidi"/>
                <w:sz w:val="22"/>
                <w:szCs w:val="22"/>
                <w:lang w:val="en-GB"/>
              </w:rPr>
              <w:t xml:space="preserve"> files from </w:t>
            </w:r>
            <w:r w:rsidR="009D0A2B" w:rsidRPr="006B6390">
              <w:rPr>
                <w:rFonts w:asciiTheme="minorBidi" w:hAnsiTheme="minorBidi" w:cstheme="minorBidi"/>
                <w:sz w:val="22"/>
                <w:szCs w:val="22"/>
                <w:lang w:val="en-GB"/>
              </w:rPr>
              <w:t>8</w:t>
            </w:r>
            <w:r w:rsidR="00497A55" w:rsidRPr="006B6390">
              <w:rPr>
                <w:rFonts w:asciiTheme="minorBidi" w:hAnsiTheme="minorBidi" w:cstheme="minorBidi"/>
                <w:sz w:val="22"/>
                <w:szCs w:val="22"/>
                <w:lang w:val="en-GB"/>
              </w:rPr>
              <w:t>1</w:t>
            </w:r>
            <w:r w:rsidRPr="006B6390">
              <w:rPr>
                <w:rFonts w:asciiTheme="minorBidi" w:hAnsiTheme="minorBidi" w:cstheme="minorBidi"/>
                <w:sz w:val="22"/>
                <w:szCs w:val="22"/>
                <w:lang w:val="en-GB"/>
              </w:rPr>
              <w:t xml:space="preserve"> States were </w:t>
            </w:r>
            <w:r w:rsidR="00C47951" w:rsidRPr="006B6390">
              <w:rPr>
                <w:rFonts w:asciiTheme="minorBidi" w:hAnsiTheme="minorBidi" w:cstheme="minorBidi"/>
                <w:sz w:val="22"/>
                <w:szCs w:val="22"/>
                <w:lang w:val="en-GB"/>
              </w:rPr>
              <w:t xml:space="preserve">newly </w:t>
            </w:r>
            <w:r w:rsidRPr="006B6390">
              <w:rPr>
                <w:rFonts w:asciiTheme="minorBidi" w:hAnsiTheme="minorBidi" w:cstheme="minorBidi"/>
                <w:sz w:val="22"/>
                <w:szCs w:val="22"/>
                <w:lang w:val="en-GB"/>
              </w:rPr>
              <w:t>submitted for the 2021 cycle; and 5</w:t>
            </w:r>
            <w:r w:rsidR="00497A55" w:rsidRPr="006B6390">
              <w:rPr>
                <w:rFonts w:asciiTheme="minorBidi" w:hAnsiTheme="minorBidi" w:cstheme="minorBidi"/>
                <w:sz w:val="22"/>
                <w:szCs w:val="22"/>
                <w:lang w:val="en-GB"/>
              </w:rPr>
              <w:t>9</w:t>
            </w:r>
            <w:r w:rsidRPr="006B6390">
              <w:rPr>
                <w:rFonts w:asciiTheme="minorBidi" w:hAnsiTheme="minorBidi" w:cstheme="minorBidi"/>
                <w:sz w:val="22"/>
                <w:szCs w:val="22"/>
                <w:lang w:val="en-GB"/>
              </w:rPr>
              <w:t xml:space="preserve"> nomination files from </w:t>
            </w:r>
            <w:r w:rsidR="009D0A2B" w:rsidRPr="006B6390">
              <w:rPr>
                <w:rFonts w:asciiTheme="minorBidi" w:hAnsiTheme="minorBidi" w:cstheme="minorBidi"/>
                <w:sz w:val="22"/>
                <w:szCs w:val="22"/>
                <w:lang w:val="en-GB"/>
              </w:rPr>
              <w:t>6</w:t>
            </w:r>
            <w:r w:rsidR="00497A55" w:rsidRPr="006B6390">
              <w:rPr>
                <w:rFonts w:asciiTheme="minorBidi" w:hAnsiTheme="minorBidi" w:cstheme="minorBidi"/>
                <w:sz w:val="22"/>
                <w:szCs w:val="22"/>
                <w:lang w:val="en-GB"/>
              </w:rPr>
              <w:t>4</w:t>
            </w:r>
            <w:r w:rsidRPr="006B6390">
              <w:rPr>
                <w:rFonts w:asciiTheme="minorBidi" w:hAnsiTheme="minorBidi" w:cstheme="minorBidi"/>
                <w:sz w:val="22"/>
                <w:szCs w:val="22"/>
                <w:lang w:val="en-GB"/>
              </w:rPr>
              <w:t xml:space="preserve"> States were </w:t>
            </w:r>
            <w:r w:rsidR="00C47951" w:rsidRPr="006B6390">
              <w:rPr>
                <w:rFonts w:asciiTheme="minorBidi" w:hAnsiTheme="minorBidi" w:cstheme="minorBidi"/>
                <w:sz w:val="22"/>
                <w:szCs w:val="22"/>
                <w:lang w:val="en-GB"/>
              </w:rPr>
              <w:t xml:space="preserve">newly </w:t>
            </w:r>
            <w:r w:rsidRPr="006B6390">
              <w:rPr>
                <w:rFonts w:asciiTheme="minorBidi" w:hAnsiTheme="minorBidi" w:cstheme="minorBidi"/>
                <w:sz w:val="22"/>
                <w:szCs w:val="22"/>
                <w:lang w:val="en-GB"/>
              </w:rPr>
              <w:t>submitted for the 2022 cycle.</w:t>
            </w:r>
            <w:r w:rsidRPr="006B6390">
              <w:rPr>
                <w:rStyle w:val="FootnoteReference"/>
                <w:rFonts w:asciiTheme="minorBidi" w:hAnsiTheme="minorBidi" w:cstheme="minorBidi"/>
                <w:sz w:val="22"/>
                <w:szCs w:val="22"/>
                <w:lang w:val="en-GB"/>
              </w:rPr>
              <w:footnoteReference w:id="17"/>
            </w:r>
          </w:p>
          <w:p w14:paraId="36541CC3" w14:textId="77777777" w:rsidR="0030560C" w:rsidRPr="006B6390" w:rsidRDefault="0030560C" w:rsidP="00986D3E">
            <w:pPr>
              <w:pStyle w:val="ListParagraph"/>
              <w:keepNext/>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lastRenderedPageBreak/>
              <w:t>14 statutory meetings organized.</w:t>
            </w:r>
            <w:r w:rsidRPr="006B6390">
              <w:rPr>
                <w:rStyle w:val="FootnoteReference"/>
                <w:rFonts w:asciiTheme="minorBidi" w:hAnsiTheme="minorBidi" w:cstheme="minorBidi"/>
                <w:sz w:val="22"/>
                <w:szCs w:val="22"/>
                <w:lang w:val="en-GB"/>
              </w:rPr>
              <w:footnoteReference w:id="18"/>
            </w:r>
          </w:p>
          <w:p w14:paraId="53E03F94" w14:textId="427C462A" w:rsidR="0030560C" w:rsidRPr="006B6390" w:rsidRDefault="0030560C" w:rsidP="00986D3E">
            <w:pPr>
              <w:pStyle w:val="ListParagraph"/>
              <w:keepNext/>
              <w:keepLines/>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First regional cycle in the reformed periodic reporting mechanism initiated for States Parties in Latin America and the Caribbean (8</w:t>
            </w:r>
            <w:r w:rsidR="005A2B43" w:rsidRPr="006B6390">
              <w:rPr>
                <w:rFonts w:asciiTheme="minorBidi" w:hAnsiTheme="minorBidi" w:cstheme="minorBidi"/>
                <w:sz w:val="22"/>
                <w:szCs w:val="22"/>
                <w:lang w:val="en-GB"/>
              </w:rPr>
              <w:t>7.5</w:t>
            </w:r>
            <w:r w:rsidRPr="006B6390">
              <w:rPr>
                <w:rFonts w:asciiTheme="minorBidi" w:hAnsiTheme="minorBidi" w:cstheme="minorBidi"/>
                <w:sz w:val="22"/>
                <w:szCs w:val="22"/>
                <w:lang w:val="en-GB"/>
              </w:rPr>
              <w:t>% of periodic reports submitted in 2020). 9 reports examined on the status of elements inscribed on the Urgent Safeguarding List in 2020.</w:t>
            </w:r>
          </w:p>
          <w:p w14:paraId="5CF3E954" w14:textId="77777777"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Standalone item on the ‘Report of the non-governmental organizations forum’ included for the first time in the agenda of the Committee in 2020 (15.COM).</w:t>
            </w:r>
          </w:p>
          <w:p w14:paraId="144B302F" w14:textId="660B8DDB"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 xml:space="preserve">46 </w:t>
            </w:r>
            <w:r w:rsidR="003525C4" w:rsidRPr="006B6390">
              <w:rPr>
                <w:rFonts w:asciiTheme="minorBidi" w:hAnsiTheme="minorBidi" w:cstheme="minorBidi"/>
                <w:sz w:val="22"/>
                <w:szCs w:val="22"/>
                <w:lang w:val="en-GB"/>
              </w:rPr>
              <w:t xml:space="preserve">new </w:t>
            </w:r>
            <w:r w:rsidRPr="006B6390">
              <w:rPr>
                <w:rFonts w:asciiTheme="minorBidi" w:hAnsiTheme="minorBidi" w:cstheme="minorBidi"/>
                <w:sz w:val="22"/>
                <w:szCs w:val="22"/>
                <w:lang w:val="en-GB"/>
              </w:rPr>
              <w:t xml:space="preserve">accreditation requests processed for non-governmental organizations and </w:t>
            </w:r>
            <w:r w:rsidR="000C4013" w:rsidRPr="006B6390">
              <w:rPr>
                <w:rFonts w:asciiTheme="minorBidi" w:hAnsiTheme="minorBidi" w:cstheme="minorBidi"/>
                <w:sz w:val="22"/>
                <w:szCs w:val="22"/>
                <w:lang w:val="en-GB"/>
              </w:rPr>
              <w:t>65</w:t>
            </w:r>
            <w:r w:rsidRPr="006B6390">
              <w:rPr>
                <w:rFonts w:asciiTheme="minorBidi" w:hAnsiTheme="minorBidi" w:cstheme="minorBidi"/>
                <w:sz w:val="22"/>
                <w:szCs w:val="22"/>
                <w:lang w:val="en-GB"/>
              </w:rPr>
              <w:t xml:space="preserve"> reports re</w:t>
            </w:r>
            <w:r w:rsidR="000C4013" w:rsidRPr="006B6390">
              <w:rPr>
                <w:rFonts w:asciiTheme="minorBidi" w:hAnsiTheme="minorBidi" w:cstheme="minorBidi"/>
                <w:sz w:val="22"/>
                <w:szCs w:val="22"/>
                <w:lang w:val="en-GB"/>
              </w:rPr>
              <w:t>gistered</w:t>
            </w:r>
            <w:r w:rsidRPr="006B6390">
              <w:rPr>
                <w:rFonts w:asciiTheme="minorBidi" w:hAnsiTheme="minorBidi" w:cstheme="minorBidi"/>
                <w:sz w:val="22"/>
                <w:szCs w:val="22"/>
                <w:lang w:val="en-GB"/>
              </w:rPr>
              <w:t xml:space="preserve"> for renewal of accreditation.</w:t>
            </w:r>
          </w:p>
          <w:p w14:paraId="2384276F" w14:textId="6AAC1A5E" w:rsidR="0030560C" w:rsidRPr="006B6390" w:rsidRDefault="00147B1F"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 xml:space="preserve">8 </w:t>
            </w:r>
            <w:r w:rsidR="0030560C" w:rsidRPr="006B6390">
              <w:rPr>
                <w:rFonts w:asciiTheme="minorBidi" w:hAnsiTheme="minorBidi" w:cstheme="minorBidi"/>
                <w:sz w:val="22"/>
                <w:szCs w:val="22"/>
                <w:lang w:val="en-GB"/>
              </w:rPr>
              <w:t>proposals processed for the establishment or renewal of UNESCO Chairs in the field of intangible cultural heritage.</w:t>
            </w:r>
          </w:p>
        </w:tc>
      </w:tr>
      <w:tr w:rsidR="0030560C" w:rsidRPr="00546D04" w14:paraId="681BD557" w14:textId="77777777" w:rsidTr="005275A4">
        <w:trPr>
          <w:trHeight w:val="367"/>
        </w:trPr>
        <w:tc>
          <w:tcPr>
            <w:tcW w:w="1300" w:type="pct"/>
            <w:tcBorders>
              <w:left w:val="nil"/>
              <w:bottom w:val="nil"/>
              <w:right w:val="nil"/>
            </w:tcBorders>
          </w:tcPr>
          <w:p w14:paraId="5F0CE6F7" w14:textId="72B7F0D2" w:rsidR="001A33F5" w:rsidRPr="00FD6E94" w:rsidRDefault="001A33F5" w:rsidP="00FD6E94">
            <w:pPr>
              <w:spacing w:before="120" w:after="120"/>
              <w:rPr>
                <w:rFonts w:asciiTheme="minorBidi" w:hAnsiTheme="minorBidi" w:cstheme="minorBidi"/>
                <w:sz w:val="22"/>
                <w:szCs w:val="22"/>
                <w:lang w:val="en-GB"/>
              </w:rPr>
            </w:pPr>
          </w:p>
        </w:tc>
        <w:tc>
          <w:tcPr>
            <w:tcW w:w="577" w:type="pct"/>
            <w:tcBorders>
              <w:left w:val="nil"/>
              <w:bottom w:val="nil"/>
              <w:right w:val="nil"/>
            </w:tcBorders>
            <w:shd w:val="clear" w:color="auto" w:fill="auto"/>
          </w:tcPr>
          <w:p w14:paraId="0D058918" w14:textId="77777777" w:rsidR="0030560C" w:rsidRPr="006B6390" w:rsidRDefault="0030560C" w:rsidP="00E26DD4">
            <w:pPr>
              <w:pStyle w:val="ListParagraph"/>
              <w:spacing w:before="120" w:after="120"/>
              <w:ind w:left="312"/>
              <w:contextualSpacing w:val="0"/>
              <w:rPr>
                <w:rFonts w:asciiTheme="minorBidi" w:hAnsiTheme="minorBidi" w:cstheme="minorBidi"/>
                <w:sz w:val="22"/>
                <w:szCs w:val="22"/>
                <w:lang w:val="en-GB"/>
              </w:rPr>
            </w:pPr>
          </w:p>
        </w:tc>
        <w:tc>
          <w:tcPr>
            <w:tcW w:w="673" w:type="pct"/>
            <w:tcBorders>
              <w:left w:val="nil"/>
              <w:bottom w:val="nil"/>
              <w:right w:val="nil"/>
            </w:tcBorders>
            <w:shd w:val="clear" w:color="auto" w:fill="auto"/>
          </w:tcPr>
          <w:p w14:paraId="28691EC2" w14:textId="77777777" w:rsidR="0030560C" w:rsidRPr="006B6390" w:rsidRDefault="0030560C" w:rsidP="00E26DD4">
            <w:pPr>
              <w:pStyle w:val="ListParagraph"/>
              <w:spacing w:before="120" w:after="120"/>
              <w:ind w:left="312"/>
              <w:contextualSpacing w:val="0"/>
              <w:rPr>
                <w:rFonts w:asciiTheme="minorBidi" w:hAnsiTheme="minorBidi" w:cstheme="minorBidi"/>
                <w:sz w:val="22"/>
                <w:szCs w:val="22"/>
                <w:lang w:val="en-GB"/>
              </w:rPr>
            </w:pPr>
          </w:p>
        </w:tc>
        <w:tc>
          <w:tcPr>
            <w:tcW w:w="2451" w:type="pct"/>
            <w:tcBorders>
              <w:left w:val="nil"/>
              <w:bottom w:val="nil"/>
              <w:right w:val="nil"/>
            </w:tcBorders>
          </w:tcPr>
          <w:p w14:paraId="63CDC56D" w14:textId="77777777" w:rsidR="0030560C" w:rsidRPr="006B6390" w:rsidRDefault="0030560C" w:rsidP="00E26DD4">
            <w:pPr>
              <w:pStyle w:val="ListParagraph"/>
              <w:spacing w:before="120" w:after="120"/>
              <w:ind w:left="544"/>
              <w:contextualSpacing w:val="0"/>
              <w:rPr>
                <w:rFonts w:asciiTheme="minorBidi" w:hAnsiTheme="minorBidi" w:cstheme="minorBidi"/>
                <w:sz w:val="22"/>
                <w:szCs w:val="22"/>
                <w:lang w:val="en-GB"/>
              </w:rPr>
            </w:pPr>
          </w:p>
        </w:tc>
      </w:tr>
    </w:tbl>
    <w:tbl>
      <w:tblPr>
        <w:tblStyle w:val="TableGrid2"/>
        <w:tblW w:w="14572" w:type="dxa"/>
        <w:tblBorders>
          <w:top w:val="single" w:sz="4" w:space="0" w:color="auto"/>
        </w:tblBorders>
        <w:tblLook w:val="04A0" w:firstRow="1" w:lastRow="0" w:firstColumn="1" w:lastColumn="0" w:noHBand="0" w:noVBand="1"/>
      </w:tblPr>
      <w:tblGrid>
        <w:gridCol w:w="3789"/>
        <w:gridCol w:w="10783"/>
      </w:tblGrid>
      <w:tr w:rsidR="0030560C" w:rsidRPr="00546D04" w14:paraId="018AE65D" w14:textId="77777777" w:rsidTr="005275A4">
        <w:trPr>
          <w:cantSplit/>
        </w:trPr>
        <w:tc>
          <w:tcPr>
            <w:tcW w:w="1300" w:type="pct"/>
            <w:shd w:val="clear" w:color="auto" w:fill="808080" w:themeFill="background1" w:themeFillShade="80"/>
            <w:vAlign w:val="center"/>
          </w:tcPr>
          <w:p w14:paraId="0ED45648" w14:textId="77777777" w:rsidR="0030560C" w:rsidRPr="006B6390" w:rsidRDefault="0030560C" w:rsidP="00E26DD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lastRenderedPageBreak/>
              <w:t>40C/5 Performance Indicator 2</w:t>
            </w:r>
          </w:p>
        </w:tc>
        <w:tc>
          <w:tcPr>
            <w:tcW w:w="3700" w:type="pct"/>
            <w:shd w:val="clear" w:color="auto" w:fill="808080" w:themeFill="background1" w:themeFillShade="80"/>
            <w:vAlign w:val="center"/>
          </w:tcPr>
          <w:p w14:paraId="02FEBC4F" w14:textId="77777777" w:rsidR="0030560C" w:rsidRPr="006B6390" w:rsidRDefault="0030560C" w:rsidP="00E26DD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Number of supported Member States utilizing strengthened human and institutional resources for the safeguarding of intangible cultural heritage</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30560C" w:rsidRPr="006B6390" w14:paraId="6598A891" w14:textId="77777777" w:rsidTr="00E26DD4">
        <w:trPr>
          <w:tblHeader/>
        </w:trPr>
        <w:tc>
          <w:tcPr>
            <w:tcW w:w="1300" w:type="pct"/>
            <w:shd w:val="clear" w:color="auto" w:fill="D9D9D9" w:themeFill="background1" w:themeFillShade="D9"/>
            <w:vAlign w:val="center"/>
          </w:tcPr>
          <w:p w14:paraId="48B43216"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Assessed according to the following:</w:t>
            </w:r>
          </w:p>
        </w:tc>
        <w:tc>
          <w:tcPr>
            <w:tcW w:w="578" w:type="pct"/>
            <w:shd w:val="clear" w:color="auto" w:fill="D9D9D9" w:themeFill="background1" w:themeFillShade="D9"/>
            <w:vAlign w:val="center"/>
          </w:tcPr>
          <w:p w14:paraId="43F25E96"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hAnsiTheme="minorBidi" w:cstheme="minorBidi"/>
                <w:b/>
                <w:bCs/>
                <w:sz w:val="22"/>
                <w:szCs w:val="22"/>
                <w:lang w:val="en-GB"/>
              </w:rPr>
              <w:t>Baselines</w:t>
            </w:r>
          </w:p>
        </w:tc>
        <w:tc>
          <w:tcPr>
            <w:tcW w:w="673" w:type="pct"/>
            <w:shd w:val="clear" w:color="auto" w:fill="D9D9D9" w:themeFill="background1" w:themeFillShade="D9"/>
            <w:vAlign w:val="center"/>
          </w:tcPr>
          <w:p w14:paraId="44237D1B" w14:textId="677C81C1"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Targets 2020</w:t>
            </w:r>
            <w:r w:rsidR="00697C10" w:rsidRPr="006B6390">
              <w:rPr>
                <w:rFonts w:asciiTheme="minorBidi" w:eastAsia="Calibri" w:hAnsiTheme="minorBidi" w:cstheme="minorBidi"/>
                <w:b/>
                <w:sz w:val="22"/>
                <w:szCs w:val="22"/>
                <w:lang w:val="en-GB"/>
              </w:rPr>
              <w:t>–</w:t>
            </w:r>
            <w:r w:rsidRPr="006B6390">
              <w:rPr>
                <w:rFonts w:asciiTheme="minorBidi" w:eastAsia="Calibri" w:hAnsiTheme="minorBidi" w:cstheme="minorBidi"/>
                <w:b/>
                <w:sz w:val="22"/>
                <w:szCs w:val="22"/>
                <w:lang w:val="en-GB"/>
              </w:rPr>
              <w:t>2021</w:t>
            </w:r>
          </w:p>
        </w:tc>
        <w:tc>
          <w:tcPr>
            <w:tcW w:w="2449" w:type="pct"/>
            <w:shd w:val="clear" w:color="auto" w:fill="D9D9D9" w:themeFill="background1" w:themeFillShade="D9"/>
            <w:vAlign w:val="center"/>
          </w:tcPr>
          <w:p w14:paraId="20833BC5" w14:textId="71783A5B" w:rsidR="0030560C" w:rsidRPr="006B6390" w:rsidRDefault="0030560C" w:rsidP="00E26DD4">
            <w:pPr>
              <w:autoSpaceDE w:val="0"/>
              <w:autoSpaceDN w:val="0"/>
              <w:adjustRightInd w:val="0"/>
              <w:jc w:val="center"/>
              <w:rPr>
                <w:rFonts w:asciiTheme="minorBidi" w:eastAsia="Calibri" w:hAnsiTheme="minorBidi" w:cstheme="minorBidi"/>
                <w:b/>
                <w:color w:val="000000"/>
                <w:sz w:val="22"/>
                <w:szCs w:val="22"/>
                <w:lang w:val="en-GB"/>
              </w:rPr>
            </w:pPr>
            <w:r w:rsidRPr="006B6390">
              <w:rPr>
                <w:rFonts w:asciiTheme="minorBidi" w:eastAsia="Calibri" w:hAnsiTheme="minorBidi" w:cstheme="minorBidi"/>
                <w:b/>
                <w:sz w:val="22"/>
                <w:szCs w:val="22"/>
                <w:lang w:val="en-GB"/>
              </w:rPr>
              <w:t>Assessment of progress:</w:t>
            </w:r>
            <w:r w:rsidRPr="006B6390">
              <w:rPr>
                <w:rFonts w:asciiTheme="minorBidi" w:eastAsia="Calibri" w:hAnsiTheme="minorBidi" w:cstheme="minorBidi"/>
                <w:b/>
                <w:sz w:val="22"/>
                <w:szCs w:val="22"/>
                <w:lang w:val="en-GB"/>
              </w:rPr>
              <w:br/>
              <w:t xml:space="preserve">01/01/2020 to 30/06/2021 </w:t>
            </w:r>
          </w:p>
        </w:tc>
      </w:tr>
      <w:tr w:rsidR="0030560C" w:rsidRPr="00546D04" w14:paraId="53A905F2" w14:textId="77777777" w:rsidTr="00E04172">
        <w:tc>
          <w:tcPr>
            <w:tcW w:w="1300" w:type="pct"/>
            <w:tcBorders>
              <w:bottom w:val="single" w:sz="4" w:space="0" w:color="auto"/>
            </w:tcBorders>
          </w:tcPr>
          <w:p w14:paraId="2C879EC4" w14:textId="77777777" w:rsidR="0030560C" w:rsidRPr="006B6390" w:rsidRDefault="0030560C" w:rsidP="00040539">
            <w:pPr>
              <w:pStyle w:val="ListParagraph"/>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Strengthened or newly established institutional frameworks for the safeguarding of intangible cultural heritage</w:t>
            </w:r>
          </w:p>
          <w:p w14:paraId="69E281BE" w14:textId="77777777" w:rsidR="0030560C" w:rsidRPr="006B6390" w:rsidRDefault="0030560C" w:rsidP="00040539">
            <w:pPr>
              <w:pStyle w:val="ListParagraph"/>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Community-based approaches adopted or strengthened for inventorying intangible cultural heritage or developing safeguarding plans, including those reflecting a gender-sensitive approach</w:t>
            </w:r>
          </w:p>
        </w:tc>
        <w:tc>
          <w:tcPr>
            <w:tcW w:w="578" w:type="pct"/>
            <w:tcBorders>
              <w:bottom w:val="single" w:sz="4" w:space="0" w:color="auto"/>
            </w:tcBorders>
            <w:shd w:val="clear" w:color="auto" w:fill="auto"/>
          </w:tcPr>
          <w:p w14:paraId="31984D3C" w14:textId="73AD4414" w:rsidR="0030560C" w:rsidRPr="006B6390" w:rsidRDefault="0030560C" w:rsidP="0030560C">
            <w:pPr>
              <w:pStyle w:val="ListParagraph"/>
              <w:numPr>
                <w:ilvl w:val="0"/>
                <w:numId w:val="40"/>
              </w:numPr>
              <w:spacing w:before="120" w:after="120"/>
              <w:ind w:left="312" w:hanging="340"/>
              <w:contextualSpacing w:val="0"/>
              <w:rPr>
                <w:rFonts w:asciiTheme="minorBidi" w:hAnsiTheme="minorBidi" w:cstheme="minorBidi"/>
                <w:sz w:val="22"/>
                <w:szCs w:val="22"/>
                <w:lang w:val="en-GB"/>
              </w:rPr>
            </w:pPr>
            <w:r w:rsidRPr="006B6390">
              <w:rPr>
                <w:rFonts w:asciiTheme="minorBidi" w:hAnsiTheme="minorBidi" w:cstheme="minorBidi"/>
                <w:sz w:val="22"/>
                <w:szCs w:val="22"/>
                <w:lang w:val="en-GB"/>
              </w:rPr>
              <w:t>95</w:t>
            </w:r>
            <w:r w:rsidR="00697C10"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 xml:space="preserve"> of which 34 in Africa and 18 </w:t>
            </w:r>
            <w:r w:rsidR="00697C10" w:rsidRPr="006B6390">
              <w:rPr>
                <w:rFonts w:asciiTheme="minorBidi" w:hAnsiTheme="minorBidi" w:cstheme="minorBidi"/>
                <w:sz w:val="22"/>
                <w:szCs w:val="22"/>
                <w:lang w:val="en-GB"/>
              </w:rPr>
              <w:t xml:space="preserve">Small Island Developing States </w:t>
            </w:r>
            <w:r w:rsidRPr="006B6390">
              <w:rPr>
                <w:rFonts w:asciiTheme="minorBidi" w:hAnsiTheme="minorBidi" w:cstheme="minorBidi"/>
                <w:sz w:val="22"/>
                <w:szCs w:val="22"/>
                <w:lang w:val="en-GB"/>
              </w:rPr>
              <w:t>(</w:t>
            </w:r>
            <w:r w:rsidR="00986D3E" w:rsidRPr="006B6390">
              <w:rPr>
                <w:rFonts w:asciiTheme="minorBidi" w:hAnsiTheme="minorBidi" w:cstheme="minorBidi"/>
                <w:sz w:val="22"/>
                <w:szCs w:val="22"/>
                <w:lang w:val="en-GB"/>
              </w:rPr>
              <w:t>SIDS)</w:t>
            </w:r>
          </w:p>
        </w:tc>
        <w:tc>
          <w:tcPr>
            <w:tcW w:w="673" w:type="pct"/>
            <w:tcBorders>
              <w:bottom w:val="single" w:sz="4" w:space="0" w:color="auto"/>
            </w:tcBorders>
            <w:shd w:val="clear" w:color="auto" w:fill="auto"/>
          </w:tcPr>
          <w:p w14:paraId="3AD7D043" w14:textId="12584E62" w:rsidR="0030560C" w:rsidRPr="006B6390" w:rsidRDefault="0030560C" w:rsidP="0030560C">
            <w:pPr>
              <w:pStyle w:val="ListParagraph"/>
              <w:numPr>
                <w:ilvl w:val="0"/>
                <w:numId w:val="40"/>
              </w:numPr>
              <w:spacing w:before="120" w:after="120"/>
              <w:ind w:left="312" w:hanging="340"/>
              <w:contextualSpacing w:val="0"/>
              <w:rPr>
                <w:rFonts w:asciiTheme="minorBidi" w:hAnsiTheme="minorBidi" w:cstheme="minorBidi"/>
                <w:sz w:val="22"/>
                <w:szCs w:val="22"/>
                <w:lang w:val="en-GB"/>
              </w:rPr>
            </w:pPr>
            <w:r w:rsidRPr="006B6390">
              <w:rPr>
                <w:rFonts w:asciiTheme="minorBidi" w:hAnsiTheme="minorBidi" w:cstheme="minorBidi"/>
                <w:sz w:val="22"/>
                <w:szCs w:val="22"/>
                <w:lang w:val="en-GB"/>
              </w:rPr>
              <w:t>100</w:t>
            </w:r>
            <w:r w:rsidR="00697C10"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 xml:space="preserve"> of which 34 in Africa and 18 SIDS</w:t>
            </w:r>
          </w:p>
        </w:tc>
        <w:tc>
          <w:tcPr>
            <w:tcW w:w="2449" w:type="pct"/>
            <w:tcBorders>
              <w:bottom w:val="single" w:sz="4" w:space="0" w:color="auto"/>
            </w:tcBorders>
          </w:tcPr>
          <w:p w14:paraId="0F8CA267" w14:textId="2FAC1AC7"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138 Member States supported</w:t>
            </w:r>
            <w:r w:rsidR="00603C68" w:rsidRPr="006B6390">
              <w:rPr>
                <w:rFonts w:asciiTheme="minorBidi" w:hAnsiTheme="minorBidi" w:cstheme="minorBidi"/>
                <w:sz w:val="22"/>
                <w:szCs w:val="22"/>
                <w:lang w:val="en-GB"/>
              </w:rPr>
              <w:t xml:space="preserve"> through general capacity-building interventions</w:t>
            </w:r>
            <w:r w:rsidRPr="006B6390">
              <w:rPr>
                <w:rFonts w:asciiTheme="minorBidi" w:hAnsiTheme="minorBidi" w:cstheme="minorBidi"/>
                <w:sz w:val="22"/>
                <w:szCs w:val="22"/>
                <w:lang w:val="en-GB"/>
              </w:rPr>
              <w:t>, including 45 in Africa and 30 SIDS.</w:t>
            </w:r>
            <w:r w:rsidR="00603C68" w:rsidRPr="006B6390">
              <w:rPr>
                <w:rFonts w:asciiTheme="minorBidi" w:hAnsiTheme="minorBidi" w:cstheme="minorBidi"/>
                <w:sz w:val="22"/>
                <w:szCs w:val="22"/>
                <w:lang w:val="en-GB"/>
              </w:rPr>
              <w:t xml:space="preserve"> </w:t>
            </w:r>
            <w:r w:rsidRPr="006B6390">
              <w:rPr>
                <w:rFonts w:asciiTheme="minorBidi" w:hAnsiTheme="minorBidi" w:cstheme="minorBidi"/>
                <w:sz w:val="22"/>
                <w:szCs w:val="22"/>
                <w:lang w:val="en-GB"/>
              </w:rPr>
              <w:t xml:space="preserve">52 Member States supported through multi-year capacity-building projects </w:t>
            </w:r>
            <w:r w:rsidR="00603C68"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18</w:t>
            </w:r>
            <w:r w:rsidR="0042468D" w:rsidRPr="006B6390">
              <w:rPr>
                <w:rFonts w:asciiTheme="minorBidi" w:hAnsiTheme="minorBidi" w:cstheme="minorBidi"/>
                <w:sz w:val="22"/>
                <w:szCs w:val="22"/>
                <w:lang w:val="en-GB"/>
              </w:rPr>
              <w:t> </w:t>
            </w:r>
            <w:r w:rsidRPr="006B6390">
              <w:rPr>
                <w:rFonts w:asciiTheme="minorBidi" w:hAnsiTheme="minorBidi" w:cstheme="minorBidi"/>
                <w:sz w:val="22"/>
                <w:szCs w:val="22"/>
                <w:lang w:val="en-GB"/>
              </w:rPr>
              <w:t>in Africa</w:t>
            </w:r>
            <w:r w:rsidR="00603C68"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 114 countries (</w:t>
            </w:r>
            <w:r w:rsidR="0042468D" w:rsidRPr="006B6390">
              <w:rPr>
                <w:rFonts w:asciiTheme="minorBidi" w:hAnsiTheme="minorBidi" w:cstheme="minorBidi"/>
                <w:sz w:val="22"/>
                <w:szCs w:val="22"/>
                <w:lang w:val="en-GB"/>
              </w:rPr>
              <w:t>38</w:t>
            </w:r>
            <w:r w:rsidRPr="006B6390">
              <w:rPr>
                <w:rFonts w:asciiTheme="minorBidi" w:hAnsiTheme="minorBidi" w:cstheme="minorBidi"/>
                <w:sz w:val="22"/>
                <w:szCs w:val="22"/>
                <w:lang w:val="en-GB"/>
              </w:rPr>
              <w:t xml:space="preserve"> in Africa) benefitted from short-term capacity-building projects.</w:t>
            </w:r>
          </w:p>
          <w:p w14:paraId="213F15C6" w14:textId="0ED7B18F"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3 regional training</w:t>
            </w:r>
            <w:r w:rsidR="00697C10"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of</w:t>
            </w:r>
            <w:r w:rsidR="00697C10"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trainers’ workshops</w:t>
            </w:r>
            <w:r w:rsidRPr="006B6390">
              <w:rPr>
                <w:rFonts w:asciiTheme="minorBidi" w:hAnsiTheme="minorBidi" w:cstheme="minorBidi"/>
                <w:sz w:val="22"/>
                <w:szCs w:val="22"/>
                <w:vertAlign w:val="superscript"/>
                <w:lang w:val="en-GB"/>
              </w:rPr>
              <w:footnoteReference w:id="19"/>
            </w:r>
            <w:r w:rsidRPr="006B6390">
              <w:rPr>
                <w:rFonts w:asciiTheme="minorBidi" w:hAnsiTheme="minorBidi" w:cstheme="minorBidi"/>
                <w:sz w:val="22"/>
                <w:szCs w:val="22"/>
                <w:vertAlign w:val="superscript"/>
                <w:lang w:val="en-GB"/>
              </w:rPr>
              <w:t xml:space="preserve"> </w:t>
            </w:r>
            <w:r w:rsidRPr="006B6390">
              <w:rPr>
                <w:rFonts w:asciiTheme="minorBidi" w:hAnsiTheme="minorBidi" w:cstheme="minorBidi"/>
                <w:sz w:val="22"/>
                <w:szCs w:val="22"/>
                <w:lang w:val="en-GB"/>
              </w:rPr>
              <w:t xml:space="preserve">organized in cooperation with </w:t>
            </w:r>
            <w:r w:rsidR="0042468D" w:rsidRPr="006B6390">
              <w:rPr>
                <w:rFonts w:asciiTheme="minorBidi" w:hAnsiTheme="minorBidi" w:cstheme="minorBidi"/>
                <w:sz w:val="22"/>
                <w:szCs w:val="22"/>
                <w:lang w:val="en-GB"/>
              </w:rPr>
              <w:t>3</w:t>
            </w:r>
            <w:r w:rsidRPr="006B6390">
              <w:rPr>
                <w:rFonts w:asciiTheme="minorBidi" w:hAnsiTheme="minorBidi" w:cstheme="minorBidi"/>
                <w:sz w:val="22"/>
                <w:szCs w:val="22"/>
                <w:lang w:val="en-GB"/>
              </w:rPr>
              <w:t xml:space="preserve"> </w:t>
            </w:r>
            <w:r w:rsidR="00697C10" w:rsidRPr="006B6390">
              <w:rPr>
                <w:rFonts w:asciiTheme="minorBidi" w:hAnsiTheme="minorBidi" w:cstheme="minorBidi"/>
                <w:sz w:val="22"/>
                <w:szCs w:val="22"/>
                <w:lang w:val="en-GB"/>
              </w:rPr>
              <w:t>c</w:t>
            </w:r>
            <w:r w:rsidRPr="006B6390">
              <w:rPr>
                <w:rFonts w:asciiTheme="minorBidi" w:hAnsiTheme="minorBidi" w:cstheme="minorBidi"/>
                <w:sz w:val="22"/>
                <w:szCs w:val="22"/>
                <w:lang w:val="en-GB"/>
              </w:rPr>
              <w:t xml:space="preserve">ategory 2 </w:t>
            </w:r>
            <w:r w:rsidR="00697C10" w:rsidRPr="006B6390">
              <w:rPr>
                <w:rFonts w:asciiTheme="minorBidi" w:hAnsiTheme="minorBidi" w:cstheme="minorBidi"/>
                <w:sz w:val="22"/>
                <w:szCs w:val="22"/>
                <w:lang w:val="en-GB"/>
              </w:rPr>
              <w:t>c</w:t>
            </w:r>
            <w:r w:rsidRPr="006B6390">
              <w:rPr>
                <w:rFonts w:asciiTheme="minorBidi" w:hAnsiTheme="minorBidi" w:cstheme="minorBidi"/>
                <w:sz w:val="22"/>
                <w:szCs w:val="22"/>
                <w:lang w:val="en-GB"/>
              </w:rPr>
              <w:t>entres,</w:t>
            </w:r>
            <w:r w:rsidRPr="006B6390">
              <w:rPr>
                <w:rFonts w:asciiTheme="minorBidi" w:hAnsiTheme="minorBidi" w:cstheme="minorBidi"/>
                <w:sz w:val="22"/>
                <w:szCs w:val="22"/>
                <w:vertAlign w:val="superscript"/>
                <w:lang w:val="en-GB"/>
              </w:rPr>
              <w:footnoteReference w:id="20"/>
            </w:r>
            <w:r w:rsidRPr="006B6390">
              <w:rPr>
                <w:rFonts w:asciiTheme="minorBidi" w:hAnsiTheme="minorBidi" w:cstheme="minorBidi"/>
                <w:sz w:val="22"/>
                <w:szCs w:val="22"/>
                <w:lang w:val="en-GB"/>
              </w:rPr>
              <w:t xml:space="preserve"> training </w:t>
            </w:r>
            <w:r w:rsidR="0042468D" w:rsidRPr="006B6390">
              <w:rPr>
                <w:rFonts w:asciiTheme="minorBidi" w:hAnsiTheme="minorBidi" w:cstheme="minorBidi"/>
                <w:sz w:val="22"/>
                <w:szCs w:val="22"/>
                <w:lang w:val="en-GB"/>
              </w:rPr>
              <w:t>94</w:t>
            </w:r>
            <w:r w:rsidRPr="006B6390">
              <w:rPr>
                <w:rFonts w:asciiTheme="minorBidi" w:hAnsiTheme="minorBidi" w:cstheme="minorBidi"/>
                <w:sz w:val="22"/>
                <w:szCs w:val="22"/>
                <w:lang w:val="en-GB"/>
              </w:rPr>
              <w:t xml:space="preserve"> network members (</w:t>
            </w:r>
            <w:r w:rsidR="0042468D" w:rsidRPr="006B6390">
              <w:rPr>
                <w:rFonts w:asciiTheme="minorBidi" w:hAnsiTheme="minorBidi" w:cstheme="minorBidi"/>
                <w:sz w:val="22"/>
                <w:szCs w:val="22"/>
                <w:lang w:val="en-GB"/>
              </w:rPr>
              <w:t>68</w:t>
            </w:r>
            <w:r w:rsidRPr="006B6390">
              <w:rPr>
                <w:rFonts w:asciiTheme="minorBidi" w:hAnsiTheme="minorBidi" w:cstheme="minorBidi"/>
                <w:sz w:val="22"/>
                <w:szCs w:val="22"/>
                <w:lang w:val="en-GB"/>
              </w:rPr>
              <w:t>% women). In addition, 27 facilitators trained in safeguarding intangible cultural heritage in formal and non-formal education and a learning network established.</w:t>
            </w:r>
          </w:p>
          <w:p w14:paraId="0C3303EE" w14:textId="77777777"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eastAsia="SimSun" w:hAnsiTheme="minorBidi" w:cstheme="minorBidi"/>
                <w:sz w:val="22"/>
                <w:szCs w:val="22"/>
                <w:lang w:val="en-GB"/>
              </w:rPr>
              <w:t xml:space="preserve">Specific capacity-building approach developed </w:t>
            </w:r>
            <w:r w:rsidRPr="006B6390">
              <w:rPr>
                <w:rFonts w:asciiTheme="minorBidi" w:hAnsiTheme="minorBidi" w:cstheme="minorBidi"/>
                <w:sz w:val="22"/>
                <w:szCs w:val="22"/>
                <w:lang w:val="en-GB"/>
              </w:rPr>
              <w:t xml:space="preserve">and implemented </w:t>
            </w:r>
            <w:r w:rsidRPr="006B6390">
              <w:rPr>
                <w:rFonts w:asciiTheme="minorBidi" w:eastAsia="SimSun" w:hAnsiTheme="minorBidi" w:cstheme="minorBidi"/>
                <w:sz w:val="22"/>
                <w:szCs w:val="22"/>
                <w:lang w:val="en-GB"/>
              </w:rPr>
              <w:t>for the roll-out of the reformed periodic reporting mechanism</w:t>
            </w:r>
            <w:r w:rsidRPr="006B6390">
              <w:rPr>
                <w:rFonts w:asciiTheme="minorBidi" w:hAnsiTheme="minorBidi" w:cstheme="minorBidi"/>
                <w:sz w:val="22"/>
                <w:szCs w:val="22"/>
                <w:lang w:val="en-GB"/>
              </w:rPr>
              <w:t xml:space="preserve"> for</w:t>
            </w:r>
            <w:r w:rsidRPr="006B6390">
              <w:rPr>
                <w:rFonts w:asciiTheme="minorBidi" w:eastAsia="SimSun" w:hAnsiTheme="minorBidi" w:cstheme="minorBidi"/>
                <w:sz w:val="22"/>
                <w:szCs w:val="22"/>
                <w:lang w:val="en-GB"/>
              </w:rPr>
              <w:t xml:space="preserve"> the first </w:t>
            </w:r>
            <w:r w:rsidRPr="006B6390">
              <w:rPr>
                <w:rFonts w:asciiTheme="minorBidi" w:hAnsiTheme="minorBidi" w:cstheme="minorBidi"/>
                <w:sz w:val="22"/>
                <w:szCs w:val="22"/>
                <w:lang w:val="en-GB"/>
              </w:rPr>
              <w:t xml:space="preserve">two </w:t>
            </w:r>
            <w:r w:rsidRPr="006B6390">
              <w:rPr>
                <w:rFonts w:asciiTheme="minorBidi" w:eastAsia="SimSun" w:hAnsiTheme="minorBidi" w:cstheme="minorBidi"/>
                <w:sz w:val="22"/>
                <w:szCs w:val="22"/>
                <w:lang w:val="en-GB"/>
              </w:rPr>
              <w:t>regional cycle</w:t>
            </w:r>
            <w:r w:rsidRPr="006B6390">
              <w:rPr>
                <w:rFonts w:asciiTheme="minorBidi" w:hAnsiTheme="minorBidi" w:cstheme="minorBidi"/>
                <w:sz w:val="22"/>
                <w:szCs w:val="22"/>
                <w:lang w:val="en-GB"/>
              </w:rPr>
              <w:t>s</w:t>
            </w:r>
            <w:r w:rsidRPr="006B6390">
              <w:rPr>
                <w:rFonts w:asciiTheme="minorBidi" w:eastAsia="SimSun" w:hAnsiTheme="minorBidi" w:cstheme="minorBidi"/>
                <w:sz w:val="22"/>
                <w:szCs w:val="22"/>
                <w:lang w:val="en-GB"/>
              </w:rPr>
              <w:t xml:space="preserve"> of reporting (Latin America and the Caribbean</w:t>
            </w:r>
            <w:r w:rsidRPr="006B6390">
              <w:rPr>
                <w:rFonts w:asciiTheme="minorBidi" w:hAnsiTheme="minorBidi" w:cstheme="minorBidi"/>
                <w:sz w:val="22"/>
                <w:szCs w:val="22"/>
                <w:lang w:val="en-GB"/>
              </w:rPr>
              <w:t xml:space="preserve"> in 2020</w:t>
            </w:r>
            <w:r w:rsidRPr="006B6390">
              <w:rPr>
                <w:rFonts w:asciiTheme="minorBidi" w:eastAsia="SimSun" w:hAnsiTheme="minorBidi" w:cstheme="minorBidi"/>
                <w:sz w:val="22"/>
                <w:szCs w:val="22"/>
                <w:lang w:val="en-GB"/>
              </w:rPr>
              <w:t>, Europe</w:t>
            </w:r>
            <w:r w:rsidRPr="006B6390">
              <w:rPr>
                <w:rFonts w:asciiTheme="minorBidi" w:hAnsiTheme="minorBidi" w:cstheme="minorBidi"/>
                <w:sz w:val="22"/>
                <w:szCs w:val="22"/>
                <w:lang w:val="en-GB"/>
              </w:rPr>
              <w:t xml:space="preserve"> in 2021</w:t>
            </w:r>
            <w:r w:rsidRPr="006B6390">
              <w:rPr>
                <w:rFonts w:asciiTheme="minorBidi" w:eastAsia="SimSun" w:hAnsiTheme="minorBidi" w:cstheme="minorBidi"/>
                <w:sz w:val="22"/>
                <w:szCs w:val="22"/>
                <w:lang w:val="en-GB"/>
              </w:rPr>
              <w:t>)</w:t>
            </w:r>
            <w:r w:rsidRPr="006B6390">
              <w:rPr>
                <w:rFonts w:asciiTheme="minorBidi" w:hAnsiTheme="minorBidi" w:cstheme="minorBidi"/>
                <w:sz w:val="22"/>
                <w:szCs w:val="22"/>
                <w:lang w:val="en-GB"/>
              </w:rPr>
              <w:t>.</w:t>
            </w:r>
            <w:r w:rsidRPr="006B6390">
              <w:rPr>
                <w:rFonts w:asciiTheme="minorBidi" w:eastAsia="SimSun" w:hAnsiTheme="minorBidi" w:cstheme="minorBidi"/>
                <w:sz w:val="22"/>
                <w:szCs w:val="22"/>
                <w:lang w:val="en-GB"/>
              </w:rPr>
              <w:t xml:space="preserve"> </w:t>
            </w:r>
          </w:p>
          <w:p w14:paraId="1C2A8161" w14:textId="18F501AE" w:rsidR="0030560C" w:rsidRPr="006B6390" w:rsidRDefault="0042468D"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78</w:t>
            </w:r>
            <w:r w:rsidR="0030560C" w:rsidRPr="006B6390">
              <w:rPr>
                <w:rFonts w:asciiTheme="minorBidi" w:hAnsiTheme="minorBidi" w:cstheme="minorBidi"/>
                <w:sz w:val="22"/>
                <w:szCs w:val="22"/>
                <w:lang w:val="en-GB"/>
              </w:rPr>
              <w:t xml:space="preserve"> national focal points for periodic reporting in Latin America and the Caribbean </w:t>
            </w:r>
            <w:r w:rsidRPr="006B6390">
              <w:rPr>
                <w:rFonts w:asciiTheme="minorBidi" w:hAnsiTheme="minorBidi" w:cstheme="minorBidi"/>
                <w:sz w:val="22"/>
                <w:szCs w:val="22"/>
                <w:lang w:val="en-GB"/>
              </w:rPr>
              <w:t xml:space="preserve">and Europe </w:t>
            </w:r>
            <w:r w:rsidR="0030560C" w:rsidRPr="006B6390">
              <w:rPr>
                <w:rFonts w:asciiTheme="minorBidi" w:hAnsiTheme="minorBidi" w:cstheme="minorBidi"/>
                <w:sz w:val="22"/>
                <w:szCs w:val="22"/>
                <w:lang w:val="en-GB"/>
              </w:rPr>
              <w:t>trained through online course</w:t>
            </w:r>
            <w:r w:rsidRPr="006B6390">
              <w:rPr>
                <w:rFonts w:asciiTheme="minorBidi" w:hAnsiTheme="minorBidi" w:cstheme="minorBidi"/>
                <w:sz w:val="22"/>
                <w:szCs w:val="22"/>
                <w:lang w:val="en-GB"/>
              </w:rPr>
              <w:t>s</w:t>
            </w:r>
            <w:r w:rsidR="0030560C" w:rsidRPr="006B6390">
              <w:rPr>
                <w:rFonts w:asciiTheme="minorBidi" w:hAnsiTheme="minorBidi" w:cstheme="minorBidi"/>
                <w:sz w:val="22"/>
                <w:szCs w:val="22"/>
                <w:lang w:val="en-GB"/>
              </w:rPr>
              <w:t xml:space="preserve"> on periodic reporting. </w:t>
            </w:r>
          </w:p>
          <w:p w14:paraId="25B21765" w14:textId="5038BBBE" w:rsidR="0030560C" w:rsidRPr="006B6390" w:rsidRDefault="0042468D"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More than 140</w:t>
            </w:r>
            <w:r w:rsidR="0030560C" w:rsidRPr="006B6390">
              <w:rPr>
                <w:rFonts w:asciiTheme="minorBidi" w:hAnsiTheme="minorBidi" w:cstheme="minorBidi"/>
                <w:sz w:val="22"/>
                <w:szCs w:val="22"/>
                <w:lang w:val="en-GB"/>
              </w:rPr>
              <w:t xml:space="preserve"> universities engaged in networking activities</w:t>
            </w:r>
            <w:r w:rsidR="00697C10"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 xml:space="preserve"> including</w:t>
            </w:r>
            <w:r w:rsidR="0030560C" w:rsidRPr="006B6390">
              <w:rPr>
                <w:rFonts w:asciiTheme="minorBidi" w:hAnsiTheme="minorBidi" w:cstheme="minorBidi"/>
                <w:sz w:val="22"/>
                <w:szCs w:val="22"/>
                <w:lang w:val="en-GB"/>
              </w:rPr>
              <w:t xml:space="preserve"> </w:t>
            </w:r>
            <w:r w:rsidRPr="006B6390">
              <w:rPr>
                <w:rFonts w:asciiTheme="minorBidi" w:hAnsiTheme="minorBidi" w:cstheme="minorBidi"/>
                <w:sz w:val="22"/>
                <w:szCs w:val="22"/>
                <w:lang w:val="en-GB"/>
              </w:rPr>
              <w:t xml:space="preserve">39 universities </w:t>
            </w:r>
            <w:r w:rsidR="0030560C" w:rsidRPr="006B6390">
              <w:rPr>
                <w:rFonts w:asciiTheme="minorBidi" w:hAnsiTheme="minorBidi" w:cstheme="minorBidi"/>
                <w:sz w:val="22"/>
                <w:szCs w:val="22"/>
                <w:lang w:val="en-GB"/>
              </w:rPr>
              <w:t>in the Arab States (following similar activities in Africa, Asia and the Pacific and Latin America and the Caribbean).</w:t>
            </w:r>
          </w:p>
          <w:p w14:paraId="3C383729" w14:textId="42247891" w:rsidR="0030560C" w:rsidRPr="006B6390" w:rsidRDefault="0030560C" w:rsidP="0030560C">
            <w:pPr>
              <w:pStyle w:val="ListParagraph"/>
              <w:numPr>
                <w:ilvl w:val="0"/>
                <w:numId w:val="40"/>
              </w:numPr>
              <w:spacing w:before="120" w:after="120"/>
              <w:ind w:left="425" w:hanging="425"/>
              <w:contextualSpacing w:val="0"/>
              <w:rPr>
                <w:rFonts w:asciiTheme="minorBidi" w:hAnsiTheme="minorBidi" w:cstheme="minorBidi"/>
                <w:sz w:val="22"/>
                <w:szCs w:val="22"/>
                <w:lang w:val="en-GB"/>
              </w:rPr>
            </w:pPr>
            <w:r w:rsidRPr="006B6390">
              <w:rPr>
                <w:rFonts w:asciiTheme="minorBidi" w:hAnsiTheme="minorBidi" w:cstheme="minorBidi"/>
                <w:sz w:val="22"/>
                <w:szCs w:val="22"/>
                <w:lang w:val="en-GB"/>
              </w:rPr>
              <w:lastRenderedPageBreak/>
              <w:t xml:space="preserve">International Assistance from the Intangible Cultural Heritage Fund supported capacity-building on community-based inventorying and safeguarding in </w:t>
            </w:r>
            <w:r w:rsidR="00C61960" w:rsidRPr="006B6390">
              <w:rPr>
                <w:rFonts w:asciiTheme="minorBidi" w:hAnsiTheme="minorBidi" w:cstheme="minorBidi"/>
                <w:sz w:val="22"/>
                <w:szCs w:val="22"/>
                <w:lang w:val="en-GB"/>
              </w:rPr>
              <w:t>2</w:t>
            </w:r>
            <w:r w:rsidR="00157974" w:rsidRPr="006B6390">
              <w:rPr>
                <w:rFonts w:asciiTheme="minorBidi" w:hAnsiTheme="minorBidi" w:cstheme="minorBidi"/>
                <w:sz w:val="22"/>
                <w:szCs w:val="22"/>
                <w:lang w:val="en-GB"/>
              </w:rPr>
              <w:t>6</w:t>
            </w:r>
            <w:r w:rsidRPr="006B6390">
              <w:rPr>
                <w:rFonts w:asciiTheme="minorBidi" w:hAnsiTheme="minorBidi" w:cstheme="minorBidi"/>
                <w:sz w:val="22"/>
                <w:szCs w:val="22"/>
                <w:lang w:val="en-GB"/>
              </w:rPr>
              <w:t xml:space="preserve"> States Parties.</w:t>
            </w:r>
          </w:p>
        </w:tc>
      </w:tr>
      <w:tr w:rsidR="0030560C" w:rsidRPr="00546D04" w14:paraId="7B18B1AB" w14:textId="77777777" w:rsidTr="00E04172">
        <w:tc>
          <w:tcPr>
            <w:tcW w:w="1300" w:type="pct"/>
            <w:tcBorders>
              <w:left w:val="nil"/>
              <w:bottom w:val="nil"/>
              <w:right w:val="nil"/>
            </w:tcBorders>
          </w:tcPr>
          <w:p w14:paraId="1655FDE4" w14:textId="77777777" w:rsidR="0030560C" w:rsidRPr="006B6390" w:rsidRDefault="0030560C" w:rsidP="00E26DD4">
            <w:pPr>
              <w:pStyle w:val="ListParagraph"/>
              <w:spacing w:before="120" w:after="120"/>
              <w:ind w:left="312"/>
              <w:contextualSpacing w:val="0"/>
              <w:rPr>
                <w:rFonts w:asciiTheme="minorBidi" w:hAnsiTheme="minorBidi" w:cstheme="minorBidi"/>
                <w:sz w:val="22"/>
                <w:szCs w:val="22"/>
                <w:lang w:val="en-GB"/>
              </w:rPr>
            </w:pPr>
          </w:p>
        </w:tc>
        <w:tc>
          <w:tcPr>
            <w:tcW w:w="578" w:type="pct"/>
            <w:tcBorders>
              <w:left w:val="nil"/>
              <w:bottom w:val="nil"/>
              <w:right w:val="nil"/>
            </w:tcBorders>
            <w:shd w:val="clear" w:color="auto" w:fill="auto"/>
          </w:tcPr>
          <w:p w14:paraId="7BF9D9A8" w14:textId="77777777" w:rsidR="0030560C" w:rsidRPr="006B6390" w:rsidRDefault="0030560C" w:rsidP="00E26DD4">
            <w:pPr>
              <w:pStyle w:val="ListParagraph"/>
              <w:spacing w:before="120" w:after="120"/>
              <w:ind w:left="358"/>
              <w:contextualSpacing w:val="0"/>
              <w:rPr>
                <w:rFonts w:asciiTheme="minorBidi" w:hAnsiTheme="minorBidi" w:cstheme="minorBidi"/>
                <w:iCs/>
                <w:sz w:val="22"/>
                <w:szCs w:val="22"/>
                <w:lang w:val="en-GB"/>
              </w:rPr>
            </w:pPr>
          </w:p>
        </w:tc>
        <w:tc>
          <w:tcPr>
            <w:tcW w:w="673" w:type="pct"/>
            <w:tcBorders>
              <w:left w:val="nil"/>
              <w:bottom w:val="nil"/>
              <w:right w:val="nil"/>
            </w:tcBorders>
            <w:shd w:val="clear" w:color="auto" w:fill="auto"/>
          </w:tcPr>
          <w:p w14:paraId="3B200D53" w14:textId="77777777" w:rsidR="0030560C" w:rsidRPr="006B6390" w:rsidRDefault="0030560C" w:rsidP="00E26DD4">
            <w:pPr>
              <w:pStyle w:val="ListParagraph"/>
              <w:spacing w:before="120" w:after="120"/>
              <w:ind w:left="501"/>
              <w:rPr>
                <w:rFonts w:asciiTheme="minorBidi" w:hAnsiTheme="minorBidi" w:cstheme="minorBidi"/>
                <w:iCs/>
                <w:sz w:val="22"/>
                <w:szCs w:val="22"/>
                <w:lang w:val="en-GB"/>
              </w:rPr>
            </w:pPr>
          </w:p>
        </w:tc>
        <w:tc>
          <w:tcPr>
            <w:tcW w:w="2449" w:type="pct"/>
            <w:tcBorders>
              <w:left w:val="nil"/>
              <w:bottom w:val="nil"/>
              <w:right w:val="nil"/>
            </w:tcBorders>
          </w:tcPr>
          <w:p w14:paraId="57ABF667" w14:textId="77777777" w:rsidR="0030560C" w:rsidRPr="006B6390" w:rsidRDefault="0030560C" w:rsidP="00194FA0">
            <w:pPr>
              <w:spacing w:before="120" w:after="120"/>
              <w:rPr>
                <w:rFonts w:asciiTheme="minorBidi" w:hAnsiTheme="minorBidi" w:cstheme="minorBidi"/>
                <w:iCs/>
                <w:sz w:val="22"/>
                <w:szCs w:val="22"/>
                <w:lang w:val="en-GB"/>
              </w:rPr>
            </w:pPr>
          </w:p>
        </w:tc>
      </w:tr>
    </w:tbl>
    <w:tbl>
      <w:tblPr>
        <w:tblStyle w:val="TableGrid2"/>
        <w:tblW w:w="14572" w:type="dxa"/>
        <w:tblBorders>
          <w:top w:val="single" w:sz="4" w:space="0" w:color="auto"/>
        </w:tblBorders>
        <w:tblLook w:val="04A0" w:firstRow="1" w:lastRow="0" w:firstColumn="1" w:lastColumn="0" w:noHBand="0" w:noVBand="1"/>
      </w:tblPr>
      <w:tblGrid>
        <w:gridCol w:w="3789"/>
        <w:gridCol w:w="10783"/>
      </w:tblGrid>
      <w:tr w:rsidR="0030560C" w:rsidRPr="00546D04" w14:paraId="3E2C7C05" w14:textId="77777777" w:rsidTr="005275A4">
        <w:trPr>
          <w:cantSplit/>
        </w:trPr>
        <w:tc>
          <w:tcPr>
            <w:tcW w:w="1300" w:type="pct"/>
            <w:shd w:val="clear" w:color="auto" w:fill="808080" w:themeFill="background1" w:themeFillShade="80"/>
            <w:vAlign w:val="center"/>
          </w:tcPr>
          <w:p w14:paraId="7D64EEAB" w14:textId="77777777" w:rsidR="0030560C" w:rsidRPr="006B6390" w:rsidRDefault="0030560C" w:rsidP="00E26DD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40C/5 Performance Indicator 3</w:t>
            </w:r>
          </w:p>
        </w:tc>
        <w:tc>
          <w:tcPr>
            <w:tcW w:w="3700" w:type="pct"/>
            <w:shd w:val="clear" w:color="auto" w:fill="808080" w:themeFill="background1" w:themeFillShade="80"/>
            <w:vAlign w:val="center"/>
          </w:tcPr>
          <w:p w14:paraId="24251893" w14:textId="604371E5" w:rsidR="0030560C" w:rsidRPr="006B6390" w:rsidRDefault="0030560C" w:rsidP="00E26DD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 xml:space="preserve">Number of supported Member States which have integrated intangible cultural heritage into their plans, </w:t>
            </w:r>
            <w:r w:rsidR="00986D3E" w:rsidRPr="006B6390">
              <w:rPr>
                <w:rFonts w:asciiTheme="minorBidi" w:hAnsiTheme="minorBidi" w:cstheme="minorBidi"/>
                <w:b/>
                <w:bCs/>
                <w:color w:val="FFFFFF" w:themeColor="background1"/>
                <w:sz w:val="22"/>
                <w:szCs w:val="22"/>
                <w:lang w:val="en-GB"/>
              </w:rPr>
              <w:t>policies,</w:t>
            </w:r>
            <w:r w:rsidRPr="006B6390">
              <w:rPr>
                <w:rFonts w:asciiTheme="minorBidi" w:hAnsiTheme="minorBidi" w:cstheme="minorBidi"/>
                <w:b/>
                <w:bCs/>
                <w:color w:val="FFFFFF" w:themeColor="background1"/>
                <w:sz w:val="22"/>
                <w:szCs w:val="22"/>
                <w:lang w:val="en-GB"/>
              </w:rPr>
              <w:t xml:space="preserve"> and programmes, in particular as a contribution towards the achievement of SDGs in a gender-responsive manner</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30560C" w:rsidRPr="006B6390" w14:paraId="47896DE4" w14:textId="77777777" w:rsidTr="00E26DD4">
        <w:trPr>
          <w:tblHeader/>
        </w:trPr>
        <w:tc>
          <w:tcPr>
            <w:tcW w:w="1300" w:type="pct"/>
            <w:shd w:val="clear" w:color="auto" w:fill="D9D9D9" w:themeFill="background1" w:themeFillShade="D9"/>
            <w:vAlign w:val="center"/>
          </w:tcPr>
          <w:p w14:paraId="4B9EA3A2"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Assessed according to the following:</w:t>
            </w:r>
          </w:p>
        </w:tc>
        <w:tc>
          <w:tcPr>
            <w:tcW w:w="577" w:type="pct"/>
            <w:shd w:val="clear" w:color="auto" w:fill="D9D9D9" w:themeFill="background1" w:themeFillShade="D9"/>
            <w:vAlign w:val="center"/>
          </w:tcPr>
          <w:p w14:paraId="1FF85332"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hAnsiTheme="minorBidi" w:cstheme="minorBidi"/>
                <w:b/>
                <w:bCs/>
                <w:sz w:val="22"/>
                <w:szCs w:val="22"/>
                <w:lang w:val="en-GB"/>
              </w:rPr>
              <w:t>Baselines</w:t>
            </w:r>
          </w:p>
        </w:tc>
        <w:tc>
          <w:tcPr>
            <w:tcW w:w="673" w:type="pct"/>
            <w:shd w:val="clear" w:color="auto" w:fill="D9D9D9" w:themeFill="background1" w:themeFillShade="D9"/>
            <w:vAlign w:val="center"/>
          </w:tcPr>
          <w:p w14:paraId="149C7ABC" w14:textId="03C376D2"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Targets 2020</w:t>
            </w:r>
            <w:r w:rsidR="00697C10" w:rsidRPr="006B6390">
              <w:rPr>
                <w:rFonts w:asciiTheme="minorBidi" w:eastAsia="Calibri" w:hAnsiTheme="minorBidi" w:cstheme="minorBidi"/>
                <w:b/>
                <w:sz w:val="22"/>
                <w:szCs w:val="22"/>
                <w:lang w:val="en-GB"/>
              </w:rPr>
              <w:t>–</w:t>
            </w:r>
            <w:r w:rsidRPr="006B6390">
              <w:rPr>
                <w:rFonts w:asciiTheme="minorBidi" w:eastAsia="Calibri" w:hAnsiTheme="minorBidi" w:cstheme="minorBidi"/>
                <w:b/>
                <w:sz w:val="22"/>
                <w:szCs w:val="22"/>
                <w:lang w:val="en-GB"/>
              </w:rPr>
              <w:t>2021</w:t>
            </w:r>
          </w:p>
        </w:tc>
        <w:tc>
          <w:tcPr>
            <w:tcW w:w="2450" w:type="pct"/>
            <w:shd w:val="clear" w:color="auto" w:fill="D9D9D9" w:themeFill="background1" w:themeFillShade="D9"/>
            <w:vAlign w:val="center"/>
          </w:tcPr>
          <w:p w14:paraId="521D4268" w14:textId="058A1B68" w:rsidR="0030560C" w:rsidRPr="006B6390" w:rsidRDefault="0030560C" w:rsidP="00E26DD4">
            <w:pPr>
              <w:autoSpaceDE w:val="0"/>
              <w:autoSpaceDN w:val="0"/>
              <w:adjustRightInd w:val="0"/>
              <w:jc w:val="center"/>
              <w:rPr>
                <w:rFonts w:asciiTheme="minorBidi" w:eastAsia="Calibri" w:hAnsiTheme="minorBidi" w:cstheme="minorBidi"/>
                <w:b/>
                <w:color w:val="000000"/>
                <w:sz w:val="22"/>
                <w:szCs w:val="22"/>
                <w:lang w:val="en-GB"/>
              </w:rPr>
            </w:pPr>
            <w:r w:rsidRPr="006B6390">
              <w:rPr>
                <w:rFonts w:asciiTheme="minorBidi" w:eastAsia="Calibri" w:hAnsiTheme="minorBidi" w:cstheme="minorBidi"/>
                <w:b/>
                <w:sz w:val="22"/>
                <w:szCs w:val="22"/>
                <w:lang w:val="en-GB"/>
              </w:rPr>
              <w:t>Assessment of progress:</w:t>
            </w:r>
            <w:r w:rsidRPr="006B6390">
              <w:rPr>
                <w:rFonts w:asciiTheme="minorBidi" w:eastAsia="Calibri" w:hAnsiTheme="minorBidi" w:cstheme="minorBidi"/>
                <w:b/>
                <w:sz w:val="22"/>
                <w:szCs w:val="22"/>
                <w:lang w:val="en-GB"/>
              </w:rPr>
              <w:br/>
              <w:t xml:space="preserve">01/01/2020 to 30/06/2021 </w:t>
            </w:r>
          </w:p>
        </w:tc>
      </w:tr>
      <w:tr w:rsidR="0030560C" w:rsidRPr="00546D04" w14:paraId="45E615DC" w14:textId="77777777" w:rsidTr="00E04172">
        <w:tc>
          <w:tcPr>
            <w:tcW w:w="1300" w:type="pct"/>
            <w:tcBorders>
              <w:bottom w:val="single" w:sz="4" w:space="0" w:color="auto"/>
            </w:tcBorders>
          </w:tcPr>
          <w:p w14:paraId="7E49A30F" w14:textId="77777777" w:rsidR="0030560C" w:rsidRPr="006B6390" w:rsidRDefault="0030560C" w:rsidP="00040539">
            <w:pPr>
              <w:pStyle w:val="ListParagraph"/>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Convention-related reports address plans, policies and programmes aimed at integrating the safeguarding of intangible cultural heritage with a gender-sensitive approach, including in emergency contexts, and provide evidence towards the attainment of SDG targets</w:t>
            </w:r>
          </w:p>
          <w:p w14:paraId="6A01717B" w14:textId="77777777" w:rsidR="0030560C" w:rsidRPr="006B6390" w:rsidRDefault="0030560C" w:rsidP="00040539">
            <w:pPr>
              <w:pStyle w:val="ListParagraph"/>
              <w:keepLines/>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Partnerships established, within and outside the culture sector, with a view to strengthening the role of intangible cultural heritage as an enabler and guarantee of sustainable development and supporting national plans to achieve the SDGs</w:t>
            </w:r>
          </w:p>
          <w:p w14:paraId="546B5F6A" w14:textId="77777777" w:rsidR="0030560C" w:rsidRPr="006B6390" w:rsidRDefault="0030560C" w:rsidP="00040539">
            <w:pPr>
              <w:pStyle w:val="ListParagraph"/>
              <w:keepNext/>
              <w:keepLines/>
              <w:numPr>
                <w:ilvl w:val="0"/>
                <w:numId w:val="40"/>
              </w:numPr>
              <w:spacing w:before="120" w:after="120"/>
              <w:ind w:left="317" w:hanging="346"/>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lastRenderedPageBreak/>
              <w:t>Initiatives designed and implemented, resulting in the incorporation of intangible cultural heritage in formal and non-formal education (SDG 4.7)</w:t>
            </w:r>
          </w:p>
        </w:tc>
        <w:tc>
          <w:tcPr>
            <w:tcW w:w="577" w:type="pct"/>
            <w:tcBorders>
              <w:bottom w:val="single" w:sz="4" w:space="0" w:color="auto"/>
            </w:tcBorders>
            <w:shd w:val="clear" w:color="auto" w:fill="auto"/>
          </w:tcPr>
          <w:p w14:paraId="36383648" w14:textId="77777777" w:rsidR="0030560C" w:rsidRPr="006B6390" w:rsidRDefault="0030560C" w:rsidP="0030560C">
            <w:pPr>
              <w:pStyle w:val="ListParagraph"/>
              <w:numPr>
                <w:ilvl w:val="0"/>
                <w:numId w:val="40"/>
              </w:numPr>
              <w:spacing w:before="120" w:after="120"/>
              <w:ind w:left="358" w:hanging="284"/>
              <w:contextualSpacing w:val="0"/>
              <w:rPr>
                <w:rFonts w:asciiTheme="minorBidi" w:hAnsiTheme="minorBidi" w:cstheme="minorBidi"/>
                <w:iCs/>
                <w:sz w:val="22"/>
                <w:szCs w:val="22"/>
                <w:lang w:val="en-GB"/>
              </w:rPr>
            </w:pPr>
            <w:r w:rsidRPr="006B6390">
              <w:rPr>
                <w:rFonts w:asciiTheme="minorBidi" w:hAnsiTheme="minorBidi" w:cstheme="minorBidi"/>
                <w:iCs/>
                <w:sz w:val="22"/>
                <w:szCs w:val="22"/>
                <w:lang w:val="en-GB"/>
              </w:rPr>
              <w:lastRenderedPageBreak/>
              <w:t>41, of which 22 in Africa and 8 SIDS</w:t>
            </w:r>
          </w:p>
        </w:tc>
        <w:tc>
          <w:tcPr>
            <w:tcW w:w="673" w:type="pct"/>
            <w:tcBorders>
              <w:bottom w:val="single" w:sz="4" w:space="0" w:color="auto"/>
            </w:tcBorders>
            <w:shd w:val="clear" w:color="auto" w:fill="auto"/>
          </w:tcPr>
          <w:p w14:paraId="25873AA7" w14:textId="711BEA91" w:rsidR="0030560C" w:rsidRPr="006B6390" w:rsidRDefault="0030560C" w:rsidP="0030560C">
            <w:pPr>
              <w:pStyle w:val="ListParagraph"/>
              <w:numPr>
                <w:ilvl w:val="0"/>
                <w:numId w:val="40"/>
              </w:numPr>
              <w:spacing w:before="120" w:after="120"/>
              <w:ind w:left="358" w:hanging="284"/>
              <w:contextualSpacing w:val="0"/>
              <w:rPr>
                <w:rFonts w:asciiTheme="minorBidi" w:hAnsiTheme="minorBidi" w:cstheme="minorBidi"/>
                <w:iCs/>
                <w:sz w:val="22"/>
                <w:szCs w:val="22"/>
                <w:lang w:val="en-GB"/>
              </w:rPr>
            </w:pPr>
            <w:r w:rsidRPr="006B6390">
              <w:rPr>
                <w:rFonts w:asciiTheme="minorBidi" w:hAnsiTheme="minorBidi" w:cstheme="minorBidi"/>
                <w:iCs/>
                <w:sz w:val="22"/>
                <w:szCs w:val="22"/>
                <w:lang w:val="en-GB"/>
              </w:rPr>
              <w:t>45</w:t>
            </w:r>
            <w:r w:rsidR="009F0E83" w:rsidRPr="006B6390">
              <w:rPr>
                <w:rFonts w:asciiTheme="minorBidi" w:hAnsiTheme="minorBidi" w:cstheme="minorBidi"/>
                <w:iCs/>
                <w:sz w:val="22"/>
                <w:szCs w:val="22"/>
                <w:lang w:val="en-GB"/>
              </w:rPr>
              <w:t>,</w:t>
            </w:r>
            <w:r w:rsidRPr="006B6390">
              <w:rPr>
                <w:rFonts w:asciiTheme="minorBidi" w:hAnsiTheme="minorBidi" w:cstheme="minorBidi"/>
                <w:iCs/>
                <w:sz w:val="22"/>
                <w:szCs w:val="22"/>
                <w:lang w:val="en-GB"/>
              </w:rPr>
              <w:t xml:space="preserve"> of which 15 in Africa and 10 SIDS</w:t>
            </w:r>
          </w:p>
        </w:tc>
        <w:tc>
          <w:tcPr>
            <w:tcW w:w="2450" w:type="pct"/>
            <w:tcBorders>
              <w:bottom w:val="single" w:sz="4" w:space="0" w:color="auto"/>
            </w:tcBorders>
          </w:tcPr>
          <w:p w14:paraId="4FE1F1FB" w14:textId="5CBD7A41" w:rsidR="0030560C" w:rsidRPr="006B6390" w:rsidRDefault="0042468D" w:rsidP="00986D3E">
            <w:pPr>
              <w:pStyle w:val="ListParagraph"/>
              <w:numPr>
                <w:ilvl w:val="0"/>
                <w:numId w:val="40"/>
              </w:numPr>
              <w:spacing w:before="120" w:after="120"/>
              <w:ind w:left="425" w:hanging="425"/>
              <w:contextualSpacing w:val="0"/>
              <w:jc w:val="both"/>
              <w:rPr>
                <w:rFonts w:asciiTheme="minorBidi" w:hAnsiTheme="minorBidi" w:cstheme="minorBidi"/>
                <w:iCs/>
                <w:sz w:val="22"/>
                <w:szCs w:val="22"/>
                <w:lang w:val="en-GB"/>
              </w:rPr>
            </w:pPr>
            <w:r w:rsidRPr="006B6390">
              <w:rPr>
                <w:rStyle w:val="textview"/>
                <w:rFonts w:asciiTheme="minorBidi" w:hAnsiTheme="minorBidi" w:cstheme="minorBidi"/>
                <w:sz w:val="22"/>
                <w:szCs w:val="22"/>
                <w:lang w:val="en-GB"/>
              </w:rPr>
              <w:t>51</w:t>
            </w:r>
            <w:r w:rsidR="0030560C" w:rsidRPr="006B6390">
              <w:rPr>
                <w:rStyle w:val="textview"/>
                <w:rFonts w:asciiTheme="minorBidi" w:hAnsiTheme="minorBidi" w:cstheme="minorBidi"/>
                <w:sz w:val="22"/>
                <w:szCs w:val="22"/>
                <w:lang w:val="en-GB"/>
              </w:rPr>
              <w:t xml:space="preserve"> </w:t>
            </w:r>
            <w:r w:rsidR="0030560C" w:rsidRPr="006B6390">
              <w:rPr>
                <w:rFonts w:asciiTheme="minorBidi" w:hAnsiTheme="minorBidi" w:cstheme="minorBidi"/>
                <w:iCs/>
                <w:sz w:val="22"/>
                <w:szCs w:val="22"/>
                <w:lang w:val="en-GB"/>
              </w:rPr>
              <w:t xml:space="preserve">Member States supported in the field of intangible cultural heritage and education, including </w:t>
            </w:r>
            <w:r w:rsidRPr="006B6390">
              <w:rPr>
                <w:rFonts w:asciiTheme="minorBidi" w:hAnsiTheme="minorBidi" w:cstheme="minorBidi"/>
                <w:iCs/>
                <w:sz w:val="22"/>
                <w:szCs w:val="22"/>
                <w:lang w:val="en-GB"/>
              </w:rPr>
              <w:t>26</w:t>
            </w:r>
            <w:r w:rsidR="0030560C" w:rsidRPr="006B6390">
              <w:rPr>
                <w:rFonts w:asciiTheme="minorBidi" w:hAnsiTheme="minorBidi" w:cstheme="minorBidi"/>
                <w:iCs/>
                <w:sz w:val="22"/>
                <w:szCs w:val="22"/>
                <w:lang w:val="en-GB"/>
              </w:rPr>
              <w:t xml:space="preserve"> in Africa and </w:t>
            </w:r>
            <w:r w:rsidRPr="006B6390">
              <w:rPr>
                <w:rFonts w:asciiTheme="minorBidi" w:hAnsiTheme="minorBidi" w:cstheme="minorBidi"/>
                <w:iCs/>
                <w:sz w:val="22"/>
                <w:szCs w:val="22"/>
                <w:lang w:val="en-GB"/>
              </w:rPr>
              <w:t>9</w:t>
            </w:r>
            <w:r w:rsidR="0030560C" w:rsidRPr="006B6390">
              <w:rPr>
                <w:rFonts w:asciiTheme="minorBidi" w:hAnsiTheme="minorBidi" w:cstheme="minorBidi"/>
                <w:iCs/>
                <w:sz w:val="22"/>
                <w:szCs w:val="22"/>
                <w:lang w:val="en-GB"/>
              </w:rPr>
              <w:t xml:space="preserve"> SIDS. </w:t>
            </w:r>
          </w:p>
          <w:p w14:paraId="2A0D17CE" w14:textId="5702BE73"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sz w:val="22"/>
                <w:szCs w:val="22"/>
                <w:lang w:val="en-GB"/>
              </w:rPr>
            </w:pPr>
            <w:r w:rsidRPr="006B6390">
              <w:rPr>
                <w:rFonts w:asciiTheme="minorBidi" w:hAnsiTheme="minorBidi" w:cstheme="minorBidi"/>
                <w:sz w:val="22"/>
                <w:szCs w:val="22"/>
                <w:lang w:val="en-GB"/>
              </w:rPr>
              <w:t>Global learning network of 40 resource persons established to provide training and advisory services on safeguarding intangible cultural heritage in formal and non</w:t>
            </w:r>
            <w:r w:rsidR="009F0E83"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formal education.</w:t>
            </w:r>
          </w:p>
          <w:p w14:paraId="535709B5" w14:textId="77B51043" w:rsidR="0030560C" w:rsidRPr="006B6390" w:rsidRDefault="0030560C" w:rsidP="00986D3E">
            <w:pPr>
              <w:pStyle w:val="ListParagraph"/>
              <w:numPr>
                <w:ilvl w:val="0"/>
                <w:numId w:val="40"/>
              </w:numPr>
              <w:spacing w:before="120" w:after="120"/>
              <w:ind w:left="425" w:hanging="425"/>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 xml:space="preserve">Clearing house for knowledge sharing, cooperation and innovation in the field of intangible cultural heritage and education created, made available in two languages (English and French) and launched </w:t>
            </w:r>
            <w:r w:rsidRPr="006B6390">
              <w:rPr>
                <w:rFonts w:asciiTheme="minorBidi" w:eastAsia="Calibri" w:hAnsiTheme="minorBidi" w:cstheme="minorBidi"/>
                <w:sz w:val="22"/>
                <w:szCs w:val="22"/>
                <w:lang w:val="en-GB"/>
              </w:rPr>
              <w:t>in the context of the World Conference on Education for Sustainable Development in May 2021.</w:t>
            </w:r>
          </w:p>
          <w:p w14:paraId="4D1C56B8" w14:textId="77777777"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 xml:space="preserve">UNESCO Report on ‘Living Heritage in the face of COVID-19’ published in </w:t>
            </w:r>
            <w:r w:rsidRPr="006B6390">
              <w:rPr>
                <w:rFonts w:asciiTheme="minorBidi" w:hAnsiTheme="minorBidi" w:cstheme="minorBidi"/>
                <w:sz w:val="22"/>
                <w:szCs w:val="22"/>
                <w:lang w:val="en-GB"/>
              </w:rPr>
              <w:t>May</w:t>
            </w:r>
            <w:r w:rsidRPr="006B6390">
              <w:rPr>
                <w:rFonts w:asciiTheme="minorBidi" w:hAnsiTheme="minorBidi" w:cstheme="minorBidi"/>
                <w:iCs/>
                <w:sz w:val="22"/>
                <w:szCs w:val="22"/>
                <w:lang w:val="en-GB"/>
              </w:rPr>
              <w:t xml:space="preserve"> 2021 in two languages (English and French), with key recommendations for building back better.</w:t>
            </w:r>
          </w:p>
          <w:p w14:paraId="1B311B04" w14:textId="77777777" w:rsidR="0030560C" w:rsidRPr="006B6390" w:rsidRDefault="0030560C" w:rsidP="00E26DD4">
            <w:pPr>
              <w:pStyle w:val="ListParagraph"/>
              <w:spacing w:before="120" w:after="120"/>
              <w:ind w:left="425"/>
              <w:rPr>
                <w:rFonts w:asciiTheme="minorBidi" w:eastAsia="Calibri" w:hAnsiTheme="minorBidi" w:cstheme="minorBidi"/>
                <w:sz w:val="22"/>
                <w:szCs w:val="22"/>
                <w:lang w:val="en-GB"/>
              </w:rPr>
            </w:pPr>
          </w:p>
        </w:tc>
      </w:tr>
      <w:tr w:rsidR="0030560C" w:rsidRPr="00546D04" w14:paraId="114F6CEC" w14:textId="77777777" w:rsidTr="00E04172">
        <w:tc>
          <w:tcPr>
            <w:tcW w:w="1300" w:type="pct"/>
            <w:tcBorders>
              <w:left w:val="nil"/>
              <w:bottom w:val="nil"/>
              <w:right w:val="nil"/>
            </w:tcBorders>
          </w:tcPr>
          <w:p w14:paraId="26E1759C" w14:textId="77777777" w:rsidR="0030560C" w:rsidRPr="006B6390" w:rsidRDefault="0030560C" w:rsidP="00E26DD4">
            <w:pPr>
              <w:pStyle w:val="ListParagraph"/>
              <w:spacing w:before="120" w:after="120"/>
              <w:ind w:left="312"/>
              <w:contextualSpacing w:val="0"/>
              <w:rPr>
                <w:rFonts w:asciiTheme="minorBidi" w:hAnsiTheme="minorBidi" w:cstheme="minorBidi"/>
                <w:sz w:val="22"/>
                <w:szCs w:val="22"/>
                <w:lang w:val="en-GB"/>
              </w:rPr>
            </w:pPr>
          </w:p>
        </w:tc>
        <w:tc>
          <w:tcPr>
            <w:tcW w:w="577" w:type="pct"/>
            <w:tcBorders>
              <w:left w:val="nil"/>
              <w:bottom w:val="nil"/>
              <w:right w:val="nil"/>
            </w:tcBorders>
            <w:shd w:val="clear" w:color="auto" w:fill="auto"/>
          </w:tcPr>
          <w:p w14:paraId="3269AF99" w14:textId="77777777" w:rsidR="0030560C" w:rsidRPr="006B6390" w:rsidRDefault="0030560C" w:rsidP="00E26DD4">
            <w:pPr>
              <w:pStyle w:val="ListParagraph"/>
              <w:spacing w:before="120" w:after="120"/>
              <w:ind w:left="358"/>
              <w:contextualSpacing w:val="0"/>
              <w:rPr>
                <w:rFonts w:asciiTheme="minorBidi" w:hAnsiTheme="minorBidi" w:cstheme="minorBidi"/>
                <w:iCs/>
                <w:sz w:val="22"/>
                <w:szCs w:val="22"/>
                <w:lang w:val="en-GB"/>
              </w:rPr>
            </w:pPr>
          </w:p>
        </w:tc>
        <w:tc>
          <w:tcPr>
            <w:tcW w:w="673" w:type="pct"/>
            <w:tcBorders>
              <w:left w:val="nil"/>
              <w:bottom w:val="nil"/>
              <w:right w:val="nil"/>
            </w:tcBorders>
            <w:shd w:val="clear" w:color="auto" w:fill="auto"/>
          </w:tcPr>
          <w:p w14:paraId="1B8256D4" w14:textId="77777777" w:rsidR="0030560C" w:rsidRPr="006B6390" w:rsidRDefault="0030560C" w:rsidP="00E26DD4">
            <w:pPr>
              <w:pStyle w:val="ListParagraph"/>
              <w:spacing w:before="120" w:after="120"/>
              <w:ind w:left="358"/>
              <w:contextualSpacing w:val="0"/>
              <w:rPr>
                <w:rFonts w:asciiTheme="minorBidi" w:hAnsiTheme="minorBidi" w:cstheme="minorBidi"/>
                <w:iCs/>
                <w:sz w:val="22"/>
                <w:szCs w:val="22"/>
                <w:lang w:val="en-GB"/>
              </w:rPr>
            </w:pPr>
          </w:p>
        </w:tc>
        <w:tc>
          <w:tcPr>
            <w:tcW w:w="2450" w:type="pct"/>
            <w:tcBorders>
              <w:left w:val="nil"/>
              <w:bottom w:val="nil"/>
              <w:right w:val="nil"/>
            </w:tcBorders>
          </w:tcPr>
          <w:p w14:paraId="7249B91C" w14:textId="77777777" w:rsidR="0030560C" w:rsidRPr="006B6390" w:rsidRDefault="0030560C" w:rsidP="00E26DD4">
            <w:pPr>
              <w:pStyle w:val="ListParagraph"/>
              <w:spacing w:before="120" w:after="120"/>
              <w:ind w:left="543"/>
              <w:contextualSpacing w:val="0"/>
              <w:rPr>
                <w:rStyle w:val="textview"/>
                <w:rFonts w:asciiTheme="minorBidi" w:hAnsiTheme="minorBidi" w:cstheme="minorBidi"/>
                <w:sz w:val="22"/>
                <w:szCs w:val="22"/>
                <w:lang w:val="en-GB"/>
              </w:rPr>
            </w:pPr>
          </w:p>
        </w:tc>
      </w:tr>
    </w:tbl>
    <w:tbl>
      <w:tblPr>
        <w:tblStyle w:val="TableGrid2"/>
        <w:tblW w:w="14572" w:type="dxa"/>
        <w:tblLook w:val="04A0" w:firstRow="1" w:lastRow="0" w:firstColumn="1" w:lastColumn="0" w:noHBand="0" w:noVBand="1"/>
      </w:tblPr>
      <w:tblGrid>
        <w:gridCol w:w="3789"/>
        <w:gridCol w:w="10783"/>
      </w:tblGrid>
      <w:tr w:rsidR="0030560C" w:rsidRPr="00546D04" w14:paraId="4BF2D95F" w14:textId="77777777" w:rsidTr="00E04172">
        <w:trPr>
          <w:cantSplit/>
        </w:trPr>
        <w:tc>
          <w:tcPr>
            <w:tcW w:w="1300" w:type="pct"/>
            <w:tcBorders>
              <w:top w:val="nil"/>
            </w:tcBorders>
            <w:shd w:val="clear" w:color="auto" w:fill="808080" w:themeFill="background1" w:themeFillShade="80"/>
            <w:vAlign w:val="center"/>
          </w:tcPr>
          <w:p w14:paraId="2F12560E" w14:textId="77777777" w:rsidR="0030560C" w:rsidRPr="006B6390" w:rsidRDefault="0030560C" w:rsidP="00E26DD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40C/5 Performance Indicator 4</w:t>
            </w:r>
          </w:p>
        </w:tc>
        <w:tc>
          <w:tcPr>
            <w:tcW w:w="3700" w:type="pct"/>
            <w:tcBorders>
              <w:top w:val="nil"/>
            </w:tcBorders>
            <w:shd w:val="clear" w:color="auto" w:fill="808080" w:themeFill="background1" w:themeFillShade="80"/>
            <w:vAlign w:val="center"/>
          </w:tcPr>
          <w:p w14:paraId="6D7C1307" w14:textId="1CE77E43" w:rsidR="0030560C" w:rsidRPr="006B6390" w:rsidRDefault="0030560C" w:rsidP="00E26DD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Number of States Parties which have effectively implemented International Assistance, including from the Intangible Cultural Heritage Fund, complementing their national safeguarding efforts</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30560C" w:rsidRPr="006B6390" w14:paraId="3D1EB922" w14:textId="77777777" w:rsidTr="00E26DD4">
        <w:trPr>
          <w:tblHeader/>
        </w:trPr>
        <w:tc>
          <w:tcPr>
            <w:tcW w:w="1300" w:type="pct"/>
            <w:shd w:val="clear" w:color="auto" w:fill="D9D9D9" w:themeFill="background1" w:themeFillShade="D9"/>
            <w:vAlign w:val="center"/>
          </w:tcPr>
          <w:p w14:paraId="3E89E5A8"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Assessed according to the following</w:t>
            </w:r>
          </w:p>
        </w:tc>
        <w:tc>
          <w:tcPr>
            <w:tcW w:w="577" w:type="pct"/>
            <w:shd w:val="clear" w:color="auto" w:fill="D9D9D9" w:themeFill="background1" w:themeFillShade="D9"/>
            <w:vAlign w:val="center"/>
          </w:tcPr>
          <w:p w14:paraId="4B3C3732"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Baselines</w:t>
            </w:r>
          </w:p>
        </w:tc>
        <w:tc>
          <w:tcPr>
            <w:tcW w:w="673" w:type="pct"/>
            <w:shd w:val="clear" w:color="auto" w:fill="D9D9D9" w:themeFill="background1" w:themeFillShade="D9"/>
            <w:vAlign w:val="center"/>
          </w:tcPr>
          <w:p w14:paraId="601E58D9" w14:textId="77777777" w:rsidR="0030560C" w:rsidRPr="006B6390" w:rsidRDefault="0030560C" w:rsidP="00E26DD4">
            <w:pPr>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Targets 2020-2021</w:t>
            </w:r>
          </w:p>
        </w:tc>
        <w:tc>
          <w:tcPr>
            <w:tcW w:w="2450" w:type="pct"/>
            <w:shd w:val="clear" w:color="auto" w:fill="D9D9D9" w:themeFill="background1" w:themeFillShade="D9"/>
            <w:vAlign w:val="center"/>
          </w:tcPr>
          <w:p w14:paraId="074354F4" w14:textId="77777777" w:rsidR="0030560C" w:rsidRPr="006B6390" w:rsidRDefault="0030560C" w:rsidP="00E26DD4">
            <w:pPr>
              <w:autoSpaceDE w:val="0"/>
              <w:autoSpaceDN w:val="0"/>
              <w:adjustRightInd w:val="0"/>
              <w:jc w:val="center"/>
              <w:rPr>
                <w:rFonts w:asciiTheme="minorBidi" w:eastAsia="Calibri" w:hAnsiTheme="minorBidi" w:cstheme="minorBidi"/>
                <w:b/>
                <w:color w:val="000000"/>
                <w:sz w:val="22"/>
                <w:szCs w:val="22"/>
                <w:lang w:val="en-GB"/>
              </w:rPr>
            </w:pPr>
            <w:r w:rsidRPr="006B6390">
              <w:rPr>
                <w:rFonts w:asciiTheme="minorBidi" w:eastAsia="Calibri" w:hAnsiTheme="minorBidi" w:cstheme="minorBidi"/>
                <w:b/>
                <w:sz w:val="22"/>
                <w:szCs w:val="22"/>
                <w:lang w:val="en-GB"/>
              </w:rPr>
              <w:t>Assessment of progress:</w:t>
            </w:r>
            <w:r w:rsidRPr="006B6390">
              <w:rPr>
                <w:rFonts w:asciiTheme="minorBidi" w:eastAsia="Calibri" w:hAnsiTheme="minorBidi" w:cstheme="minorBidi"/>
                <w:b/>
                <w:sz w:val="22"/>
                <w:szCs w:val="22"/>
                <w:lang w:val="en-GB"/>
              </w:rPr>
              <w:br/>
              <w:t xml:space="preserve">01/01/2020 to 30/06/2021 </w:t>
            </w:r>
          </w:p>
        </w:tc>
      </w:tr>
      <w:tr w:rsidR="0030560C" w:rsidRPr="00546D04" w14:paraId="031A67BB" w14:textId="77777777" w:rsidTr="005275A4">
        <w:tc>
          <w:tcPr>
            <w:tcW w:w="1300" w:type="pct"/>
            <w:tcBorders>
              <w:bottom w:val="single" w:sz="4" w:space="0" w:color="auto"/>
            </w:tcBorders>
          </w:tcPr>
          <w:p w14:paraId="5EB1126F" w14:textId="77777777" w:rsidR="0030560C" w:rsidRPr="006B6390" w:rsidRDefault="0030560C" w:rsidP="00040539">
            <w:pPr>
              <w:pStyle w:val="ListParagraph"/>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Intangible Cultural Heritage Fund used by States Parties to effectively complement their national safeguarding efforts</w:t>
            </w:r>
          </w:p>
          <w:p w14:paraId="4A1D184C" w14:textId="77777777" w:rsidR="0030560C" w:rsidRPr="006B6390" w:rsidRDefault="0030560C" w:rsidP="00040539">
            <w:pPr>
              <w:pStyle w:val="ListParagraph"/>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Preparatory/technical assistance from the Intangible Cultural Heritage Fund used by States Parties to elaborate International Assistance requests to effectively complement their national safeguarding efforts</w:t>
            </w:r>
          </w:p>
        </w:tc>
        <w:tc>
          <w:tcPr>
            <w:tcW w:w="577" w:type="pct"/>
            <w:tcBorders>
              <w:bottom w:val="single" w:sz="4" w:space="0" w:color="auto"/>
            </w:tcBorders>
            <w:shd w:val="clear" w:color="auto" w:fill="auto"/>
          </w:tcPr>
          <w:p w14:paraId="5939EBA2" w14:textId="460F98D2" w:rsidR="0030560C" w:rsidRPr="006B6390" w:rsidRDefault="0030560C" w:rsidP="0030560C">
            <w:pPr>
              <w:pStyle w:val="ListParagraph"/>
              <w:numPr>
                <w:ilvl w:val="0"/>
                <w:numId w:val="40"/>
              </w:numPr>
              <w:spacing w:before="120" w:after="120"/>
              <w:ind w:left="358" w:hanging="284"/>
              <w:contextualSpacing w:val="0"/>
              <w:rPr>
                <w:rFonts w:asciiTheme="minorBidi" w:eastAsia="Calibri" w:hAnsiTheme="minorBidi" w:cstheme="minorBidi"/>
                <w:sz w:val="22"/>
                <w:szCs w:val="22"/>
                <w:lang w:val="en-GB"/>
              </w:rPr>
            </w:pPr>
            <w:r w:rsidRPr="006B6390">
              <w:rPr>
                <w:rFonts w:asciiTheme="minorBidi" w:hAnsiTheme="minorBidi" w:cstheme="minorBidi"/>
                <w:iCs/>
                <w:sz w:val="22"/>
                <w:szCs w:val="22"/>
                <w:lang w:val="en-GB"/>
              </w:rPr>
              <w:t>9</w:t>
            </w:r>
            <w:r w:rsidR="009F0E83" w:rsidRPr="006B6390">
              <w:rPr>
                <w:rFonts w:asciiTheme="minorBidi" w:hAnsiTheme="minorBidi" w:cstheme="minorBidi"/>
                <w:iCs/>
                <w:sz w:val="22"/>
                <w:szCs w:val="22"/>
                <w:lang w:val="en-GB"/>
              </w:rPr>
              <w:t>,</w:t>
            </w:r>
            <w:r w:rsidRPr="006B6390">
              <w:rPr>
                <w:rFonts w:asciiTheme="minorBidi" w:hAnsiTheme="minorBidi" w:cstheme="minorBidi"/>
                <w:iCs/>
                <w:sz w:val="22"/>
                <w:szCs w:val="22"/>
                <w:lang w:val="en-GB"/>
              </w:rPr>
              <w:t xml:space="preserve"> of which 7 in Africa and 2 SIDS</w:t>
            </w:r>
          </w:p>
        </w:tc>
        <w:tc>
          <w:tcPr>
            <w:tcW w:w="673" w:type="pct"/>
            <w:tcBorders>
              <w:bottom w:val="single" w:sz="4" w:space="0" w:color="auto"/>
            </w:tcBorders>
            <w:shd w:val="clear" w:color="auto" w:fill="auto"/>
          </w:tcPr>
          <w:p w14:paraId="1E117F65" w14:textId="5F669631" w:rsidR="0030560C" w:rsidRPr="006B6390" w:rsidRDefault="0030560C" w:rsidP="0030560C">
            <w:pPr>
              <w:pStyle w:val="ListParagraph"/>
              <w:numPr>
                <w:ilvl w:val="0"/>
                <w:numId w:val="40"/>
              </w:numPr>
              <w:spacing w:before="120" w:after="120"/>
              <w:ind w:left="358" w:hanging="284"/>
              <w:contextualSpacing w:val="0"/>
              <w:rPr>
                <w:rFonts w:asciiTheme="minorBidi" w:hAnsiTheme="minorBidi" w:cstheme="minorBidi"/>
                <w:iCs/>
                <w:sz w:val="22"/>
                <w:szCs w:val="22"/>
                <w:lang w:val="en-GB"/>
              </w:rPr>
            </w:pPr>
            <w:r w:rsidRPr="006B6390">
              <w:rPr>
                <w:rFonts w:asciiTheme="minorBidi" w:hAnsiTheme="minorBidi" w:cstheme="minorBidi"/>
                <w:iCs/>
                <w:sz w:val="22"/>
                <w:szCs w:val="22"/>
                <w:lang w:val="en-GB"/>
              </w:rPr>
              <w:t>16</w:t>
            </w:r>
            <w:r w:rsidR="009F0E83" w:rsidRPr="006B6390">
              <w:rPr>
                <w:rFonts w:asciiTheme="minorBidi" w:hAnsiTheme="minorBidi" w:cstheme="minorBidi"/>
                <w:iCs/>
                <w:sz w:val="22"/>
                <w:szCs w:val="22"/>
                <w:lang w:val="en-GB"/>
              </w:rPr>
              <w:t>,</w:t>
            </w:r>
            <w:r w:rsidRPr="006B6390">
              <w:rPr>
                <w:rFonts w:asciiTheme="minorBidi" w:hAnsiTheme="minorBidi" w:cstheme="minorBidi"/>
                <w:iCs/>
                <w:sz w:val="22"/>
                <w:szCs w:val="22"/>
                <w:lang w:val="en-GB"/>
              </w:rPr>
              <w:t xml:space="preserve"> of which 12 in Africa and 2 SIDS</w:t>
            </w:r>
          </w:p>
        </w:tc>
        <w:tc>
          <w:tcPr>
            <w:tcW w:w="2450" w:type="pct"/>
            <w:tcBorders>
              <w:bottom w:val="single" w:sz="4" w:space="0" w:color="auto"/>
            </w:tcBorders>
            <w:shd w:val="clear" w:color="auto" w:fill="auto"/>
          </w:tcPr>
          <w:p w14:paraId="2050FB7E" w14:textId="7CB20EC8" w:rsidR="0030560C" w:rsidRPr="006B6390" w:rsidRDefault="0030560C" w:rsidP="00986D3E">
            <w:pPr>
              <w:pStyle w:val="ListParagraph"/>
              <w:numPr>
                <w:ilvl w:val="0"/>
                <w:numId w:val="40"/>
              </w:numPr>
              <w:spacing w:before="120" w:after="120"/>
              <w:ind w:left="358" w:hanging="284"/>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7 States Parties completed the implementation of an International Assistance project, of which 4 in Africa and 1 SIDS.</w:t>
            </w:r>
          </w:p>
          <w:p w14:paraId="5DCCD448" w14:textId="77777777" w:rsidR="0030560C" w:rsidRPr="006B6390" w:rsidRDefault="0030560C" w:rsidP="00986D3E">
            <w:pPr>
              <w:pStyle w:val="ListParagraph"/>
              <w:numPr>
                <w:ilvl w:val="0"/>
                <w:numId w:val="40"/>
              </w:numPr>
              <w:spacing w:before="120" w:after="120"/>
              <w:ind w:left="358" w:hanging="284"/>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27 International Assistance requests for up to US$100,000 treated by the Secretariat, of which twelve were submitted to the Bureau of the Intergovernmental Committee of the Convention. 10 requests were approved, including 5 for Africa and 3 SIDS.</w:t>
            </w:r>
          </w:p>
          <w:p w14:paraId="15F8C140" w14:textId="77777777" w:rsidR="0030560C" w:rsidRPr="006B6390" w:rsidRDefault="0030560C" w:rsidP="00986D3E">
            <w:pPr>
              <w:pStyle w:val="ListParagraph"/>
              <w:numPr>
                <w:ilvl w:val="0"/>
                <w:numId w:val="40"/>
              </w:numPr>
              <w:spacing w:before="120" w:after="120"/>
              <w:ind w:left="358" w:hanging="284"/>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4 States Parties received technical assistance for the development or revision of a request, including 2 from Africa and 1 SIDS.</w:t>
            </w:r>
          </w:p>
        </w:tc>
      </w:tr>
      <w:tr w:rsidR="00E04172" w:rsidRPr="00546D04" w14:paraId="32860959" w14:textId="77777777" w:rsidTr="005275A4">
        <w:tc>
          <w:tcPr>
            <w:tcW w:w="1300" w:type="pct"/>
            <w:tcBorders>
              <w:left w:val="nil"/>
              <w:bottom w:val="nil"/>
              <w:right w:val="nil"/>
            </w:tcBorders>
          </w:tcPr>
          <w:p w14:paraId="51EA8B7D" w14:textId="77777777" w:rsidR="00E04172" w:rsidRPr="006B6390" w:rsidRDefault="00E04172" w:rsidP="00E04172">
            <w:pPr>
              <w:pStyle w:val="ListParagraph"/>
              <w:spacing w:before="120" w:after="120"/>
              <w:ind w:left="312"/>
              <w:contextualSpacing w:val="0"/>
              <w:rPr>
                <w:rFonts w:asciiTheme="minorBidi" w:hAnsiTheme="minorBidi" w:cstheme="minorBidi"/>
                <w:sz w:val="22"/>
                <w:szCs w:val="22"/>
                <w:lang w:val="en-GB"/>
              </w:rPr>
            </w:pPr>
          </w:p>
        </w:tc>
        <w:tc>
          <w:tcPr>
            <w:tcW w:w="577" w:type="pct"/>
            <w:tcBorders>
              <w:left w:val="nil"/>
              <w:bottom w:val="nil"/>
              <w:right w:val="nil"/>
            </w:tcBorders>
            <w:shd w:val="clear" w:color="auto" w:fill="auto"/>
          </w:tcPr>
          <w:p w14:paraId="2DF6117A" w14:textId="77777777" w:rsidR="00E04172" w:rsidRPr="006B6390" w:rsidRDefault="00E04172" w:rsidP="00E04172">
            <w:pPr>
              <w:pStyle w:val="ListParagraph"/>
              <w:spacing w:before="120" w:after="120"/>
              <w:ind w:left="358"/>
              <w:contextualSpacing w:val="0"/>
              <w:rPr>
                <w:rFonts w:asciiTheme="minorBidi" w:hAnsiTheme="minorBidi" w:cstheme="minorBidi"/>
                <w:iCs/>
                <w:sz w:val="22"/>
                <w:szCs w:val="22"/>
                <w:lang w:val="en-GB"/>
              </w:rPr>
            </w:pPr>
          </w:p>
        </w:tc>
        <w:tc>
          <w:tcPr>
            <w:tcW w:w="673" w:type="pct"/>
            <w:tcBorders>
              <w:left w:val="nil"/>
              <w:bottom w:val="nil"/>
              <w:right w:val="nil"/>
            </w:tcBorders>
            <w:shd w:val="clear" w:color="auto" w:fill="auto"/>
          </w:tcPr>
          <w:p w14:paraId="540951B5" w14:textId="77777777" w:rsidR="00E04172" w:rsidRPr="006B6390" w:rsidRDefault="00E04172" w:rsidP="00E04172">
            <w:pPr>
              <w:pStyle w:val="ListParagraph"/>
              <w:spacing w:before="120" w:after="120"/>
              <w:ind w:left="358"/>
              <w:contextualSpacing w:val="0"/>
              <w:rPr>
                <w:rFonts w:asciiTheme="minorBidi" w:hAnsiTheme="minorBidi" w:cstheme="minorBidi"/>
                <w:iCs/>
                <w:sz w:val="22"/>
                <w:szCs w:val="22"/>
                <w:lang w:val="en-GB"/>
              </w:rPr>
            </w:pPr>
          </w:p>
        </w:tc>
        <w:tc>
          <w:tcPr>
            <w:tcW w:w="2450" w:type="pct"/>
            <w:tcBorders>
              <w:left w:val="nil"/>
              <w:bottom w:val="nil"/>
              <w:right w:val="nil"/>
            </w:tcBorders>
            <w:shd w:val="clear" w:color="auto" w:fill="auto"/>
          </w:tcPr>
          <w:p w14:paraId="0490652C" w14:textId="77777777" w:rsidR="00E04172" w:rsidRPr="006B6390" w:rsidRDefault="00E04172" w:rsidP="00E04172">
            <w:pPr>
              <w:pStyle w:val="ListParagraph"/>
              <w:spacing w:before="120" w:after="120"/>
              <w:ind w:left="358"/>
              <w:contextualSpacing w:val="0"/>
              <w:rPr>
                <w:rFonts w:asciiTheme="minorBidi" w:hAnsiTheme="minorBidi" w:cstheme="minorBidi"/>
                <w:iCs/>
                <w:sz w:val="22"/>
                <w:szCs w:val="22"/>
                <w:lang w:val="en-GB"/>
              </w:rPr>
            </w:pPr>
          </w:p>
        </w:tc>
      </w:tr>
    </w:tbl>
    <w:tbl>
      <w:tblPr>
        <w:tblStyle w:val="TableGrid2"/>
        <w:tblW w:w="14572" w:type="dxa"/>
        <w:tblLook w:val="04A0" w:firstRow="1" w:lastRow="0" w:firstColumn="1" w:lastColumn="0" w:noHBand="0" w:noVBand="1"/>
      </w:tblPr>
      <w:tblGrid>
        <w:gridCol w:w="3681"/>
        <w:gridCol w:w="10891"/>
      </w:tblGrid>
      <w:tr w:rsidR="0030560C" w:rsidRPr="00546D04" w14:paraId="3D08A93D" w14:textId="77777777" w:rsidTr="005275A4">
        <w:trPr>
          <w:cantSplit/>
        </w:trPr>
        <w:tc>
          <w:tcPr>
            <w:tcW w:w="1263" w:type="pct"/>
            <w:tcBorders>
              <w:top w:val="nil"/>
            </w:tcBorders>
            <w:shd w:val="clear" w:color="auto" w:fill="808080" w:themeFill="background1" w:themeFillShade="80"/>
            <w:vAlign w:val="center"/>
          </w:tcPr>
          <w:p w14:paraId="270A1C3E" w14:textId="77777777" w:rsidR="0030560C" w:rsidRPr="006B6390" w:rsidRDefault="0030560C" w:rsidP="00E26DD4">
            <w:pPr>
              <w:keepNext/>
              <w:keepLines/>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lastRenderedPageBreak/>
              <w:t>40C/5 Performance Indicator 5</w:t>
            </w:r>
          </w:p>
        </w:tc>
        <w:tc>
          <w:tcPr>
            <w:tcW w:w="3737" w:type="pct"/>
            <w:tcBorders>
              <w:top w:val="nil"/>
            </w:tcBorders>
            <w:shd w:val="clear" w:color="auto" w:fill="808080" w:themeFill="background1" w:themeFillShade="80"/>
            <w:vAlign w:val="center"/>
          </w:tcPr>
          <w:p w14:paraId="49EA4FEA" w14:textId="77777777" w:rsidR="0030560C" w:rsidRPr="006B6390" w:rsidRDefault="0030560C" w:rsidP="00E26DD4">
            <w:pPr>
              <w:keepNext/>
              <w:keepLines/>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Number of initiatives undertaken by supported Member States which have enhanced knowledge and understanding of intangible cultural heritage safeguarding and of the 2003 Convention</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89"/>
        <w:gridCol w:w="1961"/>
        <w:gridCol w:w="7139"/>
      </w:tblGrid>
      <w:tr w:rsidR="0030560C" w:rsidRPr="006B6390" w14:paraId="11772CC2" w14:textId="77777777" w:rsidTr="00E26DD4">
        <w:trPr>
          <w:tblHeader/>
        </w:trPr>
        <w:tc>
          <w:tcPr>
            <w:tcW w:w="1263" w:type="pct"/>
            <w:shd w:val="clear" w:color="auto" w:fill="D9D9D9" w:themeFill="background1" w:themeFillShade="D9"/>
            <w:vAlign w:val="center"/>
          </w:tcPr>
          <w:p w14:paraId="10514BD9" w14:textId="77777777" w:rsidR="0030560C" w:rsidRPr="006B6390" w:rsidRDefault="0030560C" w:rsidP="00E26DD4">
            <w:pPr>
              <w:keepNext/>
              <w:keepLines/>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Assessed according to the following:</w:t>
            </w:r>
          </w:p>
        </w:tc>
        <w:tc>
          <w:tcPr>
            <w:tcW w:w="614" w:type="pct"/>
            <w:shd w:val="clear" w:color="auto" w:fill="D9D9D9" w:themeFill="background1" w:themeFillShade="D9"/>
            <w:vAlign w:val="center"/>
          </w:tcPr>
          <w:p w14:paraId="19D790A3" w14:textId="77777777" w:rsidR="0030560C" w:rsidRPr="006B6390" w:rsidRDefault="0030560C" w:rsidP="00E26DD4">
            <w:pPr>
              <w:keepNext/>
              <w:keepLines/>
              <w:spacing w:before="60" w:after="60"/>
              <w:jc w:val="center"/>
              <w:rPr>
                <w:rFonts w:asciiTheme="minorBidi" w:eastAsia="Calibri" w:hAnsiTheme="minorBidi" w:cstheme="minorBidi"/>
                <w:b/>
                <w:sz w:val="22"/>
                <w:szCs w:val="22"/>
                <w:lang w:val="en-GB"/>
              </w:rPr>
            </w:pPr>
            <w:r w:rsidRPr="006B6390">
              <w:rPr>
                <w:rFonts w:asciiTheme="minorBidi" w:hAnsiTheme="minorBidi" w:cstheme="minorBidi"/>
                <w:b/>
                <w:bCs/>
                <w:sz w:val="22"/>
                <w:szCs w:val="22"/>
                <w:lang w:val="en-GB"/>
              </w:rPr>
              <w:t>Baselines</w:t>
            </w:r>
          </w:p>
        </w:tc>
        <w:tc>
          <w:tcPr>
            <w:tcW w:w="673" w:type="pct"/>
            <w:shd w:val="clear" w:color="auto" w:fill="D9D9D9" w:themeFill="background1" w:themeFillShade="D9"/>
            <w:vAlign w:val="center"/>
          </w:tcPr>
          <w:p w14:paraId="7DD477A8" w14:textId="77777777" w:rsidR="0030560C" w:rsidRPr="006B6390" w:rsidRDefault="0030560C" w:rsidP="00E26DD4">
            <w:pPr>
              <w:keepNext/>
              <w:keepLines/>
              <w:spacing w:before="60" w:after="60"/>
              <w:jc w:val="center"/>
              <w:rPr>
                <w:rFonts w:asciiTheme="minorBidi" w:eastAsia="Calibri" w:hAnsiTheme="minorBidi" w:cstheme="minorBidi"/>
                <w:b/>
                <w:sz w:val="22"/>
                <w:szCs w:val="22"/>
                <w:lang w:val="en-GB"/>
              </w:rPr>
            </w:pPr>
            <w:r w:rsidRPr="006B6390">
              <w:rPr>
                <w:rFonts w:asciiTheme="minorBidi" w:eastAsia="Calibri" w:hAnsiTheme="minorBidi" w:cstheme="minorBidi"/>
                <w:b/>
                <w:sz w:val="22"/>
                <w:szCs w:val="22"/>
                <w:lang w:val="en-GB"/>
              </w:rPr>
              <w:t>Targets 2020-2021</w:t>
            </w:r>
          </w:p>
        </w:tc>
        <w:tc>
          <w:tcPr>
            <w:tcW w:w="2450" w:type="pct"/>
            <w:shd w:val="clear" w:color="auto" w:fill="D9D9D9" w:themeFill="background1" w:themeFillShade="D9"/>
            <w:vAlign w:val="center"/>
          </w:tcPr>
          <w:p w14:paraId="5AFF5BF2" w14:textId="6F728D04" w:rsidR="0030560C" w:rsidRPr="006B6390" w:rsidRDefault="0030560C" w:rsidP="00E26DD4">
            <w:pPr>
              <w:keepNext/>
              <w:keepLines/>
              <w:autoSpaceDE w:val="0"/>
              <w:autoSpaceDN w:val="0"/>
              <w:adjustRightInd w:val="0"/>
              <w:jc w:val="center"/>
              <w:rPr>
                <w:rFonts w:asciiTheme="minorBidi" w:eastAsia="Calibri" w:hAnsiTheme="minorBidi" w:cstheme="minorBidi"/>
                <w:b/>
                <w:color w:val="000000"/>
                <w:sz w:val="22"/>
                <w:szCs w:val="22"/>
                <w:lang w:val="en-GB"/>
              </w:rPr>
            </w:pPr>
            <w:r w:rsidRPr="006B6390">
              <w:rPr>
                <w:rFonts w:asciiTheme="minorBidi" w:eastAsia="Calibri" w:hAnsiTheme="minorBidi" w:cstheme="minorBidi"/>
                <w:b/>
                <w:sz w:val="22"/>
                <w:szCs w:val="22"/>
                <w:lang w:val="en-GB"/>
              </w:rPr>
              <w:t>Assessment of progress:</w:t>
            </w:r>
            <w:r w:rsidRPr="006B6390">
              <w:rPr>
                <w:rFonts w:asciiTheme="minorBidi" w:eastAsia="Calibri" w:hAnsiTheme="minorBidi" w:cstheme="minorBidi"/>
                <w:b/>
                <w:sz w:val="22"/>
                <w:szCs w:val="22"/>
                <w:lang w:val="en-GB"/>
              </w:rPr>
              <w:br/>
              <w:t xml:space="preserve">01/01/2020 to 30/06/2021 </w:t>
            </w:r>
          </w:p>
        </w:tc>
      </w:tr>
      <w:tr w:rsidR="0030560C" w:rsidRPr="00546D04" w14:paraId="760D659C" w14:textId="77777777" w:rsidTr="00E26DD4">
        <w:tc>
          <w:tcPr>
            <w:tcW w:w="1263" w:type="pct"/>
          </w:tcPr>
          <w:p w14:paraId="23FCB9CA" w14:textId="77777777" w:rsidR="0030560C" w:rsidRPr="006B6390" w:rsidRDefault="0030560C" w:rsidP="00040539">
            <w:pPr>
              <w:pStyle w:val="ListParagraph"/>
              <w:keepLines/>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Evidence of programmes, projects or initiatives for the safeguarding of heritage reflecting the principles and objectives of the 2003 Convention with proven effectiveness to contribute to the viability of the intangible cultural heritage concerned</w:t>
            </w:r>
          </w:p>
          <w:p w14:paraId="31702D69" w14:textId="55EE0D36" w:rsidR="0030560C" w:rsidRPr="006B6390" w:rsidRDefault="0030560C" w:rsidP="00040539">
            <w:pPr>
              <w:pStyle w:val="ListParagraph"/>
              <w:keepNext/>
              <w:keepLines/>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Communication and/or awareness-raising initiatives developed in line with the Convention</w:t>
            </w:r>
            <w:r w:rsidR="009F0E83" w:rsidRPr="006B6390">
              <w:rPr>
                <w:rFonts w:asciiTheme="minorBidi" w:hAnsiTheme="minorBidi" w:cstheme="minorBidi"/>
                <w:sz w:val="22"/>
                <w:szCs w:val="22"/>
                <w:lang w:val="en-GB"/>
              </w:rPr>
              <w:t>’</w:t>
            </w:r>
            <w:r w:rsidRPr="006B6390">
              <w:rPr>
                <w:rFonts w:asciiTheme="minorBidi" w:hAnsiTheme="minorBidi" w:cstheme="minorBidi"/>
                <w:sz w:val="22"/>
                <w:szCs w:val="22"/>
                <w:lang w:val="en-GB"/>
              </w:rPr>
              <w:t>s communications and outreach strategy</w:t>
            </w:r>
          </w:p>
          <w:p w14:paraId="378AE35F" w14:textId="77777777" w:rsidR="0030560C" w:rsidRPr="006B6390" w:rsidRDefault="0030560C" w:rsidP="00040539">
            <w:pPr>
              <w:pStyle w:val="ListParagraph"/>
              <w:keepNext/>
              <w:keepLines/>
              <w:numPr>
                <w:ilvl w:val="0"/>
                <w:numId w:val="40"/>
              </w:numPr>
              <w:spacing w:before="120" w:after="120"/>
              <w:ind w:left="312" w:hanging="340"/>
              <w:contextualSpacing w:val="0"/>
              <w:jc w:val="both"/>
              <w:rPr>
                <w:rFonts w:asciiTheme="minorBidi" w:eastAsia="Calibri" w:hAnsiTheme="minorBidi" w:cstheme="minorBidi"/>
                <w:sz w:val="22"/>
                <w:szCs w:val="22"/>
                <w:lang w:val="en-GB"/>
              </w:rPr>
            </w:pPr>
            <w:r w:rsidRPr="006B6390">
              <w:rPr>
                <w:rFonts w:asciiTheme="minorBidi" w:hAnsiTheme="minorBidi" w:cstheme="minorBidi"/>
                <w:sz w:val="22"/>
                <w:szCs w:val="22"/>
                <w:lang w:val="en-GB"/>
              </w:rPr>
              <w:t>Level of engagement of all actors (governmental and non-governmental) concerned with the safeguarding of intangible cultural heritage in related initiatives</w:t>
            </w:r>
          </w:p>
        </w:tc>
        <w:tc>
          <w:tcPr>
            <w:tcW w:w="614" w:type="pct"/>
            <w:shd w:val="clear" w:color="auto" w:fill="auto"/>
          </w:tcPr>
          <w:p w14:paraId="66417F43" w14:textId="3305FF7D" w:rsidR="0030560C" w:rsidRPr="006B6390" w:rsidRDefault="0030560C" w:rsidP="0030560C">
            <w:pPr>
              <w:pStyle w:val="ListParagraph"/>
              <w:keepNext/>
              <w:keepLines/>
              <w:numPr>
                <w:ilvl w:val="0"/>
                <w:numId w:val="40"/>
              </w:numPr>
              <w:spacing w:before="120" w:after="120"/>
              <w:ind w:left="358" w:hanging="284"/>
              <w:contextualSpacing w:val="0"/>
              <w:rPr>
                <w:rFonts w:asciiTheme="minorBidi" w:eastAsia="Calibri" w:hAnsiTheme="minorBidi" w:cstheme="minorBidi"/>
                <w:sz w:val="22"/>
                <w:szCs w:val="22"/>
                <w:lang w:val="en-GB"/>
              </w:rPr>
            </w:pPr>
            <w:r w:rsidRPr="006B6390">
              <w:rPr>
                <w:rFonts w:asciiTheme="minorBidi" w:hAnsiTheme="minorBidi" w:cstheme="minorBidi"/>
                <w:iCs/>
                <w:sz w:val="22"/>
                <w:szCs w:val="22"/>
                <w:lang w:val="en-GB"/>
              </w:rPr>
              <w:t>15</w:t>
            </w:r>
            <w:r w:rsidR="009F0E83" w:rsidRPr="006B6390">
              <w:rPr>
                <w:rFonts w:asciiTheme="minorBidi" w:hAnsiTheme="minorBidi" w:cstheme="minorBidi"/>
                <w:iCs/>
                <w:sz w:val="22"/>
                <w:szCs w:val="22"/>
                <w:lang w:val="en-GB"/>
              </w:rPr>
              <w:t>,</w:t>
            </w:r>
            <w:r w:rsidRPr="006B6390">
              <w:rPr>
                <w:rFonts w:asciiTheme="minorBidi" w:hAnsiTheme="minorBidi" w:cstheme="minorBidi"/>
                <w:iCs/>
                <w:sz w:val="22"/>
                <w:szCs w:val="22"/>
                <w:lang w:val="en-GB"/>
              </w:rPr>
              <w:t xml:space="preserve"> of which 5</w:t>
            </w:r>
            <w:r w:rsidR="009F0E83" w:rsidRPr="006B6390">
              <w:rPr>
                <w:rFonts w:asciiTheme="minorBidi" w:hAnsiTheme="minorBidi" w:cstheme="minorBidi"/>
                <w:iCs/>
                <w:sz w:val="22"/>
                <w:szCs w:val="22"/>
                <w:lang w:val="en-GB"/>
              </w:rPr>
              <w:t xml:space="preserve"> in</w:t>
            </w:r>
            <w:r w:rsidRPr="006B6390">
              <w:rPr>
                <w:rFonts w:asciiTheme="minorBidi" w:hAnsiTheme="minorBidi" w:cstheme="minorBidi"/>
                <w:iCs/>
                <w:sz w:val="22"/>
                <w:szCs w:val="22"/>
                <w:lang w:val="en-GB"/>
              </w:rPr>
              <w:t xml:space="preserve"> Africa and 1 SIDS</w:t>
            </w:r>
          </w:p>
        </w:tc>
        <w:tc>
          <w:tcPr>
            <w:tcW w:w="673" w:type="pct"/>
            <w:shd w:val="clear" w:color="auto" w:fill="auto"/>
          </w:tcPr>
          <w:p w14:paraId="79BC1FAD" w14:textId="08273076" w:rsidR="0030560C" w:rsidRPr="006B6390" w:rsidRDefault="0030560C" w:rsidP="0030560C">
            <w:pPr>
              <w:pStyle w:val="ListParagraph"/>
              <w:keepNext/>
              <w:keepLines/>
              <w:numPr>
                <w:ilvl w:val="0"/>
                <w:numId w:val="40"/>
              </w:numPr>
              <w:spacing w:before="120" w:after="120"/>
              <w:ind w:left="358" w:hanging="284"/>
              <w:contextualSpacing w:val="0"/>
              <w:rPr>
                <w:rFonts w:asciiTheme="minorBidi" w:hAnsiTheme="minorBidi" w:cstheme="minorBidi"/>
                <w:iCs/>
                <w:sz w:val="22"/>
                <w:szCs w:val="22"/>
                <w:lang w:val="en-GB"/>
              </w:rPr>
            </w:pPr>
            <w:r w:rsidRPr="006B6390">
              <w:rPr>
                <w:rFonts w:asciiTheme="minorBidi" w:hAnsiTheme="minorBidi" w:cstheme="minorBidi"/>
                <w:iCs/>
                <w:sz w:val="22"/>
                <w:szCs w:val="22"/>
                <w:lang w:val="en-GB"/>
              </w:rPr>
              <w:t>20</w:t>
            </w:r>
            <w:r w:rsidR="009F0E83" w:rsidRPr="006B6390">
              <w:rPr>
                <w:rFonts w:asciiTheme="minorBidi" w:hAnsiTheme="minorBidi" w:cstheme="minorBidi"/>
                <w:iCs/>
                <w:sz w:val="22"/>
                <w:szCs w:val="22"/>
                <w:lang w:val="en-GB"/>
              </w:rPr>
              <w:t>,</w:t>
            </w:r>
            <w:r w:rsidRPr="006B6390">
              <w:rPr>
                <w:rFonts w:asciiTheme="minorBidi" w:hAnsiTheme="minorBidi" w:cstheme="minorBidi"/>
                <w:iCs/>
                <w:sz w:val="22"/>
                <w:szCs w:val="22"/>
                <w:lang w:val="en-GB"/>
              </w:rPr>
              <w:t xml:space="preserve"> of which 5 in Africa and 5 SIDS</w:t>
            </w:r>
          </w:p>
        </w:tc>
        <w:tc>
          <w:tcPr>
            <w:tcW w:w="2450" w:type="pct"/>
          </w:tcPr>
          <w:p w14:paraId="41183718" w14:textId="3D778FD9"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 xml:space="preserve">30 initiatives undertaken by supported Member States, of which </w:t>
            </w:r>
            <w:r w:rsidR="000A6F25" w:rsidRPr="006B6390">
              <w:rPr>
                <w:rFonts w:asciiTheme="minorBidi" w:hAnsiTheme="minorBidi" w:cstheme="minorBidi"/>
                <w:iCs/>
                <w:sz w:val="22"/>
                <w:szCs w:val="22"/>
                <w:lang w:val="en-GB"/>
              </w:rPr>
              <w:t>8 </w:t>
            </w:r>
            <w:r w:rsidRPr="006B6390">
              <w:rPr>
                <w:rFonts w:asciiTheme="minorBidi" w:hAnsiTheme="minorBidi" w:cstheme="minorBidi"/>
                <w:iCs/>
                <w:sz w:val="22"/>
                <w:szCs w:val="22"/>
                <w:lang w:val="en-GB"/>
              </w:rPr>
              <w:t xml:space="preserve">in Africa and </w:t>
            </w:r>
            <w:r w:rsidR="000A6F25" w:rsidRPr="006B6390">
              <w:rPr>
                <w:rFonts w:asciiTheme="minorBidi" w:hAnsiTheme="minorBidi" w:cstheme="minorBidi"/>
                <w:iCs/>
                <w:sz w:val="22"/>
                <w:szCs w:val="22"/>
                <w:lang w:val="en-GB"/>
              </w:rPr>
              <w:t xml:space="preserve">8 </w:t>
            </w:r>
            <w:r w:rsidRPr="006B6390">
              <w:rPr>
                <w:rFonts w:asciiTheme="minorBidi" w:hAnsiTheme="minorBidi" w:cstheme="minorBidi"/>
                <w:iCs/>
                <w:sz w:val="22"/>
                <w:szCs w:val="22"/>
                <w:lang w:val="en-GB"/>
              </w:rPr>
              <w:t>SIDS.</w:t>
            </w:r>
          </w:p>
          <w:p w14:paraId="59066850" w14:textId="627ACE5F"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Communication initiatives launched in the context of the UNESCO response to the COVID-19 pandemic, including an online platform and survey on ‘Living heritage experiences in the context of the COVID-19 pandemic’</w:t>
            </w:r>
            <w:r w:rsidR="009F0E83" w:rsidRPr="006B6390">
              <w:rPr>
                <w:rFonts w:asciiTheme="minorBidi" w:hAnsiTheme="minorBidi" w:cstheme="minorBidi"/>
                <w:iCs/>
                <w:sz w:val="22"/>
                <w:szCs w:val="22"/>
                <w:lang w:val="en-GB"/>
              </w:rPr>
              <w:t>,</w:t>
            </w:r>
            <w:r w:rsidRPr="006B6390">
              <w:rPr>
                <w:rFonts w:asciiTheme="minorBidi" w:hAnsiTheme="minorBidi" w:cstheme="minorBidi"/>
                <w:iCs/>
                <w:sz w:val="22"/>
                <w:szCs w:val="22"/>
                <w:lang w:val="en-GB"/>
              </w:rPr>
              <w:t xml:space="preserve"> with more than 2</w:t>
            </w:r>
            <w:r w:rsidR="00841E86" w:rsidRPr="006B6390">
              <w:rPr>
                <w:rFonts w:asciiTheme="minorBidi" w:hAnsiTheme="minorBidi" w:cstheme="minorBidi"/>
                <w:iCs/>
                <w:sz w:val="22"/>
                <w:szCs w:val="22"/>
                <w:lang w:val="en-GB"/>
              </w:rPr>
              <w:t>30</w:t>
            </w:r>
            <w:r w:rsidRPr="006B6390">
              <w:rPr>
                <w:rFonts w:asciiTheme="minorBidi" w:hAnsiTheme="minorBidi" w:cstheme="minorBidi"/>
                <w:iCs/>
                <w:sz w:val="22"/>
                <w:szCs w:val="22"/>
                <w:lang w:val="en-GB"/>
              </w:rPr>
              <w:t xml:space="preserve"> </w:t>
            </w:r>
            <w:r w:rsidR="00841E86" w:rsidRPr="006B6390">
              <w:rPr>
                <w:rFonts w:asciiTheme="minorBidi" w:hAnsiTheme="minorBidi" w:cstheme="minorBidi"/>
                <w:iCs/>
                <w:sz w:val="22"/>
                <w:szCs w:val="22"/>
                <w:lang w:val="en-GB"/>
              </w:rPr>
              <w:t>testimonies</w:t>
            </w:r>
            <w:r w:rsidRPr="006B6390">
              <w:rPr>
                <w:rFonts w:asciiTheme="minorBidi" w:hAnsiTheme="minorBidi" w:cstheme="minorBidi"/>
                <w:iCs/>
                <w:sz w:val="22"/>
                <w:szCs w:val="22"/>
                <w:lang w:val="en-GB"/>
              </w:rPr>
              <w:t xml:space="preserve"> from practitioners and communities accessible. </w:t>
            </w:r>
          </w:p>
          <w:p w14:paraId="65DCA1AC" w14:textId="3E2CE50C" w:rsidR="0030560C" w:rsidRPr="006B6390" w:rsidRDefault="0030560C" w:rsidP="00986D3E">
            <w:pPr>
              <w:pStyle w:val="ListParagraph"/>
              <w:numPr>
                <w:ilvl w:val="0"/>
                <w:numId w:val="40"/>
              </w:numPr>
              <w:spacing w:before="120" w:after="120"/>
              <w:ind w:left="425" w:hanging="425"/>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 xml:space="preserve">One thematic exhibition – a reproduction of a sound exhibition of Indigenous Languages – </w:t>
            </w:r>
            <w:r w:rsidR="000A6F25" w:rsidRPr="006B6390">
              <w:rPr>
                <w:rFonts w:asciiTheme="minorBidi" w:hAnsiTheme="minorBidi" w:cstheme="minorBidi"/>
                <w:iCs/>
                <w:sz w:val="22"/>
                <w:szCs w:val="22"/>
                <w:lang w:val="en-GB"/>
              </w:rPr>
              <w:t xml:space="preserve">reconfigured and </w:t>
            </w:r>
            <w:r w:rsidRPr="006B6390">
              <w:rPr>
                <w:rFonts w:asciiTheme="minorBidi" w:hAnsiTheme="minorBidi" w:cstheme="minorBidi"/>
                <w:iCs/>
                <w:sz w:val="22"/>
                <w:szCs w:val="22"/>
                <w:lang w:val="en-GB"/>
              </w:rPr>
              <w:t xml:space="preserve">installed at UNESCO Headquarters. </w:t>
            </w:r>
          </w:p>
          <w:p w14:paraId="3FB4AB66" w14:textId="347AEB54" w:rsidR="000A6F25" w:rsidRPr="006B6390" w:rsidRDefault="009F0E83" w:rsidP="00986D3E">
            <w:pPr>
              <w:pStyle w:val="ListParagraph"/>
              <w:numPr>
                <w:ilvl w:val="0"/>
                <w:numId w:val="40"/>
              </w:numPr>
              <w:spacing w:before="120" w:after="120"/>
              <w:ind w:left="425" w:hanging="425"/>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w:t>
            </w:r>
            <w:r w:rsidR="000A6F25" w:rsidRPr="006B6390">
              <w:rPr>
                <w:rFonts w:asciiTheme="minorBidi" w:hAnsiTheme="minorBidi" w:cstheme="minorBidi"/>
                <w:iCs/>
                <w:sz w:val="22"/>
                <w:szCs w:val="22"/>
                <w:lang w:val="en-GB"/>
              </w:rPr>
              <w:t>Dive into Intangible Cultural Heritage</w:t>
            </w:r>
            <w:r w:rsidRPr="006B6390">
              <w:rPr>
                <w:rFonts w:asciiTheme="minorBidi" w:hAnsiTheme="minorBidi" w:cstheme="minorBidi"/>
                <w:iCs/>
                <w:sz w:val="22"/>
                <w:szCs w:val="22"/>
                <w:lang w:val="en-GB"/>
              </w:rPr>
              <w:t>’</w:t>
            </w:r>
            <w:r w:rsidR="000A6F25" w:rsidRPr="006B6390">
              <w:rPr>
                <w:rFonts w:asciiTheme="minorBidi" w:hAnsiTheme="minorBidi" w:cstheme="minorBidi"/>
                <w:iCs/>
                <w:sz w:val="22"/>
                <w:szCs w:val="22"/>
                <w:lang w:val="en-GB"/>
              </w:rPr>
              <w:t>: update of existing visualizations (addressing cultural diversity, environment and threats) with 2020 inscriptions; release in December 2020 of a new set of visualizations dedicated to the relationships between Living Heritage and Sustainable Development (interface displayed on 21 May 2021 during the High-</w:t>
            </w:r>
            <w:r w:rsidRPr="006B6390">
              <w:rPr>
                <w:rFonts w:asciiTheme="minorBidi" w:hAnsiTheme="minorBidi" w:cstheme="minorBidi"/>
                <w:iCs/>
                <w:sz w:val="22"/>
                <w:szCs w:val="22"/>
                <w:lang w:val="en-GB"/>
              </w:rPr>
              <w:t>L</w:t>
            </w:r>
            <w:r w:rsidR="000A6F25" w:rsidRPr="006B6390">
              <w:rPr>
                <w:rFonts w:asciiTheme="minorBidi" w:hAnsiTheme="minorBidi" w:cstheme="minorBidi"/>
                <w:iCs/>
                <w:sz w:val="22"/>
                <w:szCs w:val="22"/>
                <w:lang w:val="en-GB"/>
              </w:rPr>
              <w:t xml:space="preserve">evel event on Culture and Sustainable Development convened in New York by the President of the United Nations General Assembly). </w:t>
            </w:r>
          </w:p>
          <w:p w14:paraId="0125DD6E" w14:textId="482F6A4F" w:rsidR="000A6F25" w:rsidRPr="006B6390" w:rsidRDefault="000A6F25" w:rsidP="00986D3E">
            <w:pPr>
              <w:pStyle w:val="ListParagraph"/>
              <w:numPr>
                <w:ilvl w:val="0"/>
                <w:numId w:val="40"/>
              </w:numPr>
              <w:spacing w:before="120" w:after="120"/>
              <w:ind w:left="425" w:hanging="425"/>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More frequent, diversified and engaging content published on the portal of the Convention (thematic pages, news on international days).</w:t>
            </w:r>
          </w:p>
          <w:p w14:paraId="32E42933" w14:textId="5B5093E7" w:rsidR="0030560C" w:rsidRPr="006B6390" w:rsidRDefault="0030560C" w:rsidP="00986D3E">
            <w:pPr>
              <w:pStyle w:val="ListParagraph"/>
              <w:numPr>
                <w:ilvl w:val="0"/>
                <w:numId w:val="40"/>
              </w:numPr>
              <w:spacing w:after="120"/>
              <w:ind w:left="425" w:hanging="425"/>
              <w:contextualSpacing w:val="0"/>
              <w:jc w:val="both"/>
              <w:rPr>
                <w:rFonts w:asciiTheme="minorBidi" w:hAnsiTheme="minorBidi" w:cstheme="minorBidi"/>
                <w:iCs/>
                <w:sz w:val="22"/>
                <w:szCs w:val="22"/>
                <w:lang w:val="en-GB"/>
              </w:rPr>
            </w:pPr>
            <w:r w:rsidRPr="006B6390">
              <w:rPr>
                <w:rFonts w:asciiTheme="minorBidi" w:hAnsiTheme="minorBidi" w:cstheme="minorBidi"/>
                <w:iCs/>
                <w:sz w:val="22"/>
                <w:szCs w:val="22"/>
                <w:lang w:val="en-GB"/>
              </w:rPr>
              <w:t>Ongoing mapping of the domains of competencies of accredited non-governmental organizations in cooperation with the ICH NGO Forum.</w:t>
            </w:r>
          </w:p>
        </w:tc>
      </w:tr>
    </w:tbl>
    <w:p w14:paraId="60680271" w14:textId="77777777" w:rsidR="00160605" w:rsidRPr="006B6390" w:rsidRDefault="00160605" w:rsidP="0030560C">
      <w:pPr>
        <w:rPr>
          <w:rFonts w:asciiTheme="minorBidi" w:hAnsiTheme="minorBidi" w:cstheme="minorBidi"/>
          <w:sz w:val="22"/>
          <w:szCs w:val="22"/>
          <w:lang w:val="en-GB"/>
        </w:rPr>
        <w:sectPr w:rsidR="00160605" w:rsidRPr="006B6390" w:rsidSect="00E26DD4">
          <w:headerReference w:type="first" r:id="rId35"/>
          <w:footnotePr>
            <w:pos w:val="beneathText"/>
            <w:numRestart w:val="eachSect"/>
          </w:footnotePr>
          <w:pgSz w:w="16838" w:h="11906" w:orient="landscape" w:code="9"/>
          <w:pgMar w:top="1138" w:right="1411" w:bottom="1138" w:left="1138" w:header="403" w:footer="288" w:gutter="0"/>
          <w:cols w:space="708"/>
          <w:titlePg/>
          <w:docGrid w:linePitch="360"/>
        </w:sectPr>
      </w:pPr>
    </w:p>
    <w:p w14:paraId="7B001AF0" w14:textId="62F69366" w:rsidR="0030560C" w:rsidRPr="006B6390" w:rsidRDefault="00160605" w:rsidP="00EA045A">
      <w:pPr>
        <w:pStyle w:val="COMParaDecision"/>
        <w:numPr>
          <w:ilvl w:val="0"/>
          <w:numId w:val="0"/>
        </w:numPr>
        <w:jc w:val="center"/>
        <w:rPr>
          <w:rFonts w:asciiTheme="minorBidi" w:hAnsiTheme="minorBidi" w:cstheme="minorBidi"/>
          <w:b/>
          <w:bCs/>
        </w:rPr>
      </w:pPr>
      <w:r w:rsidRPr="006B6390">
        <w:rPr>
          <w:rFonts w:asciiTheme="minorBidi" w:hAnsiTheme="minorBidi" w:cstheme="minorBidi"/>
          <w:b/>
        </w:rPr>
        <w:lastRenderedPageBreak/>
        <w:t>Annex</w:t>
      </w:r>
      <w:r w:rsidRPr="006B6390">
        <w:rPr>
          <w:rFonts w:asciiTheme="minorBidi" w:hAnsiTheme="minorBidi" w:cstheme="minorBidi"/>
          <w:b/>
          <w:bCs/>
        </w:rPr>
        <w:t xml:space="preserve"> II</w:t>
      </w:r>
    </w:p>
    <w:p w14:paraId="1E3C289A" w14:textId="77777777" w:rsidR="001D2D9E" w:rsidRPr="006B6390" w:rsidRDefault="001D2D9E" w:rsidP="001D2D9E">
      <w:pPr>
        <w:jc w:val="center"/>
        <w:rPr>
          <w:rFonts w:asciiTheme="minorBidi" w:hAnsiTheme="minorBidi" w:cstheme="minorBidi"/>
          <w:b/>
          <w:bCs/>
          <w:sz w:val="22"/>
          <w:szCs w:val="22"/>
          <w:lang w:val="en-GB"/>
        </w:rPr>
      </w:pPr>
      <w:r w:rsidRPr="006B6390">
        <w:rPr>
          <w:rFonts w:asciiTheme="minorBidi" w:hAnsiTheme="minorBidi" w:cstheme="minorBidi"/>
          <w:b/>
          <w:bCs/>
          <w:sz w:val="22"/>
          <w:szCs w:val="22"/>
          <w:lang w:val="en-GB"/>
        </w:rPr>
        <w:t>Report on ‘Living Heritage in the face of COVID-19’ (May 2021)</w:t>
      </w:r>
    </w:p>
    <w:p w14:paraId="04EE5F4F" w14:textId="77777777" w:rsidR="001D2D9E" w:rsidRPr="006B6390" w:rsidRDefault="001D2D9E" w:rsidP="001D2D9E">
      <w:pPr>
        <w:jc w:val="center"/>
        <w:rPr>
          <w:rFonts w:asciiTheme="minorBidi" w:hAnsiTheme="minorBidi" w:cstheme="minorBidi"/>
          <w:b/>
          <w:bCs/>
          <w:sz w:val="22"/>
          <w:szCs w:val="22"/>
          <w:u w:val="single"/>
          <w:lang w:val="en-GB"/>
        </w:rPr>
      </w:pPr>
    </w:p>
    <w:p w14:paraId="47CB187D" w14:textId="07EBAA8B" w:rsidR="001D2D9E" w:rsidRPr="006B6390" w:rsidRDefault="001D2D9E" w:rsidP="001D2D9E">
      <w:pPr>
        <w:shd w:val="clear" w:color="auto" w:fill="FFFFFF"/>
        <w:spacing w:after="480"/>
        <w:jc w:val="center"/>
        <w:rPr>
          <w:lang w:val="en-GB"/>
        </w:rPr>
      </w:pPr>
      <w:r w:rsidRPr="006B6390">
        <w:rPr>
          <w:rStyle w:val="Strong"/>
          <w:rFonts w:ascii="Arial" w:hAnsi="Arial" w:cs="Arial"/>
          <w:b w:val="0"/>
          <w:bCs w:val="0"/>
          <w:color w:val="000000"/>
          <w:sz w:val="20"/>
          <w:szCs w:val="20"/>
          <w:shd w:val="clear" w:color="auto" w:fill="DADADA"/>
          <w:lang w:val="en-GB"/>
        </w:rPr>
        <w:t>Download</w:t>
      </w:r>
      <w:r w:rsidRPr="006B6390">
        <w:rPr>
          <w:rFonts w:ascii="Arial" w:hAnsi="Arial" w:cs="Arial"/>
          <w:color w:val="000000"/>
          <w:sz w:val="20"/>
          <w:szCs w:val="20"/>
          <w:shd w:val="clear" w:color="auto" w:fill="DADADA"/>
          <w:lang w:val="en-GB"/>
        </w:rPr>
        <w:t> : </w:t>
      </w:r>
      <w:proofErr w:type="spellStart"/>
      <w:r w:rsidR="00F3296A">
        <w:fldChar w:fldCharType="begin"/>
      </w:r>
      <w:r w:rsidR="00F3296A">
        <w:instrText xml:space="preserve"> HYPERLINK "https://ich.unesco.org/doc/src/Living_Heritage_in_the_face_of_COVID-19_-_High_Resolution.pdf" \t "_blank" </w:instrText>
      </w:r>
      <w:r w:rsidR="00F3296A">
        <w:fldChar w:fldCharType="separate"/>
      </w:r>
      <w:r w:rsidRPr="006B6390">
        <w:rPr>
          <w:rStyle w:val="Hyperlink"/>
          <w:rFonts w:ascii="Arial" w:hAnsi="Arial" w:cs="Arial"/>
          <w:color w:val="0872CB"/>
          <w:sz w:val="20"/>
          <w:szCs w:val="20"/>
          <w:shd w:val="clear" w:color="auto" w:fill="DADADA"/>
          <w:lang w:val="en-GB"/>
        </w:rPr>
        <w:t>English</w:t>
      </w:r>
      <w:r w:rsidR="00F3296A">
        <w:rPr>
          <w:rStyle w:val="Hyperlink"/>
          <w:rFonts w:ascii="Arial" w:hAnsi="Arial" w:cs="Arial"/>
          <w:color w:val="0872CB"/>
          <w:sz w:val="20"/>
          <w:szCs w:val="20"/>
          <w:shd w:val="clear" w:color="auto" w:fill="DADADA"/>
          <w:lang w:val="en-GB"/>
        </w:rPr>
        <w:fldChar w:fldCharType="end"/>
      </w:r>
      <w:r w:rsidRPr="006B6390">
        <w:rPr>
          <w:rFonts w:ascii="Arial" w:hAnsi="Arial" w:cs="Arial"/>
          <w:color w:val="000000"/>
          <w:sz w:val="20"/>
          <w:szCs w:val="20"/>
          <w:shd w:val="clear" w:color="auto" w:fill="DADADA"/>
          <w:lang w:val="en-GB"/>
        </w:rPr>
        <w:t>|</w:t>
      </w:r>
      <w:hyperlink r:id="rId36" w:tgtFrame="_blank" w:history="1">
        <w:r w:rsidRPr="006B6390">
          <w:rPr>
            <w:rStyle w:val="Hyperlink"/>
            <w:rFonts w:ascii="Arial" w:hAnsi="Arial" w:cs="Arial"/>
            <w:color w:val="0872CB"/>
            <w:sz w:val="20"/>
            <w:szCs w:val="20"/>
            <w:shd w:val="clear" w:color="auto" w:fill="DADADA"/>
            <w:lang w:val="en-GB"/>
          </w:rPr>
          <w:t>French</w:t>
        </w:r>
        <w:proofErr w:type="spellEnd"/>
      </w:hyperlink>
    </w:p>
    <w:p w14:paraId="76FA38F6" w14:textId="17E188D3" w:rsidR="001D2D9E" w:rsidRPr="006B6390" w:rsidRDefault="001D2D9E" w:rsidP="001D2D9E">
      <w:pPr>
        <w:shd w:val="clear" w:color="auto" w:fill="FFFFFF"/>
        <w:spacing w:after="480"/>
        <w:jc w:val="center"/>
        <w:rPr>
          <w:lang w:val="en-GB"/>
        </w:rPr>
      </w:pPr>
      <w:r w:rsidRPr="006B6390">
        <w:rPr>
          <w:noProof/>
          <w:lang w:val="en-GB"/>
        </w:rPr>
        <w:drawing>
          <wp:inline distT="0" distB="0" distL="0" distR="0" wp14:anchorId="7789A0F9" wp14:editId="3E76BAE4">
            <wp:extent cx="5656756" cy="7959256"/>
            <wp:effectExtent l="19050" t="19050" r="20320" b="2286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91894" cy="8290104"/>
                    </a:xfrm>
                    <a:prstGeom prst="rect">
                      <a:avLst/>
                    </a:prstGeom>
                    <a:ln>
                      <a:solidFill>
                        <a:schemeClr val="tx1"/>
                      </a:solidFill>
                    </a:ln>
                  </pic:spPr>
                </pic:pic>
              </a:graphicData>
            </a:graphic>
          </wp:inline>
        </w:drawing>
      </w:r>
    </w:p>
    <w:p w14:paraId="468CF2F5" w14:textId="4EA6FFD2" w:rsidR="001D2D9E" w:rsidRPr="006B6390" w:rsidRDefault="002076E8" w:rsidP="00EA045A">
      <w:pPr>
        <w:shd w:val="clear" w:color="auto" w:fill="FFFFFF"/>
        <w:spacing w:after="480"/>
        <w:jc w:val="center"/>
        <w:rPr>
          <w:rFonts w:asciiTheme="minorBidi" w:hAnsiTheme="minorBidi" w:cstheme="minorBidi"/>
          <w:b/>
          <w:bCs/>
          <w:sz w:val="22"/>
          <w:szCs w:val="22"/>
          <w:u w:val="single"/>
          <w:lang w:val="en-GB"/>
        </w:rPr>
      </w:pPr>
      <w:r w:rsidRPr="006B6390">
        <w:rPr>
          <w:noProof/>
          <w:lang w:val="en-GB"/>
        </w:rPr>
        <w:lastRenderedPageBreak/>
        <w:drawing>
          <wp:inline distT="0" distB="0" distL="0" distR="0" wp14:anchorId="233F845C" wp14:editId="28330813">
            <wp:extent cx="6115050" cy="864616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15050" cy="8646160"/>
                    </a:xfrm>
                    <a:prstGeom prst="rect">
                      <a:avLst/>
                    </a:prstGeom>
                    <a:noFill/>
                    <a:ln>
                      <a:noFill/>
                    </a:ln>
                  </pic:spPr>
                </pic:pic>
              </a:graphicData>
            </a:graphic>
          </wp:inline>
        </w:drawing>
      </w:r>
    </w:p>
    <w:p w14:paraId="4753C0C8" w14:textId="614A9BAB" w:rsidR="000D7BD9" w:rsidRPr="006B6390" w:rsidRDefault="001D2D9E">
      <w:pPr>
        <w:rPr>
          <w:rFonts w:asciiTheme="minorBidi" w:hAnsiTheme="minorBidi" w:cstheme="minorBidi"/>
          <w:b/>
          <w:bCs/>
          <w:sz w:val="22"/>
          <w:szCs w:val="22"/>
          <w:u w:val="single"/>
          <w:lang w:val="en-GB"/>
        </w:rPr>
      </w:pPr>
      <w:r w:rsidRPr="006B6390">
        <w:rPr>
          <w:rFonts w:asciiTheme="minorBidi" w:hAnsiTheme="minorBidi" w:cstheme="minorBidi"/>
          <w:b/>
          <w:bCs/>
          <w:sz w:val="22"/>
          <w:szCs w:val="22"/>
          <w:u w:val="single"/>
          <w:lang w:val="en-GB"/>
        </w:rPr>
        <w:br w:type="page"/>
      </w:r>
      <w:r w:rsidR="000D7BD9" w:rsidRPr="006B6390">
        <w:rPr>
          <w:noProof/>
          <w:lang w:val="en-GB"/>
        </w:rPr>
        <w:lastRenderedPageBreak/>
        <w:drawing>
          <wp:inline distT="0" distB="0" distL="0" distR="0" wp14:anchorId="2F01E8C8" wp14:editId="0CCD446C">
            <wp:extent cx="6115050" cy="86518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15050" cy="8651875"/>
                    </a:xfrm>
                    <a:prstGeom prst="rect">
                      <a:avLst/>
                    </a:prstGeom>
                    <a:noFill/>
                    <a:ln>
                      <a:noFill/>
                    </a:ln>
                  </pic:spPr>
                </pic:pic>
              </a:graphicData>
            </a:graphic>
          </wp:inline>
        </w:drawing>
      </w:r>
    </w:p>
    <w:p w14:paraId="0642C751" w14:textId="77777777" w:rsidR="000D7BD9" w:rsidRPr="006B6390" w:rsidRDefault="000D7BD9">
      <w:pPr>
        <w:rPr>
          <w:rFonts w:asciiTheme="minorBidi" w:hAnsiTheme="minorBidi" w:cstheme="minorBidi"/>
          <w:b/>
          <w:bCs/>
          <w:sz w:val="22"/>
          <w:szCs w:val="22"/>
          <w:u w:val="single"/>
          <w:lang w:val="en-GB"/>
        </w:rPr>
      </w:pPr>
      <w:r w:rsidRPr="006B6390">
        <w:rPr>
          <w:rFonts w:asciiTheme="minorBidi" w:hAnsiTheme="minorBidi" w:cstheme="minorBidi"/>
          <w:b/>
          <w:bCs/>
          <w:sz w:val="22"/>
          <w:szCs w:val="22"/>
          <w:u w:val="single"/>
          <w:lang w:val="en-GB"/>
        </w:rPr>
        <w:br w:type="page"/>
      </w:r>
    </w:p>
    <w:p w14:paraId="1403651C" w14:textId="063C46D0" w:rsidR="000D7BD9" w:rsidRPr="006B6390" w:rsidRDefault="000D7BD9">
      <w:pPr>
        <w:rPr>
          <w:rFonts w:asciiTheme="minorBidi" w:hAnsiTheme="minorBidi" w:cstheme="minorBidi"/>
          <w:b/>
          <w:bCs/>
          <w:sz w:val="22"/>
          <w:szCs w:val="22"/>
          <w:u w:val="single"/>
          <w:lang w:val="en-GB"/>
        </w:rPr>
      </w:pPr>
      <w:r w:rsidRPr="006B6390">
        <w:rPr>
          <w:noProof/>
          <w:lang w:val="en-GB"/>
        </w:rPr>
        <w:lastRenderedPageBreak/>
        <w:drawing>
          <wp:inline distT="0" distB="0" distL="0" distR="0" wp14:anchorId="6715B746" wp14:editId="4EA50056">
            <wp:extent cx="6115050" cy="865187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15050" cy="8651875"/>
                    </a:xfrm>
                    <a:prstGeom prst="rect">
                      <a:avLst/>
                    </a:prstGeom>
                    <a:noFill/>
                    <a:ln>
                      <a:noFill/>
                    </a:ln>
                  </pic:spPr>
                </pic:pic>
              </a:graphicData>
            </a:graphic>
          </wp:inline>
        </w:drawing>
      </w:r>
    </w:p>
    <w:p w14:paraId="51753B21" w14:textId="77777777" w:rsidR="000D7BD9" w:rsidRPr="006B6390" w:rsidRDefault="000D7BD9">
      <w:pPr>
        <w:rPr>
          <w:rFonts w:asciiTheme="minorBidi" w:hAnsiTheme="minorBidi" w:cstheme="minorBidi"/>
          <w:b/>
          <w:bCs/>
          <w:sz w:val="22"/>
          <w:szCs w:val="22"/>
          <w:u w:val="single"/>
          <w:lang w:val="en-GB"/>
        </w:rPr>
      </w:pPr>
      <w:r w:rsidRPr="006B6390">
        <w:rPr>
          <w:rFonts w:asciiTheme="minorBidi" w:hAnsiTheme="minorBidi" w:cstheme="minorBidi"/>
          <w:b/>
          <w:bCs/>
          <w:sz w:val="22"/>
          <w:szCs w:val="22"/>
          <w:u w:val="single"/>
          <w:lang w:val="en-GB"/>
        </w:rPr>
        <w:br w:type="page"/>
      </w:r>
    </w:p>
    <w:p w14:paraId="582107FD" w14:textId="77777777" w:rsidR="001D2D9E" w:rsidRPr="006B6390" w:rsidRDefault="001D2D9E">
      <w:pPr>
        <w:rPr>
          <w:rFonts w:asciiTheme="minorBidi" w:hAnsiTheme="minorBidi" w:cstheme="minorBidi"/>
          <w:b/>
          <w:bCs/>
          <w:sz w:val="22"/>
          <w:szCs w:val="22"/>
          <w:u w:val="single"/>
          <w:lang w:val="en-GB"/>
        </w:rPr>
      </w:pPr>
    </w:p>
    <w:p w14:paraId="5B2E2E49" w14:textId="40D9D29E" w:rsidR="001D2D9E" w:rsidRPr="006B6390" w:rsidRDefault="000D7BD9" w:rsidP="00EA045A">
      <w:pPr>
        <w:jc w:val="center"/>
        <w:rPr>
          <w:rFonts w:asciiTheme="minorBidi" w:hAnsiTheme="minorBidi" w:cstheme="minorBidi"/>
          <w:b/>
          <w:bCs/>
          <w:sz w:val="22"/>
          <w:szCs w:val="22"/>
          <w:u w:val="single"/>
          <w:lang w:val="en-GB"/>
        </w:rPr>
      </w:pPr>
      <w:r w:rsidRPr="006B6390">
        <w:rPr>
          <w:noProof/>
          <w:lang w:val="en-GB"/>
        </w:rPr>
        <w:drawing>
          <wp:inline distT="0" distB="0" distL="0" distR="0" wp14:anchorId="46B3249B" wp14:editId="38E89B9F">
            <wp:extent cx="6115050" cy="86518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15050" cy="8651875"/>
                    </a:xfrm>
                    <a:prstGeom prst="rect">
                      <a:avLst/>
                    </a:prstGeom>
                    <a:noFill/>
                    <a:ln>
                      <a:noFill/>
                    </a:ln>
                  </pic:spPr>
                </pic:pic>
              </a:graphicData>
            </a:graphic>
          </wp:inline>
        </w:drawing>
      </w:r>
    </w:p>
    <w:p w14:paraId="07FE7A96" w14:textId="1E936BDE" w:rsidR="00160605" w:rsidRPr="006B6390" w:rsidRDefault="00160605" w:rsidP="00EA045A">
      <w:pPr>
        <w:jc w:val="center"/>
        <w:rPr>
          <w:rFonts w:asciiTheme="minorBidi" w:hAnsiTheme="minorBidi" w:cstheme="minorBidi"/>
          <w:b/>
          <w:bCs/>
          <w:sz w:val="22"/>
          <w:szCs w:val="22"/>
          <w:u w:val="single"/>
          <w:lang w:val="en-GB"/>
        </w:rPr>
      </w:pPr>
    </w:p>
    <w:sectPr w:rsidR="00160605" w:rsidRPr="006B6390" w:rsidSect="00EA045A">
      <w:footnotePr>
        <w:pos w:val="beneathText"/>
        <w:numRestart w:val="eachSect"/>
      </w:footnotePr>
      <w:pgSz w:w="11906" w:h="16838" w:code="9"/>
      <w:pgMar w:top="1411" w:right="1138" w:bottom="1138" w:left="1138"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DA18" w14:textId="77777777" w:rsidR="00E26DD4" w:rsidRDefault="00E26DD4" w:rsidP="00655736">
      <w:r>
        <w:separator/>
      </w:r>
    </w:p>
  </w:endnote>
  <w:endnote w:type="continuationSeparator" w:id="0">
    <w:p w14:paraId="3DB90EB5" w14:textId="77777777" w:rsidR="00E26DD4" w:rsidRDefault="00E26DD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768B" w14:textId="77777777" w:rsidR="00F3296A" w:rsidRDefault="00F32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CE42" w14:textId="77777777" w:rsidR="00F3296A" w:rsidRDefault="00F32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1BAB" w14:textId="77777777" w:rsidR="00F3296A" w:rsidRDefault="00F32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09532" w14:textId="77777777" w:rsidR="00E26DD4" w:rsidRDefault="00E26DD4" w:rsidP="00655736">
      <w:r>
        <w:separator/>
      </w:r>
    </w:p>
  </w:footnote>
  <w:footnote w:type="continuationSeparator" w:id="0">
    <w:p w14:paraId="53D4C59B" w14:textId="77777777" w:rsidR="00E26DD4" w:rsidRDefault="00E26DD4" w:rsidP="00655736">
      <w:r>
        <w:continuationSeparator/>
      </w:r>
    </w:p>
  </w:footnote>
  <w:footnote w:id="1">
    <w:p w14:paraId="796CEAB2" w14:textId="575DDE78" w:rsidR="00E26DD4" w:rsidRPr="006B6390" w:rsidRDefault="00E26DD4" w:rsidP="00440EAF">
      <w:pPr>
        <w:pStyle w:val="COMPara"/>
        <w:numPr>
          <w:ilvl w:val="0"/>
          <w:numId w:val="0"/>
        </w:numPr>
        <w:ind w:left="567" w:hanging="567"/>
        <w:jc w:val="both"/>
        <w:rPr>
          <w:rFonts w:asciiTheme="minorBidi" w:hAnsiTheme="minorBidi" w:cstheme="minorBidi"/>
          <w:sz w:val="18"/>
          <w:szCs w:val="18"/>
        </w:rPr>
      </w:pPr>
      <w:r w:rsidRPr="006B6390">
        <w:rPr>
          <w:rStyle w:val="FootnoteReference"/>
          <w:rFonts w:asciiTheme="minorBidi" w:hAnsiTheme="minorBidi" w:cstheme="minorBidi"/>
          <w:sz w:val="18"/>
          <w:szCs w:val="18"/>
          <w:vertAlign w:val="baseline"/>
        </w:rPr>
        <w:footnoteRef/>
      </w:r>
      <w:r w:rsidR="009B5B2B" w:rsidRPr="006B6390">
        <w:rPr>
          <w:rFonts w:asciiTheme="minorBidi" w:hAnsiTheme="minorBidi" w:cstheme="minorBidi"/>
          <w:sz w:val="18"/>
          <w:szCs w:val="18"/>
        </w:rPr>
        <w:t>.</w:t>
      </w:r>
      <w:r w:rsidRPr="006B6390">
        <w:rPr>
          <w:rFonts w:asciiTheme="minorBidi" w:hAnsiTheme="minorBidi" w:cstheme="minorBidi"/>
          <w:sz w:val="18"/>
          <w:szCs w:val="18"/>
        </w:rPr>
        <w:t xml:space="preserve"> </w:t>
      </w:r>
      <w:r w:rsidRPr="006B6390">
        <w:rPr>
          <w:rFonts w:asciiTheme="minorBidi" w:hAnsiTheme="minorBidi" w:cstheme="minorBidi"/>
          <w:sz w:val="18"/>
          <w:szCs w:val="18"/>
        </w:rPr>
        <w:tab/>
        <w:t xml:space="preserve">The report should be read together with the financial report of the Convention’s Fund for the Safeguarding of the Intangible Cultural Heritage (document </w:t>
      </w:r>
      <w:hyperlink r:id="rId1" w:history="1">
        <w:r w:rsidRPr="006B6390">
          <w:rPr>
            <w:rStyle w:val="Hyperlink"/>
            <w:rFonts w:asciiTheme="minorBidi" w:hAnsiTheme="minorBidi" w:cstheme="minorBidi"/>
            <w:bCs/>
            <w:iCs/>
            <w:sz w:val="18"/>
            <w:szCs w:val="18"/>
          </w:rPr>
          <w:t>LHE/21/16.COM/INF.13.1</w:t>
        </w:r>
      </w:hyperlink>
      <w:r w:rsidRPr="006B6390">
        <w:rPr>
          <w:rFonts w:asciiTheme="minorBidi" w:hAnsiTheme="minorBidi" w:cstheme="minorBidi"/>
          <w:bCs/>
          <w:iCs/>
          <w:sz w:val="18"/>
          <w:szCs w:val="18"/>
        </w:rPr>
        <w:t xml:space="preserve">) and </w:t>
      </w:r>
      <w:r w:rsidRPr="006B6390">
        <w:rPr>
          <w:rFonts w:asciiTheme="minorBidi" w:hAnsiTheme="minorBidi" w:cstheme="minorBidi"/>
          <w:sz w:val="18"/>
          <w:szCs w:val="18"/>
        </w:rPr>
        <w:t xml:space="preserve">the latest implementation report of the spending plan for the utilization of the funds for the ‘Other Functions of the Committee’ which is presented to the present session of the Committee (document </w:t>
      </w:r>
      <w:hyperlink r:id="rId2" w:history="1">
        <w:r w:rsidRPr="006B6390">
          <w:rPr>
            <w:rStyle w:val="Hyperlink"/>
            <w:rFonts w:asciiTheme="minorBidi" w:hAnsiTheme="minorBidi" w:cstheme="minorBidi"/>
            <w:bCs/>
            <w:iCs/>
            <w:sz w:val="18"/>
            <w:szCs w:val="18"/>
          </w:rPr>
          <w:t>LHE/21/16.COM/INF.13.2</w:t>
        </w:r>
      </w:hyperlink>
      <w:r w:rsidRPr="006B6390">
        <w:rPr>
          <w:rFonts w:asciiTheme="minorBidi" w:hAnsiTheme="minorBidi" w:cstheme="minorBidi"/>
          <w:sz w:val="18"/>
          <w:szCs w:val="18"/>
        </w:rPr>
        <w:t xml:space="preserve">). In addition, the IOS Evaluation (2021) of UNESCO’s action in the framework of the 2003 Convention (document </w:t>
      </w:r>
      <w:r w:rsidRPr="006B6390">
        <w:rPr>
          <w:rFonts w:asciiTheme="minorBidi" w:hAnsiTheme="minorBidi" w:cstheme="minorBidi"/>
          <w:bCs/>
          <w:iCs/>
          <w:sz w:val="18"/>
          <w:szCs w:val="18"/>
        </w:rPr>
        <w:t>LHE/21/16.COM/INF.10</w:t>
      </w:r>
      <w:r w:rsidRPr="006B6390">
        <w:rPr>
          <w:rFonts w:asciiTheme="minorBidi" w:hAnsiTheme="minorBidi" w:cstheme="minorBidi"/>
          <w:sz w:val="18"/>
          <w:szCs w:val="18"/>
        </w:rPr>
        <w:t>) provides further insights into the activities of the Secretariat since 2018.</w:t>
      </w:r>
    </w:p>
  </w:footnote>
  <w:footnote w:id="2">
    <w:p w14:paraId="222C7B10" w14:textId="246E7227" w:rsidR="00E26DD4" w:rsidRPr="006B6390" w:rsidRDefault="00E26DD4" w:rsidP="00440EAF">
      <w:pPr>
        <w:pStyle w:val="FootnoteText"/>
        <w:ind w:left="567" w:hanging="567"/>
        <w:jc w:val="both"/>
        <w:rPr>
          <w:rFonts w:asciiTheme="minorBidi" w:hAnsiTheme="minorBidi"/>
          <w:sz w:val="18"/>
          <w:szCs w:val="18"/>
          <w:lang w:val="en-GB"/>
        </w:rPr>
      </w:pPr>
      <w:r w:rsidRPr="006B6390">
        <w:rPr>
          <w:rStyle w:val="FootnoteReference"/>
          <w:rFonts w:asciiTheme="minorBidi" w:hAnsiTheme="minorBidi"/>
          <w:sz w:val="18"/>
          <w:szCs w:val="18"/>
          <w:vertAlign w:val="baseline"/>
          <w:lang w:val="en-GB"/>
        </w:rPr>
        <w:footnoteRef/>
      </w:r>
      <w:r w:rsidRPr="006B6390">
        <w:rPr>
          <w:rFonts w:asciiTheme="minorBidi" w:eastAsia="Times New Roman" w:hAnsiTheme="minorBidi"/>
          <w:snapToGrid w:val="0"/>
          <w:sz w:val="18"/>
          <w:szCs w:val="18"/>
          <w:lang w:val="en-GB"/>
        </w:rPr>
        <w:t>.</w:t>
      </w:r>
      <w:r w:rsidRPr="006B6390">
        <w:rPr>
          <w:rFonts w:asciiTheme="minorBidi" w:hAnsiTheme="minorBidi"/>
          <w:sz w:val="18"/>
          <w:szCs w:val="18"/>
          <w:lang w:val="en-GB"/>
        </w:rPr>
        <w:tab/>
      </w:r>
      <w:r w:rsidRPr="006B6390">
        <w:rPr>
          <w:rFonts w:asciiTheme="minorBidi" w:eastAsia="Times New Roman" w:hAnsiTheme="minorBidi"/>
          <w:snapToGrid w:val="0"/>
          <w:sz w:val="18"/>
          <w:szCs w:val="18"/>
          <w:lang w:val="en-GB"/>
        </w:rPr>
        <w:t>The IOS Evaluation of UNESCO’s action in the framework of the 2003 Convention for the Safeguarding of the Intangible Cultural Heritage provides a detailed description of the composition and structure of the Secretariat (document LHE/21/16.COM/</w:t>
      </w:r>
      <w:r w:rsidRPr="006B6390">
        <w:rPr>
          <w:rFonts w:asciiTheme="minorBidi" w:hAnsiTheme="minorBidi"/>
          <w:sz w:val="18"/>
          <w:szCs w:val="18"/>
          <w:lang w:val="en-GB"/>
        </w:rPr>
        <w:t>INF.10, paragraphs 33–34).</w:t>
      </w:r>
    </w:p>
  </w:footnote>
  <w:footnote w:id="3">
    <w:p w14:paraId="47752354" w14:textId="65D57C0F" w:rsidR="00E26DD4" w:rsidRPr="006B6390" w:rsidRDefault="00E26DD4" w:rsidP="00440EAF">
      <w:pPr>
        <w:pStyle w:val="FootnoteText"/>
        <w:ind w:left="567" w:hanging="567"/>
        <w:rPr>
          <w:rFonts w:asciiTheme="minorBidi" w:hAnsiTheme="minorBidi"/>
          <w:sz w:val="18"/>
          <w:szCs w:val="18"/>
          <w:lang w:val="en-GB"/>
        </w:rPr>
      </w:pPr>
      <w:r w:rsidRPr="006B6390">
        <w:rPr>
          <w:rStyle w:val="FootnoteReference"/>
          <w:rFonts w:asciiTheme="minorBidi" w:hAnsiTheme="minorBidi"/>
          <w:sz w:val="18"/>
          <w:szCs w:val="18"/>
          <w:vertAlign w:val="baseline"/>
          <w:lang w:val="en-GB"/>
        </w:rPr>
        <w:footnoteRef/>
      </w:r>
      <w:r w:rsidRPr="006B6390">
        <w:rPr>
          <w:rFonts w:asciiTheme="minorBidi" w:hAnsiTheme="minorBidi"/>
          <w:sz w:val="18"/>
          <w:szCs w:val="18"/>
          <w:lang w:val="en-GB"/>
        </w:rPr>
        <w:t>.</w:t>
      </w:r>
      <w:r w:rsidRPr="006B6390">
        <w:rPr>
          <w:rFonts w:asciiTheme="minorBidi" w:hAnsiTheme="minorBidi"/>
          <w:sz w:val="18"/>
          <w:szCs w:val="18"/>
          <w:lang w:val="en-GB"/>
        </w:rPr>
        <w:tab/>
        <w:t xml:space="preserve">See </w:t>
      </w:r>
      <w:r w:rsidR="000D6658" w:rsidRPr="006B6390">
        <w:rPr>
          <w:rFonts w:asciiTheme="minorBidi" w:hAnsiTheme="minorBidi"/>
          <w:sz w:val="18"/>
          <w:szCs w:val="18"/>
          <w:lang w:val="en-GB"/>
        </w:rPr>
        <w:t>D</w:t>
      </w:r>
      <w:r w:rsidRPr="006B6390">
        <w:rPr>
          <w:rFonts w:asciiTheme="minorBidi" w:hAnsiTheme="minorBidi"/>
          <w:sz w:val="18"/>
          <w:szCs w:val="18"/>
          <w:lang w:val="en-GB"/>
        </w:rPr>
        <w:t xml:space="preserve">ocument </w:t>
      </w:r>
      <w:hyperlink r:id="rId3" w:history="1">
        <w:r w:rsidRPr="006B6390">
          <w:rPr>
            <w:rStyle w:val="Hyperlink"/>
            <w:rFonts w:asciiTheme="minorBidi" w:hAnsiTheme="minorBidi" w:cstheme="minorBidi"/>
            <w:sz w:val="18"/>
            <w:szCs w:val="18"/>
            <w:lang w:val="en-GB"/>
          </w:rPr>
          <w:t>LHE/21/16.COM/14</w:t>
        </w:r>
      </w:hyperlink>
    </w:p>
  </w:footnote>
  <w:footnote w:id="4">
    <w:p w14:paraId="73A4C3EF" w14:textId="4A052E6E" w:rsidR="00E26DD4" w:rsidRPr="006B6390" w:rsidRDefault="00E26DD4" w:rsidP="00FA400F">
      <w:pPr>
        <w:pStyle w:val="FootnoteText"/>
        <w:ind w:left="567" w:hanging="567"/>
        <w:rPr>
          <w:rFonts w:asciiTheme="minorBidi" w:hAnsiTheme="minorBidi"/>
          <w:sz w:val="18"/>
          <w:szCs w:val="18"/>
          <w:lang w:val="en-GB"/>
        </w:rPr>
      </w:pPr>
      <w:r w:rsidRPr="006B6390">
        <w:rPr>
          <w:rStyle w:val="FootnoteReference"/>
          <w:rFonts w:asciiTheme="minorBidi" w:hAnsiTheme="minorBidi"/>
          <w:sz w:val="18"/>
          <w:szCs w:val="18"/>
          <w:vertAlign w:val="baseline"/>
          <w:lang w:val="en-GB"/>
        </w:rPr>
        <w:footnoteRef/>
      </w:r>
      <w:r w:rsidRPr="006B6390">
        <w:rPr>
          <w:rFonts w:asciiTheme="minorBidi" w:hAnsiTheme="minorBidi"/>
          <w:sz w:val="18"/>
          <w:szCs w:val="18"/>
          <w:lang w:val="en-GB"/>
        </w:rPr>
        <w:t>.</w:t>
      </w:r>
      <w:r w:rsidRPr="006B6390">
        <w:rPr>
          <w:rFonts w:asciiTheme="minorBidi" w:hAnsiTheme="minorBidi"/>
          <w:sz w:val="18"/>
          <w:szCs w:val="18"/>
          <w:lang w:val="en-GB"/>
        </w:rPr>
        <w:tab/>
        <w:t xml:space="preserve">See </w:t>
      </w:r>
      <w:r w:rsidR="000D6658" w:rsidRPr="006B6390">
        <w:rPr>
          <w:rFonts w:asciiTheme="minorBidi" w:hAnsiTheme="minorBidi"/>
          <w:sz w:val="18"/>
          <w:szCs w:val="18"/>
          <w:lang w:val="en-GB"/>
        </w:rPr>
        <w:t>D</w:t>
      </w:r>
      <w:r w:rsidRPr="006B6390">
        <w:rPr>
          <w:rFonts w:asciiTheme="minorBidi" w:hAnsiTheme="minorBidi"/>
          <w:sz w:val="18"/>
          <w:szCs w:val="18"/>
          <w:lang w:val="en-GB"/>
        </w:rPr>
        <w:t xml:space="preserve">ecision </w:t>
      </w:r>
      <w:hyperlink r:id="rId4" w:history="1">
        <w:r w:rsidRPr="006B6390">
          <w:rPr>
            <w:rStyle w:val="Hyperlink"/>
            <w:rFonts w:asciiTheme="minorBidi" w:hAnsiTheme="minorBidi" w:cstheme="minorBidi"/>
            <w:sz w:val="18"/>
            <w:szCs w:val="18"/>
            <w:lang w:val="en-GB"/>
          </w:rPr>
          <w:t>14.COM 15</w:t>
        </w:r>
      </w:hyperlink>
    </w:p>
  </w:footnote>
  <w:footnote w:id="5">
    <w:p w14:paraId="6F329430" w14:textId="15ECDB32" w:rsidR="00E26DD4" w:rsidRPr="006B6390" w:rsidRDefault="00E26DD4" w:rsidP="00440EAF">
      <w:pPr>
        <w:pStyle w:val="FootnoteText"/>
        <w:tabs>
          <w:tab w:val="left" w:pos="540"/>
          <w:tab w:val="left" w:pos="567"/>
        </w:tabs>
        <w:ind w:left="567" w:hanging="567"/>
        <w:rPr>
          <w:rFonts w:asciiTheme="minorBidi" w:hAnsiTheme="minorBidi"/>
          <w:sz w:val="18"/>
          <w:szCs w:val="18"/>
          <w:lang w:val="en-GB"/>
        </w:rPr>
      </w:pPr>
      <w:r w:rsidRPr="006B6390">
        <w:rPr>
          <w:rStyle w:val="FootnoteReference"/>
          <w:rFonts w:asciiTheme="minorBidi" w:hAnsiTheme="minorBidi"/>
          <w:sz w:val="18"/>
          <w:szCs w:val="18"/>
          <w:vertAlign w:val="baseline"/>
          <w:lang w:val="en-GB"/>
        </w:rPr>
        <w:footnoteRef/>
      </w:r>
      <w:r w:rsidRPr="006B6390">
        <w:rPr>
          <w:rFonts w:asciiTheme="minorBidi" w:hAnsiTheme="minorBidi"/>
          <w:sz w:val="18"/>
          <w:szCs w:val="18"/>
          <w:lang w:val="en-GB"/>
        </w:rPr>
        <w:t>.</w:t>
      </w:r>
      <w:r w:rsidRPr="006B6390">
        <w:rPr>
          <w:rFonts w:asciiTheme="minorBidi" w:hAnsiTheme="minorBidi"/>
          <w:sz w:val="18"/>
          <w:szCs w:val="18"/>
          <w:lang w:val="en-GB"/>
        </w:rPr>
        <w:tab/>
      </w:r>
      <w:r w:rsidRPr="006B6390">
        <w:rPr>
          <w:rFonts w:asciiTheme="minorBidi" w:hAnsiTheme="minorBidi"/>
          <w:sz w:val="18"/>
          <w:szCs w:val="18"/>
          <w:lang w:val="en-GB"/>
        </w:rPr>
        <w:tab/>
        <w:t xml:space="preserve">See </w:t>
      </w:r>
      <w:r w:rsidR="000D6658" w:rsidRPr="006B6390">
        <w:rPr>
          <w:rFonts w:asciiTheme="minorBidi" w:hAnsiTheme="minorBidi"/>
          <w:sz w:val="18"/>
          <w:szCs w:val="18"/>
          <w:lang w:val="en-GB"/>
        </w:rPr>
        <w:t>R</w:t>
      </w:r>
      <w:r w:rsidRPr="006B6390">
        <w:rPr>
          <w:rFonts w:asciiTheme="minorBidi" w:hAnsiTheme="minorBidi"/>
          <w:sz w:val="18"/>
          <w:szCs w:val="18"/>
          <w:lang w:val="en-GB"/>
        </w:rPr>
        <w:t xml:space="preserve">esolution </w:t>
      </w:r>
      <w:hyperlink r:id="rId5" w:history="1">
        <w:r w:rsidRPr="006B6390">
          <w:rPr>
            <w:rStyle w:val="Hyperlink"/>
            <w:rFonts w:asciiTheme="minorBidi" w:hAnsiTheme="minorBidi" w:cstheme="minorBidi"/>
            <w:sz w:val="18"/>
            <w:szCs w:val="18"/>
            <w:lang w:val="en-GB"/>
          </w:rPr>
          <w:t>7.GA 8</w:t>
        </w:r>
      </w:hyperlink>
      <w:r w:rsidRPr="006B6390">
        <w:rPr>
          <w:rStyle w:val="Hyperlink"/>
          <w:rFonts w:asciiTheme="minorBidi" w:hAnsiTheme="minorBidi" w:cstheme="minorBidi"/>
          <w:sz w:val="18"/>
          <w:szCs w:val="18"/>
          <w:lang w:val="en-GB"/>
        </w:rPr>
        <w:t>.f</w:t>
      </w:r>
    </w:p>
  </w:footnote>
  <w:footnote w:id="6">
    <w:p w14:paraId="026BEE9A" w14:textId="08FC2FE2" w:rsidR="00E26DD4" w:rsidRPr="00FD6E94" w:rsidRDefault="00E26DD4" w:rsidP="00440EAF">
      <w:pPr>
        <w:pStyle w:val="FootnoteText"/>
        <w:tabs>
          <w:tab w:val="left" w:pos="567"/>
        </w:tabs>
        <w:ind w:left="567" w:hanging="567"/>
        <w:rPr>
          <w:rFonts w:asciiTheme="minorBidi" w:hAnsiTheme="minorBidi"/>
          <w:sz w:val="18"/>
          <w:szCs w:val="18"/>
          <w:lang w:val="pt-PT"/>
        </w:rPr>
      </w:pPr>
      <w:r w:rsidRPr="006B6390">
        <w:rPr>
          <w:rStyle w:val="FootnoteReference"/>
          <w:rFonts w:asciiTheme="minorBidi" w:hAnsiTheme="minorBidi"/>
          <w:sz w:val="18"/>
          <w:szCs w:val="18"/>
          <w:vertAlign w:val="baseline"/>
          <w:lang w:val="en-GB"/>
        </w:rPr>
        <w:footnoteRef/>
      </w:r>
      <w:r w:rsidRPr="00FD6E94">
        <w:rPr>
          <w:rStyle w:val="FootnoteReference"/>
          <w:rFonts w:asciiTheme="minorBidi" w:hAnsiTheme="minorBidi"/>
          <w:sz w:val="18"/>
          <w:szCs w:val="18"/>
          <w:vertAlign w:val="baseline"/>
          <w:lang w:val="pt-PT"/>
        </w:rPr>
        <w:t>.</w:t>
      </w:r>
      <w:r w:rsidRPr="00FD6E94">
        <w:rPr>
          <w:rStyle w:val="FootnoteReference"/>
          <w:rFonts w:asciiTheme="minorBidi" w:hAnsiTheme="minorBidi"/>
          <w:sz w:val="18"/>
          <w:szCs w:val="18"/>
          <w:vertAlign w:val="baseline"/>
          <w:lang w:val="pt-PT"/>
        </w:rPr>
        <w:tab/>
      </w:r>
      <w:r w:rsidRPr="00FD6E94">
        <w:rPr>
          <w:rFonts w:asciiTheme="minorBidi" w:hAnsiTheme="minorBidi"/>
          <w:sz w:val="18"/>
          <w:szCs w:val="18"/>
          <w:lang w:val="pt-PT"/>
        </w:rPr>
        <w:t xml:space="preserve">See </w:t>
      </w:r>
      <w:r w:rsidR="000D6658" w:rsidRPr="00FD6E94">
        <w:rPr>
          <w:rStyle w:val="Hyperlink"/>
          <w:rFonts w:asciiTheme="minorBidi" w:hAnsiTheme="minorBidi" w:cstheme="minorBidi"/>
          <w:color w:val="auto"/>
          <w:sz w:val="18"/>
          <w:szCs w:val="18"/>
          <w:u w:val="none"/>
          <w:lang w:val="pt-PT"/>
        </w:rPr>
        <w:t>D</w:t>
      </w:r>
      <w:r w:rsidRPr="00FD6E94">
        <w:rPr>
          <w:rStyle w:val="Hyperlink"/>
          <w:rFonts w:asciiTheme="minorBidi" w:hAnsiTheme="minorBidi" w:cstheme="minorBidi"/>
          <w:color w:val="auto"/>
          <w:sz w:val="18"/>
          <w:szCs w:val="18"/>
          <w:u w:val="none"/>
          <w:lang w:val="pt-PT"/>
        </w:rPr>
        <w:t xml:space="preserve">ocument </w:t>
      </w:r>
      <w:hyperlink r:id="rId6" w:history="1">
        <w:r w:rsidRPr="00FD6E94">
          <w:rPr>
            <w:rStyle w:val="Hyperlink"/>
            <w:rFonts w:asciiTheme="minorBidi" w:hAnsiTheme="minorBidi" w:cstheme="minorBidi"/>
            <w:sz w:val="18"/>
            <w:szCs w:val="18"/>
            <w:lang w:val="pt-PT"/>
          </w:rPr>
          <w:t>LHE/21/16.COM/INF.13.1</w:t>
        </w:r>
      </w:hyperlink>
    </w:p>
  </w:footnote>
  <w:footnote w:id="7">
    <w:p w14:paraId="5A356A38" w14:textId="5E4E9D7A" w:rsidR="00E26DD4" w:rsidRPr="00FD6E94" w:rsidRDefault="00E26DD4" w:rsidP="00440EAF">
      <w:pPr>
        <w:pStyle w:val="FootnoteText"/>
        <w:ind w:left="567" w:hanging="567"/>
        <w:rPr>
          <w:rFonts w:asciiTheme="minorBidi" w:hAnsiTheme="minorBidi"/>
          <w:sz w:val="18"/>
          <w:szCs w:val="18"/>
          <w:lang w:val="pt-PT"/>
        </w:rPr>
      </w:pPr>
      <w:r w:rsidRPr="006B6390">
        <w:rPr>
          <w:rStyle w:val="FootnoteReference"/>
          <w:rFonts w:asciiTheme="minorBidi" w:hAnsiTheme="minorBidi"/>
          <w:sz w:val="18"/>
          <w:szCs w:val="18"/>
          <w:vertAlign w:val="baseline"/>
          <w:lang w:val="en-GB"/>
        </w:rPr>
        <w:footnoteRef/>
      </w:r>
      <w:r w:rsidRPr="00FD6E94">
        <w:rPr>
          <w:rFonts w:asciiTheme="minorBidi" w:hAnsiTheme="minorBidi"/>
          <w:sz w:val="18"/>
          <w:szCs w:val="18"/>
          <w:lang w:val="pt-PT"/>
        </w:rPr>
        <w:t>.</w:t>
      </w:r>
      <w:r w:rsidRPr="00FD6E94">
        <w:rPr>
          <w:rFonts w:asciiTheme="minorBidi" w:hAnsiTheme="minorBidi"/>
          <w:sz w:val="18"/>
          <w:szCs w:val="18"/>
          <w:lang w:val="pt-PT"/>
        </w:rPr>
        <w:tab/>
      </w:r>
      <w:r w:rsidRPr="00FD6E94">
        <w:rPr>
          <w:rFonts w:asciiTheme="minorBidi" w:hAnsiTheme="minorBidi"/>
          <w:sz w:val="18"/>
          <w:szCs w:val="18"/>
          <w:lang w:val="pt-PT"/>
        </w:rPr>
        <w:t xml:space="preserve">See </w:t>
      </w:r>
      <w:r w:rsidR="000D6658" w:rsidRPr="00FD6E94">
        <w:rPr>
          <w:rStyle w:val="Hyperlink"/>
          <w:rFonts w:asciiTheme="minorBidi" w:hAnsiTheme="minorBidi" w:cstheme="minorBidi"/>
          <w:color w:val="auto"/>
          <w:sz w:val="18"/>
          <w:szCs w:val="18"/>
          <w:u w:val="none"/>
          <w:lang w:val="pt-PT"/>
        </w:rPr>
        <w:t>D</w:t>
      </w:r>
      <w:r w:rsidRPr="00FD6E94">
        <w:rPr>
          <w:rStyle w:val="Hyperlink"/>
          <w:rFonts w:asciiTheme="minorBidi" w:hAnsiTheme="minorBidi" w:cstheme="minorBidi"/>
          <w:color w:val="auto"/>
          <w:sz w:val="18"/>
          <w:szCs w:val="18"/>
          <w:u w:val="none"/>
          <w:lang w:val="pt-PT"/>
        </w:rPr>
        <w:t xml:space="preserve">ocument </w:t>
      </w:r>
      <w:hyperlink r:id="rId7" w:history="1">
        <w:r w:rsidRPr="00FD6E94">
          <w:rPr>
            <w:rStyle w:val="Hyperlink"/>
            <w:rFonts w:asciiTheme="minorBidi" w:hAnsiTheme="minorBidi" w:cstheme="minorBidi"/>
            <w:sz w:val="18"/>
            <w:szCs w:val="18"/>
            <w:lang w:val="pt-PT"/>
          </w:rPr>
          <w:t>LHE/21/16.COM/7.b</w:t>
        </w:r>
      </w:hyperlink>
    </w:p>
  </w:footnote>
  <w:footnote w:id="8">
    <w:p w14:paraId="61824DCE" w14:textId="076F2922" w:rsidR="00E26DD4" w:rsidRPr="00FD6E94" w:rsidRDefault="002909AA" w:rsidP="00440EAF">
      <w:pPr>
        <w:pStyle w:val="FootnoteText"/>
        <w:ind w:left="567" w:hanging="567"/>
        <w:rPr>
          <w:rFonts w:asciiTheme="minorBidi" w:hAnsiTheme="minorBidi"/>
          <w:sz w:val="18"/>
          <w:szCs w:val="18"/>
          <w:lang w:val="pt-PT"/>
        </w:rPr>
      </w:pPr>
      <w:r w:rsidRPr="00FD6E94">
        <w:rPr>
          <w:rFonts w:asciiTheme="minorBidi" w:hAnsiTheme="minorBidi"/>
          <w:sz w:val="18"/>
          <w:szCs w:val="18"/>
          <w:lang w:val="pt-PT"/>
        </w:rPr>
        <w:t>8</w:t>
      </w:r>
      <w:r w:rsidR="00E26DD4" w:rsidRPr="00FD6E94">
        <w:rPr>
          <w:rFonts w:asciiTheme="minorBidi" w:hAnsiTheme="minorBidi"/>
          <w:sz w:val="18"/>
          <w:szCs w:val="18"/>
          <w:lang w:val="pt-PT"/>
        </w:rPr>
        <w:t>.</w:t>
      </w:r>
      <w:r w:rsidR="00E26DD4" w:rsidRPr="00FD6E94">
        <w:rPr>
          <w:rFonts w:asciiTheme="minorBidi" w:hAnsiTheme="minorBidi"/>
          <w:sz w:val="18"/>
          <w:szCs w:val="18"/>
          <w:lang w:val="pt-PT"/>
        </w:rPr>
        <w:tab/>
      </w:r>
      <w:r w:rsidR="00E26DD4" w:rsidRPr="00FD6E94">
        <w:rPr>
          <w:rFonts w:asciiTheme="minorBidi" w:hAnsiTheme="minorBidi"/>
          <w:sz w:val="18"/>
          <w:szCs w:val="18"/>
          <w:lang w:val="pt-PT"/>
        </w:rPr>
        <w:t xml:space="preserve">See </w:t>
      </w:r>
      <w:r w:rsidR="000D6658" w:rsidRPr="00FD6E94">
        <w:rPr>
          <w:rFonts w:asciiTheme="minorBidi" w:hAnsiTheme="minorBidi"/>
          <w:sz w:val="18"/>
          <w:szCs w:val="18"/>
          <w:lang w:val="pt-PT"/>
        </w:rPr>
        <w:t>D</w:t>
      </w:r>
      <w:r w:rsidR="00E26DD4" w:rsidRPr="00FD6E94">
        <w:rPr>
          <w:rFonts w:asciiTheme="minorBidi" w:hAnsiTheme="minorBidi"/>
          <w:sz w:val="18"/>
          <w:szCs w:val="18"/>
          <w:lang w:val="pt-PT"/>
        </w:rPr>
        <w:t xml:space="preserve">ecision </w:t>
      </w:r>
      <w:hyperlink r:id="rId8" w:history="1">
        <w:r w:rsidR="00E26DD4" w:rsidRPr="00FD6E94">
          <w:rPr>
            <w:rStyle w:val="Hyperlink"/>
            <w:rFonts w:asciiTheme="minorBidi" w:hAnsiTheme="minorBidi" w:cstheme="minorBidi"/>
            <w:sz w:val="18"/>
            <w:szCs w:val="18"/>
            <w:lang w:val="pt-PT"/>
          </w:rPr>
          <w:t>12.COM 6</w:t>
        </w:r>
      </w:hyperlink>
    </w:p>
  </w:footnote>
  <w:footnote w:id="9">
    <w:p w14:paraId="1963B0F3" w14:textId="538D3EF0" w:rsidR="00E26DD4" w:rsidRPr="00FD6E94" w:rsidRDefault="00E26DD4" w:rsidP="00440EAF">
      <w:pPr>
        <w:pStyle w:val="FootnoteText"/>
        <w:ind w:left="567" w:hanging="567"/>
        <w:rPr>
          <w:rFonts w:asciiTheme="minorBidi" w:hAnsiTheme="minorBidi"/>
          <w:sz w:val="18"/>
          <w:szCs w:val="18"/>
          <w:lang w:val="pt-PT"/>
        </w:rPr>
      </w:pPr>
      <w:r w:rsidRPr="006B6390">
        <w:rPr>
          <w:rStyle w:val="FootnoteReference"/>
          <w:rFonts w:asciiTheme="minorBidi" w:hAnsiTheme="minorBidi"/>
          <w:sz w:val="18"/>
          <w:szCs w:val="18"/>
          <w:vertAlign w:val="baseline"/>
          <w:lang w:val="en-GB"/>
        </w:rPr>
        <w:footnoteRef/>
      </w:r>
      <w:r w:rsidRPr="00FD6E94">
        <w:rPr>
          <w:rFonts w:asciiTheme="minorBidi" w:hAnsiTheme="minorBidi"/>
          <w:sz w:val="18"/>
          <w:szCs w:val="18"/>
          <w:lang w:val="pt-PT"/>
        </w:rPr>
        <w:t>.</w:t>
      </w:r>
      <w:r w:rsidRPr="00FD6E94">
        <w:rPr>
          <w:rFonts w:asciiTheme="minorBidi" w:hAnsiTheme="minorBidi"/>
          <w:sz w:val="18"/>
          <w:szCs w:val="18"/>
          <w:lang w:val="pt-PT"/>
        </w:rPr>
        <w:tab/>
      </w:r>
      <w:r w:rsidRPr="00FD6E94">
        <w:rPr>
          <w:rFonts w:asciiTheme="minorBidi" w:hAnsiTheme="minorBidi"/>
          <w:sz w:val="18"/>
          <w:szCs w:val="18"/>
          <w:lang w:val="pt-PT"/>
        </w:rPr>
        <w:t xml:space="preserve">See </w:t>
      </w:r>
      <w:r w:rsidR="000D6658" w:rsidRPr="00FD6E94">
        <w:rPr>
          <w:rFonts w:asciiTheme="minorBidi" w:hAnsiTheme="minorBidi"/>
          <w:sz w:val="18"/>
          <w:szCs w:val="18"/>
          <w:lang w:val="pt-PT"/>
        </w:rPr>
        <w:t>D</w:t>
      </w:r>
      <w:r w:rsidRPr="00FD6E94">
        <w:rPr>
          <w:rFonts w:asciiTheme="minorBidi" w:eastAsiaTheme="minorEastAsia" w:hAnsiTheme="minorBidi"/>
          <w:sz w:val="18"/>
          <w:szCs w:val="18"/>
          <w:lang w:val="pt-PT" w:eastAsia="zh-CN"/>
        </w:rPr>
        <w:t xml:space="preserve">ecision </w:t>
      </w:r>
      <w:hyperlink r:id="rId9" w:history="1">
        <w:r w:rsidRPr="00FD6E94">
          <w:rPr>
            <w:rStyle w:val="Hyperlink"/>
            <w:rFonts w:asciiTheme="minorBidi" w:hAnsiTheme="minorBidi" w:cstheme="minorBidi"/>
            <w:sz w:val="18"/>
            <w:szCs w:val="18"/>
            <w:lang w:val="pt-PT" w:eastAsia="zh-CN"/>
          </w:rPr>
          <w:t>15.COM 8</w:t>
        </w:r>
      </w:hyperlink>
    </w:p>
  </w:footnote>
  <w:footnote w:id="10">
    <w:p w14:paraId="06E44B66" w14:textId="5D4AB26A" w:rsidR="00E26DD4" w:rsidRPr="00FD6E94" w:rsidRDefault="00E26DD4" w:rsidP="00440EAF">
      <w:pPr>
        <w:pStyle w:val="FootnoteText"/>
        <w:ind w:left="567" w:hanging="567"/>
        <w:rPr>
          <w:rFonts w:asciiTheme="minorBidi" w:hAnsiTheme="minorBidi"/>
          <w:sz w:val="18"/>
          <w:szCs w:val="18"/>
          <w:lang w:val="pt-PT"/>
        </w:rPr>
      </w:pPr>
      <w:r w:rsidRPr="006B6390">
        <w:rPr>
          <w:rStyle w:val="FootnoteReference"/>
          <w:rFonts w:asciiTheme="minorBidi" w:hAnsiTheme="minorBidi"/>
          <w:sz w:val="18"/>
          <w:szCs w:val="18"/>
          <w:vertAlign w:val="baseline"/>
          <w:lang w:val="en-GB"/>
        </w:rPr>
        <w:footnoteRef/>
      </w:r>
      <w:r w:rsidRPr="00FD6E94">
        <w:rPr>
          <w:rFonts w:asciiTheme="minorBidi" w:hAnsiTheme="minorBidi"/>
          <w:sz w:val="18"/>
          <w:szCs w:val="18"/>
          <w:lang w:val="pt-PT"/>
        </w:rPr>
        <w:t>.</w:t>
      </w:r>
      <w:r w:rsidRPr="00FD6E94">
        <w:rPr>
          <w:rFonts w:asciiTheme="minorBidi" w:hAnsiTheme="minorBidi"/>
          <w:sz w:val="18"/>
          <w:szCs w:val="18"/>
          <w:lang w:val="pt-PT"/>
        </w:rPr>
        <w:tab/>
      </w:r>
      <w:r w:rsidRPr="00FD6E94">
        <w:rPr>
          <w:rFonts w:asciiTheme="minorBidi" w:hAnsiTheme="minorBidi"/>
          <w:sz w:val="18"/>
          <w:szCs w:val="18"/>
          <w:lang w:val="pt-PT"/>
        </w:rPr>
        <w:t xml:space="preserve">See </w:t>
      </w:r>
      <w:r w:rsidR="000D6658" w:rsidRPr="00FD6E94">
        <w:rPr>
          <w:rFonts w:asciiTheme="minorBidi" w:hAnsiTheme="minorBidi"/>
          <w:sz w:val="18"/>
          <w:szCs w:val="18"/>
          <w:lang w:val="pt-PT"/>
        </w:rPr>
        <w:t>D</w:t>
      </w:r>
      <w:r w:rsidRPr="00FD6E94">
        <w:rPr>
          <w:rFonts w:asciiTheme="minorBidi" w:hAnsiTheme="minorBidi"/>
          <w:sz w:val="18"/>
          <w:szCs w:val="18"/>
          <w:lang w:val="pt-PT"/>
        </w:rPr>
        <w:t xml:space="preserve">ecision </w:t>
      </w:r>
      <w:hyperlink r:id="rId10" w:history="1">
        <w:r w:rsidRPr="00FD6E94">
          <w:rPr>
            <w:rStyle w:val="Hyperlink"/>
            <w:rFonts w:asciiTheme="minorBidi" w:hAnsiTheme="minorBidi" w:cstheme="minorBidi"/>
            <w:sz w:val="18"/>
            <w:szCs w:val="18"/>
            <w:lang w:val="pt-PT"/>
          </w:rPr>
          <w:t>14.COM 10</w:t>
        </w:r>
      </w:hyperlink>
      <w:r w:rsidRPr="00FD6E94">
        <w:rPr>
          <w:rFonts w:asciiTheme="minorBidi" w:hAnsiTheme="minorBidi"/>
          <w:sz w:val="18"/>
          <w:szCs w:val="18"/>
          <w:lang w:val="pt-PT"/>
        </w:rPr>
        <w:t xml:space="preserve"> (paragraph 14)</w:t>
      </w:r>
    </w:p>
  </w:footnote>
  <w:footnote w:id="11">
    <w:p w14:paraId="1A134D28" w14:textId="1527E892" w:rsidR="00E26DD4" w:rsidRPr="00FD6E94" w:rsidRDefault="00E26DD4" w:rsidP="00440EAF">
      <w:pPr>
        <w:pStyle w:val="FootnoteText"/>
        <w:ind w:left="567" w:hanging="567"/>
        <w:rPr>
          <w:rFonts w:asciiTheme="minorBidi" w:hAnsiTheme="minorBidi"/>
          <w:sz w:val="18"/>
          <w:szCs w:val="18"/>
          <w:lang w:val="pt-PT"/>
        </w:rPr>
      </w:pPr>
      <w:r w:rsidRPr="006B6390">
        <w:rPr>
          <w:rStyle w:val="FootnoteReference"/>
          <w:rFonts w:asciiTheme="minorBidi" w:hAnsiTheme="minorBidi"/>
          <w:sz w:val="18"/>
          <w:szCs w:val="18"/>
          <w:vertAlign w:val="baseline"/>
          <w:lang w:val="en-GB"/>
        </w:rPr>
        <w:footnoteRef/>
      </w:r>
      <w:r w:rsidRPr="00FD6E94">
        <w:rPr>
          <w:rFonts w:asciiTheme="minorBidi" w:hAnsiTheme="minorBidi"/>
          <w:sz w:val="18"/>
          <w:szCs w:val="18"/>
          <w:lang w:val="pt-PT"/>
        </w:rPr>
        <w:t xml:space="preserve">. </w:t>
      </w:r>
      <w:r w:rsidRPr="00FD6E94">
        <w:rPr>
          <w:rFonts w:asciiTheme="minorBidi" w:hAnsiTheme="minorBidi"/>
          <w:sz w:val="18"/>
          <w:szCs w:val="18"/>
          <w:lang w:val="pt-PT"/>
        </w:rPr>
        <w:tab/>
      </w:r>
      <w:r w:rsidRPr="00FD6E94">
        <w:rPr>
          <w:rFonts w:asciiTheme="minorBidi" w:hAnsiTheme="minorBidi"/>
          <w:sz w:val="18"/>
          <w:szCs w:val="18"/>
          <w:lang w:val="pt-PT"/>
        </w:rPr>
        <w:t xml:space="preserve">See </w:t>
      </w:r>
      <w:r w:rsidR="000D6658" w:rsidRPr="00FD6E94">
        <w:rPr>
          <w:rFonts w:asciiTheme="minorBidi" w:hAnsiTheme="minorBidi"/>
          <w:sz w:val="18"/>
          <w:szCs w:val="18"/>
          <w:lang w:val="pt-PT"/>
        </w:rPr>
        <w:t>D</w:t>
      </w:r>
      <w:r w:rsidRPr="00FD6E94">
        <w:rPr>
          <w:rFonts w:asciiTheme="minorBidi" w:hAnsiTheme="minorBidi"/>
          <w:sz w:val="18"/>
          <w:szCs w:val="18"/>
          <w:lang w:val="pt-PT"/>
        </w:rPr>
        <w:t xml:space="preserve">ocument </w:t>
      </w:r>
      <w:hyperlink r:id="rId11" w:history="1">
        <w:r w:rsidRPr="00FD6E94">
          <w:rPr>
            <w:rStyle w:val="Hyperlink"/>
            <w:rFonts w:asciiTheme="minorBidi" w:hAnsiTheme="minorBidi" w:cstheme="minorBidi"/>
            <w:sz w:val="18"/>
            <w:szCs w:val="18"/>
            <w:lang w:val="pt-PT"/>
          </w:rPr>
          <w:t>C54/21/16.COM/INF.5.III</w:t>
        </w:r>
      </w:hyperlink>
    </w:p>
  </w:footnote>
  <w:footnote w:id="12">
    <w:p w14:paraId="51DD38D3" w14:textId="57501A5B" w:rsidR="00E26DD4" w:rsidRPr="00FD6E94" w:rsidRDefault="00E26DD4" w:rsidP="00440EAF">
      <w:pPr>
        <w:pStyle w:val="FootnoteText"/>
        <w:ind w:left="567" w:hanging="567"/>
        <w:rPr>
          <w:rFonts w:asciiTheme="minorBidi" w:hAnsiTheme="minorBidi"/>
          <w:sz w:val="18"/>
          <w:szCs w:val="18"/>
          <w:lang w:val="pt-PT"/>
        </w:rPr>
      </w:pPr>
      <w:r w:rsidRPr="006B6390">
        <w:rPr>
          <w:rStyle w:val="FootnoteReference"/>
          <w:rFonts w:asciiTheme="minorBidi" w:hAnsiTheme="minorBidi"/>
          <w:sz w:val="18"/>
          <w:szCs w:val="18"/>
          <w:vertAlign w:val="baseline"/>
          <w:lang w:val="en-GB"/>
        </w:rPr>
        <w:footnoteRef/>
      </w:r>
      <w:r w:rsidRPr="00FD6E94">
        <w:rPr>
          <w:rFonts w:asciiTheme="minorBidi" w:hAnsiTheme="minorBidi"/>
          <w:sz w:val="18"/>
          <w:szCs w:val="18"/>
          <w:lang w:val="pt-PT"/>
        </w:rPr>
        <w:t>.</w:t>
      </w:r>
      <w:r w:rsidRPr="00FD6E94">
        <w:rPr>
          <w:rFonts w:asciiTheme="minorBidi" w:hAnsiTheme="minorBidi"/>
          <w:sz w:val="18"/>
          <w:szCs w:val="18"/>
          <w:lang w:val="pt-PT"/>
        </w:rPr>
        <w:tab/>
      </w:r>
      <w:r w:rsidRPr="00FD6E94">
        <w:rPr>
          <w:rFonts w:asciiTheme="minorBidi" w:hAnsiTheme="minorBidi"/>
          <w:sz w:val="18"/>
          <w:szCs w:val="18"/>
          <w:lang w:val="pt-PT"/>
        </w:rPr>
        <w:t xml:space="preserve">See </w:t>
      </w:r>
      <w:r w:rsidR="000D6658" w:rsidRPr="00FD6E94">
        <w:rPr>
          <w:rFonts w:asciiTheme="minorBidi" w:hAnsiTheme="minorBidi"/>
          <w:sz w:val="18"/>
          <w:szCs w:val="18"/>
          <w:lang w:val="pt-PT"/>
        </w:rPr>
        <w:t>D</w:t>
      </w:r>
      <w:r w:rsidRPr="00FD6E94">
        <w:rPr>
          <w:rFonts w:asciiTheme="minorBidi" w:hAnsiTheme="minorBidi"/>
          <w:sz w:val="18"/>
          <w:szCs w:val="18"/>
          <w:lang w:val="pt-PT"/>
        </w:rPr>
        <w:t xml:space="preserve">ocument LHE/21/16.COM/INF.10 (paragraph 181) </w:t>
      </w:r>
    </w:p>
  </w:footnote>
  <w:footnote w:id="13">
    <w:p w14:paraId="51DFDC56" w14:textId="79E23880" w:rsidR="00E26DD4" w:rsidRPr="00FD6E94" w:rsidRDefault="00E26DD4" w:rsidP="000175CA">
      <w:pPr>
        <w:pStyle w:val="FootnoteText"/>
        <w:ind w:left="567" w:hanging="567"/>
        <w:rPr>
          <w:rFonts w:asciiTheme="minorBidi" w:hAnsiTheme="minorBidi"/>
          <w:sz w:val="18"/>
          <w:szCs w:val="18"/>
          <w:lang w:val="pt-PT"/>
        </w:rPr>
      </w:pPr>
      <w:r w:rsidRPr="006B6390">
        <w:rPr>
          <w:rStyle w:val="FootnoteReference"/>
          <w:rFonts w:asciiTheme="minorBidi" w:hAnsiTheme="minorBidi"/>
          <w:sz w:val="18"/>
          <w:szCs w:val="18"/>
          <w:vertAlign w:val="baseline"/>
          <w:lang w:val="en-GB"/>
        </w:rPr>
        <w:footnoteRef/>
      </w:r>
      <w:r w:rsidRPr="00FD6E94">
        <w:rPr>
          <w:rFonts w:asciiTheme="minorBidi" w:hAnsiTheme="minorBidi"/>
          <w:sz w:val="18"/>
          <w:szCs w:val="18"/>
          <w:lang w:val="pt-PT"/>
        </w:rPr>
        <w:t>.</w:t>
      </w:r>
      <w:r w:rsidRPr="00FD6E94">
        <w:rPr>
          <w:rFonts w:asciiTheme="minorBidi" w:hAnsiTheme="minorBidi"/>
          <w:sz w:val="18"/>
          <w:szCs w:val="18"/>
          <w:lang w:val="pt-PT"/>
        </w:rPr>
        <w:tab/>
      </w:r>
      <w:r w:rsidRPr="00FD6E94">
        <w:rPr>
          <w:rFonts w:asciiTheme="minorBidi" w:hAnsiTheme="minorBidi"/>
          <w:sz w:val="18"/>
          <w:szCs w:val="18"/>
          <w:lang w:val="pt-PT"/>
        </w:rPr>
        <w:t xml:space="preserve">See </w:t>
      </w:r>
      <w:r w:rsidR="000D6658" w:rsidRPr="00FD6E94">
        <w:rPr>
          <w:rFonts w:asciiTheme="minorBidi" w:hAnsiTheme="minorBidi"/>
          <w:sz w:val="18"/>
          <w:szCs w:val="18"/>
          <w:lang w:val="pt-PT"/>
        </w:rPr>
        <w:t>D</w:t>
      </w:r>
      <w:r w:rsidRPr="00FD6E94">
        <w:rPr>
          <w:rFonts w:asciiTheme="minorBidi" w:hAnsiTheme="minorBidi"/>
          <w:sz w:val="18"/>
          <w:szCs w:val="18"/>
          <w:lang w:val="pt-PT"/>
        </w:rPr>
        <w:t xml:space="preserve">ocument LHE/21/16.COM/INF.10 (paragraph 182) </w:t>
      </w:r>
    </w:p>
  </w:footnote>
  <w:footnote w:id="14">
    <w:p w14:paraId="27784FCF" w14:textId="6EFBA456" w:rsidR="00E26DD4" w:rsidRPr="00846342" w:rsidRDefault="00E26DD4" w:rsidP="00440EAF">
      <w:pPr>
        <w:pStyle w:val="FootnoteText"/>
        <w:ind w:left="567" w:hanging="567"/>
        <w:rPr>
          <w:rFonts w:asciiTheme="minorBidi" w:hAnsiTheme="minorBidi"/>
          <w:sz w:val="18"/>
          <w:szCs w:val="18"/>
        </w:rPr>
      </w:pPr>
      <w:r w:rsidRPr="006B6390">
        <w:rPr>
          <w:rStyle w:val="FootnoteReference"/>
          <w:rFonts w:asciiTheme="minorBidi" w:hAnsiTheme="minorBidi"/>
          <w:sz w:val="18"/>
          <w:szCs w:val="18"/>
          <w:vertAlign w:val="baseline"/>
          <w:lang w:val="en-GB"/>
        </w:rPr>
        <w:footnoteRef/>
      </w:r>
      <w:r w:rsidRPr="00846342">
        <w:rPr>
          <w:rFonts w:asciiTheme="minorBidi" w:hAnsiTheme="minorBidi"/>
          <w:sz w:val="18"/>
          <w:szCs w:val="18"/>
        </w:rPr>
        <w:t xml:space="preserve">. </w:t>
      </w:r>
      <w:r w:rsidRPr="00846342">
        <w:rPr>
          <w:rFonts w:asciiTheme="minorBidi" w:hAnsiTheme="minorBidi"/>
          <w:sz w:val="18"/>
          <w:szCs w:val="18"/>
        </w:rPr>
        <w:tab/>
        <w:t xml:space="preserve">See document LHE/21/16.COM/INF.10 (IOS Recommendation 11) </w:t>
      </w:r>
    </w:p>
  </w:footnote>
  <w:footnote w:id="15">
    <w:p w14:paraId="4B7D0298" w14:textId="73B49652" w:rsidR="00E26DD4" w:rsidRPr="00846342" w:rsidRDefault="00E26DD4" w:rsidP="0030560C">
      <w:pPr>
        <w:pStyle w:val="FootnoteText"/>
        <w:spacing w:after="60"/>
        <w:ind w:left="567" w:hanging="567"/>
        <w:contextualSpacing/>
        <w:rPr>
          <w:rFonts w:asciiTheme="minorBidi" w:hAnsiTheme="minorBidi"/>
          <w:sz w:val="18"/>
          <w:szCs w:val="18"/>
        </w:rPr>
      </w:pPr>
      <w:r w:rsidRPr="006B6390">
        <w:rPr>
          <w:rStyle w:val="FootnoteReference"/>
          <w:rFonts w:asciiTheme="minorBidi" w:hAnsiTheme="minorBidi"/>
          <w:sz w:val="18"/>
          <w:szCs w:val="18"/>
          <w:vertAlign w:val="baseline"/>
          <w:lang w:val="en-GB"/>
        </w:rPr>
        <w:footnoteRef/>
      </w:r>
      <w:r w:rsidRPr="00846342">
        <w:rPr>
          <w:rFonts w:asciiTheme="minorBidi" w:hAnsiTheme="minorBidi"/>
          <w:sz w:val="18"/>
          <w:szCs w:val="18"/>
        </w:rPr>
        <w:t>.</w:t>
      </w:r>
      <w:r w:rsidRPr="00846342">
        <w:rPr>
          <w:rFonts w:asciiTheme="minorBidi" w:hAnsiTheme="minorBidi"/>
          <w:sz w:val="18"/>
          <w:szCs w:val="18"/>
        </w:rPr>
        <w:tab/>
        <w:t xml:space="preserve">Resolution </w:t>
      </w:r>
      <w:hyperlink r:id="rId12" w:history="1">
        <w:r w:rsidRPr="00846342">
          <w:rPr>
            <w:rStyle w:val="Hyperlink"/>
            <w:rFonts w:asciiTheme="minorBidi" w:hAnsiTheme="minorBidi"/>
            <w:sz w:val="18"/>
            <w:szCs w:val="18"/>
          </w:rPr>
          <w:t>8.GA 9</w:t>
        </w:r>
      </w:hyperlink>
      <w:r w:rsidRPr="00846342">
        <w:rPr>
          <w:rStyle w:val="Hyperlink"/>
          <w:rFonts w:asciiTheme="minorBidi" w:hAnsiTheme="minorBidi"/>
          <w:sz w:val="18"/>
          <w:szCs w:val="18"/>
        </w:rPr>
        <w:t>.</w:t>
      </w:r>
    </w:p>
  </w:footnote>
  <w:footnote w:id="16">
    <w:p w14:paraId="15D95D62" w14:textId="71F7CDC2" w:rsidR="00E26DD4" w:rsidRPr="006B6390" w:rsidRDefault="00E26DD4" w:rsidP="0030560C">
      <w:pPr>
        <w:pStyle w:val="FootnoteText"/>
        <w:spacing w:after="60"/>
        <w:ind w:left="567" w:hanging="567"/>
        <w:contextualSpacing/>
        <w:rPr>
          <w:rFonts w:asciiTheme="minorBidi" w:hAnsiTheme="minorBidi"/>
          <w:sz w:val="18"/>
          <w:szCs w:val="18"/>
          <w:lang w:val="en-GB"/>
        </w:rPr>
      </w:pPr>
      <w:r w:rsidRPr="006B6390">
        <w:rPr>
          <w:rStyle w:val="FootnoteReference"/>
          <w:rFonts w:asciiTheme="minorBidi" w:hAnsiTheme="minorBidi"/>
          <w:sz w:val="18"/>
          <w:szCs w:val="18"/>
          <w:vertAlign w:val="baseline"/>
          <w:lang w:val="en-GB"/>
        </w:rPr>
        <w:footnoteRef/>
      </w:r>
      <w:r w:rsidRPr="006B6390">
        <w:rPr>
          <w:rFonts w:asciiTheme="minorBidi" w:hAnsiTheme="minorBidi"/>
          <w:sz w:val="18"/>
          <w:szCs w:val="18"/>
          <w:lang w:val="en-GB"/>
        </w:rPr>
        <w:t xml:space="preserve">. </w:t>
      </w:r>
      <w:r w:rsidRPr="006B6390">
        <w:rPr>
          <w:rFonts w:asciiTheme="minorBidi" w:hAnsiTheme="minorBidi"/>
          <w:sz w:val="18"/>
          <w:szCs w:val="18"/>
          <w:lang w:val="en-GB"/>
        </w:rPr>
        <w:tab/>
        <w:t xml:space="preserve">Resolution </w:t>
      </w:r>
      <w:hyperlink r:id="rId13" w:history="1">
        <w:r w:rsidRPr="006B6390">
          <w:rPr>
            <w:rStyle w:val="Hyperlink"/>
            <w:rFonts w:asciiTheme="minorBidi" w:hAnsiTheme="minorBidi"/>
            <w:sz w:val="18"/>
            <w:szCs w:val="18"/>
            <w:lang w:val="en-GB"/>
          </w:rPr>
          <w:t>8.GA 10</w:t>
        </w:r>
      </w:hyperlink>
      <w:r w:rsidRPr="006B6390">
        <w:rPr>
          <w:rStyle w:val="Hyperlink"/>
          <w:rFonts w:asciiTheme="minorBidi" w:hAnsiTheme="minorBidi"/>
          <w:sz w:val="18"/>
          <w:szCs w:val="18"/>
          <w:lang w:val="en-GB"/>
        </w:rPr>
        <w:t>.</w:t>
      </w:r>
    </w:p>
  </w:footnote>
  <w:footnote w:id="17">
    <w:p w14:paraId="4EE03C1D" w14:textId="36ED6982" w:rsidR="00E26DD4" w:rsidRPr="006B6390" w:rsidRDefault="00E26DD4" w:rsidP="0030560C">
      <w:pPr>
        <w:pStyle w:val="FootnoteText"/>
        <w:spacing w:after="60"/>
        <w:ind w:left="567" w:hanging="567"/>
        <w:contextualSpacing/>
        <w:jc w:val="both"/>
        <w:rPr>
          <w:rFonts w:asciiTheme="minorBidi" w:hAnsiTheme="minorBidi"/>
          <w:sz w:val="18"/>
          <w:szCs w:val="18"/>
          <w:lang w:val="en-GB"/>
        </w:rPr>
      </w:pPr>
      <w:r w:rsidRPr="006B6390">
        <w:rPr>
          <w:rStyle w:val="FootnoteReference"/>
          <w:rFonts w:asciiTheme="minorBidi" w:hAnsiTheme="minorBidi"/>
          <w:sz w:val="18"/>
          <w:szCs w:val="18"/>
          <w:vertAlign w:val="baseline"/>
          <w:lang w:val="en-GB"/>
        </w:rPr>
        <w:footnoteRef/>
      </w:r>
      <w:r w:rsidRPr="006B6390">
        <w:rPr>
          <w:rFonts w:asciiTheme="minorBidi" w:hAnsiTheme="minorBidi"/>
          <w:sz w:val="18"/>
          <w:szCs w:val="18"/>
          <w:lang w:val="en-GB"/>
        </w:rPr>
        <w:t>.</w:t>
      </w:r>
      <w:r w:rsidRPr="006B6390">
        <w:rPr>
          <w:rFonts w:asciiTheme="minorBidi" w:hAnsiTheme="minorBidi"/>
          <w:sz w:val="18"/>
          <w:szCs w:val="18"/>
          <w:lang w:val="en-GB"/>
        </w:rPr>
        <w:tab/>
        <w:t>During the reporting period, the Secretariat organized five meetings of the Evaluation Body to evaluate fifty-two nomination files for the 2020 cycle as well as sixty files for the 2021 cycle. The Secretariat also administered technical completeness for fifty-nine nomination files for the 2022 cycle.</w:t>
      </w:r>
    </w:p>
  </w:footnote>
  <w:footnote w:id="18">
    <w:p w14:paraId="0B6EF144" w14:textId="28EF9FE9" w:rsidR="00E26DD4" w:rsidRPr="006B6390" w:rsidRDefault="00E26DD4" w:rsidP="00AC12E9">
      <w:pPr>
        <w:pStyle w:val="FootnoteText"/>
        <w:tabs>
          <w:tab w:val="left" w:pos="567"/>
        </w:tabs>
        <w:spacing w:after="60"/>
        <w:contextualSpacing/>
        <w:jc w:val="both"/>
        <w:rPr>
          <w:rFonts w:asciiTheme="minorBidi" w:hAnsiTheme="minorBidi"/>
          <w:sz w:val="18"/>
          <w:szCs w:val="18"/>
          <w:lang w:val="en-GB"/>
        </w:rPr>
      </w:pPr>
      <w:r w:rsidRPr="006B6390">
        <w:rPr>
          <w:rStyle w:val="FootnoteReference"/>
          <w:rFonts w:asciiTheme="minorBidi" w:hAnsiTheme="minorBidi"/>
          <w:sz w:val="18"/>
          <w:szCs w:val="18"/>
          <w:vertAlign w:val="baseline"/>
          <w:lang w:val="en-GB"/>
        </w:rPr>
        <w:footnoteRef/>
      </w:r>
      <w:r w:rsidRPr="006B6390">
        <w:rPr>
          <w:rFonts w:asciiTheme="minorBidi" w:hAnsiTheme="minorBidi"/>
          <w:sz w:val="18"/>
          <w:szCs w:val="18"/>
          <w:lang w:val="en-GB"/>
        </w:rPr>
        <w:t>.</w:t>
      </w:r>
      <w:r w:rsidRPr="006B6390">
        <w:rPr>
          <w:rFonts w:asciiTheme="minorBidi" w:hAnsiTheme="minorBidi"/>
          <w:sz w:val="18"/>
          <w:szCs w:val="18"/>
          <w:lang w:val="en-GB"/>
        </w:rPr>
        <w:tab/>
      </w:r>
      <w:r w:rsidRPr="006B6390">
        <w:rPr>
          <w:rFonts w:asciiTheme="minorBidi" w:hAnsiTheme="minorBidi"/>
          <w:b/>
          <w:sz w:val="18"/>
          <w:szCs w:val="18"/>
          <w:lang w:val="en-GB"/>
        </w:rPr>
        <w:t>Meetings in 2020:</w:t>
      </w:r>
    </w:p>
    <w:p w14:paraId="3A2A712E" w14:textId="77777777" w:rsidR="00E26DD4" w:rsidRPr="006B6390" w:rsidRDefault="00E26DD4" w:rsidP="0030560C">
      <w:pPr>
        <w:pStyle w:val="FootnoteText"/>
        <w:spacing w:after="60"/>
        <w:ind w:left="567" w:firstLine="153"/>
        <w:contextualSpacing/>
        <w:jc w:val="both"/>
        <w:rPr>
          <w:rFonts w:asciiTheme="minorBidi" w:hAnsiTheme="minorBidi"/>
          <w:sz w:val="18"/>
          <w:szCs w:val="18"/>
          <w:lang w:val="en-GB"/>
        </w:rPr>
      </w:pPr>
      <w:r w:rsidRPr="006B6390">
        <w:rPr>
          <w:rFonts w:asciiTheme="minorBidi" w:hAnsiTheme="minorBidi"/>
          <w:sz w:val="18"/>
          <w:szCs w:val="18"/>
          <w:lang w:val="en-GB"/>
        </w:rPr>
        <w:t>4 meetings of the 15.COM Bureau;</w:t>
      </w:r>
    </w:p>
    <w:p w14:paraId="0944C363" w14:textId="09A72A9E" w:rsidR="00E26DD4" w:rsidRPr="006B6390" w:rsidRDefault="00E26DD4" w:rsidP="0030560C">
      <w:pPr>
        <w:pStyle w:val="FootnoteText"/>
        <w:spacing w:after="60"/>
        <w:ind w:left="567" w:firstLine="153"/>
        <w:contextualSpacing/>
        <w:jc w:val="both"/>
        <w:rPr>
          <w:rFonts w:asciiTheme="minorBidi" w:hAnsiTheme="minorBidi"/>
          <w:sz w:val="18"/>
          <w:szCs w:val="18"/>
          <w:lang w:val="en-GB"/>
        </w:rPr>
      </w:pPr>
      <w:r w:rsidRPr="006B6390">
        <w:rPr>
          <w:rFonts w:asciiTheme="minorBidi" w:hAnsiTheme="minorBidi"/>
          <w:sz w:val="18"/>
          <w:szCs w:val="18"/>
          <w:lang w:val="en-GB"/>
        </w:rPr>
        <w:t>8</w:t>
      </w:r>
      <w:r w:rsidRPr="006B6390">
        <w:rPr>
          <w:rFonts w:asciiTheme="minorBidi" w:hAnsiTheme="minorBidi"/>
          <w:sz w:val="18"/>
          <w:szCs w:val="18"/>
          <w:vertAlign w:val="superscript"/>
          <w:lang w:val="en-GB"/>
        </w:rPr>
        <w:t>th</w:t>
      </w:r>
      <w:r w:rsidRPr="006B6390">
        <w:rPr>
          <w:rFonts w:asciiTheme="minorBidi" w:hAnsiTheme="minorBidi"/>
          <w:sz w:val="18"/>
          <w:szCs w:val="18"/>
          <w:lang w:val="en-GB"/>
        </w:rPr>
        <w:t xml:space="preserve"> session of the General Assembly of the States Parties to the Convention, UNESCO HQ, 8–10 September 2020;</w:t>
      </w:r>
    </w:p>
    <w:p w14:paraId="2E085FFE" w14:textId="77777777" w:rsidR="00E26DD4" w:rsidRPr="006B6390" w:rsidRDefault="00E26DD4" w:rsidP="0030560C">
      <w:pPr>
        <w:pStyle w:val="FootnoteText"/>
        <w:spacing w:after="60"/>
        <w:ind w:left="567" w:firstLine="153"/>
        <w:contextualSpacing/>
        <w:jc w:val="both"/>
        <w:rPr>
          <w:rFonts w:asciiTheme="minorBidi" w:hAnsiTheme="minorBidi"/>
          <w:sz w:val="18"/>
          <w:szCs w:val="18"/>
          <w:lang w:val="en-GB"/>
        </w:rPr>
      </w:pPr>
      <w:r w:rsidRPr="006B6390">
        <w:rPr>
          <w:rFonts w:asciiTheme="minorBidi" w:hAnsiTheme="minorBidi"/>
          <w:sz w:val="18"/>
          <w:szCs w:val="18"/>
          <w:lang w:val="en-GB"/>
        </w:rPr>
        <w:t>3 meetings of the Evaluation Body for the 2020 cycle; and</w:t>
      </w:r>
    </w:p>
    <w:p w14:paraId="12576180" w14:textId="7DB80E1B" w:rsidR="00E26DD4" w:rsidRPr="006B6390" w:rsidRDefault="00E26DD4" w:rsidP="0030560C">
      <w:pPr>
        <w:pStyle w:val="FootnoteText"/>
        <w:spacing w:after="60"/>
        <w:ind w:left="567" w:firstLine="153"/>
        <w:contextualSpacing/>
        <w:jc w:val="both"/>
        <w:rPr>
          <w:rFonts w:asciiTheme="minorBidi" w:hAnsiTheme="minorBidi"/>
          <w:sz w:val="18"/>
          <w:szCs w:val="18"/>
          <w:lang w:val="en-GB"/>
        </w:rPr>
      </w:pPr>
      <w:r w:rsidRPr="006B6390">
        <w:rPr>
          <w:rFonts w:asciiTheme="minorBidi" w:hAnsiTheme="minorBidi"/>
          <w:sz w:val="18"/>
          <w:szCs w:val="18"/>
          <w:lang w:val="en-GB"/>
        </w:rPr>
        <w:t>15</w:t>
      </w:r>
      <w:r w:rsidRPr="006B6390">
        <w:rPr>
          <w:rFonts w:asciiTheme="minorBidi" w:hAnsiTheme="minorBidi"/>
          <w:sz w:val="18"/>
          <w:szCs w:val="18"/>
          <w:vertAlign w:val="superscript"/>
          <w:lang w:val="en-GB"/>
        </w:rPr>
        <w:t>th</w:t>
      </w:r>
      <w:r w:rsidRPr="006B6390">
        <w:rPr>
          <w:rFonts w:asciiTheme="minorBidi" w:hAnsiTheme="minorBidi"/>
          <w:sz w:val="18"/>
          <w:szCs w:val="18"/>
          <w:lang w:val="en-GB"/>
        </w:rPr>
        <w:t xml:space="preserve"> session of the Intergovernmental Committee, Online, 14–19 December 2020.</w:t>
      </w:r>
    </w:p>
    <w:p w14:paraId="3D443741" w14:textId="77777777" w:rsidR="00E26DD4" w:rsidRPr="006B6390" w:rsidRDefault="00E26DD4" w:rsidP="0030560C">
      <w:pPr>
        <w:pStyle w:val="FootnoteText"/>
        <w:keepNext/>
        <w:spacing w:after="60"/>
        <w:ind w:left="567"/>
        <w:contextualSpacing/>
        <w:jc w:val="both"/>
        <w:rPr>
          <w:rFonts w:asciiTheme="minorBidi" w:hAnsiTheme="minorBidi"/>
          <w:b/>
          <w:sz w:val="18"/>
          <w:szCs w:val="18"/>
          <w:lang w:val="en-GB"/>
        </w:rPr>
      </w:pPr>
      <w:r w:rsidRPr="006B6390">
        <w:rPr>
          <w:rFonts w:asciiTheme="minorBidi" w:hAnsiTheme="minorBidi"/>
          <w:b/>
          <w:sz w:val="18"/>
          <w:szCs w:val="18"/>
          <w:lang w:val="en-GB"/>
        </w:rPr>
        <w:t>Meetings in 2021 (01/01/2021 to 30/06/2021):</w:t>
      </w:r>
    </w:p>
    <w:p w14:paraId="7D088496" w14:textId="77777777" w:rsidR="00E26DD4" w:rsidRPr="006B6390" w:rsidRDefault="00E26DD4" w:rsidP="0030560C">
      <w:pPr>
        <w:pStyle w:val="FootnoteText"/>
        <w:spacing w:after="60"/>
        <w:ind w:left="567" w:firstLine="153"/>
        <w:contextualSpacing/>
        <w:jc w:val="both"/>
        <w:rPr>
          <w:rFonts w:asciiTheme="minorBidi" w:hAnsiTheme="minorBidi"/>
          <w:sz w:val="18"/>
          <w:szCs w:val="18"/>
          <w:lang w:val="en-GB"/>
        </w:rPr>
      </w:pPr>
      <w:r w:rsidRPr="006B6390">
        <w:rPr>
          <w:rFonts w:asciiTheme="minorBidi" w:hAnsiTheme="minorBidi"/>
          <w:sz w:val="18"/>
          <w:szCs w:val="18"/>
          <w:lang w:val="en-GB"/>
        </w:rPr>
        <w:t>2 meetings of the 16.COM Bureau;</w:t>
      </w:r>
    </w:p>
    <w:p w14:paraId="4AD375BD" w14:textId="77777777" w:rsidR="00E26DD4" w:rsidRPr="006B6390" w:rsidRDefault="00E26DD4" w:rsidP="0030560C">
      <w:pPr>
        <w:pStyle w:val="FootnoteText"/>
        <w:spacing w:after="60"/>
        <w:ind w:left="567" w:firstLine="153"/>
        <w:contextualSpacing/>
        <w:jc w:val="both"/>
        <w:rPr>
          <w:rFonts w:asciiTheme="minorBidi" w:hAnsiTheme="minorBidi"/>
          <w:sz w:val="18"/>
          <w:szCs w:val="18"/>
          <w:lang w:val="en-GB"/>
        </w:rPr>
      </w:pPr>
      <w:r w:rsidRPr="006B6390">
        <w:rPr>
          <w:rFonts w:asciiTheme="minorBidi" w:hAnsiTheme="minorBidi"/>
          <w:sz w:val="18"/>
          <w:szCs w:val="18"/>
          <w:lang w:val="en-GB"/>
        </w:rPr>
        <w:t>2 meetings of the Evaluation Body for the 2021 cycle;</w:t>
      </w:r>
    </w:p>
    <w:p w14:paraId="2D58A841" w14:textId="02979690" w:rsidR="00E26DD4" w:rsidRPr="006B6390" w:rsidRDefault="00E26DD4" w:rsidP="0030560C">
      <w:pPr>
        <w:pStyle w:val="FootnoteText"/>
        <w:spacing w:after="60"/>
        <w:ind w:left="567" w:firstLine="153"/>
        <w:contextualSpacing/>
        <w:jc w:val="both"/>
        <w:rPr>
          <w:rFonts w:asciiTheme="minorBidi" w:hAnsiTheme="minorBidi"/>
          <w:sz w:val="18"/>
          <w:szCs w:val="18"/>
          <w:lang w:val="en-GB"/>
        </w:rPr>
      </w:pPr>
      <w:r w:rsidRPr="006B6390">
        <w:rPr>
          <w:rFonts w:asciiTheme="minorBidi" w:hAnsiTheme="minorBidi"/>
          <w:sz w:val="18"/>
          <w:szCs w:val="18"/>
          <w:lang w:val="en-GB"/>
        </w:rPr>
        <w:t>Meeting of experts (Category VI) in the framework of the global reflection on the listing mechanisms of the 2003 Convention, Online, 7–27 May 2021.</w:t>
      </w:r>
    </w:p>
  </w:footnote>
  <w:footnote w:id="19">
    <w:p w14:paraId="3D3BA23A" w14:textId="77777777" w:rsidR="00E26DD4" w:rsidRPr="006B6390" w:rsidRDefault="00E26DD4" w:rsidP="0030560C">
      <w:pPr>
        <w:pStyle w:val="FootnoteText"/>
        <w:tabs>
          <w:tab w:val="left" w:pos="567"/>
        </w:tabs>
        <w:spacing w:after="60"/>
        <w:ind w:left="567" w:hanging="567"/>
        <w:contextualSpacing/>
        <w:jc w:val="both"/>
        <w:rPr>
          <w:rFonts w:asciiTheme="minorBidi" w:hAnsiTheme="minorBidi"/>
          <w:sz w:val="18"/>
          <w:szCs w:val="18"/>
          <w:highlight w:val="yellow"/>
          <w:lang w:val="en-GB"/>
        </w:rPr>
      </w:pPr>
      <w:r w:rsidRPr="006B6390">
        <w:rPr>
          <w:rStyle w:val="FootnoteReference"/>
          <w:rFonts w:asciiTheme="minorBidi" w:hAnsiTheme="minorBidi"/>
          <w:sz w:val="18"/>
          <w:szCs w:val="18"/>
          <w:vertAlign w:val="baseline"/>
          <w:lang w:val="en-GB"/>
        </w:rPr>
        <w:footnoteRef/>
      </w:r>
      <w:r w:rsidRPr="006B6390">
        <w:rPr>
          <w:rFonts w:asciiTheme="minorBidi" w:hAnsiTheme="minorBidi"/>
          <w:sz w:val="18"/>
          <w:szCs w:val="18"/>
          <w:lang w:val="en-GB"/>
        </w:rPr>
        <w:t>.</w:t>
      </w:r>
      <w:r w:rsidRPr="006B6390">
        <w:rPr>
          <w:rFonts w:asciiTheme="minorBidi" w:hAnsiTheme="minorBidi"/>
          <w:sz w:val="18"/>
          <w:szCs w:val="18"/>
          <w:lang w:val="en-GB"/>
        </w:rPr>
        <w:tab/>
        <w:t>Training of National focal points for the reformed periodic reporting process in Latin America and the Caribbean – Online (19 May–23 June 2020), ICH Training of Trainers for Central Asia – Online (24–28 August 2020), Training of National focal points for the reformed periodic reporting process in the Europe Region – Online (19 March–16 April 2021).</w:t>
      </w:r>
    </w:p>
  </w:footnote>
  <w:footnote w:id="20">
    <w:p w14:paraId="33CB5207" w14:textId="77777777" w:rsidR="00E26DD4" w:rsidRPr="006B6390" w:rsidRDefault="00E26DD4" w:rsidP="0030560C">
      <w:pPr>
        <w:tabs>
          <w:tab w:val="left" w:pos="540"/>
        </w:tabs>
        <w:spacing w:after="60"/>
        <w:ind w:left="567" w:hanging="567"/>
        <w:contextualSpacing/>
        <w:jc w:val="both"/>
        <w:rPr>
          <w:rFonts w:asciiTheme="minorBidi" w:hAnsiTheme="minorBidi" w:cstheme="minorBidi"/>
          <w:sz w:val="18"/>
          <w:szCs w:val="18"/>
          <w:lang w:val="en-GB"/>
        </w:rPr>
      </w:pPr>
      <w:r w:rsidRPr="006B6390">
        <w:rPr>
          <w:rFonts w:asciiTheme="minorBidi" w:hAnsiTheme="minorBidi" w:cstheme="minorBidi"/>
          <w:sz w:val="18"/>
          <w:szCs w:val="18"/>
          <w:lang w:val="en-GB"/>
        </w:rPr>
        <w:footnoteRef/>
      </w:r>
      <w:r w:rsidRPr="006B6390">
        <w:rPr>
          <w:rFonts w:asciiTheme="minorBidi" w:hAnsiTheme="minorBidi" w:cstheme="minorBidi"/>
          <w:sz w:val="18"/>
          <w:szCs w:val="18"/>
          <w:lang w:val="en-GB"/>
        </w:rPr>
        <w:t>.</w:t>
      </w:r>
      <w:r w:rsidRPr="006B6390">
        <w:rPr>
          <w:rFonts w:asciiTheme="minorBidi" w:hAnsiTheme="minorBidi" w:cstheme="minorBidi"/>
          <w:sz w:val="18"/>
          <w:szCs w:val="18"/>
          <w:lang w:val="en-GB"/>
        </w:rPr>
        <w:tab/>
        <w:t>Regional Centre for the Safeguarding of Intangible Cultural Heritage in Latin America (CRESPIAL), International Training Centre for Intangible Cultural Heritage in the Asia</w:t>
      </w:r>
      <w:r w:rsidRPr="006B6390">
        <w:rPr>
          <w:rFonts w:asciiTheme="minorBidi" w:hAnsiTheme="minorBidi" w:cstheme="minorBidi"/>
          <w:sz w:val="18"/>
          <w:szCs w:val="18"/>
          <w:lang w:val="en-GB"/>
        </w:rPr>
        <w:noBreakHyphen/>
        <w:t>Pacific Region (CRIHAP).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6C88C9D7" w:rsidR="00E26DD4" w:rsidRPr="00C23A97" w:rsidRDefault="00E26DD4" w:rsidP="00C5776D">
    <w:pPr>
      <w:pStyle w:val="Header"/>
      <w:rPr>
        <w:rFonts w:ascii="Arial" w:hAnsi="Arial" w:cs="Arial"/>
        <w:lang w:val="en-GB"/>
      </w:rPr>
    </w:pPr>
    <w:r>
      <w:rPr>
        <w:rFonts w:ascii="Arial" w:hAnsi="Arial" w:cs="Arial"/>
        <w:sz w:val="20"/>
        <w:szCs w:val="20"/>
        <w:lang w:val="en-GB"/>
      </w:rPr>
      <w:t>LHE/21/16.COM</w:t>
    </w:r>
    <w:r w:rsidRPr="00C23A97">
      <w:rPr>
        <w:rFonts w:ascii="Arial" w:hAnsi="Arial" w:cs="Arial"/>
        <w:sz w:val="20"/>
        <w:szCs w:val="20"/>
        <w:lang w:val="en-GB"/>
      </w:rPr>
      <w:t>/</w:t>
    </w:r>
    <w:r>
      <w:rPr>
        <w:rFonts w:ascii="Arial" w:hAnsi="Arial" w:cs="Arial"/>
        <w:sz w:val="20"/>
        <w:szCs w:val="20"/>
        <w:lang w:val="en-GB"/>
      </w:rPr>
      <w:t>5.b</w:t>
    </w:r>
    <w:r w:rsidRPr="00C23A97">
      <w:rPr>
        <w:rFonts w:ascii="Arial" w:hAnsi="Arial" w:cs="Arial"/>
        <w:sz w:val="20"/>
        <w:szCs w:val="20"/>
        <w:lang w:val="en-GB"/>
      </w:rPr>
      <w:t xml:space="preserve"> </w:t>
    </w:r>
    <w:r w:rsidR="00846342">
      <w:rPr>
        <w:rFonts w:ascii="Arial" w:hAnsi="Arial" w:cs="Arial"/>
        <w:sz w:val="20"/>
        <w:szCs w:val="20"/>
        <w:lang w:val="en-GB"/>
      </w:rPr>
      <w:t>Rev.</w:t>
    </w:r>
    <w:r w:rsidR="00F3296A">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4E96069E" w:rsidR="00E26DD4" w:rsidRPr="0063300C" w:rsidRDefault="00E26DD4" w:rsidP="00C5776D">
    <w:pPr>
      <w:pStyle w:val="Header"/>
      <w:jc w:val="right"/>
      <w:rPr>
        <w:rFonts w:ascii="Arial" w:hAnsi="Arial" w:cs="Arial"/>
        <w:lang w:val="en-GB"/>
      </w:rPr>
    </w:pPr>
    <w:r>
      <w:rPr>
        <w:rFonts w:ascii="Arial" w:hAnsi="Arial" w:cs="Arial"/>
        <w:sz w:val="20"/>
        <w:szCs w:val="20"/>
        <w:lang w:val="en-GB"/>
      </w:rPr>
      <w:t>LHE/21/16.COM</w:t>
    </w:r>
    <w:r w:rsidRPr="0063300C">
      <w:rPr>
        <w:rFonts w:ascii="Arial" w:hAnsi="Arial" w:cs="Arial"/>
        <w:sz w:val="20"/>
        <w:szCs w:val="20"/>
        <w:lang w:val="en-GB"/>
      </w:rPr>
      <w:t>/</w:t>
    </w:r>
    <w:r>
      <w:rPr>
        <w:rFonts w:ascii="Arial" w:hAnsi="Arial" w:cs="Arial"/>
        <w:sz w:val="20"/>
        <w:szCs w:val="20"/>
        <w:lang w:val="en-GB"/>
      </w:rPr>
      <w:t>5.b</w:t>
    </w:r>
    <w:r w:rsidRPr="00E2125F">
      <w:rPr>
        <w:rFonts w:ascii="Arial" w:hAnsi="Arial" w:cs="Arial"/>
        <w:sz w:val="20"/>
        <w:szCs w:val="20"/>
        <w:lang w:val="en-GB"/>
      </w:rPr>
      <w:t xml:space="preserve"> </w:t>
    </w:r>
    <w:r w:rsidR="00846342">
      <w:rPr>
        <w:rFonts w:ascii="Arial" w:hAnsi="Arial" w:cs="Arial"/>
        <w:sz w:val="20"/>
        <w:szCs w:val="20"/>
        <w:lang w:val="en-GB"/>
      </w:rPr>
      <w:t>Rev.</w:t>
    </w:r>
    <w:r w:rsidR="00F3296A">
      <w:rPr>
        <w:rFonts w:ascii="Arial" w:hAnsi="Arial" w:cs="Arial"/>
        <w:sz w:val="20"/>
        <w:szCs w:val="20"/>
        <w:lang w:val="en-GB"/>
      </w:rPr>
      <w:t xml:space="preserve"> </w:t>
    </w:r>
    <w:r w:rsidRPr="00E2125F">
      <w:rPr>
        <w:rFonts w:ascii="Arial" w:hAnsi="Arial" w:cs="Arial"/>
        <w:sz w:val="20"/>
        <w:szCs w:val="20"/>
        <w:lang w:val="en-GB"/>
      </w:rPr>
      <w:t>–</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6024C938" w:rsidR="00E26DD4" w:rsidRPr="00352C08" w:rsidRDefault="00E26DD4">
    <w:pPr>
      <w:pStyle w:val="Header"/>
      <w:rPr>
        <w:sz w:val="22"/>
        <w:szCs w:val="22"/>
        <w:lang w:val="en-GB"/>
      </w:rPr>
    </w:pPr>
    <w:r w:rsidRPr="00352C08">
      <w:rPr>
        <w:noProof/>
        <w:lang w:val="en-GB"/>
      </w:rPr>
      <w:drawing>
        <wp:anchor distT="0" distB="0" distL="114300" distR="114300" simplePos="0" relativeHeight="251659264" behindDoc="0" locked="0" layoutInCell="1" allowOverlap="1" wp14:anchorId="7E484C05" wp14:editId="4F1D5CAD">
          <wp:simplePos x="0" y="0"/>
          <wp:positionH relativeFrom="column">
            <wp:posOffset>19050</wp:posOffset>
          </wp:positionH>
          <wp:positionV relativeFrom="paragraph">
            <wp:posOffset>78105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E26DD4" w:rsidRPr="00352C08" w:rsidRDefault="00E26DD4" w:rsidP="00C5776D">
    <w:pPr>
      <w:pStyle w:val="Header"/>
      <w:spacing w:after="520"/>
      <w:jc w:val="right"/>
      <w:rPr>
        <w:rFonts w:ascii="Arial" w:hAnsi="Arial" w:cs="Arial"/>
        <w:b/>
        <w:sz w:val="44"/>
        <w:szCs w:val="44"/>
        <w:lang w:val="pt-PT"/>
      </w:rPr>
    </w:pPr>
    <w:r w:rsidRPr="00352C08">
      <w:rPr>
        <w:rFonts w:ascii="Arial" w:hAnsi="Arial" w:cs="Arial"/>
        <w:b/>
        <w:sz w:val="44"/>
        <w:szCs w:val="44"/>
        <w:lang w:val="pt-PT"/>
      </w:rPr>
      <w:t>16 COM</w:t>
    </w:r>
  </w:p>
  <w:p w14:paraId="306484B8" w14:textId="08C1ECB9" w:rsidR="00E26DD4" w:rsidRPr="00352C08" w:rsidRDefault="00E26DD4" w:rsidP="00C5776D">
    <w:pPr>
      <w:jc w:val="right"/>
      <w:rPr>
        <w:rFonts w:ascii="Arial" w:hAnsi="Arial" w:cs="Arial"/>
        <w:b/>
        <w:sz w:val="22"/>
        <w:szCs w:val="22"/>
        <w:lang w:val="pt-PT"/>
      </w:rPr>
    </w:pPr>
    <w:r w:rsidRPr="00352C08">
      <w:rPr>
        <w:rFonts w:ascii="Arial" w:hAnsi="Arial" w:cs="Arial"/>
        <w:b/>
        <w:sz w:val="22"/>
        <w:szCs w:val="22"/>
        <w:lang w:val="pt-PT"/>
      </w:rPr>
      <w:t>LHE/21/16.COM/5.b</w:t>
    </w:r>
    <w:r w:rsidR="00846342">
      <w:rPr>
        <w:rFonts w:ascii="Arial" w:hAnsi="Arial" w:cs="Arial"/>
        <w:b/>
        <w:sz w:val="22"/>
        <w:szCs w:val="22"/>
        <w:lang w:val="pt-PT"/>
      </w:rPr>
      <w:t xml:space="preserve"> Rev.</w:t>
    </w:r>
  </w:p>
  <w:p w14:paraId="1B4446C3" w14:textId="60957C82" w:rsidR="00E26DD4" w:rsidRPr="00352C08" w:rsidRDefault="00E26DD4" w:rsidP="00655736">
    <w:pPr>
      <w:jc w:val="right"/>
      <w:rPr>
        <w:rFonts w:ascii="Arial" w:eastAsiaTheme="minorEastAsia" w:hAnsi="Arial" w:cs="Arial"/>
        <w:b/>
        <w:sz w:val="22"/>
        <w:szCs w:val="22"/>
        <w:lang w:val="pt-PT" w:eastAsia="ko-KR"/>
      </w:rPr>
    </w:pPr>
    <w:r w:rsidRPr="00352C08">
      <w:rPr>
        <w:rFonts w:ascii="Arial" w:hAnsi="Arial" w:cs="Arial"/>
        <w:b/>
        <w:sz w:val="22"/>
        <w:szCs w:val="22"/>
        <w:lang w:val="pt-PT"/>
      </w:rPr>
      <w:t xml:space="preserve">Paris, </w:t>
    </w:r>
    <w:r w:rsidR="00846342">
      <w:rPr>
        <w:rFonts w:ascii="Arial" w:hAnsi="Arial" w:cs="Arial"/>
        <w:b/>
        <w:sz w:val="22"/>
        <w:szCs w:val="22"/>
        <w:lang w:val="pt-PT"/>
      </w:rPr>
      <w:t>10</w:t>
    </w:r>
    <w:r w:rsidRPr="00352C08">
      <w:rPr>
        <w:rFonts w:ascii="Arial" w:hAnsi="Arial" w:cs="Arial"/>
        <w:b/>
        <w:sz w:val="22"/>
        <w:szCs w:val="22"/>
        <w:lang w:val="pt-PT"/>
      </w:rPr>
      <w:t xml:space="preserve"> </w:t>
    </w:r>
    <w:proofErr w:type="spellStart"/>
    <w:r w:rsidR="00846342">
      <w:rPr>
        <w:rFonts w:ascii="Arial" w:hAnsi="Arial" w:cs="Arial"/>
        <w:b/>
        <w:sz w:val="22"/>
        <w:szCs w:val="22"/>
        <w:lang w:val="pt-PT"/>
      </w:rPr>
      <w:t>December</w:t>
    </w:r>
    <w:proofErr w:type="spellEnd"/>
    <w:r w:rsidRPr="00352C08">
      <w:rPr>
        <w:rFonts w:ascii="Arial" w:hAnsi="Arial" w:cs="Arial"/>
        <w:b/>
        <w:sz w:val="22"/>
        <w:szCs w:val="22"/>
        <w:lang w:val="pt-PT"/>
      </w:rPr>
      <w:t xml:space="preserve"> 2021</w:t>
    </w:r>
  </w:p>
  <w:p w14:paraId="255B57FF" w14:textId="3B83B06C" w:rsidR="00E26DD4" w:rsidRPr="00F32C23" w:rsidRDefault="00E26DD4" w:rsidP="00962034">
    <w:pPr>
      <w:spacing w:after="120"/>
      <w:jc w:val="right"/>
      <w:rPr>
        <w:rFonts w:ascii="Arial" w:hAnsi="Arial" w:cs="Arial"/>
        <w:b/>
        <w:sz w:val="22"/>
        <w:szCs w:val="22"/>
        <w:lang w:val="en-GB"/>
      </w:rPr>
    </w:pPr>
    <w:r w:rsidRPr="00352C08">
      <w:rPr>
        <w:rFonts w:ascii="Arial" w:hAnsi="Arial" w:cs="Arial"/>
        <w:b/>
        <w:sz w:val="22"/>
        <w:szCs w:val="22"/>
        <w:lang w:val="en-GB"/>
      </w:rPr>
      <w:t>Original: English</w:t>
    </w:r>
  </w:p>
  <w:p w14:paraId="3C4B8B1B" w14:textId="77777777" w:rsidR="00E26DD4" w:rsidRPr="00E95AE2" w:rsidRDefault="00E26DD4">
    <w:pPr>
      <w:pStyle w:val="Header"/>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8796" w14:textId="53A2993A" w:rsidR="00E26DD4" w:rsidRPr="008120C4" w:rsidRDefault="00E26DD4" w:rsidP="00E26DD4">
    <w:pPr>
      <w:pStyle w:val="Header"/>
      <w:jc w:val="right"/>
      <w:rPr>
        <w:rFonts w:ascii="Arial" w:hAnsi="Arial" w:cs="Arial"/>
        <w:lang w:val="en-GB"/>
      </w:rPr>
    </w:pPr>
    <w:r>
      <w:rPr>
        <w:rFonts w:ascii="Arial" w:hAnsi="Arial" w:cs="Arial"/>
        <w:sz w:val="20"/>
        <w:szCs w:val="20"/>
        <w:lang w:val="en-GB"/>
      </w:rPr>
      <w:t>LHE/21/16</w:t>
    </w:r>
    <w:r w:rsidRPr="00C23A97">
      <w:rPr>
        <w:rFonts w:ascii="Arial" w:hAnsi="Arial" w:cs="Arial"/>
        <w:sz w:val="20"/>
        <w:szCs w:val="20"/>
        <w:lang w:val="en-GB"/>
      </w:rPr>
      <w:t>.</w:t>
    </w:r>
    <w:r>
      <w:rPr>
        <w:rFonts w:ascii="Arial" w:hAnsi="Arial" w:cs="Arial"/>
        <w:sz w:val="20"/>
        <w:szCs w:val="20"/>
        <w:lang w:val="en-GB"/>
      </w:rPr>
      <w:t>COM</w:t>
    </w:r>
    <w:r w:rsidRPr="00C23A97">
      <w:rPr>
        <w:rFonts w:ascii="Arial" w:hAnsi="Arial" w:cs="Arial"/>
        <w:sz w:val="20"/>
        <w:szCs w:val="20"/>
        <w:lang w:val="en-GB"/>
      </w:rPr>
      <w:t>/</w:t>
    </w:r>
    <w:r>
      <w:rPr>
        <w:rFonts w:ascii="Arial" w:hAnsi="Arial" w:cs="Arial"/>
        <w:sz w:val="20"/>
        <w:szCs w:val="20"/>
        <w:lang w:val="en-GB"/>
      </w:rPr>
      <w:t>5.b</w:t>
    </w:r>
    <w:r w:rsidR="00D05FBF">
      <w:rPr>
        <w:rFonts w:ascii="Arial" w:hAnsi="Arial" w:cs="Arial"/>
        <w:sz w:val="20"/>
        <w:szCs w:val="20"/>
        <w:lang w:val="en-GB"/>
      </w:rPr>
      <w:t xml:space="preserve"> Rev.</w:t>
    </w:r>
    <w:r w:rsidRPr="00C23A97">
      <w:rPr>
        <w:rFonts w:ascii="Arial" w:hAnsi="Arial" w:cs="Arial"/>
        <w:sz w:val="20"/>
        <w:szCs w:val="20"/>
        <w:lang w:val="en-GB"/>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noProof/>
        <w:sz w:val="20"/>
        <w:szCs w:val="20"/>
      </w:rPr>
      <w:t>17</w:t>
    </w:r>
    <w:r w:rsidRPr="00C23A97">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401E05"/>
    <w:multiLevelType w:val="hybridMultilevel"/>
    <w:tmpl w:val="761438F6"/>
    <w:lvl w:ilvl="0" w:tplc="86807812">
      <w:start w:val="1"/>
      <w:numFmt w:val="decimal"/>
      <w:lvlText w:val="%1."/>
      <w:lvlJc w:val="left"/>
      <w:pPr>
        <w:ind w:left="1080" w:hanging="360"/>
      </w:pPr>
      <w:rPr>
        <w:b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1973C66"/>
    <w:multiLevelType w:val="hybridMultilevel"/>
    <w:tmpl w:val="3D8A4CF6"/>
    <w:lvl w:ilvl="0" w:tplc="42BEFAF6">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5F07BFE"/>
    <w:multiLevelType w:val="hybridMultilevel"/>
    <w:tmpl w:val="F4723D0A"/>
    <w:lvl w:ilvl="0" w:tplc="38AECA9A">
      <w:start w:val="1"/>
      <w:numFmt w:val="decimal"/>
      <w:pStyle w:val="COMPara"/>
      <w:lvlText w:val="%1."/>
      <w:lvlJc w:val="left"/>
      <w:pPr>
        <w:ind w:left="720" w:hanging="360"/>
      </w:pPr>
      <w:rPr>
        <w:rFonts w:ascii="Arial" w:hAnsi="Arial" w:cs="Arial" w:hint="default"/>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D012921"/>
    <w:multiLevelType w:val="hybridMultilevel"/>
    <w:tmpl w:val="0B8A0C5C"/>
    <w:lvl w:ilvl="0" w:tplc="6E4616FA">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3"/>
  </w:num>
  <w:num w:numId="3">
    <w:abstractNumId w:val="4"/>
  </w:num>
  <w:num w:numId="4">
    <w:abstractNumId w:val="5"/>
  </w:num>
  <w:num w:numId="5">
    <w:abstractNumId w:val="9"/>
  </w:num>
  <w:num w:numId="6">
    <w:abstractNumId w:val="7"/>
  </w:num>
  <w:num w:numId="7">
    <w:abstractNumId w:val="4"/>
    <w:lvlOverride w:ilvl="0">
      <w:startOverride w:val="1"/>
    </w:lvlOverride>
  </w:num>
  <w:num w:numId="8">
    <w:abstractNumId w:val="1"/>
  </w:num>
  <w:num w:numId="9">
    <w:abstractNumId w:val="3"/>
  </w:num>
  <w:num w:numId="10">
    <w:abstractNumId w:val="6"/>
  </w:num>
  <w:num w:numId="11">
    <w:abstractNumId w:val="2"/>
  </w:num>
  <w:num w:numId="12">
    <w:abstractNumId w:val="3"/>
  </w:num>
  <w:num w:numId="13">
    <w:abstractNumId w:val="3"/>
  </w:num>
  <w:num w:numId="14">
    <w:abstractNumId w:val="3"/>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4"/>
  </w:num>
  <w:num w:numId="34">
    <w:abstractNumId w:val="3"/>
  </w:num>
  <w:num w:numId="35">
    <w:abstractNumId w:val="3"/>
  </w:num>
  <w:num w:numId="36">
    <w:abstractNumId w:val="3"/>
  </w:num>
  <w:num w:numId="37">
    <w:abstractNumId w:val="3"/>
  </w:num>
  <w:num w:numId="38">
    <w:abstractNumId w:val="3"/>
  </w:num>
  <w:num w:numId="39">
    <w:abstractNumId w:val="3"/>
  </w:num>
  <w:num w:numId="40">
    <w:abstractNumId w:val="8"/>
  </w:num>
  <w:num w:numId="41">
    <w:abstractNumId w:val="3"/>
  </w:num>
  <w:num w:numId="42">
    <w:abstractNumId w:val="4"/>
  </w:num>
  <w:num w:numId="43">
    <w:abstractNumId w:val="4"/>
  </w:num>
  <w:num w:numId="4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4B6"/>
    <w:rsid w:val="000048ED"/>
    <w:rsid w:val="00014915"/>
    <w:rsid w:val="00017461"/>
    <w:rsid w:val="000175CA"/>
    <w:rsid w:val="00025DE2"/>
    <w:rsid w:val="000337E6"/>
    <w:rsid w:val="00040539"/>
    <w:rsid w:val="00041A66"/>
    <w:rsid w:val="00042D88"/>
    <w:rsid w:val="00045BE3"/>
    <w:rsid w:val="00047A91"/>
    <w:rsid w:val="0005176E"/>
    <w:rsid w:val="00060671"/>
    <w:rsid w:val="00065FA6"/>
    <w:rsid w:val="000765F7"/>
    <w:rsid w:val="00077AB7"/>
    <w:rsid w:val="00081CD8"/>
    <w:rsid w:val="000A1D29"/>
    <w:rsid w:val="000A6F25"/>
    <w:rsid w:val="000A7F0E"/>
    <w:rsid w:val="000B1C8F"/>
    <w:rsid w:val="000C0D61"/>
    <w:rsid w:val="000C1076"/>
    <w:rsid w:val="000C4013"/>
    <w:rsid w:val="000D6658"/>
    <w:rsid w:val="000D7BD9"/>
    <w:rsid w:val="000F221A"/>
    <w:rsid w:val="000F24EF"/>
    <w:rsid w:val="000F3A3F"/>
    <w:rsid w:val="00102557"/>
    <w:rsid w:val="001052E3"/>
    <w:rsid w:val="00115958"/>
    <w:rsid w:val="0011652D"/>
    <w:rsid w:val="001202ED"/>
    <w:rsid w:val="001403BE"/>
    <w:rsid w:val="00142E0D"/>
    <w:rsid w:val="00144400"/>
    <w:rsid w:val="00147B1F"/>
    <w:rsid w:val="00155955"/>
    <w:rsid w:val="0015609E"/>
    <w:rsid w:val="0015752B"/>
    <w:rsid w:val="00157974"/>
    <w:rsid w:val="00160605"/>
    <w:rsid w:val="00160643"/>
    <w:rsid w:val="00164D56"/>
    <w:rsid w:val="00167B10"/>
    <w:rsid w:val="00171AF0"/>
    <w:rsid w:val="0017402F"/>
    <w:rsid w:val="001803F6"/>
    <w:rsid w:val="00180563"/>
    <w:rsid w:val="00182C3D"/>
    <w:rsid w:val="00184FDB"/>
    <w:rsid w:val="00190205"/>
    <w:rsid w:val="0019226F"/>
    <w:rsid w:val="00194FA0"/>
    <w:rsid w:val="00196C1B"/>
    <w:rsid w:val="001A1331"/>
    <w:rsid w:val="001A33F5"/>
    <w:rsid w:val="001B0F73"/>
    <w:rsid w:val="001B1637"/>
    <w:rsid w:val="001C25BB"/>
    <w:rsid w:val="001C2DB7"/>
    <w:rsid w:val="001C5067"/>
    <w:rsid w:val="001D14FE"/>
    <w:rsid w:val="001D2D9E"/>
    <w:rsid w:val="001D5C04"/>
    <w:rsid w:val="001E222D"/>
    <w:rsid w:val="001E35FE"/>
    <w:rsid w:val="001E7429"/>
    <w:rsid w:val="001F26CF"/>
    <w:rsid w:val="002053F7"/>
    <w:rsid w:val="002076E8"/>
    <w:rsid w:val="002078C5"/>
    <w:rsid w:val="00211BC5"/>
    <w:rsid w:val="00222A2D"/>
    <w:rsid w:val="00223029"/>
    <w:rsid w:val="00234745"/>
    <w:rsid w:val="002351A6"/>
    <w:rsid w:val="002407AF"/>
    <w:rsid w:val="00240DD6"/>
    <w:rsid w:val="00243ACA"/>
    <w:rsid w:val="002577F9"/>
    <w:rsid w:val="00273A65"/>
    <w:rsid w:val="0027466B"/>
    <w:rsid w:val="002838A5"/>
    <w:rsid w:val="00285BB4"/>
    <w:rsid w:val="002909AA"/>
    <w:rsid w:val="002B0A63"/>
    <w:rsid w:val="002C09E3"/>
    <w:rsid w:val="002D1244"/>
    <w:rsid w:val="002D35D2"/>
    <w:rsid w:val="002F69C3"/>
    <w:rsid w:val="0030560C"/>
    <w:rsid w:val="00310CA5"/>
    <w:rsid w:val="00316415"/>
    <w:rsid w:val="0031672A"/>
    <w:rsid w:val="00321130"/>
    <w:rsid w:val="0033689E"/>
    <w:rsid w:val="00337CEB"/>
    <w:rsid w:val="00344B58"/>
    <w:rsid w:val="0034539A"/>
    <w:rsid w:val="00345CB4"/>
    <w:rsid w:val="003525C4"/>
    <w:rsid w:val="00352C08"/>
    <w:rsid w:val="00375D42"/>
    <w:rsid w:val="00376548"/>
    <w:rsid w:val="003946BE"/>
    <w:rsid w:val="00395383"/>
    <w:rsid w:val="003961C7"/>
    <w:rsid w:val="003A2D34"/>
    <w:rsid w:val="003C750F"/>
    <w:rsid w:val="003C7650"/>
    <w:rsid w:val="003D069C"/>
    <w:rsid w:val="003D7646"/>
    <w:rsid w:val="003E1A1C"/>
    <w:rsid w:val="003F113A"/>
    <w:rsid w:val="003F3E63"/>
    <w:rsid w:val="00407480"/>
    <w:rsid w:val="00414643"/>
    <w:rsid w:val="0041741F"/>
    <w:rsid w:val="0042468D"/>
    <w:rsid w:val="00435967"/>
    <w:rsid w:val="00440EAF"/>
    <w:rsid w:val="004421E5"/>
    <w:rsid w:val="00452284"/>
    <w:rsid w:val="00456ED7"/>
    <w:rsid w:val="00457C8E"/>
    <w:rsid w:val="00460F33"/>
    <w:rsid w:val="00462506"/>
    <w:rsid w:val="00464158"/>
    <w:rsid w:val="0046485B"/>
    <w:rsid w:val="004710D7"/>
    <w:rsid w:val="00477C0F"/>
    <w:rsid w:val="004856CA"/>
    <w:rsid w:val="00487E67"/>
    <w:rsid w:val="00496C56"/>
    <w:rsid w:val="00496D24"/>
    <w:rsid w:val="0049705E"/>
    <w:rsid w:val="00497A55"/>
    <w:rsid w:val="004A2875"/>
    <w:rsid w:val="004A34A0"/>
    <w:rsid w:val="004A39C7"/>
    <w:rsid w:val="004A3E18"/>
    <w:rsid w:val="004B00ED"/>
    <w:rsid w:val="004C7C82"/>
    <w:rsid w:val="004D6049"/>
    <w:rsid w:val="004E615E"/>
    <w:rsid w:val="004F0AB1"/>
    <w:rsid w:val="004F5DBF"/>
    <w:rsid w:val="004F73B8"/>
    <w:rsid w:val="005008A8"/>
    <w:rsid w:val="0050669D"/>
    <w:rsid w:val="00517FD8"/>
    <w:rsid w:val="00526B7B"/>
    <w:rsid w:val="005275A4"/>
    <w:rsid w:val="005308CE"/>
    <w:rsid w:val="00530E24"/>
    <w:rsid w:val="0053318C"/>
    <w:rsid w:val="005354EB"/>
    <w:rsid w:val="00546D04"/>
    <w:rsid w:val="00550FB3"/>
    <w:rsid w:val="00560316"/>
    <w:rsid w:val="0056127D"/>
    <w:rsid w:val="0057439C"/>
    <w:rsid w:val="00576B15"/>
    <w:rsid w:val="005831A9"/>
    <w:rsid w:val="0059752C"/>
    <w:rsid w:val="005A2B43"/>
    <w:rsid w:val="005B0127"/>
    <w:rsid w:val="005B7A35"/>
    <w:rsid w:val="005C0B46"/>
    <w:rsid w:val="005C4B73"/>
    <w:rsid w:val="005E1D2B"/>
    <w:rsid w:val="005E4BA8"/>
    <w:rsid w:val="005E7074"/>
    <w:rsid w:val="005F2BAF"/>
    <w:rsid w:val="00600D93"/>
    <w:rsid w:val="00603C68"/>
    <w:rsid w:val="00610138"/>
    <w:rsid w:val="0061460E"/>
    <w:rsid w:val="00626BEA"/>
    <w:rsid w:val="0063300C"/>
    <w:rsid w:val="006335AD"/>
    <w:rsid w:val="00635B5A"/>
    <w:rsid w:val="00636D02"/>
    <w:rsid w:val="0064048E"/>
    <w:rsid w:val="00646F50"/>
    <w:rsid w:val="0065187F"/>
    <w:rsid w:val="00651A5B"/>
    <w:rsid w:val="00655736"/>
    <w:rsid w:val="00657B7C"/>
    <w:rsid w:val="00661C60"/>
    <w:rsid w:val="00663B8D"/>
    <w:rsid w:val="00672AC9"/>
    <w:rsid w:val="00677AB3"/>
    <w:rsid w:val="00691CBC"/>
    <w:rsid w:val="00693D0D"/>
    <w:rsid w:val="00696C8D"/>
    <w:rsid w:val="00697C10"/>
    <w:rsid w:val="006A2AC2"/>
    <w:rsid w:val="006A3617"/>
    <w:rsid w:val="006B4452"/>
    <w:rsid w:val="006B58D3"/>
    <w:rsid w:val="006B6390"/>
    <w:rsid w:val="006C07DA"/>
    <w:rsid w:val="006C1CA6"/>
    <w:rsid w:val="006C4666"/>
    <w:rsid w:val="006C50C8"/>
    <w:rsid w:val="006C77FA"/>
    <w:rsid w:val="006E46E4"/>
    <w:rsid w:val="006E5E81"/>
    <w:rsid w:val="006E75EB"/>
    <w:rsid w:val="00703208"/>
    <w:rsid w:val="0071261C"/>
    <w:rsid w:val="00717DA5"/>
    <w:rsid w:val="00726BC2"/>
    <w:rsid w:val="007404CA"/>
    <w:rsid w:val="007427BE"/>
    <w:rsid w:val="00744484"/>
    <w:rsid w:val="00747566"/>
    <w:rsid w:val="007623B8"/>
    <w:rsid w:val="00765B3D"/>
    <w:rsid w:val="00767689"/>
    <w:rsid w:val="00773188"/>
    <w:rsid w:val="0078171F"/>
    <w:rsid w:val="00783782"/>
    <w:rsid w:val="00784B8C"/>
    <w:rsid w:val="007879E1"/>
    <w:rsid w:val="007920FF"/>
    <w:rsid w:val="007B1277"/>
    <w:rsid w:val="007B7AFC"/>
    <w:rsid w:val="007C44BA"/>
    <w:rsid w:val="007F2601"/>
    <w:rsid w:val="00805F5B"/>
    <w:rsid w:val="00805FD2"/>
    <w:rsid w:val="00823A11"/>
    <w:rsid w:val="0083253B"/>
    <w:rsid w:val="00841E86"/>
    <w:rsid w:val="00844198"/>
    <w:rsid w:val="00846342"/>
    <w:rsid w:val="0085405E"/>
    <w:rsid w:val="0085414A"/>
    <w:rsid w:val="00857EB9"/>
    <w:rsid w:val="008622E1"/>
    <w:rsid w:val="0086269D"/>
    <w:rsid w:val="0086543A"/>
    <w:rsid w:val="00871000"/>
    <w:rsid w:val="008724E5"/>
    <w:rsid w:val="0088143C"/>
    <w:rsid w:val="00884A9D"/>
    <w:rsid w:val="0088512B"/>
    <w:rsid w:val="008A2B2D"/>
    <w:rsid w:val="008A4E1E"/>
    <w:rsid w:val="008B1960"/>
    <w:rsid w:val="008C296C"/>
    <w:rsid w:val="008D4305"/>
    <w:rsid w:val="008E1A85"/>
    <w:rsid w:val="008E6803"/>
    <w:rsid w:val="008E6E47"/>
    <w:rsid w:val="008F17FD"/>
    <w:rsid w:val="009037BE"/>
    <w:rsid w:val="00913310"/>
    <w:rsid w:val="009163A7"/>
    <w:rsid w:val="009300B1"/>
    <w:rsid w:val="00946D0B"/>
    <w:rsid w:val="00955877"/>
    <w:rsid w:val="00962034"/>
    <w:rsid w:val="009657E7"/>
    <w:rsid w:val="009671CE"/>
    <w:rsid w:val="0096723E"/>
    <w:rsid w:val="00986D3E"/>
    <w:rsid w:val="00996106"/>
    <w:rsid w:val="009A18CD"/>
    <w:rsid w:val="009B0BCE"/>
    <w:rsid w:val="009B4DB0"/>
    <w:rsid w:val="009B5B2B"/>
    <w:rsid w:val="009B7B2F"/>
    <w:rsid w:val="009C279C"/>
    <w:rsid w:val="009C32DF"/>
    <w:rsid w:val="009C3BB1"/>
    <w:rsid w:val="009D02BE"/>
    <w:rsid w:val="009D0809"/>
    <w:rsid w:val="009D0A2B"/>
    <w:rsid w:val="009D5428"/>
    <w:rsid w:val="009E5CC7"/>
    <w:rsid w:val="009F0E83"/>
    <w:rsid w:val="009F529F"/>
    <w:rsid w:val="00A06AB0"/>
    <w:rsid w:val="00A12558"/>
    <w:rsid w:val="00A13903"/>
    <w:rsid w:val="00A325AF"/>
    <w:rsid w:val="00A34ED5"/>
    <w:rsid w:val="00A366FA"/>
    <w:rsid w:val="00A45C4B"/>
    <w:rsid w:val="00A45DBF"/>
    <w:rsid w:val="00A47C8A"/>
    <w:rsid w:val="00A522D2"/>
    <w:rsid w:val="00A72429"/>
    <w:rsid w:val="00A725CF"/>
    <w:rsid w:val="00A755A2"/>
    <w:rsid w:val="00A76C86"/>
    <w:rsid w:val="00A7776F"/>
    <w:rsid w:val="00A93ECB"/>
    <w:rsid w:val="00AA440C"/>
    <w:rsid w:val="00AA6660"/>
    <w:rsid w:val="00AB2C36"/>
    <w:rsid w:val="00AB5F82"/>
    <w:rsid w:val="00AB6288"/>
    <w:rsid w:val="00AB6DDE"/>
    <w:rsid w:val="00AB70B6"/>
    <w:rsid w:val="00AC12E9"/>
    <w:rsid w:val="00AC4F7E"/>
    <w:rsid w:val="00AD0B69"/>
    <w:rsid w:val="00AD1A86"/>
    <w:rsid w:val="00AD3D9C"/>
    <w:rsid w:val="00AD4431"/>
    <w:rsid w:val="00AD51AF"/>
    <w:rsid w:val="00AE103E"/>
    <w:rsid w:val="00AE12BD"/>
    <w:rsid w:val="00AE64FC"/>
    <w:rsid w:val="00AF0A07"/>
    <w:rsid w:val="00AF0A56"/>
    <w:rsid w:val="00AF4AEC"/>
    <w:rsid w:val="00AF625E"/>
    <w:rsid w:val="00B06CA4"/>
    <w:rsid w:val="00B139BE"/>
    <w:rsid w:val="00B16B18"/>
    <w:rsid w:val="00B2172B"/>
    <w:rsid w:val="00B32D3D"/>
    <w:rsid w:val="00B441C2"/>
    <w:rsid w:val="00B44C6A"/>
    <w:rsid w:val="00B56ADD"/>
    <w:rsid w:val="00B63B65"/>
    <w:rsid w:val="00B64CF6"/>
    <w:rsid w:val="00B674F8"/>
    <w:rsid w:val="00B8369B"/>
    <w:rsid w:val="00B90301"/>
    <w:rsid w:val="00B917D2"/>
    <w:rsid w:val="00BA241A"/>
    <w:rsid w:val="00BA466C"/>
    <w:rsid w:val="00BB04AF"/>
    <w:rsid w:val="00BB63B9"/>
    <w:rsid w:val="00BD200F"/>
    <w:rsid w:val="00BD52C9"/>
    <w:rsid w:val="00BE6354"/>
    <w:rsid w:val="00BE7841"/>
    <w:rsid w:val="00BF3D20"/>
    <w:rsid w:val="00C052CE"/>
    <w:rsid w:val="00C138D1"/>
    <w:rsid w:val="00C23A97"/>
    <w:rsid w:val="00C3051C"/>
    <w:rsid w:val="00C47951"/>
    <w:rsid w:val="00C52EBE"/>
    <w:rsid w:val="00C5776D"/>
    <w:rsid w:val="00C61960"/>
    <w:rsid w:val="00C64855"/>
    <w:rsid w:val="00C70EA7"/>
    <w:rsid w:val="00C7433F"/>
    <w:rsid w:val="00C7516E"/>
    <w:rsid w:val="00C75770"/>
    <w:rsid w:val="00C86B52"/>
    <w:rsid w:val="00C9235A"/>
    <w:rsid w:val="00C93594"/>
    <w:rsid w:val="00CA56BB"/>
    <w:rsid w:val="00CB0542"/>
    <w:rsid w:val="00CD4AD5"/>
    <w:rsid w:val="00CD7660"/>
    <w:rsid w:val="00CE5B4C"/>
    <w:rsid w:val="00CE6EB1"/>
    <w:rsid w:val="00CF3FD9"/>
    <w:rsid w:val="00CF495B"/>
    <w:rsid w:val="00CF6E69"/>
    <w:rsid w:val="00D00B2B"/>
    <w:rsid w:val="00D05633"/>
    <w:rsid w:val="00D05FBF"/>
    <w:rsid w:val="00D10013"/>
    <w:rsid w:val="00D17791"/>
    <w:rsid w:val="00D20305"/>
    <w:rsid w:val="00D230D0"/>
    <w:rsid w:val="00D24877"/>
    <w:rsid w:val="00D257AB"/>
    <w:rsid w:val="00D51184"/>
    <w:rsid w:val="00D51B8B"/>
    <w:rsid w:val="00D7105A"/>
    <w:rsid w:val="00D71AFF"/>
    <w:rsid w:val="00D8250F"/>
    <w:rsid w:val="00D940A0"/>
    <w:rsid w:val="00D95C4C"/>
    <w:rsid w:val="00D96750"/>
    <w:rsid w:val="00D97F63"/>
    <w:rsid w:val="00DA36ED"/>
    <w:rsid w:val="00DD4AF9"/>
    <w:rsid w:val="00DD6BFB"/>
    <w:rsid w:val="00DE34F1"/>
    <w:rsid w:val="00DE6160"/>
    <w:rsid w:val="00DE7B9B"/>
    <w:rsid w:val="00DF0B7B"/>
    <w:rsid w:val="00DF3813"/>
    <w:rsid w:val="00DF4942"/>
    <w:rsid w:val="00DF58E7"/>
    <w:rsid w:val="00DF6016"/>
    <w:rsid w:val="00E04172"/>
    <w:rsid w:val="00E074A7"/>
    <w:rsid w:val="00E155DF"/>
    <w:rsid w:val="00E20CA6"/>
    <w:rsid w:val="00E2125F"/>
    <w:rsid w:val="00E244E1"/>
    <w:rsid w:val="00E2565A"/>
    <w:rsid w:val="00E26DD4"/>
    <w:rsid w:val="00E315B0"/>
    <w:rsid w:val="00E3326F"/>
    <w:rsid w:val="00E4150C"/>
    <w:rsid w:val="00E453D5"/>
    <w:rsid w:val="00E52240"/>
    <w:rsid w:val="00E615FD"/>
    <w:rsid w:val="00E627B1"/>
    <w:rsid w:val="00E70169"/>
    <w:rsid w:val="00E725DD"/>
    <w:rsid w:val="00E80547"/>
    <w:rsid w:val="00E81C1E"/>
    <w:rsid w:val="00E8244C"/>
    <w:rsid w:val="00E93363"/>
    <w:rsid w:val="00E9376C"/>
    <w:rsid w:val="00E94030"/>
    <w:rsid w:val="00E94ED1"/>
    <w:rsid w:val="00E95AE2"/>
    <w:rsid w:val="00EA045A"/>
    <w:rsid w:val="00EA335E"/>
    <w:rsid w:val="00EA528C"/>
    <w:rsid w:val="00EA580C"/>
    <w:rsid w:val="00EA7221"/>
    <w:rsid w:val="00EC11E1"/>
    <w:rsid w:val="00EC4E7F"/>
    <w:rsid w:val="00EC6F8D"/>
    <w:rsid w:val="00ED39B2"/>
    <w:rsid w:val="00ED4A08"/>
    <w:rsid w:val="00EE4588"/>
    <w:rsid w:val="00EE49F4"/>
    <w:rsid w:val="00EF09C7"/>
    <w:rsid w:val="00EF2604"/>
    <w:rsid w:val="00EF34E2"/>
    <w:rsid w:val="00F00392"/>
    <w:rsid w:val="00F0630D"/>
    <w:rsid w:val="00F26557"/>
    <w:rsid w:val="00F26974"/>
    <w:rsid w:val="00F30AE0"/>
    <w:rsid w:val="00F30DC6"/>
    <w:rsid w:val="00F3296A"/>
    <w:rsid w:val="00F32C23"/>
    <w:rsid w:val="00F336D2"/>
    <w:rsid w:val="00F53DE9"/>
    <w:rsid w:val="00F551EF"/>
    <w:rsid w:val="00F563AA"/>
    <w:rsid w:val="00F57321"/>
    <w:rsid w:val="00F576CB"/>
    <w:rsid w:val="00F60C58"/>
    <w:rsid w:val="00F67986"/>
    <w:rsid w:val="00F7035D"/>
    <w:rsid w:val="00F71A02"/>
    <w:rsid w:val="00F71B4F"/>
    <w:rsid w:val="00F829DB"/>
    <w:rsid w:val="00F8650B"/>
    <w:rsid w:val="00F91DBB"/>
    <w:rsid w:val="00FA0871"/>
    <w:rsid w:val="00FA0D63"/>
    <w:rsid w:val="00FA400F"/>
    <w:rsid w:val="00FC31FA"/>
    <w:rsid w:val="00FD1226"/>
    <w:rsid w:val="00FD1842"/>
    <w:rsid w:val="00FD523B"/>
    <w:rsid w:val="00FD6E94"/>
    <w:rsid w:val="00FE2ABA"/>
    <w:rsid w:val="00FF4830"/>
    <w:rsid w:val="00FF794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D2DDCBC8-823A-4AC3-A89C-6D801968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
    <w:basedOn w:val="Normal"/>
    <w:link w:val="ListParagraphChar"/>
    <w:uiPriority w:val="34"/>
    <w:qFormat/>
    <w:rsid w:val="004A2875"/>
    <w:pPr>
      <w:ind w:left="720"/>
      <w:contextualSpacing/>
    </w:pPr>
  </w:style>
  <w:style w:type="character" w:styleId="Hyperlink">
    <w:name w:val="Hyperlink"/>
    <w:basedOn w:val="DefaultParagraphFont"/>
    <w:uiPriority w:val="99"/>
    <w:rsid w:val="00F67986"/>
    <w:rPr>
      <w:rFonts w:cs="Times New Roman"/>
      <w:color w:val="0000FF"/>
      <w:u w:val="single"/>
    </w:rPr>
  </w:style>
  <w:style w:type="paragraph" w:styleId="FootnoteText">
    <w:name w:val="footnote text"/>
    <w:basedOn w:val="Normal"/>
    <w:link w:val="FootnoteTextChar"/>
    <w:uiPriority w:val="99"/>
    <w:semiHidden/>
    <w:unhideWhenUsed/>
    <w:rsid w:val="00F67986"/>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67986"/>
    <w:rPr>
      <w:rFonts w:asciiTheme="minorHAnsi" w:eastAsiaTheme="minorHAnsi" w:hAnsiTheme="minorHAnsi" w:cstheme="minorBidi"/>
      <w:lang w:val="en-US" w:eastAsia="en-US"/>
    </w:rPr>
  </w:style>
  <w:style w:type="character" w:styleId="FollowedHyperlink">
    <w:name w:val="FollowedHyperlink"/>
    <w:basedOn w:val="DefaultParagraphFont"/>
    <w:uiPriority w:val="99"/>
    <w:semiHidden/>
    <w:unhideWhenUsed/>
    <w:rsid w:val="007B7AFC"/>
    <w:rPr>
      <w:color w:val="800080" w:themeColor="followedHyperlink"/>
      <w:u w:val="single"/>
    </w:rPr>
  </w:style>
  <w:style w:type="character" w:styleId="UnresolvedMention">
    <w:name w:val="Unresolved Mention"/>
    <w:basedOn w:val="DefaultParagraphFont"/>
    <w:uiPriority w:val="99"/>
    <w:semiHidden/>
    <w:unhideWhenUsed/>
    <w:rsid w:val="007B7AFC"/>
    <w:rPr>
      <w:color w:val="605E5C"/>
      <w:shd w:val="clear" w:color="auto" w:fill="E1DFDD"/>
    </w:rPr>
  </w:style>
  <w:style w:type="character" w:styleId="FootnoteReference">
    <w:name w:val="footnote reference"/>
    <w:basedOn w:val="DefaultParagraphFont"/>
    <w:uiPriority w:val="99"/>
    <w:semiHidden/>
    <w:unhideWhenUsed/>
    <w:rsid w:val="000A1D29"/>
    <w:rPr>
      <w:vertAlign w:val="superscript"/>
    </w:rPr>
  </w:style>
  <w:style w:type="paragraph" w:styleId="CommentText">
    <w:name w:val="annotation text"/>
    <w:basedOn w:val="Normal"/>
    <w:link w:val="CommentTextChar"/>
    <w:uiPriority w:val="99"/>
    <w:semiHidden/>
    <w:unhideWhenUsed/>
    <w:rsid w:val="00E2565A"/>
    <w:rPr>
      <w:rFonts w:eastAsia="SimSun"/>
      <w:sz w:val="20"/>
      <w:szCs w:val="20"/>
      <w:lang w:val="en-US" w:eastAsia="en-US"/>
    </w:rPr>
  </w:style>
  <w:style w:type="character" w:customStyle="1" w:styleId="CommentTextChar">
    <w:name w:val="Comment Text Char"/>
    <w:basedOn w:val="DefaultParagraphFont"/>
    <w:link w:val="CommentText"/>
    <w:uiPriority w:val="99"/>
    <w:semiHidden/>
    <w:rsid w:val="00E2565A"/>
    <w:rPr>
      <w:rFonts w:ascii="Times New Roman" w:hAnsi="Times New Roman"/>
      <w:lang w:val="en-US" w:eastAsia="en-US"/>
    </w:rPr>
  </w:style>
  <w:style w:type="paragraph" w:customStyle="1" w:styleId="GAParaResolution">
    <w:name w:val="GA Para Resolution"/>
    <w:basedOn w:val="Normal"/>
    <w:qFormat/>
    <w:rsid w:val="00E2565A"/>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customStyle="1" w:styleId="textview">
    <w:name w:val="textview"/>
    <w:basedOn w:val="DefaultParagraphFont"/>
    <w:rsid w:val="0059752C"/>
  </w:style>
  <w:style w:type="table" w:customStyle="1" w:styleId="TableGrid2">
    <w:name w:val="Table Grid2"/>
    <w:basedOn w:val="TableNormal"/>
    <w:next w:val="TableGrid"/>
    <w:uiPriority w:val="59"/>
    <w:rsid w:val="005975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locked/>
    <w:rsid w:val="0059752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9752C"/>
    <w:rPr>
      <w:sz w:val="16"/>
      <w:szCs w:val="16"/>
    </w:rPr>
  </w:style>
  <w:style w:type="paragraph" w:styleId="CommentSubject">
    <w:name w:val="annotation subject"/>
    <w:basedOn w:val="CommentText"/>
    <w:next w:val="CommentText"/>
    <w:link w:val="CommentSubjectChar"/>
    <w:uiPriority w:val="99"/>
    <w:semiHidden/>
    <w:unhideWhenUsed/>
    <w:rsid w:val="009C32DF"/>
    <w:rPr>
      <w:rFonts w:eastAsia="Times New Roman"/>
      <w:b/>
      <w:bCs/>
      <w:lang w:val="fr-FR" w:eastAsia="fr-FR"/>
    </w:rPr>
  </w:style>
  <w:style w:type="character" w:customStyle="1" w:styleId="CommentSubjectChar">
    <w:name w:val="Comment Subject Char"/>
    <w:basedOn w:val="CommentTextChar"/>
    <w:link w:val="CommentSubject"/>
    <w:uiPriority w:val="99"/>
    <w:semiHidden/>
    <w:rsid w:val="009C32DF"/>
    <w:rPr>
      <w:rFonts w:ascii="Times New Roman" w:eastAsia="Times New Roman" w:hAnsi="Times New Roman"/>
      <w:b/>
      <w:bCs/>
      <w:lang w:val="en-US" w:eastAsia="en-US"/>
    </w:rPr>
  </w:style>
  <w:style w:type="character" w:styleId="Strong">
    <w:name w:val="Strong"/>
    <w:basedOn w:val="DefaultParagraphFont"/>
    <w:uiPriority w:val="22"/>
    <w:qFormat/>
    <w:rsid w:val="00160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92396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4367790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53473427">
      <w:bodyDiv w:val="1"/>
      <w:marLeft w:val="0"/>
      <w:marRight w:val="0"/>
      <w:marTop w:val="0"/>
      <w:marBottom w:val="0"/>
      <w:divBdr>
        <w:top w:val="none" w:sz="0" w:space="0" w:color="auto"/>
        <w:left w:val="none" w:sz="0" w:space="0" w:color="auto"/>
        <w:bottom w:val="none" w:sz="0" w:space="0" w:color="auto"/>
        <w:right w:val="none" w:sz="0" w:space="0" w:color="auto"/>
      </w:divBdr>
    </w:div>
    <w:div w:id="151056509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45328827">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3473.locale=en" TargetMode="External"/><Relationship Id="rId13" Type="http://schemas.openxmlformats.org/officeDocument/2006/relationships/hyperlink" Target="https://whc.unesco.org/en/review/95/" TargetMode="External"/><Relationship Id="rId18" Type="http://schemas.openxmlformats.org/officeDocument/2006/relationships/hyperlink" Target="https://ich.unesco.org/en/facilitator" TargetMode="External"/><Relationship Id="rId26" Type="http://schemas.openxmlformats.org/officeDocument/2006/relationships/hyperlink" Target="https://ich.unesco.org/en/emergency-situations-01117"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ich.unesco.org/en/sustainable-development-toolbox-00987"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unesco.org/sites/default/files/issue_4_en_culture_covid-19_tracker-8.pdf" TargetMode="External"/><Relationship Id="rId17" Type="http://schemas.openxmlformats.org/officeDocument/2006/relationships/hyperlink" Target="https://ich.unesco.org/en/reflection-on-the-role-of-ngos-01037" TargetMode="External"/><Relationship Id="rId25" Type="http://schemas.openxmlformats.org/officeDocument/2006/relationships/hyperlink" Target="https://ich.unesco.org/en/dive/" TargetMode="External"/><Relationship Id="rId33" Type="http://schemas.openxmlformats.org/officeDocument/2006/relationships/header" Target="header3.xm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ich.unesco.org/doc/src/LHE-21-16.COM-INF.10-EN.docx" TargetMode="External"/><Relationship Id="rId20" Type="http://schemas.openxmlformats.org/officeDocument/2006/relationships/hyperlink" Target="https://ich.unesco.org/doc/download.php?versionID=47849" TargetMode="External"/><Relationship Id="rId29" Type="http://schemas.openxmlformats.org/officeDocument/2006/relationships/header" Target="header1.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platform-on-living-heritage-experiences-and-covid-19-01123" TargetMode="External"/><Relationship Id="rId24" Type="http://schemas.openxmlformats.org/officeDocument/2006/relationships/hyperlink" Target="https://ich.unesco.org/en/clearinghouse-education" TargetMode="External"/><Relationship Id="rId32" Type="http://schemas.openxmlformats.org/officeDocument/2006/relationships/footer" Target="footer2.xm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ich.unesco.org/en/living-heritage-and-the-covid-19-pandemic-01179" TargetMode="External"/><Relationship Id="rId23" Type="http://schemas.openxmlformats.org/officeDocument/2006/relationships/hyperlink" Target="https://ich.unesco.org/en/events/webinar-on-intangible-cultural-heritage-and-education-for-sustainable-development-00835" TargetMode="External"/><Relationship Id="rId28" Type="http://schemas.openxmlformats.org/officeDocument/2006/relationships/hyperlink" Target="https://ich.unesco.org/doc/src/53145-ES.pdf" TargetMode="External"/><Relationship Id="rId36" Type="http://schemas.openxmlformats.org/officeDocument/2006/relationships/hyperlink" Target="https://ich.unesco.org/doc/src/Le_patrimoine_vivant_face_%C3%A0_la_COVID-19-HighRes.pdf" TargetMode="External"/><Relationship Id="rId10" Type="http://schemas.openxmlformats.org/officeDocument/2006/relationships/hyperlink" Target="https://ich.unesco.org/doc/src/LHE-20-8.GA-6+Add.-EN.docx" TargetMode="External"/><Relationship Id="rId19" Type="http://schemas.openxmlformats.org/officeDocument/2006/relationships/hyperlink" Target="https://ich.unesco.org/en/global-tertiary-education-networking-0097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esdoc.unesco.org/ark:/48223/pf0000379585?posInSet=1&amp;queryId=7eb43b50-1ca6-4bef-9ff6-5c7f4facf0c5-draft-data-57" TargetMode="External"/><Relationship Id="rId14" Type="http://schemas.openxmlformats.org/officeDocument/2006/relationships/hyperlink" Target="https://ich.unesco.org/doc/src/Living_Heritage_in_the_face_of_COVID-19_-_High_Resolution.pdf" TargetMode="External"/><Relationship Id="rId22" Type="http://schemas.openxmlformats.org/officeDocument/2006/relationships/hyperlink" Target="https://ich.unesco.org/doc/src/48763-EN.pdf" TargetMode="External"/><Relationship Id="rId27" Type="http://schemas.openxmlformats.org/officeDocument/2006/relationships/hyperlink" Target="https://ich.unesco.org/en/education-01017"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2.COM/6" TargetMode="External"/><Relationship Id="rId13" Type="http://schemas.openxmlformats.org/officeDocument/2006/relationships/hyperlink" Target="https://ich.unesco.org/en/Decisions/8.GA/10" TargetMode="External"/><Relationship Id="rId3" Type="http://schemas.openxmlformats.org/officeDocument/2006/relationships/hyperlink" Target="https://ich.unesco.org/doc/src/LHE-21-16.COM-14-EN.docx" TargetMode="External"/><Relationship Id="rId7" Type="http://schemas.openxmlformats.org/officeDocument/2006/relationships/hyperlink" Target="https://ich.unesco.org/doc/src/LHE-21-16.COM-7.b-EN.docx" TargetMode="External"/><Relationship Id="rId12" Type="http://schemas.openxmlformats.org/officeDocument/2006/relationships/hyperlink" Target="https://ich.unesco.org/en/Decisions/8.GA/9" TargetMode="External"/><Relationship Id="rId2" Type="http://schemas.openxmlformats.org/officeDocument/2006/relationships/hyperlink" Target="https://ich.unesco.org/doc/src/LHE-21-16.COM-INF.13.2-EN.docx" TargetMode="External"/><Relationship Id="rId1" Type="http://schemas.openxmlformats.org/officeDocument/2006/relationships/hyperlink" Target="https://ich.unesco.org/doc/src/LHE-21-16.COM-INF.13.1-EN.docx" TargetMode="External"/><Relationship Id="rId6" Type="http://schemas.openxmlformats.org/officeDocument/2006/relationships/hyperlink" Target="https://ich.unesco.org/doc/src/LHE-21-16.COM-INF.13.1-EN.docx" TargetMode="External"/><Relationship Id="rId11" Type="http://schemas.openxmlformats.org/officeDocument/2006/relationships/hyperlink" Target="https://unesdoc.unesco.org/ark:/48223/pf0000379571.locale=en" TargetMode="External"/><Relationship Id="rId5" Type="http://schemas.openxmlformats.org/officeDocument/2006/relationships/hyperlink" Target="https://ich.unesco.org/en/Resolutions/7.GA/8" TargetMode="External"/><Relationship Id="rId10" Type="http://schemas.openxmlformats.org/officeDocument/2006/relationships/hyperlink" Target="https://ich.unesco.org/en/Decisions/14.COM/10" TargetMode="External"/><Relationship Id="rId4" Type="http://schemas.openxmlformats.org/officeDocument/2006/relationships/hyperlink" Target="https://ich.unesco.org/en/Decisions/14.COM/15" TargetMode="External"/><Relationship Id="rId9" Type="http://schemas.openxmlformats.org/officeDocument/2006/relationships/hyperlink" Target="https://ich.unesco.org/en/Decisions/15.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14</TotalTime>
  <Pages>22</Pages>
  <Words>7645</Words>
  <Characters>43579</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Kim, Dain</cp:lastModifiedBy>
  <cp:revision>8</cp:revision>
  <cp:lastPrinted>2021-11-24T12:51:00Z</cp:lastPrinted>
  <dcterms:created xsi:type="dcterms:W3CDTF">2021-12-10T11:06:00Z</dcterms:created>
  <dcterms:modified xsi:type="dcterms:W3CDTF">2021-12-10T15:57:00Z</dcterms:modified>
</cp:coreProperties>
</file>