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19633" w14:textId="77777777" w:rsidR="00A464EA" w:rsidRPr="0073388D" w:rsidRDefault="00A464EA" w:rsidP="00A464EA">
      <w:pPr>
        <w:spacing w:before="1440"/>
        <w:jc w:val="center"/>
        <w:rPr>
          <w:rFonts w:ascii="Arial" w:hAnsi="Arial" w:cs="Arial"/>
          <w:b/>
          <w:sz w:val="22"/>
          <w:szCs w:val="22"/>
        </w:rPr>
      </w:pPr>
      <w:r w:rsidRPr="0073388D">
        <w:rPr>
          <w:rFonts w:ascii="Arial" w:hAnsi="Arial" w:cs="Arial"/>
          <w:b/>
          <w:sz w:val="22"/>
          <w:szCs w:val="22"/>
        </w:rPr>
        <w:t>CONVENTION POUR LA SAUVEGARDE DU</w:t>
      </w:r>
      <w:r w:rsidRPr="0073388D">
        <w:rPr>
          <w:rFonts w:ascii="Arial" w:hAnsi="Arial" w:cs="Arial"/>
          <w:sz w:val="22"/>
          <w:szCs w:val="22"/>
        </w:rPr>
        <w:t xml:space="preserve"> </w:t>
      </w:r>
      <w:r w:rsidRPr="0073388D">
        <w:rPr>
          <w:rFonts w:ascii="Arial" w:hAnsi="Arial" w:cs="Arial"/>
          <w:sz w:val="22"/>
          <w:szCs w:val="22"/>
        </w:rPr>
        <w:br/>
      </w:r>
      <w:r w:rsidRPr="0073388D">
        <w:rPr>
          <w:rFonts w:ascii="Arial" w:hAnsi="Arial" w:cs="Arial"/>
          <w:b/>
          <w:sz w:val="22"/>
          <w:szCs w:val="22"/>
        </w:rPr>
        <w:t>PATRIMOINE CULTUREL IMMATÉRIEL</w:t>
      </w:r>
    </w:p>
    <w:p w14:paraId="7A9BE3A3" w14:textId="77777777" w:rsidR="00A464EA" w:rsidRPr="0073388D" w:rsidRDefault="00A464EA" w:rsidP="00A464EA">
      <w:pPr>
        <w:spacing w:before="1200"/>
        <w:ind w:left="567" w:hanging="567"/>
        <w:jc w:val="center"/>
        <w:rPr>
          <w:rFonts w:ascii="Arial" w:hAnsi="Arial" w:cs="Arial"/>
          <w:b/>
          <w:sz w:val="22"/>
          <w:szCs w:val="22"/>
        </w:rPr>
      </w:pPr>
      <w:r w:rsidRPr="0073388D">
        <w:rPr>
          <w:rFonts w:ascii="Arial" w:hAnsi="Arial" w:cs="Arial"/>
          <w:b/>
          <w:sz w:val="22"/>
          <w:szCs w:val="22"/>
        </w:rPr>
        <w:t>ASSEMBLÉE GÉNÉRALE DES ÉTATS PARTIES À LA CONVENTION</w:t>
      </w:r>
    </w:p>
    <w:p w14:paraId="4978DE7F" w14:textId="77777777" w:rsidR="00A464EA" w:rsidRPr="0073388D" w:rsidRDefault="00A464EA" w:rsidP="00A464EA">
      <w:pPr>
        <w:spacing w:before="840"/>
        <w:ind w:left="567" w:hanging="567"/>
        <w:jc w:val="center"/>
        <w:rPr>
          <w:rFonts w:ascii="Arial" w:hAnsi="Arial" w:cs="Arial"/>
          <w:b/>
          <w:sz w:val="22"/>
          <w:szCs w:val="22"/>
        </w:rPr>
      </w:pPr>
      <w:r w:rsidRPr="0073388D">
        <w:rPr>
          <w:rFonts w:ascii="Arial" w:hAnsi="Arial" w:cs="Arial"/>
          <w:b/>
          <w:sz w:val="22"/>
          <w:szCs w:val="22"/>
        </w:rPr>
        <w:t>Huitième session</w:t>
      </w:r>
    </w:p>
    <w:p w14:paraId="3CFC98C3" w14:textId="77777777" w:rsidR="00A464EA" w:rsidRPr="0073388D" w:rsidRDefault="00A464EA" w:rsidP="00A464EA">
      <w:pPr>
        <w:ind w:left="567" w:hanging="567"/>
        <w:jc w:val="center"/>
        <w:rPr>
          <w:rFonts w:ascii="Arial" w:hAnsi="Arial" w:cs="Arial"/>
          <w:b/>
          <w:sz w:val="22"/>
          <w:szCs w:val="22"/>
        </w:rPr>
      </w:pPr>
      <w:r w:rsidRPr="0073388D">
        <w:rPr>
          <w:rFonts w:ascii="Arial" w:hAnsi="Arial" w:cs="Arial"/>
          <w:b/>
          <w:sz w:val="22"/>
          <w:szCs w:val="22"/>
        </w:rPr>
        <w:t>Siège de l’UNESCO, Salle I</w:t>
      </w:r>
    </w:p>
    <w:p w14:paraId="417D3686" w14:textId="77777777" w:rsidR="00A464EA" w:rsidRPr="0073388D" w:rsidRDefault="00A464EA" w:rsidP="00A464EA">
      <w:pPr>
        <w:spacing w:after="1200"/>
        <w:ind w:left="567" w:hanging="567"/>
        <w:jc w:val="center"/>
        <w:rPr>
          <w:rFonts w:ascii="Arial" w:hAnsi="Arial" w:cs="Arial"/>
          <w:b/>
          <w:sz w:val="22"/>
          <w:szCs w:val="22"/>
        </w:rPr>
      </w:pPr>
      <w:r w:rsidRPr="0073388D">
        <w:rPr>
          <w:rFonts w:ascii="Arial" w:hAnsi="Arial" w:cs="Arial"/>
          <w:b/>
          <w:sz w:val="22"/>
          <w:szCs w:val="22"/>
        </w:rPr>
        <w:t>8 – 10 septembre 2020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64EA" w:rsidRPr="0073388D" w14:paraId="7F2B60E6" w14:textId="77777777" w:rsidTr="00A95DFC">
        <w:trPr>
          <w:jc w:val="center"/>
        </w:trPr>
        <w:tc>
          <w:tcPr>
            <w:tcW w:w="5670" w:type="dxa"/>
            <w:vAlign w:val="center"/>
          </w:tcPr>
          <w:p w14:paraId="7BA189AB" w14:textId="77777777" w:rsidR="00A464EA" w:rsidRPr="0073388D" w:rsidRDefault="00A464EA" w:rsidP="00A95DFC">
            <w:pPr>
              <w:pStyle w:val="Sansinterligne2"/>
              <w:spacing w:before="240" w:after="240"/>
              <w:ind w:left="567" w:hanging="567"/>
              <w:jc w:val="center"/>
              <w:rPr>
                <w:rFonts w:ascii="Arial" w:hAnsi="Arial" w:cs="Arial"/>
                <w:b/>
                <w:sz w:val="36"/>
                <w:szCs w:val="36"/>
              </w:rPr>
            </w:pPr>
            <w:r w:rsidRPr="0073388D">
              <w:rPr>
                <w:rFonts w:ascii="Arial" w:hAnsi="Arial" w:cs="Arial"/>
                <w:b/>
                <w:sz w:val="36"/>
                <w:szCs w:val="36"/>
              </w:rPr>
              <w:t>Résolutions</w:t>
            </w:r>
          </w:p>
        </w:tc>
      </w:tr>
    </w:tbl>
    <w:p w14:paraId="3E315A74" w14:textId="77777777" w:rsidR="00A464EA" w:rsidRPr="0073388D" w:rsidRDefault="00A464EA"/>
    <w:p w14:paraId="0667FA92" w14:textId="77777777" w:rsidR="00F04BA8" w:rsidRPr="0073388D" w:rsidRDefault="00A464EA">
      <w:pPr>
        <w:spacing w:after="160" w:line="259" w:lineRule="auto"/>
        <w:sectPr w:rsidR="00F04BA8" w:rsidRPr="0073388D" w:rsidSect="00654D96">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134" w:left="1134" w:header="720" w:footer="720" w:gutter="0"/>
          <w:cols w:space="720"/>
          <w:titlePg/>
          <w:docGrid w:linePitch="360"/>
        </w:sectPr>
      </w:pPr>
      <w:r w:rsidRPr="0073388D">
        <w:br w:type="page"/>
      </w:r>
    </w:p>
    <w:p w14:paraId="5E047221" w14:textId="77777777" w:rsidR="00DD1C15" w:rsidRPr="0073388D" w:rsidRDefault="00DD1C15" w:rsidP="006E6BE0">
      <w:pPr>
        <w:pStyle w:val="GATitleResolution"/>
        <w:tabs>
          <w:tab w:val="clear" w:pos="567"/>
          <w:tab w:val="left" w:pos="900"/>
        </w:tabs>
        <w:spacing w:before="360"/>
        <w:ind w:left="0"/>
      </w:pPr>
      <w:r w:rsidRPr="0073388D">
        <w:lastRenderedPageBreak/>
        <w:t>RÉSOLUTION 8.GA 2</w:t>
      </w:r>
    </w:p>
    <w:p w14:paraId="6B9B3394" w14:textId="77777777" w:rsidR="00DD1C15" w:rsidRPr="0073388D" w:rsidRDefault="00DD1C15" w:rsidP="00DD1C15">
      <w:pPr>
        <w:pStyle w:val="COMPreambulaDecision"/>
        <w:tabs>
          <w:tab w:val="clear" w:pos="567"/>
          <w:tab w:val="left" w:pos="720"/>
        </w:tabs>
        <w:ind w:left="0"/>
      </w:pPr>
      <w:r w:rsidRPr="0073388D">
        <w:rPr>
          <w:lang w:bidi="fr-FR"/>
        </w:rPr>
        <w:t>L’Assemblée générale</w:t>
      </w:r>
      <w:r w:rsidRPr="0073388D">
        <w:t>,</w:t>
      </w:r>
    </w:p>
    <w:p w14:paraId="3C169B91" w14:textId="50F96531" w:rsidR="00DD1C15" w:rsidRPr="0073388D" w:rsidRDefault="00DD1C15" w:rsidP="0084247A">
      <w:pPr>
        <w:pStyle w:val="COMParaDecision"/>
        <w:numPr>
          <w:ilvl w:val="0"/>
          <w:numId w:val="1"/>
        </w:numPr>
        <w:ind w:left="567" w:hanging="567"/>
        <w:jc w:val="left"/>
      </w:pPr>
      <w:r w:rsidRPr="0073388D">
        <w:t>Ayant examiné</w:t>
      </w:r>
      <w:r w:rsidRPr="0073388D">
        <w:rPr>
          <w:u w:val="none"/>
        </w:rPr>
        <w:t xml:space="preserve"> le </w:t>
      </w:r>
      <w:r w:rsidR="003A7F25" w:rsidRPr="0073388D">
        <w:rPr>
          <w:u w:val="none"/>
        </w:rPr>
        <w:t xml:space="preserve">document </w:t>
      </w:r>
      <w:hyperlink r:id="rId14" w:history="1">
        <w:r w:rsidR="003A7F25" w:rsidRPr="0073388D">
          <w:rPr>
            <w:rStyle w:val="Hyperlink"/>
          </w:rPr>
          <w:t>LHE/20/8.GA/2</w:t>
        </w:r>
      </w:hyperlink>
      <w:r w:rsidRPr="0073388D">
        <w:rPr>
          <w:u w:val="none"/>
        </w:rPr>
        <w:t>,</w:t>
      </w:r>
    </w:p>
    <w:p w14:paraId="4A5AEB9B" w14:textId="77777777" w:rsidR="00DD1C15" w:rsidRPr="0073388D" w:rsidRDefault="00DD1C15" w:rsidP="0084247A">
      <w:pPr>
        <w:pStyle w:val="COMParaDecision"/>
        <w:numPr>
          <w:ilvl w:val="0"/>
          <w:numId w:val="1"/>
        </w:numPr>
        <w:ind w:left="567" w:hanging="567"/>
        <w:jc w:val="left"/>
        <w:rPr>
          <w:u w:val="none"/>
        </w:rPr>
      </w:pPr>
      <w:r w:rsidRPr="0073388D">
        <w:t>Rappelant</w:t>
      </w:r>
      <w:r w:rsidRPr="0073388D">
        <w:rPr>
          <w:u w:val="none"/>
        </w:rPr>
        <w:t xml:space="preserve"> l’article 3 de son Règlement intérieur,</w:t>
      </w:r>
    </w:p>
    <w:p w14:paraId="1D0D82A9" w14:textId="31327E09" w:rsidR="00DD1C15" w:rsidRPr="0073388D" w:rsidRDefault="00DD1C15" w:rsidP="0084247A">
      <w:pPr>
        <w:pStyle w:val="COMParaDecision"/>
        <w:numPr>
          <w:ilvl w:val="0"/>
          <w:numId w:val="1"/>
        </w:numPr>
        <w:ind w:left="567" w:hanging="567"/>
        <w:jc w:val="left"/>
        <w:rPr>
          <w:u w:val="none"/>
        </w:rPr>
      </w:pPr>
      <w:r w:rsidRPr="0073388D">
        <w:t>Élit</w:t>
      </w:r>
      <w:r w:rsidRPr="0073388D">
        <w:rPr>
          <w:u w:val="none"/>
        </w:rPr>
        <w:t xml:space="preserve"> </w:t>
      </w:r>
      <w:r w:rsidR="002A2B0F" w:rsidRPr="0073388D">
        <w:rPr>
          <w:u w:val="none"/>
        </w:rPr>
        <w:t>S.</w:t>
      </w:r>
      <w:r w:rsidR="00E0211B" w:rsidRPr="0073388D">
        <w:rPr>
          <w:u w:val="none"/>
        </w:rPr>
        <w:t> </w:t>
      </w:r>
      <w:r w:rsidR="002A2B0F" w:rsidRPr="0073388D">
        <w:rPr>
          <w:u w:val="none"/>
        </w:rPr>
        <w:t>Exc. M. Amara Camara (Guinée)</w:t>
      </w:r>
      <w:r w:rsidRPr="0073388D">
        <w:rPr>
          <w:u w:val="none"/>
        </w:rPr>
        <w:t xml:space="preserve"> Président de l’Assemblée générale ; </w:t>
      </w:r>
    </w:p>
    <w:p w14:paraId="2A5A4FB5" w14:textId="64ABA852" w:rsidR="00DD1C15" w:rsidRPr="0073388D" w:rsidRDefault="00DD1C15" w:rsidP="0084247A">
      <w:pPr>
        <w:pStyle w:val="COMParaDecision"/>
        <w:numPr>
          <w:ilvl w:val="0"/>
          <w:numId w:val="1"/>
        </w:numPr>
        <w:ind w:left="567" w:hanging="567"/>
        <w:jc w:val="left"/>
        <w:rPr>
          <w:u w:val="none"/>
        </w:rPr>
      </w:pPr>
      <w:r w:rsidRPr="0073388D">
        <w:t>Élit</w:t>
      </w:r>
      <w:r w:rsidRPr="0073388D">
        <w:rPr>
          <w:u w:val="none"/>
        </w:rPr>
        <w:t xml:space="preserve"> </w:t>
      </w:r>
      <w:r w:rsidR="002A2B0F" w:rsidRPr="0073388D">
        <w:rPr>
          <w:u w:val="none"/>
        </w:rPr>
        <w:t>M. Wael</w:t>
      </w:r>
      <w:r w:rsidR="00E0211B" w:rsidRPr="0073388D">
        <w:rPr>
          <w:u w:val="none"/>
        </w:rPr>
        <w:t xml:space="preserve"> Abdel </w:t>
      </w:r>
      <w:r w:rsidR="002A2B0F" w:rsidRPr="0073388D">
        <w:rPr>
          <w:u w:val="none"/>
        </w:rPr>
        <w:t>Wahab (Égypte)</w:t>
      </w:r>
      <w:r w:rsidRPr="0073388D">
        <w:rPr>
          <w:snapToGrid w:val="0"/>
          <w:u w:val="none"/>
        </w:rPr>
        <w:t xml:space="preserve"> Rapporteur de l’Assemblée générale ;</w:t>
      </w:r>
    </w:p>
    <w:p w14:paraId="65B0A313" w14:textId="4FA5EA5D" w:rsidR="00DD1C15" w:rsidRPr="0073388D" w:rsidRDefault="00DD1C15" w:rsidP="0084247A">
      <w:pPr>
        <w:pStyle w:val="COMParaDecision"/>
        <w:numPr>
          <w:ilvl w:val="0"/>
          <w:numId w:val="1"/>
        </w:numPr>
        <w:ind w:left="567" w:hanging="567"/>
        <w:jc w:val="left"/>
        <w:rPr>
          <w:u w:val="none"/>
        </w:rPr>
      </w:pPr>
      <w:r w:rsidRPr="0073388D">
        <w:t>Élit</w:t>
      </w:r>
      <w:r w:rsidRPr="0073388D">
        <w:rPr>
          <w:snapToGrid w:val="0"/>
          <w:u w:val="none"/>
        </w:rPr>
        <w:t xml:space="preserve"> </w:t>
      </w:r>
      <w:r w:rsidR="002A2B0F" w:rsidRPr="0073388D">
        <w:rPr>
          <w:snapToGrid w:val="0"/>
          <w:u w:val="none"/>
        </w:rPr>
        <w:t>les Pays-Bas, l’Arménie, l’Équateur, l’Indonésie et la Palestine</w:t>
      </w:r>
      <w:r w:rsidRPr="0073388D">
        <w:rPr>
          <w:snapToGrid w:val="0"/>
          <w:u w:val="none"/>
        </w:rPr>
        <w:t xml:space="preserve"> Vice-Présidents de l’Assemblée générale.</w:t>
      </w:r>
    </w:p>
    <w:p w14:paraId="446D0551" w14:textId="77777777" w:rsidR="00DD1C15" w:rsidRPr="0073388D" w:rsidRDefault="00DD1C15" w:rsidP="004F7D97">
      <w:pPr>
        <w:pStyle w:val="GATitleResolution"/>
        <w:tabs>
          <w:tab w:val="clear" w:pos="567"/>
          <w:tab w:val="left" w:pos="900"/>
        </w:tabs>
        <w:spacing w:before="360"/>
        <w:ind w:left="0"/>
      </w:pPr>
      <w:r w:rsidRPr="0073388D">
        <w:t>RÉSOLUTION 8.GA 3</w:t>
      </w:r>
    </w:p>
    <w:p w14:paraId="2571C01B" w14:textId="77777777" w:rsidR="00DD1C15" w:rsidRPr="0073388D" w:rsidRDefault="00DD1C15" w:rsidP="00DD1C15">
      <w:pPr>
        <w:pStyle w:val="COMPreambulaDecision"/>
        <w:tabs>
          <w:tab w:val="clear" w:pos="567"/>
          <w:tab w:val="left" w:pos="720"/>
        </w:tabs>
        <w:ind w:left="0"/>
      </w:pPr>
      <w:r w:rsidRPr="0073388D">
        <w:rPr>
          <w:lang w:bidi="fr-FR"/>
        </w:rPr>
        <w:t>L’Assemblée générale</w:t>
      </w:r>
      <w:r w:rsidRPr="0073388D">
        <w:t>,</w:t>
      </w:r>
    </w:p>
    <w:p w14:paraId="17E390D2" w14:textId="22FCA2AC" w:rsidR="00DD1C15" w:rsidRPr="0073388D" w:rsidRDefault="00DD1C15" w:rsidP="0084247A">
      <w:pPr>
        <w:pStyle w:val="GAParaResolution"/>
        <w:numPr>
          <w:ilvl w:val="0"/>
          <w:numId w:val="3"/>
        </w:numPr>
        <w:ind w:left="567" w:hanging="567"/>
        <w:jc w:val="left"/>
      </w:pPr>
      <w:r w:rsidRPr="0073388D">
        <w:t>Ayant examiné</w:t>
      </w:r>
      <w:r w:rsidRPr="0073388D">
        <w:rPr>
          <w:u w:val="none"/>
        </w:rPr>
        <w:t xml:space="preserve"> le </w:t>
      </w:r>
      <w:r w:rsidR="003A7F25" w:rsidRPr="0073388D">
        <w:rPr>
          <w:u w:val="none"/>
        </w:rPr>
        <w:t xml:space="preserve">document </w:t>
      </w:r>
      <w:hyperlink r:id="rId15" w:history="1">
        <w:r w:rsidR="003A7F25" w:rsidRPr="0073388D">
          <w:rPr>
            <w:rStyle w:val="Hyperlink"/>
          </w:rPr>
          <w:t>LHE/20/8.GA/3 Rev</w:t>
        </w:r>
        <w:r w:rsidRPr="0073388D">
          <w:rPr>
            <w:rStyle w:val="Hyperlink"/>
          </w:rPr>
          <w:t>.</w:t>
        </w:r>
      </w:hyperlink>
      <w:r w:rsidR="002A2B0F" w:rsidRPr="0073388D">
        <w:rPr>
          <w:u w:val="none"/>
        </w:rPr>
        <w:t>,</w:t>
      </w:r>
    </w:p>
    <w:p w14:paraId="103786EF" w14:textId="77777777" w:rsidR="00DD1C15" w:rsidRPr="0073388D" w:rsidRDefault="00DD1C15" w:rsidP="00E0211B">
      <w:pPr>
        <w:pStyle w:val="COMParaDecision"/>
        <w:numPr>
          <w:ilvl w:val="0"/>
          <w:numId w:val="1"/>
        </w:numPr>
        <w:ind w:left="567" w:hanging="567"/>
        <w:rPr>
          <w:u w:val="none"/>
        </w:rPr>
      </w:pPr>
      <w:r w:rsidRPr="0073388D">
        <w:t>Adopte</w:t>
      </w:r>
      <w:r w:rsidRPr="0073388D">
        <w:rPr>
          <w:u w:val="none"/>
        </w:rPr>
        <w:t xml:space="preserve"> l’ordre du jour de sa huitième session (Paris, Siège de l’UNESCO,</w:t>
      </w:r>
      <w:r w:rsidR="0084247A" w:rsidRPr="0073388D">
        <w:rPr>
          <w:u w:val="none"/>
        </w:rPr>
        <w:t xml:space="preserve"> 8</w:t>
      </w:r>
      <w:r w:rsidRPr="0073388D">
        <w:rPr>
          <w:u w:val="none"/>
        </w:rPr>
        <w:t> – 10 septembre 2020) comme suit :</w:t>
      </w:r>
    </w:p>
    <w:p w14:paraId="3D402C9B" w14:textId="77777777" w:rsidR="00DD1C15" w:rsidRPr="0073388D" w:rsidRDefault="00DD1C15" w:rsidP="004F7D97">
      <w:pPr>
        <w:spacing w:before="240" w:after="240"/>
        <w:ind w:left="1134" w:hanging="567"/>
        <w:jc w:val="both"/>
        <w:rPr>
          <w:rFonts w:ascii="Arial" w:eastAsia="SimSun" w:hAnsi="Arial" w:cs="Arial"/>
          <w:b/>
          <w:sz w:val="22"/>
          <w:szCs w:val="22"/>
        </w:rPr>
      </w:pPr>
      <w:r w:rsidRPr="0073388D">
        <w:rPr>
          <w:rFonts w:ascii="Arial" w:hAnsi="Arial"/>
          <w:b/>
          <w:sz w:val="22"/>
          <w:szCs w:val="22"/>
        </w:rPr>
        <w:t>Ordre du jour</w:t>
      </w:r>
    </w:p>
    <w:p w14:paraId="61FC0F79" w14:textId="77777777" w:rsidR="00DD1C15" w:rsidRPr="0073388D" w:rsidRDefault="00DD1C15" w:rsidP="00DD1C15">
      <w:pPr>
        <w:numPr>
          <w:ilvl w:val="0"/>
          <w:numId w:val="2"/>
        </w:numPr>
        <w:spacing w:after="120"/>
        <w:ind w:left="1134" w:hanging="567"/>
        <w:rPr>
          <w:rFonts w:ascii="Arial" w:eastAsia="SimSun" w:hAnsi="Arial" w:cs="Arial"/>
          <w:sz w:val="22"/>
          <w:szCs w:val="22"/>
        </w:rPr>
      </w:pPr>
      <w:r w:rsidRPr="0073388D">
        <w:rPr>
          <w:rFonts w:ascii="Arial" w:hAnsi="Arial"/>
          <w:sz w:val="22"/>
          <w:szCs w:val="22"/>
        </w:rPr>
        <w:t>Ouverture</w:t>
      </w:r>
    </w:p>
    <w:p w14:paraId="1DEA74A5" w14:textId="77777777" w:rsidR="00DD1C15" w:rsidRPr="0073388D" w:rsidRDefault="00DD1C15" w:rsidP="00DD1C15">
      <w:pPr>
        <w:numPr>
          <w:ilvl w:val="0"/>
          <w:numId w:val="2"/>
        </w:numPr>
        <w:spacing w:after="120"/>
        <w:ind w:left="1134" w:hanging="567"/>
        <w:rPr>
          <w:rFonts w:ascii="Arial" w:eastAsia="SimSun" w:hAnsi="Arial" w:cs="Arial"/>
          <w:sz w:val="22"/>
          <w:szCs w:val="22"/>
        </w:rPr>
      </w:pPr>
      <w:r w:rsidRPr="0073388D">
        <w:rPr>
          <w:rFonts w:ascii="Arial" w:hAnsi="Arial"/>
          <w:sz w:val="22"/>
          <w:szCs w:val="22"/>
        </w:rPr>
        <w:t>Élection du Bureau</w:t>
      </w:r>
    </w:p>
    <w:p w14:paraId="46898FB2"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Adoption de l’ordre du jour</w:t>
      </w:r>
    </w:p>
    <w:p w14:paraId="265A6A85"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Distribution des sièges au Comité par groupe électoral</w:t>
      </w:r>
    </w:p>
    <w:p w14:paraId="75B53566"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Rapport du Comité à l’Assemblée générale</w:t>
      </w:r>
    </w:p>
    <w:p w14:paraId="43CE7607"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Rapport du Secrétariat sur ses activités (de janvier 2018 à décembre 2019)</w:t>
      </w:r>
    </w:p>
    <w:p w14:paraId="6292BAA4"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Utilisation des ressources du Fonds du patrimoine culturel immatériel</w:t>
      </w:r>
    </w:p>
    <w:p w14:paraId="320F0616"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eastAsia="SimSun" w:hAnsi="Arial" w:cs="Arial"/>
          <w:sz w:val="22"/>
          <w:szCs w:val="22"/>
        </w:rPr>
        <w:t>Contribution à la préparation de la nouvelle Stratégie à moyen terme pour 2022-2029 (41 C/4) et projet de programme et de budget pour 2022-2025 (41 C/5)</w:t>
      </w:r>
    </w:p>
    <w:p w14:paraId="05695209"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 xml:space="preserve">Le patrimoine </w:t>
      </w:r>
      <w:r w:rsidRPr="0073388D">
        <w:rPr>
          <w:rFonts w:ascii="Arial" w:eastAsia="SimSun" w:hAnsi="Arial" w:cs="Arial"/>
          <w:sz w:val="22"/>
          <w:szCs w:val="22"/>
        </w:rPr>
        <w:t>culturel</w:t>
      </w:r>
      <w:r w:rsidRPr="0073388D">
        <w:rPr>
          <w:rFonts w:ascii="Arial" w:hAnsi="Arial"/>
          <w:sz w:val="22"/>
          <w:szCs w:val="22"/>
        </w:rPr>
        <w:t xml:space="preserve"> immatériel dans les situations d’urgence</w:t>
      </w:r>
    </w:p>
    <w:p w14:paraId="347CE728"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Révisions des Directives opérationnelles pour la mise en œuvre de la Convention</w:t>
      </w:r>
    </w:p>
    <w:p w14:paraId="36BCB2BD"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Point sur la réflexion portant sur les mécanismes d’inscription sur les Listes de la Convention</w:t>
      </w:r>
    </w:p>
    <w:p w14:paraId="0021C1E6"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Point sur la réflexion portant sur la participation des organisations non gouvernementales à la mise en œuvre de la Convention</w:t>
      </w:r>
    </w:p>
    <w:p w14:paraId="2A1841BD" w14:textId="77777777" w:rsidR="00DD1C15" w:rsidRPr="0073388D" w:rsidRDefault="00DD1C15" w:rsidP="00DD1C15">
      <w:pPr>
        <w:numPr>
          <w:ilvl w:val="0"/>
          <w:numId w:val="2"/>
        </w:numPr>
        <w:tabs>
          <w:tab w:val="decimal" w:pos="1134"/>
        </w:tabs>
        <w:spacing w:after="120"/>
        <w:ind w:left="1134" w:hanging="567"/>
        <w:jc w:val="both"/>
        <w:rPr>
          <w:rFonts w:ascii="Arial" w:eastAsia="SimSun" w:hAnsi="Arial" w:cs="Arial"/>
          <w:sz w:val="22"/>
          <w:szCs w:val="22"/>
        </w:rPr>
      </w:pPr>
      <w:r w:rsidRPr="0073388D">
        <w:rPr>
          <w:rFonts w:ascii="Arial" w:hAnsi="Arial"/>
          <w:sz w:val="22"/>
          <w:szCs w:val="22"/>
        </w:rPr>
        <w:t>Accréditation des organisations non gouvernementales à des fins d’assistance consultative auprès du Comité</w:t>
      </w:r>
    </w:p>
    <w:p w14:paraId="7F9EB770"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Élection des membres du Comité intergouvernemental de sauvegarde du patrimoine culturel immatériel</w:t>
      </w:r>
    </w:p>
    <w:p w14:paraId="06F052BB" w14:textId="77777777" w:rsidR="00DD1C15" w:rsidRPr="0073388D" w:rsidRDefault="00DD1C15" w:rsidP="00DD1C15">
      <w:pPr>
        <w:numPr>
          <w:ilvl w:val="0"/>
          <w:numId w:val="2"/>
        </w:numPr>
        <w:spacing w:after="120"/>
        <w:ind w:left="1134" w:hanging="567"/>
        <w:jc w:val="both"/>
        <w:rPr>
          <w:rFonts w:ascii="Arial" w:hAnsi="Arial"/>
          <w:sz w:val="22"/>
          <w:szCs w:val="22"/>
        </w:rPr>
      </w:pPr>
      <w:r w:rsidRPr="0073388D">
        <w:rPr>
          <w:rFonts w:ascii="Arial" w:hAnsi="Arial"/>
          <w:sz w:val="22"/>
          <w:szCs w:val="22"/>
        </w:rPr>
        <w:t>Suivi des recommandations du Groupe de travail à composition non limitée sur la gouvernance, les procédures et les méthodes de travail de l’UNESCO</w:t>
      </w:r>
    </w:p>
    <w:p w14:paraId="4CA279F8" w14:textId="77777777" w:rsidR="00DD1C15" w:rsidRPr="0073388D" w:rsidRDefault="00DD1C15" w:rsidP="00DD1C15">
      <w:pPr>
        <w:numPr>
          <w:ilvl w:val="0"/>
          <w:numId w:val="2"/>
        </w:numPr>
        <w:spacing w:after="120"/>
        <w:ind w:left="1134" w:hanging="567"/>
        <w:jc w:val="both"/>
        <w:rPr>
          <w:rFonts w:ascii="Arial" w:eastAsia="SimSun" w:hAnsi="Arial" w:cs="Arial"/>
          <w:sz w:val="22"/>
          <w:szCs w:val="22"/>
        </w:rPr>
      </w:pPr>
      <w:r w:rsidRPr="0073388D">
        <w:rPr>
          <w:rFonts w:ascii="Arial" w:hAnsi="Arial"/>
          <w:sz w:val="22"/>
          <w:szCs w:val="22"/>
        </w:rPr>
        <w:t>Questions diverses</w:t>
      </w:r>
    </w:p>
    <w:p w14:paraId="102DF51D" w14:textId="77777777" w:rsidR="00A95DFC" w:rsidRPr="0073388D" w:rsidRDefault="00DD1C15" w:rsidP="00DD1C15">
      <w:pPr>
        <w:numPr>
          <w:ilvl w:val="0"/>
          <w:numId w:val="2"/>
        </w:numPr>
        <w:spacing w:after="120"/>
        <w:ind w:left="1134" w:hanging="567"/>
        <w:jc w:val="both"/>
        <w:rPr>
          <w:rFonts w:ascii="Arial" w:hAnsi="Arial" w:cs="Arial"/>
          <w:sz w:val="22"/>
          <w:szCs w:val="22"/>
        </w:rPr>
      </w:pPr>
      <w:r w:rsidRPr="0073388D">
        <w:rPr>
          <w:rFonts w:ascii="Arial" w:hAnsi="Arial"/>
          <w:sz w:val="22"/>
          <w:szCs w:val="22"/>
        </w:rPr>
        <w:t>Clôture</w:t>
      </w:r>
    </w:p>
    <w:p w14:paraId="4E212117" w14:textId="77777777" w:rsidR="00DD1C15" w:rsidRPr="0073388D" w:rsidRDefault="00DD1C15" w:rsidP="006E6BE0">
      <w:pPr>
        <w:pStyle w:val="GATitleResolution"/>
        <w:tabs>
          <w:tab w:val="clear" w:pos="567"/>
          <w:tab w:val="left" w:pos="900"/>
        </w:tabs>
        <w:spacing w:before="360"/>
        <w:ind w:left="0"/>
      </w:pPr>
      <w:r w:rsidRPr="0073388D">
        <w:t>RÉSOLUTION 8.GA 4</w:t>
      </w:r>
    </w:p>
    <w:p w14:paraId="67FF5B1A" w14:textId="77777777" w:rsidR="00DD1C15" w:rsidRPr="0073388D" w:rsidRDefault="00DD1C15" w:rsidP="00DD1C15">
      <w:pPr>
        <w:pStyle w:val="COMPreambulaDecision"/>
        <w:tabs>
          <w:tab w:val="clear" w:pos="567"/>
          <w:tab w:val="left" w:pos="720"/>
        </w:tabs>
        <w:ind w:left="0"/>
      </w:pPr>
      <w:r w:rsidRPr="0073388D">
        <w:rPr>
          <w:lang w:bidi="fr-FR"/>
        </w:rPr>
        <w:t>L’Assemblée générale</w:t>
      </w:r>
      <w:r w:rsidRPr="0073388D">
        <w:t>,</w:t>
      </w:r>
    </w:p>
    <w:p w14:paraId="4A56D5ED" w14:textId="293DD60B" w:rsidR="00DD1C15" w:rsidRPr="0073388D" w:rsidRDefault="00DD1C15" w:rsidP="0084247A">
      <w:pPr>
        <w:pStyle w:val="GAParaResolution"/>
        <w:numPr>
          <w:ilvl w:val="0"/>
          <w:numId w:val="4"/>
        </w:numPr>
        <w:ind w:left="567" w:hanging="567"/>
      </w:pPr>
      <w:r w:rsidRPr="0073388D">
        <w:t>Ayant examiné</w:t>
      </w:r>
      <w:r w:rsidRPr="0073388D">
        <w:rPr>
          <w:u w:val="none"/>
        </w:rPr>
        <w:t xml:space="preserve"> le </w:t>
      </w:r>
      <w:r w:rsidR="003A7F25" w:rsidRPr="0073388D">
        <w:rPr>
          <w:u w:val="none"/>
        </w:rPr>
        <w:t xml:space="preserve">document </w:t>
      </w:r>
      <w:hyperlink r:id="rId16" w:history="1">
        <w:r w:rsidR="003A7F25" w:rsidRPr="0073388D">
          <w:rPr>
            <w:rStyle w:val="Hyperlink"/>
          </w:rPr>
          <w:t>LHE/20/8.GA/4</w:t>
        </w:r>
      </w:hyperlink>
      <w:r w:rsidRPr="0073388D">
        <w:rPr>
          <w:u w:val="none"/>
        </w:rPr>
        <w:t>,</w:t>
      </w:r>
    </w:p>
    <w:p w14:paraId="0059CB01" w14:textId="77777777" w:rsidR="00DD1C15" w:rsidRPr="0073388D" w:rsidRDefault="00DD1C15" w:rsidP="0084247A">
      <w:pPr>
        <w:pStyle w:val="COMParaDecision"/>
        <w:numPr>
          <w:ilvl w:val="0"/>
          <w:numId w:val="1"/>
        </w:numPr>
        <w:ind w:left="567" w:hanging="567"/>
      </w:pPr>
      <w:r w:rsidRPr="0073388D">
        <w:t>Rappelant</w:t>
      </w:r>
      <w:r w:rsidRPr="0073388D">
        <w:rPr>
          <w:u w:val="none"/>
        </w:rPr>
        <w:t xml:space="preserve"> l’article 6 de la Convention,</w:t>
      </w:r>
    </w:p>
    <w:p w14:paraId="0FCD9A0B" w14:textId="0341D16B" w:rsidR="00DD1C15" w:rsidRPr="0073388D" w:rsidRDefault="00DD1C15" w:rsidP="0084247A">
      <w:pPr>
        <w:pStyle w:val="COMParaDecision"/>
        <w:numPr>
          <w:ilvl w:val="0"/>
          <w:numId w:val="1"/>
        </w:numPr>
        <w:ind w:left="567" w:hanging="567"/>
      </w:pPr>
      <w:r w:rsidRPr="0073388D">
        <w:t xml:space="preserve">Rappelant </w:t>
      </w:r>
      <w:r w:rsidR="00D718F7">
        <w:t>en outre</w:t>
      </w:r>
      <w:bookmarkStart w:id="0" w:name="_GoBack"/>
      <w:bookmarkEnd w:id="0"/>
      <w:r w:rsidRPr="0073388D">
        <w:rPr>
          <w:u w:val="none"/>
        </w:rPr>
        <w:t xml:space="preserve"> l’article 13 de son Règlement intérieur, ainsi que la </w:t>
      </w:r>
      <w:hyperlink r:id="rId17" w:history="1">
        <w:r w:rsidRPr="0073388D">
          <w:rPr>
            <w:rStyle w:val="Hyperlink"/>
          </w:rPr>
          <w:t>résolution 3.GA 12</w:t>
        </w:r>
      </w:hyperlink>
      <w:r w:rsidRPr="0073388D">
        <w:rPr>
          <w:u w:val="none"/>
        </w:rPr>
        <w:t>,</w:t>
      </w:r>
    </w:p>
    <w:p w14:paraId="5D9B3FB5" w14:textId="77777777" w:rsidR="00DD1C15" w:rsidRPr="0073388D" w:rsidRDefault="00DD1C15" w:rsidP="0084247A">
      <w:pPr>
        <w:pStyle w:val="COMParaDecision"/>
        <w:numPr>
          <w:ilvl w:val="0"/>
          <w:numId w:val="1"/>
        </w:numPr>
        <w:ind w:left="567" w:hanging="567"/>
      </w:pPr>
      <w:r w:rsidRPr="0073388D">
        <w:t>Décide</w:t>
      </w:r>
      <w:r w:rsidRPr="0073388D">
        <w:rPr>
          <w:u w:val="none"/>
        </w:rPr>
        <w:t xml:space="preserve"> qu’aux fins de l’élection à sa huitième session, les 24 sièges du Comité seront répartis entre les groupes électoraux comme suit : Groupe I, trois sièges ; Groupe II, trois sièges ; Groupe III, quatre sièges ; Groupe IV, cinq sièges ; Groupe V(a), six sièges ; Groupe V(b), trois sièges.</w:t>
      </w:r>
    </w:p>
    <w:p w14:paraId="27E7F54D" w14:textId="77777777" w:rsidR="00DD1C15" w:rsidRPr="0073388D" w:rsidRDefault="00DD1C15" w:rsidP="006E6BE0">
      <w:pPr>
        <w:pStyle w:val="GATitleResolution"/>
        <w:tabs>
          <w:tab w:val="clear" w:pos="567"/>
          <w:tab w:val="left" w:pos="900"/>
        </w:tabs>
        <w:spacing w:before="360"/>
        <w:ind w:left="0"/>
      </w:pPr>
      <w:r w:rsidRPr="0073388D">
        <w:t>RÉSOLUTION 8.GA 5</w:t>
      </w:r>
    </w:p>
    <w:p w14:paraId="08BA6245" w14:textId="77777777" w:rsidR="00DD1C15" w:rsidRPr="0073388D" w:rsidRDefault="00DD1C15" w:rsidP="00DD1C15">
      <w:pPr>
        <w:pStyle w:val="COMPreambulaDecision"/>
        <w:tabs>
          <w:tab w:val="clear" w:pos="567"/>
          <w:tab w:val="left" w:pos="720"/>
        </w:tabs>
        <w:ind w:left="0"/>
      </w:pPr>
      <w:r w:rsidRPr="0073388D">
        <w:rPr>
          <w:lang w:bidi="fr-FR"/>
        </w:rPr>
        <w:t>L’Assemblée générale</w:t>
      </w:r>
      <w:r w:rsidRPr="0073388D">
        <w:t>,</w:t>
      </w:r>
    </w:p>
    <w:p w14:paraId="715895A1" w14:textId="468D3BD8" w:rsidR="00DD1C15" w:rsidRPr="0073388D" w:rsidRDefault="00DD1C15" w:rsidP="0084247A">
      <w:pPr>
        <w:pStyle w:val="GAParaResolution"/>
        <w:numPr>
          <w:ilvl w:val="0"/>
          <w:numId w:val="5"/>
        </w:numPr>
        <w:ind w:left="567" w:hanging="567"/>
      </w:pPr>
      <w:r w:rsidRPr="0073388D">
        <w:t>Ayant examiné</w:t>
      </w:r>
      <w:r w:rsidRPr="0073388D">
        <w:rPr>
          <w:u w:val="none"/>
        </w:rPr>
        <w:t xml:space="preserve"> le </w:t>
      </w:r>
      <w:r w:rsidR="003A7F25" w:rsidRPr="0073388D">
        <w:rPr>
          <w:u w:val="none"/>
        </w:rPr>
        <w:t xml:space="preserve">document </w:t>
      </w:r>
      <w:hyperlink r:id="rId18" w:history="1">
        <w:r w:rsidR="003A7F25" w:rsidRPr="0073388D">
          <w:rPr>
            <w:rStyle w:val="Hyperlink"/>
          </w:rPr>
          <w:t>LHE/20/8.GA/5</w:t>
        </w:r>
      </w:hyperlink>
      <w:r w:rsidR="00EC3864" w:rsidRPr="0073388D">
        <w:rPr>
          <w:u w:val="none"/>
        </w:rPr>
        <w:t xml:space="preserve"> et son annexe</w:t>
      </w:r>
      <w:r w:rsidRPr="0073388D">
        <w:rPr>
          <w:u w:val="none"/>
        </w:rPr>
        <w:t>,</w:t>
      </w:r>
    </w:p>
    <w:p w14:paraId="6E7133E7" w14:textId="77777777" w:rsidR="00DD1C15" w:rsidRPr="0073388D" w:rsidRDefault="00DD1C15" w:rsidP="0084247A">
      <w:pPr>
        <w:pStyle w:val="GAParaResolution"/>
        <w:numPr>
          <w:ilvl w:val="0"/>
          <w:numId w:val="5"/>
        </w:numPr>
        <w:ind w:left="567" w:hanging="567"/>
      </w:pPr>
      <w:r w:rsidRPr="0073388D">
        <w:t>Rappelant</w:t>
      </w:r>
      <w:r w:rsidRPr="0073388D">
        <w:rPr>
          <w:u w:val="none"/>
        </w:rPr>
        <w:t xml:space="preserve"> l’article 30 de la Convention,</w:t>
      </w:r>
    </w:p>
    <w:p w14:paraId="07E10CD9" w14:textId="77777777" w:rsidR="00DD1C15" w:rsidRPr="0073388D" w:rsidRDefault="00DD1C15" w:rsidP="0084247A">
      <w:pPr>
        <w:pStyle w:val="GAParaResolution"/>
        <w:ind w:left="567" w:hanging="567"/>
      </w:pPr>
      <w:r w:rsidRPr="0073388D">
        <w:t>Accueille</w:t>
      </w:r>
      <w:r w:rsidRPr="0073388D">
        <w:rPr>
          <w:u w:val="none"/>
        </w:rPr>
        <w:t xml:space="preserve"> les Îles Salomon, Kiribati et Singapour, ayant ratifié la Convention pendant la période considérée et </w:t>
      </w:r>
      <w:r w:rsidRPr="0073388D">
        <w:t>exprime sa satisfaction</w:t>
      </w:r>
      <w:r w:rsidRPr="0073388D">
        <w:rPr>
          <w:u w:val="none"/>
        </w:rPr>
        <w:t xml:space="preserve"> devant le rythme élevé des ratifications dans toutes les régions ;</w:t>
      </w:r>
    </w:p>
    <w:p w14:paraId="5FB691E9" w14:textId="77777777" w:rsidR="00DD1C15" w:rsidRPr="0073388D" w:rsidRDefault="00DD1C15" w:rsidP="0084247A">
      <w:pPr>
        <w:pStyle w:val="GAParaResolution"/>
        <w:ind w:left="567" w:hanging="567"/>
        <w:rPr>
          <w:u w:val="none"/>
        </w:rPr>
      </w:pPr>
      <w:r w:rsidRPr="0073388D">
        <w:t>Prend note</w:t>
      </w:r>
      <w:r w:rsidRPr="0073388D">
        <w:rPr>
          <w:u w:val="none"/>
        </w:rPr>
        <w:t xml:space="preserve"> du rapport du Comité à l’Assemblée générale sur ses activités entre janvier 2018 et décembre 2019, tel que figurant en annexe au présent document, et </w:t>
      </w:r>
      <w:r w:rsidRPr="0073388D">
        <w:t>remercie</w:t>
      </w:r>
      <w:r w:rsidRPr="0073388D">
        <w:rPr>
          <w:u w:val="none"/>
        </w:rPr>
        <w:t xml:space="preserve"> le Comité pour son travail efficace ;</w:t>
      </w:r>
    </w:p>
    <w:p w14:paraId="7A087082" w14:textId="77777777" w:rsidR="00DD1C15" w:rsidRPr="0073388D" w:rsidRDefault="00DD1C15" w:rsidP="0084247A">
      <w:pPr>
        <w:pStyle w:val="GAParaResolution"/>
        <w:ind w:left="567" w:hanging="567"/>
        <w:rPr>
          <w:u w:val="none"/>
        </w:rPr>
      </w:pPr>
      <w:r w:rsidRPr="0073388D">
        <w:t>Félicite</w:t>
      </w:r>
      <w:r w:rsidRPr="0073388D">
        <w:rPr>
          <w:u w:val="none"/>
        </w:rPr>
        <w:t xml:space="preserve"> le Comité pour les progrès accomplis pour améliorer la gouvernance de la Convention, notamment par la réforme du mécanisme de soumission des rapports périodiques qui a) a pour but d’améliorer le faible taux de soumission de rapports, b) a été alignée sur le cadre global de résultats et c) sera mise en œuvre selon un cycle régional, et ainsi </w:t>
      </w:r>
      <w:r w:rsidRPr="0073388D">
        <w:t>exprime le souhait</w:t>
      </w:r>
      <w:r w:rsidRPr="0073388D">
        <w:rPr>
          <w:u w:val="none"/>
        </w:rPr>
        <w:t xml:space="preserve"> que le mécanisme réformé soit un outil efficace pour le suivi des réalisations et de l’impact de la Convention à différents niveaux dans toutes les régions ;</w:t>
      </w:r>
    </w:p>
    <w:p w14:paraId="30D11567" w14:textId="77777777" w:rsidR="00DD1C15" w:rsidRPr="0073388D" w:rsidRDefault="00DD1C15" w:rsidP="0084247A">
      <w:pPr>
        <w:pStyle w:val="GAParaResolution"/>
        <w:ind w:left="567" w:hanging="567"/>
        <w:rPr>
          <w:u w:val="none"/>
        </w:rPr>
      </w:pPr>
      <w:r w:rsidRPr="0073388D">
        <w:t>Félicite en outre</w:t>
      </w:r>
      <w:r w:rsidRPr="0073388D">
        <w:rPr>
          <w:u w:val="none"/>
        </w:rPr>
        <w:t xml:space="preserve"> le Comité pour l’importance qu’il accorde toujours au renforcement des capacités en vue de la mise en œuvre de la Convention par le programme global de gestion des capacités et </w:t>
      </w:r>
      <w:r w:rsidRPr="0073388D">
        <w:t>note avec satisfaction</w:t>
      </w:r>
      <w:r w:rsidRPr="0073388D">
        <w:rPr>
          <w:u w:val="none"/>
        </w:rPr>
        <w:t xml:space="preserve"> les initiatives liées à la sauvegarde du patrimoine culturel immatériel dans l’enseignement formel et non formel ;</w:t>
      </w:r>
    </w:p>
    <w:p w14:paraId="602ED2BA" w14:textId="77777777" w:rsidR="00DD1C15" w:rsidRPr="0073388D" w:rsidRDefault="00DD1C15" w:rsidP="0084247A">
      <w:pPr>
        <w:pStyle w:val="GAParaResolution"/>
        <w:ind w:left="567" w:hanging="567"/>
        <w:rPr>
          <w:rStyle w:val="Hyperlink"/>
          <w:color w:val="auto"/>
          <w:u w:val="none"/>
        </w:rPr>
      </w:pPr>
      <w:r w:rsidRPr="0073388D">
        <w:t>Souligne</w:t>
      </w:r>
      <w:r w:rsidRPr="0073388D">
        <w:rPr>
          <w:u w:val="none"/>
        </w:rPr>
        <w:t xml:space="preserve"> le rôle significatif que la sauvegarde du patrimoine culturel immatériel peut jouer pour soutenir la consolidation de la paix et la coopération, notamment concernant la décision du Comité de l’inscription conjointe d’un élément (</w:t>
      </w:r>
      <w:hyperlink r:id="rId19" w:history="1">
        <w:r w:rsidRPr="0073388D">
          <w:rPr>
            <w:rStyle w:val="Hyperlink"/>
          </w:rPr>
          <w:t>décision 13.COM 10.b.41</w:t>
        </w:r>
      </w:hyperlink>
      <w:r w:rsidRPr="0073388D">
        <w:rPr>
          <w:rStyle w:val="Hyperlink"/>
          <w:color w:val="auto"/>
          <w:u w:val="none"/>
        </w:rPr>
        <w:t>) ;</w:t>
      </w:r>
    </w:p>
    <w:p w14:paraId="7F572041" w14:textId="77777777" w:rsidR="00DD1C15" w:rsidRPr="0073388D" w:rsidRDefault="00DD1C15" w:rsidP="0084247A">
      <w:pPr>
        <w:pStyle w:val="GAParaResolution"/>
        <w:ind w:left="567" w:hanging="567"/>
        <w:rPr>
          <w:u w:val="none"/>
        </w:rPr>
      </w:pPr>
      <w:r w:rsidRPr="0073388D">
        <w:t>Met l’accent sur l’importance</w:t>
      </w:r>
      <w:r w:rsidRPr="0073388D">
        <w:rPr>
          <w:u w:val="none"/>
        </w:rPr>
        <w:t xml:space="preserve"> de la réflexion lancée par le Comité sur la nature et la finalité des mécanismes d’inscription sur les listes prévus dans la Convention, incluant le suivi des éléments inscrits comme faisant partie de cette réflexion plus large et </w:t>
      </w:r>
      <w:r w:rsidRPr="0073388D">
        <w:t>salue</w:t>
      </w:r>
      <w:r w:rsidRPr="0073388D">
        <w:rPr>
          <w:u w:val="none"/>
        </w:rPr>
        <w:t xml:space="preserve"> les mesures initiales prises pour améliorer le processus d’inscription à travers le processus de dialogue en amont ;</w:t>
      </w:r>
    </w:p>
    <w:p w14:paraId="4C7D5307" w14:textId="6F03DDA9" w:rsidR="00DD1C15" w:rsidRPr="0073388D" w:rsidRDefault="00E0211B" w:rsidP="0084247A">
      <w:pPr>
        <w:pStyle w:val="GAParaResolution"/>
        <w:ind w:left="567" w:hanging="567"/>
      </w:pPr>
      <w:r w:rsidRPr="0073388D">
        <w:t>Reconnaît</w:t>
      </w:r>
      <w:r w:rsidRPr="0073388D">
        <w:rPr>
          <w:u w:val="none"/>
        </w:rPr>
        <w:t xml:space="preserve"> </w:t>
      </w:r>
      <w:r w:rsidR="00DD1C15" w:rsidRPr="0073388D">
        <w:rPr>
          <w:u w:val="none"/>
        </w:rPr>
        <w:t xml:space="preserve">la décision </w:t>
      </w:r>
      <w:r w:rsidR="002A2B0F" w:rsidRPr="0073388D">
        <w:rPr>
          <w:u w:val="none"/>
        </w:rPr>
        <w:t xml:space="preserve">unanime </w:t>
      </w:r>
      <w:r w:rsidR="00DD1C15" w:rsidRPr="0073388D">
        <w:rPr>
          <w:u w:val="none"/>
        </w:rPr>
        <w:t>du Comité de retirer un élément de l’une des listes de la Convention dans le respect des principes fondateurs de l’UNESCO et des principes de la Convention que sont la dignité, l’égalité et le respect mutuel entre les peuples (</w:t>
      </w:r>
      <w:hyperlink r:id="rId20" w:history="1">
        <w:r w:rsidR="00DD1C15" w:rsidRPr="0073388D">
          <w:rPr>
            <w:rStyle w:val="Hyperlink"/>
          </w:rPr>
          <w:t>décision 14.COM 12</w:t>
        </w:r>
      </w:hyperlink>
      <w:r w:rsidR="00DD1C15" w:rsidRPr="0073388D">
        <w:rPr>
          <w:u w:val="none"/>
        </w:rPr>
        <w:t>) ;</w:t>
      </w:r>
    </w:p>
    <w:p w14:paraId="7EE6FF4B" w14:textId="062E2B44" w:rsidR="00DD1C15" w:rsidRPr="0073388D" w:rsidRDefault="00DD1C15" w:rsidP="0084247A">
      <w:pPr>
        <w:pStyle w:val="GAParaResolution"/>
        <w:ind w:left="567" w:hanging="567"/>
        <w:rPr>
          <w:u w:val="none"/>
        </w:rPr>
      </w:pPr>
      <w:r w:rsidRPr="0073388D">
        <w:t xml:space="preserve">Apprécie </w:t>
      </w:r>
      <w:r w:rsidRPr="0073388D">
        <w:rPr>
          <w:u w:val="none"/>
        </w:rPr>
        <w:t>la réflexion menée par le Comité sur le patrimoine culturel immatériel dans les situations d’urgence ainsi que celle sur la participation des organisations non gouvernementales à la mise en œuvre de la Convention ;</w:t>
      </w:r>
    </w:p>
    <w:p w14:paraId="7EDCD295" w14:textId="77777777" w:rsidR="00DD1C15" w:rsidRPr="0073388D" w:rsidRDefault="00DD1C15" w:rsidP="0084247A">
      <w:pPr>
        <w:pStyle w:val="GAParaResolution"/>
        <w:ind w:left="567" w:hanging="567"/>
        <w:rPr>
          <w:u w:val="none"/>
        </w:rPr>
      </w:pPr>
      <w:r w:rsidRPr="0073388D">
        <w:t>Demande</w:t>
      </w:r>
      <w:r w:rsidRPr="0073388D">
        <w:rPr>
          <w:u w:val="none"/>
        </w:rPr>
        <w:t xml:space="preserve"> à la Directrice générale de porter ce rapport à l’attention de la Conférence générale de l’UNESCO, conformément au paragraphe 2 de l’article 30 de la Convention.</w:t>
      </w:r>
    </w:p>
    <w:p w14:paraId="7887A585" w14:textId="77777777" w:rsidR="00A95DFC" w:rsidRPr="0073388D" w:rsidRDefault="00A95DFC" w:rsidP="006E6BE0">
      <w:pPr>
        <w:pStyle w:val="GATitleResolution"/>
        <w:tabs>
          <w:tab w:val="clear" w:pos="567"/>
          <w:tab w:val="left" w:pos="900"/>
        </w:tabs>
        <w:spacing w:before="360"/>
        <w:ind w:left="0"/>
      </w:pPr>
      <w:r w:rsidRPr="0073388D">
        <w:t>RÉSOLUTION</w:t>
      </w:r>
      <w:r w:rsidRPr="0073388D">
        <w:rPr>
          <w:bCs/>
        </w:rPr>
        <w:t xml:space="preserve"> 8.GA 6</w:t>
      </w:r>
    </w:p>
    <w:p w14:paraId="06E5E837" w14:textId="77777777" w:rsidR="00A95DFC" w:rsidRPr="0073388D" w:rsidRDefault="00A95DFC" w:rsidP="00A95DFC">
      <w:pPr>
        <w:pStyle w:val="COMPreambulaDecision"/>
        <w:tabs>
          <w:tab w:val="clear" w:pos="567"/>
          <w:tab w:val="left" w:pos="720"/>
        </w:tabs>
        <w:ind w:left="0"/>
      </w:pPr>
      <w:r w:rsidRPr="0073388D">
        <w:rPr>
          <w:lang w:bidi="fr-FR"/>
        </w:rPr>
        <w:t>L’Assemblée</w:t>
      </w:r>
      <w:r w:rsidRPr="0073388D">
        <w:t xml:space="preserve"> générale,</w:t>
      </w:r>
    </w:p>
    <w:p w14:paraId="3D0A3410" w14:textId="333DA36A" w:rsidR="00A95DFC" w:rsidRPr="0073388D" w:rsidRDefault="00A95DFC" w:rsidP="00872FD3">
      <w:pPr>
        <w:pStyle w:val="GAParaResolution"/>
        <w:numPr>
          <w:ilvl w:val="0"/>
          <w:numId w:val="7"/>
        </w:numPr>
        <w:ind w:left="567" w:hanging="567"/>
      </w:pPr>
      <w:r w:rsidRPr="0073388D">
        <w:t>Ayant examiné</w:t>
      </w:r>
      <w:r w:rsidRPr="0073388D">
        <w:rPr>
          <w:u w:val="none"/>
        </w:rPr>
        <w:t xml:space="preserve"> le </w:t>
      </w:r>
      <w:r w:rsidR="003A7F25" w:rsidRPr="0073388D">
        <w:rPr>
          <w:u w:val="none"/>
        </w:rPr>
        <w:t xml:space="preserve">document </w:t>
      </w:r>
      <w:hyperlink r:id="rId21" w:history="1">
        <w:r w:rsidR="003A7F25" w:rsidRPr="0073388D">
          <w:rPr>
            <w:rStyle w:val="Hyperlink"/>
          </w:rPr>
          <w:t>LHE/20/8.GA/6</w:t>
        </w:r>
      </w:hyperlink>
      <w:r w:rsidRPr="0073388D">
        <w:rPr>
          <w:u w:val="none"/>
        </w:rPr>
        <w:t>,</w:t>
      </w:r>
    </w:p>
    <w:p w14:paraId="4B7C187D" w14:textId="77777777" w:rsidR="00A95DFC" w:rsidRPr="0073388D" w:rsidRDefault="00A95DFC" w:rsidP="00872FD3">
      <w:pPr>
        <w:pStyle w:val="GAParaResolution"/>
        <w:numPr>
          <w:ilvl w:val="0"/>
          <w:numId w:val="7"/>
        </w:numPr>
        <w:ind w:left="567" w:hanging="567"/>
        <w:rPr>
          <w:u w:val="none"/>
        </w:rPr>
      </w:pPr>
      <w:r w:rsidRPr="0073388D">
        <w:t>Félicite</w:t>
      </w:r>
      <w:r w:rsidRPr="0073388D">
        <w:rPr>
          <w:u w:val="none"/>
        </w:rPr>
        <w:t xml:space="preserve"> le Secrétariat pour le soutien continu et opportun apporté à la bonne gouvernance de la Convention par l’organisation efficace des réunions statutaires et la gestion de ses divers mécanismes et </w:t>
      </w:r>
      <w:r w:rsidRPr="0073388D">
        <w:t>note avec satisfaction</w:t>
      </w:r>
      <w:r w:rsidRPr="0073388D">
        <w:rPr>
          <w:u w:val="none"/>
        </w:rPr>
        <w:t xml:space="preserve"> le lancement initial de la réforme des rapports périodiques ;</w:t>
      </w:r>
    </w:p>
    <w:p w14:paraId="72C4429B" w14:textId="77777777" w:rsidR="00A95DFC" w:rsidRPr="0073388D" w:rsidRDefault="00A95DFC" w:rsidP="00872FD3">
      <w:pPr>
        <w:pStyle w:val="COMParaDecision"/>
        <w:numPr>
          <w:ilvl w:val="0"/>
          <w:numId w:val="1"/>
        </w:numPr>
        <w:ind w:left="567" w:hanging="567"/>
        <w:rPr>
          <w:u w:val="none"/>
        </w:rPr>
      </w:pPr>
      <w:r w:rsidRPr="0073388D">
        <w:t>Félicite en outre</w:t>
      </w:r>
      <w:r w:rsidRPr="0073388D">
        <w:rPr>
          <w:u w:val="none"/>
        </w:rPr>
        <w:t xml:space="preserve"> le Secrétariat pour le soutien apporté aux premières étapes de la réflexion sur les mécanismes d’inscription par le suivi des éléments inscrits et la mise en œuvre du processus de dialogue en amont ;</w:t>
      </w:r>
    </w:p>
    <w:p w14:paraId="6E3C3449" w14:textId="77777777" w:rsidR="00A95DFC" w:rsidRPr="0073388D" w:rsidRDefault="00A95DFC" w:rsidP="00872FD3">
      <w:pPr>
        <w:pStyle w:val="COMParaDecision"/>
        <w:numPr>
          <w:ilvl w:val="0"/>
          <w:numId w:val="1"/>
        </w:numPr>
        <w:ind w:left="567" w:hanging="567"/>
        <w:rPr>
          <w:u w:val="none"/>
        </w:rPr>
      </w:pPr>
      <w:r w:rsidRPr="0073388D">
        <w:t>Apprécie</w:t>
      </w:r>
      <w:r w:rsidRPr="0073388D">
        <w:rPr>
          <w:u w:val="none"/>
        </w:rPr>
        <w:t xml:space="preserve"> les efforts du Secrétariat pour rendre plus opérationnel le mécanisme d’assistance internationale, ce qui a permis d’améliorer les dépenses du Fonds du patrimoine culturel immatériel ;</w:t>
      </w:r>
    </w:p>
    <w:p w14:paraId="16AEB7A7" w14:textId="77777777" w:rsidR="00A95DFC" w:rsidRPr="0073388D" w:rsidRDefault="00A95DFC" w:rsidP="00872FD3">
      <w:pPr>
        <w:pStyle w:val="COMParaDecision"/>
        <w:numPr>
          <w:ilvl w:val="0"/>
          <w:numId w:val="1"/>
        </w:numPr>
        <w:ind w:left="567" w:hanging="567"/>
        <w:rPr>
          <w:u w:val="none"/>
        </w:rPr>
      </w:pPr>
      <w:r w:rsidRPr="0073388D">
        <w:t>Exprime sa satisfaction</w:t>
      </w:r>
      <w:r w:rsidRPr="0073388D">
        <w:rPr>
          <w:u w:val="none"/>
        </w:rPr>
        <w:t xml:space="preserve"> à l’égard du programme global de renforcement des capacités, notant le rôle important de partenaires clés tels que les centres de catégorie 2 pour la durabilité du programme et </w:t>
      </w:r>
      <w:r w:rsidRPr="0073388D">
        <w:t>salue</w:t>
      </w:r>
      <w:r w:rsidRPr="0073388D">
        <w:rPr>
          <w:u w:val="none"/>
        </w:rPr>
        <w:t xml:space="preserve"> les progrès importants réalisés dans le travail intersectoriel de sauvegarde du patrimoine culturel immatériel dans l’éducation formelle et non formelle ;</w:t>
      </w:r>
    </w:p>
    <w:p w14:paraId="47C84122" w14:textId="77777777" w:rsidR="00A95DFC" w:rsidRPr="0073388D" w:rsidRDefault="00A95DFC" w:rsidP="00872FD3">
      <w:pPr>
        <w:pStyle w:val="COMParaDecision"/>
        <w:numPr>
          <w:ilvl w:val="0"/>
          <w:numId w:val="1"/>
        </w:numPr>
        <w:ind w:left="567" w:hanging="567"/>
        <w:rPr>
          <w:u w:val="none"/>
        </w:rPr>
      </w:pPr>
      <w:r w:rsidRPr="0073388D">
        <w:t>Prend note</w:t>
      </w:r>
      <w:r w:rsidRPr="0073388D">
        <w:rPr>
          <w:u w:val="none"/>
        </w:rPr>
        <w:t xml:space="preserve"> des progrès réalisés dans certains domaines thématiques tels que le patrimoine culturel immatériel dans les situations d’urgence ainsi que le patrimoine culturel immatériel et les contextes urbains, et </w:t>
      </w:r>
      <w:r w:rsidRPr="0073388D">
        <w:t>encourage</w:t>
      </w:r>
      <w:r w:rsidRPr="0073388D">
        <w:rPr>
          <w:u w:val="none"/>
        </w:rPr>
        <w:t xml:space="preserve"> le Secrétariat à continuer de développer d’autres initiatives thématiques ;</w:t>
      </w:r>
    </w:p>
    <w:p w14:paraId="6877896B" w14:textId="77777777" w:rsidR="00A95DFC" w:rsidRPr="0073388D" w:rsidRDefault="00A95DFC" w:rsidP="00872FD3">
      <w:pPr>
        <w:pStyle w:val="COMParaDecision"/>
        <w:numPr>
          <w:ilvl w:val="0"/>
          <w:numId w:val="1"/>
        </w:numPr>
        <w:ind w:left="567" w:hanging="567"/>
        <w:rPr>
          <w:u w:val="none"/>
        </w:rPr>
      </w:pPr>
      <w:r w:rsidRPr="0073388D">
        <w:t>Apprécie en outre</w:t>
      </w:r>
      <w:r w:rsidRPr="0073388D">
        <w:rPr>
          <w:u w:val="none"/>
        </w:rPr>
        <w:t xml:space="preserve"> les communications ciblées et les initiatives de sensibilisation, qui ont permis d’accroître la visibilité et la connaissance de la Convention, ainsi que les projets innovants en ligne, notamment « Plongez dans le patrimoine culturel immatériel », qui ont permis d’intéresser de nouveaux publics au patrimoine culturel immatériel ;</w:t>
      </w:r>
    </w:p>
    <w:p w14:paraId="4CDFC66E" w14:textId="77777777" w:rsidR="00A95DFC" w:rsidRPr="0073388D" w:rsidRDefault="00A95DFC" w:rsidP="00872FD3">
      <w:pPr>
        <w:pStyle w:val="COMParaDecision"/>
        <w:numPr>
          <w:ilvl w:val="0"/>
          <w:numId w:val="1"/>
        </w:numPr>
        <w:ind w:left="567" w:hanging="567"/>
        <w:rPr>
          <w:u w:val="none"/>
        </w:rPr>
      </w:pPr>
      <w:r w:rsidRPr="0073388D">
        <w:t>Salue</w:t>
      </w:r>
      <w:r w:rsidRPr="0073388D">
        <w:rPr>
          <w:u w:val="none"/>
        </w:rPr>
        <w:t xml:space="preserve"> la réponse à la pandémie de COVID-19, notamment l’enquête et la plateforme web dédiée ainsi que l’action de renforcement des capacités en ligne au sujet des rapports périodiques en Amérique latine et dans les Caraïbes, et </w:t>
      </w:r>
      <w:r w:rsidRPr="0073388D">
        <w:t>encourage</w:t>
      </w:r>
      <w:r w:rsidRPr="0073388D">
        <w:rPr>
          <w:u w:val="none"/>
        </w:rPr>
        <w:t xml:space="preserve"> le Secrétariat à poursuivre ses efforts à cet égard et à communiquer largement sur les résultats de l’enquête ;</w:t>
      </w:r>
    </w:p>
    <w:p w14:paraId="3FCC4DC4" w14:textId="77777777" w:rsidR="00C72D70" w:rsidRPr="0073388D" w:rsidRDefault="00A95DFC" w:rsidP="00872FD3">
      <w:pPr>
        <w:pStyle w:val="COMParaDecision"/>
        <w:numPr>
          <w:ilvl w:val="0"/>
          <w:numId w:val="1"/>
        </w:numPr>
        <w:ind w:left="567" w:hanging="567"/>
        <w:rPr>
          <w:u w:val="none"/>
        </w:rPr>
      </w:pPr>
      <w:r w:rsidRPr="0073388D">
        <w:t>Demande</w:t>
      </w:r>
      <w:r w:rsidRPr="0073388D">
        <w:rPr>
          <w:u w:val="none"/>
        </w:rPr>
        <w:t xml:space="preserve"> au Secrétariat de lui rendre compte de ses activités menées entre janvier 2020 et décembre 2021, en vue d’un examen par l’Assemblée générale lors de sa neuvième session</w:t>
      </w:r>
      <w:r w:rsidR="00086BF2" w:rsidRPr="0073388D">
        <w:rPr>
          <w:u w:val="none"/>
        </w:rPr>
        <w:t>.</w:t>
      </w:r>
    </w:p>
    <w:p w14:paraId="1BD02FF2" w14:textId="77777777" w:rsidR="00C72D70" w:rsidRPr="0073388D" w:rsidRDefault="00C72D70" w:rsidP="006E6BE0">
      <w:pPr>
        <w:pStyle w:val="GATitleResolution"/>
        <w:tabs>
          <w:tab w:val="clear" w:pos="567"/>
          <w:tab w:val="left" w:pos="900"/>
        </w:tabs>
        <w:spacing w:before="360"/>
        <w:ind w:left="0"/>
        <w:rPr>
          <w:bCs/>
        </w:rPr>
      </w:pPr>
      <w:bookmarkStart w:id="1" w:name="_Hlk42187665"/>
      <w:r w:rsidRPr="0073388D">
        <w:t>RÉSOLUTION</w:t>
      </w:r>
      <w:r w:rsidRPr="0073388D">
        <w:rPr>
          <w:bCs/>
        </w:rPr>
        <w:t xml:space="preserve"> 8.GA 6 Add.</w:t>
      </w:r>
    </w:p>
    <w:p w14:paraId="1CCC254B" w14:textId="77777777" w:rsidR="00C72D70" w:rsidRPr="0073388D" w:rsidRDefault="00C72D70" w:rsidP="00C72D70">
      <w:pPr>
        <w:pStyle w:val="GAPreambulaResolution"/>
        <w:ind w:left="0"/>
        <w:rPr>
          <w:lang w:val="fr-FR"/>
        </w:rPr>
      </w:pPr>
      <w:r w:rsidRPr="0073388D">
        <w:rPr>
          <w:lang w:val="fr-FR"/>
        </w:rPr>
        <w:t>L</w:t>
      </w:r>
      <w:r w:rsidRPr="0073388D">
        <w:rPr>
          <w:rFonts w:hint="eastAsia"/>
          <w:lang w:val="fr-FR"/>
        </w:rPr>
        <w:t>’</w:t>
      </w:r>
      <w:r w:rsidRPr="0073388D">
        <w:rPr>
          <w:lang w:val="fr-FR"/>
        </w:rPr>
        <w:t>Assemblée générale,</w:t>
      </w:r>
    </w:p>
    <w:p w14:paraId="5EBF6192" w14:textId="5EB2DA18" w:rsidR="00C72D70" w:rsidRPr="0073388D" w:rsidRDefault="00C72D70" w:rsidP="00C72D70">
      <w:pPr>
        <w:pStyle w:val="GAParaResolution"/>
        <w:numPr>
          <w:ilvl w:val="0"/>
          <w:numId w:val="37"/>
        </w:numPr>
        <w:ind w:left="567" w:hanging="567"/>
      </w:pPr>
      <w:r w:rsidRPr="0073388D">
        <w:t>Ayant examiné</w:t>
      </w:r>
      <w:r w:rsidRPr="0073388D">
        <w:rPr>
          <w:u w:val="none"/>
        </w:rPr>
        <w:t xml:space="preserve"> le </w:t>
      </w:r>
      <w:r w:rsidR="003A7F25" w:rsidRPr="0073388D">
        <w:rPr>
          <w:u w:val="none"/>
        </w:rPr>
        <w:t xml:space="preserve">document </w:t>
      </w:r>
      <w:hyperlink r:id="rId22" w:history="1">
        <w:r w:rsidR="003A7F25" w:rsidRPr="0073388D">
          <w:rPr>
            <w:rStyle w:val="Hyperlink"/>
          </w:rPr>
          <w:t>LHE/20/8.GA/6 Add</w:t>
        </w:r>
        <w:r w:rsidRPr="0073388D">
          <w:rPr>
            <w:rStyle w:val="Hyperlink"/>
          </w:rPr>
          <w:t>.</w:t>
        </w:r>
      </w:hyperlink>
      <w:r w:rsidR="00E0211B" w:rsidRPr="0073388D">
        <w:rPr>
          <w:u w:val="none"/>
        </w:rPr>
        <w:t>,</w:t>
      </w:r>
    </w:p>
    <w:p w14:paraId="6F0F0823" w14:textId="77777777" w:rsidR="00C72D70" w:rsidRPr="0073388D" w:rsidRDefault="00C72D70" w:rsidP="00C72D70">
      <w:pPr>
        <w:pStyle w:val="COMParaDecision"/>
        <w:numPr>
          <w:ilvl w:val="0"/>
          <w:numId w:val="1"/>
        </w:numPr>
        <w:ind w:left="567" w:hanging="567"/>
        <w:rPr>
          <w:u w:val="none"/>
        </w:rPr>
      </w:pPr>
      <w:r w:rsidRPr="0073388D">
        <w:t>Prend note</w:t>
      </w:r>
      <w:r w:rsidRPr="0073388D">
        <w:rPr>
          <w:u w:val="none"/>
        </w:rPr>
        <w:t xml:space="preserve"> des ajustements opérés par le Secrétariat en réponse à la pandémie de COVID-19 et </w:t>
      </w:r>
      <w:r w:rsidRPr="0073388D">
        <w:t>apprécie</w:t>
      </w:r>
      <w:r w:rsidRPr="0073388D">
        <w:rPr>
          <w:u w:val="none"/>
        </w:rPr>
        <w:t xml:space="preserve"> la célérité et l’intérêt de ces mesures en dépit de nombreux défis ;</w:t>
      </w:r>
    </w:p>
    <w:p w14:paraId="2EB80859" w14:textId="77777777" w:rsidR="00C72D70" w:rsidRPr="0073388D" w:rsidRDefault="00C72D70" w:rsidP="00C72D70">
      <w:pPr>
        <w:pStyle w:val="COMParaDecision"/>
        <w:numPr>
          <w:ilvl w:val="0"/>
          <w:numId w:val="1"/>
        </w:numPr>
        <w:ind w:left="567" w:hanging="567"/>
        <w:rPr>
          <w:u w:val="none"/>
        </w:rPr>
      </w:pPr>
      <w:r w:rsidRPr="0073388D">
        <w:t>Reconnaît</w:t>
      </w:r>
      <w:r w:rsidRPr="0073388D">
        <w:rPr>
          <w:u w:val="none"/>
        </w:rPr>
        <w:t xml:space="preserve"> que les observations formulées au cours de l’enquête et à travers la plateforme web ainsi que d’autres actions menées par le Secrétariat offrent un exemple probant de la pertinence de la Convention face aux défis mondiaux et mettent en évidence la capacité du patrimoine vivant de réagir et de s’adapter à de tels défis ; </w:t>
      </w:r>
    </w:p>
    <w:p w14:paraId="65250BE2" w14:textId="57076D2F" w:rsidR="00C72D70" w:rsidRPr="0073388D" w:rsidRDefault="00C72D70" w:rsidP="00C72D70">
      <w:pPr>
        <w:pStyle w:val="COMParaDecision"/>
        <w:numPr>
          <w:ilvl w:val="0"/>
          <w:numId w:val="1"/>
        </w:numPr>
        <w:ind w:left="567" w:hanging="567"/>
      </w:pPr>
      <w:r w:rsidRPr="0073388D">
        <w:rPr>
          <w:rFonts w:eastAsia="SimSun"/>
        </w:rPr>
        <w:t>Encourage</w:t>
      </w:r>
      <w:r w:rsidRPr="0073388D">
        <w:rPr>
          <w:rFonts w:eastAsia="SimSun"/>
          <w:u w:val="none"/>
        </w:rPr>
        <w:t xml:space="preserve"> le Secrétariat à appliquer les enseignements tirés de ces mesures, y compris ceux se rapportant </w:t>
      </w:r>
      <w:r w:rsidRPr="0073388D">
        <w:rPr>
          <w:u w:val="none"/>
        </w:rPr>
        <w:t>au</w:t>
      </w:r>
      <w:r w:rsidRPr="0073388D">
        <w:rPr>
          <w:rFonts w:eastAsia="SimSun"/>
          <w:u w:val="none"/>
        </w:rPr>
        <w:t xml:space="preserve"> renforcement des capacités, aux activités futures pour </w:t>
      </w:r>
      <w:r w:rsidRPr="0073388D">
        <w:rPr>
          <w:u w:val="none"/>
        </w:rPr>
        <w:t>soutenir</w:t>
      </w:r>
      <w:r w:rsidRPr="0073388D">
        <w:rPr>
          <w:rFonts w:eastAsia="SimSun"/>
          <w:u w:val="none"/>
        </w:rPr>
        <w:t xml:space="preserve"> le</w:t>
      </w:r>
      <w:r w:rsidRPr="0073388D">
        <w:rPr>
          <w:u w:val="none"/>
        </w:rPr>
        <w:t xml:space="preserve">s travaux des organes directeurs de la Convention et des </w:t>
      </w:r>
      <w:r w:rsidR="00086BF2" w:rsidRPr="0073388D">
        <w:rPr>
          <w:u w:val="none"/>
        </w:rPr>
        <w:t xml:space="preserve">efforts </w:t>
      </w:r>
      <w:r w:rsidRPr="0073388D">
        <w:rPr>
          <w:u w:val="none"/>
        </w:rPr>
        <w:t>nationaux de sauvegarde</w:t>
      </w:r>
      <w:r w:rsidR="00086BF2" w:rsidRPr="0073388D">
        <w:rPr>
          <w:u w:val="none"/>
        </w:rPr>
        <w:t>.</w:t>
      </w:r>
    </w:p>
    <w:p w14:paraId="5945B6DD" w14:textId="77777777" w:rsidR="00A95DFC" w:rsidRPr="0073388D" w:rsidRDefault="00A95DFC" w:rsidP="006E6BE0">
      <w:pPr>
        <w:pStyle w:val="GATitleResolution"/>
        <w:tabs>
          <w:tab w:val="clear" w:pos="567"/>
          <w:tab w:val="left" w:pos="900"/>
        </w:tabs>
        <w:spacing w:before="360"/>
        <w:ind w:left="0"/>
        <w:rPr>
          <w:lang w:val="en-US"/>
        </w:rPr>
      </w:pPr>
      <w:r w:rsidRPr="0073388D">
        <w:t>RÉSOLUTION</w:t>
      </w:r>
      <w:r w:rsidRPr="0073388D">
        <w:rPr>
          <w:lang w:val="en-US"/>
        </w:rPr>
        <w:t> 8.GA 7</w:t>
      </w:r>
    </w:p>
    <w:p w14:paraId="62852D5A" w14:textId="77777777" w:rsidR="00A95DFC" w:rsidRPr="0073388D" w:rsidRDefault="00A95DFC" w:rsidP="00713DBD">
      <w:pPr>
        <w:pStyle w:val="COMPreambulaDecision"/>
        <w:tabs>
          <w:tab w:val="clear" w:pos="567"/>
          <w:tab w:val="left" w:pos="720"/>
        </w:tabs>
        <w:ind w:left="0"/>
      </w:pPr>
      <w:r w:rsidRPr="0073388D">
        <w:rPr>
          <w:lang w:bidi="fr-FR"/>
        </w:rPr>
        <w:t>L’Assemblée</w:t>
      </w:r>
      <w:r w:rsidRPr="0073388D">
        <w:t xml:space="preserve"> générale,</w:t>
      </w:r>
    </w:p>
    <w:p w14:paraId="2A29B335" w14:textId="0E65BA97" w:rsidR="00A95DFC" w:rsidRPr="0073388D" w:rsidRDefault="00A95DFC" w:rsidP="00654D96">
      <w:pPr>
        <w:pStyle w:val="GAParaResolution"/>
        <w:keepNext/>
        <w:keepLines/>
        <w:numPr>
          <w:ilvl w:val="0"/>
          <w:numId w:val="9"/>
        </w:numPr>
        <w:ind w:left="567" w:hanging="567"/>
        <w:rPr>
          <w:u w:val="none"/>
        </w:rPr>
      </w:pPr>
      <w:r w:rsidRPr="0073388D">
        <w:t>Ayant examiné</w:t>
      </w:r>
      <w:r w:rsidRPr="0073388D">
        <w:rPr>
          <w:u w:val="none"/>
        </w:rPr>
        <w:t xml:space="preserve"> les </w:t>
      </w:r>
      <w:r w:rsidR="003A7F25" w:rsidRPr="0073388D">
        <w:rPr>
          <w:u w:val="none"/>
        </w:rPr>
        <w:t xml:space="preserve">documents </w:t>
      </w:r>
      <w:hyperlink r:id="rId23" w:history="1">
        <w:r w:rsidR="003A7F25" w:rsidRPr="0073388D">
          <w:rPr>
            <w:rStyle w:val="Hyperlink"/>
          </w:rPr>
          <w:t>LHE/20/8.GA/7 Rev</w:t>
        </w:r>
        <w:r w:rsidRPr="0073388D">
          <w:rPr>
            <w:rStyle w:val="Hyperlink"/>
          </w:rPr>
          <w:t>.</w:t>
        </w:r>
      </w:hyperlink>
      <w:r w:rsidR="00563DA0" w:rsidRPr="0073388D">
        <w:rPr>
          <w:u w:val="none"/>
        </w:rPr>
        <w:t xml:space="preserve"> avec ses annexes,</w:t>
      </w:r>
      <w:r w:rsidRPr="0073388D">
        <w:rPr>
          <w:u w:val="none"/>
        </w:rPr>
        <w:t xml:space="preserve"> et </w:t>
      </w:r>
      <w:hyperlink r:id="rId24" w:history="1">
        <w:r w:rsidRPr="0073388D">
          <w:rPr>
            <w:rStyle w:val="Hyperlink"/>
          </w:rPr>
          <w:t>LHE/20/8.GA/INF.7</w:t>
        </w:r>
      </w:hyperlink>
      <w:r w:rsidRPr="0073388D">
        <w:rPr>
          <w:u w:val="none"/>
        </w:rPr>
        <w:t>,</w:t>
      </w:r>
    </w:p>
    <w:p w14:paraId="1CCCC61B" w14:textId="77777777" w:rsidR="00A95DFC" w:rsidRPr="0073388D" w:rsidRDefault="00A95DFC" w:rsidP="00654D96">
      <w:pPr>
        <w:pStyle w:val="COMParaDecision"/>
        <w:keepLines/>
        <w:numPr>
          <w:ilvl w:val="0"/>
          <w:numId w:val="1"/>
        </w:numPr>
        <w:ind w:left="567" w:hanging="567"/>
        <w:rPr>
          <w:u w:val="none"/>
        </w:rPr>
      </w:pPr>
      <w:r w:rsidRPr="0073388D">
        <w:t>Rappelant</w:t>
      </w:r>
      <w:r w:rsidRPr="0073388D">
        <w:rPr>
          <w:u w:val="none"/>
        </w:rPr>
        <w:t xml:space="preserve"> l’article 7(c) de la Convention et les paragraphes 66 et 67 des Directives opérationnelles,</w:t>
      </w:r>
    </w:p>
    <w:p w14:paraId="76D8C914" w14:textId="77777777" w:rsidR="00A95DFC" w:rsidRPr="0073388D" w:rsidRDefault="00A95DFC" w:rsidP="00654D96">
      <w:pPr>
        <w:pStyle w:val="COMParaDecision"/>
        <w:keepLines/>
        <w:numPr>
          <w:ilvl w:val="0"/>
          <w:numId w:val="1"/>
        </w:numPr>
        <w:ind w:left="567" w:hanging="567"/>
      </w:pPr>
      <w:r w:rsidRPr="0073388D">
        <w:t>Rappelant en outre</w:t>
      </w:r>
      <w:r w:rsidRPr="0073388D">
        <w:rPr>
          <w:u w:val="none"/>
        </w:rPr>
        <w:t xml:space="preserve"> la décision 200 EX/19 et la décision 201 EX/24, ainsi que la résolution portant ouverture de crédits pour 2020-2021 adoptée par la Conférence générale lors de sa quarantième session,</w:t>
      </w:r>
    </w:p>
    <w:p w14:paraId="75A70B35" w14:textId="77777777" w:rsidR="00A95DFC" w:rsidRPr="0073388D" w:rsidRDefault="00A95DFC" w:rsidP="00654D96">
      <w:pPr>
        <w:pStyle w:val="COMParaDecision"/>
        <w:keepNext/>
        <w:keepLines/>
        <w:ind w:left="567"/>
        <w:rPr>
          <w:b/>
          <w:bCs/>
          <w:u w:val="none"/>
        </w:rPr>
      </w:pPr>
      <w:r w:rsidRPr="0073388D">
        <w:rPr>
          <w:b/>
          <w:bCs/>
          <w:u w:val="none"/>
        </w:rPr>
        <w:t>Situation et évolution du Fonds</w:t>
      </w:r>
    </w:p>
    <w:p w14:paraId="2465F5B4" w14:textId="77777777" w:rsidR="00A95DFC" w:rsidRPr="0073388D" w:rsidRDefault="00A95DFC" w:rsidP="00654D96">
      <w:pPr>
        <w:pStyle w:val="COMParaDecision"/>
        <w:keepLines/>
        <w:numPr>
          <w:ilvl w:val="0"/>
          <w:numId w:val="1"/>
        </w:numPr>
        <w:ind w:left="567" w:hanging="567"/>
        <w:rPr>
          <w:u w:val="none"/>
        </w:rPr>
      </w:pPr>
      <w:r w:rsidRPr="0073388D">
        <w:t>Accueille avec satisfaction</w:t>
      </w:r>
      <w:r w:rsidRPr="0073388D">
        <w:rPr>
          <w:u w:val="none"/>
        </w:rPr>
        <w:t xml:space="preserve"> la récente évolution positive de l’utilisation du Fonds, </w:t>
      </w:r>
      <w:r w:rsidRPr="0073388D">
        <w:t>félicite</w:t>
      </w:r>
      <w:r w:rsidRPr="0073388D">
        <w:rPr>
          <w:u w:val="none"/>
        </w:rPr>
        <w:t xml:space="preserve"> le Secrétariat pour ses efforts afin d’intensifier la mise en œuvre des mécanismes d’assistance internationale, </w:t>
      </w:r>
      <w:r w:rsidRPr="0073388D">
        <w:t>prend note</w:t>
      </w:r>
      <w:r w:rsidRPr="0073388D">
        <w:rPr>
          <w:u w:val="none"/>
        </w:rPr>
        <w:t xml:space="preserve"> de la constitution d’une équipe dédiée comprenant trois nouveaux postes à durée déterminée, financés par des fonds extrabudgétaires, et </w:t>
      </w:r>
      <w:r w:rsidRPr="0073388D">
        <w:t>attend avec intérêt</w:t>
      </w:r>
      <w:r w:rsidRPr="0073388D">
        <w:rPr>
          <w:u w:val="none"/>
        </w:rPr>
        <w:t xml:space="preserve"> d’observer l’amélioration du suivi de l’impact des projets soutenus par le Fonds ;</w:t>
      </w:r>
    </w:p>
    <w:p w14:paraId="768FC132" w14:textId="77777777" w:rsidR="00A95DFC" w:rsidRPr="0073388D" w:rsidRDefault="00A95DFC" w:rsidP="00654D96">
      <w:pPr>
        <w:pStyle w:val="COMParaDecision"/>
        <w:keepLines/>
        <w:numPr>
          <w:ilvl w:val="0"/>
          <w:numId w:val="1"/>
        </w:numPr>
        <w:ind w:left="567" w:hanging="567"/>
        <w:rPr>
          <w:u w:val="none"/>
        </w:rPr>
      </w:pPr>
      <w:r w:rsidRPr="0073388D">
        <w:t>Prend note</w:t>
      </w:r>
      <w:r w:rsidRPr="0073388D">
        <w:rPr>
          <w:u w:val="none"/>
        </w:rPr>
        <w:t xml:space="preserve"> des mesures prises par le Secrétariat, sans répercussions sur le Plan biennal dans son ensemble, pour assurer la continuité de ses activités après le report de la huitième session de l’Assemblée générale ;</w:t>
      </w:r>
    </w:p>
    <w:p w14:paraId="03F38DF5" w14:textId="77777777" w:rsidR="00A95DFC" w:rsidRPr="0073388D" w:rsidRDefault="00A95DFC" w:rsidP="00654D96">
      <w:pPr>
        <w:pStyle w:val="COMParaDecision"/>
        <w:keepLines/>
        <w:numPr>
          <w:ilvl w:val="0"/>
          <w:numId w:val="1"/>
        </w:numPr>
        <w:ind w:left="567" w:hanging="567"/>
      </w:pPr>
      <w:r w:rsidRPr="0073388D">
        <w:t>Prend note en outre</w:t>
      </w:r>
      <w:r w:rsidRPr="0073388D">
        <w:rPr>
          <w:u w:val="none"/>
        </w:rPr>
        <w:t xml:space="preserve"> des donateurs qui ont versé des contributions volontaires supplémentaires depuis sa dernière session, à savoir la République populaire de Chine, la Finlande, le Japon, le Kazakhstan, Monaco, le Monténégro, les Pays-Bas et la Suède, ainsi que du soutien en nature de la République populaire de Chine, le Japon et Singapour ;</w:t>
      </w:r>
    </w:p>
    <w:p w14:paraId="3199ADF9" w14:textId="77777777" w:rsidR="00A95DFC" w:rsidRPr="0073388D" w:rsidRDefault="00A95DFC" w:rsidP="00654D96">
      <w:pPr>
        <w:pStyle w:val="COMParaDecision"/>
        <w:keepLines/>
        <w:numPr>
          <w:ilvl w:val="0"/>
          <w:numId w:val="1"/>
        </w:numPr>
        <w:ind w:left="567" w:hanging="567"/>
        <w:rPr>
          <w:u w:val="none"/>
        </w:rPr>
      </w:pPr>
      <w:r w:rsidRPr="0073388D">
        <w:t>Remercie</w:t>
      </w:r>
      <w:r w:rsidRPr="0073388D">
        <w:rPr>
          <w:u w:val="none"/>
        </w:rPr>
        <w:t xml:space="preserve"> tous les contributeurs qui ont apporté leur soutien à la Convention et à son Secrétariat, depuis sa dernière session, sous différentes formes, financières ou en nature, comme les contributions volontaires supplémentaires versées au Fonds du patrimoine culturel immatériel et au sous-fonds pour le renforcement des capacités humaines du Secrétariat, les Fonds-en-dépôt ou le détachement de personnel, et </w:t>
      </w:r>
      <w:r w:rsidRPr="0073388D">
        <w:t>encourage</w:t>
      </w:r>
      <w:r w:rsidRPr="0073388D">
        <w:rPr>
          <w:u w:val="none"/>
        </w:rPr>
        <w:t xml:space="preserve"> les autres États à envisager la possibilité de soutenir la Convention selon la modalité de leur choix ;</w:t>
      </w:r>
    </w:p>
    <w:p w14:paraId="6FB3E53F" w14:textId="77777777" w:rsidR="00A95DFC" w:rsidRPr="0073388D" w:rsidRDefault="00A95DFC" w:rsidP="00654D96">
      <w:pPr>
        <w:pStyle w:val="COMParaDecision"/>
        <w:keepNext/>
        <w:keepLines/>
        <w:ind w:left="567"/>
        <w:rPr>
          <w:b/>
          <w:bCs/>
          <w:u w:val="none"/>
        </w:rPr>
      </w:pPr>
      <w:r w:rsidRPr="0073388D">
        <w:rPr>
          <w:b/>
          <w:bCs/>
          <w:u w:val="none"/>
        </w:rPr>
        <w:t>Plan d’utilisation des ressources du Fonds</w:t>
      </w:r>
    </w:p>
    <w:p w14:paraId="636EA024" w14:textId="77777777" w:rsidR="00A95DFC" w:rsidRPr="0073388D" w:rsidRDefault="00A95DFC" w:rsidP="00654D96">
      <w:pPr>
        <w:pStyle w:val="COMParaDecision"/>
        <w:keepLines/>
        <w:numPr>
          <w:ilvl w:val="0"/>
          <w:numId w:val="1"/>
        </w:numPr>
        <w:ind w:left="567" w:hanging="567"/>
      </w:pPr>
      <w:r w:rsidRPr="0073388D">
        <w:t>Approuve</w:t>
      </w:r>
      <w:r w:rsidRPr="0073388D">
        <w:rPr>
          <w:u w:val="none"/>
        </w:rPr>
        <w:t xml:space="preserve"> le Plan d’utilisation des ressources du Fonds pour la période du 1er janvier 2020 au 31 décembre 2021 ainsi que pour la période du 1er janvier 2022 au 30 juin 2022, qui figure à l’annexe I de la présente résolution ;</w:t>
      </w:r>
    </w:p>
    <w:p w14:paraId="26026177" w14:textId="77777777" w:rsidR="00A95DFC" w:rsidRPr="0073388D" w:rsidRDefault="00A95DFC" w:rsidP="00654D96">
      <w:pPr>
        <w:pStyle w:val="COMParaDecision"/>
        <w:keepLines/>
        <w:numPr>
          <w:ilvl w:val="0"/>
          <w:numId w:val="1"/>
        </w:numPr>
        <w:ind w:left="567" w:hanging="567"/>
        <w:rPr>
          <w:u w:val="none"/>
        </w:rPr>
      </w:pPr>
      <w:r w:rsidRPr="0073388D">
        <w:t>Comprend</w:t>
      </w:r>
      <w:r w:rsidRPr="0073388D">
        <w:rPr>
          <w:u w:val="none"/>
        </w:rPr>
        <w:t xml:space="preserve"> qu’elle pourra, lors de sa neuvième session en 2022, réajuster le plan budgétaire du 1er janvier 2022 au 30 juin 2022 ; dans le cas où l’Assemblée générale ne peut pas se réunir avant le 30 juin 2022, le Secrétariat est autorisé à poursuivre ses activités jusqu’à ce que l’Assemblée générale soit en mesure de se réunir ;</w:t>
      </w:r>
    </w:p>
    <w:p w14:paraId="4461EAA5" w14:textId="77777777" w:rsidR="00A95DFC" w:rsidRPr="0073388D" w:rsidRDefault="00A95DFC" w:rsidP="00654D96">
      <w:pPr>
        <w:pStyle w:val="COMParaDecision"/>
        <w:keepLines/>
        <w:numPr>
          <w:ilvl w:val="0"/>
          <w:numId w:val="1"/>
        </w:numPr>
        <w:ind w:left="567" w:hanging="567"/>
      </w:pPr>
      <w:r w:rsidRPr="0073388D">
        <w:t>Prend également note</w:t>
      </w:r>
      <w:r w:rsidRPr="0073388D">
        <w:rPr>
          <w:u w:val="none"/>
        </w:rPr>
        <w:t xml:space="preserve"> de l’autorisation accordée par le Comité au Secrétariat, lors de l’utilisation des fonds alloués au titre de la ligne budgétaire 3 du Plan, d’effectuer des transferts entre les activités relevant de la ligne budgétaire 3, à concurrence d’un montant cumulé équivalent à 5 pour cent de l’allocation initiale totale proposée à l’Assemblée générale à cette fin ;</w:t>
      </w:r>
    </w:p>
    <w:p w14:paraId="7B73A2AA" w14:textId="77777777" w:rsidR="00A95DFC" w:rsidRPr="0073388D" w:rsidRDefault="00A95DFC" w:rsidP="00654D96">
      <w:pPr>
        <w:pStyle w:val="COMParaDecision"/>
        <w:keepLines/>
        <w:numPr>
          <w:ilvl w:val="0"/>
          <w:numId w:val="1"/>
        </w:numPr>
        <w:ind w:left="567" w:hanging="567"/>
        <w:rPr>
          <w:u w:val="none"/>
        </w:rPr>
      </w:pPr>
      <w:r w:rsidRPr="0073388D">
        <w:t>Autorise</w:t>
      </w:r>
      <w:r w:rsidRPr="0073388D">
        <w:rPr>
          <w:u w:val="none"/>
        </w:rPr>
        <w:t xml:space="preserve"> le Comité à utiliser immédiatement toute contribution volontaire supplémentaire qui pourrait être reçue durant ces périodes, comme le prévoit l’article 27 de la Convention, conformément aux pourcentages définis par le Plan ;</w:t>
      </w:r>
    </w:p>
    <w:p w14:paraId="1E345516" w14:textId="77777777" w:rsidR="00A95DFC" w:rsidRPr="0073388D" w:rsidRDefault="00A95DFC" w:rsidP="00654D96">
      <w:pPr>
        <w:pStyle w:val="COMParaDecision"/>
        <w:keepLines/>
        <w:numPr>
          <w:ilvl w:val="0"/>
          <w:numId w:val="1"/>
        </w:numPr>
        <w:ind w:left="567" w:hanging="567"/>
        <w:rPr>
          <w:u w:val="none"/>
        </w:rPr>
      </w:pPr>
      <w:r w:rsidRPr="0073388D">
        <w:t>Autorise en outre</w:t>
      </w:r>
      <w:r w:rsidRPr="0073388D">
        <w:rPr>
          <w:u w:val="none"/>
        </w:rPr>
        <w:t xml:space="preserve"> le Comité à utiliser immédiatement toute contribution qu’il pourrait accepter, durant ces périodes, à des fins spécifiques se rapportant à des projets déterminés, pourvu que ces projets aient été approuvés par le Comité avant la réception des fonds, comme le prévoit l’article 25.5 de la Convention ;</w:t>
      </w:r>
    </w:p>
    <w:p w14:paraId="58B0F43F" w14:textId="77777777" w:rsidR="00A95DFC" w:rsidRPr="0073388D" w:rsidRDefault="00A95DFC" w:rsidP="00654D96">
      <w:pPr>
        <w:pStyle w:val="COMParaDecision"/>
        <w:keepLines/>
        <w:numPr>
          <w:ilvl w:val="0"/>
          <w:numId w:val="1"/>
        </w:numPr>
        <w:ind w:left="567" w:hanging="567"/>
        <w:rPr>
          <w:u w:val="none"/>
        </w:rPr>
      </w:pPr>
      <w:r w:rsidRPr="0073388D">
        <w:t>Autorise également</w:t>
      </w:r>
      <w:r w:rsidRPr="0073388D">
        <w:rPr>
          <w:u w:val="none"/>
        </w:rPr>
        <w:t xml:space="preserve"> le Secrétariat à transférer des fonds entre les lignes budgétaires 4, 5, 6 et 7 jusqu’à un montant équivalent à 30 pour cent de leur allocation initiale totale, approuvée par l’Assemblée générale, et </w:t>
      </w:r>
      <w:r w:rsidRPr="0073388D">
        <w:t>demande</w:t>
      </w:r>
      <w:r w:rsidRPr="0073388D">
        <w:rPr>
          <w:u w:val="none"/>
        </w:rPr>
        <w:t xml:space="preserve"> au Secrétariat d’informer le Comité et l’Assemblée générale par écrit des détails et des raisons de ces transferts lors de la session suivante ;</w:t>
      </w:r>
    </w:p>
    <w:p w14:paraId="17970B20" w14:textId="77777777" w:rsidR="00A95DFC" w:rsidRPr="0073388D" w:rsidRDefault="00A95DFC" w:rsidP="00654D96">
      <w:pPr>
        <w:pStyle w:val="COMParaDecision"/>
        <w:keepNext/>
        <w:keepLines/>
        <w:ind w:left="567"/>
        <w:rPr>
          <w:b/>
          <w:bCs/>
          <w:u w:val="none"/>
        </w:rPr>
      </w:pPr>
      <w:r w:rsidRPr="0073388D">
        <w:rPr>
          <w:b/>
          <w:bCs/>
          <w:u w:val="none"/>
        </w:rPr>
        <w:t>Sous-fonds pour le renforcement des ressources humaines du Secrétariat</w:t>
      </w:r>
    </w:p>
    <w:p w14:paraId="1892963B" w14:textId="77777777" w:rsidR="00A95DFC" w:rsidRPr="0073388D" w:rsidRDefault="00A95DFC" w:rsidP="00654D96">
      <w:pPr>
        <w:pStyle w:val="COMParaDecision"/>
        <w:keepLines/>
        <w:numPr>
          <w:ilvl w:val="0"/>
          <w:numId w:val="1"/>
        </w:numPr>
        <w:ind w:left="567" w:hanging="567"/>
      </w:pPr>
      <w:r w:rsidRPr="0073388D">
        <w:t>Souligne</w:t>
      </w:r>
      <w:r w:rsidRPr="0073388D">
        <w:rPr>
          <w:u w:val="none"/>
        </w:rPr>
        <w:t xml:space="preserve"> la nécessité de renforcer durablement les ressources humaines du Secrétariat pour qu’il puisse mieux répondre aux attentes et aux besoins des États parties, </w:t>
      </w:r>
      <w:r w:rsidRPr="0073388D">
        <w:t>reconnaît</w:t>
      </w:r>
      <w:r w:rsidRPr="0073388D">
        <w:rPr>
          <w:u w:val="none"/>
        </w:rPr>
        <w:t xml:space="preserve"> que des fonds d’un montant d’environ 950 000 dollars des États-Unis par an sont nécessaires à cette fin et </w:t>
      </w:r>
      <w:r w:rsidRPr="0073388D">
        <w:t>invite</w:t>
      </w:r>
      <w:r w:rsidRPr="0073388D">
        <w:rPr>
          <w:u w:val="none"/>
        </w:rPr>
        <w:t xml:space="preserve"> les États parties à verser au sous-fonds des contributions volontaires supplémentaires pour atteindre ce montant annuel ;</w:t>
      </w:r>
    </w:p>
    <w:p w14:paraId="4A9A1379" w14:textId="77777777" w:rsidR="00A95DFC" w:rsidRPr="0073388D" w:rsidRDefault="00A95DFC" w:rsidP="00654D96">
      <w:pPr>
        <w:pStyle w:val="COMParaDecision"/>
        <w:keepNext/>
        <w:keepLines/>
        <w:ind w:left="567"/>
        <w:rPr>
          <w:b/>
          <w:bCs/>
          <w:u w:val="none"/>
        </w:rPr>
      </w:pPr>
      <w:r w:rsidRPr="0073388D">
        <w:rPr>
          <w:b/>
          <w:bCs/>
          <w:u w:val="none"/>
        </w:rPr>
        <w:t>Taux de gestion</w:t>
      </w:r>
    </w:p>
    <w:p w14:paraId="13E9F216" w14:textId="009186F7" w:rsidR="00A95DFC" w:rsidRPr="0073388D" w:rsidRDefault="00C16BC5" w:rsidP="00654D96">
      <w:pPr>
        <w:pStyle w:val="COMParaDecision"/>
        <w:keepLines/>
        <w:numPr>
          <w:ilvl w:val="0"/>
          <w:numId w:val="1"/>
        </w:numPr>
        <w:ind w:left="567" w:hanging="567"/>
        <w:rPr>
          <w:u w:val="none"/>
        </w:rPr>
      </w:pPr>
      <w:r w:rsidRPr="0073388D">
        <w:t>Approuve</w:t>
      </w:r>
      <w:r w:rsidRPr="0073388D">
        <w:rPr>
          <w:u w:val="none"/>
        </w:rPr>
        <w:t xml:space="preserve"> </w:t>
      </w:r>
      <w:r w:rsidR="00A95DFC" w:rsidRPr="0073388D">
        <w:rPr>
          <w:u w:val="none"/>
        </w:rPr>
        <w:t>le maintien d’un taux de gestion à 0 pour cent pour toutes les contributions mises en recouvrement pour le compte spécial du Fonds du patrimoine culturel immatériel et l’application d’un taux de gestion à 7 pour cent pour toutes les autres contributions ;</w:t>
      </w:r>
    </w:p>
    <w:p w14:paraId="10F8E367" w14:textId="77777777" w:rsidR="00A95DFC" w:rsidRPr="0073388D" w:rsidRDefault="00A95DFC" w:rsidP="00654D96">
      <w:pPr>
        <w:pStyle w:val="COMParaDecision"/>
        <w:keepNext/>
        <w:keepLines/>
        <w:ind w:left="567"/>
        <w:rPr>
          <w:b/>
          <w:bCs/>
          <w:u w:val="none"/>
        </w:rPr>
      </w:pPr>
      <w:r w:rsidRPr="0073388D">
        <w:rPr>
          <w:b/>
          <w:bCs/>
          <w:u w:val="none"/>
        </w:rPr>
        <w:t>Règlement financier</w:t>
      </w:r>
    </w:p>
    <w:p w14:paraId="37389CBE" w14:textId="6702F43A" w:rsidR="00A95DFC" w:rsidRPr="0073388D" w:rsidRDefault="00A95DFC" w:rsidP="00654D96">
      <w:pPr>
        <w:pStyle w:val="COMParaDecision"/>
        <w:keepLines/>
        <w:numPr>
          <w:ilvl w:val="0"/>
          <w:numId w:val="1"/>
        </w:numPr>
        <w:ind w:left="567" w:hanging="567"/>
        <w:rPr>
          <w:u w:val="none"/>
        </w:rPr>
      </w:pPr>
      <w:r w:rsidRPr="0073388D">
        <w:t>Approuve en outre</w:t>
      </w:r>
      <w:r w:rsidRPr="0073388D">
        <w:rPr>
          <w:u w:val="none"/>
        </w:rPr>
        <w:t xml:space="preserve"> les révisions du Règlement financier du Compte spécial pour le Fonds pour la sauvegarde du patrimoine culturel immatériel telles que décrites </w:t>
      </w:r>
      <w:r w:rsidR="00E0211B" w:rsidRPr="0073388D">
        <w:rPr>
          <w:u w:val="none"/>
        </w:rPr>
        <w:t>à l’</w:t>
      </w:r>
      <w:r w:rsidRPr="0073388D">
        <w:rPr>
          <w:u w:val="none"/>
        </w:rPr>
        <w:t>annexe II de la présente résolution, pour qu’il corresponde au modèle de règlement financier défini par l’UNESCO.</w:t>
      </w:r>
    </w:p>
    <w:bookmarkEnd w:id="1"/>
    <w:p w14:paraId="11E1F2F4" w14:textId="78BBEB11" w:rsidR="00F04BA8" w:rsidRPr="0073388D" w:rsidRDefault="00A92E30" w:rsidP="006E6BE0">
      <w:pPr>
        <w:keepNext/>
        <w:spacing w:before="360" w:after="240"/>
        <w:jc w:val="center"/>
        <w:rPr>
          <w:rFonts w:ascii="Arial" w:hAnsi="Arial" w:cs="Arial"/>
          <w:b/>
          <w:bCs/>
          <w:sz w:val="22"/>
          <w:szCs w:val="22"/>
        </w:rPr>
      </w:pPr>
      <w:r w:rsidRPr="0073388D">
        <w:rPr>
          <w:rFonts w:ascii="Arial" w:hAnsi="Arial" w:cs="Arial"/>
          <w:b/>
          <w:bCs/>
          <w:sz w:val="22"/>
          <w:szCs w:val="22"/>
        </w:rPr>
        <w:t xml:space="preserve">ANNEXE </w:t>
      </w:r>
      <w:r w:rsidR="00E0211B" w:rsidRPr="0073388D">
        <w:rPr>
          <w:rFonts w:ascii="Arial" w:hAnsi="Arial" w:cs="Arial"/>
          <w:b/>
          <w:bCs/>
          <w:sz w:val="22"/>
          <w:szCs w:val="22"/>
        </w:rPr>
        <w:t>I</w:t>
      </w:r>
    </w:p>
    <w:tbl>
      <w:tblPr>
        <w:tblW w:w="5076" w:type="pct"/>
        <w:tblInd w:w="-147" w:type="dxa"/>
        <w:tblLayout w:type="fixed"/>
        <w:tblCellMar>
          <w:left w:w="170" w:type="dxa"/>
          <w:right w:w="170" w:type="dxa"/>
        </w:tblCellMar>
        <w:tblLook w:val="04A0" w:firstRow="1" w:lastRow="0" w:firstColumn="1" w:lastColumn="0" w:noHBand="0" w:noVBand="1"/>
      </w:tblPr>
      <w:tblGrid>
        <w:gridCol w:w="690"/>
        <w:gridCol w:w="4414"/>
        <w:gridCol w:w="1419"/>
        <w:gridCol w:w="46"/>
        <w:gridCol w:w="1464"/>
        <w:gridCol w:w="1464"/>
      </w:tblGrid>
      <w:tr w:rsidR="00E46D31" w:rsidRPr="0073388D" w14:paraId="1E750DAE" w14:textId="77777777" w:rsidTr="00E62D47">
        <w:trPr>
          <w:cantSplit/>
        </w:trPr>
        <w:tc>
          <w:tcPr>
            <w:tcW w:w="3434" w:type="pct"/>
            <w:gridSpan w:val="3"/>
            <w:tcBorders>
              <w:top w:val="single" w:sz="4" w:space="0" w:color="auto"/>
              <w:left w:val="single" w:sz="4" w:space="0" w:color="auto"/>
              <w:bottom w:val="single" w:sz="4" w:space="0" w:color="auto"/>
              <w:right w:val="single" w:sz="4" w:space="0" w:color="auto"/>
            </w:tcBorders>
            <w:shd w:val="clear" w:color="000000" w:fill="D8D8D8"/>
          </w:tcPr>
          <w:p w14:paraId="24322A86" w14:textId="5C35ECA7" w:rsidR="00E46D31" w:rsidRPr="0073388D" w:rsidRDefault="00E46D31" w:rsidP="00387AF8">
            <w:pPr>
              <w:keepNext/>
              <w:spacing w:before="120" w:after="120"/>
              <w:jc w:val="center"/>
              <w:rPr>
                <w:rFonts w:ascii="Arial" w:hAnsi="Arial" w:cs="Arial"/>
                <w:b/>
                <w:bCs/>
                <w:sz w:val="18"/>
                <w:szCs w:val="18"/>
              </w:rPr>
            </w:pPr>
            <w:r w:rsidRPr="0073388D">
              <w:rPr>
                <w:rFonts w:ascii="Arial" w:hAnsi="Arial"/>
                <w:b/>
                <w:bCs/>
                <w:sz w:val="18"/>
                <w:szCs w:val="18"/>
              </w:rPr>
              <w:t>Plan d’utilisation des ressources du Fonds</w:t>
            </w:r>
          </w:p>
        </w:tc>
        <w:tc>
          <w:tcPr>
            <w:tcW w:w="1566" w:type="pct"/>
            <w:gridSpan w:val="3"/>
            <w:tcBorders>
              <w:left w:val="single" w:sz="4" w:space="0" w:color="auto"/>
              <w:bottom w:val="dashed" w:sz="4" w:space="0" w:color="auto"/>
            </w:tcBorders>
          </w:tcPr>
          <w:p w14:paraId="33960CC7" w14:textId="77777777" w:rsidR="00E46D31" w:rsidRPr="0073388D" w:rsidRDefault="00E46D31" w:rsidP="00387AF8">
            <w:pPr>
              <w:keepNext/>
              <w:spacing w:before="120" w:after="120"/>
              <w:jc w:val="center"/>
              <w:rPr>
                <w:rFonts w:ascii="Arial" w:hAnsi="Arial" w:cs="Arial"/>
                <w:b/>
                <w:bCs/>
                <w:sz w:val="18"/>
                <w:szCs w:val="18"/>
              </w:rPr>
            </w:pPr>
          </w:p>
        </w:tc>
      </w:tr>
      <w:tr w:rsidR="00E46D31" w:rsidRPr="0073388D" w14:paraId="1858CB90" w14:textId="77777777" w:rsidTr="00E62D47">
        <w:trPr>
          <w:cantSplit/>
        </w:trPr>
        <w:tc>
          <w:tcPr>
            <w:tcW w:w="26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A8875" w14:textId="77777777" w:rsidR="00E46D31" w:rsidRPr="0073388D" w:rsidRDefault="00E46D31" w:rsidP="00995C66">
            <w:pPr>
              <w:spacing w:before="120" w:after="120"/>
              <w:contextualSpacing/>
              <w:jc w:val="both"/>
              <w:rPr>
                <w:rFonts w:ascii="Arial" w:hAnsi="Arial" w:cs="Arial"/>
                <w:sz w:val="18"/>
                <w:szCs w:val="18"/>
              </w:rPr>
            </w:pPr>
            <w:r w:rsidRPr="0073388D">
              <w:rPr>
                <w:rFonts w:ascii="Arial" w:hAnsi="Arial"/>
                <w:sz w:val="18"/>
                <w:szCs w:val="18"/>
              </w:rPr>
              <w:t>Pour la période du 1</w:t>
            </w:r>
            <w:r w:rsidRPr="0073388D">
              <w:rPr>
                <w:rFonts w:ascii="Arial" w:hAnsi="Arial"/>
                <w:sz w:val="18"/>
                <w:szCs w:val="18"/>
                <w:vertAlign w:val="superscript"/>
              </w:rPr>
              <w:t>er</w:t>
            </w:r>
            <w:r w:rsidRPr="0073388D">
              <w:rPr>
                <w:rFonts w:ascii="Arial" w:hAnsi="Arial"/>
                <w:sz w:val="18"/>
                <w:szCs w:val="18"/>
              </w:rPr>
              <w:t> janvier 2020 au 31 décembre 2021, ainsi que pour la période du 1</w:t>
            </w:r>
            <w:r w:rsidRPr="0073388D">
              <w:rPr>
                <w:rFonts w:ascii="Arial" w:hAnsi="Arial"/>
                <w:sz w:val="18"/>
                <w:szCs w:val="18"/>
                <w:vertAlign w:val="superscript"/>
              </w:rPr>
              <w:t>er</w:t>
            </w:r>
            <w:r w:rsidRPr="0073388D">
              <w:rPr>
                <w:rFonts w:ascii="Arial" w:hAnsi="Arial"/>
                <w:sz w:val="18"/>
                <w:szCs w:val="18"/>
              </w:rPr>
              <w:t> janvier au 30 juin 2022, les ressources du Fonds du patrimoine culturel immatériel peuvent être utilisées pour les activités suivantes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4271A57A" w14:textId="77777777" w:rsidR="00E46D31" w:rsidRPr="0073388D" w:rsidRDefault="00E46D31" w:rsidP="00995C66">
            <w:pPr>
              <w:spacing w:before="120" w:after="120"/>
              <w:contextualSpacing/>
              <w:jc w:val="center"/>
              <w:rPr>
                <w:sz w:val="18"/>
                <w:szCs w:val="18"/>
              </w:rPr>
            </w:pPr>
            <w:r w:rsidRPr="0073388D">
              <w:rPr>
                <w:rFonts w:ascii="Arial" w:hAnsi="Arial"/>
                <w:sz w:val="18"/>
                <w:szCs w:val="18"/>
              </w:rPr>
              <w:t>% du montant total proposé pour 2020-2021</w:t>
            </w:r>
            <w:r w:rsidRPr="0073388D">
              <w:rPr>
                <w:rStyle w:val="FootnoteReference"/>
                <w:rFonts w:ascii="Arial" w:hAnsi="Arial" w:cs="Arial"/>
                <w:sz w:val="18"/>
                <w:szCs w:val="18"/>
                <w:lang w:val="en-GB"/>
              </w:rPr>
              <w:footnoteReference w:id="1"/>
            </w:r>
          </w:p>
        </w:tc>
        <w:tc>
          <w:tcPr>
            <w:tcW w:w="771" w:type="pct"/>
            <w:tcBorders>
              <w:top w:val="dashed" w:sz="4" w:space="0" w:color="auto"/>
              <w:left w:val="single" w:sz="4" w:space="0" w:color="auto"/>
              <w:bottom w:val="dashed" w:sz="4" w:space="0" w:color="auto"/>
              <w:right w:val="dashed" w:sz="4" w:space="0" w:color="auto"/>
            </w:tcBorders>
            <w:vAlign w:val="center"/>
          </w:tcPr>
          <w:p w14:paraId="1CE62345" w14:textId="77777777" w:rsidR="00E46D31" w:rsidRPr="0073388D" w:rsidRDefault="00E46D31" w:rsidP="00995C66">
            <w:pPr>
              <w:spacing w:before="120" w:after="120"/>
              <w:contextualSpacing/>
              <w:jc w:val="center"/>
              <w:rPr>
                <w:rFonts w:ascii="Arial" w:hAnsi="Arial" w:cs="Arial"/>
                <w:sz w:val="18"/>
                <w:szCs w:val="18"/>
              </w:rPr>
            </w:pPr>
            <w:r w:rsidRPr="0073388D">
              <w:rPr>
                <w:rFonts w:ascii="Arial" w:hAnsi="Arial"/>
                <w:sz w:val="18"/>
                <w:szCs w:val="18"/>
              </w:rPr>
              <w:t>Montants indicatifs</w:t>
            </w:r>
            <w:r w:rsidRPr="0073388D">
              <w:rPr>
                <w:rFonts w:ascii="Arial" w:hAnsi="Arial"/>
                <w:sz w:val="18"/>
                <w:szCs w:val="18"/>
              </w:rPr>
              <w:br/>
              <w:t>2020-2021</w:t>
            </w:r>
          </w:p>
        </w:tc>
        <w:tc>
          <w:tcPr>
            <w:tcW w:w="771" w:type="pct"/>
            <w:tcBorders>
              <w:top w:val="dashed" w:sz="4" w:space="0" w:color="auto"/>
              <w:left w:val="dashed" w:sz="4" w:space="0" w:color="auto"/>
              <w:bottom w:val="dashed" w:sz="4" w:space="0" w:color="auto"/>
              <w:right w:val="dashed" w:sz="4" w:space="0" w:color="auto"/>
            </w:tcBorders>
            <w:vAlign w:val="center"/>
          </w:tcPr>
          <w:p w14:paraId="43E3E1C3" w14:textId="77777777" w:rsidR="00E46D31" w:rsidRPr="0073388D" w:rsidRDefault="00E46D31" w:rsidP="00995C66">
            <w:pPr>
              <w:spacing w:before="120" w:after="120"/>
              <w:contextualSpacing/>
              <w:jc w:val="center"/>
              <w:rPr>
                <w:rFonts w:ascii="Arial" w:hAnsi="Arial" w:cs="Arial"/>
                <w:sz w:val="18"/>
                <w:szCs w:val="18"/>
              </w:rPr>
            </w:pPr>
            <w:r w:rsidRPr="0073388D">
              <w:rPr>
                <w:rFonts w:ascii="Arial" w:hAnsi="Arial"/>
                <w:sz w:val="18"/>
                <w:szCs w:val="18"/>
              </w:rPr>
              <w:t>Montants indicatifs</w:t>
            </w:r>
            <w:r w:rsidRPr="0073388D">
              <w:rPr>
                <w:rFonts w:ascii="Arial" w:hAnsi="Arial"/>
                <w:sz w:val="18"/>
                <w:szCs w:val="18"/>
              </w:rPr>
              <w:br/>
              <w:t>Jan</w:t>
            </w:r>
            <w:r w:rsidR="00406097" w:rsidRPr="0073388D">
              <w:rPr>
                <w:rFonts w:ascii="Arial" w:hAnsi="Arial"/>
                <w:sz w:val="18"/>
                <w:szCs w:val="18"/>
              </w:rPr>
              <w:t xml:space="preserve"> </w:t>
            </w:r>
            <w:r w:rsidRPr="0073388D">
              <w:rPr>
                <w:rFonts w:ascii="Arial" w:hAnsi="Arial"/>
                <w:sz w:val="18"/>
                <w:szCs w:val="18"/>
              </w:rPr>
              <w:t>– Juin 2022</w:t>
            </w:r>
          </w:p>
        </w:tc>
      </w:tr>
      <w:tr w:rsidR="00E46D31" w:rsidRPr="0073388D" w14:paraId="512D67D1"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5FEFF"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1.</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2C945282"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Assistance internationale, y compris la sauvegarde du patrimoine inscrit sur la Liste du patrimoine culturel immatériel nécessitant une sauvegarde urgente, la préparation d’inventaires et le soutien à d’autres programmes, projets et activités de sauvegarde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512DFED8"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51,96 %</w:t>
            </w:r>
          </w:p>
        </w:tc>
        <w:tc>
          <w:tcPr>
            <w:tcW w:w="771" w:type="pct"/>
            <w:tcBorders>
              <w:top w:val="dashed" w:sz="4" w:space="0" w:color="auto"/>
              <w:left w:val="single" w:sz="4" w:space="0" w:color="auto"/>
              <w:bottom w:val="dashed" w:sz="4" w:space="0" w:color="auto"/>
              <w:right w:val="dashed" w:sz="4" w:space="0" w:color="auto"/>
            </w:tcBorders>
            <w:vAlign w:val="center"/>
          </w:tcPr>
          <w:p w14:paraId="6C969875"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4 073 861 $</w:t>
            </w:r>
          </w:p>
        </w:tc>
        <w:tc>
          <w:tcPr>
            <w:tcW w:w="771" w:type="pct"/>
            <w:tcBorders>
              <w:top w:val="dashed" w:sz="4" w:space="0" w:color="auto"/>
              <w:left w:val="dashed" w:sz="4" w:space="0" w:color="auto"/>
              <w:bottom w:val="dashed" w:sz="4" w:space="0" w:color="auto"/>
              <w:right w:val="dashed" w:sz="4" w:space="0" w:color="auto"/>
            </w:tcBorders>
            <w:vAlign w:val="center"/>
          </w:tcPr>
          <w:p w14:paraId="6863A13C"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1 018 465 $</w:t>
            </w:r>
          </w:p>
        </w:tc>
      </w:tr>
      <w:tr w:rsidR="00E46D31" w:rsidRPr="0073388D" w14:paraId="5F73E3DA"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4A1C7"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1.1</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24EF3BDE" w14:textId="77777777" w:rsidR="00E46D31" w:rsidRPr="0073388D" w:rsidRDefault="00E46D31" w:rsidP="00995C66">
            <w:pPr>
              <w:spacing w:before="120" w:after="120"/>
              <w:ind w:right="-1"/>
              <w:contextualSpacing/>
              <w:rPr>
                <w:rFonts w:ascii="Arial" w:hAnsi="Arial" w:cs="Arial"/>
                <w:sz w:val="18"/>
                <w:szCs w:val="18"/>
              </w:rPr>
            </w:pPr>
            <w:r w:rsidRPr="0073388D">
              <w:rPr>
                <w:rFonts w:ascii="Arial" w:hAnsi="Arial"/>
                <w:sz w:val="18"/>
                <w:szCs w:val="18"/>
              </w:rPr>
              <w:t>Renforcement des ressources humaines pour améliorer la mise en œuvre des mécanismes d’assistance internationale à travers trois postes à durée déterminée financés à l’aide de fonds extrabudgétaires (un P3, un P2 et un G5)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08D86EB2"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10,79 %</w:t>
            </w:r>
          </w:p>
        </w:tc>
        <w:tc>
          <w:tcPr>
            <w:tcW w:w="771" w:type="pct"/>
            <w:tcBorders>
              <w:top w:val="dashed" w:sz="4" w:space="0" w:color="auto"/>
              <w:left w:val="single" w:sz="4" w:space="0" w:color="auto"/>
              <w:bottom w:val="dashed" w:sz="4" w:space="0" w:color="auto"/>
              <w:right w:val="dashed" w:sz="4" w:space="0" w:color="auto"/>
            </w:tcBorders>
            <w:vAlign w:val="center"/>
          </w:tcPr>
          <w:p w14:paraId="721B5B3B"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845 977 $</w:t>
            </w:r>
          </w:p>
        </w:tc>
        <w:tc>
          <w:tcPr>
            <w:tcW w:w="771" w:type="pct"/>
            <w:tcBorders>
              <w:top w:val="dashed" w:sz="4" w:space="0" w:color="auto"/>
              <w:left w:val="dashed" w:sz="4" w:space="0" w:color="auto"/>
              <w:bottom w:val="dashed" w:sz="4" w:space="0" w:color="auto"/>
              <w:right w:val="dashed" w:sz="4" w:space="0" w:color="auto"/>
            </w:tcBorders>
            <w:vAlign w:val="center"/>
          </w:tcPr>
          <w:p w14:paraId="1E87EBF5"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211 494 $</w:t>
            </w:r>
          </w:p>
        </w:tc>
      </w:tr>
      <w:tr w:rsidR="00E46D31" w:rsidRPr="0073388D" w14:paraId="02912BD5"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917D4"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2.</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1E1426F7"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Assistance préparatoire pour les demandes d’assistance internationale, ainsi que pour les dossiers de candidature à la Liste de sauvegarde urgente et les propositions au Registre de bonnes pratiques de sauvegarde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06278A74"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2,00 %</w:t>
            </w:r>
          </w:p>
        </w:tc>
        <w:tc>
          <w:tcPr>
            <w:tcW w:w="771" w:type="pct"/>
            <w:tcBorders>
              <w:top w:val="dashed" w:sz="4" w:space="0" w:color="auto"/>
              <w:left w:val="single" w:sz="4" w:space="0" w:color="auto"/>
              <w:bottom w:val="dashed" w:sz="4" w:space="0" w:color="auto"/>
              <w:right w:val="dashed" w:sz="4" w:space="0" w:color="auto"/>
            </w:tcBorders>
            <w:vAlign w:val="center"/>
          </w:tcPr>
          <w:p w14:paraId="35F74AE0"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156 808 $</w:t>
            </w:r>
          </w:p>
        </w:tc>
        <w:tc>
          <w:tcPr>
            <w:tcW w:w="771" w:type="pct"/>
            <w:tcBorders>
              <w:top w:val="dashed" w:sz="4" w:space="0" w:color="auto"/>
              <w:left w:val="dashed" w:sz="4" w:space="0" w:color="auto"/>
              <w:bottom w:val="dashed" w:sz="4" w:space="0" w:color="auto"/>
              <w:right w:val="dashed" w:sz="4" w:space="0" w:color="auto"/>
            </w:tcBorders>
            <w:vAlign w:val="center"/>
          </w:tcPr>
          <w:p w14:paraId="6B0038D5"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39 202 $</w:t>
            </w:r>
          </w:p>
        </w:tc>
      </w:tr>
      <w:tr w:rsidR="00E46D31" w:rsidRPr="0073388D" w14:paraId="67F374E5"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B45F3"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3.</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60C73E44"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 xml:space="preserve">Autres fonctions du Comité telles que décrites à l’article 7 de la Convention, visant à promouvoir les objectifs de la Convention et à encourager et assurer le suivi de sa mise en œuvre, à travers notamment le renforcement des capacités en vue d’une sauvegarde efficace du patrimoine culturel immatériel, la sensibilisation à l’importance de ce patrimoine, les conseils sur les bonnes pratiques de sauvegarde et la mise à jour et la publication des Listes et du Registre de bonnes pratiques de sauvegarde :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56AC9004"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20,00 %</w:t>
            </w:r>
          </w:p>
        </w:tc>
        <w:tc>
          <w:tcPr>
            <w:tcW w:w="771" w:type="pct"/>
            <w:tcBorders>
              <w:top w:val="dashed" w:sz="4" w:space="0" w:color="auto"/>
              <w:left w:val="single" w:sz="4" w:space="0" w:color="auto"/>
              <w:bottom w:val="dashed" w:sz="4" w:space="0" w:color="auto"/>
              <w:right w:val="dashed" w:sz="4" w:space="0" w:color="auto"/>
            </w:tcBorders>
            <w:vAlign w:val="center"/>
          </w:tcPr>
          <w:p w14:paraId="351DD713"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1 568 076 $</w:t>
            </w:r>
          </w:p>
        </w:tc>
        <w:tc>
          <w:tcPr>
            <w:tcW w:w="771" w:type="pct"/>
            <w:tcBorders>
              <w:top w:val="dashed" w:sz="4" w:space="0" w:color="auto"/>
              <w:left w:val="dashed" w:sz="4" w:space="0" w:color="auto"/>
              <w:bottom w:val="dashed" w:sz="4" w:space="0" w:color="auto"/>
              <w:right w:val="dashed" w:sz="4" w:space="0" w:color="auto"/>
            </w:tcBorders>
            <w:vAlign w:val="center"/>
          </w:tcPr>
          <w:p w14:paraId="54D0C3C6"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392 019 $</w:t>
            </w:r>
          </w:p>
        </w:tc>
      </w:tr>
      <w:tr w:rsidR="00E46D31" w:rsidRPr="0073388D" w14:paraId="48434434"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1D85999" w14:textId="77777777" w:rsidR="00E46D31" w:rsidRPr="0073388D" w:rsidRDefault="00E46D31" w:rsidP="00995C66">
            <w:pPr>
              <w:spacing w:before="120" w:after="120"/>
              <w:contextualSpacing/>
              <w:rPr>
                <w:rFonts w:ascii="Arial" w:hAnsi="Arial" w:cs="Arial"/>
                <w:i/>
                <w:iCs/>
                <w:sz w:val="18"/>
                <w:szCs w:val="18"/>
                <w:lang w:val="en-GB"/>
              </w:rPr>
            </w:pPr>
          </w:p>
        </w:tc>
        <w:tc>
          <w:tcPr>
            <w:tcW w:w="23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20557" w14:textId="77777777" w:rsidR="00E46D31" w:rsidRPr="0073388D" w:rsidRDefault="00E46D31" w:rsidP="00995C66">
            <w:pPr>
              <w:spacing w:before="120" w:after="120"/>
              <w:ind w:left="250"/>
              <w:contextualSpacing/>
              <w:rPr>
                <w:rFonts w:ascii="Arial" w:hAnsi="Arial" w:cs="Arial"/>
                <w:i/>
                <w:iCs/>
                <w:sz w:val="16"/>
                <w:szCs w:val="16"/>
              </w:rPr>
            </w:pPr>
            <w:r w:rsidRPr="0073388D">
              <w:rPr>
                <w:rFonts w:ascii="Arial" w:hAnsi="Arial"/>
                <w:b/>
                <w:bCs/>
                <w:i/>
                <w:iCs/>
                <w:sz w:val="16"/>
                <w:szCs w:val="16"/>
              </w:rPr>
              <w:t>ER 1 :</w:t>
            </w:r>
            <w:r w:rsidRPr="0073388D">
              <w:rPr>
                <w:rFonts w:ascii="Arial" w:hAnsi="Arial"/>
                <w:i/>
                <w:iCs/>
                <w:sz w:val="16"/>
                <w:szCs w:val="16"/>
              </w:rPr>
              <w:t xml:space="preserve"> Bonne gouvernance de la Convention de 2003 facilitée par l’amélioration du suivi et des services de gestion des connaissances ;</w:t>
            </w:r>
          </w:p>
        </w:tc>
        <w:tc>
          <w:tcPr>
            <w:tcW w:w="77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C3D4BD"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5,4 %</w:t>
            </w:r>
          </w:p>
          <w:p w14:paraId="31C54A5A"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(27 % de la ligne 3)</w:t>
            </w:r>
          </w:p>
        </w:tc>
        <w:tc>
          <w:tcPr>
            <w:tcW w:w="7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8C2238D"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423 380 $</w:t>
            </w:r>
          </w:p>
        </w:tc>
        <w:tc>
          <w:tcPr>
            <w:tcW w:w="7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ADAD5A7"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105 845 $</w:t>
            </w:r>
          </w:p>
        </w:tc>
      </w:tr>
      <w:tr w:rsidR="00E46D31" w:rsidRPr="0073388D" w14:paraId="29DFFC4E"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79C653E" w14:textId="77777777" w:rsidR="00E46D31" w:rsidRPr="0073388D" w:rsidRDefault="00E46D31" w:rsidP="00995C66">
            <w:pPr>
              <w:spacing w:before="120" w:after="120"/>
              <w:contextualSpacing/>
              <w:rPr>
                <w:rFonts w:ascii="Arial" w:hAnsi="Arial" w:cs="Arial"/>
                <w:i/>
                <w:iCs/>
                <w:sz w:val="18"/>
                <w:szCs w:val="18"/>
                <w:lang w:val="en-GB"/>
              </w:rPr>
            </w:pPr>
          </w:p>
        </w:tc>
        <w:tc>
          <w:tcPr>
            <w:tcW w:w="23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E4DA03" w14:textId="77777777" w:rsidR="00E46D31" w:rsidRPr="0073388D" w:rsidRDefault="00E46D31" w:rsidP="00995C66">
            <w:pPr>
              <w:spacing w:before="120" w:after="120"/>
              <w:ind w:left="250"/>
              <w:contextualSpacing/>
              <w:rPr>
                <w:rFonts w:ascii="Arial" w:hAnsi="Arial" w:cs="Arial"/>
                <w:i/>
                <w:iCs/>
                <w:sz w:val="16"/>
                <w:szCs w:val="16"/>
              </w:rPr>
            </w:pPr>
            <w:r w:rsidRPr="0073388D">
              <w:rPr>
                <w:rFonts w:ascii="Arial" w:hAnsi="Arial"/>
                <w:b/>
                <w:bCs/>
                <w:i/>
                <w:iCs/>
                <w:sz w:val="16"/>
                <w:szCs w:val="16"/>
              </w:rPr>
              <w:t>ER 2 :</w:t>
            </w:r>
            <w:r w:rsidRPr="0073388D">
              <w:rPr>
                <w:rFonts w:ascii="Arial" w:hAnsi="Arial"/>
                <w:i/>
                <w:iCs/>
                <w:sz w:val="16"/>
                <w:szCs w:val="16"/>
              </w:rPr>
              <w:t xml:space="preserve"> Mise en œuvre de la Convention dans les États membres encouragée par un programme de renforcement des capacités consolidé ;</w:t>
            </w:r>
          </w:p>
        </w:tc>
        <w:tc>
          <w:tcPr>
            <w:tcW w:w="77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C5A70"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6,6 %</w:t>
            </w:r>
          </w:p>
          <w:p w14:paraId="3E76611D"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(33 % de la ligne 3)</w:t>
            </w:r>
          </w:p>
        </w:tc>
        <w:tc>
          <w:tcPr>
            <w:tcW w:w="7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5E787AFD"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517 465 $</w:t>
            </w:r>
          </w:p>
        </w:tc>
        <w:tc>
          <w:tcPr>
            <w:tcW w:w="7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F131380"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129 366 $</w:t>
            </w:r>
          </w:p>
        </w:tc>
      </w:tr>
      <w:tr w:rsidR="00E46D31" w:rsidRPr="0073388D" w14:paraId="3842843D"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0DEF7E8" w14:textId="77777777" w:rsidR="00E46D31" w:rsidRPr="0073388D" w:rsidRDefault="00E46D31" w:rsidP="00995C66">
            <w:pPr>
              <w:spacing w:before="120" w:after="120"/>
              <w:contextualSpacing/>
              <w:rPr>
                <w:rFonts w:ascii="Arial" w:hAnsi="Arial" w:cs="Arial"/>
                <w:i/>
                <w:iCs/>
                <w:sz w:val="18"/>
                <w:szCs w:val="18"/>
                <w:lang w:val="en-GB"/>
              </w:rPr>
            </w:pPr>
          </w:p>
        </w:tc>
        <w:tc>
          <w:tcPr>
            <w:tcW w:w="23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D94244" w14:textId="77777777" w:rsidR="00E46D31" w:rsidRPr="0073388D" w:rsidRDefault="00E46D31" w:rsidP="00995C66">
            <w:pPr>
              <w:spacing w:before="120" w:after="120"/>
              <w:ind w:left="250"/>
              <w:contextualSpacing/>
              <w:rPr>
                <w:rFonts w:ascii="Arial" w:hAnsi="Arial" w:cs="Arial"/>
                <w:i/>
                <w:iCs/>
                <w:sz w:val="16"/>
                <w:szCs w:val="16"/>
              </w:rPr>
            </w:pPr>
            <w:r w:rsidRPr="0073388D">
              <w:rPr>
                <w:rFonts w:ascii="Arial" w:hAnsi="Arial"/>
                <w:b/>
                <w:bCs/>
                <w:i/>
                <w:iCs/>
                <w:sz w:val="16"/>
                <w:szCs w:val="16"/>
              </w:rPr>
              <w:t>ER 3 :</w:t>
            </w:r>
            <w:r w:rsidRPr="0073388D">
              <w:rPr>
                <w:rFonts w:ascii="Arial" w:hAnsi="Arial"/>
                <w:i/>
                <w:iCs/>
                <w:sz w:val="16"/>
                <w:szCs w:val="16"/>
              </w:rPr>
              <w:t xml:space="preserve"> Intégration du patrimoine culturel immatériel dans des programmes, des politiques et des plans de développement soutenue ;</w:t>
            </w:r>
          </w:p>
        </w:tc>
        <w:tc>
          <w:tcPr>
            <w:tcW w:w="77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01361"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2,6 %</w:t>
            </w:r>
          </w:p>
          <w:p w14:paraId="22844090"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(13 % de la ligne 3)</w:t>
            </w:r>
          </w:p>
        </w:tc>
        <w:tc>
          <w:tcPr>
            <w:tcW w:w="7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6ADA35D"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203 850 $</w:t>
            </w:r>
          </w:p>
        </w:tc>
        <w:tc>
          <w:tcPr>
            <w:tcW w:w="7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E60F277"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50 962 $</w:t>
            </w:r>
          </w:p>
        </w:tc>
      </w:tr>
      <w:tr w:rsidR="00E46D31" w:rsidRPr="0073388D" w14:paraId="768ABFD5"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AD7FD29" w14:textId="77777777" w:rsidR="00E46D31" w:rsidRPr="0073388D" w:rsidRDefault="00E46D31" w:rsidP="00995C66">
            <w:pPr>
              <w:spacing w:before="120" w:after="120"/>
              <w:contextualSpacing/>
              <w:rPr>
                <w:rFonts w:ascii="Arial" w:hAnsi="Arial" w:cs="Arial"/>
                <w:i/>
                <w:iCs/>
                <w:sz w:val="18"/>
                <w:szCs w:val="18"/>
                <w:lang w:val="en-GB"/>
              </w:rPr>
            </w:pPr>
          </w:p>
        </w:tc>
        <w:tc>
          <w:tcPr>
            <w:tcW w:w="23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180866" w14:textId="77777777" w:rsidR="00E46D31" w:rsidRPr="0073388D" w:rsidRDefault="00E46D31" w:rsidP="00995C66">
            <w:pPr>
              <w:spacing w:before="120" w:after="120"/>
              <w:ind w:left="250"/>
              <w:contextualSpacing/>
              <w:rPr>
                <w:rFonts w:ascii="Arial" w:hAnsi="Arial" w:cs="Arial"/>
                <w:i/>
                <w:iCs/>
                <w:sz w:val="16"/>
                <w:szCs w:val="16"/>
              </w:rPr>
            </w:pPr>
            <w:r w:rsidRPr="0073388D">
              <w:rPr>
                <w:rFonts w:ascii="Arial" w:hAnsi="Arial"/>
                <w:b/>
                <w:bCs/>
                <w:i/>
                <w:iCs/>
                <w:sz w:val="16"/>
                <w:szCs w:val="16"/>
              </w:rPr>
              <w:t>ER 4 :</w:t>
            </w:r>
            <w:r w:rsidRPr="0073388D">
              <w:rPr>
                <w:rFonts w:ascii="Arial" w:hAnsi="Arial"/>
                <w:i/>
                <w:iCs/>
                <w:sz w:val="16"/>
                <w:szCs w:val="16"/>
              </w:rPr>
              <w:t xml:space="preserve"> Objectifs de la Convention promus par des actions de sensibilisation et d’information ;</w:t>
            </w:r>
          </w:p>
        </w:tc>
        <w:tc>
          <w:tcPr>
            <w:tcW w:w="77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0730A8"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5,4 %</w:t>
            </w:r>
          </w:p>
          <w:p w14:paraId="02E283C3"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(27 % de la ligne 3)</w:t>
            </w:r>
          </w:p>
        </w:tc>
        <w:tc>
          <w:tcPr>
            <w:tcW w:w="771" w:type="pct"/>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6E58470"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423 381 $</w:t>
            </w:r>
          </w:p>
        </w:tc>
        <w:tc>
          <w:tcPr>
            <w:tcW w:w="771"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6E16AA28" w14:textId="77777777" w:rsidR="00E46D31" w:rsidRPr="0073388D" w:rsidRDefault="00E46D31" w:rsidP="00995C66">
            <w:pPr>
              <w:spacing w:before="60" w:after="60"/>
              <w:contextualSpacing/>
              <w:jc w:val="center"/>
              <w:rPr>
                <w:rFonts w:ascii="Arial" w:hAnsi="Arial" w:cs="Arial"/>
                <w:i/>
                <w:iCs/>
                <w:sz w:val="16"/>
                <w:szCs w:val="16"/>
              </w:rPr>
            </w:pPr>
            <w:r w:rsidRPr="0073388D">
              <w:rPr>
                <w:rFonts w:ascii="Arial" w:hAnsi="Arial"/>
                <w:i/>
                <w:iCs/>
                <w:sz w:val="16"/>
                <w:szCs w:val="16"/>
              </w:rPr>
              <w:t>105 846 $</w:t>
            </w:r>
          </w:p>
        </w:tc>
      </w:tr>
      <w:tr w:rsidR="00E46D31" w:rsidRPr="0073388D" w14:paraId="77B592F8"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E3F98"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4.</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260A95BE"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Participation aux sessions du Comité, de son Bureau et de ses organes subsidiaires d’experts du patrimoine culturel immatériel représentant des pays en développement membres du Comité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7F1F6699"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2,63 %</w:t>
            </w:r>
          </w:p>
        </w:tc>
        <w:tc>
          <w:tcPr>
            <w:tcW w:w="771" w:type="pct"/>
            <w:tcBorders>
              <w:top w:val="dashed" w:sz="4" w:space="0" w:color="auto"/>
              <w:left w:val="single" w:sz="4" w:space="0" w:color="auto"/>
              <w:bottom w:val="dashed" w:sz="4" w:space="0" w:color="auto"/>
              <w:right w:val="dashed" w:sz="4" w:space="0" w:color="auto"/>
            </w:tcBorders>
            <w:vAlign w:val="center"/>
          </w:tcPr>
          <w:p w14:paraId="72AFEDD8"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206 202 $</w:t>
            </w:r>
          </w:p>
        </w:tc>
        <w:tc>
          <w:tcPr>
            <w:tcW w:w="771" w:type="pct"/>
            <w:tcBorders>
              <w:top w:val="dashed" w:sz="4" w:space="0" w:color="auto"/>
              <w:left w:val="dashed" w:sz="4" w:space="0" w:color="auto"/>
              <w:bottom w:val="dashed" w:sz="4" w:space="0" w:color="auto"/>
              <w:right w:val="dashed" w:sz="4" w:space="0" w:color="auto"/>
            </w:tcBorders>
            <w:vAlign w:val="center"/>
          </w:tcPr>
          <w:p w14:paraId="624477D2"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51 550 $</w:t>
            </w:r>
          </w:p>
        </w:tc>
      </w:tr>
      <w:tr w:rsidR="00E46D31" w:rsidRPr="0073388D" w14:paraId="7DB02C83"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43294"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5.</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66A4FC41"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Participation aux sessions du Comité et de ses organes consultatifs d’experts du patrimoine culturel immatériel représentant des pays en développement parties à la Convention mais non membres du Comité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626E350F"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3,31 %</w:t>
            </w:r>
          </w:p>
        </w:tc>
        <w:tc>
          <w:tcPr>
            <w:tcW w:w="771" w:type="pct"/>
            <w:tcBorders>
              <w:top w:val="dashed" w:sz="4" w:space="0" w:color="auto"/>
              <w:left w:val="single" w:sz="4" w:space="0" w:color="auto"/>
              <w:bottom w:val="dashed" w:sz="4" w:space="0" w:color="auto"/>
              <w:right w:val="dashed" w:sz="4" w:space="0" w:color="auto"/>
            </w:tcBorders>
            <w:vAlign w:val="center"/>
          </w:tcPr>
          <w:p w14:paraId="38F66C6C"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259 516 $</w:t>
            </w:r>
          </w:p>
        </w:tc>
        <w:tc>
          <w:tcPr>
            <w:tcW w:w="771" w:type="pct"/>
            <w:tcBorders>
              <w:top w:val="dashed" w:sz="4" w:space="0" w:color="auto"/>
              <w:left w:val="dashed" w:sz="4" w:space="0" w:color="auto"/>
              <w:bottom w:val="dashed" w:sz="4" w:space="0" w:color="auto"/>
              <w:right w:val="dashed" w:sz="4" w:space="0" w:color="auto"/>
            </w:tcBorders>
            <w:vAlign w:val="center"/>
          </w:tcPr>
          <w:p w14:paraId="60AA3B42"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64 879 $</w:t>
            </w:r>
          </w:p>
        </w:tc>
      </w:tr>
      <w:tr w:rsidR="00E46D31" w:rsidRPr="0073388D" w14:paraId="0BF4E6C8"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8A01D"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6.</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6213628F"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Participation aux sessions du Comité, de son Bureau et de ses organes consultatifs d’organismes publics ou privés et de personnes physiques, notamment de membres de communautés ou de groupes, qui ont été invités par le Comité à prendre part à ces réunions à titre consultatif sur des questions spécifiques, ainsi que d’experts du patrimoine culturel immatériel représentant des ONG accréditées de pays en développement ;</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1CB8E29D"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3,31 %</w:t>
            </w:r>
          </w:p>
        </w:tc>
        <w:tc>
          <w:tcPr>
            <w:tcW w:w="771" w:type="pct"/>
            <w:tcBorders>
              <w:top w:val="dashed" w:sz="4" w:space="0" w:color="auto"/>
              <w:left w:val="single" w:sz="4" w:space="0" w:color="auto"/>
              <w:bottom w:val="dashed" w:sz="4" w:space="0" w:color="auto"/>
              <w:right w:val="dashed" w:sz="4" w:space="0" w:color="auto"/>
            </w:tcBorders>
            <w:vAlign w:val="center"/>
          </w:tcPr>
          <w:p w14:paraId="7BDA72A1"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259 516 $</w:t>
            </w:r>
          </w:p>
        </w:tc>
        <w:tc>
          <w:tcPr>
            <w:tcW w:w="771" w:type="pct"/>
            <w:tcBorders>
              <w:top w:val="dashed" w:sz="4" w:space="0" w:color="auto"/>
              <w:left w:val="dashed" w:sz="4" w:space="0" w:color="auto"/>
              <w:bottom w:val="dashed" w:sz="4" w:space="0" w:color="auto"/>
              <w:right w:val="dashed" w:sz="4" w:space="0" w:color="auto"/>
            </w:tcBorders>
            <w:vAlign w:val="center"/>
          </w:tcPr>
          <w:p w14:paraId="066C8347"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64 879 $</w:t>
            </w:r>
          </w:p>
        </w:tc>
      </w:tr>
      <w:tr w:rsidR="00E46D31" w:rsidRPr="0073388D" w14:paraId="0A144D8B"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62BAC" w14:textId="7777777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7.</w:t>
            </w: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180634FC" w14:textId="1BC497B7" w:rsidR="00E46D31" w:rsidRPr="0073388D" w:rsidRDefault="00E46D31" w:rsidP="00995C66">
            <w:pPr>
              <w:spacing w:before="120" w:after="120"/>
              <w:contextualSpacing/>
              <w:rPr>
                <w:rFonts w:ascii="Arial" w:hAnsi="Arial" w:cs="Arial"/>
                <w:sz w:val="18"/>
                <w:szCs w:val="18"/>
              </w:rPr>
            </w:pPr>
            <w:r w:rsidRPr="0073388D">
              <w:rPr>
                <w:rFonts w:ascii="Arial" w:hAnsi="Arial"/>
                <w:sz w:val="18"/>
                <w:szCs w:val="18"/>
              </w:rPr>
              <w:t>Coûts des services consultatifs devant être fournis à la demande du Comité, y compris l’aide aux pays en développement dont les représentants ont été nommés membres de l’Organe d’évaluation</w:t>
            </w:r>
            <w:r w:rsidR="00406097" w:rsidRPr="0073388D">
              <w:rPr>
                <w:rFonts w:ascii="Arial" w:hAnsi="Arial"/>
                <w:sz w:val="18"/>
                <w:szCs w:val="18"/>
              </w:rPr>
              <w:t>.</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412B76AC"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6,00 %</w:t>
            </w:r>
          </w:p>
        </w:tc>
        <w:tc>
          <w:tcPr>
            <w:tcW w:w="771" w:type="pct"/>
            <w:tcBorders>
              <w:top w:val="dashed" w:sz="4" w:space="0" w:color="auto"/>
              <w:left w:val="single" w:sz="4" w:space="0" w:color="auto"/>
              <w:bottom w:val="dashed" w:sz="4" w:space="0" w:color="auto"/>
              <w:right w:val="dashed" w:sz="4" w:space="0" w:color="auto"/>
            </w:tcBorders>
            <w:vAlign w:val="center"/>
          </w:tcPr>
          <w:p w14:paraId="3B747722"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470 423 $</w:t>
            </w:r>
          </w:p>
        </w:tc>
        <w:tc>
          <w:tcPr>
            <w:tcW w:w="771" w:type="pct"/>
            <w:tcBorders>
              <w:top w:val="dashed" w:sz="4" w:space="0" w:color="auto"/>
              <w:left w:val="dashed" w:sz="4" w:space="0" w:color="auto"/>
              <w:bottom w:val="dashed" w:sz="4" w:space="0" w:color="auto"/>
              <w:right w:val="dashed" w:sz="4" w:space="0" w:color="auto"/>
            </w:tcBorders>
            <w:vAlign w:val="center"/>
          </w:tcPr>
          <w:p w14:paraId="7E0B143C" w14:textId="77777777" w:rsidR="00E46D31" w:rsidRPr="0073388D" w:rsidRDefault="00E46D31" w:rsidP="00995C66">
            <w:pPr>
              <w:spacing w:before="60" w:after="60"/>
              <w:contextualSpacing/>
              <w:jc w:val="center"/>
              <w:rPr>
                <w:rFonts w:ascii="Arial" w:hAnsi="Arial" w:cs="Arial"/>
                <w:sz w:val="18"/>
                <w:szCs w:val="18"/>
              </w:rPr>
            </w:pPr>
            <w:r w:rsidRPr="0073388D">
              <w:rPr>
                <w:rFonts w:ascii="Arial" w:hAnsi="Arial"/>
                <w:sz w:val="18"/>
                <w:szCs w:val="18"/>
              </w:rPr>
              <w:t>117 606 $</w:t>
            </w:r>
          </w:p>
        </w:tc>
      </w:tr>
      <w:tr w:rsidR="00E46D31" w:rsidRPr="0073388D" w14:paraId="3A4F54F0" w14:textId="77777777" w:rsidTr="00E62D47">
        <w:trPr>
          <w:cantSplit/>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F77D5" w14:textId="77777777" w:rsidR="00E46D31" w:rsidRPr="0073388D" w:rsidRDefault="00E46D31" w:rsidP="00995C66">
            <w:pPr>
              <w:spacing w:before="120" w:after="120"/>
              <w:contextualSpacing/>
              <w:rPr>
                <w:rFonts w:ascii="Arial" w:hAnsi="Arial" w:cs="Arial"/>
                <w:b/>
                <w:bCs/>
                <w:sz w:val="20"/>
                <w:szCs w:val="20"/>
                <w:lang w:val="en-GB"/>
              </w:rPr>
            </w:pPr>
          </w:p>
        </w:tc>
        <w:tc>
          <w:tcPr>
            <w:tcW w:w="2324" w:type="pct"/>
            <w:tcBorders>
              <w:top w:val="single" w:sz="4" w:space="0" w:color="auto"/>
              <w:left w:val="single" w:sz="4" w:space="0" w:color="auto"/>
              <w:bottom w:val="single" w:sz="4" w:space="0" w:color="auto"/>
              <w:right w:val="single" w:sz="4" w:space="0" w:color="auto"/>
            </w:tcBorders>
            <w:shd w:val="clear" w:color="auto" w:fill="auto"/>
            <w:vAlign w:val="center"/>
          </w:tcPr>
          <w:p w14:paraId="48D4F1E8" w14:textId="77777777" w:rsidR="00E46D31" w:rsidRPr="0073388D" w:rsidRDefault="00E46D31" w:rsidP="00995C66">
            <w:pPr>
              <w:spacing w:before="120" w:after="120"/>
              <w:contextualSpacing/>
              <w:jc w:val="both"/>
              <w:rPr>
                <w:rFonts w:ascii="Arial" w:hAnsi="Arial" w:cs="Arial"/>
                <w:b/>
                <w:bCs/>
                <w:sz w:val="18"/>
                <w:szCs w:val="18"/>
              </w:rPr>
            </w:pPr>
            <w:r w:rsidRPr="0073388D">
              <w:rPr>
                <w:rFonts w:ascii="Arial" w:hAnsi="Arial"/>
                <w:b/>
                <w:bCs/>
                <w:sz w:val="18"/>
                <w:szCs w:val="18"/>
              </w:rPr>
              <w:t>TOTAL</w:t>
            </w:r>
          </w:p>
        </w:tc>
        <w:tc>
          <w:tcPr>
            <w:tcW w:w="771" w:type="pct"/>
            <w:gridSpan w:val="2"/>
            <w:tcBorders>
              <w:top w:val="single" w:sz="4" w:space="0" w:color="auto"/>
              <w:left w:val="single" w:sz="4" w:space="0" w:color="auto"/>
              <w:bottom w:val="single" w:sz="4" w:space="0" w:color="auto"/>
              <w:right w:val="single" w:sz="4" w:space="0" w:color="auto"/>
            </w:tcBorders>
            <w:vAlign w:val="center"/>
          </w:tcPr>
          <w:p w14:paraId="2C512EB8" w14:textId="77777777" w:rsidR="00E46D31" w:rsidRPr="0073388D" w:rsidRDefault="00E46D31" w:rsidP="00995C66">
            <w:pPr>
              <w:spacing w:before="60" w:after="60"/>
              <w:contextualSpacing/>
              <w:jc w:val="center"/>
              <w:rPr>
                <w:rFonts w:ascii="Arial" w:hAnsi="Arial" w:cs="Arial"/>
                <w:b/>
                <w:bCs/>
                <w:sz w:val="18"/>
                <w:szCs w:val="18"/>
              </w:rPr>
            </w:pPr>
            <w:r w:rsidRPr="0073388D">
              <w:rPr>
                <w:rFonts w:ascii="Arial" w:hAnsi="Arial"/>
                <w:b/>
                <w:bCs/>
                <w:sz w:val="18"/>
                <w:szCs w:val="18"/>
              </w:rPr>
              <w:t>100,00 %</w:t>
            </w:r>
          </w:p>
        </w:tc>
        <w:tc>
          <w:tcPr>
            <w:tcW w:w="771" w:type="pct"/>
            <w:tcBorders>
              <w:top w:val="dashed" w:sz="4" w:space="0" w:color="auto"/>
              <w:left w:val="single" w:sz="4" w:space="0" w:color="auto"/>
              <w:bottom w:val="single" w:sz="4" w:space="0" w:color="auto"/>
              <w:right w:val="dashed" w:sz="4" w:space="0" w:color="auto"/>
            </w:tcBorders>
          </w:tcPr>
          <w:p w14:paraId="417A0FBA" w14:textId="77777777" w:rsidR="00E46D31" w:rsidRPr="0073388D" w:rsidRDefault="00E46D31" w:rsidP="00995C66">
            <w:pPr>
              <w:spacing w:before="60" w:after="60"/>
              <w:contextualSpacing/>
              <w:jc w:val="center"/>
              <w:rPr>
                <w:rFonts w:ascii="Arial" w:hAnsi="Arial" w:cs="Arial"/>
                <w:b/>
                <w:bCs/>
                <w:sz w:val="18"/>
                <w:szCs w:val="18"/>
              </w:rPr>
            </w:pPr>
            <w:r w:rsidRPr="0073388D">
              <w:rPr>
                <w:rFonts w:ascii="Arial" w:hAnsi="Arial"/>
                <w:b/>
                <w:bCs/>
                <w:sz w:val="18"/>
                <w:szCs w:val="18"/>
              </w:rPr>
              <w:t>7 840 379 $</w:t>
            </w:r>
          </w:p>
        </w:tc>
        <w:tc>
          <w:tcPr>
            <w:tcW w:w="771" w:type="pct"/>
            <w:tcBorders>
              <w:top w:val="dashed" w:sz="4" w:space="0" w:color="auto"/>
              <w:left w:val="dashed" w:sz="4" w:space="0" w:color="auto"/>
              <w:bottom w:val="single" w:sz="4" w:space="0" w:color="auto"/>
              <w:right w:val="dashed" w:sz="4" w:space="0" w:color="auto"/>
            </w:tcBorders>
          </w:tcPr>
          <w:p w14:paraId="02BA25F8" w14:textId="77777777" w:rsidR="00E46D31" w:rsidRPr="0073388D" w:rsidRDefault="00E46D31" w:rsidP="00995C66">
            <w:pPr>
              <w:spacing w:before="60" w:after="60"/>
              <w:contextualSpacing/>
              <w:jc w:val="center"/>
              <w:rPr>
                <w:rFonts w:ascii="Arial" w:hAnsi="Arial" w:cs="Arial"/>
                <w:b/>
                <w:bCs/>
                <w:sz w:val="18"/>
                <w:szCs w:val="18"/>
              </w:rPr>
            </w:pPr>
            <w:r w:rsidRPr="0073388D">
              <w:rPr>
                <w:rFonts w:ascii="Arial" w:hAnsi="Arial"/>
                <w:b/>
                <w:bCs/>
                <w:sz w:val="18"/>
                <w:szCs w:val="18"/>
              </w:rPr>
              <w:t>1 960 095 $</w:t>
            </w:r>
          </w:p>
        </w:tc>
      </w:tr>
      <w:tr w:rsidR="00C16BC5" w:rsidRPr="0073388D" w14:paraId="416A4737" w14:textId="77777777" w:rsidTr="00165857">
        <w:trPr>
          <w:cantSplit/>
        </w:trPr>
        <w:tc>
          <w:tcPr>
            <w:tcW w:w="5000" w:type="pct"/>
            <w:gridSpan w:val="6"/>
            <w:tcBorders>
              <w:top w:val="single" w:sz="4" w:space="0" w:color="auto"/>
              <w:left w:val="single" w:sz="4" w:space="0" w:color="auto"/>
              <w:bottom w:val="single" w:sz="4" w:space="0" w:color="auto"/>
              <w:right w:val="single" w:sz="4" w:space="0" w:color="auto"/>
            </w:tcBorders>
          </w:tcPr>
          <w:p w14:paraId="107A5DB9" w14:textId="77777777" w:rsidR="00C16BC5" w:rsidRPr="0073388D" w:rsidRDefault="00C16BC5" w:rsidP="00630A90">
            <w:pPr>
              <w:spacing w:before="120" w:after="120"/>
              <w:contextualSpacing/>
              <w:rPr>
                <w:rFonts w:ascii="Arial" w:hAnsi="Arial" w:cs="Arial"/>
                <w:sz w:val="18"/>
                <w:szCs w:val="18"/>
              </w:rPr>
            </w:pPr>
            <w:r w:rsidRPr="0073388D">
              <w:rPr>
                <w:rFonts w:ascii="Arial" w:hAnsi="Arial"/>
                <w:sz w:val="18"/>
                <w:szCs w:val="18"/>
              </w:rPr>
              <w:t>Les fonds non engagés à la fin de la période couverte par ce Plan sont reportés sur l’exercice financier suivant et doivent être affectés conformément au Plan approuvé par l’Assemblée générale à ce moment-là.</w:t>
            </w:r>
          </w:p>
        </w:tc>
      </w:tr>
      <w:tr w:rsidR="00C16BC5" w:rsidRPr="0073388D" w14:paraId="60C8B0B1" w14:textId="77777777" w:rsidTr="00165857">
        <w:trPr>
          <w:cantSplit/>
        </w:trPr>
        <w:tc>
          <w:tcPr>
            <w:tcW w:w="5000" w:type="pct"/>
            <w:gridSpan w:val="6"/>
            <w:tcBorders>
              <w:top w:val="single" w:sz="4" w:space="0" w:color="auto"/>
              <w:left w:val="single" w:sz="4" w:space="0" w:color="auto"/>
              <w:bottom w:val="single" w:sz="4" w:space="0" w:color="auto"/>
              <w:right w:val="single" w:sz="4" w:space="0" w:color="auto"/>
            </w:tcBorders>
          </w:tcPr>
          <w:p w14:paraId="253AEDFC" w14:textId="77777777" w:rsidR="00C16BC5" w:rsidRPr="0073388D" w:rsidRDefault="00C16BC5" w:rsidP="00630A90">
            <w:pPr>
              <w:spacing w:before="120" w:after="120"/>
              <w:contextualSpacing/>
              <w:rPr>
                <w:rFonts w:ascii="Arial" w:hAnsi="Arial" w:cs="Arial"/>
                <w:sz w:val="18"/>
                <w:szCs w:val="18"/>
              </w:rPr>
            </w:pPr>
            <w:r w:rsidRPr="0073388D">
              <w:rPr>
                <w:rFonts w:ascii="Arial" w:hAnsi="Arial"/>
                <w:sz w:val="18"/>
                <w:szCs w:val="18"/>
              </w:rPr>
              <w:t>Pour la période du 1</w:t>
            </w:r>
            <w:r w:rsidRPr="0073388D">
              <w:rPr>
                <w:rFonts w:ascii="Arial" w:hAnsi="Arial"/>
                <w:sz w:val="18"/>
                <w:szCs w:val="18"/>
                <w:vertAlign w:val="superscript"/>
              </w:rPr>
              <w:t>er</w:t>
            </w:r>
            <w:r w:rsidRPr="0073388D">
              <w:rPr>
                <w:rFonts w:ascii="Arial" w:hAnsi="Arial"/>
                <w:sz w:val="18"/>
                <w:szCs w:val="18"/>
              </w:rPr>
              <w:t> janvier 2022 au 30 juin 2022, un quart du montant établi pour la période de vingt-quatre mois de l’exercice financier 2020-2021 sera alloué à titre provisoire, sauf pour le Fonds de réserve, dont le montant a été fixé par le Comité à 1 million de dollars des États-Unis (décision 10.COM 8).</w:t>
            </w:r>
          </w:p>
        </w:tc>
      </w:tr>
    </w:tbl>
    <w:p w14:paraId="0E2F4F78" w14:textId="77777777" w:rsidR="00F04BA8" w:rsidRPr="0073388D" w:rsidRDefault="00F04BA8" w:rsidP="00DD1C15">
      <w:pPr>
        <w:spacing w:after="120"/>
        <w:jc w:val="both"/>
        <w:rPr>
          <w:rFonts w:ascii="Arial" w:hAnsi="Arial" w:cs="Arial"/>
          <w:sz w:val="22"/>
          <w:szCs w:val="22"/>
        </w:rPr>
      </w:pPr>
    </w:p>
    <w:p w14:paraId="480867EA" w14:textId="1F4F11A9" w:rsidR="00F2002E" w:rsidRPr="0073388D" w:rsidRDefault="00F2002E" w:rsidP="00E62D47">
      <w:pPr>
        <w:pStyle w:val="Annex"/>
        <w:pageBreakBefore w:val="0"/>
      </w:pPr>
      <w:r w:rsidRPr="0073388D">
        <w:t>A</w:t>
      </w:r>
      <w:r w:rsidR="007530CE" w:rsidRPr="0073388D">
        <w:t>NNEXE</w:t>
      </w:r>
      <w:r w:rsidRPr="0073388D">
        <w:t xml:space="preserve"> II</w:t>
      </w:r>
    </w:p>
    <w:p w14:paraId="05875421" w14:textId="37655211" w:rsidR="00F2002E" w:rsidRPr="0073388D" w:rsidRDefault="00F2002E" w:rsidP="00086BF2">
      <w:pPr>
        <w:jc w:val="center"/>
        <w:rPr>
          <w:rFonts w:ascii="Arial" w:hAnsi="Arial" w:cs="Arial"/>
          <w:b/>
        </w:rPr>
      </w:pPr>
      <w:r w:rsidRPr="0073388D">
        <w:rPr>
          <w:rFonts w:ascii="Arial" w:hAnsi="Arial"/>
          <w:b/>
          <w:sz w:val="22"/>
          <w:szCs w:val="22"/>
        </w:rPr>
        <w:t>Révision du Règlement financier du Compte spécial pour</w:t>
      </w:r>
    </w:p>
    <w:p w14:paraId="33B31A7B" w14:textId="77777777" w:rsidR="00F2002E" w:rsidRPr="0073388D" w:rsidRDefault="00F2002E" w:rsidP="00F2002E">
      <w:pPr>
        <w:pStyle w:val="NoSpacing"/>
        <w:spacing w:after="480"/>
        <w:jc w:val="center"/>
        <w:rPr>
          <w:rFonts w:ascii="Arial" w:hAnsi="Arial"/>
          <w:b/>
        </w:rPr>
      </w:pPr>
      <w:r w:rsidRPr="0073388D">
        <w:rPr>
          <w:rFonts w:ascii="Arial" w:hAnsi="Arial"/>
          <w:b/>
        </w:rPr>
        <w:t xml:space="preserve"> le Fonds pour la sauvegarde du </w:t>
      </w:r>
      <w:r w:rsidRPr="0073388D">
        <w:rPr>
          <w:rFonts w:ascii="Arial" w:hAnsi="Arial" w:cs="Arial"/>
          <w:b/>
        </w:rPr>
        <w:t>patrimoine</w:t>
      </w:r>
      <w:r w:rsidRPr="0073388D">
        <w:rPr>
          <w:rFonts w:ascii="Arial" w:hAnsi="Arial"/>
          <w:b/>
        </w:rPr>
        <w:t xml:space="preserve"> culturel immatériel conformément au Modèle de règlement financier pour les comptes spéciaux relatifs à des conventions approuvé par le Conseil exécutif de l’UNESCO</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F04BA8" w:rsidRPr="0073388D" w14:paraId="7E885A71" w14:textId="77777777" w:rsidTr="00A615C3">
        <w:tc>
          <w:tcPr>
            <w:tcW w:w="1843" w:type="dxa"/>
          </w:tcPr>
          <w:p w14:paraId="790BA5C4" w14:textId="77777777" w:rsidR="00F04BA8" w:rsidRPr="0073388D" w:rsidRDefault="00F04BA8" w:rsidP="00995C66">
            <w:pPr>
              <w:pStyle w:val="NoSpacing"/>
              <w:spacing w:before="240" w:after="240"/>
              <w:jc w:val="right"/>
              <w:rPr>
                <w:rFonts w:asciiTheme="minorBidi" w:hAnsiTheme="minorBidi" w:cstheme="minorBidi"/>
                <w:b/>
                <w:bCs/>
                <w:sz w:val="22"/>
                <w:szCs w:val="22"/>
                <w:lang w:val="en-US"/>
              </w:rPr>
            </w:pPr>
            <w:r w:rsidRPr="0073388D">
              <w:rPr>
                <w:rFonts w:asciiTheme="minorBidi" w:hAnsiTheme="minorBidi" w:cstheme="minorBidi"/>
                <w:b/>
                <w:bCs/>
                <w:sz w:val="22"/>
                <w:szCs w:val="22"/>
              </w:rPr>
              <w:t>Article premier</w:t>
            </w:r>
          </w:p>
        </w:tc>
        <w:tc>
          <w:tcPr>
            <w:tcW w:w="7513" w:type="dxa"/>
          </w:tcPr>
          <w:p w14:paraId="4EE33C2D" w14:textId="77777777" w:rsidR="00F04BA8" w:rsidRPr="0073388D" w:rsidRDefault="00F04BA8" w:rsidP="004F7D97">
            <w:pPr>
              <w:pStyle w:val="NoSpacing"/>
              <w:spacing w:before="240" w:after="240"/>
              <w:jc w:val="both"/>
              <w:rPr>
                <w:rFonts w:asciiTheme="minorBidi" w:hAnsiTheme="minorBidi" w:cstheme="minorBidi"/>
                <w:b/>
                <w:bCs/>
                <w:sz w:val="22"/>
                <w:szCs w:val="22"/>
              </w:rPr>
            </w:pPr>
            <w:r w:rsidRPr="0073388D">
              <w:rPr>
                <w:rFonts w:asciiTheme="minorBidi" w:hAnsiTheme="minorBidi" w:cstheme="minorBidi"/>
                <w:b/>
                <w:sz w:val="22"/>
                <w:szCs w:val="22"/>
              </w:rPr>
              <w:t>Établissement d’un Compte spécial</w:t>
            </w:r>
          </w:p>
        </w:tc>
      </w:tr>
      <w:tr w:rsidR="00F04BA8" w:rsidRPr="0073388D" w14:paraId="03EBF62F" w14:textId="77777777" w:rsidTr="00A615C3">
        <w:tc>
          <w:tcPr>
            <w:tcW w:w="1843" w:type="dxa"/>
          </w:tcPr>
          <w:p w14:paraId="5002A7EC" w14:textId="77777777" w:rsidR="00F04BA8" w:rsidRPr="0073388D" w:rsidRDefault="00F04BA8" w:rsidP="00995C66">
            <w:pPr>
              <w:pStyle w:val="NoSpacing"/>
              <w:spacing w:after="240"/>
              <w:jc w:val="right"/>
              <w:rPr>
                <w:rFonts w:asciiTheme="minorBidi" w:hAnsiTheme="minorBidi" w:cstheme="minorBidi"/>
                <w:bCs/>
                <w:sz w:val="22"/>
                <w:szCs w:val="22"/>
              </w:rPr>
            </w:pPr>
            <w:r w:rsidRPr="0073388D">
              <w:rPr>
                <w:rFonts w:asciiTheme="minorBidi" w:hAnsiTheme="minorBidi" w:cstheme="minorBidi"/>
                <w:bCs/>
                <w:sz w:val="22"/>
                <w:szCs w:val="22"/>
              </w:rPr>
              <w:t>1.1</w:t>
            </w:r>
          </w:p>
        </w:tc>
        <w:tc>
          <w:tcPr>
            <w:tcW w:w="7513" w:type="dxa"/>
          </w:tcPr>
          <w:p w14:paraId="10F0E0C7" w14:textId="77777777" w:rsidR="00F04BA8" w:rsidRPr="0073388D" w:rsidRDefault="00F04BA8" w:rsidP="004F7D97">
            <w:pPr>
              <w:pStyle w:val="NoSpacing"/>
              <w:spacing w:after="240"/>
              <w:jc w:val="both"/>
              <w:rPr>
                <w:rFonts w:asciiTheme="minorBidi" w:hAnsiTheme="minorBidi" w:cstheme="minorBidi"/>
                <w:b/>
                <w:sz w:val="22"/>
                <w:szCs w:val="22"/>
              </w:rPr>
            </w:pPr>
            <w:r w:rsidRPr="0073388D">
              <w:rPr>
                <w:rFonts w:asciiTheme="minorBidi" w:hAnsiTheme="minorBidi" w:cstheme="minorBidi"/>
                <w:sz w:val="22"/>
                <w:szCs w:val="22"/>
              </w:rPr>
              <w:t>L’article 25 de la Convention pour la sauvegarde du patrimoine culturel immatériel (ci-après dénommée la « Convention ») porte création d’un Fonds dit « Fonds pour la sauvegarde du patrimoine culturel immatériel » (ci-après dénommé le « Fonds »).</w:t>
            </w:r>
          </w:p>
        </w:tc>
      </w:tr>
      <w:tr w:rsidR="00F04BA8" w:rsidRPr="0073388D" w14:paraId="24F23CDB" w14:textId="77777777" w:rsidTr="00A615C3">
        <w:tc>
          <w:tcPr>
            <w:tcW w:w="1843" w:type="dxa"/>
          </w:tcPr>
          <w:p w14:paraId="0E500BEB" w14:textId="77777777" w:rsidR="00F04BA8" w:rsidRPr="0073388D" w:rsidRDefault="00F04BA8" w:rsidP="00995C66">
            <w:pPr>
              <w:pStyle w:val="NoSpacing"/>
              <w:spacing w:after="240"/>
              <w:jc w:val="right"/>
              <w:rPr>
                <w:rFonts w:asciiTheme="minorBidi" w:hAnsiTheme="minorBidi" w:cstheme="minorBidi"/>
                <w:b/>
                <w:sz w:val="22"/>
                <w:szCs w:val="22"/>
                <w:lang w:val="en-US"/>
              </w:rPr>
            </w:pPr>
            <w:r w:rsidRPr="0073388D">
              <w:rPr>
                <w:rFonts w:asciiTheme="minorBidi" w:hAnsiTheme="minorBidi" w:cstheme="minorBidi"/>
                <w:sz w:val="22"/>
                <w:szCs w:val="22"/>
              </w:rPr>
              <w:t xml:space="preserve">1.2 </w:t>
            </w:r>
          </w:p>
        </w:tc>
        <w:tc>
          <w:tcPr>
            <w:tcW w:w="7513" w:type="dxa"/>
          </w:tcPr>
          <w:p w14:paraId="2FE5FB9B" w14:textId="77777777" w:rsidR="00F04BA8" w:rsidRPr="0073388D" w:rsidRDefault="00F04BA8" w:rsidP="004F7D97">
            <w:pPr>
              <w:pStyle w:val="NoSpacing"/>
              <w:spacing w:after="240"/>
              <w:jc w:val="both"/>
              <w:rPr>
                <w:rFonts w:asciiTheme="minorBidi" w:hAnsiTheme="minorBidi" w:cstheme="minorBidi"/>
                <w:b/>
                <w:sz w:val="22"/>
                <w:szCs w:val="22"/>
              </w:rPr>
            </w:pPr>
            <w:r w:rsidRPr="0073388D">
              <w:rPr>
                <w:rFonts w:asciiTheme="minorBidi" w:hAnsiTheme="minorBidi" w:cstheme="minorBidi"/>
                <w:sz w:val="22"/>
                <w:szCs w:val="22"/>
              </w:rPr>
              <w:t>Conformément à l’article 25 de la Convention et à l’article 6, paragraphes 5 et 6 du Règlement financier de l’UNESCO, il est créé en vertu du présent un Compte spécial affecté au Fonds pour la sauvegarde du patrimoine culturel immatériel (ci-après dénommé le « Compte spécial »).</w:t>
            </w:r>
          </w:p>
        </w:tc>
      </w:tr>
      <w:tr w:rsidR="00F04BA8" w:rsidRPr="0073388D" w14:paraId="5EA5EA62" w14:textId="77777777" w:rsidTr="00A615C3">
        <w:tc>
          <w:tcPr>
            <w:tcW w:w="1843" w:type="dxa"/>
          </w:tcPr>
          <w:p w14:paraId="7C156556" w14:textId="77777777" w:rsidR="00F04BA8" w:rsidRPr="0073388D" w:rsidRDefault="00F04BA8" w:rsidP="00995C66">
            <w:pPr>
              <w:pStyle w:val="NoSpacing"/>
              <w:spacing w:after="240"/>
              <w:jc w:val="right"/>
              <w:rPr>
                <w:rFonts w:asciiTheme="minorBidi" w:hAnsiTheme="minorBidi" w:cstheme="minorBidi"/>
                <w:b/>
                <w:sz w:val="22"/>
                <w:szCs w:val="22"/>
                <w:lang w:val="en-US"/>
              </w:rPr>
            </w:pPr>
            <w:r w:rsidRPr="0073388D">
              <w:rPr>
                <w:rFonts w:asciiTheme="minorBidi" w:hAnsiTheme="minorBidi" w:cstheme="minorBidi"/>
                <w:sz w:val="22"/>
                <w:szCs w:val="22"/>
              </w:rPr>
              <w:t>1.3</w:t>
            </w:r>
          </w:p>
        </w:tc>
        <w:tc>
          <w:tcPr>
            <w:tcW w:w="7513" w:type="dxa"/>
          </w:tcPr>
          <w:p w14:paraId="5BDD94E5" w14:textId="77777777" w:rsidR="00F04BA8" w:rsidRPr="0073388D" w:rsidRDefault="00F04BA8" w:rsidP="004F7D97">
            <w:pPr>
              <w:pStyle w:val="NoSpacing"/>
              <w:spacing w:after="240"/>
              <w:jc w:val="both"/>
              <w:rPr>
                <w:rFonts w:asciiTheme="minorBidi" w:hAnsiTheme="minorBidi" w:cstheme="minorBidi"/>
                <w:b/>
                <w:sz w:val="22"/>
                <w:szCs w:val="22"/>
              </w:rPr>
            </w:pPr>
            <w:r w:rsidRPr="0073388D">
              <w:rPr>
                <w:rFonts w:asciiTheme="minorBidi" w:hAnsiTheme="minorBidi" w:cstheme="minorBidi"/>
                <w:sz w:val="22"/>
                <w:szCs w:val="22"/>
              </w:rPr>
              <w:t>La gestion du Compte spécial est régie par les dispositions ci-après.</w:t>
            </w:r>
          </w:p>
        </w:tc>
      </w:tr>
      <w:tr w:rsidR="00F04BA8" w:rsidRPr="0073388D" w14:paraId="6945BA2F" w14:textId="77777777" w:rsidTr="00A615C3">
        <w:tc>
          <w:tcPr>
            <w:tcW w:w="1843" w:type="dxa"/>
          </w:tcPr>
          <w:p w14:paraId="1E1D9F99" w14:textId="77777777" w:rsidR="00F04BA8" w:rsidRPr="0073388D" w:rsidRDefault="00F04BA8" w:rsidP="00995C66">
            <w:pPr>
              <w:pStyle w:val="NoSpacing"/>
              <w:spacing w:before="240" w:after="240"/>
              <w:jc w:val="right"/>
              <w:rPr>
                <w:rFonts w:asciiTheme="minorBidi" w:hAnsiTheme="minorBidi" w:cstheme="minorBidi"/>
                <w:b/>
                <w:sz w:val="22"/>
                <w:szCs w:val="22"/>
                <w:lang w:val="en-US"/>
              </w:rPr>
            </w:pPr>
            <w:r w:rsidRPr="0073388D">
              <w:rPr>
                <w:rFonts w:asciiTheme="minorBidi" w:hAnsiTheme="minorBidi" w:cstheme="minorBidi"/>
                <w:b/>
                <w:bCs/>
                <w:sz w:val="22"/>
                <w:szCs w:val="22"/>
              </w:rPr>
              <w:t>Article 2</w:t>
            </w:r>
          </w:p>
        </w:tc>
        <w:tc>
          <w:tcPr>
            <w:tcW w:w="7513" w:type="dxa"/>
          </w:tcPr>
          <w:p w14:paraId="71807CEE" w14:textId="77777777" w:rsidR="00F04BA8" w:rsidRPr="0073388D" w:rsidRDefault="00F04BA8" w:rsidP="004F7D97">
            <w:pPr>
              <w:pStyle w:val="NoSpacing"/>
              <w:spacing w:before="240"/>
              <w:jc w:val="both"/>
              <w:rPr>
                <w:rFonts w:asciiTheme="minorBidi" w:hAnsiTheme="minorBidi" w:cstheme="minorBidi"/>
                <w:b/>
                <w:sz w:val="22"/>
                <w:szCs w:val="22"/>
                <w:lang w:val="en-US"/>
              </w:rPr>
            </w:pPr>
            <w:r w:rsidRPr="0073388D">
              <w:rPr>
                <w:rFonts w:asciiTheme="minorBidi" w:hAnsiTheme="minorBidi" w:cstheme="minorBidi"/>
                <w:b/>
                <w:sz w:val="22"/>
                <w:szCs w:val="22"/>
              </w:rPr>
              <w:t>Exercice financier</w:t>
            </w:r>
          </w:p>
        </w:tc>
      </w:tr>
      <w:tr w:rsidR="00F04BA8" w:rsidRPr="0073388D" w14:paraId="58EC2A3B" w14:textId="77777777" w:rsidTr="00A615C3">
        <w:tc>
          <w:tcPr>
            <w:tcW w:w="1843" w:type="dxa"/>
          </w:tcPr>
          <w:p w14:paraId="33048381"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2.1</w:t>
            </w:r>
          </w:p>
        </w:tc>
        <w:tc>
          <w:tcPr>
            <w:tcW w:w="7513" w:type="dxa"/>
          </w:tcPr>
          <w:p w14:paraId="4F35AAF4"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 xml:space="preserve">L’exercice financier pour les prévisions budgétaires est de deux années civiles consécutives dont la première est une année paire. </w:t>
            </w:r>
          </w:p>
        </w:tc>
      </w:tr>
      <w:tr w:rsidR="00F04BA8" w:rsidRPr="0073388D" w14:paraId="1FF9CBFF" w14:textId="77777777" w:rsidTr="00A615C3">
        <w:tc>
          <w:tcPr>
            <w:tcW w:w="1843" w:type="dxa"/>
          </w:tcPr>
          <w:p w14:paraId="771D003B"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2.2</w:t>
            </w:r>
          </w:p>
        </w:tc>
        <w:tc>
          <w:tcPr>
            <w:tcW w:w="7513" w:type="dxa"/>
          </w:tcPr>
          <w:p w14:paraId="2E9EDFBB"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L’exercice financier pour la comptabilité est d’une année civile.</w:t>
            </w:r>
          </w:p>
        </w:tc>
      </w:tr>
      <w:tr w:rsidR="00F04BA8" w:rsidRPr="0073388D" w14:paraId="75CC1BD3" w14:textId="77777777" w:rsidTr="00A615C3">
        <w:tc>
          <w:tcPr>
            <w:tcW w:w="1843" w:type="dxa"/>
          </w:tcPr>
          <w:p w14:paraId="4D13BEEB" w14:textId="77777777" w:rsidR="00F04BA8" w:rsidRPr="0073388D" w:rsidRDefault="00F04BA8" w:rsidP="004F7D97">
            <w:pPr>
              <w:pStyle w:val="NoSpacing"/>
              <w:keepNext/>
              <w:spacing w:before="240" w:after="240"/>
              <w:jc w:val="right"/>
              <w:rPr>
                <w:rFonts w:asciiTheme="minorBidi" w:hAnsiTheme="minorBidi" w:cstheme="minorBidi"/>
                <w:b/>
                <w:sz w:val="22"/>
                <w:szCs w:val="22"/>
                <w:lang w:val="en-US"/>
              </w:rPr>
            </w:pPr>
            <w:r w:rsidRPr="0073388D">
              <w:rPr>
                <w:rFonts w:asciiTheme="minorBidi" w:hAnsiTheme="minorBidi" w:cstheme="minorBidi"/>
                <w:b/>
                <w:bCs/>
                <w:sz w:val="22"/>
                <w:szCs w:val="22"/>
              </w:rPr>
              <w:t>Article 3</w:t>
            </w:r>
          </w:p>
        </w:tc>
        <w:tc>
          <w:tcPr>
            <w:tcW w:w="7513" w:type="dxa"/>
          </w:tcPr>
          <w:p w14:paraId="09900994" w14:textId="77777777" w:rsidR="00F04BA8" w:rsidRPr="0073388D" w:rsidRDefault="00F04BA8" w:rsidP="004F7D97">
            <w:pPr>
              <w:pStyle w:val="NoSpacing"/>
              <w:keepNext/>
              <w:spacing w:before="240" w:after="240"/>
              <w:jc w:val="both"/>
              <w:rPr>
                <w:rFonts w:asciiTheme="minorBidi" w:hAnsiTheme="minorBidi" w:cstheme="minorBidi"/>
                <w:b/>
                <w:sz w:val="22"/>
                <w:szCs w:val="22"/>
                <w:lang w:val="en-US"/>
              </w:rPr>
            </w:pPr>
            <w:r w:rsidRPr="0073388D">
              <w:rPr>
                <w:rFonts w:asciiTheme="minorBidi" w:hAnsiTheme="minorBidi" w:cstheme="minorBidi"/>
                <w:b/>
                <w:sz w:val="22"/>
                <w:szCs w:val="22"/>
                <w:lang w:val="en-US"/>
              </w:rPr>
              <w:t>Objectif</w:t>
            </w:r>
          </w:p>
        </w:tc>
      </w:tr>
      <w:tr w:rsidR="00F04BA8" w:rsidRPr="0073388D" w14:paraId="43B7BE7F" w14:textId="77777777" w:rsidTr="00A615C3">
        <w:tc>
          <w:tcPr>
            <w:tcW w:w="1843" w:type="dxa"/>
          </w:tcPr>
          <w:p w14:paraId="32545C2C" w14:textId="77777777" w:rsidR="00F04BA8" w:rsidRPr="0073388D" w:rsidRDefault="00F04BA8" w:rsidP="00995C66">
            <w:pPr>
              <w:pStyle w:val="NoSpacing"/>
              <w:spacing w:after="240"/>
              <w:jc w:val="right"/>
              <w:rPr>
                <w:rFonts w:asciiTheme="minorBidi" w:hAnsiTheme="minorBidi" w:cstheme="minorBidi"/>
                <w:b/>
                <w:sz w:val="22"/>
                <w:szCs w:val="22"/>
                <w:lang w:val="en-US"/>
              </w:rPr>
            </w:pPr>
          </w:p>
        </w:tc>
        <w:tc>
          <w:tcPr>
            <w:tcW w:w="7513" w:type="dxa"/>
          </w:tcPr>
          <w:p w14:paraId="6960DAD3" w14:textId="77777777" w:rsidR="00F04BA8" w:rsidRPr="0073388D" w:rsidRDefault="00F04BA8" w:rsidP="004F7D97">
            <w:pPr>
              <w:pStyle w:val="NoSpacing"/>
              <w:spacing w:after="240"/>
              <w:jc w:val="both"/>
              <w:rPr>
                <w:rFonts w:asciiTheme="minorBidi" w:hAnsiTheme="minorBidi" w:cstheme="minorBidi"/>
                <w:b/>
                <w:sz w:val="22"/>
                <w:szCs w:val="22"/>
              </w:rPr>
            </w:pPr>
            <w:r w:rsidRPr="0073388D">
              <w:rPr>
                <w:rFonts w:asciiTheme="minorBidi" w:hAnsiTheme="minorBidi" w:cstheme="minorBidi"/>
                <w:sz w:val="22"/>
                <w:szCs w:val="22"/>
              </w:rPr>
              <w:t>Conformément à l’article 25 de la Convention, le présent Compte spécial a pour objet de recevoir des contributions émanant de sources telles que mentionnées dans l’article 5.1 ci-après et de réaliser des paiements, en vue de contribuer à la sauvegarde du patrimoine culturel immatériel conformément aux dispositions de la Convention et au présent Règlement.</w:t>
            </w:r>
          </w:p>
        </w:tc>
      </w:tr>
      <w:tr w:rsidR="00F04BA8" w:rsidRPr="0073388D" w14:paraId="0467A634" w14:textId="77777777" w:rsidTr="00A615C3">
        <w:tc>
          <w:tcPr>
            <w:tcW w:w="1843" w:type="dxa"/>
          </w:tcPr>
          <w:p w14:paraId="7B13F2E9" w14:textId="77777777" w:rsidR="00F04BA8" w:rsidRPr="0073388D" w:rsidRDefault="00F04BA8" w:rsidP="00995C66">
            <w:pPr>
              <w:pStyle w:val="NoSpacing"/>
              <w:spacing w:before="240" w:after="240"/>
              <w:jc w:val="right"/>
              <w:rPr>
                <w:rFonts w:asciiTheme="minorBidi" w:hAnsiTheme="minorBidi" w:cstheme="minorBidi"/>
                <w:b/>
                <w:bCs/>
                <w:sz w:val="22"/>
                <w:szCs w:val="22"/>
                <w:lang w:val="en-US"/>
              </w:rPr>
            </w:pPr>
            <w:r w:rsidRPr="0073388D">
              <w:rPr>
                <w:rFonts w:asciiTheme="minorBidi" w:hAnsiTheme="minorBidi" w:cstheme="minorBidi"/>
                <w:b/>
                <w:bCs/>
                <w:sz w:val="22"/>
                <w:szCs w:val="22"/>
              </w:rPr>
              <w:t>Article 4</w:t>
            </w:r>
          </w:p>
        </w:tc>
        <w:tc>
          <w:tcPr>
            <w:tcW w:w="7513" w:type="dxa"/>
          </w:tcPr>
          <w:p w14:paraId="475AE09C" w14:textId="77777777" w:rsidR="00F04BA8" w:rsidRPr="0073388D" w:rsidRDefault="00F04BA8" w:rsidP="004F7D97">
            <w:pPr>
              <w:pStyle w:val="NoSpacing"/>
              <w:spacing w:before="240" w:after="240"/>
              <w:jc w:val="both"/>
              <w:rPr>
                <w:rFonts w:asciiTheme="minorBidi" w:hAnsiTheme="minorBidi" w:cstheme="minorBidi"/>
                <w:b/>
                <w:sz w:val="22"/>
                <w:szCs w:val="22"/>
                <w:lang w:val="en-US"/>
              </w:rPr>
            </w:pPr>
            <w:r w:rsidRPr="0073388D">
              <w:rPr>
                <w:rFonts w:asciiTheme="minorBidi" w:hAnsiTheme="minorBidi" w:cstheme="minorBidi"/>
                <w:b/>
                <w:bCs/>
                <w:sz w:val="22"/>
                <w:szCs w:val="22"/>
              </w:rPr>
              <w:t>Gouvernance</w:t>
            </w:r>
          </w:p>
        </w:tc>
      </w:tr>
      <w:tr w:rsidR="00F04BA8" w:rsidRPr="0073388D" w14:paraId="292BA73C" w14:textId="77777777" w:rsidTr="00A615C3">
        <w:tc>
          <w:tcPr>
            <w:tcW w:w="1843" w:type="dxa"/>
          </w:tcPr>
          <w:p w14:paraId="175FD117" w14:textId="77777777" w:rsidR="00F04BA8" w:rsidRPr="0073388D" w:rsidRDefault="00F04BA8" w:rsidP="00995C66">
            <w:pPr>
              <w:pStyle w:val="NoSpacing"/>
              <w:spacing w:after="240"/>
              <w:jc w:val="right"/>
              <w:rPr>
                <w:rFonts w:asciiTheme="minorBidi" w:hAnsiTheme="minorBidi" w:cstheme="minorBidi"/>
                <w:sz w:val="22"/>
                <w:szCs w:val="22"/>
              </w:rPr>
            </w:pPr>
            <w:r w:rsidRPr="0073388D">
              <w:rPr>
                <w:rFonts w:asciiTheme="minorBidi" w:hAnsiTheme="minorBidi" w:cstheme="minorBidi"/>
                <w:sz w:val="22"/>
                <w:szCs w:val="22"/>
              </w:rPr>
              <w:t xml:space="preserve">4.1 </w:t>
            </w:r>
          </w:p>
          <w:p w14:paraId="51E51BAC" w14:textId="77777777" w:rsidR="00F04BA8" w:rsidRPr="0073388D" w:rsidRDefault="00F04BA8" w:rsidP="00995C66">
            <w:pPr>
              <w:rPr>
                <w:rFonts w:asciiTheme="minorBidi" w:hAnsiTheme="minorBidi" w:cstheme="minorBidi"/>
                <w:sz w:val="22"/>
                <w:szCs w:val="22"/>
                <w:lang w:val="en-US"/>
              </w:rPr>
            </w:pPr>
          </w:p>
          <w:p w14:paraId="5D6377CA" w14:textId="77777777" w:rsidR="00F04BA8" w:rsidRPr="0073388D" w:rsidRDefault="00F04BA8" w:rsidP="00995C66">
            <w:pPr>
              <w:rPr>
                <w:rFonts w:asciiTheme="minorBidi" w:eastAsiaTheme="minorHAnsi" w:hAnsiTheme="minorBidi" w:cstheme="minorBidi"/>
                <w:sz w:val="22"/>
                <w:szCs w:val="22"/>
                <w:lang w:eastAsia="en-US"/>
              </w:rPr>
            </w:pPr>
          </w:p>
          <w:p w14:paraId="4BF76636"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lang w:val="en-US"/>
              </w:rPr>
              <w:tab/>
            </w:r>
            <w:r w:rsidRPr="0073388D">
              <w:rPr>
                <w:rFonts w:asciiTheme="minorBidi" w:hAnsiTheme="minorBidi" w:cstheme="minorBidi"/>
                <w:sz w:val="22"/>
                <w:szCs w:val="22"/>
              </w:rPr>
              <w:t>4.2</w:t>
            </w:r>
          </w:p>
        </w:tc>
        <w:tc>
          <w:tcPr>
            <w:tcW w:w="7513" w:type="dxa"/>
          </w:tcPr>
          <w:p w14:paraId="6D18F9AF"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L’Assemblée générale des États parties (ci-après dénommée « l’Assemblée générale ») a pouvoir de décider de l’allocation des ressources dans le cadre de ce Compte spécial.</w:t>
            </w:r>
          </w:p>
          <w:p w14:paraId="722FA722"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Conformément à l’article 7 de la Convention, le Comité intergouvernemental de sauvegarde du patrimoine culturel immatériel (ci-après « le Comité ») prépare et soumet à l’approbation de l’Assemblée générale un projet d’utilisation des ressources du Fond, conformément à l’article 25 de la Convention.</w:t>
            </w:r>
          </w:p>
        </w:tc>
      </w:tr>
      <w:tr w:rsidR="00F04BA8" w:rsidRPr="0073388D" w14:paraId="3A70FA9F" w14:textId="77777777" w:rsidTr="00A615C3">
        <w:tc>
          <w:tcPr>
            <w:tcW w:w="1843" w:type="dxa"/>
          </w:tcPr>
          <w:p w14:paraId="0ABB6139"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4.3</w:t>
            </w:r>
          </w:p>
        </w:tc>
        <w:tc>
          <w:tcPr>
            <w:tcW w:w="7513" w:type="dxa"/>
          </w:tcPr>
          <w:p w14:paraId="518D7291"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Le/la Directeur/Directrice général(e) gère et administre les fonds du Compte spécial conformément au texte de la Convention, aux Directives opérationnelles, aux décisions approuvées par l’Assemblée générale et le Comité, et au présent Règlement financier.</w:t>
            </w:r>
          </w:p>
        </w:tc>
      </w:tr>
      <w:tr w:rsidR="00F04BA8" w:rsidRPr="0073388D" w14:paraId="0C8509A3" w14:textId="77777777" w:rsidTr="00A615C3">
        <w:tc>
          <w:tcPr>
            <w:tcW w:w="1843" w:type="dxa"/>
          </w:tcPr>
          <w:p w14:paraId="1B4B665A"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4.4</w:t>
            </w:r>
          </w:p>
        </w:tc>
        <w:tc>
          <w:tcPr>
            <w:tcW w:w="7513" w:type="dxa"/>
          </w:tcPr>
          <w:p w14:paraId="36A25433" w14:textId="77777777" w:rsidR="00F04BA8" w:rsidRPr="0073388D" w:rsidRDefault="00F04BA8" w:rsidP="004F7D97">
            <w:pPr>
              <w:spacing w:after="120"/>
              <w:ind w:left="-1" w:firstLine="2"/>
              <w:jc w:val="both"/>
              <w:rPr>
                <w:rFonts w:asciiTheme="minorBidi" w:hAnsiTheme="minorBidi" w:cstheme="minorBidi"/>
                <w:sz w:val="22"/>
                <w:szCs w:val="22"/>
                <w:lang w:eastAsia="en-GB"/>
              </w:rPr>
            </w:pPr>
            <w:r w:rsidRPr="0073388D">
              <w:rPr>
                <w:rFonts w:asciiTheme="minorBidi" w:hAnsiTheme="minorBidi" w:cstheme="minorBidi"/>
                <w:sz w:val="22"/>
                <w:szCs w:val="22"/>
              </w:rPr>
              <w:t>Le/la Directeur/Directrice général(e) soumet tous les deux ans à l’Assemblée générale et au Comité les rapports narratifs et financiers comme indiqué à l’article 10 ci-après.</w:t>
            </w:r>
          </w:p>
        </w:tc>
      </w:tr>
      <w:tr w:rsidR="00F04BA8" w:rsidRPr="0073388D" w14:paraId="1A041B1B" w14:textId="77777777" w:rsidTr="00A615C3">
        <w:tc>
          <w:tcPr>
            <w:tcW w:w="1843" w:type="dxa"/>
          </w:tcPr>
          <w:p w14:paraId="66CF7546" w14:textId="77777777" w:rsidR="00F04BA8" w:rsidRPr="0073388D" w:rsidRDefault="00F04BA8" w:rsidP="00995C66">
            <w:pPr>
              <w:pStyle w:val="NoSpacing"/>
              <w:spacing w:before="240" w:after="240"/>
              <w:jc w:val="right"/>
              <w:rPr>
                <w:rFonts w:asciiTheme="minorBidi" w:hAnsiTheme="minorBidi" w:cstheme="minorBidi"/>
                <w:b/>
                <w:bCs/>
                <w:sz w:val="22"/>
                <w:szCs w:val="22"/>
                <w:lang w:val="en-US"/>
              </w:rPr>
            </w:pPr>
            <w:r w:rsidRPr="0073388D">
              <w:rPr>
                <w:rFonts w:asciiTheme="minorBidi" w:hAnsiTheme="minorBidi" w:cstheme="minorBidi"/>
                <w:b/>
                <w:bCs/>
                <w:sz w:val="22"/>
                <w:szCs w:val="22"/>
              </w:rPr>
              <w:t>Article 5</w:t>
            </w:r>
          </w:p>
        </w:tc>
        <w:tc>
          <w:tcPr>
            <w:tcW w:w="7513" w:type="dxa"/>
          </w:tcPr>
          <w:p w14:paraId="3FD2EE13" w14:textId="77777777" w:rsidR="00F04BA8" w:rsidRPr="0073388D" w:rsidRDefault="00F04BA8" w:rsidP="004F7D97">
            <w:pPr>
              <w:pStyle w:val="NoSpacing"/>
              <w:spacing w:before="240" w:after="240"/>
              <w:jc w:val="both"/>
              <w:rPr>
                <w:rFonts w:asciiTheme="minorBidi" w:hAnsiTheme="minorBidi" w:cstheme="minorBidi"/>
                <w:b/>
                <w:sz w:val="22"/>
                <w:szCs w:val="22"/>
                <w:lang w:val="en-US"/>
              </w:rPr>
            </w:pPr>
            <w:r w:rsidRPr="0073388D">
              <w:rPr>
                <w:rFonts w:asciiTheme="minorBidi" w:hAnsiTheme="minorBidi" w:cstheme="minorBidi"/>
                <w:b/>
                <w:sz w:val="22"/>
                <w:szCs w:val="22"/>
              </w:rPr>
              <w:t>Recettes</w:t>
            </w:r>
          </w:p>
        </w:tc>
      </w:tr>
      <w:tr w:rsidR="00F04BA8" w:rsidRPr="0073388D" w14:paraId="54C1BA30" w14:textId="77777777" w:rsidTr="00A615C3">
        <w:tc>
          <w:tcPr>
            <w:tcW w:w="1843" w:type="dxa"/>
          </w:tcPr>
          <w:p w14:paraId="2A90AA3C"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 xml:space="preserve">5.1 </w:t>
            </w:r>
          </w:p>
        </w:tc>
        <w:tc>
          <w:tcPr>
            <w:tcW w:w="7513" w:type="dxa"/>
          </w:tcPr>
          <w:p w14:paraId="0ADF87F5" w14:textId="77777777" w:rsidR="00F04BA8" w:rsidRPr="0073388D" w:rsidRDefault="00F04BA8" w:rsidP="004F7D97">
            <w:pPr>
              <w:spacing w:after="120"/>
              <w:jc w:val="both"/>
              <w:rPr>
                <w:rFonts w:asciiTheme="minorBidi" w:hAnsiTheme="minorBidi" w:cstheme="minorBidi"/>
                <w:sz w:val="22"/>
                <w:szCs w:val="22"/>
              </w:rPr>
            </w:pPr>
            <w:r w:rsidRPr="0073388D">
              <w:rPr>
                <w:rFonts w:asciiTheme="minorBidi" w:hAnsiTheme="minorBidi" w:cstheme="minorBidi"/>
                <w:sz w:val="22"/>
                <w:szCs w:val="22"/>
              </w:rPr>
              <w:t>Comme le prévoit l’article 25.3 de la Convention, les recettes du Compte spécial sont constituées par :</w:t>
            </w:r>
          </w:p>
          <w:p w14:paraId="3C6F7268" w14:textId="77777777" w:rsidR="00F04BA8" w:rsidRPr="0073388D" w:rsidRDefault="00F04BA8" w:rsidP="004F7D97">
            <w:pPr>
              <w:pStyle w:val="ListParagraph"/>
              <w:numPr>
                <w:ilvl w:val="0"/>
                <w:numId w:val="10"/>
              </w:numPr>
              <w:tabs>
                <w:tab w:val="left" w:pos="567"/>
              </w:tabs>
              <w:suppressAutoHyphens/>
              <w:snapToGrid w:val="0"/>
              <w:spacing w:after="60"/>
              <w:ind w:left="321"/>
              <w:contextualSpacing w:val="0"/>
              <w:jc w:val="both"/>
              <w:rPr>
                <w:rFonts w:asciiTheme="minorBidi" w:hAnsiTheme="minorBidi" w:cstheme="minorBidi"/>
                <w:iCs/>
                <w:spacing w:val="-3"/>
                <w:sz w:val="22"/>
                <w:szCs w:val="22"/>
              </w:rPr>
            </w:pPr>
            <w:r w:rsidRPr="0073388D">
              <w:rPr>
                <w:rFonts w:asciiTheme="minorBidi" w:hAnsiTheme="minorBidi" w:cstheme="minorBidi"/>
                <w:iCs/>
                <w:sz w:val="22"/>
                <w:szCs w:val="22"/>
              </w:rPr>
              <w:t>les contributions des États parties ;</w:t>
            </w:r>
          </w:p>
          <w:p w14:paraId="1A84E6A9" w14:textId="77777777" w:rsidR="00F04BA8" w:rsidRPr="0073388D" w:rsidRDefault="00F04BA8" w:rsidP="004F7D97">
            <w:pPr>
              <w:pStyle w:val="ListParagraph"/>
              <w:numPr>
                <w:ilvl w:val="0"/>
                <w:numId w:val="10"/>
              </w:numPr>
              <w:tabs>
                <w:tab w:val="left" w:pos="567"/>
              </w:tabs>
              <w:suppressAutoHyphens/>
              <w:snapToGrid w:val="0"/>
              <w:spacing w:after="60"/>
              <w:ind w:left="321"/>
              <w:contextualSpacing w:val="0"/>
              <w:jc w:val="both"/>
              <w:rPr>
                <w:rFonts w:asciiTheme="minorBidi" w:hAnsiTheme="minorBidi" w:cstheme="minorBidi"/>
                <w:iCs/>
                <w:spacing w:val="-3"/>
                <w:sz w:val="22"/>
                <w:szCs w:val="22"/>
              </w:rPr>
            </w:pPr>
            <w:r w:rsidRPr="0073388D">
              <w:rPr>
                <w:rFonts w:asciiTheme="minorBidi" w:hAnsiTheme="minorBidi" w:cstheme="minorBidi"/>
                <w:iCs/>
                <w:sz w:val="22"/>
                <w:szCs w:val="22"/>
              </w:rPr>
              <w:t>les fonds alloués à cette fin par la Conférence générale de l’UNESCO ;</w:t>
            </w:r>
          </w:p>
          <w:p w14:paraId="7791A3EE" w14:textId="77777777" w:rsidR="00F04BA8" w:rsidRPr="0073388D" w:rsidRDefault="00F04BA8" w:rsidP="004F7D97">
            <w:pPr>
              <w:pStyle w:val="ListParagraph"/>
              <w:numPr>
                <w:ilvl w:val="0"/>
                <w:numId w:val="10"/>
              </w:numPr>
              <w:tabs>
                <w:tab w:val="left" w:pos="567"/>
              </w:tabs>
              <w:suppressAutoHyphens/>
              <w:snapToGrid w:val="0"/>
              <w:spacing w:after="60"/>
              <w:ind w:left="321"/>
              <w:contextualSpacing w:val="0"/>
              <w:jc w:val="both"/>
              <w:rPr>
                <w:rFonts w:asciiTheme="minorBidi" w:hAnsiTheme="minorBidi" w:cstheme="minorBidi"/>
                <w:iCs/>
                <w:spacing w:val="-3"/>
                <w:sz w:val="22"/>
                <w:szCs w:val="22"/>
              </w:rPr>
            </w:pPr>
            <w:r w:rsidRPr="0073388D">
              <w:rPr>
                <w:rFonts w:asciiTheme="minorBidi" w:hAnsiTheme="minorBidi" w:cstheme="minorBidi"/>
                <w:iCs/>
                <w:sz w:val="22"/>
                <w:szCs w:val="22"/>
              </w:rPr>
              <w:t>les versements, dons ou legs que pourront faire :</w:t>
            </w:r>
          </w:p>
          <w:p w14:paraId="294AC6B1" w14:textId="77777777" w:rsidR="00F04BA8" w:rsidRPr="0073388D" w:rsidRDefault="00F04BA8" w:rsidP="004F7D97">
            <w:pPr>
              <w:pStyle w:val="ListParagraph"/>
              <w:numPr>
                <w:ilvl w:val="0"/>
                <w:numId w:val="11"/>
              </w:numPr>
              <w:tabs>
                <w:tab w:val="left" w:pos="746"/>
              </w:tabs>
              <w:snapToGrid w:val="0"/>
              <w:spacing w:after="60"/>
              <w:contextualSpacing w:val="0"/>
              <w:jc w:val="both"/>
              <w:rPr>
                <w:rFonts w:asciiTheme="minorBidi" w:hAnsiTheme="minorBidi" w:cstheme="minorBidi"/>
                <w:sz w:val="22"/>
                <w:szCs w:val="22"/>
              </w:rPr>
            </w:pPr>
            <w:r w:rsidRPr="0073388D">
              <w:rPr>
                <w:rFonts w:asciiTheme="minorBidi" w:hAnsiTheme="minorBidi" w:cstheme="minorBidi"/>
                <w:sz w:val="22"/>
                <w:szCs w:val="22"/>
              </w:rPr>
              <w:t xml:space="preserve">d’autres États ; </w:t>
            </w:r>
          </w:p>
          <w:p w14:paraId="34B53710" w14:textId="77777777" w:rsidR="00F04BA8" w:rsidRPr="0073388D" w:rsidRDefault="00F04BA8" w:rsidP="004F7D97">
            <w:pPr>
              <w:pStyle w:val="ListParagraph"/>
              <w:numPr>
                <w:ilvl w:val="0"/>
                <w:numId w:val="11"/>
              </w:numPr>
              <w:tabs>
                <w:tab w:val="left" w:pos="746"/>
              </w:tabs>
              <w:snapToGrid w:val="0"/>
              <w:spacing w:after="60"/>
              <w:ind w:left="746" w:hanging="425"/>
              <w:contextualSpacing w:val="0"/>
              <w:jc w:val="both"/>
              <w:rPr>
                <w:rFonts w:asciiTheme="minorBidi" w:hAnsiTheme="minorBidi" w:cstheme="minorBidi"/>
                <w:sz w:val="22"/>
                <w:szCs w:val="22"/>
              </w:rPr>
            </w:pPr>
            <w:r w:rsidRPr="0073388D">
              <w:rPr>
                <w:rFonts w:asciiTheme="minorBidi" w:hAnsiTheme="minorBidi" w:cstheme="minorBidi"/>
                <w:sz w:val="22"/>
                <w:szCs w:val="22"/>
              </w:rPr>
              <w:t>les organisations et programmes du système des Nations Unies, notamment le Programme des Nations Unies pour le développement, ainsi que d’autres organisations internationales ;</w:t>
            </w:r>
          </w:p>
          <w:p w14:paraId="270E3496" w14:textId="77777777" w:rsidR="00F04BA8" w:rsidRPr="0073388D" w:rsidRDefault="00F04BA8" w:rsidP="004F7D97">
            <w:pPr>
              <w:pStyle w:val="ListParagraph"/>
              <w:numPr>
                <w:ilvl w:val="0"/>
                <w:numId w:val="11"/>
              </w:numPr>
              <w:tabs>
                <w:tab w:val="left" w:pos="746"/>
              </w:tabs>
              <w:snapToGrid w:val="0"/>
              <w:spacing w:after="60"/>
              <w:ind w:left="746" w:hanging="425"/>
              <w:contextualSpacing w:val="0"/>
              <w:jc w:val="both"/>
              <w:rPr>
                <w:rFonts w:asciiTheme="minorBidi" w:hAnsiTheme="minorBidi" w:cstheme="minorBidi"/>
                <w:sz w:val="22"/>
                <w:szCs w:val="22"/>
              </w:rPr>
            </w:pPr>
            <w:r w:rsidRPr="0073388D">
              <w:rPr>
                <w:rFonts w:asciiTheme="minorBidi" w:hAnsiTheme="minorBidi" w:cstheme="minorBidi"/>
                <w:sz w:val="22"/>
                <w:szCs w:val="22"/>
              </w:rPr>
              <w:t>des organismes publics ou privés ou des personnes privées ;</w:t>
            </w:r>
          </w:p>
          <w:p w14:paraId="670414D0" w14:textId="77777777" w:rsidR="00F04BA8" w:rsidRPr="0073388D" w:rsidRDefault="00F04BA8" w:rsidP="004F7D97">
            <w:pPr>
              <w:pStyle w:val="ListParagraph"/>
              <w:numPr>
                <w:ilvl w:val="0"/>
                <w:numId w:val="10"/>
              </w:numPr>
              <w:tabs>
                <w:tab w:val="left" w:pos="567"/>
              </w:tabs>
              <w:suppressAutoHyphens/>
              <w:snapToGrid w:val="0"/>
              <w:spacing w:after="60"/>
              <w:ind w:left="321"/>
              <w:contextualSpacing w:val="0"/>
              <w:jc w:val="both"/>
              <w:rPr>
                <w:rFonts w:asciiTheme="minorBidi" w:hAnsiTheme="minorBidi" w:cstheme="minorBidi"/>
                <w:iCs/>
                <w:spacing w:val="-3"/>
                <w:sz w:val="22"/>
                <w:szCs w:val="22"/>
              </w:rPr>
            </w:pPr>
            <w:r w:rsidRPr="0073388D">
              <w:rPr>
                <w:rFonts w:asciiTheme="minorBidi" w:hAnsiTheme="minorBidi" w:cstheme="minorBidi"/>
                <w:iCs/>
                <w:sz w:val="22"/>
                <w:szCs w:val="22"/>
              </w:rPr>
              <w:t>tout intérêt dû sur les ressources du Compte spécial ;</w:t>
            </w:r>
          </w:p>
          <w:p w14:paraId="229F63DA" w14:textId="77777777" w:rsidR="00F04BA8" w:rsidRPr="0073388D" w:rsidRDefault="00F04BA8" w:rsidP="004F7D97">
            <w:pPr>
              <w:pStyle w:val="ListParagraph"/>
              <w:numPr>
                <w:ilvl w:val="0"/>
                <w:numId w:val="10"/>
              </w:numPr>
              <w:tabs>
                <w:tab w:val="left" w:pos="567"/>
              </w:tabs>
              <w:suppressAutoHyphens/>
              <w:snapToGrid w:val="0"/>
              <w:spacing w:after="60"/>
              <w:ind w:left="321"/>
              <w:contextualSpacing w:val="0"/>
              <w:jc w:val="both"/>
              <w:rPr>
                <w:rFonts w:asciiTheme="minorBidi" w:hAnsiTheme="minorBidi" w:cstheme="minorBidi"/>
                <w:iCs/>
                <w:spacing w:val="-3"/>
                <w:sz w:val="22"/>
                <w:szCs w:val="22"/>
              </w:rPr>
            </w:pPr>
            <w:r w:rsidRPr="0073388D">
              <w:rPr>
                <w:rFonts w:asciiTheme="minorBidi" w:hAnsiTheme="minorBidi" w:cstheme="minorBidi"/>
                <w:iCs/>
                <w:sz w:val="22"/>
                <w:szCs w:val="22"/>
              </w:rPr>
              <w:t>le produit des collectes et les recettes des manifestations organisées au profit du Compte spécial ;</w:t>
            </w:r>
          </w:p>
          <w:p w14:paraId="57C67870" w14:textId="77777777" w:rsidR="00F04BA8" w:rsidRPr="0073388D" w:rsidRDefault="00F04BA8" w:rsidP="004F7D97">
            <w:pPr>
              <w:pStyle w:val="ListParagraph"/>
              <w:numPr>
                <w:ilvl w:val="0"/>
                <w:numId w:val="10"/>
              </w:numPr>
              <w:tabs>
                <w:tab w:val="left" w:pos="567"/>
              </w:tabs>
              <w:suppressAutoHyphens/>
              <w:snapToGrid w:val="0"/>
              <w:spacing w:after="60"/>
              <w:ind w:left="321"/>
              <w:contextualSpacing w:val="0"/>
              <w:jc w:val="both"/>
              <w:rPr>
                <w:rFonts w:asciiTheme="minorBidi" w:hAnsiTheme="minorBidi" w:cstheme="minorBidi"/>
                <w:iCs/>
                <w:spacing w:val="-3"/>
                <w:sz w:val="22"/>
                <w:szCs w:val="22"/>
              </w:rPr>
            </w:pPr>
            <w:r w:rsidRPr="0073388D">
              <w:rPr>
                <w:rFonts w:asciiTheme="minorBidi" w:hAnsiTheme="minorBidi" w:cstheme="minorBidi"/>
                <w:iCs/>
                <w:sz w:val="22"/>
                <w:szCs w:val="22"/>
              </w:rPr>
              <w:t>toutes autres ressources autorisées par le Comité.</w:t>
            </w:r>
          </w:p>
          <w:p w14:paraId="74073D25" w14:textId="77777777" w:rsidR="00F04BA8" w:rsidRPr="0073388D" w:rsidRDefault="00F04BA8" w:rsidP="004F7D97">
            <w:pPr>
              <w:pStyle w:val="ListParagraph"/>
              <w:tabs>
                <w:tab w:val="left" w:pos="567"/>
              </w:tabs>
              <w:suppressAutoHyphens/>
              <w:snapToGrid w:val="0"/>
              <w:spacing w:after="60"/>
              <w:ind w:left="321"/>
              <w:contextualSpacing w:val="0"/>
              <w:jc w:val="both"/>
              <w:rPr>
                <w:rFonts w:asciiTheme="minorBidi" w:hAnsiTheme="minorBidi" w:cstheme="minorBidi"/>
                <w:iCs/>
                <w:spacing w:val="-3"/>
                <w:sz w:val="22"/>
                <w:szCs w:val="22"/>
              </w:rPr>
            </w:pPr>
          </w:p>
        </w:tc>
      </w:tr>
      <w:tr w:rsidR="00F04BA8" w:rsidRPr="0073388D" w14:paraId="556B43B8" w14:textId="77777777" w:rsidTr="00A615C3">
        <w:tc>
          <w:tcPr>
            <w:tcW w:w="1843" w:type="dxa"/>
          </w:tcPr>
          <w:p w14:paraId="2710A61F"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5.2</w:t>
            </w:r>
          </w:p>
        </w:tc>
        <w:tc>
          <w:tcPr>
            <w:tcW w:w="7513" w:type="dxa"/>
          </w:tcPr>
          <w:p w14:paraId="44C1AF34" w14:textId="5EFB9880"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Comme le prévoit l’article 26.1 de la Convention, les contributions des États parties n’ayant pas procédé à la déclaration visée à l’article 26.2 de la Convention doivent être versées conformément au pourcentage uniforme déterminé par l’Assemblée générale.</w:t>
            </w:r>
          </w:p>
        </w:tc>
      </w:tr>
      <w:tr w:rsidR="00F04BA8" w:rsidRPr="0073388D" w14:paraId="07A28AB3" w14:textId="77777777" w:rsidTr="00A615C3">
        <w:tc>
          <w:tcPr>
            <w:tcW w:w="1843" w:type="dxa"/>
          </w:tcPr>
          <w:p w14:paraId="0F11BDEB" w14:textId="77777777" w:rsidR="00F04BA8" w:rsidRPr="0073388D" w:rsidRDefault="00F04BA8" w:rsidP="00573CE4">
            <w:pPr>
              <w:pStyle w:val="NoSpacing"/>
              <w:keepNext/>
              <w:spacing w:before="240" w:after="240"/>
              <w:jc w:val="right"/>
              <w:rPr>
                <w:rFonts w:asciiTheme="minorBidi" w:hAnsiTheme="minorBidi" w:cstheme="minorBidi"/>
                <w:b/>
                <w:bCs/>
                <w:sz w:val="22"/>
                <w:szCs w:val="22"/>
                <w:lang w:val="en-US"/>
              </w:rPr>
            </w:pPr>
            <w:r w:rsidRPr="0073388D">
              <w:rPr>
                <w:rFonts w:asciiTheme="minorBidi" w:hAnsiTheme="minorBidi" w:cstheme="minorBidi"/>
                <w:b/>
                <w:bCs/>
                <w:sz w:val="22"/>
                <w:szCs w:val="22"/>
              </w:rPr>
              <w:t>Article 6</w:t>
            </w:r>
          </w:p>
        </w:tc>
        <w:tc>
          <w:tcPr>
            <w:tcW w:w="7513" w:type="dxa"/>
          </w:tcPr>
          <w:p w14:paraId="36AF8C34" w14:textId="77777777" w:rsidR="00F04BA8" w:rsidRPr="0073388D" w:rsidRDefault="00F04BA8" w:rsidP="004F7D97">
            <w:pPr>
              <w:pStyle w:val="NoSpacing"/>
              <w:keepNext/>
              <w:spacing w:before="240" w:after="240"/>
              <w:jc w:val="both"/>
              <w:rPr>
                <w:rFonts w:asciiTheme="minorBidi" w:hAnsiTheme="minorBidi" w:cstheme="minorBidi"/>
                <w:b/>
                <w:sz w:val="22"/>
                <w:szCs w:val="22"/>
                <w:lang w:val="en-US"/>
              </w:rPr>
            </w:pPr>
            <w:r w:rsidRPr="0073388D">
              <w:rPr>
                <w:rFonts w:asciiTheme="minorBidi" w:hAnsiTheme="minorBidi" w:cstheme="minorBidi"/>
                <w:b/>
                <w:sz w:val="22"/>
                <w:szCs w:val="22"/>
              </w:rPr>
              <w:t>Dépenses</w:t>
            </w:r>
          </w:p>
        </w:tc>
      </w:tr>
      <w:tr w:rsidR="00F04BA8" w:rsidRPr="0073388D" w14:paraId="05B2823A" w14:textId="77777777" w:rsidTr="00A615C3">
        <w:tc>
          <w:tcPr>
            <w:tcW w:w="1843" w:type="dxa"/>
          </w:tcPr>
          <w:p w14:paraId="01AFA669"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6.1</w:t>
            </w:r>
          </w:p>
        </w:tc>
        <w:tc>
          <w:tcPr>
            <w:tcW w:w="7513" w:type="dxa"/>
          </w:tcPr>
          <w:p w14:paraId="4A8FB228"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L’utilisation des ressources du Compte spécial est approuvée par l’Assemblée générale tous les deux ans.</w:t>
            </w:r>
          </w:p>
        </w:tc>
      </w:tr>
      <w:tr w:rsidR="00F04BA8" w:rsidRPr="0073388D" w14:paraId="08A95B7D" w14:textId="77777777" w:rsidTr="00A615C3">
        <w:tc>
          <w:tcPr>
            <w:tcW w:w="1843" w:type="dxa"/>
          </w:tcPr>
          <w:p w14:paraId="2C3A9F72"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6.2</w:t>
            </w:r>
          </w:p>
        </w:tc>
        <w:tc>
          <w:tcPr>
            <w:tcW w:w="7513" w:type="dxa"/>
          </w:tcPr>
          <w:p w14:paraId="6003B0FA"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 Compte spécial est débité des dépenses effectuées conformément à l’objet défini à l’article 3 ci-dessus, y compris les dépenses administratives directes s’y rapportant expressément et les coûts de gestion applicables.</w:t>
            </w:r>
          </w:p>
        </w:tc>
      </w:tr>
      <w:tr w:rsidR="00F04BA8" w:rsidRPr="0073388D" w14:paraId="1002AF7F" w14:textId="77777777" w:rsidTr="00A615C3">
        <w:tc>
          <w:tcPr>
            <w:tcW w:w="1843" w:type="dxa"/>
          </w:tcPr>
          <w:p w14:paraId="642776C4"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6.3</w:t>
            </w:r>
          </w:p>
        </w:tc>
        <w:tc>
          <w:tcPr>
            <w:tcW w:w="7513" w:type="dxa"/>
          </w:tcPr>
          <w:p w14:paraId="59042B6C"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Les dépenses sont engagées dans la limite des fonds disponibles.</w:t>
            </w:r>
          </w:p>
        </w:tc>
      </w:tr>
      <w:tr w:rsidR="00F04BA8" w:rsidRPr="0073388D" w14:paraId="6BB5600B" w14:textId="77777777" w:rsidTr="00A615C3">
        <w:tc>
          <w:tcPr>
            <w:tcW w:w="1843" w:type="dxa"/>
          </w:tcPr>
          <w:p w14:paraId="521345C5" w14:textId="77777777" w:rsidR="00F04BA8" w:rsidRPr="0073388D" w:rsidRDefault="00F04BA8" w:rsidP="00995C66">
            <w:pPr>
              <w:pStyle w:val="NoSpacing"/>
              <w:spacing w:before="240" w:after="240"/>
              <w:jc w:val="right"/>
              <w:rPr>
                <w:rFonts w:asciiTheme="minorBidi" w:hAnsiTheme="minorBidi" w:cstheme="minorBidi"/>
                <w:b/>
                <w:sz w:val="22"/>
                <w:szCs w:val="22"/>
                <w:lang w:val="en-US"/>
              </w:rPr>
            </w:pPr>
            <w:r w:rsidRPr="0073388D">
              <w:rPr>
                <w:rFonts w:asciiTheme="minorBidi" w:hAnsiTheme="minorBidi" w:cstheme="minorBidi"/>
                <w:b/>
                <w:sz w:val="22"/>
                <w:szCs w:val="22"/>
              </w:rPr>
              <w:t>Article 7</w:t>
            </w:r>
          </w:p>
        </w:tc>
        <w:tc>
          <w:tcPr>
            <w:tcW w:w="7513" w:type="dxa"/>
          </w:tcPr>
          <w:p w14:paraId="48687DF8" w14:textId="77777777" w:rsidR="00F04BA8" w:rsidRPr="0073388D" w:rsidRDefault="00F04BA8" w:rsidP="004F7D97">
            <w:pPr>
              <w:pStyle w:val="NoSpacing"/>
              <w:spacing w:before="240" w:after="240"/>
              <w:jc w:val="both"/>
              <w:rPr>
                <w:rFonts w:asciiTheme="minorBidi" w:hAnsiTheme="minorBidi" w:cstheme="minorBidi"/>
                <w:b/>
                <w:sz w:val="22"/>
                <w:szCs w:val="22"/>
                <w:lang w:val="en-US"/>
              </w:rPr>
            </w:pPr>
            <w:r w:rsidRPr="0073388D">
              <w:rPr>
                <w:rFonts w:asciiTheme="minorBidi" w:hAnsiTheme="minorBidi" w:cstheme="minorBidi"/>
                <w:b/>
                <w:sz w:val="22"/>
                <w:szCs w:val="22"/>
              </w:rPr>
              <w:t>Fonds de réserve</w:t>
            </w:r>
          </w:p>
        </w:tc>
      </w:tr>
      <w:tr w:rsidR="00F04BA8" w:rsidRPr="0073388D" w14:paraId="738FF121" w14:textId="77777777" w:rsidTr="00A615C3">
        <w:tc>
          <w:tcPr>
            <w:tcW w:w="1843" w:type="dxa"/>
          </w:tcPr>
          <w:p w14:paraId="283274BE" w14:textId="77777777" w:rsidR="00F04BA8" w:rsidRPr="0073388D" w:rsidRDefault="00F04BA8" w:rsidP="00995C66">
            <w:pPr>
              <w:pStyle w:val="NoSpacing"/>
              <w:spacing w:after="240"/>
              <w:jc w:val="right"/>
              <w:rPr>
                <w:rFonts w:asciiTheme="minorBidi" w:hAnsiTheme="minorBidi" w:cstheme="minorBidi"/>
                <w:bCs/>
                <w:sz w:val="22"/>
                <w:szCs w:val="22"/>
                <w:lang w:val="en-US"/>
              </w:rPr>
            </w:pPr>
          </w:p>
        </w:tc>
        <w:tc>
          <w:tcPr>
            <w:tcW w:w="7513" w:type="dxa"/>
          </w:tcPr>
          <w:p w14:paraId="32B5627C" w14:textId="77777777" w:rsidR="00F04BA8" w:rsidRPr="0073388D" w:rsidRDefault="00F04BA8" w:rsidP="004F7D97">
            <w:pPr>
              <w:pStyle w:val="NoSpacing"/>
              <w:spacing w:after="240"/>
              <w:jc w:val="both"/>
              <w:rPr>
                <w:rFonts w:asciiTheme="minorBidi" w:hAnsiTheme="minorBidi" w:cstheme="minorBidi"/>
                <w:b/>
                <w:sz w:val="22"/>
                <w:szCs w:val="22"/>
              </w:rPr>
            </w:pPr>
            <w:r w:rsidRPr="0073388D">
              <w:rPr>
                <w:rFonts w:asciiTheme="minorBidi" w:hAnsiTheme="minorBidi" w:cstheme="minorBidi"/>
                <w:sz w:val="22"/>
                <w:szCs w:val="22"/>
              </w:rPr>
              <w:t>Il sera créé dans le cadre du Compte spécial un fonds de réserve pour répondre aux demandes d’assistance dans les cas d’extrême urgence tels que prévus aux articles 17.3 et 22.2 de la Convention. Le montant de cette réserve sera déterminé par le Comité.</w:t>
            </w:r>
          </w:p>
        </w:tc>
      </w:tr>
      <w:tr w:rsidR="00F04BA8" w:rsidRPr="0073388D" w14:paraId="008B4FB5" w14:textId="77777777" w:rsidTr="00A615C3">
        <w:tc>
          <w:tcPr>
            <w:tcW w:w="1843" w:type="dxa"/>
          </w:tcPr>
          <w:p w14:paraId="74228721" w14:textId="77777777" w:rsidR="00F04BA8" w:rsidRPr="0073388D" w:rsidRDefault="00F04BA8" w:rsidP="00995C66">
            <w:pPr>
              <w:pStyle w:val="NoSpacing"/>
              <w:keepNext/>
              <w:spacing w:before="240" w:after="240"/>
              <w:jc w:val="right"/>
              <w:rPr>
                <w:rFonts w:asciiTheme="minorBidi" w:hAnsiTheme="minorBidi" w:cstheme="minorBidi"/>
                <w:b/>
                <w:bCs/>
                <w:sz w:val="22"/>
                <w:szCs w:val="22"/>
                <w:lang w:val="en-US"/>
              </w:rPr>
            </w:pPr>
            <w:r w:rsidRPr="0073388D">
              <w:rPr>
                <w:rFonts w:asciiTheme="minorBidi" w:hAnsiTheme="minorBidi" w:cstheme="minorBidi"/>
                <w:b/>
                <w:bCs/>
                <w:sz w:val="22"/>
                <w:szCs w:val="22"/>
              </w:rPr>
              <w:t>Article 8</w:t>
            </w:r>
          </w:p>
        </w:tc>
        <w:tc>
          <w:tcPr>
            <w:tcW w:w="7513" w:type="dxa"/>
          </w:tcPr>
          <w:p w14:paraId="6BA6FED6" w14:textId="77777777" w:rsidR="00F04BA8" w:rsidRPr="0073388D" w:rsidRDefault="00F04BA8" w:rsidP="004F7D97">
            <w:pPr>
              <w:pStyle w:val="NoSpacing"/>
              <w:keepNext/>
              <w:spacing w:before="240" w:after="240"/>
              <w:jc w:val="both"/>
              <w:rPr>
                <w:rFonts w:asciiTheme="minorBidi" w:hAnsiTheme="minorBidi" w:cstheme="minorBidi"/>
                <w:b/>
                <w:bCs/>
                <w:sz w:val="22"/>
                <w:szCs w:val="22"/>
                <w:lang w:val="en-US"/>
              </w:rPr>
            </w:pPr>
            <w:r w:rsidRPr="0073388D">
              <w:rPr>
                <w:rFonts w:asciiTheme="minorBidi" w:hAnsiTheme="minorBidi" w:cstheme="minorBidi"/>
                <w:b/>
                <w:bCs/>
                <w:sz w:val="22"/>
                <w:szCs w:val="22"/>
              </w:rPr>
              <w:t>Comptabilité</w:t>
            </w:r>
          </w:p>
        </w:tc>
      </w:tr>
      <w:tr w:rsidR="00F04BA8" w:rsidRPr="0073388D" w14:paraId="0D8D0275" w14:textId="77777777" w:rsidTr="00A615C3">
        <w:tc>
          <w:tcPr>
            <w:tcW w:w="1843" w:type="dxa"/>
          </w:tcPr>
          <w:p w14:paraId="7B7D7EE2"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8.1</w:t>
            </w:r>
          </w:p>
        </w:tc>
        <w:tc>
          <w:tcPr>
            <w:tcW w:w="7513" w:type="dxa"/>
          </w:tcPr>
          <w:p w14:paraId="1879A3C9"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Des comptes subsidiaires peuvent être établis par l’Assemblée générale et le Comité.</w:t>
            </w:r>
          </w:p>
        </w:tc>
      </w:tr>
      <w:tr w:rsidR="00F04BA8" w:rsidRPr="0073388D" w14:paraId="5B013018" w14:textId="77777777" w:rsidTr="00A615C3">
        <w:tc>
          <w:tcPr>
            <w:tcW w:w="1843" w:type="dxa"/>
          </w:tcPr>
          <w:p w14:paraId="75A3EAF6"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8.2</w:t>
            </w:r>
          </w:p>
        </w:tc>
        <w:tc>
          <w:tcPr>
            <w:tcW w:w="7513" w:type="dxa"/>
          </w:tcPr>
          <w:p w14:paraId="2C79E2DE"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Le/la Directeur/Directrice financier/-ère de l’UNESCO fait tenir la comptabilité nécessaire.</w:t>
            </w:r>
          </w:p>
        </w:tc>
      </w:tr>
      <w:tr w:rsidR="00F04BA8" w:rsidRPr="0073388D" w14:paraId="0AF8E756" w14:textId="77777777" w:rsidTr="00A615C3">
        <w:tc>
          <w:tcPr>
            <w:tcW w:w="1843" w:type="dxa"/>
          </w:tcPr>
          <w:p w14:paraId="579EF391"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8.3</w:t>
            </w:r>
          </w:p>
        </w:tc>
        <w:tc>
          <w:tcPr>
            <w:tcW w:w="7513" w:type="dxa"/>
          </w:tcPr>
          <w:p w14:paraId="07F2DC45" w14:textId="77777777" w:rsidR="00F04BA8" w:rsidRPr="0073388D" w:rsidRDefault="00F04BA8" w:rsidP="004F7D97">
            <w:pPr>
              <w:pStyle w:val="NoSpacing"/>
              <w:spacing w:after="240"/>
              <w:jc w:val="both"/>
              <w:rPr>
                <w:rFonts w:asciiTheme="minorBidi" w:hAnsiTheme="minorBidi" w:cstheme="minorBidi"/>
                <w:b/>
                <w:bCs/>
                <w:sz w:val="22"/>
                <w:szCs w:val="22"/>
              </w:rPr>
            </w:pPr>
            <w:r w:rsidRPr="0073388D">
              <w:rPr>
                <w:rFonts w:asciiTheme="minorBidi" w:hAnsiTheme="minorBidi" w:cstheme="minorBidi"/>
                <w:sz w:val="22"/>
                <w:szCs w:val="22"/>
              </w:rPr>
              <w:t>Tout solde inutilisé en fin d’exercice est reporté à l’exercice suivant.</w:t>
            </w:r>
          </w:p>
        </w:tc>
      </w:tr>
      <w:tr w:rsidR="00F04BA8" w:rsidRPr="0073388D" w14:paraId="28B40B28" w14:textId="77777777" w:rsidTr="00A615C3">
        <w:tc>
          <w:tcPr>
            <w:tcW w:w="1843" w:type="dxa"/>
          </w:tcPr>
          <w:p w14:paraId="09CF7E6D"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8.4</w:t>
            </w:r>
          </w:p>
        </w:tc>
        <w:tc>
          <w:tcPr>
            <w:tcW w:w="7513" w:type="dxa"/>
          </w:tcPr>
          <w:p w14:paraId="7831C734"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Les comptes du Compte spécial font partie des états financiers consolidés présentés pour vérification au Commissaire aux comptes de l’UNESCO.</w:t>
            </w:r>
          </w:p>
        </w:tc>
      </w:tr>
      <w:tr w:rsidR="00F04BA8" w:rsidRPr="0073388D" w14:paraId="357D165B" w14:textId="77777777" w:rsidTr="00A615C3">
        <w:tc>
          <w:tcPr>
            <w:tcW w:w="1843" w:type="dxa"/>
          </w:tcPr>
          <w:p w14:paraId="1E1CBB59" w14:textId="77777777" w:rsidR="00F04BA8" w:rsidRPr="0073388D" w:rsidRDefault="00F04BA8" w:rsidP="00995C66">
            <w:pPr>
              <w:pStyle w:val="NoSpacing"/>
              <w:spacing w:after="240"/>
              <w:jc w:val="right"/>
              <w:rPr>
                <w:rFonts w:asciiTheme="minorBidi" w:hAnsiTheme="minorBidi" w:cstheme="minorBidi"/>
                <w:sz w:val="22"/>
                <w:szCs w:val="22"/>
                <w:lang w:val="en-US"/>
              </w:rPr>
            </w:pPr>
            <w:r w:rsidRPr="0073388D">
              <w:rPr>
                <w:rFonts w:asciiTheme="minorBidi" w:hAnsiTheme="minorBidi" w:cstheme="minorBidi"/>
                <w:sz w:val="22"/>
                <w:szCs w:val="22"/>
              </w:rPr>
              <w:t>8.5</w:t>
            </w:r>
          </w:p>
        </w:tc>
        <w:tc>
          <w:tcPr>
            <w:tcW w:w="7513" w:type="dxa"/>
          </w:tcPr>
          <w:p w14:paraId="4F4C198D"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Les contributions en nature sont comptabilisées en dehors du Compte spécial.</w:t>
            </w:r>
          </w:p>
        </w:tc>
      </w:tr>
      <w:tr w:rsidR="00F04BA8" w:rsidRPr="0073388D" w14:paraId="28655CF2" w14:textId="77777777" w:rsidTr="00A615C3">
        <w:tc>
          <w:tcPr>
            <w:tcW w:w="1843" w:type="dxa"/>
          </w:tcPr>
          <w:p w14:paraId="1ACF7CA0" w14:textId="77777777" w:rsidR="00F04BA8" w:rsidRPr="0073388D" w:rsidRDefault="00F04BA8" w:rsidP="00995C66">
            <w:pPr>
              <w:pStyle w:val="NoSpacing"/>
              <w:spacing w:before="240" w:after="240"/>
              <w:jc w:val="right"/>
              <w:rPr>
                <w:rFonts w:asciiTheme="minorBidi" w:hAnsiTheme="minorBidi" w:cstheme="minorBidi"/>
                <w:b/>
                <w:bCs/>
                <w:sz w:val="22"/>
                <w:szCs w:val="22"/>
              </w:rPr>
            </w:pPr>
            <w:r w:rsidRPr="0073388D">
              <w:rPr>
                <w:rFonts w:asciiTheme="minorBidi" w:hAnsiTheme="minorBidi" w:cstheme="minorBidi"/>
                <w:b/>
                <w:bCs/>
                <w:sz w:val="22"/>
                <w:szCs w:val="22"/>
              </w:rPr>
              <w:t>Article 9</w:t>
            </w:r>
          </w:p>
        </w:tc>
        <w:tc>
          <w:tcPr>
            <w:tcW w:w="7513" w:type="dxa"/>
          </w:tcPr>
          <w:p w14:paraId="24ECB841" w14:textId="77777777" w:rsidR="00F04BA8" w:rsidRPr="0073388D" w:rsidRDefault="00F04BA8" w:rsidP="004F7D97">
            <w:pPr>
              <w:pStyle w:val="NoSpacing"/>
              <w:spacing w:before="240" w:after="240"/>
              <w:jc w:val="both"/>
              <w:rPr>
                <w:rFonts w:asciiTheme="minorBidi" w:hAnsiTheme="minorBidi" w:cstheme="minorBidi"/>
                <w:b/>
                <w:bCs/>
                <w:sz w:val="22"/>
                <w:szCs w:val="22"/>
              </w:rPr>
            </w:pPr>
            <w:r w:rsidRPr="0073388D">
              <w:rPr>
                <w:rFonts w:asciiTheme="minorBidi" w:hAnsiTheme="minorBidi" w:cstheme="minorBidi"/>
                <w:b/>
                <w:bCs/>
                <w:sz w:val="22"/>
                <w:szCs w:val="22"/>
              </w:rPr>
              <w:t>Placements</w:t>
            </w:r>
          </w:p>
        </w:tc>
      </w:tr>
      <w:tr w:rsidR="00F04BA8" w:rsidRPr="0073388D" w14:paraId="7D35A6C7" w14:textId="77777777" w:rsidTr="00A615C3">
        <w:tc>
          <w:tcPr>
            <w:tcW w:w="1843" w:type="dxa"/>
          </w:tcPr>
          <w:p w14:paraId="53AB86C1" w14:textId="77777777" w:rsidR="00F04BA8" w:rsidRPr="0073388D" w:rsidRDefault="00F04BA8" w:rsidP="00995C66">
            <w:pPr>
              <w:pStyle w:val="NoSpacing"/>
              <w:spacing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9.1</w:t>
            </w:r>
          </w:p>
        </w:tc>
        <w:tc>
          <w:tcPr>
            <w:tcW w:w="7513" w:type="dxa"/>
          </w:tcPr>
          <w:p w14:paraId="765D87F5" w14:textId="77777777" w:rsidR="00F04BA8" w:rsidRPr="0073388D" w:rsidRDefault="00F04BA8" w:rsidP="004F7D97">
            <w:pPr>
              <w:pStyle w:val="NoSpacing"/>
              <w:spacing w:after="24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Le/la Directeur/Directrice général(e) est autorisé(e) à placer à court terme ou à long terme les sommes figurant au crédit du Compte spécial.</w:t>
            </w:r>
          </w:p>
        </w:tc>
      </w:tr>
      <w:tr w:rsidR="00F04BA8" w:rsidRPr="0073388D" w14:paraId="0CD10E30" w14:textId="77777777" w:rsidTr="00A615C3">
        <w:tc>
          <w:tcPr>
            <w:tcW w:w="1843" w:type="dxa"/>
          </w:tcPr>
          <w:p w14:paraId="0E4C2C56" w14:textId="77777777" w:rsidR="00F04BA8" w:rsidRPr="0073388D" w:rsidRDefault="00F04BA8" w:rsidP="00995C66">
            <w:pPr>
              <w:pStyle w:val="NoSpacing"/>
              <w:spacing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9.2</w:t>
            </w:r>
          </w:p>
        </w:tc>
        <w:tc>
          <w:tcPr>
            <w:tcW w:w="7513" w:type="dxa"/>
          </w:tcPr>
          <w:p w14:paraId="1B4DA574" w14:textId="77777777" w:rsidR="00F04BA8" w:rsidRPr="0073388D" w:rsidRDefault="00F04BA8" w:rsidP="004F7D97">
            <w:pPr>
              <w:pStyle w:val="NoSpacing"/>
              <w:spacing w:after="24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Les recettes provenant de ces placements sont portées au crédit du Compte spécial conformément au Règlement d’administration financière de l’UNESCO.</w:t>
            </w:r>
          </w:p>
        </w:tc>
      </w:tr>
      <w:tr w:rsidR="00F04BA8" w:rsidRPr="0073388D" w14:paraId="0CC3712B" w14:textId="77777777" w:rsidTr="00A615C3">
        <w:tc>
          <w:tcPr>
            <w:tcW w:w="1843" w:type="dxa"/>
          </w:tcPr>
          <w:p w14:paraId="4B1A0002" w14:textId="77777777" w:rsidR="00F04BA8" w:rsidRPr="0073388D" w:rsidRDefault="00F04BA8" w:rsidP="00995C66">
            <w:pPr>
              <w:pStyle w:val="NoSpacing"/>
              <w:spacing w:before="240" w:after="240"/>
              <w:jc w:val="right"/>
              <w:rPr>
                <w:rFonts w:asciiTheme="minorBidi" w:hAnsiTheme="minorBidi" w:cstheme="minorBidi"/>
                <w:b/>
                <w:bCs/>
                <w:sz w:val="22"/>
                <w:szCs w:val="22"/>
                <w:lang w:val="en-US" w:eastAsia="en-GB"/>
              </w:rPr>
            </w:pPr>
            <w:r w:rsidRPr="0073388D">
              <w:rPr>
                <w:rFonts w:asciiTheme="minorBidi" w:hAnsiTheme="minorBidi" w:cstheme="minorBidi"/>
                <w:b/>
                <w:bCs/>
                <w:sz w:val="22"/>
                <w:szCs w:val="22"/>
              </w:rPr>
              <w:t>Article 10</w:t>
            </w:r>
          </w:p>
        </w:tc>
        <w:tc>
          <w:tcPr>
            <w:tcW w:w="7513" w:type="dxa"/>
          </w:tcPr>
          <w:p w14:paraId="3F7F2BE3" w14:textId="77777777" w:rsidR="00F04BA8" w:rsidRPr="0073388D" w:rsidRDefault="00F04BA8" w:rsidP="004F7D97">
            <w:pPr>
              <w:pStyle w:val="NoSpacing"/>
              <w:spacing w:before="240" w:after="240"/>
              <w:jc w:val="both"/>
              <w:rPr>
                <w:rFonts w:asciiTheme="minorBidi" w:hAnsiTheme="minorBidi" w:cstheme="minorBidi"/>
                <w:spacing w:val="-3"/>
                <w:sz w:val="22"/>
                <w:szCs w:val="22"/>
                <w:lang w:val="en-US" w:eastAsia="en-GB"/>
              </w:rPr>
            </w:pPr>
            <w:r w:rsidRPr="0073388D">
              <w:rPr>
                <w:rFonts w:asciiTheme="minorBidi" w:hAnsiTheme="minorBidi" w:cstheme="minorBidi"/>
                <w:b/>
                <w:sz w:val="22"/>
                <w:szCs w:val="22"/>
              </w:rPr>
              <w:t>Rapports</w:t>
            </w:r>
          </w:p>
        </w:tc>
      </w:tr>
      <w:tr w:rsidR="00F04BA8" w:rsidRPr="0073388D" w14:paraId="28E2DD47" w14:textId="77777777" w:rsidTr="00A615C3">
        <w:tc>
          <w:tcPr>
            <w:tcW w:w="1843" w:type="dxa"/>
          </w:tcPr>
          <w:p w14:paraId="40D93FF5" w14:textId="77777777" w:rsidR="00F04BA8" w:rsidRPr="0073388D" w:rsidRDefault="00F04BA8" w:rsidP="00995C66">
            <w:pPr>
              <w:pStyle w:val="NoSpacing"/>
              <w:spacing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 xml:space="preserve">10.1 </w:t>
            </w:r>
          </w:p>
        </w:tc>
        <w:tc>
          <w:tcPr>
            <w:tcW w:w="7513" w:type="dxa"/>
          </w:tcPr>
          <w:p w14:paraId="697782D4" w14:textId="77777777" w:rsidR="00F04BA8" w:rsidRPr="0073388D" w:rsidRDefault="00F04BA8" w:rsidP="004F7D97">
            <w:pPr>
              <w:suppressAutoHyphens/>
              <w:spacing w:after="12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Un rapport financier biennal montrant les recettes et les dépenses au titre du Compte spécial est établi et soumis au Comité et à l’Assemblée générale.</w:t>
            </w:r>
          </w:p>
        </w:tc>
      </w:tr>
      <w:tr w:rsidR="00F04BA8" w:rsidRPr="0073388D" w14:paraId="1F1E0BD8" w14:textId="77777777" w:rsidTr="00A615C3">
        <w:tc>
          <w:tcPr>
            <w:tcW w:w="1843" w:type="dxa"/>
          </w:tcPr>
          <w:p w14:paraId="224FB39A" w14:textId="77777777" w:rsidR="00F04BA8" w:rsidRPr="0073388D" w:rsidRDefault="00F04BA8" w:rsidP="00995C66">
            <w:pPr>
              <w:pStyle w:val="NoSpacing"/>
              <w:spacing w:before="240"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10.2</w:t>
            </w:r>
          </w:p>
        </w:tc>
        <w:tc>
          <w:tcPr>
            <w:tcW w:w="7513" w:type="dxa"/>
          </w:tcPr>
          <w:p w14:paraId="66A9E75F" w14:textId="77777777" w:rsidR="00F04BA8" w:rsidRPr="0073388D" w:rsidRDefault="00F04BA8" w:rsidP="004F7D97">
            <w:pPr>
              <w:pStyle w:val="NoSpacing"/>
              <w:spacing w:before="240" w:after="24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Un rapport narratif biennal est soumis au Comité et à l’Assemblée générale.</w:t>
            </w:r>
          </w:p>
        </w:tc>
      </w:tr>
      <w:tr w:rsidR="00F04BA8" w:rsidRPr="0073388D" w14:paraId="05BB6EC0" w14:textId="77777777" w:rsidTr="00A615C3">
        <w:tc>
          <w:tcPr>
            <w:tcW w:w="1843" w:type="dxa"/>
          </w:tcPr>
          <w:p w14:paraId="5EB91943" w14:textId="77777777" w:rsidR="00F04BA8" w:rsidRPr="0073388D" w:rsidRDefault="00F04BA8" w:rsidP="00995C66">
            <w:pPr>
              <w:pStyle w:val="NoSpacing"/>
              <w:spacing w:before="240" w:after="240"/>
              <w:jc w:val="right"/>
              <w:rPr>
                <w:rFonts w:asciiTheme="minorBidi" w:hAnsiTheme="minorBidi" w:cstheme="minorBidi"/>
                <w:b/>
                <w:bCs/>
                <w:sz w:val="22"/>
                <w:szCs w:val="22"/>
                <w:lang w:val="en-US" w:eastAsia="en-GB"/>
              </w:rPr>
            </w:pPr>
            <w:r w:rsidRPr="0073388D">
              <w:rPr>
                <w:rFonts w:asciiTheme="minorBidi" w:hAnsiTheme="minorBidi" w:cstheme="minorBidi"/>
                <w:b/>
                <w:bCs/>
                <w:sz w:val="22"/>
                <w:szCs w:val="22"/>
              </w:rPr>
              <w:t>Article 11</w:t>
            </w:r>
          </w:p>
        </w:tc>
        <w:tc>
          <w:tcPr>
            <w:tcW w:w="7513" w:type="dxa"/>
          </w:tcPr>
          <w:p w14:paraId="7E0AF73A" w14:textId="77777777" w:rsidR="00F04BA8" w:rsidRPr="0073388D" w:rsidRDefault="00F04BA8" w:rsidP="004F7D97">
            <w:pPr>
              <w:pStyle w:val="NoSpacing"/>
              <w:spacing w:before="240" w:after="240"/>
              <w:jc w:val="both"/>
              <w:rPr>
                <w:rFonts w:asciiTheme="minorBidi" w:hAnsiTheme="minorBidi" w:cstheme="minorBidi"/>
                <w:spacing w:val="-3"/>
                <w:sz w:val="22"/>
                <w:szCs w:val="22"/>
                <w:lang w:val="en-US" w:eastAsia="en-GB"/>
              </w:rPr>
            </w:pPr>
            <w:r w:rsidRPr="0073388D">
              <w:rPr>
                <w:rFonts w:asciiTheme="minorBidi" w:hAnsiTheme="minorBidi" w:cstheme="minorBidi"/>
                <w:b/>
                <w:bCs/>
                <w:sz w:val="22"/>
                <w:szCs w:val="22"/>
              </w:rPr>
              <w:t>Clôture du Compte spécial</w:t>
            </w:r>
          </w:p>
        </w:tc>
      </w:tr>
      <w:tr w:rsidR="00F04BA8" w:rsidRPr="0073388D" w14:paraId="51F55FA9" w14:textId="77777777" w:rsidTr="00A615C3">
        <w:tc>
          <w:tcPr>
            <w:tcW w:w="1843" w:type="dxa"/>
          </w:tcPr>
          <w:p w14:paraId="029466D6" w14:textId="77777777" w:rsidR="00F04BA8" w:rsidRPr="0073388D" w:rsidRDefault="00F04BA8" w:rsidP="00995C66">
            <w:pPr>
              <w:pStyle w:val="NoSpacing"/>
              <w:spacing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 xml:space="preserve">11.1 </w:t>
            </w:r>
          </w:p>
        </w:tc>
        <w:tc>
          <w:tcPr>
            <w:tcW w:w="7513" w:type="dxa"/>
          </w:tcPr>
          <w:p w14:paraId="1239E43B" w14:textId="77777777" w:rsidR="00F04BA8" w:rsidRPr="0073388D" w:rsidRDefault="00F04BA8" w:rsidP="006E6BE0">
            <w:pPr>
              <w:suppressAutoHyphens/>
              <w:spacing w:after="12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Le/la Directeur/Directrice général(e) consulte l’Assemblée générale lorsqu’il estime que le Compte spécial n’a plus de raison d’être. Cette consultation doit inclure une décision relative à l’emploi de tout solde inutilisé.</w:t>
            </w:r>
          </w:p>
        </w:tc>
      </w:tr>
      <w:tr w:rsidR="00F04BA8" w:rsidRPr="0073388D" w14:paraId="27953C9D" w14:textId="77777777" w:rsidTr="00A615C3">
        <w:trPr>
          <w:trHeight w:val="80"/>
        </w:trPr>
        <w:tc>
          <w:tcPr>
            <w:tcW w:w="1843" w:type="dxa"/>
          </w:tcPr>
          <w:p w14:paraId="4D63B807" w14:textId="77777777" w:rsidR="00F04BA8" w:rsidRPr="0073388D" w:rsidRDefault="00F04BA8" w:rsidP="00995C66">
            <w:pPr>
              <w:pStyle w:val="NoSpacing"/>
              <w:spacing w:before="240"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 xml:space="preserve">11.2 </w:t>
            </w:r>
          </w:p>
        </w:tc>
        <w:tc>
          <w:tcPr>
            <w:tcW w:w="7513" w:type="dxa"/>
          </w:tcPr>
          <w:p w14:paraId="0597B206" w14:textId="77777777" w:rsidR="00F04BA8" w:rsidRPr="0073388D" w:rsidRDefault="00F04BA8" w:rsidP="004F7D97">
            <w:pPr>
              <w:pStyle w:val="NoSpacing"/>
              <w:spacing w:before="240" w:after="24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La décision de l’Assemblée générale est transmise au Conseil exécutif avant la clôture effective du Compte spécial.</w:t>
            </w:r>
          </w:p>
        </w:tc>
      </w:tr>
      <w:tr w:rsidR="00F04BA8" w:rsidRPr="0073388D" w14:paraId="26655AD3" w14:textId="77777777" w:rsidTr="00A615C3">
        <w:tc>
          <w:tcPr>
            <w:tcW w:w="1843" w:type="dxa"/>
          </w:tcPr>
          <w:p w14:paraId="234321DD" w14:textId="77777777" w:rsidR="00F04BA8" w:rsidRPr="0073388D" w:rsidRDefault="00F04BA8" w:rsidP="00995C66">
            <w:pPr>
              <w:pStyle w:val="NoSpacing"/>
              <w:spacing w:before="240" w:after="240"/>
              <w:jc w:val="right"/>
              <w:rPr>
                <w:rFonts w:asciiTheme="minorBidi" w:hAnsiTheme="minorBidi" w:cstheme="minorBidi"/>
                <w:b/>
                <w:bCs/>
                <w:sz w:val="22"/>
                <w:szCs w:val="22"/>
                <w:u w:val="single"/>
                <w:lang w:val="en-US" w:eastAsia="en-GB"/>
              </w:rPr>
            </w:pPr>
            <w:r w:rsidRPr="0073388D">
              <w:rPr>
                <w:rFonts w:asciiTheme="minorBidi" w:hAnsiTheme="minorBidi" w:cstheme="minorBidi"/>
                <w:b/>
                <w:bCs/>
                <w:sz w:val="22"/>
                <w:szCs w:val="22"/>
              </w:rPr>
              <w:t>Article 12</w:t>
            </w:r>
          </w:p>
        </w:tc>
        <w:tc>
          <w:tcPr>
            <w:tcW w:w="7513" w:type="dxa"/>
          </w:tcPr>
          <w:p w14:paraId="6176D20E" w14:textId="19CFFA4F" w:rsidR="00F04BA8" w:rsidRPr="0073388D" w:rsidRDefault="00F04BA8" w:rsidP="004F7D97">
            <w:pPr>
              <w:pStyle w:val="NoSpacing"/>
              <w:spacing w:before="240" w:after="240"/>
              <w:jc w:val="both"/>
              <w:rPr>
                <w:rFonts w:asciiTheme="minorBidi" w:hAnsiTheme="minorBidi" w:cstheme="minorBidi"/>
                <w:b/>
                <w:bCs/>
                <w:spacing w:val="-3"/>
                <w:sz w:val="22"/>
                <w:szCs w:val="22"/>
                <w:lang w:val="en-US" w:eastAsia="en-GB"/>
              </w:rPr>
            </w:pPr>
            <w:r w:rsidRPr="0073388D">
              <w:rPr>
                <w:rFonts w:asciiTheme="minorBidi" w:hAnsiTheme="minorBidi" w:cstheme="minorBidi"/>
                <w:b/>
                <w:bCs/>
                <w:sz w:val="22"/>
                <w:szCs w:val="22"/>
              </w:rPr>
              <w:t>Disposition</w:t>
            </w:r>
            <w:r w:rsidR="007530CE" w:rsidRPr="0073388D">
              <w:rPr>
                <w:rFonts w:asciiTheme="minorBidi" w:hAnsiTheme="minorBidi" w:cstheme="minorBidi"/>
                <w:b/>
                <w:bCs/>
                <w:sz w:val="22"/>
                <w:szCs w:val="22"/>
              </w:rPr>
              <w:t>s</w:t>
            </w:r>
            <w:r w:rsidRPr="0073388D">
              <w:rPr>
                <w:rFonts w:asciiTheme="minorBidi" w:hAnsiTheme="minorBidi" w:cstheme="minorBidi"/>
                <w:b/>
                <w:bCs/>
                <w:sz w:val="22"/>
                <w:szCs w:val="22"/>
              </w:rPr>
              <w:t xml:space="preserve"> générale</w:t>
            </w:r>
            <w:r w:rsidR="007530CE" w:rsidRPr="0073388D">
              <w:rPr>
                <w:rFonts w:asciiTheme="minorBidi" w:hAnsiTheme="minorBidi" w:cstheme="minorBidi"/>
                <w:b/>
                <w:bCs/>
                <w:sz w:val="22"/>
                <w:szCs w:val="22"/>
              </w:rPr>
              <w:t>s</w:t>
            </w:r>
          </w:p>
        </w:tc>
      </w:tr>
      <w:tr w:rsidR="00F04BA8" w:rsidRPr="0073388D" w14:paraId="25089523" w14:textId="77777777" w:rsidTr="00A615C3">
        <w:tc>
          <w:tcPr>
            <w:tcW w:w="1843" w:type="dxa"/>
          </w:tcPr>
          <w:p w14:paraId="195A0E2C" w14:textId="77777777" w:rsidR="00F04BA8" w:rsidRPr="0073388D" w:rsidRDefault="00F04BA8" w:rsidP="00995C66">
            <w:pPr>
              <w:pStyle w:val="NoSpacing"/>
              <w:spacing w:after="240"/>
              <w:jc w:val="right"/>
              <w:rPr>
                <w:rFonts w:asciiTheme="minorBidi" w:hAnsiTheme="minorBidi" w:cstheme="minorBidi"/>
                <w:sz w:val="22"/>
                <w:szCs w:val="22"/>
                <w:lang w:val="en-US" w:eastAsia="en-GB"/>
              </w:rPr>
            </w:pPr>
            <w:r w:rsidRPr="0073388D">
              <w:rPr>
                <w:rFonts w:asciiTheme="minorBidi" w:hAnsiTheme="minorBidi" w:cstheme="minorBidi"/>
                <w:sz w:val="22"/>
                <w:szCs w:val="22"/>
              </w:rPr>
              <w:t xml:space="preserve">12.1 </w:t>
            </w:r>
          </w:p>
        </w:tc>
        <w:tc>
          <w:tcPr>
            <w:tcW w:w="7513" w:type="dxa"/>
          </w:tcPr>
          <w:p w14:paraId="2EDE6655" w14:textId="77777777" w:rsidR="00F04BA8" w:rsidRPr="0073388D" w:rsidRDefault="00F04BA8" w:rsidP="004F7D97">
            <w:pPr>
              <w:pStyle w:val="NoSpacing"/>
              <w:spacing w:after="240"/>
              <w:jc w:val="both"/>
              <w:rPr>
                <w:rFonts w:asciiTheme="minorBidi" w:hAnsiTheme="minorBidi" w:cstheme="minorBidi"/>
                <w:spacing w:val="-3"/>
                <w:sz w:val="22"/>
                <w:szCs w:val="22"/>
                <w:lang w:eastAsia="en-GB"/>
              </w:rPr>
            </w:pPr>
            <w:r w:rsidRPr="0073388D">
              <w:rPr>
                <w:rFonts w:asciiTheme="minorBidi" w:hAnsiTheme="minorBidi" w:cstheme="minorBidi"/>
                <w:sz w:val="22"/>
                <w:szCs w:val="22"/>
              </w:rPr>
              <w:t>Tout amendement au présent Règlement financier est approuvé par l’Assemblée générale. Le Conseil exécutif est informé en conséquence des éventuels amendements.</w:t>
            </w:r>
          </w:p>
        </w:tc>
      </w:tr>
      <w:tr w:rsidR="00F04BA8" w:rsidRPr="0073388D" w14:paraId="05AF0906" w14:textId="77777777" w:rsidTr="00A615C3">
        <w:tc>
          <w:tcPr>
            <w:tcW w:w="1843" w:type="dxa"/>
          </w:tcPr>
          <w:p w14:paraId="554E136A" w14:textId="77777777" w:rsidR="00F04BA8" w:rsidRPr="0073388D" w:rsidRDefault="00F04BA8" w:rsidP="00995C66">
            <w:pPr>
              <w:pStyle w:val="NoSpacing"/>
              <w:spacing w:after="240"/>
              <w:jc w:val="right"/>
              <w:rPr>
                <w:rFonts w:asciiTheme="minorBidi" w:hAnsiTheme="minorBidi" w:cstheme="minorBidi"/>
                <w:sz w:val="22"/>
                <w:szCs w:val="22"/>
              </w:rPr>
            </w:pPr>
            <w:r w:rsidRPr="0073388D">
              <w:rPr>
                <w:rFonts w:asciiTheme="minorBidi" w:hAnsiTheme="minorBidi" w:cstheme="minorBidi"/>
                <w:sz w:val="22"/>
                <w:szCs w:val="22"/>
              </w:rPr>
              <w:t>12.2</w:t>
            </w:r>
          </w:p>
        </w:tc>
        <w:tc>
          <w:tcPr>
            <w:tcW w:w="7513" w:type="dxa"/>
          </w:tcPr>
          <w:p w14:paraId="2F4BB016" w14:textId="77777777" w:rsidR="00F04BA8" w:rsidRPr="0073388D" w:rsidRDefault="00F04BA8" w:rsidP="004F7D97">
            <w:pPr>
              <w:pStyle w:val="NoSpacing"/>
              <w:spacing w:after="240"/>
              <w:jc w:val="both"/>
              <w:rPr>
                <w:rFonts w:asciiTheme="minorBidi" w:hAnsiTheme="minorBidi" w:cstheme="minorBidi"/>
                <w:sz w:val="22"/>
                <w:szCs w:val="22"/>
              </w:rPr>
            </w:pPr>
            <w:r w:rsidRPr="0073388D">
              <w:rPr>
                <w:rFonts w:asciiTheme="minorBidi" w:hAnsiTheme="minorBidi" w:cstheme="minorBidi"/>
                <w:sz w:val="22"/>
                <w:szCs w:val="22"/>
              </w:rPr>
              <w:t>Sauf dispositions contraires du présent Règlement, le Compte spécial est administré conformément aux dispositions du Règlement financier de l’UNESCO.</w:t>
            </w:r>
          </w:p>
        </w:tc>
      </w:tr>
    </w:tbl>
    <w:p w14:paraId="3E521D1A" w14:textId="77777777" w:rsidR="007A4B9A" w:rsidRPr="0073388D" w:rsidRDefault="007A4B9A" w:rsidP="006E6BE0">
      <w:pPr>
        <w:pStyle w:val="GATitleResolution"/>
        <w:tabs>
          <w:tab w:val="clear" w:pos="567"/>
          <w:tab w:val="left" w:pos="720"/>
        </w:tabs>
        <w:spacing w:before="360"/>
        <w:ind w:left="0"/>
      </w:pPr>
      <w:r w:rsidRPr="0073388D">
        <w:t>RÉSOLUTION 8.GA 8</w:t>
      </w:r>
    </w:p>
    <w:p w14:paraId="6F3353BF" w14:textId="77777777" w:rsidR="007A4B9A" w:rsidRPr="0073388D" w:rsidRDefault="007A4B9A" w:rsidP="007A4B9A">
      <w:pPr>
        <w:pStyle w:val="GAPreambulaResolution"/>
        <w:ind w:left="0"/>
        <w:rPr>
          <w:lang w:val="fr-FR"/>
        </w:rPr>
      </w:pPr>
      <w:r w:rsidRPr="0073388D">
        <w:rPr>
          <w:lang w:val="fr-FR"/>
        </w:rPr>
        <w:t>L</w:t>
      </w:r>
      <w:r w:rsidR="00EB3C34" w:rsidRPr="0073388D">
        <w:rPr>
          <w:lang w:val="fr-FR"/>
        </w:rPr>
        <w:t>’</w:t>
      </w:r>
      <w:r w:rsidRPr="0073388D">
        <w:rPr>
          <w:lang w:val="fr-FR"/>
        </w:rPr>
        <w:t>Assemblée générale,</w:t>
      </w:r>
    </w:p>
    <w:p w14:paraId="1F20B668" w14:textId="4F303CE6" w:rsidR="007A4B9A" w:rsidRPr="0073388D" w:rsidRDefault="007A4B9A" w:rsidP="00654D96">
      <w:pPr>
        <w:pStyle w:val="GAParaResolution"/>
        <w:numPr>
          <w:ilvl w:val="0"/>
          <w:numId w:val="17"/>
        </w:numPr>
        <w:ind w:left="567" w:hanging="567"/>
      </w:pPr>
      <w:r w:rsidRPr="0073388D">
        <w:t>Ayant examiné</w:t>
      </w:r>
      <w:r w:rsidRPr="0073388D">
        <w:rPr>
          <w:u w:val="none"/>
        </w:rPr>
        <w:t xml:space="preserve"> le </w:t>
      </w:r>
      <w:r w:rsidR="00CC0EC7" w:rsidRPr="0073388D">
        <w:rPr>
          <w:u w:val="none"/>
        </w:rPr>
        <w:t xml:space="preserve">document </w:t>
      </w:r>
      <w:hyperlink r:id="rId25" w:history="1">
        <w:r w:rsidR="00CC0EC7" w:rsidRPr="0073388D">
          <w:rPr>
            <w:rStyle w:val="Hyperlink"/>
          </w:rPr>
          <w:t>LHE/20/8.GA/8</w:t>
        </w:r>
      </w:hyperlink>
      <w:r w:rsidRPr="0073388D">
        <w:rPr>
          <w:u w:val="none"/>
        </w:rPr>
        <w:t>,</w:t>
      </w:r>
    </w:p>
    <w:p w14:paraId="45027C89" w14:textId="77777777" w:rsidR="007A4B9A" w:rsidRPr="0073388D" w:rsidRDefault="007A4B9A" w:rsidP="00654D96">
      <w:pPr>
        <w:pStyle w:val="COMParaDecision"/>
        <w:numPr>
          <w:ilvl w:val="0"/>
          <w:numId w:val="1"/>
        </w:numPr>
        <w:ind w:left="567" w:hanging="567"/>
      </w:pPr>
      <w:r w:rsidRPr="0073388D">
        <w:t>Rappelant</w:t>
      </w:r>
      <w:r w:rsidRPr="0073388D">
        <w:rPr>
          <w:u w:val="none"/>
        </w:rPr>
        <w:t xml:space="preserve"> la </w:t>
      </w:r>
      <w:hyperlink r:id="rId26" w:history="1">
        <w:r w:rsidRPr="0073388D">
          <w:rPr>
            <w:rStyle w:val="Hyperlink"/>
          </w:rPr>
          <w:t>résolution 39 C/87</w:t>
        </w:r>
      </w:hyperlink>
      <w:r w:rsidRPr="0073388D">
        <w:rPr>
          <w:u w:val="none"/>
        </w:rPr>
        <w:t xml:space="preserve"> de la Conférence générale de l’UNESCO (2017), qui invite le Conseil exécutif, la Directrice générale et les organes directeurs de l’UNESCO à mettre en œuvre les recommandations du Groupe de travail à composition non limitée sur la gouvernance, en particulier la recommandation 74, ainsi que la </w:t>
      </w:r>
      <w:hyperlink r:id="rId27" w:history="1">
        <w:r w:rsidRPr="0073388D">
          <w:rPr>
            <w:rStyle w:val="Hyperlink"/>
          </w:rPr>
          <w:t>décision 14.COM 19</w:t>
        </w:r>
      </w:hyperlink>
      <w:r w:rsidRPr="0073388D">
        <w:rPr>
          <w:u w:val="none"/>
        </w:rPr>
        <w:t>,</w:t>
      </w:r>
    </w:p>
    <w:p w14:paraId="0B707BEC" w14:textId="77777777" w:rsidR="007A4B9A" w:rsidRPr="0073388D" w:rsidRDefault="007A4B9A" w:rsidP="00654D96">
      <w:pPr>
        <w:pStyle w:val="COMParaDecision"/>
        <w:numPr>
          <w:ilvl w:val="0"/>
          <w:numId w:val="1"/>
        </w:numPr>
        <w:ind w:left="567" w:hanging="567"/>
      </w:pPr>
      <w:r w:rsidRPr="0073388D">
        <w:t>Remercie</w:t>
      </w:r>
      <w:r w:rsidRPr="0073388D">
        <w:rPr>
          <w:u w:val="none"/>
        </w:rPr>
        <w:t xml:space="preserve"> les États parties ayant participé à la consultation électronique en vue de la préparation du Projet de stratégie à moyen terme pour 2022-2029 (41 C/4) et du Projet de programme et de budget pour 2022-2025 (41 C/5) et </w:t>
      </w:r>
      <w:r w:rsidRPr="0073388D">
        <w:t>apprécie</w:t>
      </w:r>
      <w:r w:rsidRPr="0073388D">
        <w:rPr>
          <w:u w:val="none"/>
        </w:rPr>
        <w:t xml:space="preserve"> les efforts déployés par le Secrétariat pour organiser cette consultation dans les délais impartis et en analyser les résultats ;</w:t>
      </w:r>
    </w:p>
    <w:p w14:paraId="754ED2A4" w14:textId="3EB38453" w:rsidR="007A4B9A" w:rsidRPr="0073388D" w:rsidRDefault="007A4B9A" w:rsidP="00654D96">
      <w:pPr>
        <w:pStyle w:val="COMParaDecision"/>
        <w:numPr>
          <w:ilvl w:val="0"/>
          <w:numId w:val="1"/>
        </w:numPr>
        <w:ind w:left="567" w:hanging="567"/>
        <w:rPr>
          <w:u w:val="none"/>
        </w:rPr>
      </w:pPr>
      <w:r w:rsidRPr="0073388D">
        <w:t>Prend note</w:t>
      </w:r>
      <w:r w:rsidRPr="0073388D">
        <w:rPr>
          <w:u w:val="none"/>
        </w:rPr>
        <w:t xml:space="preserve"> des résultats de la consultation et </w:t>
      </w:r>
      <w:r w:rsidRPr="0073388D">
        <w:t>accueille favorablement</w:t>
      </w:r>
      <w:r w:rsidRPr="0073388D">
        <w:rPr>
          <w:u w:val="none"/>
        </w:rPr>
        <w:t xml:space="preserve"> les perspectives stratégiques, les orientations programmatiques et les recommandations concrètes tirées de leur analyse, qui pourront guider les futurs travaux de la Convention de 2003</w:t>
      </w:r>
      <w:r w:rsidR="00630A90" w:rsidRPr="0073388D">
        <w:rPr>
          <w:u w:val="none"/>
        </w:rPr>
        <w:t> ;</w:t>
      </w:r>
    </w:p>
    <w:p w14:paraId="6BF3C979" w14:textId="77777777" w:rsidR="00630A90" w:rsidRPr="0073388D" w:rsidRDefault="00630A90" w:rsidP="00E62D47">
      <w:pPr>
        <w:pStyle w:val="COMParaDecision"/>
        <w:numPr>
          <w:ilvl w:val="0"/>
          <w:numId w:val="1"/>
        </w:numPr>
        <w:ind w:left="567" w:hanging="567"/>
        <w:rPr>
          <w:u w:val="none"/>
        </w:rPr>
      </w:pPr>
      <w:r w:rsidRPr="0073388D">
        <w:t>Souligne</w:t>
      </w:r>
      <w:r w:rsidRPr="0073388D">
        <w:rPr>
          <w:u w:val="none"/>
        </w:rPr>
        <w:t xml:space="preserve"> l’importance de renforcer davantage les liens, la collaboration et les synergies avec les autres conventions de l’UNESCO dans le domaine de la culture, particulièrement dans le domaine du renforcement des capacités et de la sensibilisation ; </w:t>
      </w:r>
    </w:p>
    <w:p w14:paraId="02851661" w14:textId="07E82C03" w:rsidR="00630A90" w:rsidRPr="0073388D" w:rsidRDefault="00630A90" w:rsidP="00E62D47">
      <w:pPr>
        <w:pStyle w:val="COMParaDecision"/>
        <w:numPr>
          <w:ilvl w:val="0"/>
          <w:numId w:val="1"/>
        </w:numPr>
        <w:ind w:left="567" w:hanging="567"/>
        <w:rPr>
          <w:u w:val="none"/>
        </w:rPr>
      </w:pPr>
      <w:r w:rsidRPr="0073388D">
        <w:t>Invite</w:t>
      </w:r>
      <w:r w:rsidRPr="0073388D">
        <w:rPr>
          <w:u w:val="none"/>
        </w:rPr>
        <w:t xml:space="preserve"> le Secrétariat de l’UNESCO à envisager la possibilité d’organiser une réunion de réflexion, en présentiel ou en ligne, avec les points focaux nationaux de toutes les conventions de l’UNESCO </w:t>
      </w:r>
      <w:r w:rsidR="0094283C" w:rsidRPr="0073388D">
        <w:rPr>
          <w:u w:val="none"/>
        </w:rPr>
        <w:t xml:space="preserve">dans le domaine de la culture, </w:t>
      </w:r>
      <w:r w:rsidRPr="0073388D">
        <w:rPr>
          <w:u w:val="none"/>
        </w:rPr>
        <w:t>si des fonds extrabudgétaires sont disponibles ;</w:t>
      </w:r>
    </w:p>
    <w:p w14:paraId="46B83E9C" w14:textId="77777777" w:rsidR="00630A90" w:rsidRPr="0073388D" w:rsidRDefault="00630A90" w:rsidP="00E62D47">
      <w:pPr>
        <w:pStyle w:val="COMParaDecision"/>
        <w:numPr>
          <w:ilvl w:val="0"/>
          <w:numId w:val="1"/>
        </w:numPr>
        <w:ind w:left="567" w:hanging="567"/>
        <w:rPr>
          <w:u w:val="none"/>
        </w:rPr>
      </w:pPr>
      <w:r w:rsidRPr="0073388D">
        <w:t>Prie</w:t>
      </w:r>
      <w:r w:rsidRPr="0073388D">
        <w:rPr>
          <w:u w:val="none"/>
        </w:rPr>
        <w:t xml:space="preserve"> le Secrétariat de rendre compte de la mise en œuvre de cette résolution lors de la prochaine session de l’Assemblée générale.</w:t>
      </w:r>
    </w:p>
    <w:p w14:paraId="27AA5AE0" w14:textId="77777777" w:rsidR="007A4B9A" w:rsidRPr="0073388D" w:rsidRDefault="007A4B9A" w:rsidP="006E6BE0">
      <w:pPr>
        <w:pStyle w:val="GATitleResolution"/>
        <w:tabs>
          <w:tab w:val="clear" w:pos="567"/>
          <w:tab w:val="left" w:pos="720"/>
        </w:tabs>
        <w:spacing w:before="360"/>
        <w:ind w:left="0"/>
      </w:pPr>
      <w:r w:rsidRPr="0073388D">
        <w:t>RÉSOLUTION 8.GA 9</w:t>
      </w:r>
    </w:p>
    <w:p w14:paraId="4D6D1C04" w14:textId="77777777" w:rsidR="007A4B9A" w:rsidRPr="0073388D" w:rsidRDefault="007A4B9A" w:rsidP="007A4B9A">
      <w:pPr>
        <w:pStyle w:val="GAPreambulaResolution"/>
        <w:ind w:left="0"/>
        <w:rPr>
          <w:lang w:val="fr-FR"/>
        </w:rPr>
      </w:pPr>
      <w:r w:rsidRPr="0073388D">
        <w:rPr>
          <w:lang w:val="fr-FR"/>
        </w:rPr>
        <w:t>L’Assemblée générale,</w:t>
      </w:r>
    </w:p>
    <w:p w14:paraId="6DD89AB8" w14:textId="089D15E8" w:rsidR="007A4B9A" w:rsidRPr="0073388D" w:rsidRDefault="007A4B9A" w:rsidP="00654D96">
      <w:pPr>
        <w:pStyle w:val="ListParagraph"/>
        <w:numPr>
          <w:ilvl w:val="0"/>
          <w:numId w:val="18"/>
        </w:numPr>
        <w:spacing w:after="120"/>
        <w:ind w:left="567" w:hanging="567"/>
        <w:contextualSpacing w:val="0"/>
        <w:jc w:val="both"/>
        <w:rPr>
          <w:rFonts w:ascii="Arial" w:hAnsi="Arial" w:cs="Arial"/>
          <w:sz w:val="22"/>
          <w:szCs w:val="22"/>
          <w:shd w:val="clear" w:color="auto" w:fill="FFFFFF"/>
        </w:rPr>
      </w:pPr>
      <w:r w:rsidRPr="0073388D">
        <w:rPr>
          <w:rFonts w:ascii="Arial" w:hAnsi="Arial"/>
          <w:sz w:val="22"/>
          <w:szCs w:val="22"/>
          <w:u w:val="single"/>
          <w:shd w:val="clear" w:color="auto" w:fill="FFFFFF"/>
        </w:rPr>
        <w:t>Ayant examiné</w:t>
      </w:r>
      <w:r w:rsidRPr="0073388D">
        <w:rPr>
          <w:rFonts w:ascii="Arial" w:hAnsi="Arial"/>
          <w:sz w:val="22"/>
          <w:szCs w:val="22"/>
          <w:shd w:val="clear" w:color="auto" w:fill="FFFFFF"/>
        </w:rPr>
        <w:t xml:space="preserve"> le </w:t>
      </w:r>
      <w:r w:rsidR="00CC0EC7" w:rsidRPr="0073388D">
        <w:rPr>
          <w:rFonts w:ascii="Arial" w:hAnsi="Arial"/>
          <w:sz w:val="22"/>
          <w:szCs w:val="22"/>
          <w:shd w:val="clear" w:color="auto" w:fill="FFFFFF"/>
        </w:rPr>
        <w:t xml:space="preserve">document </w:t>
      </w:r>
      <w:hyperlink r:id="rId28" w:history="1">
        <w:r w:rsidR="00CC0EC7" w:rsidRPr="0073388D">
          <w:rPr>
            <w:rStyle w:val="Hyperlink"/>
            <w:rFonts w:ascii="Arial" w:hAnsi="Arial"/>
            <w:sz w:val="22"/>
            <w:szCs w:val="22"/>
            <w:shd w:val="clear" w:color="auto" w:fill="FFFFFF"/>
          </w:rPr>
          <w:t>LHE/20/8.GA/9</w:t>
        </w:r>
      </w:hyperlink>
      <w:r w:rsidRPr="0073388D">
        <w:rPr>
          <w:rFonts w:ascii="Arial" w:hAnsi="Arial"/>
          <w:sz w:val="22"/>
          <w:szCs w:val="22"/>
          <w:shd w:val="clear" w:color="auto" w:fill="FFFFFF"/>
        </w:rPr>
        <w:t xml:space="preserve"> et son annexe,</w:t>
      </w:r>
    </w:p>
    <w:p w14:paraId="29B479CF" w14:textId="18A392DA"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rPr>
      </w:pPr>
      <w:r w:rsidRPr="0073388D">
        <w:rPr>
          <w:rFonts w:ascii="Arial" w:hAnsi="Arial" w:cs="Arial"/>
          <w:sz w:val="22"/>
          <w:szCs w:val="22"/>
          <w:u w:val="single"/>
          <w:shd w:val="clear" w:color="auto" w:fill="FFFFFF"/>
        </w:rPr>
        <w:t>Rappelant</w:t>
      </w:r>
      <w:r w:rsidRPr="0073388D">
        <w:rPr>
          <w:rFonts w:ascii="Arial" w:hAnsi="Arial" w:cs="Arial"/>
          <w:sz w:val="22"/>
          <w:szCs w:val="22"/>
          <w:shd w:val="clear" w:color="auto" w:fill="FFFFFF"/>
        </w:rPr>
        <w:t xml:space="preserve"> l’article 11 de la Convention, les chapitres VI.3 et VI.4 des Directives opérationnelles, le cinquième point des Principes éthiques pour la sauvegarde du patrimoine culturel immatériel, de même que les résolutions </w:t>
      </w:r>
      <w:hyperlink r:id="rId29" w:history="1">
        <w:r w:rsidRPr="0073388D">
          <w:rPr>
            <w:rStyle w:val="Hyperlink"/>
            <w:rFonts w:ascii="Arial" w:hAnsi="Arial" w:cs="Arial"/>
            <w:sz w:val="22"/>
            <w:szCs w:val="22"/>
          </w:rPr>
          <w:t>38</w:t>
        </w:r>
        <w:r w:rsidR="00F14003" w:rsidRPr="0073388D">
          <w:rPr>
            <w:rStyle w:val="Hyperlink"/>
            <w:rFonts w:ascii="Arial" w:hAnsi="Arial" w:cs="Arial"/>
            <w:sz w:val="22"/>
            <w:szCs w:val="22"/>
          </w:rPr>
          <w:t> </w:t>
        </w:r>
        <w:r w:rsidRPr="0073388D">
          <w:rPr>
            <w:rStyle w:val="Hyperlink"/>
            <w:rFonts w:ascii="Arial" w:hAnsi="Arial" w:cs="Arial"/>
            <w:sz w:val="22"/>
            <w:szCs w:val="22"/>
          </w:rPr>
          <w:t>C/48</w:t>
        </w:r>
      </w:hyperlink>
      <w:r w:rsidRPr="0073388D">
        <w:rPr>
          <w:rFonts w:ascii="Arial" w:hAnsi="Arial" w:cs="Arial"/>
          <w:sz w:val="22"/>
          <w:szCs w:val="22"/>
          <w:shd w:val="clear" w:color="auto" w:fill="FFFFFF"/>
        </w:rPr>
        <w:t xml:space="preserve"> et </w:t>
      </w:r>
      <w:hyperlink r:id="rId30" w:history="1">
        <w:r w:rsidRPr="0073388D">
          <w:rPr>
            <w:rStyle w:val="Hyperlink"/>
            <w:rFonts w:ascii="Arial" w:hAnsi="Arial" w:cs="Arial"/>
            <w:sz w:val="22"/>
            <w:szCs w:val="22"/>
          </w:rPr>
          <w:t>39</w:t>
        </w:r>
        <w:r w:rsidR="00CC257F" w:rsidRPr="0073388D">
          <w:rPr>
            <w:rStyle w:val="Hyperlink"/>
            <w:rFonts w:ascii="Arial" w:hAnsi="Arial" w:cs="Arial"/>
            <w:sz w:val="22"/>
            <w:szCs w:val="22"/>
          </w:rPr>
          <w:t> </w:t>
        </w:r>
        <w:r w:rsidRPr="0073388D">
          <w:rPr>
            <w:rStyle w:val="Hyperlink"/>
            <w:rFonts w:ascii="Arial" w:hAnsi="Arial" w:cs="Arial"/>
            <w:sz w:val="22"/>
            <w:szCs w:val="22"/>
          </w:rPr>
          <w:t>C/35</w:t>
        </w:r>
      </w:hyperlink>
      <w:r w:rsidRPr="0073388D">
        <w:rPr>
          <w:rFonts w:ascii="Arial" w:hAnsi="Arial" w:cs="Arial"/>
          <w:sz w:val="22"/>
          <w:szCs w:val="22"/>
          <w:shd w:val="clear" w:color="auto" w:fill="FFFFFF"/>
        </w:rPr>
        <w:t xml:space="preserve"> de la Conférence générale sur la Stratégie de renforcement de l’action de l’UNESCO pour la protection de la culture et la promotion du pluralisme culturel en cas de conflit armé, son Plan d’action et son addendum relatif aux situations d’urgence associées à des catastrophes dues à des aléas d’origine naturelle ou humaine, ainsi que la résolution 2347 du Conseil de sécurité des Nations Unies (2017), et toutes les normes pertinentes du droit international humanitaire et du droit international des droits de l’homme, à titre de traités et de règles coutumières,</w:t>
      </w:r>
    </w:p>
    <w:p w14:paraId="0BB1C282" w14:textId="77777777" w:rsidR="00630A90" w:rsidRPr="0073388D" w:rsidRDefault="00630A90" w:rsidP="00E62D47">
      <w:pPr>
        <w:pStyle w:val="ListParagraph"/>
        <w:numPr>
          <w:ilvl w:val="0"/>
          <w:numId w:val="18"/>
        </w:numPr>
        <w:spacing w:after="120"/>
        <w:ind w:left="567" w:hanging="567"/>
        <w:contextualSpacing w:val="0"/>
        <w:jc w:val="both"/>
        <w:rPr>
          <w:rFonts w:asciiTheme="minorBidi" w:hAnsiTheme="minorBidi" w:cstheme="minorBidi"/>
          <w:sz w:val="22"/>
          <w:szCs w:val="22"/>
        </w:rPr>
      </w:pPr>
      <w:r w:rsidRPr="0073388D">
        <w:rPr>
          <w:rFonts w:asciiTheme="minorBidi" w:hAnsiTheme="minorBidi" w:cstheme="minorBidi"/>
          <w:sz w:val="22"/>
          <w:szCs w:val="22"/>
          <w:u w:val="single"/>
        </w:rPr>
        <w:t>Exprime</w:t>
      </w:r>
      <w:r w:rsidRPr="0073388D">
        <w:rPr>
          <w:rFonts w:asciiTheme="minorBidi" w:hAnsiTheme="minorBidi" w:cstheme="minorBidi"/>
          <w:sz w:val="22"/>
          <w:szCs w:val="22"/>
        </w:rPr>
        <w:t xml:space="preserve"> sa préoccupation sur le fait que la pandémie de COVID-19 a des répercussions négatives sur la sauvegarde et la promotion du patrimoine culturel immatériel dans le monde ;</w:t>
      </w:r>
    </w:p>
    <w:p w14:paraId="3D7FB391" w14:textId="77777777" w:rsidR="007A4B9A" w:rsidRPr="0073388D" w:rsidRDefault="007A4B9A" w:rsidP="00654D96">
      <w:pPr>
        <w:numPr>
          <w:ilvl w:val="0"/>
          <w:numId w:val="18"/>
        </w:numPr>
        <w:shd w:val="clear" w:color="auto" w:fill="FFFFFF"/>
        <w:spacing w:before="100" w:beforeAutospacing="1" w:after="120"/>
        <w:ind w:left="567" w:hanging="567"/>
        <w:jc w:val="both"/>
        <w:rPr>
          <w:rFonts w:ascii="Arial" w:hAnsi="Arial" w:cs="Arial"/>
          <w:color w:val="000000" w:themeColor="text1"/>
          <w:sz w:val="22"/>
          <w:szCs w:val="22"/>
        </w:rPr>
      </w:pPr>
      <w:r w:rsidRPr="0073388D">
        <w:rPr>
          <w:rFonts w:ascii="Arial" w:hAnsi="Arial"/>
          <w:color w:val="000000" w:themeColor="text1"/>
          <w:sz w:val="22"/>
          <w:szCs w:val="22"/>
          <w:u w:val="single"/>
        </w:rPr>
        <w:t xml:space="preserve">Exprime </w:t>
      </w:r>
      <w:r w:rsidR="00CC257F" w:rsidRPr="0073388D">
        <w:rPr>
          <w:rFonts w:ascii="Arial" w:hAnsi="Arial"/>
          <w:color w:val="000000" w:themeColor="text1"/>
          <w:sz w:val="22"/>
          <w:szCs w:val="22"/>
          <w:u w:val="single"/>
        </w:rPr>
        <w:t>en outre</w:t>
      </w:r>
      <w:r w:rsidR="00CC257F" w:rsidRPr="0073388D">
        <w:rPr>
          <w:rFonts w:ascii="Arial" w:hAnsi="Arial"/>
          <w:color w:val="000000" w:themeColor="text1"/>
          <w:sz w:val="22"/>
          <w:szCs w:val="22"/>
        </w:rPr>
        <w:t xml:space="preserve"> </w:t>
      </w:r>
      <w:r w:rsidR="00630A90" w:rsidRPr="0073388D">
        <w:rPr>
          <w:rFonts w:ascii="Arial" w:hAnsi="Arial"/>
          <w:color w:val="000000" w:themeColor="text1"/>
          <w:sz w:val="22"/>
          <w:szCs w:val="22"/>
        </w:rPr>
        <w:t xml:space="preserve">sa solidarité et </w:t>
      </w:r>
      <w:r w:rsidRPr="0073388D">
        <w:rPr>
          <w:rFonts w:ascii="Arial" w:hAnsi="Arial"/>
          <w:color w:val="000000" w:themeColor="text1"/>
          <w:sz w:val="22"/>
          <w:szCs w:val="22"/>
        </w:rPr>
        <w:t xml:space="preserve">son soutien plein et entier aux individus, groupes et communautés </w:t>
      </w:r>
      <w:r w:rsidR="00630A90" w:rsidRPr="0073388D">
        <w:rPr>
          <w:rFonts w:ascii="Arial" w:hAnsi="Arial"/>
          <w:color w:val="000000" w:themeColor="text1"/>
          <w:sz w:val="22"/>
          <w:szCs w:val="22"/>
        </w:rPr>
        <w:t xml:space="preserve">pendant la crise de COVID-19 et </w:t>
      </w:r>
      <w:r w:rsidRPr="0073388D">
        <w:rPr>
          <w:rFonts w:ascii="Arial" w:hAnsi="Arial"/>
          <w:color w:val="000000" w:themeColor="text1"/>
          <w:sz w:val="22"/>
          <w:szCs w:val="22"/>
        </w:rPr>
        <w:t xml:space="preserve">en situations d’urgence et </w:t>
      </w:r>
      <w:r w:rsidRPr="0073388D">
        <w:rPr>
          <w:rFonts w:ascii="Arial" w:hAnsi="Arial"/>
          <w:color w:val="000000" w:themeColor="text1"/>
          <w:sz w:val="22"/>
          <w:szCs w:val="22"/>
          <w:u w:val="single"/>
        </w:rPr>
        <w:t>reconnaît</w:t>
      </w:r>
      <w:r w:rsidRPr="0073388D">
        <w:rPr>
          <w:rFonts w:ascii="Arial" w:hAnsi="Arial"/>
          <w:color w:val="000000" w:themeColor="text1"/>
          <w:sz w:val="22"/>
          <w:szCs w:val="22"/>
        </w:rPr>
        <w:t xml:space="preserve"> le courage et la bravoure extraordinaires dont ils font preuve en envisageant des solutions créatives pour maintenir la pratique et la transmission de leur patrimoine vivant en dépit des contextes difficiles auxquels ils font face ;</w:t>
      </w:r>
    </w:p>
    <w:p w14:paraId="6718A04F" w14:textId="77777777" w:rsidR="00630A90" w:rsidRPr="0073388D" w:rsidRDefault="00630A90" w:rsidP="00654D96">
      <w:pPr>
        <w:numPr>
          <w:ilvl w:val="0"/>
          <w:numId w:val="18"/>
        </w:numPr>
        <w:shd w:val="clear" w:color="auto" w:fill="FFFFFF"/>
        <w:spacing w:before="100" w:beforeAutospacing="1" w:after="120"/>
        <w:ind w:left="567" w:hanging="567"/>
        <w:jc w:val="both"/>
        <w:rPr>
          <w:rFonts w:ascii="Arial" w:hAnsi="Arial" w:cs="Arial"/>
          <w:color w:val="000000" w:themeColor="text1"/>
          <w:sz w:val="22"/>
          <w:szCs w:val="22"/>
        </w:rPr>
      </w:pPr>
      <w:r w:rsidRPr="0073388D">
        <w:rPr>
          <w:rFonts w:ascii="Arial" w:hAnsi="Arial" w:cs="Arial"/>
          <w:color w:val="000000" w:themeColor="text1"/>
          <w:sz w:val="22"/>
          <w:szCs w:val="22"/>
          <w:u w:val="single"/>
        </w:rPr>
        <w:t>Exprime également</w:t>
      </w:r>
      <w:r w:rsidRPr="0073388D">
        <w:rPr>
          <w:rFonts w:ascii="Arial" w:hAnsi="Arial" w:cs="Arial"/>
          <w:color w:val="000000" w:themeColor="text1"/>
          <w:sz w:val="22"/>
          <w:szCs w:val="22"/>
        </w:rPr>
        <w:t xml:space="preserve"> sa solidarité avec le Liban et son peuple, à la suite des explosions tragiques à Beyrouth, en août 2020, reconnaissant la vie culturelle dynamique de la ville et </w:t>
      </w:r>
      <w:r w:rsidRPr="0073388D">
        <w:rPr>
          <w:rFonts w:ascii="Arial" w:hAnsi="Arial" w:cs="Arial"/>
          <w:color w:val="000000" w:themeColor="text1"/>
          <w:sz w:val="22"/>
          <w:szCs w:val="22"/>
          <w:u w:val="single"/>
        </w:rPr>
        <w:t>encourage</w:t>
      </w:r>
      <w:r w:rsidRPr="0073388D">
        <w:rPr>
          <w:rFonts w:ascii="Arial" w:hAnsi="Arial" w:cs="Arial"/>
          <w:color w:val="000000" w:themeColor="text1"/>
          <w:sz w:val="22"/>
          <w:szCs w:val="22"/>
        </w:rPr>
        <w:t xml:space="preserve"> tous les efforts visant à soutenir le processus de relèvement au sens des principes opérationnels et modalités pour la sauvegarde du patrimoine culturel immatériel dans les situations d’urgence ;</w:t>
      </w:r>
    </w:p>
    <w:p w14:paraId="36CAE059" w14:textId="77777777" w:rsidR="007A4B9A" w:rsidRPr="0073388D" w:rsidRDefault="007A4B9A" w:rsidP="00654D96">
      <w:pPr>
        <w:numPr>
          <w:ilvl w:val="0"/>
          <w:numId w:val="18"/>
        </w:numPr>
        <w:shd w:val="clear" w:color="auto" w:fill="FFFFFF"/>
        <w:spacing w:before="100" w:beforeAutospacing="1" w:after="120"/>
        <w:ind w:left="567" w:hanging="567"/>
        <w:jc w:val="both"/>
        <w:rPr>
          <w:rFonts w:ascii="Arial" w:hAnsi="Arial" w:cs="Arial"/>
          <w:color w:val="000000" w:themeColor="text1"/>
          <w:sz w:val="22"/>
          <w:szCs w:val="22"/>
        </w:rPr>
      </w:pPr>
      <w:r w:rsidRPr="0073388D">
        <w:rPr>
          <w:rFonts w:ascii="Arial" w:hAnsi="Arial"/>
          <w:color w:val="000000" w:themeColor="text1"/>
          <w:sz w:val="22"/>
          <w:szCs w:val="22"/>
          <w:u w:val="single"/>
        </w:rPr>
        <w:t>Réaffirme</w:t>
      </w:r>
      <w:r w:rsidRPr="0073388D">
        <w:rPr>
          <w:rFonts w:ascii="Arial" w:hAnsi="Arial"/>
          <w:color w:val="000000" w:themeColor="text1"/>
          <w:sz w:val="22"/>
          <w:szCs w:val="22"/>
        </w:rPr>
        <w:t xml:space="preserve"> le double rôle que peut avoir la sauvegarde du patrimoine culturel immatériel dans les situations d’urgence, à la fois pour atténuer les menaces qui pèsent sur le patrimoine culturel immatériel lui-même et servir comme instrument puissant pour aider les communautés à se préparer aux situations d’urgence, y compris les effets du changement climatique, y faire face et s’en relever ;</w:t>
      </w:r>
    </w:p>
    <w:p w14:paraId="200D9485" w14:textId="77777777"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rPr>
      </w:pPr>
      <w:r w:rsidRPr="0073388D">
        <w:rPr>
          <w:rFonts w:ascii="Arial" w:hAnsi="Arial"/>
          <w:color w:val="000000" w:themeColor="text1"/>
          <w:sz w:val="22"/>
          <w:szCs w:val="22"/>
          <w:u w:val="single"/>
          <w:shd w:val="clear" w:color="auto" w:fill="FFFFFF"/>
        </w:rPr>
        <w:t>Apprécie</w:t>
      </w:r>
      <w:r w:rsidRPr="0073388D">
        <w:rPr>
          <w:rFonts w:ascii="Arial" w:hAnsi="Arial"/>
          <w:color w:val="000000" w:themeColor="text1"/>
          <w:sz w:val="22"/>
          <w:szCs w:val="22"/>
          <w:shd w:val="clear" w:color="auto" w:fill="FFFFFF"/>
        </w:rPr>
        <w:t xml:space="preserve"> la réflexion poussée menée par le Comité sur le rôle du patrimoine culturel immatériel dans les situations d’urgence, ainsi que le travail d’accompagnement entrepris par le Secrétariat pour collecter des études de cas, mener des activités pilotes et élaborer une approche de renforcement des capacités pour mettre en place un cadre méthodologique approprié sur le sujet ;</w:t>
      </w:r>
    </w:p>
    <w:p w14:paraId="44077228" w14:textId="77777777"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rPr>
      </w:pPr>
      <w:r w:rsidRPr="0073388D">
        <w:rPr>
          <w:rFonts w:ascii="Arial" w:hAnsi="Arial"/>
          <w:color w:val="000000" w:themeColor="text1"/>
          <w:sz w:val="22"/>
          <w:szCs w:val="22"/>
          <w:u w:val="single"/>
          <w:shd w:val="clear" w:color="auto" w:fill="FFFFFF"/>
        </w:rPr>
        <w:t>Remercie</w:t>
      </w:r>
      <w:r w:rsidRPr="0073388D">
        <w:rPr>
          <w:rFonts w:ascii="Arial" w:hAnsi="Arial"/>
          <w:color w:val="000000" w:themeColor="text1"/>
          <w:sz w:val="22"/>
          <w:szCs w:val="22"/>
          <w:shd w:val="clear" w:color="auto" w:fill="FFFFFF"/>
        </w:rPr>
        <w:t xml:space="preserve"> la République populaire de Chine pour sa généreuse contribution à la réunion d’experts sur le patrimoine culturel immatériel dans les situations d’urgence qui s’est tenue au siège de l’UNESCO en mai 2019 ;</w:t>
      </w:r>
    </w:p>
    <w:p w14:paraId="6CB33914" w14:textId="77777777"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rPr>
      </w:pPr>
      <w:r w:rsidRPr="0073388D">
        <w:rPr>
          <w:rFonts w:ascii="Arial" w:hAnsi="Arial"/>
          <w:color w:val="000000" w:themeColor="text1"/>
          <w:sz w:val="22"/>
          <w:szCs w:val="22"/>
          <w:u w:val="single"/>
          <w:shd w:val="clear" w:color="auto" w:fill="FFFFFF"/>
        </w:rPr>
        <w:t>Approuve</w:t>
      </w:r>
      <w:r w:rsidRPr="0073388D">
        <w:rPr>
          <w:rFonts w:ascii="Arial" w:hAnsi="Arial"/>
          <w:color w:val="000000" w:themeColor="text1"/>
          <w:sz w:val="22"/>
          <w:szCs w:val="22"/>
          <w:shd w:val="clear" w:color="auto" w:fill="FFFFFF"/>
        </w:rPr>
        <w:t xml:space="preserve"> les principes et modalités opérationnels pour la sauvegarde du patrimoine culturel immatériel dans les situations d’urgence, annexée à la présente résolution ;</w:t>
      </w:r>
    </w:p>
    <w:p w14:paraId="32A19839" w14:textId="77777777"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rPr>
      </w:pPr>
      <w:r w:rsidRPr="0073388D">
        <w:rPr>
          <w:rFonts w:ascii="Arial" w:hAnsi="Arial"/>
          <w:color w:val="000000" w:themeColor="text1"/>
          <w:sz w:val="22"/>
          <w:szCs w:val="22"/>
          <w:u w:val="single"/>
          <w:shd w:val="clear" w:color="auto" w:fill="FFFFFF"/>
        </w:rPr>
        <w:t>Encourage</w:t>
      </w:r>
      <w:r w:rsidRPr="0073388D">
        <w:rPr>
          <w:rFonts w:ascii="Arial" w:hAnsi="Arial"/>
          <w:color w:val="000000" w:themeColor="text1"/>
          <w:sz w:val="22"/>
          <w:szCs w:val="22"/>
          <w:shd w:val="clear" w:color="auto" w:fill="FFFFFF"/>
        </w:rPr>
        <w:t xml:space="preserve"> les États parties, et toute autre partie prenante nationale ou internationale pertinente, à prendre des mesures pour mettre en œuvre les principes et modalités opérationnels et les adapter à leurs contextes spécifiques et à mettre en œuvre divers projets pratiques qui vont contribuer à la sauvegarde continue du patrimoine culturel immatériel dans les situations d’urgence</w:t>
      </w:r>
      <w:r w:rsidR="00630A90" w:rsidRPr="0073388D">
        <w:rPr>
          <w:rFonts w:ascii="Arial" w:hAnsi="Arial"/>
          <w:color w:val="000000" w:themeColor="text1"/>
          <w:sz w:val="22"/>
          <w:szCs w:val="22"/>
          <w:shd w:val="clear" w:color="auto" w:fill="FFFFFF"/>
        </w:rPr>
        <w:t>,</w:t>
      </w:r>
      <w:r w:rsidR="00630A90" w:rsidRPr="0073388D">
        <w:t xml:space="preserve"> </w:t>
      </w:r>
      <w:r w:rsidR="00630A90" w:rsidRPr="0073388D">
        <w:rPr>
          <w:rFonts w:ascii="Arial" w:hAnsi="Arial"/>
          <w:color w:val="000000" w:themeColor="text1"/>
          <w:sz w:val="22"/>
          <w:szCs w:val="22"/>
          <w:shd w:val="clear" w:color="auto" w:fill="FFFFFF"/>
        </w:rPr>
        <w:t>y compris dans le contexte de réponse et relèvement face au COVID-19</w:t>
      </w:r>
      <w:r w:rsidRPr="0073388D">
        <w:rPr>
          <w:rFonts w:ascii="Arial" w:hAnsi="Arial"/>
          <w:color w:val="000000" w:themeColor="text1"/>
          <w:sz w:val="22"/>
          <w:szCs w:val="22"/>
          <w:shd w:val="clear" w:color="auto" w:fill="FFFFFF"/>
        </w:rPr>
        <w:t> ;</w:t>
      </w:r>
    </w:p>
    <w:p w14:paraId="7C59822B" w14:textId="5F4F4B89" w:rsidR="00630A90" w:rsidRPr="0073388D" w:rsidRDefault="00630A90" w:rsidP="00654D96">
      <w:pPr>
        <w:pStyle w:val="ListParagraph"/>
        <w:numPr>
          <w:ilvl w:val="0"/>
          <w:numId w:val="18"/>
        </w:numPr>
        <w:spacing w:after="120"/>
        <w:ind w:left="567" w:hanging="567"/>
        <w:contextualSpacing w:val="0"/>
        <w:jc w:val="both"/>
        <w:rPr>
          <w:rFonts w:ascii="Arial" w:hAnsi="Arial" w:cs="Arial"/>
          <w:color w:val="000000" w:themeColor="text1"/>
          <w:sz w:val="22"/>
          <w:szCs w:val="22"/>
        </w:rPr>
      </w:pPr>
      <w:r w:rsidRPr="0073388D">
        <w:rPr>
          <w:rFonts w:ascii="Arial" w:hAnsi="Arial" w:cs="Arial"/>
          <w:color w:val="000000" w:themeColor="text1"/>
          <w:sz w:val="22"/>
          <w:szCs w:val="22"/>
          <w:u w:val="single"/>
        </w:rPr>
        <w:t>Demande</w:t>
      </w:r>
      <w:r w:rsidRPr="0073388D">
        <w:rPr>
          <w:rFonts w:ascii="Arial" w:hAnsi="Arial" w:cs="Arial"/>
          <w:color w:val="000000" w:themeColor="text1"/>
          <w:sz w:val="22"/>
          <w:szCs w:val="22"/>
        </w:rPr>
        <w:t xml:space="preserve"> au Secrétariat de poursuivre ses efforts dans le suivi des effets du COVID-19 sur la sauvegarde du patrimoine culturel immatériel et de recueillir les enseignements tirés en se focalisant sur la meilleure manière de rendre opérationnels les principes et modalités en situation de pandémie, et de rendre compte au Comité et à la neuvième session de l’Assemblée générale ;</w:t>
      </w:r>
    </w:p>
    <w:p w14:paraId="10E3A60F" w14:textId="00D9D4DA"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shd w:val="clear" w:color="auto" w:fill="FFFFFF"/>
        </w:rPr>
      </w:pPr>
      <w:r w:rsidRPr="0073388D">
        <w:rPr>
          <w:rFonts w:ascii="Arial" w:hAnsi="Arial"/>
          <w:color w:val="000000" w:themeColor="text1"/>
          <w:sz w:val="22"/>
          <w:szCs w:val="22"/>
          <w:u w:val="single"/>
          <w:shd w:val="clear" w:color="auto" w:fill="FFFFFF"/>
        </w:rPr>
        <w:t>Demande</w:t>
      </w:r>
      <w:r w:rsidR="00630A90" w:rsidRPr="0073388D">
        <w:rPr>
          <w:rFonts w:ascii="Arial" w:hAnsi="Arial"/>
          <w:color w:val="000000" w:themeColor="text1"/>
          <w:sz w:val="22"/>
          <w:szCs w:val="22"/>
          <w:u w:val="single"/>
          <w:shd w:val="clear" w:color="auto" w:fill="FFFFFF"/>
        </w:rPr>
        <w:t xml:space="preserve"> </w:t>
      </w:r>
      <w:r w:rsidR="00CC257F" w:rsidRPr="0073388D">
        <w:rPr>
          <w:rFonts w:ascii="Arial" w:hAnsi="Arial" w:cs="Arial"/>
          <w:color w:val="000000" w:themeColor="text1"/>
          <w:sz w:val="22"/>
          <w:szCs w:val="22"/>
          <w:u w:val="single"/>
          <w:shd w:val="clear" w:color="auto" w:fill="FFFFFF"/>
        </w:rPr>
        <w:t>en outre</w:t>
      </w:r>
      <w:r w:rsidR="00CC257F" w:rsidRPr="0073388D">
        <w:rPr>
          <w:rFonts w:ascii="Arial" w:hAnsi="Arial" w:cs="Arial"/>
          <w:color w:val="000000" w:themeColor="text1"/>
          <w:sz w:val="22"/>
          <w:szCs w:val="22"/>
          <w:shd w:val="clear" w:color="auto" w:fill="FFFFFF"/>
        </w:rPr>
        <w:t xml:space="preserve"> </w:t>
      </w:r>
      <w:r w:rsidRPr="0073388D">
        <w:rPr>
          <w:rFonts w:ascii="Arial" w:hAnsi="Arial"/>
          <w:color w:val="000000" w:themeColor="text1"/>
          <w:sz w:val="22"/>
          <w:szCs w:val="22"/>
          <w:shd w:val="clear" w:color="auto" w:fill="FFFFFF"/>
        </w:rPr>
        <w:t>au Secrétariat de poursuivre ses efforts tendant à développer une approche de renforcement des capacités pour opérationnaliser les principes et modalités et à sensibiliser les parties prenantes à leur importance, et à examiner la possibilité d’établir des liens et de coopérer avec d’autres Conventions et programmes dans le domaine de la culture, y compris les institutions des Nations Unies et les organismes internationaux qui opèrent dans des domaines apparentés ;</w:t>
      </w:r>
    </w:p>
    <w:p w14:paraId="08663970" w14:textId="5ECDD5E8" w:rsidR="00630A90" w:rsidRPr="0073388D" w:rsidRDefault="00630A90" w:rsidP="00654D96">
      <w:pPr>
        <w:pStyle w:val="ListParagraph"/>
        <w:numPr>
          <w:ilvl w:val="0"/>
          <w:numId w:val="18"/>
        </w:numPr>
        <w:spacing w:after="120"/>
        <w:ind w:left="567" w:hanging="567"/>
        <w:contextualSpacing w:val="0"/>
        <w:jc w:val="both"/>
        <w:rPr>
          <w:rFonts w:ascii="Arial" w:hAnsi="Arial" w:cs="Arial"/>
          <w:color w:val="000000" w:themeColor="text1"/>
          <w:sz w:val="22"/>
          <w:szCs w:val="22"/>
          <w:shd w:val="clear" w:color="auto" w:fill="FFFFFF"/>
        </w:rPr>
      </w:pPr>
      <w:r w:rsidRPr="0073388D">
        <w:rPr>
          <w:rFonts w:ascii="Arial" w:hAnsi="Arial" w:cs="Arial"/>
          <w:color w:val="000000" w:themeColor="text1"/>
          <w:sz w:val="22"/>
          <w:szCs w:val="22"/>
          <w:u w:val="single"/>
          <w:shd w:val="clear" w:color="auto" w:fill="FFFFFF"/>
        </w:rPr>
        <w:t>Demande</w:t>
      </w:r>
      <w:r w:rsidR="00D214B6" w:rsidRPr="0073388D">
        <w:rPr>
          <w:rFonts w:ascii="Arial" w:hAnsi="Arial"/>
          <w:color w:val="000000" w:themeColor="text1"/>
          <w:sz w:val="22"/>
          <w:szCs w:val="22"/>
          <w:u w:val="single"/>
          <w:shd w:val="clear" w:color="auto" w:fill="FFFFFF"/>
        </w:rPr>
        <w:t xml:space="preserve"> également</w:t>
      </w:r>
      <w:r w:rsidRPr="0073388D">
        <w:rPr>
          <w:rFonts w:ascii="Arial" w:hAnsi="Arial" w:cs="Arial"/>
          <w:color w:val="000000" w:themeColor="text1"/>
          <w:sz w:val="22"/>
          <w:szCs w:val="22"/>
          <w:shd w:val="clear" w:color="auto" w:fill="FFFFFF"/>
        </w:rPr>
        <w:t xml:space="preserve"> au Secrétariat de porter les principes et modalités opérationnels à l’attention des autres organes intergouvernementaux chargés de la mise en œuvre de ces Conventions, en particulier les organes de la Convention </w:t>
      </w:r>
      <w:r w:rsidR="0094283C" w:rsidRPr="0073388D">
        <w:rPr>
          <w:rFonts w:ascii="Arial" w:hAnsi="Arial" w:cs="Arial"/>
          <w:color w:val="000000" w:themeColor="text1"/>
          <w:sz w:val="22"/>
          <w:szCs w:val="22"/>
          <w:shd w:val="clear" w:color="auto" w:fill="FFFFFF"/>
        </w:rPr>
        <w:t xml:space="preserve">de La Haye </w:t>
      </w:r>
      <w:r w:rsidRPr="0073388D">
        <w:rPr>
          <w:rFonts w:ascii="Arial" w:hAnsi="Arial" w:cs="Arial"/>
          <w:color w:val="000000" w:themeColor="text1"/>
          <w:sz w:val="22"/>
          <w:szCs w:val="22"/>
          <w:shd w:val="clear" w:color="auto" w:fill="FFFFFF"/>
        </w:rPr>
        <w:t xml:space="preserve">de 1954 </w:t>
      </w:r>
      <w:r w:rsidR="0094283C" w:rsidRPr="0073388D">
        <w:rPr>
          <w:rFonts w:ascii="Arial" w:hAnsi="Arial" w:cs="Arial"/>
          <w:color w:val="000000" w:themeColor="text1"/>
          <w:sz w:val="22"/>
          <w:szCs w:val="22"/>
          <w:shd w:val="clear" w:color="auto" w:fill="FFFFFF"/>
        </w:rPr>
        <w:t xml:space="preserve">pour la protection des biens culturels en cas de conflit armé </w:t>
      </w:r>
      <w:r w:rsidRPr="0073388D">
        <w:rPr>
          <w:rFonts w:ascii="Arial" w:hAnsi="Arial" w:cs="Arial"/>
          <w:color w:val="000000" w:themeColor="text1"/>
          <w:sz w:val="22"/>
          <w:szCs w:val="22"/>
          <w:shd w:val="clear" w:color="auto" w:fill="FFFFFF"/>
        </w:rPr>
        <w:t>et ses deux protocoles ;</w:t>
      </w:r>
    </w:p>
    <w:p w14:paraId="54B622B3" w14:textId="77777777" w:rsidR="007A4B9A" w:rsidRPr="0073388D" w:rsidRDefault="007A4B9A" w:rsidP="00654D96">
      <w:pPr>
        <w:pStyle w:val="ListParagraph"/>
        <w:numPr>
          <w:ilvl w:val="0"/>
          <w:numId w:val="18"/>
        </w:numPr>
        <w:spacing w:after="120"/>
        <w:ind w:left="567" w:hanging="567"/>
        <w:contextualSpacing w:val="0"/>
        <w:jc w:val="both"/>
        <w:rPr>
          <w:rFonts w:ascii="Arial" w:hAnsi="Arial" w:cs="Arial"/>
          <w:color w:val="000000" w:themeColor="text1"/>
          <w:sz w:val="22"/>
          <w:szCs w:val="22"/>
          <w:shd w:val="clear" w:color="auto" w:fill="FFFFFF"/>
        </w:rPr>
      </w:pPr>
      <w:r w:rsidRPr="0073388D">
        <w:rPr>
          <w:rFonts w:ascii="Arial" w:hAnsi="Arial"/>
          <w:color w:val="000000" w:themeColor="text1"/>
          <w:sz w:val="22"/>
          <w:szCs w:val="22"/>
          <w:u w:val="single"/>
          <w:shd w:val="clear" w:color="auto" w:fill="FFFFFF"/>
        </w:rPr>
        <w:t>Encourage en outre</w:t>
      </w:r>
      <w:r w:rsidRPr="0073388D">
        <w:rPr>
          <w:rFonts w:ascii="Arial" w:hAnsi="Arial"/>
          <w:color w:val="000000" w:themeColor="text1"/>
          <w:sz w:val="22"/>
          <w:szCs w:val="22"/>
          <w:shd w:val="clear" w:color="auto" w:fill="FFFFFF"/>
        </w:rPr>
        <w:t xml:space="preserve"> les États parties à envisager la possibilité de soutenir financièrement de futurs travaux sur la sauvegarde du patrimoine culturel immatériel dans les situations d’urgence selon les modalités de leur choix.</w:t>
      </w:r>
    </w:p>
    <w:p w14:paraId="6A5E22E3" w14:textId="77777777" w:rsidR="00554763" w:rsidRPr="0073388D" w:rsidRDefault="00554763" w:rsidP="006E6BE0">
      <w:pPr>
        <w:keepNext/>
        <w:shd w:val="clear" w:color="auto" w:fill="FFFFFF"/>
        <w:spacing w:before="360" w:after="240"/>
        <w:jc w:val="center"/>
        <w:rPr>
          <w:rFonts w:ascii="Arial" w:hAnsi="Arial" w:cs="Arial"/>
          <w:color w:val="000000" w:themeColor="text1"/>
          <w:sz w:val="22"/>
          <w:szCs w:val="22"/>
        </w:rPr>
      </w:pPr>
      <w:r w:rsidRPr="0073388D">
        <w:rPr>
          <w:rFonts w:ascii="Arial" w:hAnsi="Arial"/>
          <w:b/>
          <w:bCs/>
          <w:color w:val="000000" w:themeColor="text1"/>
          <w:sz w:val="22"/>
          <w:szCs w:val="22"/>
        </w:rPr>
        <w:t>ANNEXE</w:t>
      </w:r>
    </w:p>
    <w:p w14:paraId="386D53F4" w14:textId="77777777" w:rsidR="00554763" w:rsidRPr="0073388D" w:rsidRDefault="00554763" w:rsidP="00E62D47">
      <w:pPr>
        <w:keepNext/>
        <w:shd w:val="clear" w:color="auto" w:fill="FFFFFF"/>
        <w:spacing w:after="120"/>
        <w:jc w:val="center"/>
        <w:rPr>
          <w:rFonts w:ascii="Arial" w:hAnsi="Arial" w:cs="Arial"/>
          <w:color w:val="000000" w:themeColor="text1"/>
          <w:sz w:val="22"/>
          <w:szCs w:val="22"/>
        </w:rPr>
      </w:pPr>
      <w:r w:rsidRPr="0073388D">
        <w:rPr>
          <w:rFonts w:ascii="Arial" w:hAnsi="Arial"/>
          <w:b/>
          <w:bCs/>
          <w:color w:val="000000" w:themeColor="text1"/>
          <w:sz w:val="22"/>
          <w:szCs w:val="22"/>
        </w:rPr>
        <w:t>Principes et modalités opérationnels pour la sauvegarde du patrimoine culturel immatériel dans les situations d’urgence</w:t>
      </w:r>
    </w:p>
    <w:p w14:paraId="553A8A49" w14:textId="77777777"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color w:val="000000" w:themeColor="text1"/>
          <w:sz w:val="22"/>
          <w:szCs w:val="22"/>
        </w:rPr>
        <w:t>Partout dans le monde, le patrimoine culturel est de plus en plus touché par les situations d’urgence, qu’il s’agisse de situations de conflits ou de catastrophes dues à des risques naturels et d’origine humaine (« catastrophes naturelles »). Ces situations représentent des menaces sur la transmission et la viabilité du patrimoine culturel immatériel, qui constitue un fondement de l’identité et du bien-être des communautés, groupes et individus [ci-après dénommés « communautés »]. La sauvegarde du patrimoine culturel immatériel a un double rôle à jouer dans les contextes d’urgence : d’une part, le patrimoine culturel immatériel peut être directement menacé par des situations d’urgence et, d’autre part, il peut être crucial pour aider les communautés à se préparer aux urgences, à y faire face et à s’en relever.</w:t>
      </w:r>
    </w:p>
    <w:p w14:paraId="41D7F9C5" w14:textId="77777777"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color w:val="000000" w:themeColor="text1"/>
          <w:sz w:val="22"/>
          <w:szCs w:val="22"/>
        </w:rPr>
        <w:t>Face à la nature diversifiée et à l’ampleur variable des conflits armés et des catastrophes naturelles, les situations d’urgence constituent un champ d’opération complexe, marqué par la diversité des parties prenantes impliquées. Formulés à l’intention des États parties et de toute autre partie prenante nationale ou internationale concernée, les principes et modalités opérationnels suivants indiquent la meilleure façon de mobiliser et sauvegarder efficacement le patrimoine culturel immatériel dans diverses situations d’urgence.</w:t>
      </w:r>
    </w:p>
    <w:p w14:paraId="1595DFF3" w14:textId="77777777" w:rsidR="00554763" w:rsidRPr="0073388D" w:rsidRDefault="00554763" w:rsidP="00554763">
      <w:pPr>
        <w:spacing w:after="240"/>
        <w:jc w:val="both"/>
        <w:rPr>
          <w:rFonts w:ascii="Arial" w:hAnsi="Arial" w:cs="Arial"/>
          <w:sz w:val="22"/>
          <w:szCs w:val="22"/>
        </w:rPr>
      </w:pPr>
      <w:r w:rsidRPr="0073388D">
        <w:rPr>
          <w:rFonts w:ascii="Arial" w:hAnsi="Arial"/>
          <w:sz w:val="22"/>
          <w:szCs w:val="22"/>
        </w:rPr>
        <w:t xml:space="preserve">Les principes et modalités opérationnels exposés ci-dessous s’appuient sur la </w:t>
      </w:r>
      <w:hyperlink r:id="rId31" w:history="1">
        <w:r w:rsidRPr="0073388D">
          <w:rPr>
            <w:rFonts w:ascii="Arial" w:hAnsi="Arial"/>
            <w:sz w:val="22"/>
            <w:szCs w:val="22"/>
          </w:rPr>
          <w:t>Stratégie de renforcement de l’action de l’UNESCO pour la protection de la culture et la promotion du pluralisme culturel en cas de conflit armé</w:t>
        </w:r>
      </w:hyperlink>
      <w:r w:rsidRPr="0073388D">
        <w:rPr>
          <w:rStyle w:val="FootnoteReference"/>
          <w:rFonts w:ascii="Arial" w:eastAsia="MS Mincho" w:hAnsi="Arial" w:cs="Arial"/>
          <w:sz w:val="22"/>
          <w:szCs w:val="22"/>
          <w:lang w:val="en-GB"/>
        </w:rPr>
        <w:footnoteReference w:id="2"/>
      </w:r>
      <w:r w:rsidRPr="0073388D">
        <w:rPr>
          <w:rFonts w:ascii="Arial" w:hAnsi="Arial"/>
          <w:sz w:val="22"/>
          <w:szCs w:val="22"/>
        </w:rPr>
        <w:t xml:space="preserve"> et sur son </w:t>
      </w:r>
      <w:hyperlink r:id="rId32" w:history="1">
        <w:r w:rsidRPr="0073388D">
          <w:rPr>
            <w:rFonts w:ascii="Arial" w:hAnsi="Arial"/>
            <w:sz w:val="22"/>
            <w:szCs w:val="22"/>
          </w:rPr>
          <w:t>addendum relatif aux situations d’urgence liées à des catastrophes dues à des risques naturels et d’origine humaine</w:t>
        </w:r>
      </w:hyperlink>
      <w:r w:rsidRPr="0073388D">
        <w:rPr>
          <w:rStyle w:val="FootnoteReference"/>
          <w:rFonts w:ascii="Arial" w:eastAsia="MS Mincho" w:hAnsi="Arial" w:cs="Arial"/>
          <w:sz w:val="22"/>
          <w:szCs w:val="22"/>
          <w:lang w:val="en-GB"/>
        </w:rPr>
        <w:footnoteReference w:id="3"/>
      </w:r>
      <w:r w:rsidRPr="0073388D">
        <w:rPr>
          <w:rFonts w:ascii="Arial" w:hAnsi="Arial"/>
          <w:sz w:val="22"/>
          <w:szCs w:val="22"/>
        </w:rPr>
        <w:t xml:space="preserve">, ainsi que sur la résolution 2347 du Conseil de sécurité des Nations Unies (2017). Ils doivent en outre être examinés conjointement aux dispositions pertinentes de la Convention de 2003 pour la sauvegarde du patrimoine culturel immatériel et de ses Directives opérationnelles, en particulier le </w:t>
      </w:r>
      <w:hyperlink r:id="rId33" w:history="1">
        <w:r w:rsidRPr="0073388D">
          <w:rPr>
            <w:rFonts w:ascii="Arial" w:hAnsi="Arial"/>
            <w:sz w:val="22"/>
            <w:szCs w:val="22"/>
          </w:rPr>
          <w:t>Chapitre VI</w:t>
        </w:r>
        <w:r w:rsidRPr="0073388D">
          <w:rPr>
            <w:rStyle w:val="FootnoteReference"/>
            <w:rFonts w:ascii="Arial" w:eastAsia="MS Mincho" w:hAnsi="Arial" w:cs="Arial"/>
            <w:sz w:val="22"/>
            <w:szCs w:val="22"/>
            <w:lang w:val="en-GB"/>
          </w:rPr>
          <w:footnoteReference w:id="4"/>
        </w:r>
        <w:r w:rsidRPr="0073388D">
          <w:rPr>
            <w:rFonts w:ascii="Arial" w:hAnsi="Arial"/>
            <w:sz w:val="22"/>
            <w:szCs w:val="22"/>
          </w:rPr>
          <w:t xml:space="preserve"> relatif à la sauvegarde du patrimoine culturel immatériel et au développement durable à l’échelle nationale</w:t>
        </w:r>
      </w:hyperlink>
      <w:r w:rsidRPr="0073388D">
        <w:rPr>
          <w:rFonts w:ascii="Arial" w:hAnsi="Arial"/>
          <w:sz w:val="22"/>
          <w:szCs w:val="22"/>
        </w:rPr>
        <w:t>, ainsi qu’aux principes éthiques pour la sauvegarde du patrimoine culturel immatériel.</w:t>
      </w:r>
    </w:p>
    <w:p w14:paraId="31BD178A" w14:textId="77777777"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b/>
          <w:bCs/>
          <w:color w:val="000000" w:themeColor="text1"/>
          <w:sz w:val="22"/>
          <w:szCs w:val="22"/>
          <w:u w:val="single"/>
        </w:rPr>
        <w:t>Principes</w:t>
      </w:r>
    </w:p>
    <w:p w14:paraId="3E3CCDB1" w14:textId="19940E8F"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color w:val="000000" w:themeColor="text1"/>
          <w:sz w:val="22"/>
          <w:szCs w:val="22"/>
        </w:rPr>
        <w:t>Toutes les interventions visant à sauvegarder et/ou mobiliser le patrimoine culturel immatériel dans les situations d’urgence doivent s’appuyer sur les principes suivants</w:t>
      </w:r>
      <w:r w:rsidR="00730A2E" w:rsidRPr="0073388D">
        <w:rPr>
          <w:rFonts w:ascii="Arial" w:hAnsi="Arial"/>
          <w:color w:val="000000" w:themeColor="text1"/>
          <w:sz w:val="22"/>
          <w:szCs w:val="22"/>
        </w:rPr>
        <w:t> :</w:t>
      </w:r>
    </w:p>
    <w:p w14:paraId="3DABE0DC" w14:textId="77777777" w:rsidR="00554763" w:rsidRPr="0073388D" w:rsidRDefault="00554763" w:rsidP="00554763">
      <w:pPr>
        <w:numPr>
          <w:ilvl w:val="0"/>
          <w:numId w:val="24"/>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Le patrimoine culturel immatériel existe uniquement dans le cadre de sa mise en œuvre par les communautés qui le pratiquent et le transmettent, et il est indissociable de leur vie sociale, culturelle et économique. Par conséquent, sa sauvegarde est intrinsèquement liée à la protection de la vie et du bien-être de ses détenteurs.</w:t>
      </w:r>
    </w:p>
    <w:p w14:paraId="05DE1E6F" w14:textId="77777777" w:rsidR="00554763" w:rsidRPr="0073388D" w:rsidRDefault="00554763" w:rsidP="00554763">
      <w:pPr>
        <w:numPr>
          <w:ilvl w:val="0"/>
          <w:numId w:val="24"/>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Les communautés dont le patrimoine culturel immatériel peut être touché par une situation d’urgence comprennent les individus résidant dans la zone touchée par la catastrophe naturelle ou le conflit armé, les personnes déplacées et leurs communautés d’accueil, ainsi que tout autre individu ou groupe ayant un lien avec le patrimoine culturel immatériel en question.</w:t>
      </w:r>
    </w:p>
    <w:p w14:paraId="354238E1" w14:textId="77777777" w:rsidR="00554763" w:rsidRPr="0073388D" w:rsidRDefault="00554763" w:rsidP="00554763">
      <w:pPr>
        <w:numPr>
          <w:ilvl w:val="0"/>
          <w:numId w:val="24"/>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Les communautés doivent être prioritairement impliquées dans l’identification de leur patrimoine culturel immatériel tout au long de chaque phase de la situation d’urgence. Cela suppose que les communautés soient directement associées à l’évaluation de l’impact de la situation d’urgence sur leur patrimoine culturel immatériel au choix des mesures à prendre pour le sauvegarder ainsi qu’à l’identification des moyens de l’utiliser en tant que ressource pour renforcer leur résilience, faciliter leur relèvement et rétablir la confiance et une coexistence harmonieuse au sein des communautés, et entre elles.</w:t>
      </w:r>
    </w:p>
    <w:p w14:paraId="488CDE30" w14:textId="77777777" w:rsidR="00554763" w:rsidRPr="0073388D" w:rsidRDefault="00554763" w:rsidP="00554763">
      <w:pPr>
        <w:numPr>
          <w:ilvl w:val="0"/>
          <w:numId w:val="24"/>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Conformément à l’article 11 de la Convention, les États parties doivent prendre toutes les mesures nécessaires pour assurer la sauvegarde du patrimoine culturel immatériel présent sur leur territoire. Cette disposition s’applique dans tous les contextes, y compris lorsque le patrimoine culturel immatériel est touché par une situation d’urgence. Ce faisant, les États parties doivent s’efforcer d’assurer la plus large participation possible des communautés dans les actions de sauvegarde, y compris des réfugiés, des personnes déplacées dans leur propre pays et des migrants présents sur leur territoire.</w:t>
      </w:r>
    </w:p>
    <w:p w14:paraId="5F34B818" w14:textId="77777777" w:rsidR="00554763" w:rsidRPr="0073388D" w:rsidRDefault="00554763" w:rsidP="00554763">
      <w:pPr>
        <w:numPr>
          <w:ilvl w:val="0"/>
          <w:numId w:val="24"/>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Les parties prenantes nationales et internationales impliquées dans la gestion des situations d’urgence (y compris les spécialistes de la préparation aux catastrophes et des interventions d’urgence, les acteurs humanitaires, les organisations non gouvernementales et les forces armées) ont un rôle important à jouer dans la sauvegarde du patrimoine culturel immatériel touché et pour soutenir les communautés concernées afin qu’elles s’appuient sur ce patrimoine pour se préparer aux situations d’urgence et y faire face.</w:t>
      </w:r>
    </w:p>
    <w:p w14:paraId="048756B3" w14:textId="77777777" w:rsidR="00554763" w:rsidRPr="0073388D" w:rsidRDefault="00554763" w:rsidP="00554763">
      <w:pPr>
        <w:numPr>
          <w:ilvl w:val="0"/>
          <w:numId w:val="24"/>
        </w:numPr>
        <w:shd w:val="clear" w:color="auto" w:fill="FFFFFF"/>
        <w:spacing w:before="100" w:beforeAutospacing="1" w:after="240"/>
        <w:jc w:val="both"/>
        <w:rPr>
          <w:rFonts w:ascii="Arial" w:hAnsi="Arial" w:cs="Arial"/>
          <w:color w:val="000000" w:themeColor="text1"/>
          <w:sz w:val="22"/>
          <w:szCs w:val="22"/>
        </w:rPr>
      </w:pPr>
      <w:r w:rsidRPr="0073388D">
        <w:rPr>
          <w:rFonts w:ascii="Arial" w:hAnsi="Arial"/>
          <w:color w:val="000000" w:themeColor="text1"/>
          <w:sz w:val="22"/>
          <w:szCs w:val="22"/>
        </w:rPr>
        <w:t>Le patrimoine culturel immatériel est de nature dynamique et polyvalente, et est constamment recréé par ses communautés en réponse à leur environnement, leur interaction avec la nature et leur histoire, y compris les situations d’urgence. Les efforts de sauvegarde ou de mobilisation du patrimoine culturel immatériel doivent toujours prendre en compte et respecter cette nature dynamique et polyvalente.</w:t>
      </w:r>
    </w:p>
    <w:p w14:paraId="5715CCAB" w14:textId="77777777"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b/>
          <w:bCs/>
          <w:color w:val="000000" w:themeColor="text1"/>
          <w:sz w:val="22"/>
          <w:szCs w:val="22"/>
          <w:u w:val="single"/>
        </w:rPr>
        <w:t>Modalités</w:t>
      </w:r>
    </w:p>
    <w:p w14:paraId="7A59AC6F" w14:textId="77777777" w:rsidR="00554763" w:rsidRPr="0073388D" w:rsidRDefault="00554763" w:rsidP="00554763">
      <w:pPr>
        <w:pStyle w:val="NormalWeb"/>
        <w:shd w:val="clear" w:color="auto" w:fill="FFFFFF"/>
        <w:spacing w:before="0" w:beforeAutospacing="0" w:after="240" w:afterAutospacing="0"/>
        <w:jc w:val="both"/>
        <w:rPr>
          <w:rFonts w:ascii="Arial" w:hAnsi="Arial" w:cs="Arial"/>
          <w:color w:val="000000" w:themeColor="text1"/>
          <w:sz w:val="22"/>
          <w:szCs w:val="22"/>
        </w:rPr>
      </w:pPr>
      <w:r w:rsidRPr="0073388D">
        <w:rPr>
          <w:rFonts w:ascii="Arial" w:hAnsi="Arial"/>
          <w:color w:val="000000" w:themeColor="text1"/>
          <w:sz w:val="22"/>
          <w:szCs w:val="22"/>
        </w:rPr>
        <w:t>Les modalités suivantes intègrent les principes énoncés ci-dessus et identifient les mesures adaptées à chacune des trois phases principales du cycle de gestion des situations d’urgence, c’est-à-dire la préparation, la réponse et le relèvement, tout en reconnaissant que la durée de chaque phase puisse varier et que les phases puissent se chevaucher. Les circonstances et conditions locales détermineront lesquelles de ces actions sont les plus pertinentes et appropriées pour un élément particulier du patrimoine culturel immatériel ou une situation spécifique.</w:t>
      </w:r>
    </w:p>
    <w:p w14:paraId="5D39293D" w14:textId="77777777"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b/>
          <w:bCs/>
          <w:color w:val="000000" w:themeColor="text1"/>
          <w:sz w:val="22"/>
          <w:szCs w:val="22"/>
        </w:rPr>
        <w:t>Préparation</w:t>
      </w:r>
    </w:p>
    <w:p w14:paraId="74F0005E" w14:textId="77777777" w:rsidR="00554763" w:rsidRPr="0073388D" w:rsidRDefault="00554763" w:rsidP="00554763">
      <w:pPr>
        <w:numPr>
          <w:ilvl w:val="0"/>
          <w:numId w:val="25"/>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Sensibiliser les parties prenantes à la dualité du patrimoine culturel immatériel dans les situations d’urgence ainsi qu’aux présents principes et modalités, et renforcer leurs capacités à cet égard.</w:t>
      </w:r>
    </w:p>
    <w:p w14:paraId="364B15FA" w14:textId="77777777" w:rsidR="00554763" w:rsidRPr="0073388D" w:rsidRDefault="00554763" w:rsidP="00554763">
      <w:pPr>
        <w:numPr>
          <w:ilvl w:val="0"/>
          <w:numId w:val="25"/>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En consultation avec d’autres parties prenantes, fournir les ressources et le soutien nécessaires pour renforcer la capacité des communautés à s’impliquer dans tous les aspects de la réduction des risques et de la préparation aux situations d’urgence, en particulier dans les régions et pays à risque.</w:t>
      </w:r>
    </w:p>
    <w:p w14:paraId="7996ED29" w14:textId="77777777" w:rsidR="00554763" w:rsidRPr="0073388D" w:rsidRDefault="00554763" w:rsidP="00554763">
      <w:pPr>
        <w:numPr>
          <w:ilvl w:val="0"/>
          <w:numId w:val="25"/>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Inclure les informations relatives à la vulnérabilité des éléments aux situations d’urgence potentielles dans les inventaires du patrimoine culturel immatériel, tel que prévu dans la Convention de 2003. Les inventaires doivent mentionner les capacités qu’ont ces éléments d’atténuer les effets des urgences et fournir des informations détaillées sur les lieux et les communautés concernés afin de permettre de les identifier et d’y avoir accès lors de la phase de réponse à une urgence.</w:t>
      </w:r>
    </w:p>
    <w:p w14:paraId="2E1539D4" w14:textId="77777777" w:rsidR="00554763" w:rsidRPr="0073388D" w:rsidRDefault="00554763" w:rsidP="00554763">
      <w:pPr>
        <w:numPr>
          <w:ilvl w:val="0"/>
          <w:numId w:val="25"/>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Inclure des mesures de préparation aux situations d’urgence dans les plans de sauvegarde des éléments spécifiques, ce qui peut comprendre : des mesures préventives visant à remédier à leur vulnérabilité potentielle face aux urgences, des mesures préparatoires visant à renforcer et mobiliser leurs capacités d’atténuation ou encore une méthodologie permettant d’évaluer la situation de l’élément lors de la phase de réponse à une urgence.</w:t>
      </w:r>
    </w:p>
    <w:p w14:paraId="7F583E46" w14:textId="77777777" w:rsidR="00554763" w:rsidRPr="0073388D" w:rsidRDefault="00554763" w:rsidP="00554763">
      <w:pPr>
        <w:numPr>
          <w:ilvl w:val="0"/>
          <w:numId w:val="25"/>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Intégrer le patrimoine culturel immatériel concerné aux programmes locaux, nationaux, sous-régionaux et régionaux de la réduction des risques et de préparation aux situations d’urgence.</w:t>
      </w:r>
    </w:p>
    <w:p w14:paraId="7759EF79" w14:textId="77777777" w:rsidR="00554763" w:rsidRPr="0073388D" w:rsidRDefault="00554763" w:rsidP="00554763">
      <w:pPr>
        <w:numPr>
          <w:ilvl w:val="0"/>
          <w:numId w:val="25"/>
        </w:numPr>
        <w:shd w:val="clear" w:color="auto" w:fill="FFFFFF"/>
        <w:spacing w:before="100" w:beforeAutospacing="1" w:after="240"/>
        <w:jc w:val="both"/>
        <w:rPr>
          <w:rFonts w:ascii="Arial" w:hAnsi="Arial" w:cs="Arial"/>
          <w:color w:val="000000" w:themeColor="text1"/>
          <w:sz w:val="22"/>
          <w:szCs w:val="22"/>
        </w:rPr>
      </w:pPr>
      <w:r w:rsidRPr="0073388D">
        <w:rPr>
          <w:rFonts w:ascii="Arial" w:hAnsi="Arial"/>
          <w:color w:val="000000" w:themeColor="text1"/>
          <w:sz w:val="22"/>
          <w:szCs w:val="22"/>
        </w:rPr>
        <w:t>Mettre en relation les organismes de sauvegarde du patrimoine culturel immatériel et les intervenants responsables de la préparation aux urgences.</w:t>
      </w:r>
    </w:p>
    <w:p w14:paraId="5044F276" w14:textId="77777777" w:rsidR="00554763" w:rsidRPr="0073388D" w:rsidRDefault="00554763" w:rsidP="006E6BE0">
      <w:pPr>
        <w:pStyle w:val="NormalWeb"/>
        <w:keepNext/>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b/>
          <w:bCs/>
          <w:color w:val="000000" w:themeColor="text1"/>
          <w:sz w:val="22"/>
          <w:szCs w:val="22"/>
        </w:rPr>
        <w:t>Réponse</w:t>
      </w:r>
    </w:p>
    <w:p w14:paraId="00167C4D" w14:textId="77777777" w:rsidR="00554763" w:rsidRPr="0073388D" w:rsidRDefault="00554763" w:rsidP="00554763">
      <w:pPr>
        <w:numPr>
          <w:ilvl w:val="0"/>
          <w:numId w:val="26"/>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Identifier, localiser et contacter les communautés dont le patrimoine culturel immatériel est touché par la situation d’urgence ou susceptible de l’être.</w:t>
      </w:r>
    </w:p>
    <w:p w14:paraId="79AB4ADE" w14:textId="77777777" w:rsidR="00554763" w:rsidRPr="0073388D" w:rsidRDefault="00554763" w:rsidP="00554763">
      <w:pPr>
        <w:numPr>
          <w:ilvl w:val="0"/>
          <w:numId w:val="26"/>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Privilégier l’octroi de ressources et l’appui aux capacités des communautés concernées afin qu’elles se chargent elles-mêmes d’identifier leurs besoins de sauvegarde immédiats, d’y répondre et de tirer parti de leur patrimoine culturel immatériel pour atténuer les effets immédiats de la situation d’urgence (identification des besoins réalisée avec la participation des communautés). Dans certains cas, cette série de mesures ne pourra être mise en œuvre que lors de la phase de relèvement.</w:t>
      </w:r>
    </w:p>
    <w:p w14:paraId="3B642FFE" w14:textId="77777777" w:rsidR="00554763" w:rsidRPr="0073388D" w:rsidRDefault="00554763" w:rsidP="00554763">
      <w:pPr>
        <w:numPr>
          <w:ilvl w:val="0"/>
          <w:numId w:val="26"/>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Partager des informations au sein des États parties touchés, entre eux et avec d’autres parties prenantes, en particulier les acteurs humanitaires, les organisations non gouvernementales pertinentes et/ou les forces armées, et ce afin de déterminer la nature et l’ampleur des perturbations subies par le patrimoine culturel immatériel et si ce dernier peut être mobilisé pour atténuer les effets de la situation d’urgence. Cela permettra également de veiller à ce que les opérations de secours prennent pleinement en considération le patrimoine culturel immatériel existant et contribuent à sa sauvegarde.</w:t>
      </w:r>
    </w:p>
    <w:p w14:paraId="0D9208CE" w14:textId="77777777" w:rsidR="00554763" w:rsidRPr="0073388D" w:rsidRDefault="00554763" w:rsidP="00554763">
      <w:pPr>
        <w:numPr>
          <w:ilvl w:val="0"/>
          <w:numId w:val="26"/>
        </w:numPr>
        <w:shd w:val="clear" w:color="auto" w:fill="FFFFFF"/>
        <w:spacing w:before="100" w:beforeAutospacing="1" w:after="240"/>
        <w:jc w:val="both"/>
        <w:rPr>
          <w:rFonts w:ascii="Arial" w:hAnsi="Arial" w:cs="Arial"/>
          <w:color w:val="000000" w:themeColor="text1"/>
          <w:sz w:val="22"/>
          <w:szCs w:val="22"/>
        </w:rPr>
      </w:pPr>
      <w:r w:rsidRPr="0073388D">
        <w:rPr>
          <w:rFonts w:ascii="Arial" w:hAnsi="Arial"/>
          <w:color w:val="000000" w:themeColor="text1"/>
          <w:sz w:val="22"/>
          <w:szCs w:val="22"/>
        </w:rPr>
        <w:t>Chaque fois qu’une évaluation des besoins après une catastrophe naturelle ou un conflit est entreprise, notamment dans le cadre des mécanismes multipartites de réponse aux crises internationales, veiller à ce que le patrimoine culturel immatériel soit intégré. Impliquer les communautés dans l’évaluation des impacts de la catastrophe naturelle et/ou du conflit armé sur leur patrimoine culturel immatériel, ainsi que des pertes et dommages économiques connexes et des impacts sur le développement humain.</w:t>
      </w:r>
    </w:p>
    <w:p w14:paraId="36687F08" w14:textId="77777777" w:rsidR="00554763" w:rsidRPr="0073388D" w:rsidRDefault="00554763" w:rsidP="00554763">
      <w:pPr>
        <w:pStyle w:val="NormalWeb"/>
        <w:shd w:val="clear" w:color="auto" w:fill="FFFFFF"/>
        <w:spacing w:before="0" w:beforeAutospacing="0" w:after="150" w:afterAutospacing="0"/>
        <w:jc w:val="both"/>
        <w:rPr>
          <w:rFonts w:ascii="Arial" w:hAnsi="Arial" w:cs="Arial"/>
          <w:color w:val="000000" w:themeColor="text1"/>
          <w:sz w:val="22"/>
          <w:szCs w:val="22"/>
        </w:rPr>
      </w:pPr>
      <w:r w:rsidRPr="0073388D">
        <w:rPr>
          <w:rFonts w:ascii="Arial" w:hAnsi="Arial"/>
          <w:b/>
          <w:bCs/>
          <w:color w:val="000000" w:themeColor="text1"/>
          <w:sz w:val="22"/>
          <w:szCs w:val="22"/>
        </w:rPr>
        <w:t>Relèvement</w:t>
      </w:r>
    </w:p>
    <w:p w14:paraId="61DE3896" w14:textId="77777777" w:rsidR="00554763" w:rsidRPr="0073388D" w:rsidRDefault="00554763" w:rsidP="00554763">
      <w:pPr>
        <w:numPr>
          <w:ilvl w:val="0"/>
          <w:numId w:val="27"/>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Identifier les besoins avec la participation des communautés si cela n’a pas été possible plus tôt.</w:t>
      </w:r>
    </w:p>
    <w:p w14:paraId="252DB4CD" w14:textId="77777777" w:rsidR="00554763" w:rsidRPr="0073388D" w:rsidRDefault="00554763" w:rsidP="00554763">
      <w:pPr>
        <w:numPr>
          <w:ilvl w:val="0"/>
          <w:numId w:val="27"/>
        </w:numPr>
        <w:shd w:val="clear" w:color="auto" w:fill="FFFFFF"/>
        <w:spacing w:before="100" w:beforeAutospacing="1" w:after="75"/>
        <w:jc w:val="both"/>
        <w:rPr>
          <w:rFonts w:ascii="Arial" w:hAnsi="Arial" w:cs="Arial"/>
          <w:color w:val="000000" w:themeColor="text1"/>
          <w:sz w:val="22"/>
          <w:szCs w:val="22"/>
        </w:rPr>
      </w:pPr>
      <w:r w:rsidRPr="0073388D">
        <w:rPr>
          <w:rFonts w:ascii="Arial" w:hAnsi="Arial"/>
          <w:color w:val="000000" w:themeColor="text1"/>
          <w:sz w:val="22"/>
          <w:szCs w:val="22"/>
        </w:rPr>
        <w:t>En fonction des résultats du processus d’identification des besoins, fournir ressources et appui aux communautés afin qu’elles élaborent et mettent en œuvre des mesures ou des plans de sauvegarde renforçant la capacité qu’a leur patrimoine culturel immatériel d’atténuer les effets de l’urgence. Ce soutien doit être assuré tout au long de la phase de relèvement et jusqu’à la phase de préparation suivante, mais aussi lors de la transition entre un état de dépendance vis-à-vis de l’assistance humanitaire et une situation de développement.</w:t>
      </w:r>
    </w:p>
    <w:p w14:paraId="657DDBEF" w14:textId="77777777" w:rsidR="00554763" w:rsidRPr="0073388D" w:rsidRDefault="00554763" w:rsidP="00554763">
      <w:pPr>
        <w:numPr>
          <w:ilvl w:val="0"/>
          <w:numId w:val="27"/>
        </w:numPr>
        <w:shd w:val="clear" w:color="auto" w:fill="FFFFFF"/>
        <w:spacing w:before="100" w:beforeAutospacing="1" w:after="240"/>
        <w:jc w:val="both"/>
        <w:rPr>
          <w:rFonts w:ascii="Arial" w:hAnsi="Arial" w:cs="Arial"/>
          <w:color w:val="000000" w:themeColor="text1"/>
          <w:sz w:val="22"/>
          <w:szCs w:val="22"/>
        </w:rPr>
      </w:pPr>
      <w:r w:rsidRPr="0073388D">
        <w:rPr>
          <w:rFonts w:ascii="Arial" w:hAnsi="Arial"/>
          <w:color w:val="000000" w:themeColor="text1"/>
          <w:sz w:val="22"/>
          <w:szCs w:val="22"/>
        </w:rPr>
        <w:t>Mobiliser le patrimoine culturel immatériel dans la promotion du dialogue, de la compréhension mutuelle et de la réconciliation au sein des communautés et entre elles, y compris entre les populations déplacées et les communautés d’accueil.</w:t>
      </w:r>
    </w:p>
    <w:p w14:paraId="286B5A42" w14:textId="77777777" w:rsidR="00554763" w:rsidRPr="0073388D" w:rsidRDefault="00554763" w:rsidP="00A615C3">
      <w:pPr>
        <w:pStyle w:val="NormalWeb"/>
        <w:shd w:val="clear" w:color="auto" w:fill="FFFFFF"/>
        <w:spacing w:before="0" w:beforeAutospacing="0" w:after="480" w:afterAutospacing="0"/>
        <w:jc w:val="both"/>
        <w:rPr>
          <w:rFonts w:ascii="Arial" w:hAnsi="Arial" w:cs="Arial"/>
          <w:color w:val="000000" w:themeColor="text1"/>
          <w:sz w:val="22"/>
          <w:szCs w:val="22"/>
        </w:rPr>
      </w:pPr>
      <w:r w:rsidRPr="0073388D">
        <w:rPr>
          <w:rFonts w:ascii="Arial" w:hAnsi="Arial"/>
          <w:b/>
          <w:bCs/>
          <w:color w:val="000000" w:themeColor="text1"/>
          <w:sz w:val="22"/>
          <w:szCs w:val="22"/>
        </w:rPr>
        <w:t>Remarque :</w:t>
      </w:r>
      <w:r w:rsidRPr="0073388D">
        <w:rPr>
          <w:rFonts w:ascii="Arial" w:hAnsi="Arial"/>
          <w:color w:val="000000" w:themeColor="text1"/>
          <w:sz w:val="22"/>
          <w:szCs w:val="22"/>
        </w:rPr>
        <w:t xml:space="preserve"> Les ressources et aides financières doivent être sollicitées auprès des divers fonds liés aux situations d’urgence, comme le Fonds d’urgence du patrimoine de l’UNESCO et le Fonds du patrimoine culturel immatériel (Assistance internationale d’urgence). Les mécanismes d’inscription sur les Listes de la Convention de 2003 peuvent être l’occasion de promouvoir et de renforcer la visibilité des éléments qui contribuent à préparer les communautés aux catastrophes naturelles et/ou aux conflits armés, à y répondre et à s’en relever (Liste représentative du patrimoine culturel immatériel de l’humanité, Liste du patrimoine culturel immatériel nécessitant une sauvegarde urgente et Registre des bonnes pratiques de sauvegarde). Ces mécanismes peuvent aussi attirer l’attention de la communauté internationale sur les éléments particulièrement menacés par une catastrophe naturelle et/ou un conflit armé (voir le critère U.6 au Chapitre I.1 des Directives opérationnelles de la Convention de 2003 concernant les possibilités d’une procédure accélérée d’inscription sur la Liste du patrimoine culturel immatériel nécessitant une sauvegarde urgente).</w:t>
      </w:r>
    </w:p>
    <w:p w14:paraId="751343C9" w14:textId="77777777" w:rsidR="007A4B9A" w:rsidRPr="0073388D" w:rsidRDefault="007A4B9A" w:rsidP="00A615C3">
      <w:pPr>
        <w:pStyle w:val="GATitleResolution"/>
        <w:keepNext w:val="0"/>
        <w:tabs>
          <w:tab w:val="clear" w:pos="567"/>
          <w:tab w:val="left" w:pos="810"/>
        </w:tabs>
        <w:ind w:left="0"/>
      </w:pPr>
      <w:r w:rsidRPr="0073388D">
        <w:t>RÉSOLUTION 8.GA 10</w:t>
      </w:r>
    </w:p>
    <w:p w14:paraId="7F1C741F" w14:textId="77777777" w:rsidR="007A4B9A" w:rsidRPr="0073388D" w:rsidRDefault="007A4B9A" w:rsidP="007A4B9A">
      <w:pPr>
        <w:pStyle w:val="GAPreambulaResolution"/>
        <w:tabs>
          <w:tab w:val="left" w:pos="900"/>
        </w:tabs>
        <w:ind w:left="0"/>
        <w:rPr>
          <w:rFonts w:eastAsia="SimSun"/>
          <w:lang w:val="fr-FR"/>
        </w:rPr>
      </w:pPr>
      <w:r w:rsidRPr="0073388D">
        <w:rPr>
          <w:lang w:val="fr-FR"/>
        </w:rPr>
        <w:t>L’Assemblée générale,</w:t>
      </w:r>
    </w:p>
    <w:p w14:paraId="019FBE14" w14:textId="101A34F1" w:rsidR="007A4B9A" w:rsidRPr="0073388D" w:rsidRDefault="007A4B9A" w:rsidP="00654D96">
      <w:pPr>
        <w:pStyle w:val="GAParaResolution"/>
        <w:numPr>
          <w:ilvl w:val="0"/>
          <w:numId w:val="19"/>
        </w:numPr>
        <w:ind w:left="567" w:hanging="567"/>
        <w:jc w:val="left"/>
        <w:rPr>
          <w:color w:val="000000" w:themeColor="text1"/>
        </w:rPr>
      </w:pPr>
      <w:r w:rsidRPr="0073388D">
        <w:rPr>
          <w:color w:val="000000" w:themeColor="text1"/>
        </w:rPr>
        <w:t>Ayant examiné</w:t>
      </w:r>
      <w:r w:rsidRPr="0073388D">
        <w:rPr>
          <w:color w:val="000000" w:themeColor="text1"/>
          <w:u w:val="none"/>
        </w:rPr>
        <w:t xml:space="preserve"> le </w:t>
      </w:r>
      <w:r w:rsidR="00F148BF" w:rsidRPr="0073388D">
        <w:rPr>
          <w:color w:val="000000" w:themeColor="text1"/>
          <w:u w:val="none"/>
        </w:rPr>
        <w:t xml:space="preserve">document </w:t>
      </w:r>
      <w:hyperlink r:id="rId34" w:history="1">
        <w:r w:rsidR="00F148BF" w:rsidRPr="0073388D">
          <w:rPr>
            <w:rStyle w:val="Hyperlink"/>
          </w:rPr>
          <w:t>LHE/20/8.GA/10</w:t>
        </w:r>
      </w:hyperlink>
      <w:r w:rsidR="00CE7D5A" w:rsidRPr="0073388D">
        <w:rPr>
          <w:color w:val="000000" w:themeColor="text1"/>
          <w:u w:val="none"/>
        </w:rPr>
        <w:t xml:space="preserve"> et son annexe,</w:t>
      </w:r>
    </w:p>
    <w:p w14:paraId="684BBFA2" w14:textId="77777777" w:rsidR="007A4B9A" w:rsidRPr="0073388D" w:rsidRDefault="007A4B9A" w:rsidP="00654D96">
      <w:pPr>
        <w:pStyle w:val="COMParaDecision"/>
        <w:numPr>
          <w:ilvl w:val="0"/>
          <w:numId w:val="1"/>
        </w:numPr>
        <w:ind w:left="567" w:hanging="567"/>
        <w:rPr>
          <w:color w:val="000000" w:themeColor="text1"/>
          <w:u w:val="none"/>
        </w:rPr>
      </w:pPr>
      <w:r w:rsidRPr="0073388D">
        <w:rPr>
          <w:color w:val="000000" w:themeColor="text1"/>
        </w:rPr>
        <w:t>Reconnaît</w:t>
      </w:r>
      <w:r w:rsidRPr="0073388D">
        <w:rPr>
          <w:color w:val="000000" w:themeColor="text1"/>
          <w:u w:val="none"/>
        </w:rPr>
        <w:t xml:space="preserve"> l’expérience positive que le mécanisme de « dialogue provisoire en amont » du cycle 2019 a apportée au processus d’évaluation et d’inscription et </w:t>
      </w:r>
      <w:r w:rsidRPr="0073388D">
        <w:rPr>
          <w:color w:val="000000" w:themeColor="text1"/>
        </w:rPr>
        <w:t>soutient</w:t>
      </w:r>
      <w:r w:rsidRPr="0073388D">
        <w:rPr>
          <w:color w:val="000000" w:themeColor="text1"/>
          <w:u w:val="none"/>
        </w:rPr>
        <w:t xml:space="preserve"> la proposition d’inclusion d’un processus de dialogue intermédiaire supplémentaire dans le cycle de candidature ;</w:t>
      </w:r>
    </w:p>
    <w:p w14:paraId="3D0396CD" w14:textId="77777777" w:rsidR="007A4B9A" w:rsidRPr="0073388D" w:rsidRDefault="007A4B9A" w:rsidP="00654D96">
      <w:pPr>
        <w:pStyle w:val="COMParaDecision"/>
        <w:numPr>
          <w:ilvl w:val="0"/>
          <w:numId w:val="1"/>
        </w:numPr>
        <w:ind w:left="567" w:hanging="567"/>
        <w:rPr>
          <w:color w:val="000000" w:themeColor="text1"/>
        </w:rPr>
      </w:pPr>
      <w:r w:rsidRPr="0073388D">
        <w:rPr>
          <w:color w:val="000000" w:themeColor="text1"/>
        </w:rPr>
        <w:t>Approuve</w:t>
      </w:r>
      <w:r w:rsidRPr="0073388D">
        <w:rPr>
          <w:color w:val="000000" w:themeColor="text1"/>
          <w:u w:val="none"/>
        </w:rPr>
        <w:t xml:space="preserve"> les amendements aux Directives opérationnelles tels qu’annexés à la présente résolution.</w:t>
      </w:r>
    </w:p>
    <w:p w14:paraId="7250EC63" w14:textId="77777777" w:rsidR="00FC2DAF" w:rsidRPr="0073388D" w:rsidRDefault="00FC2DAF">
      <w:pPr>
        <w:spacing w:after="160" w:line="259" w:lineRule="auto"/>
        <w:rPr>
          <w:rFonts w:ascii="Arial" w:hAnsi="Arial" w:cs="Arial"/>
          <w:b/>
          <w:bCs/>
          <w:color w:val="000000" w:themeColor="text1"/>
          <w:sz w:val="22"/>
          <w:szCs w:val="22"/>
        </w:rPr>
      </w:pPr>
      <w:r w:rsidRPr="0073388D">
        <w:rPr>
          <w:b/>
          <w:bCs/>
          <w:color w:val="000000" w:themeColor="text1"/>
        </w:rPr>
        <w:br w:type="page"/>
      </w:r>
    </w:p>
    <w:p w14:paraId="4DBCF975" w14:textId="6D73109B" w:rsidR="000D1DFC" w:rsidRPr="0073388D" w:rsidRDefault="000D1DFC" w:rsidP="006E6BE0">
      <w:pPr>
        <w:pStyle w:val="COMParaDecision"/>
        <w:spacing w:before="360" w:after="240"/>
        <w:ind w:left="0" w:firstLine="0"/>
        <w:jc w:val="center"/>
        <w:rPr>
          <w:b/>
          <w:bCs/>
          <w:color w:val="000000" w:themeColor="text1"/>
          <w:u w:val="none"/>
        </w:rPr>
      </w:pPr>
      <w:r w:rsidRPr="0073388D">
        <w:rPr>
          <w:b/>
          <w:bCs/>
          <w:color w:val="000000" w:themeColor="text1"/>
          <w:u w:val="none"/>
        </w:rPr>
        <w:t>ANNEXE</w:t>
      </w:r>
    </w:p>
    <w:tbl>
      <w:tblPr>
        <w:tblStyle w:val="TableGrid"/>
        <w:tblW w:w="508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286"/>
        <w:gridCol w:w="5957"/>
      </w:tblGrid>
      <w:tr w:rsidR="00FA4D92" w:rsidRPr="0073388D" w14:paraId="759E3877" w14:textId="77777777" w:rsidTr="00C8068C">
        <w:trPr>
          <w:trHeight w:val="487"/>
        </w:trPr>
        <w:tc>
          <w:tcPr>
            <w:tcW w:w="670" w:type="pct"/>
          </w:tcPr>
          <w:p w14:paraId="65BAE62D" w14:textId="77777777" w:rsidR="00FA4D92" w:rsidRPr="0073388D" w:rsidRDefault="00FA4D92" w:rsidP="00A90C86">
            <w:pPr>
              <w:tabs>
                <w:tab w:val="left" w:pos="530"/>
              </w:tabs>
              <w:autoSpaceDE w:val="0"/>
              <w:autoSpaceDN w:val="0"/>
              <w:adjustRightInd w:val="0"/>
              <w:spacing w:before="120" w:after="120"/>
              <w:ind w:right="110"/>
              <w:jc w:val="right"/>
              <w:rPr>
                <w:rFonts w:ascii="Arial" w:eastAsia="SimSun" w:hAnsi="Arial" w:cs="Arial"/>
                <w:sz w:val="22"/>
                <w:szCs w:val="22"/>
                <w:lang w:val="en-GB"/>
              </w:rPr>
            </w:pPr>
            <w:r w:rsidRPr="0073388D">
              <w:rPr>
                <w:rFonts w:ascii="Arial" w:eastAsia="SimSun" w:hAnsi="Arial" w:cs="Arial"/>
                <w:sz w:val="22"/>
                <w:szCs w:val="22"/>
              </w:rPr>
              <w:t>55.</w:t>
            </w:r>
          </w:p>
        </w:tc>
        <w:tc>
          <w:tcPr>
            <w:tcW w:w="1201" w:type="pct"/>
          </w:tcPr>
          <w:p w14:paraId="4E1D4309"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lang w:val="en-GB"/>
              </w:rPr>
            </w:pPr>
            <w:r w:rsidRPr="0073388D">
              <w:rPr>
                <w:rFonts w:ascii="Arial" w:eastAsia="SimSun" w:hAnsi="Arial" w:cs="Arial"/>
                <w:sz w:val="22"/>
                <w:szCs w:val="22"/>
              </w:rPr>
              <w:t>Phase 2 :</w:t>
            </w:r>
          </w:p>
        </w:tc>
        <w:tc>
          <w:tcPr>
            <w:tcW w:w="3129" w:type="pct"/>
          </w:tcPr>
          <w:p w14:paraId="53A17F51" w14:textId="77777777" w:rsidR="00FA4D92" w:rsidRPr="0073388D" w:rsidRDefault="00FA4D92" w:rsidP="006E6BE0">
            <w:pPr>
              <w:autoSpaceDE w:val="0"/>
              <w:autoSpaceDN w:val="0"/>
              <w:adjustRightInd w:val="0"/>
              <w:spacing w:before="120" w:after="120"/>
              <w:jc w:val="both"/>
              <w:rPr>
                <w:rFonts w:ascii="Arial" w:eastAsia="SimSun" w:hAnsi="Arial" w:cs="Arial"/>
                <w:sz w:val="22"/>
                <w:szCs w:val="22"/>
                <w:lang w:val="en-GB"/>
              </w:rPr>
            </w:pPr>
            <w:r w:rsidRPr="0073388D">
              <w:rPr>
                <w:rFonts w:ascii="Arial" w:eastAsia="SimSun" w:hAnsi="Arial" w:cs="Arial"/>
                <w:sz w:val="22"/>
                <w:szCs w:val="22"/>
              </w:rPr>
              <w:t>Évaluation</w:t>
            </w:r>
          </w:p>
        </w:tc>
      </w:tr>
      <w:tr w:rsidR="00FA4D92" w:rsidRPr="0073388D" w14:paraId="1B1E284B" w14:textId="77777777" w:rsidTr="00C8068C">
        <w:trPr>
          <w:trHeight w:val="997"/>
        </w:trPr>
        <w:tc>
          <w:tcPr>
            <w:tcW w:w="670" w:type="pct"/>
          </w:tcPr>
          <w:p w14:paraId="51E9189A"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lang w:val="en-GB"/>
              </w:rPr>
            </w:pPr>
          </w:p>
        </w:tc>
        <w:tc>
          <w:tcPr>
            <w:tcW w:w="1201" w:type="pct"/>
          </w:tcPr>
          <w:p w14:paraId="7661B105"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r w:rsidRPr="0073388D">
              <w:rPr>
                <w:rFonts w:ascii="Arial" w:eastAsia="SimSun" w:hAnsi="Arial" w:cs="Arial"/>
                <w:sz w:val="22"/>
                <w:szCs w:val="22"/>
              </w:rPr>
              <w:t>décembre année 1</w:t>
            </w:r>
            <w:r w:rsidRPr="0073388D">
              <w:rPr>
                <w:rFonts w:ascii="Arial" w:eastAsia="SimSun" w:hAnsi="Arial" w:cs="Arial"/>
                <w:sz w:val="22"/>
                <w:szCs w:val="22"/>
              </w:rPr>
              <w:br/>
              <w:t xml:space="preserve"> à mai année 2</w:t>
            </w:r>
          </w:p>
        </w:tc>
        <w:tc>
          <w:tcPr>
            <w:tcW w:w="3129" w:type="pct"/>
          </w:tcPr>
          <w:p w14:paraId="1CD10E4C" w14:textId="77777777" w:rsidR="00FA4D92" w:rsidRPr="0073388D" w:rsidRDefault="00FA4D92" w:rsidP="006E6BE0">
            <w:pPr>
              <w:autoSpaceDE w:val="0"/>
              <w:autoSpaceDN w:val="0"/>
              <w:adjustRightInd w:val="0"/>
              <w:spacing w:before="120" w:after="120"/>
              <w:jc w:val="both"/>
              <w:rPr>
                <w:rFonts w:ascii="Arial" w:eastAsia="SimSun" w:hAnsi="Arial" w:cs="Arial"/>
                <w:sz w:val="22"/>
                <w:szCs w:val="22"/>
              </w:rPr>
            </w:pPr>
            <w:r w:rsidRPr="0073388D">
              <w:rPr>
                <w:rFonts w:ascii="Arial" w:eastAsia="SimSun" w:hAnsi="Arial" w:cs="Arial"/>
                <w:sz w:val="22"/>
                <w:szCs w:val="22"/>
              </w:rPr>
              <w:t>Évaluation individuelle des dossiers par les membres de l’Organe d’évaluation.</w:t>
            </w:r>
          </w:p>
        </w:tc>
      </w:tr>
      <w:tr w:rsidR="00FA4D92" w:rsidRPr="0073388D" w14:paraId="31118A40" w14:textId="77777777" w:rsidTr="00C8068C">
        <w:trPr>
          <w:trHeight w:val="3240"/>
        </w:trPr>
        <w:tc>
          <w:tcPr>
            <w:tcW w:w="670" w:type="pct"/>
          </w:tcPr>
          <w:p w14:paraId="6EFC7EF0"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p>
        </w:tc>
        <w:tc>
          <w:tcPr>
            <w:tcW w:w="1201" w:type="pct"/>
          </w:tcPr>
          <w:p w14:paraId="679EB825" w14:textId="4D4B34BD" w:rsidR="00FA4D92" w:rsidRPr="0073388D" w:rsidRDefault="00CE7D5A" w:rsidP="00A90C86">
            <w:pPr>
              <w:autoSpaceDE w:val="0"/>
              <w:autoSpaceDN w:val="0"/>
              <w:adjustRightInd w:val="0"/>
              <w:spacing w:before="120" w:after="120"/>
              <w:jc w:val="right"/>
              <w:rPr>
                <w:rFonts w:ascii="Arial" w:eastAsia="SimSun" w:hAnsi="Arial" w:cs="Arial"/>
                <w:sz w:val="22"/>
                <w:szCs w:val="22"/>
                <w:lang w:val="en-GB"/>
              </w:rPr>
            </w:pPr>
            <w:r w:rsidRPr="0073388D">
              <w:rPr>
                <w:rFonts w:ascii="Arial" w:eastAsia="SimSun" w:hAnsi="Arial" w:cs="Arial"/>
                <w:sz w:val="22"/>
                <w:szCs w:val="22"/>
              </w:rPr>
              <w:t>j</w:t>
            </w:r>
            <w:r w:rsidR="00FA4D92" w:rsidRPr="0073388D">
              <w:rPr>
                <w:rFonts w:ascii="Arial" w:eastAsia="SimSun" w:hAnsi="Arial" w:cs="Arial"/>
                <w:sz w:val="22"/>
                <w:szCs w:val="22"/>
              </w:rPr>
              <w:t xml:space="preserve">uin </w:t>
            </w:r>
            <w:r w:rsidR="00FA4D92" w:rsidRPr="0073388D">
              <w:rPr>
                <w:rFonts w:ascii="Arial" w:eastAsia="SimSun" w:hAnsi="Arial" w:cs="Arial"/>
                <w:sz w:val="22"/>
                <w:szCs w:val="22"/>
              </w:rPr>
              <w:br/>
              <w:t xml:space="preserve"> année 2</w:t>
            </w:r>
          </w:p>
        </w:tc>
        <w:tc>
          <w:tcPr>
            <w:tcW w:w="3129" w:type="pct"/>
          </w:tcPr>
          <w:p w14:paraId="4F0B4021" w14:textId="77777777" w:rsidR="00FA4D92" w:rsidRPr="0073388D" w:rsidRDefault="00FA4D92" w:rsidP="006E6BE0">
            <w:pPr>
              <w:autoSpaceDE w:val="0"/>
              <w:autoSpaceDN w:val="0"/>
              <w:adjustRightInd w:val="0"/>
              <w:spacing w:before="120" w:after="120"/>
              <w:jc w:val="both"/>
              <w:rPr>
                <w:rFonts w:ascii="Arial" w:eastAsia="SimSun" w:hAnsi="Arial" w:cs="Arial"/>
                <w:sz w:val="22"/>
                <w:szCs w:val="22"/>
              </w:rPr>
            </w:pPr>
            <w:r w:rsidRPr="0073388D">
              <w:rPr>
                <w:rFonts w:ascii="Arial" w:eastAsia="SimSun" w:hAnsi="Arial" w:cs="Arial"/>
                <w:sz w:val="22"/>
                <w:szCs w:val="22"/>
              </w:rPr>
              <w:t>Réunion au cours de laquelle l’Organe d’évaluation achève collectivement l’évaluation des dossiers et décide lesquels seront concernés par le processus de dialogue. Seule l’évaluation des dossiers inclus dans le processus de dialogue restera en attente de validation jusqu’à la réunion finale de l’Organe d’évaluation.</w:t>
            </w:r>
          </w:p>
          <w:p w14:paraId="7DA7FFE9" w14:textId="77777777" w:rsidR="00FA4D92" w:rsidRPr="0073388D" w:rsidRDefault="00FA4D92" w:rsidP="006E6BE0">
            <w:pPr>
              <w:autoSpaceDE w:val="0"/>
              <w:autoSpaceDN w:val="0"/>
              <w:adjustRightInd w:val="0"/>
              <w:spacing w:before="120" w:after="120"/>
              <w:jc w:val="both"/>
              <w:rPr>
                <w:rFonts w:ascii="Arial" w:eastAsia="SimSun" w:hAnsi="Arial" w:cs="Arial"/>
                <w:sz w:val="22"/>
                <w:szCs w:val="22"/>
              </w:rPr>
            </w:pPr>
            <w:r w:rsidRPr="0073388D">
              <w:rPr>
                <w:rFonts w:ascii="Arial" w:eastAsia="SimSun" w:hAnsi="Arial" w:cs="Arial"/>
                <w:sz w:val="22"/>
                <w:szCs w:val="22"/>
              </w:rPr>
              <w:t>Le processus de dialogue est engagé lorsque l’Organe d’évaluation estime qu’un court processus de questions-réponses avec le ou les États soumissionnaires, mené par écrit par l’intermédiaire du Secrétariat, pourrait influencer le résultat de son évaluation.</w:t>
            </w:r>
          </w:p>
        </w:tc>
      </w:tr>
      <w:tr w:rsidR="00FA4D92" w:rsidRPr="0073388D" w14:paraId="047F5A5A" w14:textId="77777777" w:rsidTr="00C8068C">
        <w:trPr>
          <w:trHeight w:val="1556"/>
        </w:trPr>
        <w:tc>
          <w:tcPr>
            <w:tcW w:w="670" w:type="pct"/>
          </w:tcPr>
          <w:p w14:paraId="08F195CA"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p>
        </w:tc>
        <w:tc>
          <w:tcPr>
            <w:tcW w:w="1201" w:type="pct"/>
          </w:tcPr>
          <w:p w14:paraId="370C265F" w14:textId="40428A64" w:rsidR="00FA4D92" w:rsidRPr="0073388D" w:rsidRDefault="00FA4D92" w:rsidP="00A90C86">
            <w:pPr>
              <w:autoSpaceDE w:val="0"/>
              <w:autoSpaceDN w:val="0"/>
              <w:adjustRightInd w:val="0"/>
              <w:spacing w:before="120" w:after="120"/>
              <w:jc w:val="right"/>
              <w:rPr>
                <w:rFonts w:ascii="Arial" w:eastAsia="SimSun" w:hAnsi="Arial" w:cs="Arial"/>
                <w:bCs/>
                <w:sz w:val="22"/>
                <w:szCs w:val="22"/>
              </w:rPr>
            </w:pPr>
            <w:r w:rsidRPr="0073388D">
              <w:rPr>
                <w:rFonts w:ascii="Arial" w:eastAsia="SimSun" w:hAnsi="Arial" w:cs="Arial"/>
                <w:bCs/>
                <w:sz w:val="22"/>
                <w:szCs w:val="22"/>
              </w:rPr>
              <w:t xml:space="preserve">Deux semaines après la réunion de juin </w:t>
            </w:r>
            <w:r w:rsidRPr="0073388D">
              <w:rPr>
                <w:rFonts w:ascii="Arial" w:eastAsia="SimSun" w:hAnsi="Arial" w:cs="Arial"/>
                <w:bCs/>
                <w:sz w:val="22"/>
                <w:szCs w:val="22"/>
              </w:rPr>
              <w:br/>
            </w:r>
            <w:r w:rsidR="00FC2DAF" w:rsidRPr="0073388D">
              <w:rPr>
                <w:rFonts w:ascii="Arial" w:eastAsia="SimSun" w:hAnsi="Arial" w:cs="Arial"/>
                <w:bCs/>
                <w:sz w:val="22"/>
                <w:szCs w:val="22"/>
              </w:rPr>
              <w:t xml:space="preserve">année </w:t>
            </w:r>
            <w:r w:rsidRPr="0073388D">
              <w:rPr>
                <w:rFonts w:ascii="Arial" w:eastAsia="SimSun" w:hAnsi="Arial" w:cs="Arial"/>
                <w:bCs/>
                <w:sz w:val="22"/>
                <w:szCs w:val="22"/>
              </w:rPr>
              <w:t>2</w:t>
            </w:r>
          </w:p>
        </w:tc>
        <w:tc>
          <w:tcPr>
            <w:tcW w:w="3129" w:type="pct"/>
          </w:tcPr>
          <w:p w14:paraId="6828E8FF" w14:textId="77777777" w:rsidR="00FA4D92" w:rsidRPr="0073388D" w:rsidRDefault="00FA4D92" w:rsidP="006E6BE0">
            <w:pPr>
              <w:autoSpaceDE w:val="0"/>
              <w:autoSpaceDN w:val="0"/>
              <w:adjustRightInd w:val="0"/>
              <w:spacing w:before="120" w:after="120"/>
              <w:jc w:val="both"/>
              <w:rPr>
                <w:rFonts w:ascii="Arial" w:eastAsia="SimSun" w:hAnsi="Arial" w:cs="Arial"/>
                <w:bCs/>
                <w:sz w:val="22"/>
                <w:szCs w:val="22"/>
              </w:rPr>
            </w:pPr>
            <w:r w:rsidRPr="0073388D">
              <w:rPr>
                <w:rFonts w:ascii="Arial" w:eastAsia="SimSun" w:hAnsi="Arial" w:cs="Arial"/>
                <w:bCs/>
                <w:sz w:val="22"/>
                <w:szCs w:val="22"/>
              </w:rPr>
              <w:t>Date limite à laquelle l’Organe d’évaluation devra transmettre, par l’intermédiaire du Secrétariat, ses questions aux États parties concernés par le processus de dialogue, dans l’une des deux langues de travail de la Convention.</w:t>
            </w:r>
          </w:p>
        </w:tc>
      </w:tr>
      <w:tr w:rsidR="00FA4D92" w:rsidRPr="0073388D" w14:paraId="6AD9A886" w14:textId="77777777" w:rsidTr="00C8068C">
        <w:trPr>
          <w:trHeight w:val="1504"/>
        </w:trPr>
        <w:tc>
          <w:tcPr>
            <w:tcW w:w="670" w:type="pct"/>
          </w:tcPr>
          <w:p w14:paraId="24B9EEC3"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p>
        </w:tc>
        <w:tc>
          <w:tcPr>
            <w:tcW w:w="1201" w:type="pct"/>
          </w:tcPr>
          <w:p w14:paraId="0C096DEF"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p>
        </w:tc>
        <w:tc>
          <w:tcPr>
            <w:tcW w:w="3129" w:type="pct"/>
          </w:tcPr>
          <w:p w14:paraId="60CB1B0D" w14:textId="77777777" w:rsidR="00FA4D92" w:rsidRPr="0073388D" w:rsidRDefault="00FA4D92" w:rsidP="006E6BE0">
            <w:pPr>
              <w:autoSpaceDE w:val="0"/>
              <w:autoSpaceDN w:val="0"/>
              <w:adjustRightInd w:val="0"/>
              <w:spacing w:before="120" w:after="120"/>
              <w:jc w:val="both"/>
              <w:rPr>
                <w:rFonts w:ascii="Arial" w:eastAsia="SimSun" w:hAnsi="Arial" w:cs="Arial"/>
                <w:bCs/>
                <w:sz w:val="22"/>
                <w:szCs w:val="22"/>
              </w:rPr>
            </w:pPr>
            <w:r w:rsidRPr="0073388D">
              <w:rPr>
                <w:rFonts w:ascii="Arial" w:eastAsia="SimSun" w:hAnsi="Arial" w:cs="Arial"/>
                <w:bCs/>
                <w:sz w:val="22"/>
                <w:szCs w:val="22"/>
              </w:rPr>
              <w:t>Les États parties devront répondre aux demandes de l’Organe d’évaluation, par l’intermédiaire du Secrétariat, dans un délai de quatre semaines à compter de la réception de la lettre, dans les deux langues de travail de la Convention.</w:t>
            </w:r>
          </w:p>
        </w:tc>
      </w:tr>
      <w:tr w:rsidR="00FA4D92" w:rsidRPr="0073388D" w14:paraId="53564055" w14:textId="77777777" w:rsidTr="00C8068C">
        <w:trPr>
          <w:trHeight w:val="1128"/>
        </w:trPr>
        <w:tc>
          <w:tcPr>
            <w:tcW w:w="670" w:type="pct"/>
          </w:tcPr>
          <w:p w14:paraId="3B22FE9D"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p>
        </w:tc>
        <w:tc>
          <w:tcPr>
            <w:tcW w:w="1201" w:type="pct"/>
          </w:tcPr>
          <w:p w14:paraId="488E9019" w14:textId="77777777" w:rsidR="00FA4D92" w:rsidRPr="0073388D" w:rsidRDefault="00FA4D92" w:rsidP="00FC2DAF">
            <w:pPr>
              <w:autoSpaceDE w:val="0"/>
              <w:autoSpaceDN w:val="0"/>
              <w:adjustRightInd w:val="0"/>
              <w:spacing w:before="120"/>
              <w:jc w:val="right"/>
              <w:rPr>
                <w:rFonts w:ascii="Arial" w:eastAsia="SimSun" w:hAnsi="Arial" w:cs="Arial"/>
                <w:bCs/>
                <w:sz w:val="22"/>
                <w:szCs w:val="22"/>
              </w:rPr>
            </w:pPr>
            <w:r w:rsidRPr="0073388D">
              <w:rPr>
                <w:rFonts w:ascii="Arial" w:eastAsia="SimSun" w:hAnsi="Arial" w:cs="Arial"/>
                <w:bCs/>
                <w:sz w:val="22"/>
                <w:szCs w:val="22"/>
              </w:rPr>
              <w:t xml:space="preserve">Au plus tard en septembre </w:t>
            </w:r>
          </w:p>
          <w:p w14:paraId="203AD85D" w14:textId="1E317106" w:rsidR="00FA4D92" w:rsidRPr="0073388D" w:rsidRDefault="00FC2DAF" w:rsidP="00FC2DAF">
            <w:pPr>
              <w:autoSpaceDE w:val="0"/>
              <w:autoSpaceDN w:val="0"/>
              <w:adjustRightInd w:val="0"/>
              <w:spacing w:after="120"/>
              <w:jc w:val="right"/>
              <w:rPr>
                <w:rFonts w:ascii="Arial" w:eastAsia="SimSun" w:hAnsi="Arial" w:cs="Arial"/>
                <w:bCs/>
                <w:sz w:val="22"/>
                <w:szCs w:val="22"/>
              </w:rPr>
            </w:pPr>
            <w:r w:rsidRPr="0073388D">
              <w:rPr>
                <w:rFonts w:ascii="Arial" w:eastAsia="SimSun" w:hAnsi="Arial" w:cs="Arial"/>
                <w:bCs/>
                <w:sz w:val="22"/>
                <w:szCs w:val="22"/>
              </w:rPr>
              <w:t xml:space="preserve">année </w:t>
            </w:r>
            <w:r w:rsidR="00FA4D92" w:rsidRPr="0073388D">
              <w:rPr>
                <w:rFonts w:ascii="Arial" w:eastAsia="SimSun" w:hAnsi="Arial" w:cs="Arial"/>
                <w:bCs/>
                <w:sz w:val="22"/>
                <w:szCs w:val="22"/>
              </w:rPr>
              <w:t>2</w:t>
            </w:r>
          </w:p>
        </w:tc>
        <w:tc>
          <w:tcPr>
            <w:tcW w:w="3129" w:type="pct"/>
          </w:tcPr>
          <w:p w14:paraId="0C8B33FE" w14:textId="77777777" w:rsidR="00FA4D92" w:rsidRPr="0073388D" w:rsidRDefault="00FA4D92" w:rsidP="006E6BE0">
            <w:pPr>
              <w:autoSpaceDE w:val="0"/>
              <w:autoSpaceDN w:val="0"/>
              <w:adjustRightInd w:val="0"/>
              <w:spacing w:before="120" w:after="120"/>
              <w:jc w:val="both"/>
              <w:rPr>
                <w:rFonts w:ascii="Arial" w:eastAsia="SimSun" w:hAnsi="Arial" w:cs="Arial"/>
                <w:bCs/>
                <w:sz w:val="22"/>
                <w:szCs w:val="22"/>
              </w:rPr>
            </w:pPr>
            <w:r w:rsidRPr="0073388D">
              <w:rPr>
                <w:rFonts w:ascii="Arial" w:eastAsia="SimSun" w:hAnsi="Arial" w:cs="Arial"/>
                <w:bCs/>
                <w:sz w:val="22"/>
                <w:szCs w:val="22"/>
              </w:rPr>
              <w:t>Réunion au cours de laquelle l’Organe d’évaluation achève l’évaluation des dossiers concernés par le processus de dialogue et son rapport de l’examen de tous les dossiers.</w:t>
            </w:r>
          </w:p>
        </w:tc>
      </w:tr>
      <w:tr w:rsidR="00FA4D92" w:rsidRPr="0073388D" w14:paraId="0085A529" w14:textId="77777777" w:rsidTr="00C8068C">
        <w:trPr>
          <w:trHeight w:val="1004"/>
        </w:trPr>
        <w:tc>
          <w:tcPr>
            <w:tcW w:w="670" w:type="pct"/>
          </w:tcPr>
          <w:p w14:paraId="2EEEEB66"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p>
        </w:tc>
        <w:tc>
          <w:tcPr>
            <w:tcW w:w="1201" w:type="pct"/>
          </w:tcPr>
          <w:p w14:paraId="1EC97ED3" w14:textId="77777777" w:rsidR="00FA4D92" w:rsidRPr="0073388D" w:rsidRDefault="00FA4D92" w:rsidP="00A90C86">
            <w:pPr>
              <w:autoSpaceDE w:val="0"/>
              <w:autoSpaceDN w:val="0"/>
              <w:adjustRightInd w:val="0"/>
              <w:spacing w:before="120" w:after="120"/>
              <w:jc w:val="right"/>
              <w:rPr>
                <w:rFonts w:ascii="Arial" w:eastAsia="SimSun" w:hAnsi="Arial" w:cs="Arial"/>
                <w:sz w:val="22"/>
                <w:szCs w:val="22"/>
              </w:rPr>
            </w:pPr>
            <w:r w:rsidRPr="0073388D">
              <w:rPr>
                <w:rFonts w:ascii="Arial" w:eastAsia="SimSun" w:hAnsi="Arial" w:cs="Arial"/>
                <w:sz w:val="22"/>
                <w:szCs w:val="22"/>
              </w:rPr>
              <w:t>Quatre semaines avant la session du Comité</w:t>
            </w:r>
          </w:p>
        </w:tc>
        <w:tc>
          <w:tcPr>
            <w:tcW w:w="3129" w:type="pct"/>
          </w:tcPr>
          <w:p w14:paraId="3313252B" w14:textId="77777777" w:rsidR="00FA4D92" w:rsidRPr="0073388D" w:rsidRDefault="00FA4D92" w:rsidP="006E6BE0">
            <w:pPr>
              <w:autoSpaceDE w:val="0"/>
              <w:autoSpaceDN w:val="0"/>
              <w:adjustRightInd w:val="0"/>
              <w:spacing w:before="120" w:after="120"/>
              <w:jc w:val="both"/>
              <w:rPr>
                <w:rFonts w:ascii="Arial" w:eastAsia="SimSun" w:hAnsi="Arial" w:cs="Arial"/>
                <w:sz w:val="22"/>
                <w:szCs w:val="22"/>
              </w:rPr>
            </w:pPr>
            <w:r w:rsidRPr="0073388D">
              <w:rPr>
                <w:rFonts w:ascii="Arial" w:eastAsia="SimSun" w:hAnsi="Arial" w:cs="Arial"/>
                <w:sz w:val="22"/>
                <w:szCs w:val="22"/>
              </w:rPr>
              <w:t>Le Secrétariat transmet aux membres du Comité les rapports d’évaluation et les rend disponibles en ligne à des fins de consultation.</w:t>
            </w:r>
          </w:p>
        </w:tc>
      </w:tr>
    </w:tbl>
    <w:p w14:paraId="28661CA1" w14:textId="77777777" w:rsidR="00FC2DAF" w:rsidRPr="0073388D" w:rsidRDefault="00FC2DAF" w:rsidP="006E6BE0">
      <w:pPr>
        <w:pStyle w:val="GATitleResolution"/>
        <w:tabs>
          <w:tab w:val="clear" w:pos="567"/>
          <w:tab w:val="left" w:pos="810"/>
        </w:tabs>
        <w:spacing w:before="360"/>
        <w:ind w:left="0"/>
      </w:pPr>
    </w:p>
    <w:p w14:paraId="72992067" w14:textId="77777777" w:rsidR="00FC2DAF" w:rsidRPr="0073388D" w:rsidRDefault="00FC2DAF">
      <w:pPr>
        <w:spacing w:after="160" w:line="259" w:lineRule="auto"/>
        <w:rPr>
          <w:rFonts w:ascii="Arial" w:eastAsia="SimSun" w:hAnsi="Arial" w:cs="Arial"/>
          <w:b/>
          <w:snapToGrid w:val="0"/>
          <w:sz w:val="22"/>
          <w:szCs w:val="22"/>
          <w:lang w:eastAsia="en-US"/>
        </w:rPr>
      </w:pPr>
      <w:r w:rsidRPr="0073388D">
        <w:br w:type="page"/>
      </w:r>
    </w:p>
    <w:p w14:paraId="221DD4C3" w14:textId="70652068" w:rsidR="007A4B9A" w:rsidRPr="0073388D" w:rsidRDefault="007A4B9A" w:rsidP="006E6BE0">
      <w:pPr>
        <w:pStyle w:val="GATitleResolution"/>
        <w:tabs>
          <w:tab w:val="clear" w:pos="567"/>
          <w:tab w:val="left" w:pos="810"/>
        </w:tabs>
        <w:spacing w:before="360"/>
        <w:ind w:left="0"/>
      </w:pPr>
      <w:r w:rsidRPr="0073388D">
        <w:t>RÉSOLUTION 8.GA 11</w:t>
      </w:r>
    </w:p>
    <w:p w14:paraId="6D77FF86" w14:textId="77777777" w:rsidR="007A4B9A" w:rsidRPr="0073388D" w:rsidRDefault="007A4B9A" w:rsidP="007A4B9A">
      <w:pPr>
        <w:pStyle w:val="GAPreambulaResolution"/>
        <w:tabs>
          <w:tab w:val="left" w:pos="810"/>
        </w:tabs>
        <w:ind w:left="0"/>
        <w:rPr>
          <w:rFonts w:eastAsia="SimSun"/>
          <w:lang w:val="fr-FR"/>
        </w:rPr>
      </w:pPr>
      <w:r w:rsidRPr="0073388D">
        <w:rPr>
          <w:lang w:val="fr-FR"/>
        </w:rPr>
        <w:t>L’Assemblée générale,</w:t>
      </w:r>
    </w:p>
    <w:p w14:paraId="2F92B659" w14:textId="29E578FF" w:rsidR="007A4B9A" w:rsidRPr="0073388D" w:rsidRDefault="007A4B9A" w:rsidP="00654D96">
      <w:pPr>
        <w:pStyle w:val="GAParaResolution"/>
        <w:numPr>
          <w:ilvl w:val="0"/>
          <w:numId w:val="20"/>
        </w:numPr>
        <w:ind w:left="567" w:hanging="567"/>
      </w:pPr>
      <w:r w:rsidRPr="0073388D">
        <w:t>Ayant examiné</w:t>
      </w:r>
      <w:r w:rsidRPr="0073388D">
        <w:rPr>
          <w:u w:val="none"/>
        </w:rPr>
        <w:t xml:space="preserve"> le </w:t>
      </w:r>
      <w:r w:rsidR="009332E1" w:rsidRPr="0073388D">
        <w:rPr>
          <w:u w:val="none"/>
        </w:rPr>
        <w:t>document </w:t>
      </w:r>
      <w:hyperlink r:id="rId35" w:history="1">
        <w:r w:rsidR="009332E1" w:rsidRPr="0073388D">
          <w:rPr>
            <w:rStyle w:val="Hyperlink"/>
          </w:rPr>
          <w:t>LHE/20/8.GA/11</w:t>
        </w:r>
      </w:hyperlink>
      <w:r w:rsidR="00CE7D5A" w:rsidRPr="0073388D">
        <w:rPr>
          <w:u w:val="none"/>
        </w:rPr>
        <w:t xml:space="preserve"> et son annexe</w:t>
      </w:r>
      <w:r w:rsidRPr="0073388D">
        <w:rPr>
          <w:u w:val="none"/>
        </w:rPr>
        <w:t xml:space="preserve">, ainsi que le </w:t>
      </w:r>
      <w:r w:rsidRPr="0073388D">
        <w:rPr>
          <w:rStyle w:val="Hyperlink"/>
          <w:color w:val="auto"/>
          <w:u w:val="none"/>
        </w:rPr>
        <w:t xml:space="preserve">document </w:t>
      </w:r>
      <w:hyperlink r:id="rId36" w:history="1">
        <w:r w:rsidR="009332E1" w:rsidRPr="0073388D">
          <w:rPr>
            <w:rStyle w:val="Hyperlink"/>
          </w:rPr>
          <w:t>LHE/19/14.COM/14</w:t>
        </w:r>
      </w:hyperlink>
      <w:r w:rsidRPr="0073388D">
        <w:rPr>
          <w:u w:val="none"/>
        </w:rPr>
        <w:t>,</w:t>
      </w:r>
    </w:p>
    <w:p w14:paraId="2A6A3D8A" w14:textId="77777777" w:rsidR="007A4B9A" w:rsidRPr="0073388D" w:rsidRDefault="007A4B9A" w:rsidP="00654D96">
      <w:pPr>
        <w:pStyle w:val="COMParaDecision"/>
        <w:numPr>
          <w:ilvl w:val="0"/>
          <w:numId w:val="1"/>
        </w:numPr>
        <w:ind w:left="567" w:hanging="567"/>
        <w:jc w:val="left"/>
      </w:pPr>
      <w:r w:rsidRPr="0073388D">
        <w:t>Rappelant</w:t>
      </w:r>
      <w:r w:rsidRPr="0073388D">
        <w:rPr>
          <w:u w:val="none"/>
        </w:rPr>
        <w:t xml:space="preserve"> les décisions </w:t>
      </w:r>
      <w:hyperlink r:id="rId37" w:history="1">
        <w:r w:rsidRPr="0073388D">
          <w:rPr>
            <w:rStyle w:val="Hyperlink"/>
          </w:rPr>
          <w:t>13.COM 6</w:t>
        </w:r>
      </w:hyperlink>
      <w:r w:rsidRPr="0073388D">
        <w:rPr>
          <w:u w:val="none"/>
        </w:rPr>
        <w:t xml:space="preserve">, </w:t>
      </w:r>
      <w:hyperlink r:id="rId38" w:history="1">
        <w:r w:rsidRPr="0073388D">
          <w:rPr>
            <w:rStyle w:val="Hyperlink"/>
          </w:rPr>
          <w:t>13.COM 10</w:t>
        </w:r>
      </w:hyperlink>
      <w:r w:rsidRPr="0073388D">
        <w:rPr>
          <w:u w:val="none"/>
        </w:rPr>
        <w:t xml:space="preserve"> et </w:t>
      </w:r>
      <w:hyperlink r:id="rId39" w:history="1">
        <w:r w:rsidRPr="0073388D">
          <w:rPr>
            <w:rStyle w:val="Hyperlink"/>
          </w:rPr>
          <w:t>14.COM 14</w:t>
        </w:r>
      </w:hyperlink>
      <w:r w:rsidRPr="0073388D">
        <w:rPr>
          <w:u w:val="none"/>
        </w:rPr>
        <w:t>,</w:t>
      </w:r>
    </w:p>
    <w:p w14:paraId="48C79C5E" w14:textId="77777777" w:rsidR="007A4B9A" w:rsidRPr="0073388D" w:rsidRDefault="007A4B9A" w:rsidP="00654D96">
      <w:pPr>
        <w:pStyle w:val="COMParaDecision"/>
        <w:numPr>
          <w:ilvl w:val="0"/>
          <w:numId w:val="1"/>
        </w:numPr>
        <w:ind w:left="567" w:hanging="567"/>
      </w:pPr>
      <w:r w:rsidRPr="0073388D">
        <w:t>Réaffirme</w:t>
      </w:r>
      <w:r w:rsidRPr="0073388D">
        <w:rPr>
          <w:u w:val="none"/>
        </w:rPr>
        <w:t xml:space="preserve"> la nécessité de mener une réflexion globale sur les mécanismes d’inscription sur les Listes </w:t>
      </w:r>
      <w:r w:rsidR="004B6388" w:rsidRPr="0073388D">
        <w:rPr>
          <w:u w:val="none"/>
        </w:rPr>
        <w:t xml:space="preserve">et de suivi </w:t>
      </w:r>
      <w:r w:rsidRPr="0073388D">
        <w:rPr>
          <w:u w:val="none"/>
        </w:rPr>
        <w:t>de la Convention de 2003 ;</w:t>
      </w:r>
    </w:p>
    <w:p w14:paraId="2CC695B2" w14:textId="77777777" w:rsidR="004B6388" w:rsidRPr="0073388D" w:rsidRDefault="004B6388" w:rsidP="00654D96">
      <w:pPr>
        <w:pStyle w:val="COMParaDecision"/>
        <w:numPr>
          <w:ilvl w:val="0"/>
          <w:numId w:val="1"/>
        </w:numPr>
        <w:ind w:left="567" w:hanging="567"/>
      </w:pPr>
      <w:r w:rsidRPr="0073388D">
        <w:t>Réaffirme en outre</w:t>
      </w:r>
      <w:r w:rsidRPr="0073388D">
        <w:rPr>
          <w:u w:val="none"/>
        </w:rPr>
        <w:t xml:space="preserve"> la nécessité de redoubler d’efforts afin de parvenir à des listes géographiquement plus représentatives, équilibrées et culturellement diversifiées ;</w:t>
      </w:r>
    </w:p>
    <w:p w14:paraId="59699572" w14:textId="77777777" w:rsidR="007A4B9A" w:rsidRPr="0073388D" w:rsidRDefault="007A4B9A" w:rsidP="00654D96">
      <w:pPr>
        <w:pStyle w:val="COMParaDecision"/>
        <w:numPr>
          <w:ilvl w:val="0"/>
          <w:numId w:val="1"/>
        </w:numPr>
        <w:ind w:left="567" w:hanging="567"/>
        <w:rPr>
          <w:u w:val="none"/>
        </w:rPr>
      </w:pPr>
      <w:r w:rsidRPr="0073388D">
        <w:t>Renouvelle sa gratitude</w:t>
      </w:r>
      <w:r w:rsidRPr="0073388D">
        <w:rPr>
          <w:u w:val="none"/>
        </w:rPr>
        <w:t xml:space="preserve"> envers le gouvernement du Japon pour sa contribution au soutien de la réflexion globale sur les mécanismes d’inscription sur les listes de la Convention de 2003 ;</w:t>
      </w:r>
    </w:p>
    <w:p w14:paraId="429710B4" w14:textId="77777777" w:rsidR="007A4B9A" w:rsidRPr="0073388D" w:rsidRDefault="007A4B9A" w:rsidP="00654D96">
      <w:pPr>
        <w:pStyle w:val="COMParaDecision"/>
        <w:numPr>
          <w:ilvl w:val="0"/>
          <w:numId w:val="1"/>
        </w:numPr>
        <w:ind w:left="567" w:hanging="567"/>
        <w:rPr>
          <w:u w:val="none"/>
        </w:rPr>
      </w:pPr>
      <w:r w:rsidRPr="0073388D">
        <w:t>Prend note</w:t>
      </w:r>
      <w:r w:rsidRPr="0073388D">
        <w:rPr>
          <w:u w:val="none"/>
        </w:rPr>
        <w:t xml:space="preserve"> de l’alternative proposée pour tenir la réunion d’experts préliminaire de catégorie VI et de l’intention de rendre compte de ces changements à la quinzième session du Comité ;</w:t>
      </w:r>
    </w:p>
    <w:p w14:paraId="38689E83" w14:textId="61362265" w:rsidR="008B5FC7" w:rsidRPr="0073388D" w:rsidRDefault="008B5FC7" w:rsidP="00654D96">
      <w:pPr>
        <w:pStyle w:val="COMParaDecision"/>
        <w:numPr>
          <w:ilvl w:val="0"/>
          <w:numId w:val="1"/>
        </w:numPr>
        <w:ind w:left="567" w:hanging="567"/>
        <w:rPr>
          <w:u w:val="none"/>
        </w:rPr>
      </w:pPr>
      <w:r w:rsidRPr="0073388D">
        <w:t>Prend note en outre</w:t>
      </w:r>
      <w:r w:rsidRPr="0073388D">
        <w:rPr>
          <w:u w:val="none"/>
        </w:rPr>
        <w:t xml:space="preserve"> de la </w:t>
      </w:r>
      <w:hyperlink r:id="rId40" w:history="1">
        <w:r w:rsidRPr="0073388D">
          <w:rPr>
            <w:rStyle w:val="Hyperlink"/>
          </w:rPr>
          <w:t>décision 13.COM 15</w:t>
        </w:r>
      </w:hyperlink>
      <w:r w:rsidRPr="0073388D">
        <w:rPr>
          <w:u w:val="none"/>
        </w:rPr>
        <w:t xml:space="preserve"> du Comité pour déterminer le nombre de dossiers qui peuvent être traités au cours des cycles 2020 et 2021 à 50 par cycle, et </w:t>
      </w:r>
      <w:r w:rsidRPr="0073388D">
        <w:t>se félicite</w:t>
      </w:r>
      <w:r w:rsidR="00AD68FA" w:rsidRPr="0073388D">
        <w:rPr>
          <w:u w:val="none"/>
        </w:rPr>
        <w:t xml:space="preserve"> des efforts </w:t>
      </w:r>
      <w:r w:rsidRPr="0073388D">
        <w:rPr>
          <w:u w:val="none"/>
        </w:rPr>
        <w:t>du Secrétariat d’augmenter ce chiffre à 60 pour le cycle 2021</w:t>
      </w:r>
      <w:r w:rsidR="00DD0362" w:rsidRPr="0073388D">
        <w:rPr>
          <w:u w:val="none"/>
        </w:rPr>
        <w:t> ;</w:t>
      </w:r>
    </w:p>
    <w:p w14:paraId="2095C841" w14:textId="77777777" w:rsidR="008B5FC7" w:rsidRPr="0073388D" w:rsidRDefault="008B5FC7" w:rsidP="00654D96">
      <w:pPr>
        <w:pStyle w:val="COMParaDecision"/>
        <w:numPr>
          <w:ilvl w:val="0"/>
          <w:numId w:val="1"/>
        </w:numPr>
        <w:ind w:left="567" w:hanging="567"/>
        <w:rPr>
          <w:u w:val="none"/>
        </w:rPr>
      </w:pPr>
      <w:r w:rsidRPr="0073388D">
        <w:t>Recommande</w:t>
      </w:r>
      <w:r w:rsidRPr="0073388D">
        <w:rPr>
          <w:u w:val="none"/>
        </w:rPr>
        <w:t xml:space="preserve"> au Comité, en lien avec le processus de réflexion sur le</w:t>
      </w:r>
      <w:r w:rsidR="003F5033" w:rsidRPr="0073388D">
        <w:rPr>
          <w:u w:val="none"/>
        </w:rPr>
        <w:t>s</w:t>
      </w:r>
      <w:r w:rsidRPr="0073388D">
        <w:rPr>
          <w:u w:val="none"/>
        </w:rPr>
        <w:t xml:space="preserve"> mécanisme</w:t>
      </w:r>
      <w:r w:rsidR="003F5033" w:rsidRPr="0073388D">
        <w:rPr>
          <w:u w:val="none"/>
        </w:rPr>
        <w:t>s</w:t>
      </w:r>
      <w:r w:rsidRPr="0073388D">
        <w:rPr>
          <w:u w:val="none"/>
        </w:rPr>
        <w:t xml:space="preserve"> d’inscription sur les listes, d’envisager la possibilité d’augmenter ce nombre afin d’inclure tous les dossiers soumis par les États parties pour les cycles 2022-2023</w:t>
      </w:r>
      <w:r w:rsidR="00DD0362" w:rsidRPr="0073388D">
        <w:rPr>
          <w:u w:val="none"/>
        </w:rPr>
        <w:t> </w:t>
      </w:r>
      <w:r w:rsidRPr="0073388D">
        <w:rPr>
          <w:u w:val="none"/>
        </w:rPr>
        <w:t>;</w:t>
      </w:r>
    </w:p>
    <w:p w14:paraId="2D303616" w14:textId="56AD83E0" w:rsidR="007A4B9A" w:rsidRPr="0073388D" w:rsidRDefault="007A4B9A" w:rsidP="00654D96">
      <w:pPr>
        <w:pStyle w:val="COMParaDecision"/>
        <w:numPr>
          <w:ilvl w:val="0"/>
          <w:numId w:val="1"/>
        </w:numPr>
        <w:ind w:left="567" w:hanging="567"/>
        <w:rPr>
          <w:u w:val="none"/>
        </w:rPr>
      </w:pPr>
      <w:r w:rsidRPr="0073388D">
        <w:t xml:space="preserve">Prend </w:t>
      </w:r>
      <w:r w:rsidR="008B5FC7" w:rsidRPr="0073388D">
        <w:t xml:space="preserve">également </w:t>
      </w:r>
      <w:r w:rsidRPr="0073388D">
        <w:t>note</w:t>
      </w:r>
      <w:r w:rsidRPr="0073388D">
        <w:rPr>
          <w:u w:val="none"/>
        </w:rPr>
        <w:t xml:space="preserve"> du calendrier provisoire révisé pour la réflexion sur les mécanismes d’inscription sur les listes de la Convention de 2003, tel qu’il figure dans l’annexe à la présente résolution, y compris la réunion du groupe de travail intergouvernemental à composition non limitée fixée pour juin 2021 ;</w:t>
      </w:r>
    </w:p>
    <w:p w14:paraId="2D97C6FB" w14:textId="77777777" w:rsidR="008B5FC7" w:rsidRPr="0073388D" w:rsidRDefault="008B5FC7" w:rsidP="00654D96">
      <w:pPr>
        <w:pStyle w:val="COMParaDecision"/>
        <w:numPr>
          <w:ilvl w:val="0"/>
          <w:numId w:val="1"/>
        </w:numPr>
        <w:ind w:left="567" w:hanging="567"/>
        <w:rPr>
          <w:u w:val="none"/>
        </w:rPr>
      </w:pPr>
      <w:r w:rsidRPr="0073388D">
        <w:t>Demande</w:t>
      </w:r>
      <w:r w:rsidRPr="0073388D">
        <w:rPr>
          <w:u w:val="none"/>
        </w:rPr>
        <w:t xml:space="preserve"> au Secrétariat de tirer plein profit des consultations en ligne en permettant à davantage d’experts d’y participer afin de collecter le plus largement possible des commentaires et des suggestions ;</w:t>
      </w:r>
    </w:p>
    <w:p w14:paraId="32B94E9F" w14:textId="742C40DA" w:rsidR="008B5FC7" w:rsidRPr="0073388D" w:rsidRDefault="008B5FC7" w:rsidP="00654D96">
      <w:pPr>
        <w:pStyle w:val="COMParaDecision"/>
        <w:numPr>
          <w:ilvl w:val="0"/>
          <w:numId w:val="1"/>
        </w:numPr>
        <w:ind w:left="567" w:hanging="567"/>
        <w:rPr>
          <w:u w:val="none"/>
        </w:rPr>
      </w:pPr>
      <w:r w:rsidRPr="0073388D">
        <w:t>Rappelle</w:t>
      </w:r>
      <w:r w:rsidRPr="0073388D">
        <w:rPr>
          <w:u w:val="none"/>
        </w:rPr>
        <w:t xml:space="preserve"> le paragraphe 11 de la </w:t>
      </w:r>
      <w:hyperlink r:id="rId41" w:history="1">
        <w:r w:rsidRPr="0073388D">
          <w:rPr>
            <w:rStyle w:val="Hyperlink"/>
          </w:rPr>
          <w:t>décision 14.COM 14</w:t>
        </w:r>
      </w:hyperlink>
      <w:r w:rsidRPr="0073388D">
        <w:rPr>
          <w:u w:val="none"/>
        </w:rPr>
        <w:t xml:space="preserve"> qui souligne qu’une révision des Directives opérationnelles est nécessaire afin d’établir des procédures et critères clairs et spécifiques pour le retrait d’un élément d’une liste et le transfert d’un élément d’une liste à une autre ;</w:t>
      </w:r>
    </w:p>
    <w:p w14:paraId="0A09EF86" w14:textId="77777777" w:rsidR="007A4B9A" w:rsidRPr="0073388D" w:rsidRDefault="007A4B9A" w:rsidP="00654D96">
      <w:pPr>
        <w:pStyle w:val="COMParaDecision"/>
        <w:numPr>
          <w:ilvl w:val="0"/>
          <w:numId w:val="1"/>
        </w:numPr>
        <w:ind w:left="567" w:hanging="567"/>
        <w:rPr>
          <w:u w:val="none"/>
        </w:rPr>
      </w:pPr>
      <w:r w:rsidRPr="0073388D">
        <w:t xml:space="preserve">Demande </w:t>
      </w:r>
      <w:r w:rsidR="00204DF0" w:rsidRPr="0073388D">
        <w:t xml:space="preserve">en outre </w:t>
      </w:r>
      <w:r w:rsidRPr="0073388D">
        <w:rPr>
          <w:u w:val="none"/>
        </w:rPr>
        <w:t>au Secrétariat de rendre compte à la seizième session du Comité des progrès réalisés dans le processus de réflexion, et plus particulièrement des résultats du groupe de travail susmentionné.</w:t>
      </w:r>
    </w:p>
    <w:p w14:paraId="3A369F47" w14:textId="677E9DC4" w:rsidR="005C7DB0" w:rsidRPr="0073388D" w:rsidRDefault="000C6444" w:rsidP="006E6BE0">
      <w:pPr>
        <w:pStyle w:val="GAParaResolution"/>
        <w:pageBreakBefore/>
        <w:numPr>
          <w:ilvl w:val="0"/>
          <w:numId w:val="0"/>
        </w:numPr>
        <w:spacing w:before="360" w:after="240"/>
        <w:jc w:val="center"/>
        <w:rPr>
          <w:b/>
          <w:u w:val="none"/>
        </w:rPr>
      </w:pPr>
      <w:r w:rsidRPr="0073388D">
        <w:rPr>
          <w:b/>
          <w:u w:val="none"/>
        </w:rPr>
        <w:t>ANNEXE</w:t>
      </w:r>
    </w:p>
    <w:p w14:paraId="5C893817" w14:textId="77777777" w:rsidR="005C7DB0" w:rsidRPr="0073388D" w:rsidRDefault="005C7DB0" w:rsidP="005C7DB0">
      <w:pPr>
        <w:tabs>
          <w:tab w:val="center" w:pos="4819"/>
          <w:tab w:val="left" w:pos="8775"/>
        </w:tabs>
        <w:spacing w:before="120" w:after="240"/>
        <w:jc w:val="center"/>
        <w:rPr>
          <w:rFonts w:ascii="Arial" w:hAnsi="Arial" w:cs="Arial"/>
          <w:b/>
          <w:sz w:val="22"/>
          <w:szCs w:val="22"/>
        </w:rPr>
      </w:pPr>
      <w:r w:rsidRPr="0073388D">
        <w:rPr>
          <w:rFonts w:ascii="Arial" w:hAnsi="Arial"/>
          <w:b/>
          <w:sz w:val="22"/>
          <w:szCs w:val="22"/>
        </w:rPr>
        <w:t>Calendrier pour la réflexion sur les mécanismes d’inscription dans le cadre de la Convention de 2003 pour la sauvegarde du patrimoine culturel immatériel</w:t>
      </w:r>
    </w:p>
    <w:tbl>
      <w:tblPr>
        <w:tblW w:w="9639" w:type="dxa"/>
        <w:jc w:val="center"/>
        <w:tblLook w:val="04A0" w:firstRow="1" w:lastRow="0" w:firstColumn="1" w:lastColumn="0" w:noHBand="0" w:noVBand="1"/>
      </w:tblPr>
      <w:tblGrid>
        <w:gridCol w:w="2969"/>
        <w:gridCol w:w="6670"/>
      </w:tblGrid>
      <w:tr w:rsidR="005C7DB0" w:rsidRPr="0073388D" w14:paraId="44E457A6" w14:textId="77777777" w:rsidTr="00A90C86">
        <w:trPr>
          <w:cantSplit/>
          <w:jc w:val="center"/>
        </w:trPr>
        <w:tc>
          <w:tcPr>
            <w:tcW w:w="1540" w:type="pct"/>
          </w:tcPr>
          <w:p w14:paraId="1739A745" w14:textId="77777777" w:rsidR="005C7DB0" w:rsidRPr="0073388D" w:rsidDel="00B13292" w:rsidRDefault="005C7DB0" w:rsidP="00A90C86">
            <w:pPr>
              <w:spacing w:before="120" w:after="120"/>
              <w:jc w:val="center"/>
              <w:rPr>
                <w:rFonts w:ascii="Arial" w:hAnsi="Arial" w:cs="Arial"/>
                <w:sz w:val="22"/>
                <w:szCs w:val="22"/>
              </w:rPr>
            </w:pPr>
            <w:r w:rsidRPr="0073388D">
              <w:rPr>
                <w:rFonts w:ascii="Arial" w:hAnsi="Arial"/>
                <w:sz w:val="22"/>
                <w:szCs w:val="22"/>
              </w:rPr>
              <w:t>Novembre 2020</w:t>
            </w:r>
          </w:p>
        </w:tc>
        <w:tc>
          <w:tcPr>
            <w:tcW w:w="3460" w:type="pct"/>
          </w:tcPr>
          <w:p w14:paraId="19D2BE89" w14:textId="77777777" w:rsidR="005C7DB0" w:rsidRPr="0073388D" w:rsidRDefault="005C7DB0" w:rsidP="00A90C86">
            <w:pPr>
              <w:spacing w:before="120" w:after="120"/>
              <w:rPr>
                <w:rFonts w:ascii="Arial" w:hAnsi="Arial" w:cs="Arial"/>
                <w:sz w:val="22"/>
                <w:szCs w:val="22"/>
              </w:rPr>
            </w:pPr>
            <w:r w:rsidRPr="0073388D">
              <w:rPr>
                <w:rFonts w:ascii="Arial" w:hAnsi="Arial"/>
                <w:sz w:val="22"/>
                <w:szCs w:val="22"/>
              </w:rPr>
              <w:t>Lancement de l’enquête en ligne</w:t>
            </w:r>
          </w:p>
        </w:tc>
      </w:tr>
      <w:tr w:rsidR="005C7DB0" w:rsidRPr="0073388D" w14:paraId="16AA6676" w14:textId="77777777" w:rsidTr="00A90C86">
        <w:trPr>
          <w:cantSplit/>
          <w:jc w:val="center"/>
        </w:trPr>
        <w:tc>
          <w:tcPr>
            <w:tcW w:w="1540" w:type="pct"/>
          </w:tcPr>
          <w:p w14:paraId="070358E5" w14:textId="77777777" w:rsidR="005C7DB0" w:rsidRPr="0073388D" w:rsidDel="00631872" w:rsidRDefault="005C7DB0" w:rsidP="00A90C86">
            <w:pPr>
              <w:spacing w:before="120" w:after="120"/>
              <w:jc w:val="center"/>
              <w:rPr>
                <w:rFonts w:ascii="Arial" w:hAnsi="Arial" w:cs="Arial"/>
                <w:sz w:val="22"/>
                <w:szCs w:val="22"/>
              </w:rPr>
            </w:pPr>
            <w:r w:rsidRPr="0073388D">
              <w:rPr>
                <w:rFonts w:ascii="Arial" w:hAnsi="Arial"/>
                <w:b/>
                <w:sz w:val="22"/>
                <w:szCs w:val="22"/>
              </w:rPr>
              <w:t>14 – 19 décembre 2020</w:t>
            </w:r>
          </w:p>
        </w:tc>
        <w:tc>
          <w:tcPr>
            <w:tcW w:w="3460" w:type="pct"/>
          </w:tcPr>
          <w:p w14:paraId="2675F7A6" w14:textId="77777777" w:rsidR="005C7DB0" w:rsidRPr="0073388D" w:rsidRDefault="005C7DB0" w:rsidP="00A90C86">
            <w:pPr>
              <w:spacing w:before="120" w:after="120"/>
              <w:rPr>
                <w:rFonts w:ascii="Arial" w:hAnsi="Arial" w:cs="Arial"/>
                <w:sz w:val="22"/>
                <w:szCs w:val="22"/>
              </w:rPr>
            </w:pPr>
            <w:r w:rsidRPr="0073388D">
              <w:rPr>
                <w:rFonts w:ascii="Arial" w:hAnsi="Arial"/>
                <w:b/>
                <w:sz w:val="22"/>
                <w:szCs w:val="22"/>
              </w:rPr>
              <w:t>Quinzième session du Comité intergouvernemental</w:t>
            </w:r>
          </w:p>
        </w:tc>
      </w:tr>
      <w:tr w:rsidR="005C7DB0" w:rsidRPr="0073388D" w14:paraId="36180595" w14:textId="77777777" w:rsidTr="00A90C86">
        <w:trPr>
          <w:cantSplit/>
          <w:jc w:val="center"/>
        </w:trPr>
        <w:tc>
          <w:tcPr>
            <w:tcW w:w="1540" w:type="pct"/>
          </w:tcPr>
          <w:p w14:paraId="22297777"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Janvier 2021</w:t>
            </w:r>
          </w:p>
        </w:tc>
        <w:tc>
          <w:tcPr>
            <w:tcW w:w="3460" w:type="pct"/>
          </w:tcPr>
          <w:p w14:paraId="2BD8C55B" w14:textId="77777777" w:rsidR="005C7DB0" w:rsidRPr="0073388D" w:rsidRDefault="005C7DB0" w:rsidP="00A90C86">
            <w:pPr>
              <w:spacing w:before="120" w:after="120"/>
              <w:rPr>
                <w:rFonts w:ascii="Arial" w:eastAsia="SimSun" w:hAnsi="Arial" w:cs="Arial"/>
                <w:sz w:val="22"/>
                <w:szCs w:val="22"/>
              </w:rPr>
            </w:pPr>
            <w:r w:rsidRPr="0073388D">
              <w:rPr>
                <w:rFonts w:ascii="Arial" w:hAnsi="Arial"/>
                <w:sz w:val="22"/>
                <w:szCs w:val="22"/>
              </w:rPr>
              <w:t>Date limite de clôture de l’enquête par les experts</w:t>
            </w:r>
          </w:p>
        </w:tc>
      </w:tr>
      <w:tr w:rsidR="005C7DB0" w:rsidRPr="0073388D" w14:paraId="7DFC6A95" w14:textId="77777777" w:rsidTr="00A90C86">
        <w:trPr>
          <w:cantSplit/>
          <w:jc w:val="center"/>
        </w:trPr>
        <w:tc>
          <w:tcPr>
            <w:tcW w:w="1540" w:type="pct"/>
          </w:tcPr>
          <w:p w14:paraId="529AF095"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Février 2021</w:t>
            </w:r>
          </w:p>
        </w:tc>
        <w:tc>
          <w:tcPr>
            <w:tcW w:w="3460" w:type="pct"/>
          </w:tcPr>
          <w:p w14:paraId="1D0C5A99" w14:textId="77777777" w:rsidR="005C7DB0" w:rsidRPr="0073388D" w:rsidRDefault="005C7DB0" w:rsidP="00A90C86">
            <w:pPr>
              <w:spacing w:before="120" w:after="120"/>
              <w:rPr>
                <w:rFonts w:ascii="Arial" w:eastAsiaTheme="minorEastAsia" w:hAnsi="Arial" w:cs="Arial"/>
                <w:sz w:val="22"/>
                <w:szCs w:val="22"/>
              </w:rPr>
            </w:pPr>
            <w:r w:rsidRPr="0073388D">
              <w:rPr>
                <w:rFonts w:ascii="Arial" w:hAnsi="Arial"/>
                <w:sz w:val="22"/>
                <w:szCs w:val="22"/>
              </w:rPr>
              <w:t>Première réunion plénière d’experts en ligne et constitution de groupes de discussion</w:t>
            </w:r>
          </w:p>
        </w:tc>
      </w:tr>
      <w:tr w:rsidR="005C7DB0" w:rsidRPr="0073388D" w14:paraId="21F5F290" w14:textId="77777777" w:rsidTr="00A90C86">
        <w:trPr>
          <w:cantSplit/>
          <w:jc w:val="center"/>
        </w:trPr>
        <w:tc>
          <w:tcPr>
            <w:tcW w:w="1540" w:type="pct"/>
          </w:tcPr>
          <w:p w14:paraId="5791CF83"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Février/mars 2021</w:t>
            </w:r>
          </w:p>
        </w:tc>
        <w:tc>
          <w:tcPr>
            <w:tcW w:w="3460" w:type="pct"/>
          </w:tcPr>
          <w:p w14:paraId="0FD2B853" w14:textId="77777777" w:rsidR="005C7DB0" w:rsidRPr="0073388D" w:rsidRDefault="005C7DB0" w:rsidP="00A90C86">
            <w:pPr>
              <w:spacing w:before="120" w:after="120"/>
              <w:rPr>
                <w:rFonts w:ascii="Arial" w:hAnsi="Arial" w:cs="Arial"/>
                <w:sz w:val="22"/>
                <w:szCs w:val="22"/>
              </w:rPr>
            </w:pPr>
            <w:r w:rsidRPr="0073388D">
              <w:rPr>
                <w:rFonts w:ascii="Arial" w:hAnsi="Arial"/>
                <w:sz w:val="22"/>
                <w:szCs w:val="22"/>
              </w:rPr>
              <w:t>Analyse des résultats de l’enquête au moyen des réunions de groupes de discussion en ligne</w:t>
            </w:r>
          </w:p>
        </w:tc>
      </w:tr>
      <w:tr w:rsidR="005C7DB0" w:rsidRPr="0073388D" w14:paraId="0F320537" w14:textId="77777777" w:rsidTr="00A90C86">
        <w:trPr>
          <w:cantSplit/>
          <w:jc w:val="center"/>
        </w:trPr>
        <w:tc>
          <w:tcPr>
            <w:tcW w:w="1540" w:type="pct"/>
          </w:tcPr>
          <w:p w14:paraId="736750CE"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 xml:space="preserve">Mars 2021 </w:t>
            </w:r>
          </w:p>
        </w:tc>
        <w:tc>
          <w:tcPr>
            <w:tcW w:w="3460" w:type="pct"/>
          </w:tcPr>
          <w:p w14:paraId="5D93EE83" w14:textId="77777777" w:rsidR="005C7DB0" w:rsidRPr="0073388D" w:rsidRDefault="005C7DB0" w:rsidP="00A90C86">
            <w:pPr>
              <w:spacing w:before="120" w:after="120"/>
              <w:rPr>
                <w:rFonts w:ascii="Arial" w:hAnsi="Arial" w:cs="Arial"/>
                <w:sz w:val="22"/>
                <w:szCs w:val="22"/>
              </w:rPr>
            </w:pPr>
            <w:r w:rsidRPr="0073388D">
              <w:rPr>
                <w:rFonts w:ascii="Arial" w:hAnsi="Arial"/>
                <w:sz w:val="22"/>
                <w:szCs w:val="22"/>
              </w:rPr>
              <w:t>Deuxième réunion plénière d’experts en ligne (1</w:t>
            </w:r>
            <w:r w:rsidRPr="0073388D">
              <w:rPr>
                <w:rFonts w:ascii="Arial" w:hAnsi="Arial"/>
                <w:sz w:val="22"/>
                <w:szCs w:val="22"/>
                <w:vertAlign w:val="superscript"/>
              </w:rPr>
              <w:t>er</w:t>
            </w:r>
            <w:r w:rsidRPr="0073388D">
              <w:rPr>
                <w:rFonts w:ascii="Arial" w:hAnsi="Arial"/>
                <w:sz w:val="22"/>
                <w:szCs w:val="22"/>
              </w:rPr>
              <w:t> jour) : Présentation des recommandations par les groupes de discussion</w:t>
            </w:r>
          </w:p>
        </w:tc>
      </w:tr>
      <w:tr w:rsidR="005C7DB0" w:rsidRPr="0073388D" w14:paraId="33219848" w14:textId="77777777" w:rsidTr="00A90C86">
        <w:trPr>
          <w:cantSplit/>
          <w:jc w:val="center"/>
        </w:trPr>
        <w:tc>
          <w:tcPr>
            <w:tcW w:w="1540" w:type="pct"/>
          </w:tcPr>
          <w:p w14:paraId="0CFEB87F"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Mars 2021</w:t>
            </w:r>
          </w:p>
        </w:tc>
        <w:tc>
          <w:tcPr>
            <w:tcW w:w="3460" w:type="pct"/>
          </w:tcPr>
          <w:p w14:paraId="22F88561" w14:textId="77777777" w:rsidR="005C7DB0" w:rsidRPr="0073388D" w:rsidRDefault="005C7DB0" w:rsidP="00A90C86">
            <w:pPr>
              <w:spacing w:before="120" w:after="120"/>
              <w:rPr>
                <w:rFonts w:ascii="Arial" w:hAnsi="Arial" w:cs="Arial"/>
                <w:sz w:val="22"/>
                <w:szCs w:val="22"/>
              </w:rPr>
            </w:pPr>
            <w:r w:rsidRPr="0073388D">
              <w:rPr>
                <w:rFonts w:ascii="Arial" w:hAnsi="Arial"/>
                <w:sz w:val="22"/>
                <w:szCs w:val="22"/>
              </w:rPr>
              <w:t>Deuxième réunion plénière d’experts en ligne (2</w:t>
            </w:r>
            <w:r w:rsidRPr="0073388D">
              <w:rPr>
                <w:rFonts w:ascii="Arial" w:hAnsi="Arial"/>
                <w:sz w:val="22"/>
                <w:szCs w:val="22"/>
                <w:vertAlign w:val="superscript"/>
              </w:rPr>
              <w:t>e</w:t>
            </w:r>
            <w:r w:rsidRPr="0073388D">
              <w:rPr>
                <w:rFonts w:ascii="Arial" w:hAnsi="Arial"/>
                <w:sz w:val="22"/>
                <w:szCs w:val="22"/>
              </w:rPr>
              <w:t> jour) : Harmonisation des recommandations et conclusions</w:t>
            </w:r>
          </w:p>
        </w:tc>
      </w:tr>
      <w:tr w:rsidR="005C7DB0" w:rsidRPr="0073388D" w14:paraId="3F6924C4" w14:textId="77777777" w:rsidTr="00A90C86">
        <w:trPr>
          <w:cantSplit/>
          <w:jc w:val="center"/>
        </w:trPr>
        <w:tc>
          <w:tcPr>
            <w:tcW w:w="1540" w:type="pct"/>
          </w:tcPr>
          <w:p w14:paraId="2ADBC4EB"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Mai 2021</w:t>
            </w:r>
          </w:p>
        </w:tc>
        <w:tc>
          <w:tcPr>
            <w:tcW w:w="3460" w:type="pct"/>
          </w:tcPr>
          <w:p w14:paraId="4C1E3F24" w14:textId="77777777" w:rsidR="005C7DB0" w:rsidRPr="0073388D" w:rsidRDefault="005C7DB0" w:rsidP="00A90C86">
            <w:pPr>
              <w:spacing w:before="120" w:after="120"/>
              <w:rPr>
                <w:rFonts w:ascii="Arial" w:hAnsi="Arial" w:cs="Arial"/>
                <w:sz w:val="22"/>
                <w:szCs w:val="22"/>
              </w:rPr>
            </w:pPr>
            <w:r w:rsidRPr="0073388D">
              <w:rPr>
                <w:rFonts w:ascii="Arial" w:hAnsi="Arial"/>
                <w:sz w:val="22"/>
                <w:szCs w:val="22"/>
              </w:rPr>
              <w:t xml:space="preserve">Publication en ligne des documents de travail du groupe de travail intergouvernemental à composition non limitée </w:t>
            </w:r>
          </w:p>
        </w:tc>
      </w:tr>
      <w:tr w:rsidR="005C7DB0" w:rsidRPr="0073388D" w14:paraId="2BBF64E6" w14:textId="77777777" w:rsidTr="00A90C86">
        <w:trPr>
          <w:cantSplit/>
          <w:jc w:val="center"/>
        </w:trPr>
        <w:tc>
          <w:tcPr>
            <w:tcW w:w="1540" w:type="pct"/>
          </w:tcPr>
          <w:p w14:paraId="3FB44121" w14:textId="77777777" w:rsidR="005C7DB0" w:rsidRPr="0073388D" w:rsidRDefault="005C7DB0" w:rsidP="00A90C86">
            <w:pPr>
              <w:spacing w:before="120" w:after="120"/>
              <w:jc w:val="center"/>
              <w:rPr>
                <w:rFonts w:ascii="Arial" w:hAnsi="Arial" w:cs="Arial"/>
                <w:sz w:val="22"/>
                <w:szCs w:val="22"/>
              </w:rPr>
            </w:pPr>
            <w:r w:rsidRPr="0073388D">
              <w:rPr>
                <w:rFonts w:ascii="Arial" w:hAnsi="Arial"/>
                <w:sz w:val="22"/>
                <w:szCs w:val="22"/>
              </w:rPr>
              <w:t>Juin 2021</w:t>
            </w:r>
          </w:p>
        </w:tc>
        <w:tc>
          <w:tcPr>
            <w:tcW w:w="3460" w:type="pct"/>
          </w:tcPr>
          <w:p w14:paraId="0133653C" w14:textId="77777777" w:rsidR="005C7DB0" w:rsidRPr="0073388D" w:rsidRDefault="005C7DB0" w:rsidP="00A90C86">
            <w:pPr>
              <w:spacing w:before="120" w:after="120"/>
              <w:rPr>
                <w:rFonts w:ascii="Arial" w:hAnsi="Arial" w:cs="Arial"/>
                <w:sz w:val="22"/>
                <w:szCs w:val="22"/>
              </w:rPr>
            </w:pPr>
            <w:r w:rsidRPr="0073388D">
              <w:rPr>
                <w:rFonts w:ascii="Arial" w:hAnsi="Arial"/>
                <w:sz w:val="22"/>
                <w:szCs w:val="22"/>
              </w:rPr>
              <w:t>Réunion du groupe de travail intergouvernemental à composition non limitée</w:t>
            </w:r>
          </w:p>
        </w:tc>
      </w:tr>
      <w:tr w:rsidR="005C7DB0" w:rsidRPr="0073388D" w14:paraId="728B0A2C" w14:textId="77777777" w:rsidTr="00A90C86">
        <w:trPr>
          <w:cantSplit/>
          <w:jc w:val="center"/>
        </w:trPr>
        <w:tc>
          <w:tcPr>
            <w:tcW w:w="1540" w:type="pct"/>
          </w:tcPr>
          <w:p w14:paraId="688E8493" w14:textId="77777777" w:rsidR="005C7DB0" w:rsidRPr="0073388D" w:rsidRDefault="005C7DB0" w:rsidP="00A90C86">
            <w:pPr>
              <w:spacing w:before="120" w:after="120"/>
              <w:jc w:val="center"/>
              <w:rPr>
                <w:rFonts w:ascii="Arial" w:hAnsi="Arial" w:cs="Arial"/>
                <w:b/>
                <w:sz w:val="22"/>
                <w:szCs w:val="22"/>
              </w:rPr>
            </w:pPr>
            <w:r w:rsidRPr="0073388D">
              <w:rPr>
                <w:rFonts w:ascii="Arial" w:hAnsi="Arial"/>
                <w:b/>
                <w:sz w:val="22"/>
                <w:szCs w:val="22"/>
              </w:rPr>
              <w:t>Novembre/décembre 2021</w:t>
            </w:r>
          </w:p>
        </w:tc>
        <w:tc>
          <w:tcPr>
            <w:tcW w:w="3460" w:type="pct"/>
          </w:tcPr>
          <w:p w14:paraId="3E80E983" w14:textId="77777777" w:rsidR="005C7DB0" w:rsidRPr="0073388D" w:rsidRDefault="005C7DB0" w:rsidP="00A90C86">
            <w:pPr>
              <w:spacing w:before="120" w:after="120"/>
              <w:rPr>
                <w:rFonts w:ascii="Arial" w:hAnsi="Arial" w:cs="Arial"/>
                <w:b/>
                <w:sz w:val="22"/>
                <w:szCs w:val="22"/>
              </w:rPr>
            </w:pPr>
            <w:r w:rsidRPr="0073388D">
              <w:rPr>
                <w:rFonts w:ascii="Arial" w:hAnsi="Arial"/>
                <w:b/>
                <w:sz w:val="22"/>
                <w:szCs w:val="22"/>
              </w:rPr>
              <w:t>Seizième session du Comité intergouvernemental</w:t>
            </w:r>
          </w:p>
        </w:tc>
      </w:tr>
    </w:tbl>
    <w:p w14:paraId="5B12340B" w14:textId="77777777" w:rsidR="00995C66" w:rsidRPr="0073388D" w:rsidRDefault="00995C66" w:rsidP="006E6BE0">
      <w:pPr>
        <w:pStyle w:val="GATitleResolution"/>
        <w:tabs>
          <w:tab w:val="clear" w:pos="567"/>
          <w:tab w:val="left" w:pos="810"/>
        </w:tabs>
        <w:spacing w:before="360"/>
        <w:ind w:left="0"/>
      </w:pPr>
      <w:r w:rsidRPr="0073388D">
        <w:rPr>
          <w:bCs/>
        </w:rPr>
        <w:t>RÉSOLUTION 8.GA 12</w:t>
      </w:r>
    </w:p>
    <w:p w14:paraId="64635FC9" w14:textId="77777777" w:rsidR="00995C66" w:rsidRPr="0073388D" w:rsidRDefault="00995C66" w:rsidP="00995C66">
      <w:pPr>
        <w:pStyle w:val="GAPreambulaResolution"/>
        <w:tabs>
          <w:tab w:val="left" w:pos="810"/>
        </w:tabs>
        <w:ind w:left="0"/>
        <w:rPr>
          <w:rFonts w:eastAsia="SimSun"/>
          <w:lang w:val="fr-FR"/>
        </w:rPr>
      </w:pPr>
      <w:r w:rsidRPr="0073388D">
        <w:rPr>
          <w:lang w:val="fr-FR"/>
        </w:rPr>
        <w:t>L’Assemblée générale,</w:t>
      </w:r>
    </w:p>
    <w:p w14:paraId="535EA166" w14:textId="5008771E" w:rsidR="00995C66" w:rsidRPr="0073388D" w:rsidRDefault="00995C66" w:rsidP="00654D96">
      <w:pPr>
        <w:pStyle w:val="GAParaResolution"/>
        <w:numPr>
          <w:ilvl w:val="0"/>
          <w:numId w:val="21"/>
        </w:numPr>
        <w:ind w:left="567" w:hanging="567"/>
        <w:jc w:val="left"/>
      </w:pPr>
      <w:r w:rsidRPr="0073388D">
        <w:t>Ayant examiné</w:t>
      </w:r>
      <w:r w:rsidRPr="0073388D">
        <w:rPr>
          <w:u w:val="none"/>
        </w:rPr>
        <w:t xml:space="preserve"> le </w:t>
      </w:r>
      <w:r w:rsidR="009332E1" w:rsidRPr="0073388D">
        <w:rPr>
          <w:u w:val="none"/>
        </w:rPr>
        <w:t xml:space="preserve">document </w:t>
      </w:r>
      <w:hyperlink r:id="rId42" w:history="1">
        <w:r w:rsidR="009332E1" w:rsidRPr="0073388D">
          <w:rPr>
            <w:rStyle w:val="Hyperlink"/>
          </w:rPr>
          <w:t>LHE/20/8.GA/12</w:t>
        </w:r>
      </w:hyperlink>
      <w:r w:rsidRPr="0073388D">
        <w:rPr>
          <w:u w:val="none"/>
        </w:rPr>
        <w:t>,</w:t>
      </w:r>
    </w:p>
    <w:p w14:paraId="706297CC" w14:textId="77777777" w:rsidR="00995C66" w:rsidRPr="0073388D" w:rsidRDefault="00995C66" w:rsidP="00654D96">
      <w:pPr>
        <w:pStyle w:val="COMParaDecision"/>
        <w:numPr>
          <w:ilvl w:val="0"/>
          <w:numId w:val="1"/>
        </w:numPr>
        <w:ind w:left="567" w:hanging="567"/>
      </w:pPr>
      <w:r w:rsidRPr="0073388D">
        <w:t>Rappelant</w:t>
      </w:r>
      <w:r w:rsidRPr="0073388D">
        <w:rPr>
          <w:u w:val="none"/>
        </w:rPr>
        <w:t xml:space="preserve"> l’article 9 de la Convention et le chapitre III.2 des Directives opérationnelles,</w:t>
      </w:r>
    </w:p>
    <w:p w14:paraId="116673D5" w14:textId="07E78D23" w:rsidR="00995C66" w:rsidRPr="0073388D" w:rsidRDefault="00995C66" w:rsidP="00654D96">
      <w:pPr>
        <w:pStyle w:val="COMParaDecision"/>
        <w:numPr>
          <w:ilvl w:val="0"/>
          <w:numId w:val="1"/>
        </w:numPr>
        <w:ind w:left="567" w:hanging="567"/>
      </w:pPr>
      <w:r w:rsidRPr="0073388D">
        <w:t xml:space="preserve">Rappelant </w:t>
      </w:r>
      <w:r w:rsidR="00401C16" w:rsidRPr="0073388D">
        <w:t>en outre</w:t>
      </w:r>
      <w:r w:rsidR="00401C16" w:rsidRPr="0073388D">
        <w:rPr>
          <w:u w:val="none"/>
        </w:rPr>
        <w:t xml:space="preserve"> </w:t>
      </w:r>
      <w:r w:rsidRPr="0073388D">
        <w:rPr>
          <w:u w:val="none"/>
        </w:rPr>
        <w:t>l</w:t>
      </w:r>
      <w:r w:rsidR="009332E1" w:rsidRPr="0073388D">
        <w:rPr>
          <w:u w:val="none"/>
        </w:rPr>
        <w:t>es décisions</w:t>
      </w:r>
      <w:r w:rsidRPr="0073388D">
        <w:rPr>
          <w:u w:val="none"/>
        </w:rPr>
        <w:t xml:space="preserve"> </w:t>
      </w:r>
      <w:hyperlink r:id="rId43" w:history="1">
        <w:r w:rsidR="009332E1" w:rsidRPr="0073388D">
          <w:rPr>
            <w:rStyle w:val="Hyperlink"/>
          </w:rPr>
          <w:t>12.COM 13</w:t>
        </w:r>
      </w:hyperlink>
      <w:r w:rsidRPr="0073388D">
        <w:rPr>
          <w:u w:val="none"/>
        </w:rPr>
        <w:t xml:space="preserve">, </w:t>
      </w:r>
      <w:hyperlink r:id="rId44" w:history="1">
        <w:r w:rsidRPr="0073388D">
          <w:rPr>
            <w:rStyle w:val="Hyperlink"/>
          </w:rPr>
          <w:t>12.COM 17</w:t>
        </w:r>
      </w:hyperlink>
      <w:r w:rsidRPr="0073388D">
        <w:rPr>
          <w:u w:val="none"/>
        </w:rPr>
        <w:t xml:space="preserve">, </w:t>
      </w:r>
      <w:hyperlink r:id="rId45" w:history="1">
        <w:r w:rsidRPr="0073388D">
          <w:rPr>
            <w:rStyle w:val="Hyperlink"/>
          </w:rPr>
          <w:t>13.COM 13</w:t>
        </w:r>
      </w:hyperlink>
      <w:r w:rsidRPr="0073388D">
        <w:rPr>
          <w:u w:val="none"/>
        </w:rPr>
        <w:t xml:space="preserve">, </w:t>
      </w:r>
      <w:hyperlink r:id="rId46" w:history="1">
        <w:r w:rsidRPr="0073388D">
          <w:rPr>
            <w:rStyle w:val="Hyperlink"/>
          </w:rPr>
          <w:t>13.COM 16</w:t>
        </w:r>
      </w:hyperlink>
      <w:r w:rsidRPr="0073388D">
        <w:rPr>
          <w:u w:val="none"/>
        </w:rPr>
        <w:t xml:space="preserve">, </w:t>
      </w:r>
      <w:hyperlink r:id="rId47" w:history="1">
        <w:r w:rsidRPr="0073388D">
          <w:rPr>
            <w:rStyle w:val="Hyperlink"/>
          </w:rPr>
          <w:t>14.COM 15</w:t>
        </w:r>
      </w:hyperlink>
      <w:r w:rsidRPr="0073388D">
        <w:rPr>
          <w:u w:val="none"/>
        </w:rPr>
        <w:t xml:space="preserve"> et </w:t>
      </w:r>
      <w:hyperlink r:id="rId48" w:history="1">
        <w:r w:rsidRPr="0073388D">
          <w:rPr>
            <w:rStyle w:val="Hyperlink"/>
          </w:rPr>
          <w:t>14.COM 16</w:t>
        </w:r>
      </w:hyperlink>
      <w:r w:rsidRPr="0073388D">
        <w:rPr>
          <w:u w:val="none"/>
        </w:rPr>
        <w:t xml:space="preserve"> ainsi que l</w:t>
      </w:r>
      <w:r w:rsidR="009332E1" w:rsidRPr="0073388D">
        <w:rPr>
          <w:u w:val="none"/>
        </w:rPr>
        <w:t>es résolutions</w:t>
      </w:r>
      <w:r w:rsidRPr="0073388D">
        <w:rPr>
          <w:u w:val="none"/>
        </w:rPr>
        <w:t xml:space="preserve"> </w:t>
      </w:r>
      <w:hyperlink r:id="rId49" w:history="1">
        <w:r w:rsidRPr="0073388D">
          <w:rPr>
            <w:rStyle w:val="Hyperlink"/>
          </w:rPr>
          <w:t>7.GA 6</w:t>
        </w:r>
      </w:hyperlink>
      <w:r w:rsidRPr="0073388D">
        <w:t xml:space="preserve"> </w:t>
      </w:r>
      <w:r w:rsidRPr="0073388D">
        <w:rPr>
          <w:u w:val="none"/>
        </w:rPr>
        <w:t xml:space="preserve">et </w:t>
      </w:r>
      <w:hyperlink r:id="rId50" w:history="1">
        <w:r w:rsidRPr="0073388D">
          <w:rPr>
            <w:rStyle w:val="Hyperlink"/>
          </w:rPr>
          <w:t>7.GA 11</w:t>
        </w:r>
      </w:hyperlink>
      <w:r w:rsidRPr="0073388D">
        <w:rPr>
          <w:u w:val="none"/>
        </w:rPr>
        <w:t>,</w:t>
      </w:r>
    </w:p>
    <w:p w14:paraId="22767CA3" w14:textId="6688ECAC" w:rsidR="00995C66" w:rsidRPr="0073388D" w:rsidRDefault="00AD68FA" w:rsidP="00654D96">
      <w:pPr>
        <w:pStyle w:val="GAParaResolution"/>
        <w:ind w:left="567" w:hanging="567"/>
        <w:rPr>
          <w:u w:val="none"/>
        </w:rPr>
      </w:pPr>
      <w:r w:rsidRPr="0073388D">
        <w:t>Félicite</w:t>
      </w:r>
      <w:r w:rsidR="00995C66" w:rsidRPr="0073388D">
        <w:rPr>
          <w:u w:val="none"/>
        </w:rPr>
        <w:t xml:space="preserve"> le Secrétariat, les organisations non gouvernementales accréditées, le Forum des ONG-PCI, le groupe de travail ad hoc informel à composition non limitée et les États parties pour la réflexion qu’ils ont menée sur la participation des organisations non gouvernementales à la mise en œuvre de la Convention ;</w:t>
      </w:r>
    </w:p>
    <w:p w14:paraId="36982CEB" w14:textId="6A6F9C64" w:rsidR="00995C66" w:rsidRPr="0073388D" w:rsidRDefault="00DD0362" w:rsidP="00654D96">
      <w:pPr>
        <w:pStyle w:val="COMParaDecision"/>
        <w:numPr>
          <w:ilvl w:val="0"/>
          <w:numId w:val="1"/>
        </w:numPr>
        <w:ind w:left="567" w:hanging="567"/>
      </w:pPr>
      <w:r w:rsidRPr="0073388D">
        <w:t>Reconnaît</w:t>
      </w:r>
      <w:r w:rsidRPr="0073388D">
        <w:rPr>
          <w:u w:val="none"/>
        </w:rPr>
        <w:t xml:space="preserve"> </w:t>
      </w:r>
      <w:r w:rsidR="00995C66" w:rsidRPr="0073388D">
        <w:rPr>
          <w:u w:val="none"/>
        </w:rPr>
        <w:t>le rôle important et le potentiel inexploité des organisations non gouvernementales accréditées et du Forum des ONG-PCI dans le soutien à la mise en œuvre de la Convention</w:t>
      </w:r>
      <w:r w:rsidRPr="0073388D">
        <w:rPr>
          <w:u w:val="none"/>
        </w:rPr>
        <w:t> ;</w:t>
      </w:r>
    </w:p>
    <w:p w14:paraId="06FFF397" w14:textId="77777777" w:rsidR="00995C66" w:rsidRPr="0073388D" w:rsidRDefault="00995C66" w:rsidP="00654D96">
      <w:pPr>
        <w:pStyle w:val="COMParaDecision"/>
        <w:numPr>
          <w:ilvl w:val="0"/>
          <w:numId w:val="1"/>
        </w:numPr>
        <w:ind w:left="567" w:hanging="567"/>
        <w:rPr>
          <w:snapToGrid w:val="0"/>
        </w:rPr>
      </w:pPr>
      <w:r w:rsidRPr="0073388D">
        <w:t>Accueille favorablement</w:t>
      </w:r>
      <w:r w:rsidRPr="0073388D">
        <w:rPr>
          <w:u w:val="none"/>
        </w:rPr>
        <w:t xml:space="preserve"> le point spécifique « Rapport du Forum des organisations non gouvernementales » qui sera inscrit, à titre expérimental, à l’ordre du jour provisoire de la quinzième session du Comité ;</w:t>
      </w:r>
    </w:p>
    <w:p w14:paraId="24308E85" w14:textId="733225D9" w:rsidR="00995C66" w:rsidRPr="0073388D" w:rsidRDefault="00401C16" w:rsidP="00654D96">
      <w:pPr>
        <w:pStyle w:val="COMParaDecision"/>
        <w:numPr>
          <w:ilvl w:val="0"/>
          <w:numId w:val="1"/>
        </w:numPr>
        <w:ind w:left="567" w:hanging="567"/>
        <w:rPr>
          <w:snapToGrid w:val="0"/>
        </w:rPr>
      </w:pPr>
      <w:r w:rsidRPr="0073388D">
        <w:t>Prend n</w:t>
      </w:r>
      <w:r w:rsidR="00995C66" w:rsidRPr="0073388D">
        <w:t>ote</w:t>
      </w:r>
      <w:r w:rsidR="00995C66" w:rsidRPr="0073388D">
        <w:rPr>
          <w:u w:val="none"/>
        </w:rPr>
        <w:t xml:space="preserve"> </w:t>
      </w:r>
      <w:r w:rsidRPr="0073388D">
        <w:rPr>
          <w:u w:val="none"/>
        </w:rPr>
        <w:t>d</w:t>
      </w:r>
      <w:r w:rsidR="00995C66" w:rsidRPr="0073388D">
        <w:rPr>
          <w:u w:val="none"/>
        </w:rPr>
        <w:t xml:space="preserve">es conclusions du processus de réflexion et </w:t>
      </w:r>
      <w:r w:rsidR="00995C66" w:rsidRPr="0073388D">
        <w:t>demande</w:t>
      </w:r>
      <w:r w:rsidR="00995C66" w:rsidRPr="0073388D">
        <w:rPr>
          <w:u w:val="none"/>
        </w:rPr>
        <w:t xml:space="preserve"> que le Secrétariat mette en œuvre, le cas échéant, les décisions pertinentes du Comité en consultation et en collaboration avec le Forum des ONG-PCI.</w:t>
      </w:r>
    </w:p>
    <w:p w14:paraId="75D853AA" w14:textId="77777777" w:rsidR="00F41E86" w:rsidRPr="0073388D" w:rsidRDefault="00F41E86" w:rsidP="006E6BE0">
      <w:pPr>
        <w:pStyle w:val="GATitleResolution"/>
        <w:tabs>
          <w:tab w:val="clear" w:pos="567"/>
          <w:tab w:val="left" w:pos="720"/>
        </w:tabs>
        <w:spacing w:before="360"/>
        <w:ind w:left="0"/>
      </w:pPr>
      <w:r w:rsidRPr="0073388D">
        <w:t>RÉSOLUTION 8.GA 13</w:t>
      </w:r>
    </w:p>
    <w:p w14:paraId="070E8850" w14:textId="77777777" w:rsidR="00F41E86" w:rsidRPr="0073388D" w:rsidRDefault="00F41E86" w:rsidP="00F41E86">
      <w:pPr>
        <w:pStyle w:val="GAPreambulaResolution"/>
        <w:tabs>
          <w:tab w:val="left" w:pos="720"/>
        </w:tabs>
        <w:ind w:left="0"/>
        <w:rPr>
          <w:rFonts w:eastAsia="SimSun"/>
          <w:lang w:val="fr-FR"/>
        </w:rPr>
      </w:pPr>
      <w:r w:rsidRPr="0073388D">
        <w:rPr>
          <w:lang w:val="fr-FR"/>
        </w:rPr>
        <w:t>L’Assemblée générale,</w:t>
      </w:r>
    </w:p>
    <w:p w14:paraId="539019BC" w14:textId="77777777" w:rsidR="00F41E86" w:rsidRPr="0073388D" w:rsidRDefault="00F41E86" w:rsidP="00654D96">
      <w:pPr>
        <w:pStyle w:val="GAParaResolution"/>
        <w:numPr>
          <w:ilvl w:val="0"/>
          <w:numId w:val="22"/>
        </w:numPr>
        <w:ind w:left="567" w:hanging="567"/>
        <w:jc w:val="left"/>
      </w:pPr>
      <w:r w:rsidRPr="0073388D">
        <w:t>Ayant examiné</w:t>
      </w:r>
      <w:r w:rsidRPr="0073388D">
        <w:rPr>
          <w:u w:val="none"/>
        </w:rPr>
        <w:t xml:space="preserve"> le document </w:t>
      </w:r>
      <w:hyperlink r:id="rId51" w:history="1">
        <w:r w:rsidRPr="0073388D">
          <w:rPr>
            <w:rStyle w:val="Hyperlink"/>
          </w:rPr>
          <w:t>LHE/20/8.GA/13</w:t>
        </w:r>
      </w:hyperlink>
      <w:r w:rsidR="00CE7D5A" w:rsidRPr="0073388D">
        <w:rPr>
          <w:u w:val="none"/>
        </w:rPr>
        <w:t xml:space="preserve"> et son annexe</w:t>
      </w:r>
      <w:r w:rsidRPr="0073388D">
        <w:rPr>
          <w:u w:val="none"/>
        </w:rPr>
        <w:t>,</w:t>
      </w:r>
    </w:p>
    <w:p w14:paraId="5A3835BC" w14:textId="77777777" w:rsidR="00F41E86" w:rsidRPr="0073388D" w:rsidRDefault="00F41E86" w:rsidP="00654D96">
      <w:pPr>
        <w:pStyle w:val="COMParaDecision"/>
        <w:numPr>
          <w:ilvl w:val="0"/>
          <w:numId w:val="1"/>
        </w:numPr>
        <w:ind w:left="567" w:hanging="567"/>
      </w:pPr>
      <w:r w:rsidRPr="0073388D">
        <w:t>Rappelant</w:t>
      </w:r>
      <w:r w:rsidRPr="0073388D">
        <w:rPr>
          <w:u w:val="none"/>
        </w:rPr>
        <w:t xml:space="preserve"> l’article 9 de la Convention et les paragraphes 91 à 99 des Directives opérationnelles,</w:t>
      </w:r>
    </w:p>
    <w:p w14:paraId="3972517A" w14:textId="75E28F4A" w:rsidR="00F41E86" w:rsidRPr="0073388D" w:rsidRDefault="00F41E86" w:rsidP="00654D96">
      <w:pPr>
        <w:pStyle w:val="COMParaDecision"/>
        <w:numPr>
          <w:ilvl w:val="0"/>
          <w:numId w:val="1"/>
        </w:numPr>
        <w:ind w:left="567" w:hanging="567"/>
      </w:pPr>
      <w:r w:rsidRPr="0073388D">
        <w:t xml:space="preserve">Rappelant </w:t>
      </w:r>
      <w:r w:rsidR="00401C16" w:rsidRPr="0073388D">
        <w:t>en outre</w:t>
      </w:r>
      <w:r w:rsidRPr="0073388D">
        <w:rPr>
          <w:u w:val="none"/>
        </w:rPr>
        <w:t xml:space="preserve"> la </w:t>
      </w:r>
      <w:hyperlink r:id="rId52" w:history="1">
        <w:r w:rsidRPr="0073388D">
          <w:rPr>
            <w:rStyle w:val="Hyperlink"/>
          </w:rPr>
          <w:t>décision 14.COM 17</w:t>
        </w:r>
      </w:hyperlink>
      <w:r w:rsidRPr="0073388D">
        <w:rPr>
          <w:u w:val="none"/>
        </w:rPr>
        <w:t>,</w:t>
      </w:r>
    </w:p>
    <w:p w14:paraId="71AC8989" w14:textId="77777777" w:rsidR="00F41E86" w:rsidRPr="0073388D" w:rsidRDefault="00F41E86" w:rsidP="00654D96">
      <w:pPr>
        <w:pStyle w:val="COMParaDecision"/>
        <w:numPr>
          <w:ilvl w:val="0"/>
          <w:numId w:val="1"/>
        </w:numPr>
        <w:ind w:left="567" w:hanging="567"/>
      </w:pPr>
      <w:r w:rsidRPr="0073388D">
        <w:t>Accrédite</w:t>
      </w:r>
      <w:r w:rsidRPr="0073388D">
        <w:rPr>
          <w:u w:val="none"/>
        </w:rPr>
        <w:t xml:space="preserve"> les trente-six organisations non gouvernementales dont la liste figure en annexe de la présente résolution, pour qu’elles exercent des fonctions consultatives auprès du Comité ;</w:t>
      </w:r>
    </w:p>
    <w:p w14:paraId="03255345" w14:textId="2F8FF76F" w:rsidR="00F41E86" w:rsidRPr="0073388D" w:rsidRDefault="00F41E86" w:rsidP="00654D96">
      <w:pPr>
        <w:pStyle w:val="COMParaDecision"/>
        <w:numPr>
          <w:ilvl w:val="0"/>
          <w:numId w:val="1"/>
        </w:numPr>
        <w:ind w:left="567" w:hanging="567"/>
      </w:pPr>
      <w:r w:rsidRPr="0073388D">
        <w:t>Encourage</w:t>
      </w:r>
      <w:r w:rsidRPr="0073388D">
        <w:rPr>
          <w:u w:val="none"/>
        </w:rPr>
        <w:t xml:space="preserve"> les ONG des groupes électoraux sous-représentés qui répondent aux critères d’accréditation à soumettre leurs demandes d’accréditation dans les meilleurs délais afin d’améliorer la répartition géographique des ONG accréditées et </w:t>
      </w:r>
      <w:r w:rsidRPr="0073388D">
        <w:t>invite</w:t>
      </w:r>
      <w:r w:rsidRPr="0073388D">
        <w:rPr>
          <w:u w:val="none"/>
        </w:rPr>
        <w:t xml:space="preserve"> les États parties de ces groupes électoraux à</w:t>
      </w:r>
      <w:r w:rsidR="008B5FC7" w:rsidRPr="0073388D">
        <w:rPr>
          <w:u w:val="none"/>
        </w:rPr>
        <w:t xml:space="preserve"> assurer une large diffusion de</w:t>
      </w:r>
      <w:r w:rsidRPr="0073388D">
        <w:rPr>
          <w:u w:val="none"/>
        </w:rPr>
        <w:t xml:space="preserve"> cet appel aux ONG opérant sur leur territoire ;</w:t>
      </w:r>
    </w:p>
    <w:p w14:paraId="49F83357" w14:textId="411430F2" w:rsidR="008B5FC7" w:rsidRPr="0073388D" w:rsidRDefault="008B5FC7" w:rsidP="00654D96">
      <w:pPr>
        <w:pStyle w:val="COMParaDecision"/>
        <w:numPr>
          <w:ilvl w:val="0"/>
          <w:numId w:val="1"/>
        </w:numPr>
        <w:ind w:left="567" w:hanging="567"/>
      </w:pPr>
      <w:r w:rsidRPr="0073388D">
        <w:t>Invite</w:t>
      </w:r>
      <w:r w:rsidRPr="0073388D">
        <w:rPr>
          <w:u w:val="none"/>
        </w:rPr>
        <w:t xml:space="preserve"> les États parties à engager une réflexion sur la question de l’accréditation d’organisations non gouvernementales d’États non </w:t>
      </w:r>
      <w:r w:rsidR="00AC17EB" w:rsidRPr="0073388D">
        <w:rPr>
          <w:u w:val="none"/>
        </w:rPr>
        <w:t>p</w:t>
      </w:r>
      <w:r w:rsidRPr="0073388D">
        <w:rPr>
          <w:u w:val="none"/>
        </w:rPr>
        <w:t>arties, en vue d’une discussion sur ce point lors de sa prochaine session ;</w:t>
      </w:r>
    </w:p>
    <w:p w14:paraId="51D67011" w14:textId="77777777" w:rsidR="00F41E86" w:rsidRPr="0073388D" w:rsidRDefault="00F41E86" w:rsidP="00654D96">
      <w:pPr>
        <w:pStyle w:val="COMParaDecision"/>
        <w:numPr>
          <w:ilvl w:val="0"/>
          <w:numId w:val="1"/>
        </w:numPr>
        <w:ind w:left="567" w:hanging="567"/>
      </w:pPr>
      <w:r w:rsidRPr="0073388D">
        <w:t>Invite</w:t>
      </w:r>
      <w:r w:rsidR="008B5FC7" w:rsidRPr="0073388D">
        <w:t xml:space="preserve"> en outre</w:t>
      </w:r>
      <w:r w:rsidRPr="0073388D">
        <w:rPr>
          <w:u w:val="none"/>
        </w:rPr>
        <w:t xml:space="preserve"> les ONG accréditées en 2012 et en 2016 à remettre au Secrétariat leur rapport quadriennal avant la date limite du 15 février 2021, afin que le Comité puisse étudier la contribution et l’implication de chaque organisation consultative lors de sa seizième session.</w:t>
      </w:r>
    </w:p>
    <w:p w14:paraId="5AE5C87A" w14:textId="14EF89EE" w:rsidR="00F41E86" w:rsidRPr="0073388D" w:rsidRDefault="00F41E86" w:rsidP="006E6BE0">
      <w:pPr>
        <w:pStyle w:val="GAParaResolution"/>
        <w:numPr>
          <w:ilvl w:val="0"/>
          <w:numId w:val="0"/>
        </w:numPr>
        <w:spacing w:before="360" w:after="240"/>
        <w:jc w:val="center"/>
        <w:rPr>
          <w:b/>
          <w:bCs/>
          <w:u w:val="none"/>
        </w:rPr>
      </w:pPr>
      <w:r w:rsidRPr="0073388D">
        <w:rPr>
          <w:b/>
          <w:bCs/>
          <w:u w:val="none"/>
        </w:rPr>
        <w:t>ANNEXE</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F41E86" w:rsidRPr="0073388D" w14:paraId="6730953D" w14:textId="77777777" w:rsidTr="00C71838">
        <w:trPr>
          <w:trHeight w:val="164"/>
        </w:trPr>
        <w:tc>
          <w:tcPr>
            <w:tcW w:w="3060" w:type="pct"/>
            <w:shd w:val="clear" w:color="auto" w:fill="808080" w:themeFill="background1" w:themeFillShade="80"/>
            <w:vAlign w:val="center"/>
            <w:hideMark/>
          </w:tcPr>
          <w:p w14:paraId="3C48DB78" w14:textId="77777777" w:rsidR="00F41E86" w:rsidRPr="0073388D" w:rsidRDefault="00F41E86" w:rsidP="00C71838">
            <w:pPr>
              <w:keepNext/>
              <w:jc w:val="center"/>
              <w:rPr>
                <w:rFonts w:ascii="Arial" w:hAnsi="Arial" w:cs="Arial"/>
                <w:b/>
                <w:bCs/>
                <w:color w:val="000000"/>
                <w:sz w:val="22"/>
                <w:szCs w:val="22"/>
              </w:rPr>
            </w:pPr>
            <w:r w:rsidRPr="0073388D">
              <w:rPr>
                <w:rFonts w:ascii="Arial" w:hAnsi="Arial"/>
                <w:b/>
                <w:bCs/>
                <w:color w:val="000000"/>
                <w:sz w:val="22"/>
                <w:szCs w:val="22"/>
              </w:rPr>
              <w:t>Nom de l’organisation</w:t>
            </w:r>
          </w:p>
        </w:tc>
        <w:tc>
          <w:tcPr>
            <w:tcW w:w="1119" w:type="pct"/>
            <w:shd w:val="clear" w:color="auto" w:fill="808080" w:themeFill="background1" w:themeFillShade="80"/>
            <w:vAlign w:val="center"/>
            <w:hideMark/>
          </w:tcPr>
          <w:p w14:paraId="52185AB1" w14:textId="77777777" w:rsidR="00F41E86" w:rsidRPr="0073388D" w:rsidRDefault="00F41E86" w:rsidP="00C71838">
            <w:pPr>
              <w:jc w:val="center"/>
              <w:rPr>
                <w:rFonts w:ascii="Arial" w:hAnsi="Arial" w:cs="Arial"/>
                <w:b/>
                <w:bCs/>
                <w:color w:val="000000"/>
                <w:sz w:val="22"/>
                <w:szCs w:val="22"/>
              </w:rPr>
            </w:pPr>
            <w:r w:rsidRPr="0073388D">
              <w:rPr>
                <w:rFonts w:ascii="Arial" w:hAnsi="Arial"/>
                <w:b/>
                <w:bCs/>
                <w:color w:val="000000"/>
                <w:sz w:val="22"/>
                <w:szCs w:val="22"/>
              </w:rPr>
              <w:t>Pays d’établissement</w:t>
            </w:r>
          </w:p>
        </w:tc>
        <w:tc>
          <w:tcPr>
            <w:tcW w:w="821" w:type="pct"/>
            <w:shd w:val="clear" w:color="auto" w:fill="808080" w:themeFill="background1" w:themeFillShade="80"/>
            <w:vAlign w:val="center"/>
            <w:hideMark/>
          </w:tcPr>
          <w:p w14:paraId="0B5C18D0" w14:textId="77777777" w:rsidR="00F41E86" w:rsidRPr="0073388D" w:rsidRDefault="00F41E86" w:rsidP="00C71838">
            <w:pPr>
              <w:spacing w:before="120" w:after="120"/>
              <w:jc w:val="center"/>
              <w:rPr>
                <w:rFonts w:ascii="Arial" w:hAnsi="Arial" w:cs="Arial"/>
                <w:b/>
                <w:bCs/>
                <w:color w:val="000000"/>
                <w:sz w:val="22"/>
                <w:szCs w:val="22"/>
              </w:rPr>
            </w:pPr>
            <w:r w:rsidRPr="0073388D">
              <w:rPr>
                <w:rFonts w:ascii="Arial" w:hAnsi="Arial"/>
                <w:b/>
                <w:bCs/>
                <w:color w:val="000000"/>
                <w:sz w:val="22"/>
                <w:szCs w:val="22"/>
              </w:rPr>
              <w:t>Numéro de demande</w:t>
            </w:r>
          </w:p>
        </w:tc>
      </w:tr>
      <w:tr w:rsidR="00F41E86" w:rsidRPr="0073388D" w14:paraId="22F07302" w14:textId="77777777" w:rsidTr="00C71838">
        <w:trPr>
          <w:trHeight w:val="164"/>
        </w:trPr>
        <w:tc>
          <w:tcPr>
            <w:tcW w:w="3060" w:type="pct"/>
            <w:tcBorders>
              <w:top w:val="single" w:sz="4" w:space="0" w:color="auto"/>
              <w:bottom w:val="single" w:sz="4" w:space="0" w:color="auto"/>
            </w:tcBorders>
            <w:shd w:val="clear" w:color="auto" w:fill="auto"/>
            <w:hideMark/>
          </w:tcPr>
          <w:p w14:paraId="4DDA2F68"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ABAIM</w:t>
            </w:r>
          </w:p>
        </w:tc>
        <w:tc>
          <w:tcPr>
            <w:tcW w:w="1119" w:type="pct"/>
            <w:tcBorders>
              <w:top w:val="single" w:sz="4" w:space="0" w:color="auto"/>
              <w:bottom w:val="single" w:sz="4" w:space="0" w:color="auto"/>
            </w:tcBorders>
            <w:shd w:val="clear" w:color="auto" w:fill="auto"/>
            <w:hideMark/>
          </w:tcPr>
          <w:p w14:paraId="46599859"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Maurice</w:t>
            </w:r>
          </w:p>
        </w:tc>
        <w:tc>
          <w:tcPr>
            <w:tcW w:w="821" w:type="pct"/>
            <w:tcBorders>
              <w:top w:val="single" w:sz="4" w:space="0" w:color="auto"/>
              <w:bottom w:val="single" w:sz="4" w:space="0" w:color="auto"/>
            </w:tcBorders>
            <w:shd w:val="clear" w:color="auto" w:fill="auto"/>
            <w:hideMark/>
          </w:tcPr>
          <w:p w14:paraId="763679ED" w14:textId="77777777" w:rsidR="00F41E86" w:rsidRPr="0073388D" w:rsidRDefault="00D718F7" w:rsidP="00C71838">
            <w:pPr>
              <w:jc w:val="center"/>
              <w:rPr>
                <w:rFonts w:ascii="Arial" w:hAnsi="Arial" w:cs="Arial"/>
                <w:color w:val="000000"/>
                <w:sz w:val="22"/>
                <w:szCs w:val="22"/>
              </w:rPr>
            </w:pPr>
            <w:hyperlink r:id="rId53" w:history="1">
              <w:r w:rsidR="00F41E86" w:rsidRPr="0073388D">
                <w:rPr>
                  <w:rStyle w:val="Hyperlink"/>
                  <w:rFonts w:ascii="Arial" w:hAnsi="Arial"/>
                  <w:sz w:val="22"/>
                  <w:szCs w:val="22"/>
                </w:rPr>
                <w:t>NGO-90443</w:t>
              </w:r>
            </w:hyperlink>
          </w:p>
        </w:tc>
      </w:tr>
      <w:tr w:rsidR="00F41E86" w:rsidRPr="0073388D" w14:paraId="4620B682" w14:textId="77777777" w:rsidTr="00C71838">
        <w:trPr>
          <w:trHeight w:val="164"/>
        </w:trPr>
        <w:tc>
          <w:tcPr>
            <w:tcW w:w="3060" w:type="pct"/>
            <w:tcBorders>
              <w:top w:val="single" w:sz="4" w:space="0" w:color="auto"/>
              <w:bottom w:val="single" w:sz="4" w:space="0" w:color="auto"/>
            </w:tcBorders>
            <w:shd w:val="clear" w:color="auto" w:fill="auto"/>
          </w:tcPr>
          <w:p w14:paraId="7D78DB94"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Association culturelle Passate</w:t>
            </w:r>
          </w:p>
        </w:tc>
        <w:tc>
          <w:tcPr>
            <w:tcW w:w="1119" w:type="pct"/>
            <w:tcBorders>
              <w:top w:val="single" w:sz="4" w:space="0" w:color="auto"/>
              <w:bottom w:val="single" w:sz="4" w:space="0" w:color="auto"/>
            </w:tcBorders>
            <w:shd w:val="clear" w:color="auto" w:fill="auto"/>
          </w:tcPr>
          <w:p w14:paraId="208CC463"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Burkina Faso</w:t>
            </w:r>
          </w:p>
        </w:tc>
        <w:tc>
          <w:tcPr>
            <w:tcW w:w="821" w:type="pct"/>
            <w:tcBorders>
              <w:top w:val="single" w:sz="4" w:space="0" w:color="auto"/>
              <w:bottom w:val="single" w:sz="4" w:space="0" w:color="auto"/>
            </w:tcBorders>
            <w:shd w:val="clear" w:color="auto" w:fill="auto"/>
          </w:tcPr>
          <w:p w14:paraId="5356DB1D" w14:textId="77777777" w:rsidR="00F41E86" w:rsidRPr="0073388D" w:rsidRDefault="00D718F7" w:rsidP="00C71838">
            <w:pPr>
              <w:jc w:val="center"/>
              <w:rPr>
                <w:rFonts w:ascii="Arial" w:hAnsi="Arial" w:cs="Arial"/>
                <w:color w:val="000000"/>
                <w:sz w:val="22"/>
                <w:szCs w:val="22"/>
              </w:rPr>
            </w:pPr>
            <w:hyperlink r:id="rId54" w:history="1">
              <w:r w:rsidR="00F41E86" w:rsidRPr="0073388D">
                <w:rPr>
                  <w:rStyle w:val="Hyperlink"/>
                  <w:rFonts w:ascii="Arial" w:hAnsi="Arial"/>
                  <w:sz w:val="22"/>
                  <w:szCs w:val="22"/>
                </w:rPr>
                <w:t>NGO-90450</w:t>
              </w:r>
            </w:hyperlink>
          </w:p>
        </w:tc>
      </w:tr>
      <w:tr w:rsidR="00F41E86" w:rsidRPr="0073388D" w14:paraId="29C5D192" w14:textId="77777777" w:rsidTr="00C71838">
        <w:trPr>
          <w:trHeight w:val="164"/>
        </w:trPr>
        <w:tc>
          <w:tcPr>
            <w:tcW w:w="3060" w:type="pct"/>
            <w:tcBorders>
              <w:top w:val="single" w:sz="4" w:space="0" w:color="auto"/>
              <w:bottom w:val="single" w:sz="4" w:space="0" w:color="auto"/>
            </w:tcBorders>
            <w:shd w:val="clear" w:color="auto" w:fill="auto"/>
          </w:tcPr>
          <w:p w14:paraId="7006844C"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Association House of Batana</w:t>
            </w:r>
          </w:p>
        </w:tc>
        <w:tc>
          <w:tcPr>
            <w:tcW w:w="1119" w:type="pct"/>
            <w:tcBorders>
              <w:top w:val="single" w:sz="4" w:space="0" w:color="auto"/>
              <w:bottom w:val="single" w:sz="4" w:space="0" w:color="auto"/>
            </w:tcBorders>
            <w:shd w:val="clear" w:color="auto" w:fill="auto"/>
          </w:tcPr>
          <w:p w14:paraId="450E471A"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Croatie</w:t>
            </w:r>
          </w:p>
        </w:tc>
        <w:tc>
          <w:tcPr>
            <w:tcW w:w="821" w:type="pct"/>
            <w:tcBorders>
              <w:top w:val="single" w:sz="4" w:space="0" w:color="auto"/>
              <w:bottom w:val="single" w:sz="4" w:space="0" w:color="auto"/>
            </w:tcBorders>
            <w:shd w:val="clear" w:color="auto" w:fill="auto"/>
          </w:tcPr>
          <w:p w14:paraId="4FCA9513" w14:textId="77777777" w:rsidR="00F41E86" w:rsidRPr="0073388D" w:rsidRDefault="00D718F7" w:rsidP="00C71838">
            <w:pPr>
              <w:jc w:val="center"/>
              <w:rPr>
                <w:rFonts w:ascii="Arial" w:hAnsi="Arial" w:cs="Arial"/>
                <w:color w:val="000000"/>
                <w:sz w:val="22"/>
                <w:szCs w:val="22"/>
              </w:rPr>
            </w:pPr>
            <w:hyperlink r:id="rId55" w:history="1">
              <w:r w:rsidR="00F41E86" w:rsidRPr="0073388D">
                <w:rPr>
                  <w:rStyle w:val="Hyperlink"/>
                  <w:rFonts w:ascii="Arial" w:hAnsi="Arial"/>
                  <w:sz w:val="22"/>
                  <w:szCs w:val="22"/>
                </w:rPr>
                <w:t>NGO-90457</w:t>
              </w:r>
            </w:hyperlink>
          </w:p>
        </w:tc>
      </w:tr>
      <w:tr w:rsidR="00F41E86" w:rsidRPr="0073388D" w14:paraId="398F391D" w14:textId="77777777" w:rsidTr="00C71838">
        <w:trPr>
          <w:trHeight w:val="164"/>
        </w:trPr>
        <w:tc>
          <w:tcPr>
            <w:tcW w:w="3060" w:type="pct"/>
            <w:tcBorders>
              <w:top w:val="single" w:sz="4" w:space="0" w:color="auto"/>
              <w:bottom w:val="single" w:sz="4" w:space="0" w:color="auto"/>
            </w:tcBorders>
            <w:shd w:val="clear" w:color="auto" w:fill="auto"/>
          </w:tcPr>
          <w:p w14:paraId="25059573"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Association Mamelomaso (MM)</w:t>
            </w:r>
          </w:p>
        </w:tc>
        <w:tc>
          <w:tcPr>
            <w:tcW w:w="1119" w:type="pct"/>
            <w:tcBorders>
              <w:top w:val="single" w:sz="4" w:space="0" w:color="auto"/>
              <w:bottom w:val="single" w:sz="4" w:space="0" w:color="auto"/>
            </w:tcBorders>
            <w:shd w:val="clear" w:color="auto" w:fill="auto"/>
          </w:tcPr>
          <w:p w14:paraId="62431439"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Madagascar</w:t>
            </w:r>
          </w:p>
        </w:tc>
        <w:tc>
          <w:tcPr>
            <w:tcW w:w="821" w:type="pct"/>
            <w:tcBorders>
              <w:top w:val="single" w:sz="4" w:space="0" w:color="auto"/>
              <w:bottom w:val="single" w:sz="4" w:space="0" w:color="auto"/>
            </w:tcBorders>
            <w:shd w:val="clear" w:color="auto" w:fill="auto"/>
          </w:tcPr>
          <w:p w14:paraId="426BB86E" w14:textId="77777777" w:rsidR="00F41E86" w:rsidRPr="0073388D" w:rsidRDefault="00D718F7" w:rsidP="00C71838">
            <w:pPr>
              <w:jc w:val="center"/>
              <w:rPr>
                <w:rFonts w:ascii="Arial" w:hAnsi="Arial" w:cs="Arial"/>
                <w:color w:val="000000"/>
                <w:sz w:val="22"/>
                <w:szCs w:val="22"/>
              </w:rPr>
            </w:pPr>
            <w:hyperlink r:id="rId56" w:history="1">
              <w:r w:rsidR="00F41E86" w:rsidRPr="0073388D">
                <w:rPr>
                  <w:rStyle w:val="Hyperlink"/>
                  <w:rFonts w:ascii="Arial" w:hAnsi="Arial"/>
                  <w:sz w:val="22"/>
                  <w:szCs w:val="22"/>
                </w:rPr>
                <w:t>NGO-90419</w:t>
              </w:r>
            </w:hyperlink>
          </w:p>
        </w:tc>
      </w:tr>
      <w:tr w:rsidR="00F41E86" w:rsidRPr="0073388D" w14:paraId="7AA536DA" w14:textId="77777777" w:rsidTr="00C71838">
        <w:trPr>
          <w:trHeight w:val="164"/>
        </w:trPr>
        <w:tc>
          <w:tcPr>
            <w:tcW w:w="3060" w:type="pct"/>
            <w:tcBorders>
              <w:top w:val="single" w:sz="4" w:space="0" w:color="auto"/>
              <w:bottom w:val="single" w:sz="4" w:space="0" w:color="auto"/>
            </w:tcBorders>
            <w:shd w:val="clear" w:color="auto" w:fill="auto"/>
          </w:tcPr>
          <w:p w14:paraId="468EEF9E"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748B5151"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Maroc</w:t>
            </w:r>
          </w:p>
        </w:tc>
        <w:tc>
          <w:tcPr>
            <w:tcW w:w="821" w:type="pct"/>
            <w:tcBorders>
              <w:top w:val="single" w:sz="4" w:space="0" w:color="auto"/>
              <w:bottom w:val="single" w:sz="4" w:space="0" w:color="auto"/>
            </w:tcBorders>
            <w:shd w:val="clear" w:color="auto" w:fill="auto"/>
          </w:tcPr>
          <w:p w14:paraId="1FBB9739" w14:textId="77777777" w:rsidR="00F41E86" w:rsidRPr="0073388D" w:rsidRDefault="00D718F7" w:rsidP="00C71838">
            <w:pPr>
              <w:jc w:val="center"/>
              <w:rPr>
                <w:rFonts w:ascii="Arial" w:hAnsi="Arial" w:cs="Arial"/>
                <w:color w:val="000000"/>
                <w:sz w:val="22"/>
                <w:szCs w:val="22"/>
              </w:rPr>
            </w:pPr>
            <w:hyperlink r:id="rId57" w:history="1">
              <w:r w:rsidR="00F41E86" w:rsidRPr="0073388D">
                <w:rPr>
                  <w:rStyle w:val="Hyperlink"/>
                  <w:rFonts w:ascii="Arial" w:hAnsi="Arial"/>
                  <w:sz w:val="22"/>
                  <w:szCs w:val="22"/>
                </w:rPr>
                <w:t>NGO-90470</w:t>
              </w:r>
            </w:hyperlink>
          </w:p>
        </w:tc>
      </w:tr>
      <w:tr w:rsidR="00F41E86" w:rsidRPr="0073388D" w14:paraId="70F9C0F8" w14:textId="77777777" w:rsidTr="00C71838">
        <w:trPr>
          <w:trHeight w:val="164"/>
        </w:trPr>
        <w:tc>
          <w:tcPr>
            <w:tcW w:w="3060" w:type="pct"/>
            <w:tcBorders>
              <w:top w:val="single" w:sz="4" w:space="0" w:color="auto"/>
              <w:bottom w:val="single" w:sz="4" w:space="0" w:color="auto"/>
            </w:tcBorders>
            <w:shd w:val="clear" w:color="auto" w:fill="auto"/>
          </w:tcPr>
          <w:p w14:paraId="2F363E89"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Bavarian association for cultural heritage</w:t>
            </w:r>
          </w:p>
        </w:tc>
        <w:tc>
          <w:tcPr>
            <w:tcW w:w="1119" w:type="pct"/>
            <w:tcBorders>
              <w:top w:val="single" w:sz="4" w:space="0" w:color="auto"/>
              <w:bottom w:val="single" w:sz="4" w:space="0" w:color="auto"/>
            </w:tcBorders>
            <w:shd w:val="clear" w:color="auto" w:fill="auto"/>
          </w:tcPr>
          <w:p w14:paraId="4F09D2A1"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Allemagne</w:t>
            </w:r>
          </w:p>
        </w:tc>
        <w:tc>
          <w:tcPr>
            <w:tcW w:w="821" w:type="pct"/>
            <w:tcBorders>
              <w:top w:val="single" w:sz="4" w:space="0" w:color="auto"/>
              <w:bottom w:val="single" w:sz="4" w:space="0" w:color="auto"/>
            </w:tcBorders>
            <w:shd w:val="clear" w:color="auto" w:fill="auto"/>
          </w:tcPr>
          <w:p w14:paraId="46E2418E" w14:textId="77777777" w:rsidR="00F41E86" w:rsidRPr="0073388D" w:rsidRDefault="00D718F7" w:rsidP="00C71838">
            <w:pPr>
              <w:jc w:val="center"/>
              <w:rPr>
                <w:rFonts w:ascii="Arial" w:hAnsi="Arial" w:cs="Arial"/>
                <w:color w:val="000000"/>
                <w:sz w:val="22"/>
                <w:szCs w:val="22"/>
              </w:rPr>
            </w:pPr>
            <w:hyperlink r:id="rId58" w:history="1">
              <w:r w:rsidR="00F41E86" w:rsidRPr="0073388D">
                <w:rPr>
                  <w:rStyle w:val="Hyperlink"/>
                  <w:rFonts w:ascii="Arial" w:hAnsi="Arial"/>
                  <w:sz w:val="22"/>
                  <w:szCs w:val="22"/>
                  <w:lang w:val="en-US"/>
                </w:rPr>
                <w:t>NGO-90438</w:t>
              </w:r>
            </w:hyperlink>
          </w:p>
        </w:tc>
      </w:tr>
      <w:tr w:rsidR="00F41E86" w:rsidRPr="0073388D" w14:paraId="15142EBD" w14:textId="77777777" w:rsidTr="00C71838">
        <w:trPr>
          <w:trHeight w:val="164"/>
        </w:trPr>
        <w:tc>
          <w:tcPr>
            <w:tcW w:w="3060" w:type="pct"/>
            <w:tcBorders>
              <w:top w:val="single" w:sz="4" w:space="0" w:color="auto"/>
              <w:bottom w:val="single" w:sz="4" w:space="0" w:color="auto"/>
            </w:tcBorders>
            <w:shd w:val="clear" w:color="auto" w:fill="auto"/>
          </w:tcPr>
          <w:p w14:paraId="386CE8E0"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Bonairean Historical Cultural Foundation FUHIKUBO</w:t>
            </w:r>
          </w:p>
        </w:tc>
        <w:tc>
          <w:tcPr>
            <w:tcW w:w="1119" w:type="pct"/>
            <w:tcBorders>
              <w:top w:val="single" w:sz="4" w:space="0" w:color="auto"/>
              <w:bottom w:val="single" w:sz="4" w:space="0" w:color="auto"/>
            </w:tcBorders>
            <w:shd w:val="clear" w:color="auto" w:fill="auto"/>
          </w:tcPr>
          <w:p w14:paraId="452E99BD"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Pays-Bas</w:t>
            </w:r>
          </w:p>
          <w:p w14:paraId="27CCC2A0"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(Bonaire)</w:t>
            </w:r>
          </w:p>
        </w:tc>
        <w:tc>
          <w:tcPr>
            <w:tcW w:w="821" w:type="pct"/>
            <w:tcBorders>
              <w:top w:val="single" w:sz="4" w:space="0" w:color="auto"/>
              <w:bottom w:val="single" w:sz="4" w:space="0" w:color="auto"/>
            </w:tcBorders>
            <w:shd w:val="clear" w:color="auto" w:fill="auto"/>
          </w:tcPr>
          <w:p w14:paraId="75533B3B" w14:textId="77777777" w:rsidR="00F41E86" w:rsidRPr="0073388D" w:rsidRDefault="00D718F7" w:rsidP="00C71838">
            <w:pPr>
              <w:jc w:val="center"/>
              <w:rPr>
                <w:rFonts w:ascii="Arial" w:hAnsi="Arial" w:cs="Arial"/>
                <w:color w:val="000000"/>
                <w:sz w:val="22"/>
                <w:szCs w:val="22"/>
              </w:rPr>
            </w:pPr>
            <w:hyperlink r:id="rId59" w:history="1">
              <w:r w:rsidR="00F41E86" w:rsidRPr="0073388D">
                <w:rPr>
                  <w:rStyle w:val="Hyperlink"/>
                  <w:rFonts w:ascii="Arial" w:hAnsi="Arial"/>
                  <w:sz w:val="22"/>
                  <w:szCs w:val="22"/>
                  <w:lang w:val="en-US"/>
                </w:rPr>
                <w:t>NGO-90466</w:t>
              </w:r>
            </w:hyperlink>
          </w:p>
        </w:tc>
      </w:tr>
      <w:tr w:rsidR="00F41E86" w:rsidRPr="0073388D" w14:paraId="29C13010" w14:textId="77777777" w:rsidTr="00C71838">
        <w:trPr>
          <w:trHeight w:val="164"/>
        </w:trPr>
        <w:tc>
          <w:tcPr>
            <w:tcW w:w="3060" w:type="pct"/>
            <w:tcBorders>
              <w:top w:val="single" w:sz="4" w:space="0" w:color="auto"/>
              <w:bottom w:val="single" w:sz="4" w:space="0" w:color="auto"/>
            </w:tcBorders>
            <w:shd w:val="clear" w:color="auto" w:fill="auto"/>
          </w:tcPr>
          <w:p w14:paraId="4251B624"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Carrefour mondial de l’accordéon</w:t>
            </w:r>
          </w:p>
        </w:tc>
        <w:tc>
          <w:tcPr>
            <w:tcW w:w="1119" w:type="pct"/>
            <w:tcBorders>
              <w:top w:val="single" w:sz="4" w:space="0" w:color="auto"/>
              <w:bottom w:val="single" w:sz="4" w:space="0" w:color="auto"/>
            </w:tcBorders>
            <w:shd w:val="clear" w:color="auto" w:fill="auto"/>
          </w:tcPr>
          <w:p w14:paraId="53C566BB"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5703041A" w14:textId="77777777" w:rsidR="00F41E86" w:rsidRPr="0073388D" w:rsidRDefault="00D718F7" w:rsidP="00C71838">
            <w:pPr>
              <w:jc w:val="center"/>
              <w:rPr>
                <w:rFonts w:ascii="Arial" w:hAnsi="Arial" w:cs="Arial"/>
                <w:color w:val="000000"/>
                <w:sz w:val="22"/>
                <w:szCs w:val="22"/>
              </w:rPr>
            </w:pPr>
            <w:hyperlink r:id="rId60" w:history="1">
              <w:r w:rsidR="00F41E86" w:rsidRPr="0073388D">
                <w:rPr>
                  <w:rStyle w:val="Hyperlink"/>
                  <w:rFonts w:ascii="Arial" w:hAnsi="Arial"/>
                  <w:sz w:val="22"/>
                  <w:szCs w:val="22"/>
                  <w:lang w:val="en-US"/>
                </w:rPr>
                <w:t>NGO-90439</w:t>
              </w:r>
            </w:hyperlink>
          </w:p>
        </w:tc>
      </w:tr>
      <w:tr w:rsidR="00F41E86" w:rsidRPr="0073388D" w14:paraId="3B531F3F" w14:textId="77777777" w:rsidTr="00C71838">
        <w:trPr>
          <w:trHeight w:val="164"/>
        </w:trPr>
        <w:tc>
          <w:tcPr>
            <w:tcW w:w="3060" w:type="pct"/>
            <w:tcBorders>
              <w:top w:val="single" w:sz="4" w:space="0" w:color="auto"/>
              <w:bottom w:val="single" w:sz="4" w:space="0" w:color="auto"/>
            </w:tcBorders>
            <w:shd w:val="clear" w:color="auto" w:fill="auto"/>
          </w:tcPr>
          <w:p w14:paraId="735DAEC0"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6C05ECE4"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Nigéria</w:t>
            </w:r>
          </w:p>
        </w:tc>
        <w:tc>
          <w:tcPr>
            <w:tcW w:w="821" w:type="pct"/>
            <w:tcBorders>
              <w:top w:val="single" w:sz="4" w:space="0" w:color="auto"/>
              <w:bottom w:val="single" w:sz="4" w:space="0" w:color="auto"/>
            </w:tcBorders>
            <w:shd w:val="clear" w:color="auto" w:fill="auto"/>
          </w:tcPr>
          <w:p w14:paraId="3A5DCB75" w14:textId="77777777" w:rsidR="00F41E86" w:rsidRPr="0073388D" w:rsidRDefault="00D718F7" w:rsidP="00C71838">
            <w:pPr>
              <w:jc w:val="center"/>
              <w:rPr>
                <w:rFonts w:ascii="Arial" w:hAnsi="Arial" w:cs="Arial"/>
                <w:color w:val="000000"/>
                <w:sz w:val="22"/>
                <w:szCs w:val="22"/>
              </w:rPr>
            </w:pPr>
            <w:hyperlink r:id="rId61" w:history="1">
              <w:r w:rsidR="00F41E86" w:rsidRPr="0073388D">
                <w:rPr>
                  <w:rStyle w:val="Hyperlink"/>
                  <w:rFonts w:ascii="Arial" w:hAnsi="Arial"/>
                  <w:sz w:val="22"/>
                  <w:szCs w:val="22"/>
                  <w:lang w:val="en-US"/>
                </w:rPr>
                <w:t>NGO-90423</w:t>
              </w:r>
            </w:hyperlink>
          </w:p>
        </w:tc>
      </w:tr>
      <w:tr w:rsidR="00F41E86" w:rsidRPr="0073388D" w14:paraId="5F084114" w14:textId="77777777" w:rsidTr="00C71838">
        <w:trPr>
          <w:trHeight w:val="164"/>
        </w:trPr>
        <w:tc>
          <w:tcPr>
            <w:tcW w:w="3060" w:type="pct"/>
            <w:tcBorders>
              <w:top w:val="single" w:sz="4" w:space="0" w:color="auto"/>
              <w:bottom w:val="single" w:sz="4" w:space="0" w:color="auto"/>
            </w:tcBorders>
            <w:shd w:val="clear" w:color="auto" w:fill="auto"/>
          </w:tcPr>
          <w:p w14:paraId="7EE28242"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Crafts of Chile Foundation</w:t>
            </w:r>
          </w:p>
        </w:tc>
        <w:tc>
          <w:tcPr>
            <w:tcW w:w="1119" w:type="pct"/>
            <w:tcBorders>
              <w:top w:val="single" w:sz="4" w:space="0" w:color="auto"/>
              <w:bottom w:val="single" w:sz="4" w:space="0" w:color="auto"/>
            </w:tcBorders>
            <w:shd w:val="clear" w:color="auto" w:fill="auto"/>
          </w:tcPr>
          <w:p w14:paraId="52AC1E07"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Chili</w:t>
            </w:r>
          </w:p>
        </w:tc>
        <w:tc>
          <w:tcPr>
            <w:tcW w:w="821" w:type="pct"/>
            <w:tcBorders>
              <w:top w:val="single" w:sz="4" w:space="0" w:color="auto"/>
              <w:bottom w:val="single" w:sz="4" w:space="0" w:color="auto"/>
            </w:tcBorders>
            <w:shd w:val="clear" w:color="auto" w:fill="auto"/>
          </w:tcPr>
          <w:p w14:paraId="3008DCB8" w14:textId="77777777" w:rsidR="00F41E86" w:rsidRPr="0073388D" w:rsidRDefault="00D718F7" w:rsidP="00C71838">
            <w:pPr>
              <w:jc w:val="center"/>
              <w:rPr>
                <w:rFonts w:ascii="Arial" w:hAnsi="Arial" w:cs="Arial"/>
                <w:color w:val="000000"/>
                <w:sz w:val="22"/>
                <w:szCs w:val="22"/>
              </w:rPr>
            </w:pPr>
            <w:hyperlink r:id="rId62" w:history="1">
              <w:r w:rsidR="00F41E86" w:rsidRPr="0073388D">
                <w:rPr>
                  <w:rStyle w:val="Hyperlink"/>
                  <w:rFonts w:ascii="Arial" w:hAnsi="Arial"/>
                  <w:sz w:val="22"/>
                  <w:szCs w:val="22"/>
                  <w:lang w:val="en-US"/>
                </w:rPr>
                <w:t>NGO-90458</w:t>
              </w:r>
            </w:hyperlink>
          </w:p>
        </w:tc>
      </w:tr>
      <w:tr w:rsidR="00F41E86" w:rsidRPr="0073388D" w14:paraId="3F4A1D57" w14:textId="77777777" w:rsidTr="00C71838">
        <w:trPr>
          <w:trHeight w:val="164"/>
        </w:trPr>
        <w:tc>
          <w:tcPr>
            <w:tcW w:w="3060" w:type="pct"/>
            <w:tcBorders>
              <w:top w:val="single" w:sz="4" w:space="0" w:color="auto"/>
              <w:bottom w:val="single" w:sz="4" w:space="0" w:color="auto"/>
            </w:tcBorders>
            <w:shd w:val="clear" w:color="auto" w:fill="auto"/>
          </w:tcPr>
          <w:p w14:paraId="5AB58BFB"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01C815B9"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Suriname</w:t>
            </w:r>
          </w:p>
        </w:tc>
        <w:tc>
          <w:tcPr>
            <w:tcW w:w="821" w:type="pct"/>
            <w:tcBorders>
              <w:top w:val="single" w:sz="4" w:space="0" w:color="auto"/>
              <w:bottom w:val="single" w:sz="4" w:space="0" w:color="auto"/>
            </w:tcBorders>
            <w:shd w:val="clear" w:color="auto" w:fill="auto"/>
          </w:tcPr>
          <w:p w14:paraId="73F5FF25" w14:textId="77777777" w:rsidR="00F41E86" w:rsidRPr="0073388D" w:rsidRDefault="00D718F7" w:rsidP="00C71838">
            <w:pPr>
              <w:jc w:val="center"/>
              <w:rPr>
                <w:rFonts w:ascii="Arial" w:hAnsi="Arial" w:cs="Arial"/>
                <w:color w:val="000000"/>
                <w:sz w:val="22"/>
                <w:szCs w:val="22"/>
              </w:rPr>
            </w:pPr>
            <w:hyperlink r:id="rId63" w:history="1">
              <w:r w:rsidR="00F41E86" w:rsidRPr="0073388D">
                <w:rPr>
                  <w:rStyle w:val="Hyperlink"/>
                  <w:rFonts w:ascii="Arial" w:hAnsi="Arial"/>
                  <w:sz w:val="22"/>
                  <w:szCs w:val="22"/>
                  <w:lang w:val="en-US"/>
                </w:rPr>
                <w:t>NGO-90444</w:t>
              </w:r>
            </w:hyperlink>
          </w:p>
        </w:tc>
      </w:tr>
      <w:tr w:rsidR="00F41E86" w:rsidRPr="0073388D" w14:paraId="4076EE9F" w14:textId="77777777" w:rsidTr="00C71838">
        <w:trPr>
          <w:trHeight w:val="164"/>
        </w:trPr>
        <w:tc>
          <w:tcPr>
            <w:tcW w:w="3060" w:type="pct"/>
            <w:tcBorders>
              <w:top w:val="single" w:sz="4" w:space="0" w:color="auto"/>
              <w:bottom w:val="single" w:sz="4" w:space="0" w:color="auto"/>
            </w:tcBorders>
            <w:shd w:val="clear" w:color="auto" w:fill="auto"/>
          </w:tcPr>
          <w:p w14:paraId="19545691"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Culture – Développement (CUL.DEV)</w:t>
            </w:r>
          </w:p>
        </w:tc>
        <w:tc>
          <w:tcPr>
            <w:tcW w:w="1119" w:type="pct"/>
            <w:tcBorders>
              <w:top w:val="single" w:sz="4" w:space="0" w:color="auto"/>
              <w:bottom w:val="single" w:sz="4" w:space="0" w:color="auto"/>
            </w:tcBorders>
            <w:shd w:val="clear" w:color="auto" w:fill="auto"/>
          </w:tcPr>
          <w:p w14:paraId="5389C8D9"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Togo</w:t>
            </w:r>
          </w:p>
        </w:tc>
        <w:tc>
          <w:tcPr>
            <w:tcW w:w="821" w:type="pct"/>
            <w:tcBorders>
              <w:top w:val="single" w:sz="4" w:space="0" w:color="auto"/>
              <w:bottom w:val="single" w:sz="4" w:space="0" w:color="auto"/>
            </w:tcBorders>
            <w:shd w:val="clear" w:color="auto" w:fill="auto"/>
          </w:tcPr>
          <w:p w14:paraId="67EB144E" w14:textId="77777777" w:rsidR="00F41E86" w:rsidRPr="0073388D" w:rsidRDefault="00D718F7" w:rsidP="00C71838">
            <w:pPr>
              <w:jc w:val="center"/>
              <w:rPr>
                <w:rFonts w:ascii="Arial" w:hAnsi="Arial" w:cs="Arial"/>
                <w:color w:val="000000"/>
                <w:sz w:val="22"/>
                <w:szCs w:val="22"/>
              </w:rPr>
            </w:pPr>
            <w:hyperlink r:id="rId64" w:history="1">
              <w:r w:rsidR="00F41E86" w:rsidRPr="0073388D">
                <w:rPr>
                  <w:rStyle w:val="Hyperlink"/>
                  <w:rFonts w:ascii="Arial" w:hAnsi="Arial"/>
                  <w:sz w:val="22"/>
                  <w:szCs w:val="22"/>
                  <w:lang w:val="en-US"/>
                </w:rPr>
                <w:t>NGO-90454</w:t>
              </w:r>
            </w:hyperlink>
          </w:p>
        </w:tc>
      </w:tr>
      <w:tr w:rsidR="00F41E86" w:rsidRPr="0073388D" w14:paraId="58730336" w14:textId="77777777" w:rsidTr="00C71838">
        <w:trPr>
          <w:trHeight w:val="164"/>
        </w:trPr>
        <w:tc>
          <w:tcPr>
            <w:tcW w:w="3060" w:type="pct"/>
            <w:tcBorders>
              <w:top w:val="single" w:sz="4" w:space="0" w:color="auto"/>
              <w:bottom w:val="single" w:sz="4" w:space="0" w:color="auto"/>
            </w:tcBorders>
            <w:shd w:val="clear" w:color="auto" w:fill="auto"/>
          </w:tcPr>
          <w:p w14:paraId="2DAD0E06"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62FFC1DC"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Ukraine</w:t>
            </w:r>
          </w:p>
        </w:tc>
        <w:tc>
          <w:tcPr>
            <w:tcW w:w="821" w:type="pct"/>
            <w:tcBorders>
              <w:top w:val="single" w:sz="4" w:space="0" w:color="auto"/>
              <w:bottom w:val="single" w:sz="4" w:space="0" w:color="auto"/>
            </w:tcBorders>
            <w:shd w:val="clear" w:color="auto" w:fill="auto"/>
          </w:tcPr>
          <w:p w14:paraId="08BD1248" w14:textId="77777777" w:rsidR="00F41E86" w:rsidRPr="0073388D" w:rsidRDefault="00D718F7" w:rsidP="00C71838">
            <w:pPr>
              <w:jc w:val="center"/>
              <w:rPr>
                <w:rFonts w:ascii="Arial" w:hAnsi="Arial" w:cs="Arial"/>
                <w:color w:val="000000"/>
                <w:sz w:val="22"/>
                <w:szCs w:val="22"/>
              </w:rPr>
            </w:pPr>
            <w:hyperlink r:id="rId65" w:history="1">
              <w:r w:rsidR="00F41E86" w:rsidRPr="0073388D">
                <w:rPr>
                  <w:rStyle w:val="Hyperlink"/>
                  <w:rFonts w:ascii="Arial" w:hAnsi="Arial"/>
                  <w:sz w:val="22"/>
                  <w:szCs w:val="22"/>
                  <w:lang w:val="en-US"/>
                </w:rPr>
                <w:t>NGO-90421</w:t>
              </w:r>
            </w:hyperlink>
          </w:p>
        </w:tc>
      </w:tr>
      <w:tr w:rsidR="00F41E86" w:rsidRPr="0073388D" w14:paraId="0C7E1530" w14:textId="77777777" w:rsidTr="00C71838">
        <w:trPr>
          <w:trHeight w:val="164"/>
        </w:trPr>
        <w:tc>
          <w:tcPr>
            <w:tcW w:w="3060" w:type="pct"/>
            <w:tcBorders>
              <w:top w:val="single" w:sz="4" w:space="0" w:color="auto"/>
              <w:bottom w:val="single" w:sz="4" w:space="0" w:color="auto"/>
            </w:tcBorders>
            <w:shd w:val="clear" w:color="auto" w:fill="auto"/>
          </w:tcPr>
          <w:p w14:paraId="4F4F0B27"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Ethnographic Centre of the Campane Islands</w:t>
            </w:r>
          </w:p>
        </w:tc>
        <w:tc>
          <w:tcPr>
            <w:tcW w:w="1119" w:type="pct"/>
            <w:tcBorders>
              <w:top w:val="single" w:sz="4" w:space="0" w:color="auto"/>
              <w:bottom w:val="single" w:sz="4" w:space="0" w:color="auto"/>
            </w:tcBorders>
            <w:shd w:val="clear" w:color="auto" w:fill="auto"/>
          </w:tcPr>
          <w:p w14:paraId="266BBD86"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Italie</w:t>
            </w:r>
          </w:p>
        </w:tc>
        <w:tc>
          <w:tcPr>
            <w:tcW w:w="821" w:type="pct"/>
            <w:tcBorders>
              <w:top w:val="single" w:sz="4" w:space="0" w:color="auto"/>
              <w:bottom w:val="single" w:sz="4" w:space="0" w:color="auto"/>
            </w:tcBorders>
            <w:shd w:val="clear" w:color="auto" w:fill="auto"/>
          </w:tcPr>
          <w:p w14:paraId="0E5275CE" w14:textId="77777777" w:rsidR="00F41E86" w:rsidRPr="0073388D" w:rsidRDefault="00D718F7" w:rsidP="00C71838">
            <w:pPr>
              <w:jc w:val="center"/>
              <w:rPr>
                <w:rFonts w:ascii="Arial" w:hAnsi="Arial" w:cs="Arial"/>
                <w:color w:val="000000"/>
                <w:sz w:val="22"/>
                <w:szCs w:val="22"/>
              </w:rPr>
            </w:pPr>
            <w:hyperlink r:id="rId66" w:history="1">
              <w:r w:rsidR="00F41E86" w:rsidRPr="0073388D">
                <w:rPr>
                  <w:rStyle w:val="Hyperlink"/>
                  <w:rFonts w:ascii="Arial" w:hAnsi="Arial"/>
                  <w:sz w:val="22"/>
                  <w:szCs w:val="22"/>
                  <w:lang w:val="en-US"/>
                </w:rPr>
                <w:t>NGO-90462</w:t>
              </w:r>
            </w:hyperlink>
          </w:p>
        </w:tc>
      </w:tr>
      <w:tr w:rsidR="00F41E86" w:rsidRPr="0073388D" w14:paraId="44BC4B4F" w14:textId="77777777" w:rsidTr="00C71838">
        <w:trPr>
          <w:trHeight w:val="164"/>
        </w:trPr>
        <w:tc>
          <w:tcPr>
            <w:tcW w:w="3060" w:type="pct"/>
            <w:tcBorders>
              <w:top w:val="single" w:sz="4" w:space="0" w:color="auto"/>
              <w:bottom w:val="single" w:sz="4" w:space="0" w:color="auto"/>
            </w:tcBorders>
            <w:shd w:val="clear" w:color="auto" w:fill="auto"/>
          </w:tcPr>
          <w:p w14:paraId="5BFF9280"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Finnish Crafts Organization Taito</w:t>
            </w:r>
          </w:p>
        </w:tc>
        <w:tc>
          <w:tcPr>
            <w:tcW w:w="1119" w:type="pct"/>
            <w:tcBorders>
              <w:top w:val="single" w:sz="4" w:space="0" w:color="auto"/>
              <w:bottom w:val="single" w:sz="4" w:space="0" w:color="auto"/>
            </w:tcBorders>
            <w:shd w:val="clear" w:color="auto" w:fill="auto"/>
          </w:tcPr>
          <w:p w14:paraId="76A41DF3"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Finlande</w:t>
            </w:r>
          </w:p>
        </w:tc>
        <w:tc>
          <w:tcPr>
            <w:tcW w:w="821" w:type="pct"/>
            <w:tcBorders>
              <w:top w:val="single" w:sz="4" w:space="0" w:color="auto"/>
              <w:bottom w:val="single" w:sz="4" w:space="0" w:color="auto"/>
            </w:tcBorders>
            <w:shd w:val="clear" w:color="auto" w:fill="auto"/>
          </w:tcPr>
          <w:p w14:paraId="111DF13C" w14:textId="77777777" w:rsidR="00F41E86" w:rsidRPr="0073388D" w:rsidRDefault="00D718F7" w:rsidP="00C71838">
            <w:pPr>
              <w:jc w:val="center"/>
              <w:rPr>
                <w:rFonts w:ascii="Arial" w:hAnsi="Arial" w:cs="Arial"/>
                <w:color w:val="000000"/>
                <w:sz w:val="22"/>
                <w:szCs w:val="22"/>
              </w:rPr>
            </w:pPr>
            <w:hyperlink r:id="rId67" w:history="1">
              <w:r w:rsidR="00F41E86" w:rsidRPr="0073388D">
                <w:rPr>
                  <w:rStyle w:val="Hyperlink"/>
                  <w:rFonts w:ascii="Arial" w:hAnsi="Arial"/>
                  <w:sz w:val="22"/>
                  <w:szCs w:val="22"/>
                  <w:lang w:val="en-US"/>
                </w:rPr>
                <w:t>NGO-90436</w:t>
              </w:r>
            </w:hyperlink>
          </w:p>
        </w:tc>
      </w:tr>
      <w:tr w:rsidR="00F41E86" w:rsidRPr="0073388D" w14:paraId="7823B20C" w14:textId="77777777" w:rsidTr="00C71838">
        <w:trPr>
          <w:trHeight w:val="164"/>
        </w:trPr>
        <w:tc>
          <w:tcPr>
            <w:tcW w:w="3060" w:type="pct"/>
            <w:tcBorders>
              <w:top w:val="single" w:sz="4" w:space="0" w:color="auto"/>
              <w:bottom w:val="single" w:sz="4" w:space="0" w:color="auto"/>
            </w:tcBorders>
            <w:shd w:val="clear" w:color="auto" w:fill="auto"/>
          </w:tcPr>
          <w:p w14:paraId="06A1FE9A"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Foundation Museum Tula</w:t>
            </w:r>
          </w:p>
        </w:tc>
        <w:tc>
          <w:tcPr>
            <w:tcW w:w="1119" w:type="pct"/>
            <w:tcBorders>
              <w:top w:val="single" w:sz="4" w:space="0" w:color="auto"/>
              <w:bottom w:val="single" w:sz="4" w:space="0" w:color="auto"/>
            </w:tcBorders>
            <w:shd w:val="clear" w:color="auto" w:fill="auto"/>
          </w:tcPr>
          <w:p w14:paraId="0FB118D0"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Curaçao</w:t>
            </w:r>
          </w:p>
        </w:tc>
        <w:tc>
          <w:tcPr>
            <w:tcW w:w="821" w:type="pct"/>
            <w:tcBorders>
              <w:top w:val="single" w:sz="4" w:space="0" w:color="auto"/>
              <w:bottom w:val="single" w:sz="4" w:space="0" w:color="auto"/>
            </w:tcBorders>
            <w:shd w:val="clear" w:color="auto" w:fill="auto"/>
          </w:tcPr>
          <w:p w14:paraId="1811A640" w14:textId="77777777" w:rsidR="00F41E86" w:rsidRPr="0073388D" w:rsidRDefault="00D718F7" w:rsidP="00C71838">
            <w:pPr>
              <w:jc w:val="center"/>
              <w:rPr>
                <w:rFonts w:ascii="Arial" w:hAnsi="Arial" w:cs="Arial"/>
                <w:color w:val="000000"/>
                <w:sz w:val="22"/>
                <w:szCs w:val="22"/>
              </w:rPr>
            </w:pPr>
            <w:hyperlink r:id="rId68" w:history="1">
              <w:r w:rsidR="00F41E86" w:rsidRPr="0073388D">
                <w:rPr>
                  <w:rStyle w:val="Hyperlink"/>
                  <w:rFonts w:ascii="Arial" w:hAnsi="Arial"/>
                  <w:sz w:val="22"/>
                  <w:szCs w:val="22"/>
                  <w:lang w:val="en-US"/>
                </w:rPr>
                <w:t>NGO-90460</w:t>
              </w:r>
            </w:hyperlink>
          </w:p>
        </w:tc>
      </w:tr>
      <w:tr w:rsidR="00F41E86" w:rsidRPr="0073388D" w14:paraId="2C732F45" w14:textId="77777777" w:rsidTr="00C71838">
        <w:trPr>
          <w:trHeight w:val="164"/>
        </w:trPr>
        <w:tc>
          <w:tcPr>
            <w:tcW w:w="3060" w:type="pct"/>
            <w:tcBorders>
              <w:top w:val="single" w:sz="4" w:space="0" w:color="auto"/>
              <w:bottom w:val="single" w:sz="4" w:space="0" w:color="auto"/>
            </w:tcBorders>
            <w:shd w:val="clear" w:color="auto" w:fill="auto"/>
          </w:tcPr>
          <w:p w14:paraId="0C727D89" w14:textId="4BF27BB1" w:rsidR="00F41E86" w:rsidRPr="0073388D" w:rsidRDefault="00A21676" w:rsidP="00C71838">
            <w:pPr>
              <w:rPr>
                <w:rFonts w:ascii="Arial" w:hAnsi="Arial" w:cs="Arial"/>
                <w:color w:val="000000"/>
                <w:sz w:val="22"/>
                <w:szCs w:val="22"/>
                <w:lang w:val="en-US"/>
              </w:rPr>
            </w:pPr>
            <w:r w:rsidRPr="0073388D">
              <w:rPr>
                <w:rFonts w:ascii="Arial" w:hAnsi="Arial"/>
                <w:color w:val="000000"/>
                <w:sz w:val="22"/>
                <w:szCs w:val="22"/>
                <w:lang w:val="en-US"/>
              </w:rPr>
              <w:t>‘</w:t>
            </w:r>
            <w:r w:rsidR="00F41E86" w:rsidRPr="0073388D">
              <w:rPr>
                <w:rFonts w:ascii="Arial" w:hAnsi="Arial"/>
                <w:color w:val="000000"/>
                <w:sz w:val="22"/>
                <w:szCs w:val="22"/>
                <w:lang w:val="en-US"/>
              </w:rPr>
              <w:t>Hazarashen</w:t>
            </w:r>
            <w:r w:rsidRPr="0073388D">
              <w:rPr>
                <w:rFonts w:ascii="Arial" w:hAnsi="Arial"/>
                <w:color w:val="000000"/>
                <w:sz w:val="22"/>
                <w:szCs w:val="22"/>
                <w:lang w:val="en-US"/>
              </w:rPr>
              <w:t>’</w:t>
            </w:r>
            <w:r w:rsidR="00F41E86" w:rsidRPr="0073388D">
              <w:rPr>
                <w:rFonts w:ascii="Arial" w:hAnsi="Arial"/>
                <w:color w:val="000000"/>
                <w:sz w:val="22"/>
                <w:szCs w:val="22"/>
                <w:lang w:val="en-US"/>
              </w:rPr>
              <w:t xml:space="preserve"> Armenian Center for Ethnological Studies</w:t>
            </w:r>
          </w:p>
        </w:tc>
        <w:tc>
          <w:tcPr>
            <w:tcW w:w="1119" w:type="pct"/>
            <w:tcBorders>
              <w:top w:val="single" w:sz="4" w:space="0" w:color="auto"/>
              <w:bottom w:val="single" w:sz="4" w:space="0" w:color="auto"/>
            </w:tcBorders>
            <w:shd w:val="clear" w:color="auto" w:fill="auto"/>
          </w:tcPr>
          <w:p w14:paraId="1F4697F6"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Arménie</w:t>
            </w:r>
          </w:p>
        </w:tc>
        <w:tc>
          <w:tcPr>
            <w:tcW w:w="821" w:type="pct"/>
            <w:tcBorders>
              <w:top w:val="single" w:sz="4" w:space="0" w:color="auto"/>
              <w:bottom w:val="single" w:sz="4" w:space="0" w:color="auto"/>
            </w:tcBorders>
            <w:shd w:val="clear" w:color="auto" w:fill="auto"/>
          </w:tcPr>
          <w:p w14:paraId="72406BC4" w14:textId="77777777" w:rsidR="00F41E86" w:rsidRPr="0073388D" w:rsidRDefault="00D718F7" w:rsidP="00C71838">
            <w:pPr>
              <w:jc w:val="center"/>
              <w:rPr>
                <w:rFonts w:ascii="Arial" w:hAnsi="Arial" w:cs="Arial"/>
                <w:color w:val="000000"/>
                <w:sz w:val="22"/>
                <w:szCs w:val="22"/>
              </w:rPr>
            </w:pPr>
            <w:hyperlink r:id="rId69" w:history="1">
              <w:r w:rsidR="00F41E86" w:rsidRPr="0073388D">
                <w:rPr>
                  <w:rStyle w:val="Hyperlink"/>
                  <w:rFonts w:ascii="Arial" w:hAnsi="Arial"/>
                  <w:sz w:val="22"/>
                  <w:szCs w:val="22"/>
                  <w:lang w:val="en-US"/>
                </w:rPr>
                <w:t>NGO-90431</w:t>
              </w:r>
            </w:hyperlink>
          </w:p>
        </w:tc>
      </w:tr>
      <w:tr w:rsidR="00F41E86" w:rsidRPr="0073388D" w14:paraId="51E87945" w14:textId="77777777" w:rsidTr="00C71838">
        <w:trPr>
          <w:trHeight w:val="164"/>
        </w:trPr>
        <w:tc>
          <w:tcPr>
            <w:tcW w:w="3060" w:type="pct"/>
            <w:tcBorders>
              <w:top w:val="single" w:sz="4" w:space="0" w:color="auto"/>
              <w:bottom w:val="single" w:sz="4" w:space="0" w:color="auto"/>
            </w:tcBorders>
            <w:shd w:val="clear" w:color="auto" w:fill="auto"/>
          </w:tcPr>
          <w:p w14:paraId="59E947A7"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Heritage Saskatchewan Alliance Inc.</w:t>
            </w:r>
          </w:p>
        </w:tc>
        <w:tc>
          <w:tcPr>
            <w:tcW w:w="1119" w:type="pct"/>
            <w:tcBorders>
              <w:top w:val="single" w:sz="4" w:space="0" w:color="auto"/>
              <w:bottom w:val="single" w:sz="4" w:space="0" w:color="auto"/>
            </w:tcBorders>
            <w:shd w:val="clear" w:color="auto" w:fill="auto"/>
          </w:tcPr>
          <w:p w14:paraId="656EA67C"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60F5D490" w14:textId="77777777" w:rsidR="00F41E86" w:rsidRPr="0073388D" w:rsidRDefault="00D718F7" w:rsidP="00C71838">
            <w:pPr>
              <w:jc w:val="center"/>
              <w:rPr>
                <w:rFonts w:ascii="Arial" w:hAnsi="Arial" w:cs="Arial"/>
                <w:color w:val="000000"/>
                <w:sz w:val="22"/>
                <w:szCs w:val="22"/>
              </w:rPr>
            </w:pPr>
            <w:hyperlink r:id="rId70" w:history="1">
              <w:r w:rsidR="00F41E86" w:rsidRPr="0073388D">
                <w:rPr>
                  <w:rStyle w:val="Hyperlink"/>
                  <w:rFonts w:ascii="Arial" w:hAnsi="Arial"/>
                  <w:sz w:val="22"/>
                  <w:szCs w:val="22"/>
                  <w:lang w:val="en-US"/>
                </w:rPr>
                <w:t>NGO-90437</w:t>
              </w:r>
            </w:hyperlink>
          </w:p>
        </w:tc>
      </w:tr>
      <w:tr w:rsidR="00F41E86" w:rsidRPr="0073388D" w14:paraId="7B171D97" w14:textId="77777777" w:rsidTr="00C71838">
        <w:trPr>
          <w:trHeight w:val="164"/>
        </w:trPr>
        <w:tc>
          <w:tcPr>
            <w:tcW w:w="3060" w:type="pct"/>
            <w:tcBorders>
              <w:top w:val="single" w:sz="4" w:space="0" w:color="auto"/>
              <w:bottom w:val="single" w:sz="4" w:space="0" w:color="auto"/>
            </w:tcBorders>
            <w:shd w:val="clear" w:color="auto" w:fill="auto"/>
          </w:tcPr>
          <w:p w14:paraId="5E81278D"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Institut Tshakapesh</w:t>
            </w:r>
          </w:p>
        </w:tc>
        <w:tc>
          <w:tcPr>
            <w:tcW w:w="1119" w:type="pct"/>
            <w:tcBorders>
              <w:top w:val="single" w:sz="4" w:space="0" w:color="auto"/>
              <w:bottom w:val="single" w:sz="4" w:space="0" w:color="auto"/>
            </w:tcBorders>
            <w:shd w:val="clear" w:color="auto" w:fill="auto"/>
          </w:tcPr>
          <w:p w14:paraId="1BD7441C"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2C5CB1A0" w14:textId="77777777" w:rsidR="00F41E86" w:rsidRPr="0073388D" w:rsidRDefault="00D718F7" w:rsidP="00C71838">
            <w:pPr>
              <w:jc w:val="center"/>
              <w:rPr>
                <w:rFonts w:ascii="Arial" w:hAnsi="Arial" w:cs="Arial"/>
                <w:color w:val="000000"/>
                <w:sz w:val="22"/>
                <w:szCs w:val="22"/>
              </w:rPr>
            </w:pPr>
            <w:hyperlink r:id="rId71" w:history="1">
              <w:r w:rsidR="00F41E86" w:rsidRPr="0073388D">
                <w:rPr>
                  <w:rStyle w:val="Hyperlink"/>
                  <w:rFonts w:ascii="Arial" w:hAnsi="Arial"/>
                  <w:sz w:val="22"/>
                  <w:szCs w:val="22"/>
                  <w:lang w:val="en-US"/>
                </w:rPr>
                <w:t>NGO-90474</w:t>
              </w:r>
            </w:hyperlink>
          </w:p>
        </w:tc>
      </w:tr>
      <w:tr w:rsidR="00F41E86" w:rsidRPr="0073388D" w14:paraId="72DA27A2" w14:textId="77777777" w:rsidTr="00C71838">
        <w:trPr>
          <w:trHeight w:val="164"/>
        </w:trPr>
        <w:tc>
          <w:tcPr>
            <w:tcW w:w="3060" w:type="pct"/>
            <w:tcBorders>
              <w:top w:val="single" w:sz="4" w:space="0" w:color="auto"/>
              <w:bottom w:val="single" w:sz="4" w:space="0" w:color="auto"/>
            </w:tcBorders>
            <w:shd w:val="clear" w:color="auto" w:fill="auto"/>
          </w:tcPr>
          <w:p w14:paraId="40D71B39"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Les Forges de Montréal</w:t>
            </w:r>
          </w:p>
        </w:tc>
        <w:tc>
          <w:tcPr>
            <w:tcW w:w="1119" w:type="pct"/>
            <w:tcBorders>
              <w:top w:val="single" w:sz="4" w:space="0" w:color="auto"/>
              <w:bottom w:val="single" w:sz="4" w:space="0" w:color="auto"/>
            </w:tcBorders>
            <w:shd w:val="clear" w:color="auto" w:fill="auto"/>
          </w:tcPr>
          <w:p w14:paraId="173C2CCE"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7A8F9F2B" w14:textId="77777777" w:rsidR="00F41E86" w:rsidRPr="0073388D" w:rsidRDefault="00D718F7" w:rsidP="00C71838">
            <w:pPr>
              <w:jc w:val="center"/>
              <w:rPr>
                <w:rFonts w:ascii="Arial" w:hAnsi="Arial" w:cs="Arial"/>
                <w:color w:val="000000"/>
                <w:sz w:val="22"/>
                <w:szCs w:val="22"/>
              </w:rPr>
            </w:pPr>
            <w:hyperlink r:id="rId72" w:history="1">
              <w:r w:rsidR="00F41E86" w:rsidRPr="0073388D">
                <w:rPr>
                  <w:rStyle w:val="Hyperlink"/>
                  <w:rFonts w:ascii="Arial" w:hAnsi="Arial"/>
                  <w:sz w:val="22"/>
                  <w:szCs w:val="22"/>
                  <w:lang w:val="en-US"/>
                </w:rPr>
                <w:t>NGO-90472</w:t>
              </w:r>
            </w:hyperlink>
          </w:p>
        </w:tc>
      </w:tr>
      <w:tr w:rsidR="00F41E86" w:rsidRPr="0073388D" w14:paraId="5E98FD1C" w14:textId="77777777" w:rsidTr="00C71838">
        <w:trPr>
          <w:trHeight w:val="164"/>
        </w:trPr>
        <w:tc>
          <w:tcPr>
            <w:tcW w:w="3060" w:type="pct"/>
            <w:tcBorders>
              <w:top w:val="single" w:sz="4" w:space="0" w:color="auto"/>
              <w:bottom w:val="single" w:sz="4" w:space="0" w:color="auto"/>
            </w:tcBorders>
            <w:shd w:val="clear" w:color="auto" w:fill="auto"/>
          </w:tcPr>
          <w:p w14:paraId="362F6B29"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Maison de la culture yiddish – Bibliothèque MEDEM</w:t>
            </w:r>
          </w:p>
        </w:tc>
        <w:tc>
          <w:tcPr>
            <w:tcW w:w="1119" w:type="pct"/>
            <w:tcBorders>
              <w:top w:val="single" w:sz="4" w:space="0" w:color="auto"/>
              <w:bottom w:val="single" w:sz="4" w:space="0" w:color="auto"/>
            </w:tcBorders>
            <w:shd w:val="clear" w:color="auto" w:fill="auto"/>
          </w:tcPr>
          <w:p w14:paraId="542EE0BB"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France</w:t>
            </w:r>
          </w:p>
        </w:tc>
        <w:tc>
          <w:tcPr>
            <w:tcW w:w="821" w:type="pct"/>
            <w:tcBorders>
              <w:top w:val="single" w:sz="4" w:space="0" w:color="auto"/>
              <w:bottom w:val="single" w:sz="4" w:space="0" w:color="auto"/>
            </w:tcBorders>
            <w:shd w:val="clear" w:color="auto" w:fill="auto"/>
          </w:tcPr>
          <w:p w14:paraId="257041CC" w14:textId="77777777" w:rsidR="00F41E86" w:rsidRPr="0073388D" w:rsidRDefault="00D718F7" w:rsidP="00C71838">
            <w:pPr>
              <w:jc w:val="center"/>
              <w:rPr>
                <w:rFonts w:ascii="Arial" w:hAnsi="Arial" w:cs="Arial"/>
                <w:color w:val="000000"/>
                <w:sz w:val="22"/>
                <w:szCs w:val="22"/>
              </w:rPr>
            </w:pPr>
            <w:hyperlink r:id="rId73" w:history="1">
              <w:r w:rsidR="00F41E86" w:rsidRPr="0073388D">
                <w:rPr>
                  <w:rStyle w:val="Hyperlink"/>
                  <w:rFonts w:ascii="Arial" w:hAnsi="Arial"/>
                  <w:sz w:val="22"/>
                  <w:szCs w:val="22"/>
                </w:rPr>
                <w:t>NGO-90451</w:t>
              </w:r>
            </w:hyperlink>
          </w:p>
        </w:tc>
      </w:tr>
      <w:tr w:rsidR="00F41E86" w:rsidRPr="0073388D" w14:paraId="367975EF" w14:textId="77777777" w:rsidTr="00C71838">
        <w:trPr>
          <w:trHeight w:val="164"/>
        </w:trPr>
        <w:tc>
          <w:tcPr>
            <w:tcW w:w="3060" w:type="pct"/>
            <w:tcBorders>
              <w:top w:val="single" w:sz="4" w:space="0" w:color="auto"/>
              <w:bottom w:val="single" w:sz="4" w:space="0" w:color="auto"/>
            </w:tcBorders>
            <w:shd w:val="clear" w:color="auto" w:fill="auto"/>
          </w:tcPr>
          <w:p w14:paraId="2E32F862"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Norwegian Ship Preservation Association</w:t>
            </w:r>
          </w:p>
        </w:tc>
        <w:tc>
          <w:tcPr>
            <w:tcW w:w="1119" w:type="pct"/>
            <w:tcBorders>
              <w:top w:val="single" w:sz="4" w:space="0" w:color="auto"/>
              <w:bottom w:val="single" w:sz="4" w:space="0" w:color="auto"/>
            </w:tcBorders>
            <w:shd w:val="clear" w:color="auto" w:fill="auto"/>
          </w:tcPr>
          <w:p w14:paraId="746F9FF0"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Norvège</w:t>
            </w:r>
          </w:p>
        </w:tc>
        <w:tc>
          <w:tcPr>
            <w:tcW w:w="821" w:type="pct"/>
            <w:tcBorders>
              <w:top w:val="single" w:sz="4" w:space="0" w:color="auto"/>
              <w:bottom w:val="single" w:sz="4" w:space="0" w:color="auto"/>
            </w:tcBorders>
            <w:shd w:val="clear" w:color="auto" w:fill="auto"/>
          </w:tcPr>
          <w:p w14:paraId="7957C04E" w14:textId="77777777" w:rsidR="00F41E86" w:rsidRPr="0073388D" w:rsidRDefault="00D718F7" w:rsidP="00C71838">
            <w:pPr>
              <w:jc w:val="center"/>
              <w:rPr>
                <w:rFonts w:ascii="Arial" w:hAnsi="Arial" w:cs="Arial"/>
                <w:color w:val="000000"/>
                <w:sz w:val="22"/>
                <w:szCs w:val="22"/>
              </w:rPr>
            </w:pPr>
            <w:hyperlink r:id="rId74" w:history="1">
              <w:r w:rsidR="00F41E86" w:rsidRPr="0073388D">
                <w:rPr>
                  <w:rStyle w:val="Hyperlink"/>
                  <w:rFonts w:ascii="Arial" w:hAnsi="Arial"/>
                  <w:sz w:val="22"/>
                  <w:szCs w:val="22"/>
                </w:rPr>
                <w:t>NGO-90448</w:t>
              </w:r>
            </w:hyperlink>
          </w:p>
        </w:tc>
      </w:tr>
      <w:tr w:rsidR="00F41E86" w:rsidRPr="0073388D" w14:paraId="1C8F57F3" w14:textId="77777777" w:rsidTr="00C71838">
        <w:trPr>
          <w:trHeight w:val="164"/>
        </w:trPr>
        <w:tc>
          <w:tcPr>
            <w:tcW w:w="3060" w:type="pct"/>
            <w:tcBorders>
              <w:top w:val="single" w:sz="4" w:space="0" w:color="auto"/>
              <w:bottom w:val="single" w:sz="4" w:space="0" w:color="auto"/>
            </w:tcBorders>
            <w:shd w:val="clear" w:color="auto" w:fill="auto"/>
          </w:tcPr>
          <w:p w14:paraId="6CAE2691"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Nubian Heritage Society</w:t>
            </w:r>
          </w:p>
        </w:tc>
        <w:tc>
          <w:tcPr>
            <w:tcW w:w="1119" w:type="pct"/>
            <w:tcBorders>
              <w:top w:val="single" w:sz="4" w:space="0" w:color="auto"/>
              <w:bottom w:val="single" w:sz="4" w:space="0" w:color="auto"/>
            </w:tcBorders>
            <w:shd w:val="clear" w:color="auto" w:fill="auto"/>
          </w:tcPr>
          <w:p w14:paraId="700A7339"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Égypte</w:t>
            </w:r>
          </w:p>
        </w:tc>
        <w:tc>
          <w:tcPr>
            <w:tcW w:w="821" w:type="pct"/>
            <w:tcBorders>
              <w:top w:val="single" w:sz="4" w:space="0" w:color="auto"/>
              <w:bottom w:val="single" w:sz="4" w:space="0" w:color="auto"/>
            </w:tcBorders>
            <w:shd w:val="clear" w:color="auto" w:fill="auto"/>
          </w:tcPr>
          <w:p w14:paraId="5BF336EF" w14:textId="77777777" w:rsidR="00F41E86" w:rsidRPr="0073388D" w:rsidRDefault="00D718F7" w:rsidP="00C71838">
            <w:pPr>
              <w:jc w:val="center"/>
              <w:rPr>
                <w:rFonts w:ascii="Arial" w:hAnsi="Arial" w:cs="Arial"/>
                <w:color w:val="000000"/>
                <w:sz w:val="22"/>
                <w:szCs w:val="22"/>
              </w:rPr>
            </w:pPr>
            <w:hyperlink r:id="rId75" w:history="1">
              <w:r w:rsidR="00F41E86" w:rsidRPr="0073388D">
                <w:rPr>
                  <w:rStyle w:val="Hyperlink"/>
                  <w:rFonts w:ascii="Arial" w:hAnsi="Arial"/>
                  <w:sz w:val="22"/>
                  <w:szCs w:val="22"/>
                </w:rPr>
                <w:t>NGO-90446</w:t>
              </w:r>
            </w:hyperlink>
          </w:p>
        </w:tc>
      </w:tr>
      <w:tr w:rsidR="00F41E86" w:rsidRPr="0073388D" w14:paraId="39F6A6C3" w14:textId="77777777" w:rsidTr="00C71838">
        <w:trPr>
          <w:trHeight w:val="164"/>
        </w:trPr>
        <w:tc>
          <w:tcPr>
            <w:tcW w:w="3060" w:type="pct"/>
            <w:tcBorders>
              <w:top w:val="single" w:sz="4" w:space="0" w:color="auto"/>
              <w:bottom w:val="single" w:sz="4" w:space="0" w:color="auto"/>
            </w:tcBorders>
            <w:shd w:val="clear" w:color="auto" w:fill="auto"/>
          </w:tcPr>
          <w:p w14:paraId="422DD90C"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Pacific Traditions Society</w:t>
            </w:r>
          </w:p>
        </w:tc>
        <w:tc>
          <w:tcPr>
            <w:tcW w:w="1119" w:type="pct"/>
            <w:tcBorders>
              <w:top w:val="single" w:sz="4" w:space="0" w:color="auto"/>
              <w:bottom w:val="single" w:sz="4" w:space="0" w:color="auto"/>
            </w:tcBorders>
            <w:shd w:val="clear" w:color="auto" w:fill="auto"/>
          </w:tcPr>
          <w:p w14:paraId="73EC7E0B"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États-Unis d’Amérique</w:t>
            </w:r>
          </w:p>
        </w:tc>
        <w:tc>
          <w:tcPr>
            <w:tcW w:w="821" w:type="pct"/>
            <w:tcBorders>
              <w:top w:val="single" w:sz="4" w:space="0" w:color="auto"/>
              <w:bottom w:val="single" w:sz="4" w:space="0" w:color="auto"/>
            </w:tcBorders>
            <w:shd w:val="clear" w:color="auto" w:fill="auto"/>
          </w:tcPr>
          <w:p w14:paraId="52AC6049" w14:textId="77777777" w:rsidR="00F41E86" w:rsidRPr="0073388D" w:rsidRDefault="00D718F7" w:rsidP="00C71838">
            <w:pPr>
              <w:jc w:val="center"/>
              <w:rPr>
                <w:rFonts w:ascii="Arial" w:hAnsi="Arial" w:cs="Arial"/>
                <w:color w:val="000000"/>
                <w:sz w:val="22"/>
                <w:szCs w:val="22"/>
              </w:rPr>
            </w:pPr>
            <w:hyperlink r:id="rId76" w:history="1">
              <w:r w:rsidR="00F41E86" w:rsidRPr="0073388D">
                <w:rPr>
                  <w:rStyle w:val="Hyperlink"/>
                  <w:rFonts w:ascii="Arial" w:hAnsi="Arial"/>
                  <w:sz w:val="22"/>
                  <w:szCs w:val="22"/>
                  <w:lang w:val="en-US"/>
                </w:rPr>
                <w:t>NGO-90425</w:t>
              </w:r>
            </w:hyperlink>
          </w:p>
        </w:tc>
      </w:tr>
      <w:tr w:rsidR="00F41E86" w:rsidRPr="0073388D" w14:paraId="0C980619" w14:textId="77777777" w:rsidTr="00C71838">
        <w:trPr>
          <w:trHeight w:val="164"/>
        </w:trPr>
        <w:tc>
          <w:tcPr>
            <w:tcW w:w="3060" w:type="pct"/>
            <w:tcBorders>
              <w:top w:val="single" w:sz="4" w:space="0" w:color="auto"/>
              <w:bottom w:val="single" w:sz="4" w:space="0" w:color="auto"/>
            </w:tcBorders>
            <w:shd w:val="clear" w:color="auto" w:fill="auto"/>
          </w:tcPr>
          <w:p w14:paraId="4668634D"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Persian Garden Institute for Living Heritage (PGILH)</w:t>
            </w:r>
          </w:p>
        </w:tc>
        <w:tc>
          <w:tcPr>
            <w:tcW w:w="1119" w:type="pct"/>
            <w:tcBorders>
              <w:top w:val="single" w:sz="4" w:space="0" w:color="auto"/>
              <w:bottom w:val="single" w:sz="4" w:space="0" w:color="auto"/>
            </w:tcBorders>
            <w:shd w:val="clear" w:color="auto" w:fill="auto"/>
          </w:tcPr>
          <w:p w14:paraId="2DB6605C"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République islamique d’Iran</w:t>
            </w:r>
          </w:p>
        </w:tc>
        <w:tc>
          <w:tcPr>
            <w:tcW w:w="821" w:type="pct"/>
            <w:tcBorders>
              <w:top w:val="single" w:sz="4" w:space="0" w:color="auto"/>
              <w:bottom w:val="single" w:sz="4" w:space="0" w:color="auto"/>
            </w:tcBorders>
            <w:shd w:val="clear" w:color="auto" w:fill="auto"/>
          </w:tcPr>
          <w:p w14:paraId="489B65AA" w14:textId="77777777" w:rsidR="00F41E86" w:rsidRPr="0073388D" w:rsidRDefault="00D718F7" w:rsidP="00C71838">
            <w:pPr>
              <w:jc w:val="center"/>
              <w:rPr>
                <w:rFonts w:ascii="Arial" w:hAnsi="Arial" w:cs="Arial"/>
                <w:color w:val="000000"/>
                <w:sz w:val="22"/>
                <w:szCs w:val="22"/>
              </w:rPr>
            </w:pPr>
            <w:hyperlink r:id="rId77" w:history="1">
              <w:r w:rsidR="00F41E86" w:rsidRPr="0073388D">
                <w:rPr>
                  <w:rStyle w:val="Hyperlink"/>
                  <w:rFonts w:ascii="Arial" w:hAnsi="Arial"/>
                  <w:sz w:val="22"/>
                  <w:szCs w:val="22"/>
                  <w:lang w:val="en-US"/>
                </w:rPr>
                <w:t>NGO-90433</w:t>
              </w:r>
            </w:hyperlink>
          </w:p>
        </w:tc>
      </w:tr>
      <w:tr w:rsidR="00F41E86" w:rsidRPr="0073388D" w14:paraId="4E7A71FD" w14:textId="77777777" w:rsidTr="00C71838">
        <w:trPr>
          <w:trHeight w:val="164"/>
        </w:trPr>
        <w:tc>
          <w:tcPr>
            <w:tcW w:w="3060" w:type="pct"/>
            <w:tcBorders>
              <w:top w:val="single" w:sz="4" w:space="0" w:color="auto"/>
              <w:bottom w:val="single" w:sz="4" w:space="0" w:color="auto"/>
            </w:tcBorders>
            <w:shd w:val="clear" w:color="auto" w:fill="auto"/>
          </w:tcPr>
          <w:p w14:paraId="3F2EB0AB"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Piraeus Bank Group Cultural Foundation (PIOP)</w:t>
            </w:r>
          </w:p>
        </w:tc>
        <w:tc>
          <w:tcPr>
            <w:tcW w:w="1119" w:type="pct"/>
            <w:tcBorders>
              <w:top w:val="single" w:sz="4" w:space="0" w:color="auto"/>
              <w:bottom w:val="single" w:sz="4" w:space="0" w:color="auto"/>
            </w:tcBorders>
            <w:shd w:val="clear" w:color="auto" w:fill="auto"/>
          </w:tcPr>
          <w:p w14:paraId="7D3C63D0"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Grèce</w:t>
            </w:r>
          </w:p>
        </w:tc>
        <w:tc>
          <w:tcPr>
            <w:tcW w:w="821" w:type="pct"/>
            <w:tcBorders>
              <w:top w:val="single" w:sz="4" w:space="0" w:color="auto"/>
              <w:bottom w:val="single" w:sz="4" w:space="0" w:color="auto"/>
            </w:tcBorders>
            <w:shd w:val="clear" w:color="auto" w:fill="auto"/>
          </w:tcPr>
          <w:p w14:paraId="10CE1EA6" w14:textId="77777777" w:rsidR="00F41E86" w:rsidRPr="0073388D" w:rsidRDefault="00D718F7" w:rsidP="00C71838">
            <w:pPr>
              <w:jc w:val="center"/>
              <w:rPr>
                <w:rFonts w:ascii="Arial" w:hAnsi="Arial" w:cs="Arial"/>
                <w:color w:val="000000"/>
                <w:sz w:val="22"/>
                <w:szCs w:val="22"/>
              </w:rPr>
            </w:pPr>
            <w:hyperlink r:id="rId78" w:history="1">
              <w:r w:rsidR="00F41E86" w:rsidRPr="0073388D">
                <w:rPr>
                  <w:rStyle w:val="Hyperlink"/>
                  <w:rFonts w:ascii="Arial" w:hAnsi="Arial"/>
                  <w:sz w:val="22"/>
                  <w:szCs w:val="22"/>
                </w:rPr>
                <w:t>NGO-90287</w:t>
              </w:r>
            </w:hyperlink>
          </w:p>
        </w:tc>
      </w:tr>
      <w:tr w:rsidR="00F41E86" w:rsidRPr="0073388D" w14:paraId="24F9B49B" w14:textId="77777777" w:rsidTr="00C71838">
        <w:trPr>
          <w:trHeight w:val="164"/>
        </w:trPr>
        <w:tc>
          <w:tcPr>
            <w:tcW w:w="3060" w:type="pct"/>
            <w:tcBorders>
              <w:top w:val="single" w:sz="4" w:space="0" w:color="auto"/>
              <w:bottom w:val="single" w:sz="4" w:space="0" w:color="auto"/>
            </w:tcBorders>
            <w:shd w:val="clear" w:color="auto" w:fill="auto"/>
          </w:tcPr>
          <w:p w14:paraId="4A73CCC7"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Portuguese Folklore Federation</w:t>
            </w:r>
          </w:p>
        </w:tc>
        <w:tc>
          <w:tcPr>
            <w:tcW w:w="1119" w:type="pct"/>
            <w:tcBorders>
              <w:top w:val="single" w:sz="4" w:space="0" w:color="auto"/>
              <w:bottom w:val="single" w:sz="4" w:space="0" w:color="auto"/>
            </w:tcBorders>
            <w:shd w:val="clear" w:color="auto" w:fill="auto"/>
          </w:tcPr>
          <w:p w14:paraId="5783CE46"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Portugal</w:t>
            </w:r>
          </w:p>
        </w:tc>
        <w:tc>
          <w:tcPr>
            <w:tcW w:w="821" w:type="pct"/>
            <w:tcBorders>
              <w:top w:val="single" w:sz="4" w:space="0" w:color="auto"/>
              <w:bottom w:val="single" w:sz="4" w:space="0" w:color="auto"/>
            </w:tcBorders>
            <w:shd w:val="clear" w:color="auto" w:fill="auto"/>
          </w:tcPr>
          <w:p w14:paraId="768D476A" w14:textId="77777777" w:rsidR="00F41E86" w:rsidRPr="0073388D" w:rsidRDefault="00D718F7" w:rsidP="00C71838">
            <w:pPr>
              <w:jc w:val="center"/>
              <w:rPr>
                <w:rFonts w:ascii="Arial" w:hAnsi="Arial" w:cs="Arial"/>
                <w:color w:val="000000"/>
                <w:sz w:val="22"/>
                <w:szCs w:val="22"/>
              </w:rPr>
            </w:pPr>
            <w:hyperlink r:id="rId79" w:history="1">
              <w:r w:rsidR="00F41E86" w:rsidRPr="0073388D">
                <w:rPr>
                  <w:rStyle w:val="Hyperlink"/>
                  <w:rFonts w:ascii="Arial" w:hAnsi="Arial"/>
                  <w:sz w:val="22"/>
                  <w:szCs w:val="22"/>
                  <w:lang w:val="en-US"/>
                </w:rPr>
                <w:t>NGO-90447</w:t>
              </w:r>
            </w:hyperlink>
          </w:p>
        </w:tc>
      </w:tr>
      <w:tr w:rsidR="00F41E86" w:rsidRPr="0073388D" w14:paraId="4BE91082" w14:textId="77777777" w:rsidTr="00C71838">
        <w:trPr>
          <w:trHeight w:val="164"/>
        </w:trPr>
        <w:tc>
          <w:tcPr>
            <w:tcW w:w="3060" w:type="pct"/>
            <w:tcBorders>
              <w:top w:val="single" w:sz="4" w:space="0" w:color="auto"/>
              <w:bottom w:val="single" w:sz="4" w:space="0" w:color="auto"/>
            </w:tcBorders>
            <w:shd w:val="clear" w:color="auto" w:fill="auto"/>
          </w:tcPr>
          <w:p w14:paraId="1A9264F8"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Public Fund 'Rural Development Fund'</w:t>
            </w:r>
          </w:p>
        </w:tc>
        <w:tc>
          <w:tcPr>
            <w:tcW w:w="1119" w:type="pct"/>
            <w:tcBorders>
              <w:top w:val="single" w:sz="4" w:space="0" w:color="auto"/>
              <w:bottom w:val="single" w:sz="4" w:space="0" w:color="auto"/>
            </w:tcBorders>
            <w:shd w:val="clear" w:color="auto" w:fill="auto"/>
          </w:tcPr>
          <w:p w14:paraId="7D383C95"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Kirghizstan</w:t>
            </w:r>
          </w:p>
        </w:tc>
        <w:tc>
          <w:tcPr>
            <w:tcW w:w="821" w:type="pct"/>
            <w:tcBorders>
              <w:top w:val="single" w:sz="4" w:space="0" w:color="auto"/>
              <w:bottom w:val="single" w:sz="4" w:space="0" w:color="auto"/>
            </w:tcBorders>
            <w:shd w:val="clear" w:color="auto" w:fill="auto"/>
          </w:tcPr>
          <w:p w14:paraId="71790CB3" w14:textId="77777777" w:rsidR="00F41E86" w:rsidRPr="0073388D" w:rsidRDefault="00D718F7" w:rsidP="00C71838">
            <w:pPr>
              <w:jc w:val="center"/>
              <w:rPr>
                <w:rFonts w:ascii="Arial" w:hAnsi="Arial" w:cs="Arial"/>
                <w:color w:val="000000"/>
                <w:sz w:val="22"/>
                <w:szCs w:val="22"/>
              </w:rPr>
            </w:pPr>
            <w:hyperlink r:id="rId80" w:history="1">
              <w:r w:rsidR="00F41E86" w:rsidRPr="0073388D">
                <w:rPr>
                  <w:rStyle w:val="Hyperlink"/>
                  <w:rFonts w:ascii="Arial" w:hAnsi="Arial"/>
                  <w:sz w:val="22"/>
                  <w:szCs w:val="22"/>
                  <w:lang w:val="en-US"/>
                </w:rPr>
                <w:t>NGO-90441</w:t>
              </w:r>
            </w:hyperlink>
          </w:p>
        </w:tc>
      </w:tr>
      <w:tr w:rsidR="00F41E86" w:rsidRPr="0073388D" w14:paraId="5E47FDC7" w14:textId="77777777" w:rsidTr="00C71838">
        <w:trPr>
          <w:trHeight w:val="164"/>
        </w:trPr>
        <w:tc>
          <w:tcPr>
            <w:tcW w:w="3060" w:type="pct"/>
            <w:tcBorders>
              <w:top w:val="single" w:sz="4" w:space="0" w:color="auto"/>
              <w:bottom w:val="single" w:sz="4" w:space="0" w:color="auto"/>
            </w:tcBorders>
            <w:shd w:val="clear" w:color="auto" w:fill="auto"/>
          </w:tcPr>
          <w:p w14:paraId="472B3134"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Rupayan Sansthan (Rajasthan Institute of Folklore)</w:t>
            </w:r>
          </w:p>
        </w:tc>
        <w:tc>
          <w:tcPr>
            <w:tcW w:w="1119" w:type="pct"/>
            <w:tcBorders>
              <w:top w:val="single" w:sz="4" w:space="0" w:color="auto"/>
              <w:bottom w:val="single" w:sz="4" w:space="0" w:color="auto"/>
            </w:tcBorders>
            <w:shd w:val="clear" w:color="auto" w:fill="auto"/>
          </w:tcPr>
          <w:p w14:paraId="5F0B79E5"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Inde</w:t>
            </w:r>
          </w:p>
        </w:tc>
        <w:tc>
          <w:tcPr>
            <w:tcW w:w="821" w:type="pct"/>
            <w:tcBorders>
              <w:top w:val="single" w:sz="4" w:space="0" w:color="auto"/>
              <w:bottom w:val="single" w:sz="4" w:space="0" w:color="auto"/>
            </w:tcBorders>
            <w:shd w:val="clear" w:color="auto" w:fill="auto"/>
          </w:tcPr>
          <w:p w14:paraId="56503682" w14:textId="77777777" w:rsidR="00F41E86" w:rsidRPr="0073388D" w:rsidRDefault="00D718F7" w:rsidP="00C71838">
            <w:pPr>
              <w:jc w:val="center"/>
              <w:rPr>
                <w:rFonts w:ascii="Arial" w:hAnsi="Arial" w:cs="Arial"/>
                <w:color w:val="000000"/>
                <w:sz w:val="22"/>
                <w:szCs w:val="22"/>
              </w:rPr>
            </w:pPr>
            <w:hyperlink r:id="rId81" w:history="1">
              <w:r w:rsidR="00F41E86" w:rsidRPr="0073388D">
                <w:rPr>
                  <w:rStyle w:val="Hyperlink"/>
                  <w:rFonts w:ascii="Arial" w:hAnsi="Arial"/>
                  <w:sz w:val="22"/>
                  <w:szCs w:val="22"/>
                  <w:lang w:val="en-US"/>
                </w:rPr>
                <w:t>NGO-90459</w:t>
              </w:r>
            </w:hyperlink>
          </w:p>
        </w:tc>
      </w:tr>
      <w:tr w:rsidR="00F41E86" w:rsidRPr="0073388D" w14:paraId="4255E458" w14:textId="77777777" w:rsidTr="00C71838">
        <w:trPr>
          <w:trHeight w:val="164"/>
        </w:trPr>
        <w:tc>
          <w:tcPr>
            <w:tcW w:w="3060" w:type="pct"/>
            <w:tcBorders>
              <w:top w:val="single" w:sz="4" w:space="0" w:color="auto"/>
              <w:bottom w:val="single" w:sz="4" w:space="0" w:color="auto"/>
            </w:tcBorders>
            <w:shd w:val="clear" w:color="auto" w:fill="auto"/>
          </w:tcPr>
          <w:p w14:paraId="0ADFB25C"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42CA1896"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Arabie saoudite</w:t>
            </w:r>
          </w:p>
        </w:tc>
        <w:tc>
          <w:tcPr>
            <w:tcW w:w="821" w:type="pct"/>
            <w:tcBorders>
              <w:top w:val="single" w:sz="4" w:space="0" w:color="auto"/>
              <w:bottom w:val="single" w:sz="4" w:space="0" w:color="auto"/>
            </w:tcBorders>
            <w:shd w:val="clear" w:color="auto" w:fill="auto"/>
          </w:tcPr>
          <w:p w14:paraId="5E1E0FED" w14:textId="77777777" w:rsidR="00F41E86" w:rsidRPr="0073388D" w:rsidRDefault="00D718F7" w:rsidP="00C71838">
            <w:pPr>
              <w:jc w:val="center"/>
              <w:rPr>
                <w:rFonts w:ascii="Arial" w:hAnsi="Arial" w:cs="Arial"/>
                <w:color w:val="000000"/>
                <w:sz w:val="22"/>
                <w:szCs w:val="22"/>
              </w:rPr>
            </w:pPr>
            <w:hyperlink r:id="rId82" w:history="1">
              <w:r w:rsidR="00F41E86" w:rsidRPr="0073388D">
                <w:rPr>
                  <w:rStyle w:val="Hyperlink"/>
                  <w:rFonts w:ascii="Arial" w:hAnsi="Arial"/>
                  <w:sz w:val="22"/>
                  <w:szCs w:val="22"/>
                  <w:lang w:val="en-US"/>
                </w:rPr>
                <w:t>NGO-90473</w:t>
              </w:r>
            </w:hyperlink>
          </w:p>
        </w:tc>
      </w:tr>
      <w:tr w:rsidR="00F41E86" w:rsidRPr="0073388D" w14:paraId="1A2E5735" w14:textId="77777777" w:rsidTr="00C71838">
        <w:trPr>
          <w:trHeight w:val="164"/>
        </w:trPr>
        <w:tc>
          <w:tcPr>
            <w:tcW w:w="3060" w:type="pct"/>
            <w:tcBorders>
              <w:top w:val="single" w:sz="4" w:space="0" w:color="auto"/>
              <w:bottom w:val="single" w:sz="4" w:space="0" w:color="auto"/>
            </w:tcBorders>
            <w:shd w:val="clear" w:color="auto" w:fill="auto"/>
          </w:tcPr>
          <w:p w14:paraId="7425D75C"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Sadhona – Center for Advancement of Southasian Culture</w:t>
            </w:r>
          </w:p>
        </w:tc>
        <w:tc>
          <w:tcPr>
            <w:tcW w:w="1119" w:type="pct"/>
            <w:tcBorders>
              <w:top w:val="single" w:sz="4" w:space="0" w:color="auto"/>
              <w:bottom w:val="single" w:sz="4" w:space="0" w:color="auto"/>
            </w:tcBorders>
            <w:shd w:val="clear" w:color="auto" w:fill="auto"/>
          </w:tcPr>
          <w:p w14:paraId="6AC3EAFE"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Bangladesh</w:t>
            </w:r>
          </w:p>
        </w:tc>
        <w:tc>
          <w:tcPr>
            <w:tcW w:w="821" w:type="pct"/>
            <w:tcBorders>
              <w:top w:val="single" w:sz="4" w:space="0" w:color="auto"/>
              <w:bottom w:val="single" w:sz="4" w:space="0" w:color="auto"/>
            </w:tcBorders>
            <w:shd w:val="clear" w:color="auto" w:fill="auto"/>
          </w:tcPr>
          <w:p w14:paraId="791AF4CD" w14:textId="77777777" w:rsidR="00F41E86" w:rsidRPr="0073388D" w:rsidRDefault="00D718F7" w:rsidP="00C71838">
            <w:pPr>
              <w:jc w:val="center"/>
              <w:rPr>
                <w:rFonts w:ascii="Arial" w:hAnsi="Arial" w:cs="Arial"/>
                <w:color w:val="000000"/>
                <w:sz w:val="22"/>
                <w:szCs w:val="22"/>
              </w:rPr>
            </w:pPr>
            <w:hyperlink r:id="rId83" w:history="1">
              <w:r w:rsidR="00F41E86" w:rsidRPr="0073388D">
                <w:rPr>
                  <w:rStyle w:val="Hyperlink"/>
                  <w:rFonts w:ascii="Arial" w:hAnsi="Arial"/>
                  <w:sz w:val="22"/>
                  <w:szCs w:val="22"/>
                  <w:lang w:val="en-US"/>
                </w:rPr>
                <w:t>NGO-90420</w:t>
              </w:r>
            </w:hyperlink>
          </w:p>
        </w:tc>
      </w:tr>
      <w:tr w:rsidR="00F41E86" w:rsidRPr="0073388D" w14:paraId="6E588925" w14:textId="77777777" w:rsidTr="00C71838">
        <w:trPr>
          <w:trHeight w:val="164"/>
        </w:trPr>
        <w:tc>
          <w:tcPr>
            <w:tcW w:w="3060" w:type="pct"/>
            <w:tcBorders>
              <w:top w:val="single" w:sz="4" w:space="0" w:color="auto"/>
              <w:bottom w:val="single" w:sz="4" w:space="0" w:color="auto"/>
            </w:tcBorders>
            <w:shd w:val="clear" w:color="auto" w:fill="auto"/>
          </w:tcPr>
          <w:p w14:paraId="7ED4541B"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32AB976E"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États-Unis d’Amérique</w:t>
            </w:r>
          </w:p>
        </w:tc>
        <w:tc>
          <w:tcPr>
            <w:tcW w:w="821" w:type="pct"/>
            <w:tcBorders>
              <w:top w:val="single" w:sz="4" w:space="0" w:color="auto"/>
              <w:bottom w:val="single" w:sz="4" w:space="0" w:color="auto"/>
            </w:tcBorders>
            <w:shd w:val="clear" w:color="auto" w:fill="auto"/>
          </w:tcPr>
          <w:p w14:paraId="7BDD281B" w14:textId="77777777" w:rsidR="00F41E86" w:rsidRPr="0073388D" w:rsidRDefault="00D718F7" w:rsidP="00C71838">
            <w:pPr>
              <w:jc w:val="center"/>
              <w:rPr>
                <w:rFonts w:ascii="Arial" w:hAnsi="Arial" w:cs="Arial"/>
                <w:color w:val="000000"/>
                <w:sz w:val="22"/>
                <w:szCs w:val="22"/>
              </w:rPr>
            </w:pPr>
            <w:hyperlink r:id="rId84" w:history="1">
              <w:r w:rsidR="00F41E86" w:rsidRPr="0073388D">
                <w:rPr>
                  <w:rStyle w:val="Hyperlink"/>
                  <w:rFonts w:ascii="Arial" w:hAnsi="Arial"/>
                  <w:sz w:val="22"/>
                  <w:szCs w:val="22"/>
                  <w:lang w:val="en-US"/>
                </w:rPr>
                <w:t>NGO-90455</w:t>
              </w:r>
            </w:hyperlink>
          </w:p>
        </w:tc>
      </w:tr>
      <w:tr w:rsidR="00F41E86" w:rsidRPr="0073388D" w14:paraId="57D767F0" w14:textId="77777777" w:rsidTr="00C71838">
        <w:trPr>
          <w:trHeight w:val="164"/>
        </w:trPr>
        <w:tc>
          <w:tcPr>
            <w:tcW w:w="3060" w:type="pct"/>
            <w:tcBorders>
              <w:top w:val="single" w:sz="4" w:space="0" w:color="auto"/>
              <w:bottom w:val="single" w:sz="4" w:space="0" w:color="auto"/>
            </w:tcBorders>
            <w:shd w:val="clear" w:color="auto" w:fill="auto"/>
          </w:tcPr>
          <w:p w14:paraId="55923BAA" w14:textId="7777777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The Eel Coast Cultural Heritage</w:t>
            </w:r>
            <w:r w:rsidR="00CD2D87" w:rsidRPr="0073388D">
              <w:rPr>
                <w:rFonts w:ascii="Arial" w:hAnsi="Arial"/>
                <w:color w:val="000000"/>
                <w:sz w:val="22"/>
                <w:szCs w:val="22"/>
                <w:lang w:val="en-US"/>
              </w:rPr>
              <w:t xml:space="preserve"> NGO</w:t>
            </w:r>
          </w:p>
        </w:tc>
        <w:tc>
          <w:tcPr>
            <w:tcW w:w="1119" w:type="pct"/>
            <w:tcBorders>
              <w:top w:val="single" w:sz="4" w:space="0" w:color="auto"/>
              <w:bottom w:val="single" w:sz="4" w:space="0" w:color="auto"/>
            </w:tcBorders>
            <w:shd w:val="clear" w:color="auto" w:fill="auto"/>
          </w:tcPr>
          <w:p w14:paraId="6607BFE6"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Suède</w:t>
            </w:r>
          </w:p>
        </w:tc>
        <w:tc>
          <w:tcPr>
            <w:tcW w:w="821" w:type="pct"/>
            <w:tcBorders>
              <w:top w:val="single" w:sz="4" w:space="0" w:color="auto"/>
              <w:bottom w:val="single" w:sz="4" w:space="0" w:color="auto"/>
            </w:tcBorders>
            <w:shd w:val="clear" w:color="auto" w:fill="auto"/>
          </w:tcPr>
          <w:p w14:paraId="5259BDE9" w14:textId="77777777" w:rsidR="00F41E86" w:rsidRPr="0073388D" w:rsidRDefault="00D718F7" w:rsidP="00C71838">
            <w:pPr>
              <w:jc w:val="center"/>
              <w:rPr>
                <w:rFonts w:ascii="Arial" w:hAnsi="Arial" w:cs="Arial"/>
                <w:color w:val="000000"/>
                <w:sz w:val="22"/>
                <w:szCs w:val="22"/>
              </w:rPr>
            </w:pPr>
            <w:hyperlink r:id="rId85" w:history="1">
              <w:r w:rsidR="00F41E86" w:rsidRPr="0073388D">
                <w:rPr>
                  <w:rStyle w:val="Hyperlink"/>
                  <w:rFonts w:ascii="Arial" w:hAnsi="Arial"/>
                  <w:sz w:val="22"/>
                  <w:szCs w:val="22"/>
                  <w:lang w:val="en-US"/>
                </w:rPr>
                <w:t>NGO-90428</w:t>
              </w:r>
            </w:hyperlink>
          </w:p>
        </w:tc>
      </w:tr>
      <w:tr w:rsidR="00F41E86" w:rsidRPr="0073388D" w14:paraId="27463380" w14:textId="77777777" w:rsidTr="00C71838">
        <w:trPr>
          <w:trHeight w:val="164"/>
        </w:trPr>
        <w:tc>
          <w:tcPr>
            <w:tcW w:w="3060" w:type="pct"/>
            <w:tcBorders>
              <w:top w:val="single" w:sz="4" w:space="0" w:color="auto"/>
              <w:bottom w:val="single" w:sz="4" w:space="0" w:color="auto"/>
            </w:tcBorders>
            <w:shd w:val="clear" w:color="auto" w:fill="auto"/>
          </w:tcPr>
          <w:p w14:paraId="7DBB4949"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Uly Taghzym Public Fund</w:t>
            </w:r>
          </w:p>
        </w:tc>
        <w:tc>
          <w:tcPr>
            <w:tcW w:w="1119" w:type="pct"/>
            <w:tcBorders>
              <w:top w:val="single" w:sz="4" w:space="0" w:color="auto"/>
              <w:bottom w:val="single" w:sz="4" w:space="0" w:color="auto"/>
            </w:tcBorders>
            <w:shd w:val="clear" w:color="auto" w:fill="auto"/>
          </w:tcPr>
          <w:p w14:paraId="14F77354"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Kazakhstan</w:t>
            </w:r>
          </w:p>
        </w:tc>
        <w:tc>
          <w:tcPr>
            <w:tcW w:w="821" w:type="pct"/>
            <w:tcBorders>
              <w:top w:val="single" w:sz="4" w:space="0" w:color="auto"/>
              <w:bottom w:val="single" w:sz="4" w:space="0" w:color="auto"/>
            </w:tcBorders>
            <w:shd w:val="clear" w:color="auto" w:fill="auto"/>
          </w:tcPr>
          <w:p w14:paraId="74101017" w14:textId="77777777" w:rsidR="00F41E86" w:rsidRPr="0073388D" w:rsidRDefault="00D718F7" w:rsidP="00C71838">
            <w:pPr>
              <w:jc w:val="center"/>
              <w:rPr>
                <w:rFonts w:ascii="Arial" w:hAnsi="Arial" w:cs="Arial"/>
                <w:color w:val="000000"/>
                <w:sz w:val="22"/>
                <w:szCs w:val="22"/>
              </w:rPr>
            </w:pPr>
            <w:hyperlink r:id="rId86" w:history="1">
              <w:r w:rsidR="00F41E86" w:rsidRPr="0073388D">
                <w:rPr>
                  <w:rStyle w:val="Hyperlink"/>
                  <w:rFonts w:ascii="Arial" w:hAnsi="Arial"/>
                  <w:sz w:val="22"/>
                  <w:szCs w:val="22"/>
                  <w:lang w:val="en-US"/>
                </w:rPr>
                <w:t>NGO-90434</w:t>
              </w:r>
            </w:hyperlink>
          </w:p>
        </w:tc>
      </w:tr>
      <w:tr w:rsidR="00F41E86" w:rsidRPr="0073388D" w14:paraId="4927B5AE" w14:textId="77777777" w:rsidTr="00C71838">
        <w:trPr>
          <w:trHeight w:val="164"/>
        </w:trPr>
        <w:tc>
          <w:tcPr>
            <w:tcW w:w="3060" w:type="pct"/>
            <w:tcBorders>
              <w:top w:val="single" w:sz="4" w:space="0" w:color="auto"/>
              <w:bottom w:val="single" w:sz="4" w:space="0" w:color="auto"/>
            </w:tcBorders>
            <w:shd w:val="clear" w:color="auto" w:fill="auto"/>
          </w:tcPr>
          <w:p w14:paraId="4B3273C4" w14:textId="448B1E97" w:rsidR="00F41E86" w:rsidRPr="0073388D" w:rsidRDefault="00F41E86" w:rsidP="00C71838">
            <w:pPr>
              <w:rPr>
                <w:rFonts w:ascii="Arial" w:hAnsi="Arial" w:cs="Arial"/>
                <w:color w:val="000000"/>
                <w:sz w:val="22"/>
                <w:szCs w:val="22"/>
                <w:lang w:val="en-US"/>
              </w:rPr>
            </w:pPr>
            <w:r w:rsidRPr="0073388D">
              <w:rPr>
                <w:rFonts w:ascii="Arial" w:hAnsi="Arial"/>
                <w:color w:val="000000"/>
                <w:sz w:val="22"/>
                <w:szCs w:val="22"/>
                <w:lang w:val="en-US"/>
              </w:rPr>
              <w:t>World Crafts Council AISBL</w:t>
            </w:r>
          </w:p>
        </w:tc>
        <w:tc>
          <w:tcPr>
            <w:tcW w:w="1119" w:type="pct"/>
            <w:tcBorders>
              <w:top w:val="single" w:sz="4" w:space="0" w:color="auto"/>
              <w:bottom w:val="single" w:sz="4" w:space="0" w:color="auto"/>
            </w:tcBorders>
            <w:shd w:val="clear" w:color="auto" w:fill="auto"/>
          </w:tcPr>
          <w:p w14:paraId="698FFDDE"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Royaume-Uni de Grande-Bretagne et d’Irlande du Nord</w:t>
            </w:r>
          </w:p>
        </w:tc>
        <w:tc>
          <w:tcPr>
            <w:tcW w:w="821" w:type="pct"/>
            <w:tcBorders>
              <w:top w:val="single" w:sz="4" w:space="0" w:color="auto"/>
              <w:bottom w:val="single" w:sz="4" w:space="0" w:color="auto"/>
            </w:tcBorders>
            <w:shd w:val="clear" w:color="auto" w:fill="auto"/>
          </w:tcPr>
          <w:p w14:paraId="540B1B6B" w14:textId="77777777" w:rsidR="00F41E86" w:rsidRPr="0073388D" w:rsidRDefault="00D718F7" w:rsidP="00C71838">
            <w:pPr>
              <w:jc w:val="center"/>
              <w:rPr>
                <w:rFonts w:ascii="Arial" w:hAnsi="Arial" w:cs="Arial"/>
                <w:color w:val="000000"/>
                <w:sz w:val="22"/>
                <w:szCs w:val="22"/>
              </w:rPr>
            </w:pPr>
            <w:hyperlink r:id="rId87" w:history="1">
              <w:r w:rsidR="00F41E86" w:rsidRPr="0073388D">
                <w:rPr>
                  <w:rStyle w:val="Hyperlink"/>
                  <w:rFonts w:ascii="Arial" w:hAnsi="Arial"/>
                  <w:sz w:val="22"/>
                  <w:szCs w:val="22"/>
                </w:rPr>
                <w:t>NGO-90435</w:t>
              </w:r>
            </w:hyperlink>
          </w:p>
        </w:tc>
      </w:tr>
      <w:tr w:rsidR="00F41E86" w:rsidRPr="0073388D" w14:paraId="534934D7" w14:textId="77777777" w:rsidTr="00C71838">
        <w:trPr>
          <w:trHeight w:val="164"/>
        </w:trPr>
        <w:tc>
          <w:tcPr>
            <w:tcW w:w="3060" w:type="pct"/>
            <w:tcBorders>
              <w:top w:val="single" w:sz="4" w:space="0" w:color="auto"/>
              <w:bottom w:val="single" w:sz="4" w:space="0" w:color="auto"/>
            </w:tcBorders>
            <w:shd w:val="clear" w:color="auto" w:fill="auto"/>
          </w:tcPr>
          <w:p w14:paraId="1371BDF0" w14:textId="77777777" w:rsidR="00F41E86" w:rsidRPr="0073388D" w:rsidRDefault="00F41E86" w:rsidP="00C71838">
            <w:pPr>
              <w:rPr>
                <w:rFonts w:ascii="Arial" w:hAnsi="Arial" w:cs="Arial"/>
                <w:color w:val="000000"/>
                <w:sz w:val="22"/>
                <w:szCs w:val="22"/>
              </w:rPr>
            </w:pPr>
            <w:r w:rsidRPr="0073388D">
              <w:rPr>
                <w:rFonts w:ascii="Arial" w:hAnsi="Arial"/>
                <w:color w:val="000000"/>
                <w:sz w:val="22"/>
                <w:szCs w:val="22"/>
              </w:rPr>
              <w:t>World Ethnosport Society</w:t>
            </w:r>
          </w:p>
        </w:tc>
        <w:tc>
          <w:tcPr>
            <w:tcW w:w="1119" w:type="pct"/>
            <w:tcBorders>
              <w:top w:val="single" w:sz="4" w:space="0" w:color="auto"/>
              <w:bottom w:val="single" w:sz="4" w:space="0" w:color="auto"/>
            </w:tcBorders>
            <w:shd w:val="clear" w:color="auto" w:fill="auto"/>
          </w:tcPr>
          <w:p w14:paraId="0D905EFB" w14:textId="77777777" w:rsidR="00F41E86" w:rsidRPr="0073388D" w:rsidRDefault="00F41E86" w:rsidP="00C71838">
            <w:pPr>
              <w:jc w:val="center"/>
              <w:rPr>
                <w:rFonts w:ascii="Arial" w:hAnsi="Arial" w:cs="Arial"/>
                <w:color w:val="000000"/>
                <w:sz w:val="22"/>
                <w:szCs w:val="22"/>
              </w:rPr>
            </w:pPr>
            <w:r w:rsidRPr="0073388D">
              <w:rPr>
                <w:rFonts w:ascii="Arial" w:hAnsi="Arial"/>
                <w:color w:val="000000"/>
                <w:sz w:val="22"/>
                <w:szCs w:val="22"/>
              </w:rPr>
              <w:t>Lettonie</w:t>
            </w:r>
          </w:p>
        </w:tc>
        <w:tc>
          <w:tcPr>
            <w:tcW w:w="821" w:type="pct"/>
            <w:tcBorders>
              <w:top w:val="single" w:sz="4" w:space="0" w:color="auto"/>
              <w:bottom w:val="single" w:sz="4" w:space="0" w:color="auto"/>
            </w:tcBorders>
            <w:shd w:val="clear" w:color="auto" w:fill="auto"/>
          </w:tcPr>
          <w:p w14:paraId="76987EE6" w14:textId="77777777" w:rsidR="00F41E86" w:rsidRPr="0073388D" w:rsidRDefault="00D718F7" w:rsidP="00C71838">
            <w:pPr>
              <w:jc w:val="center"/>
              <w:rPr>
                <w:rFonts w:ascii="Arial" w:hAnsi="Arial" w:cs="Arial"/>
                <w:color w:val="000000"/>
                <w:sz w:val="22"/>
                <w:szCs w:val="22"/>
              </w:rPr>
            </w:pPr>
            <w:hyperlink r:id="rId88" w:history="1">
              <w:r w:rsidR="00F41E86" w:rsidRPr="0073388D">
                <w:rPr>
                  <w:rStyle w:val="Hyperlink"/>
                  <w:rFonts w:ascii="Arial" w:hAnsi="Arial"/>
                  <w:sz w:val="22"/>
                  <w:szCs w:val="22"/>
                  <w:lang w:val="en-US"/>
                </w:rPr>
                <w:t>NGO-90478</w:t>
              </w:r>
            </w:hyperlink>
          </w:p>
        </w:tc>
      </w:tr>
    </w:tbl>
    <w:p w14:paraId="3A7CFC8A" w14:textId="77777777" w:rsidR="00F41E86" w:rsidRPr="0073388D" w:rsidRDefault="00F41E86" w:rsidP="00A615C3">
      <w:pPr>
        <w:pStyle w:val="GATitleResolution"/>
        <w:pageBreakBefore/>
        <w:tabs>
          <w:tab w:val="clear" w:pos="567"/>
          <w:tab w:val="left" w:pos="810"/>
        </w:tabs>
        <w:spacing w:before="360"/>
        <w:ind w:left="0"/>
      </w:pPr>
      <w:r w:rsidRPr="0073388D">
        <w:rPr>
          <w:bCs/>
        </w:rPr>
        <w:t>RÉSOLUTION 8.GA 14</w:t>
      </w:r>
    </w:p>
    <w:p w14:paraId="67F10B34" w14:textId="77777777" w:rsidR="00F41E86" w:rsidRPr="0073388D" w:rsidRDefault="00F41E86" w:rsidP="00F41E86">
      <w:pPr>
        <w:pStyle w:val="GAPreambulaResolution"/>
        <w:tabs>
          <w:tab w:val="left" w:pos="810"/>
        </w:tabs>
        <w:ind w:left="0"/>
        <w:rPr>
          <w:rFonts w:eastAsia="SimSun"/>
          <w:lang w:val="fr-FR"/>
        </w:rPr>
      </w:pPr>
      <w:r w:rsidRPr="0073388D">
        <w:rPr>
          <w:lang w:val="fr-FR"/>
        </w:rPr>
        <w:t>L’Assemblée générale,</w:t>
      </w:r>
    </w:p>
    <w:p w14:paraId="2547B843" w14:textId="5E35E254" w:rsidR="00F41E86" w:rsidRPr="0073388D" w:rsidRDefault="00F41E86" w:rsidP="00654D96">
      <w:pPr>
        <w:pStyle w:val="GAParaResolution"/>
        <w:numPr>
          <w:ilvl w:val="0"/>
          <w:numId w:val="23"/>
        </w:numPr>
        <w:ind w:left="567" w:hanging="567"/>
      </w:pPr>
      <w:r w:rsidRPr="0073388D">
        <w:t>Ayant examiné</w:t>
      </w:r>
      <w:r w:rsidRPr="0073388D">
        <w:rPr>
          <w:u w:val="none"/>
        </w:rPr>
        <w:t xml:space="preserve"> le </w:t>
      </w:r>
      <w:r w:rsidR="0029398E" w:rsidRPr="0073388D">
        <w:rPr>
          <w:u w:val="none"/>
        </w:rPr>
        <w:t xml:space="preserve">document </w:t>
      </w:r>
      <w:hyperlink r:id="rId89" w:history="1">
        <w:r w:rsidR="0029398E" w:rsidRPr="0073388D">
          <w:rPr>
            <w:rStyle w:val="Hyperlink"/>
          </w:rPr>
          <w:t>LHE/20/8.GA/14</w:t>
        </w:r>
      </w:hyperlink>
      <w:r w:rsidRPr="0073388D">
        <w:rPr>
          <w:u w:val="none"/>
        </w:rPr>
        <w:t>,</w:t>
      </w:r>
    </w:p>
    <w:p w14:paraId="4B74AB2B" w14:textId="77777777" w:rsidR="00F41E86" w:rsidRPr="0073388D" w:rsidRDefault="00F41E86" w:rsidP="00654D96">
      <w:pPr>
        <w:pStyle w:val="COMParaDecision"/>
        <w:numPr>
          <w:ilvl w:val="0"/>
          <w:numId w:val="1"/>
        </w:numPr>
        <w:ind w:left="567" w:hanging="567"/>
        <w:rPr>
          <w:u w:val="none"/>
        </w:rPr>
      </w:pPr>
      <w:r w:rsidRPr="0073388D">
        <w:t>Rappelant</w:t>
      </w:r>
      <w:r w:rsidRPr="0073388D">
        <w:rPr>
          <w:u w:val="none"/>
        </w:rPr>
        <w:t xml:space="preserve"> les Articles 5, 6 et 26.5 de la Convention et les Articles 13, 14 et 15 de son Règlement intérieur,</w:t>
      </w:r>
    </w:p>
    <w:p w14:paraId="55D77FBD" w14:textId="2800DCC7" w:rsidR="00F41E86" w:rsidRPr="0073388D" w:rsidRDefault="00F41E86" w:rsidP="00654D96">
      <w:pPr>
        <w:pStyle w:val="COMParaDecision"/>
        <w:numPr>
          <w:ilvl w:val="0"/>
          <w:numId w:val="1"/>
        </w:numPr>
        <w:ind w:left="567" w:hanging="567"/>
      </w:pPr>
      <w:r w:rsidRPr="0073388D">
        <w:t>Rappelant en outre</w:t>
      </w:r>
      <w:r w:rsidRPr="0073388D">
        <w:rPr>
          <w:u w:val="none"/>
        </w:rPr>
        <w:t xml:space="preserve"> la </w:t>
      </w:r>
      <w:hyperlink r:id="rId90" w:history="1">
        <w:r w:rsidRPr="0073388D">
          <w:rPr>
            <w:rStyle w:val="Hyperlink"/>
          </w:rPr>
          <w:t>résolution 8.GA 4</w:t>
        </w:r>
      </w:hyperlink>
      <w:r w:rsidRPr="0073388D">
        <w:rPr>
          <w:u w:val="none"/>
        </w:rPr>
        <w:t>,</w:t>
      </w:r>
    </w:p>
    <w:p w14:paraId="474C5DCF" w14:textId="77777777" w:rsidR="00F41E86" w:rsidRPr="0073388D" w:rsidRDefault="00F41E86" w:rsidP="006E6BE0">
      <w:pPr>
        <w:pStyle w:val="COMParaDecision"/>
        <w:keepNext/>
        <w:keepLines/>
        <w:numPr>
          <w:ilvl w:val="0"/>
          <w:numId w:val="1"/>
        </w:numPr>
        <w:ind w:left="567" w:hanging="567"/>
      </w:pPr>
      <w:r w:rsidRPr="0073388D">
        <w:t>Élit</w:t>
      </w:r>
      <w:r w:rsidRPr="0073388D">
        <w:rPr>
          <w:u w:val="none"/>
        </w:rPr>
        <w:t xml:space="preserve"> les douze États parties suivants au Comité intergouvernemental de sauvegarde du patrimoine culturel immatériel pour un mandat de quatre ans à compter de la date de l’élection :</w:t>
      </w:r>
    </w:p>
    <w:p w14:paraId="57B7BA78" w14:textId="77777777" w:rsidR="00F41E86" w:rsidRPr="0073388D" w:rsidRDefault="00F41E86" w:rsidP="006F2BFE">
      <w:pPr>
        <w:pStyle w:val="GAParaResolution"/>
        <w:keepNext/>
        <w:keepLines/>
        <w:numPr>
          <w:ilvl w:val="0"/>
          <w:numId w:val="0"/>
        </w:numPr>
        <w:ind w:left="567"/>
        <w:rPr>
          <w:u w:val="none"/>
        </w:rPr>
      </w:pPr>
      <w:r w:rsidRPr="0073388D">
        <w:rPr>
          <w:u w:val="none"/>
        </w:rPr>
        <w:t>Groupe I :</w:t>
      </w:r>
      <w:r w:rsidR="00C30D09" w:rsidRPr="0073388D">
        <w:rPr>
          <w:u w:val="none"/>
        </w:rPr>
        <w:t xml:space="preserve"> Suède et Suisse</w:t>
      </w:r>
    </w:p>
    <w:p w14:paraId="3E79797E" w14:textId="77777777" w:rsidR="00F41E86" w:rsidRPr="0073388D" w:rsidRDefault="00F41E86" w:rsidP="006F2BFE">
      <w:pPr>
        <w:pStyle w:val="GAParaResolution"/>
        <w:keepNext/>
        <w:keepLines/>
        <w:numPr>
          <w:ilvl w:val="0"/>
          <w:numId w:val="0"/>
        </w:numPr>
        <w:ind w:left="567"/>
        <w:rPr>
          <w:u w:val="none"/>
        </w:rPr>
      </w:pPr>
      <w:r w:rsidRPr="0073388D">
        <w:rPr>
          <w:u w:val="none"/>
        </w:rPr>
        <w:t>Groupe II :</w:t>
      </w:r>
      <w:r w:rsidR="00C30D09" w:rsidRPr="0073388D">
        <w:rPr>
          <w:u w:val="none"/>
        </w:rPr>
        <w:t xml:space="preserve"> Tchéquie</w:t>
      </w:r>
    </w:p>
    <w:p w14:paraId="55369FD4" w14:textId="77777777" w:rsidR="00F41E86" w:rsidRPr="0073388D" w:rsidRDefault="00F41E86" w:rsidP="006F2BFE">
      <w:pPr>
        <w:pStyle w:val="GAParaResolution"/>
        <w:keepNext/>
        <w:keepLines/>
        <w:numPr>
          <w:ilvl w:val="0"/>
          <w:numId w:val="0"/>
        </w:numPr>
        <w:ind w:left="567"/>
        <w:rPr>
          <w:u w:val="none"/>
        </w:rPr>
      </w:pPr>
      <w:r w:rsidRPr="0073388D">
        <w:rPr>
          <w:u w:val="none"/>
        </w:rPr>
        <w:t>Groupe III :</w:t>
      </w:r>
      <w:r w:rsidR="00C30D09" w:rsidRPr="0073388D">
        <w:rPr>
          <w:u w:val="none"/>
        </w:rPr>
        <w:t xml:space="preserve"> Brésil, Panama et Pérou</w:t>
      </w:r>
    </w:p>
    <w:p w14:paraId="2B9E65AD" w14:textId="77777777" w:rsidR="00F41E86" w:rsidRPr="0073388D" w:rsidRDefault="00F41E86" w:rsidP="006F2BFE">
      <w:pPr>
        <w:pStyle w:val="GAParaResolution"/>
        <w:keepNext/>
        <w:keepLines/>
        <w:numPr>
          <w:ilvl w:val="0"/>
          <w:numId w:val="0"/>
        </w:numPr>
        <w:ind w:left="567"/>
        <w:rPr>
          <w:u w:val="none"/>
        </w:rPr>
      </w:pPr>
      <w:r w:rsidRPr="0073388D">
        <w:rPr>
          <w:u w:val="none"/>
        </w:rPr>
        <w:t>Groupe IV :</w:t>
      </w:r>
      <w:r w:rsidR="00C30D09" w:rsidRPr="0073388D">
        <w:rPr>
          <w:u w:val="none"/>
        </w:rPr>
        <w:t xml:space="preserve"> République de Corée</w:t>
      </w:r>
    </w:p>
    <w:p w14:paraId="76AF79A2" w14:textId="77777777" w:rsidR="00F41E86" w:rsidRPr="0073388D" w:rsidRDefault="00F41E86" w:rsidP="006F2BFE">
      <w:pPr>
        <w:pStyle w:val="GAParaResolution"/>
        <w:keepNext/>
        <w:keepLines/>
        <w:numPr>
          <w:ilvl w:val="0"/>
          <w:numId w:val="0"/>
        </w:numPr>
        <w:ind w:left="567"/>
        <w:rPr>
          <w:u w:val="none"/>
        </w:rPr>
      </w:pPr>
      <w:r w:rsidRPr="0073388D">
        <w:rPr>
          <w:u w:val="none"/>
        </w:rPr>
        <w:t>Groupe V(a) :</w:t>
      </w:r>
      <w:r w:rsidR="00C30D09" w:rsidRPr="0073388D">
        <w:rPr>
          <w:u w:val="none"/>
        </w:rPr>
        <w:t xml:space="preserve"> Botswana, Côte d’Ivoire et Rwanda</w:t>
      </w:r>
    </w:p>
    <w:p w14:paraId="44DA293F" w14:textId="77777777" w:rsidR="00F41E86" w:rsidRPr="0073388D" w:rsidRDefault="00F41E86" w:rsidP="006F2BFE">
      <w:pPr>
        <w:pStyle w:val="GAParaResolution"/>
        <w:keepNext/>
        <w:keepLines/>
        <w:numPr>
          <w:ilvl w:val="0"/>
          <w:numId w:val="0"/>
        </w:numPr>
        <w:ind w:left="567"/>
        <w:rPr>
          <w:u w:val="none"/>
        </w:rPr>
      </w:pPr>
      <w:r w:rsidRPr="0073388D">
        <w:rPr>
          <w:u w:val="none"/>
        </w:rPr>
        <w:t>Groupe V(b) :</w:t>
      </w:r>
      <w:r w:rsidR="00C30D09" w:rsidRPr="0073388D">
        <w:rPr>
          <w:u w:val="none"/>
        </w:rPr>
        <w:t xml:space="preserve"> Arabie saoudite</w:t>
      </w:r>
      <w:r w:rsidR="00CD2D87" w:rsidRPr="0073388D">
        <w:rPr>
          <w:u w:val="none"/>
        </w:rPr>
        <w:t xml:space="preserve"> et Maroc</w:t>
      </w:r>
    </w:p>
    <w:p w14:paraId="006D3739" w14:textId="77777777" w:rsidR="00F04BA8" w:rsidRPr="0073388D" w:rsidRDefault="00F41E86" w:rsidP="007B1E63">
      <w:pPr>
        <w:pStyle w:val="GATitleResolution"/>
        <w:tabs>
          <w:tab w:val="clear" w:pos="567"/>
          <w:tab w:val="left" w:pos="810"/>
        </w:tabs>
        <w:spacing w:before="360"/>
        <w:ind w:left="0"/>
        <w:rPr>
          <w:bCs/>
        </w:rPr>
      </w:pPr>
      <w:r w:rsidRPr="0073388D">
        <w:rPr>
          <w:bCs/>
        </w:rPr>
        <w:t>RÉSOLUTION 8.GA 15</w:t>
      </w:r>
    </w:p>
    <w:p w14:paraId="78EC374E" w14:textId="77777777" w:rsidR="00850225" w:rsidRPr="0073388D" w:rsidRDefault="00850225" w:rsidP="00850225">
      <w:pPr>
        <w:pStyle w:val="GAPreambulaResolution"/>
        <w:tabs>
          <w:tab w:val="left" w:pos="810"/>
        </w:tabs>
        <w:ind w:left="0"/>
        <w:rPr>
          <w:rFonts w:eastAsia="SimSun"/>
          <w:lang w:val="fr-FR"/>
        </w:rPr>
      </w:pPr>
      <w:r w:rsidRPr="0073388D">
        <w:rPr>
          <w:lang w:val="fr-FR"/>
        </w:rPr>
        <w:t>L’Assemblée générale,</w:t>
      </w:r>
    </w:p>
    <w:p w14:paraId="1912B4FC" w14:textId="014A2982" w:rsidR="00850225" w:rsidRPr="0073388D" w:rsidRDefault="00850225" w:rsidP="00654D96">
      <w:pPr>
        <w:pStyle w:val="GAParaResolution"/>
        <w:numPr>
          <w:ilvl w:val="0"/>
          <w:numId w:val="35"/>
        </w:numPr>
        <w:ind w:left="567" w:hanging="567"/>
        <w:rPr>
          <w:u w:val="none"/>
        </w:rPr>
      </w:pPr>
      <w:r w:rsidRPr="0073388D">
        <w:t>Ayant examiné</w:t>
      </w:r>
      <w:r w:rsidRPr="0073388D">
        <w:rPr>
          <w:u w:val="none"/>
        </w:rPr>
        <w:t xml:space="preserve"> le </w:t>
      </w:r>
      <w:r w:rsidR="0029398E" w:rsidRPr="0073388D">
        <w:rPr>
          <w:u w:val="none"/>
        </w:rPr>
        <w:t xml:space="preserve">document </w:t>
      </w:r>
      <w:hyperlink r:id="rId91" w:history="1">
        <w:r w:rsidR="0029398E" w:rsidRPr="0073388D">
          <w:rPr>
            <w:rStyle w:val="Hyperlink"/>
          </w:rPr>
          <w:t>LHE/20/8.GA/15</w:t>
        </w:r>
      </w:hyperlink>
      <w:r w:rsidRPr="0073388D">
        <w:rPr>
          <w:u w:val="none"/>
        </w:rPr>
        <w:t>,</w:t>
      </w:r>
    </w:p>
    <w:p w14:paraId="7DB5DA1F" w14:textId="24FA2DA8" w:rsidR="00850225" w:rsidRPr="0073388D" w:rsidRDefault="00850225" w:rsidP="00654D96">
      <w:pPr>
        <w:pStyle w:val="COMParaDecision"/>
        <w:numPr>
          <w:ilvl w:val="0"/>
          <w:numId w:val="1"/>
        </w:numPr>
        <w:ind w:left="567" w:hanging="567"/>
      </w:pPr>
      <w:r w:rsidRPr="0073388D">
        <w:t>Rappelant</w:t>
      </w:r>
      <w:r w:rsidRPr="0073388D">
        <w:rPr>
          <w:u w:val="none"/>
        </w:rPr>
        <w:t xml:space="preserve"> les documents </w:t>
      </w:r>
      <w:hyperlink r:id="rId92" w:history="1">
        <w:r w:rsidRPr="0073388D">
          <w:rPr>
            <w:rStyle w:val="Hyperlink"/>
          </w:rPr>
          <w:t>LHE/20/8.GA/7 Rev.</w:t>
        </w:r>
      </w:hyperlink>
      <w:r w:rsidR="00CD2D87" w:rsidRPr="0073388D">
        <w:rPr>
          <w:rStyle w:val="Hyperlink"/>
          <w:color w:val="auto"/>
          <w:u w:val="none"/>
        </w:rPr>
        <w:t>,</w:t>
      </w:r>
      <w:r w:rsidRPr="0073388D">
        <w:rPr>
          <w:u w:val="none"/>
        </w:rPr>
        <w:t xml:space="preserve"> </w:t>
      </w:r>
      <w:hyperlink r:id="rId93" w:history="1">
        <w:r w:rsidRPr="0073388D">
          <w:rPr>
            <w:rStyle w:val="Hyperlink"/>
          </w:rPr>
          <w:t>LHE/20/8.GA/8</w:t>
        </w:r>
      </w:hyperlink>
      <w:r w:rsidRPr="0073388D">
        <w:rPr>
          <w:u w:val="none"/>
        </w:rPr>
        <w:t xml:space="preserve">, </w:t>
      </w:r>
      <w:hyperlink r:id="rId94" w:history="1">
        <w:r w:rsidRPr="0073388D">
          <w:rPr>
            <w:rStyle w:val="Hyperlink"/>
          </w:rPr>
          <w:t>LHE/19/14.COM/19</w:t>
        </w:r>
      </w:hyperlink>
      <w:r w:rsidRPr="0073388D">
        <w:rPr>
          <w:rStyle w:val="Hyperlink"/>
          <w:color w:val="auto"/>
          <w:u w:val="none"/>
        </w:rPr>
        <w:t>,</w:t>
      </w:r>
      <w:r w:rsidRPr="0073388D">
        <w:rPr>
          <w:rStyle w:val="Hyperlink"/>
        </w:rPr>
        <w:t xml:space="preserve"> </w:t>
      </w:r>
      <w:hyperlink r:id="rId95" w:history="1">
        <w:r w:rsidRPr="0073388D">
          <w:rPr>
            <w:rStyle w:val="Hyperlink"/>
          </w:rPr>
          <w:t>ITH/18/13.COM/17</w:t>
        </w:r>
      </w:hyperlink>
      <w:r w:rsidRPr="0073388D">
        <w:rPr>
          <w:u w:val="none"/>
        </w:rPr>
        <w:t xml:space="preserve">, </w:t>
      </w:r>
      <w:hyperlink r:id="rId96" w:history="1">
        <w:r w:rsidRPr="0073388D">
          <w:rPr>
            <w:rStyle w:val="Hyperlink"/>
          </w:rPr>
          <w:t>ITH/17/12.COM/16</w:t>
        </w:r>
      </w:hyperlink>
      <w:r w:rsidRPr="0073388D">
        <w:rPr>
          <w:u w:val="none"/>
        </w:rPr>
        <w:t xml:space="preserve">, </w:t>
      </w:r>
      <w:hyperlink r:id="rId97" w:history="1">
        <w:r w:rsidRPr="0073388D">
          <w:rPr>
            <w:rStyle w:val="Hyperlink"/>
          </w:rPr>
          <w:t>ITH/18/7.GA/13</w:t>
        </w:r>
      </w:hyperlink>
      <w:r w:rsidRPr="0073388D">
        <w:rPr>
          <w:u w:val="none"/>
        </w:rPr>
        <w:t xml:space="preserve"> et </w:t>
      </w:r>
      <w:hyperlink r:id="rId98" w:history="1">
        <w:r w:rsidRPr="0073388D">
          <w:rPr>
            <w:rStyle w:val="Hyperlink"/>
          </w:rPr>
          <w:t>ITH/18/7.GA/12</w:t>
        </w:r>
      </w:hyperlink>
      <w:r w:rsidRPr="0073388D">
        <w:rPr>
          <w:u w:val="none"/>
        </w:rPr>
        <w:t xml:space="preserve">, les décisions </w:t>
      </w:r>
      <w:hyperlink r:id="rId99" w:history="1">
        <w:r w:rsidRPr="0073388D">
          <w:rPr>
            <w:rStyle w:val="Hyperlink"/>
          </w:rPr>
          <w:t>14.COM 19</w:t>
        </w:r>
      </w:hyperlink>
      <w:r w:rsidRPr="0073388D">
        <w:rPr>
          <w:rStyle w:val="Hyperlink"/>
          <w:color w:val="auto"/>
          <w:u w:val="none"/>
        </w:rPr>
        <w:t>,</w:t>
      </w:r>
      <w:r w:rsidRPr="0073388D">
        <w:rPr>
          <w:rStyle w:val="Hyperlink"/>
          <w:u w:val="none"/>
        </w:rPr>
        <w:t xml:space="preserve"> </w:t>
      </w:r>
      <w:hyperlink r:id="rId100" w:history="1">
        <w:r w:rsidRPr="0073388D">
          <w:rPr>
            <w:rStyle w:val="Hyperlink"/>
          </w:rPr>
          <w:t>13.COM 17</w:t>
        </w:r>
      </w:hyperlink>
      <w:r w:rsidRPr="0073388D">
        <w:rPr>
          <w:u w:val="none"/>
        </w:rPr>
        <w:t xml:space="preserve">, </w:t>
      </w:r>
      <w:hyperlink r:id="rId101" w:history="1">
        <w:r w:rsidRPr="0073388D">
          <w:rPr>
            <w:rStyle w:val="Hyperlink"/>
          </w:rPr>
          <w:t>12.COM 16</w:t>
        </w:r>
      </w:hyperlink>
      <w:r w:rsidRPr="0073388D">
        <w:rPr>
          <w:u w:val="none"/>
        </w:rPr>
        <w:t xml:space="preserve"> et les résolutions </w:t>
      </w:r>
      <w:hyperlink r:id="rId102" w:history="1">
        <w:r w:rsidRPr="0073388D">
          <w:rPr>
            <w:rStyle w:val="Hyperlink"/>
          </w:rPr>
          <w:t>7.GA 12</w:t>
        </w:r>
      </w:hyperlink>
      <w:r w:rsidRPr="0073388D">
        <w:rPr>
          <w:u w:val="none"/>
        </w:rPr>
        <w:t xml:space="preserve">, </w:t>
      </w:r>
      <w:hyperlink r:id="rId103" w:history="1">
        <w:r w:rsidRPr="0073388D">
          <w:rPr>
            <w:rStyle w:val="Hyperlink"/>
          </w:rPr>
          <w:t>7.GA 13</w:t>
        </w:r>
      </w:hyperlink>
      <w:r w:rsidRPr="0073388D">
        <w:t xml:space="preserve"> </w:t>
      </w:r>
      <w:r w:rsidRPr="0073388D">
        <w:rPr>
          <w:u w:val="none"/>
        </w:rPr>
        <w:t xml:space="preserve">et </w:t>
      </w:r>
      <w:hyperlink r:id="rId104" w:history="1">
        <w:r w:rsidRPr="0073388D">
          <w:rPr>
            <w:rStyle w:val="Hyperlink"/>
          </w:rPr>
          <w:t>6.GA 11</w:t>
        </w:r>
      </w:hyperlink>
      <w:r w:rsidRPr="0073388D">
        <w:rPr>
          <w:u w:val="none"/>
        </w:rPr>
        <w:t>,</w:t>
      </w:r>
    </w:p>
    <w:p w14:paraId="447DC867" w14:textId="766A7A43" w:rsidR="00850225" w:rsidRPr="0073388D" w:rsidRDefault="00850225" w:rsidP="00654D96">
      <w:pPr>
        <w:pStyle w:val="COMParaDecision"/>
        <w:numPr>
          <w:ilvl w:val="0"/>
          <w:numId w:val="1"/>
        </w:numPr>
        <w:ind w:left="567" w:hanging="567"/>
      </w:pPr>
      <w:r w:rsidRPr="0073388D">
        <w:t xml:space="preserve">Rappelant </w:t>
      </w:r>
      <w:r w:rsidR="00CD2D87" w:rsidRPr="0073388D">
        <w:t>en outre</w:t>
      </w:r>
      <w:r w:rsidR="00CD2D87" w:rsidRPr="0073388D">
        <w:rPr>
          <w:u w:val="none"/>
        </w:rPr>
        <w:t xml:space="preserve"> </w:t>
      </w:r>
      <w:r w:rsidRPr="0073388D">
        <w:rPr>
          <w:u w:val="none"/>
        </w:rPr>
        <w:t xml:space="preserve">la </w:t>
      </w:r>
      <w:hyperlink r:id="rId105" w:history="1">
        <w:r w:rsidRPr="0073388D">
          <w:rPr>
            <w:rStyle w:val="Hyperlink"/>
            <w:u w:val="none"/>
          </w:rPr>
          <w:t xml:space="preserve"> </w:t>
        </w:r>
        <w:r w:rsidRPr="0073388D">
          <w:rPr>
            <w:rStyle w:val="Hyperlink"/>
          </w:rPr>
          <w:t>résolution 39 C/87</w:t>
        </w:r>
      </w:hyperlink>
      <w:r w:rsidR="002F18E8" w:rsidRPr="0073388D">
        <w:rPr>
          <w:u w:val="none"/>
        </w:rPr>
        <w:t xml:space="preserve"> et la</w:t>
      </w:r>
      <w:r w:rsidR="002F18E8" w:rsidRPr="0073388D">
        <w:t xml:space="preserve"> </w:t>
      </w:r>
      <w:hyperlink r:id="rId106" w:history="1">
        <w:r w:rsidR="002F18E8" w:rsidRPr="0073388D">
          <w:rPr>
            <w:rStyle w:val="Hyperlink"/>
          </w:rPr>
          <w:t>résolution 38 C/101</w:t>
        </w:r>
      </w:hyperlink>
      <w:r w:rsidR="002F18E8" w:rsidRPr="0073388D">
        <w:rPr>
          <w:u w:val="none"/>
        </w:rPr>
        <w:t>,</w:t>
      </w:r>
      <w:r w:rsidR="002F18E8" w:rsidRPr="0073388D">
        <w:t xml:space="preserve"> </w:t>
      </w:r>
    </w:p>
    <w:p w14:paraId="287DFC0C" w14:textId="250B1194" w:rsidR="00850225" w:rsidRPr="0073388D" w:rsidRDefault="00850225" w:rsidP="00654D96">
      <w:pPr>
        <w:pStyle w:val="COMParaDecision"/>
        <w:numPr>
          <w:ilvl w:val="0"/>
          <w:numId w:val="1"/>
        </w:numPr>
        <w:ind w:left="567" w:hanging="567"/>
      </w:pPr>
      <w:r w:rsidRPr="0073388D">
        <w:t>Encourage</w:t>
      </w:r>
      <w:r w:rsidRPr="0073388D">
        <w:rPr>
          <w:u w:val="none"/>
        </w:rPr>
        <w:t xml:space="preserve"> le Secteur de la culture à poursuivre ses efforts, le cas échéant, pour harmoniser les règlements intérieurs des organes directeurs avec les autres conventions </w:t>
      </w:r>
      <w:r w:rsidR="002F18E8" w:rsidRPr="0073388D">
        <w:rPr>
          <w:u w:val="none"/>
        </w:rPr>
        <w:t xml:space="preserve">de l’UNESCO dans le domaine de la </w:t>
      </w:r>
      <w:r w:rsidRPr="0073388D">
        <w:rPr>
          <w:u w:val="none"/>
        </w:rPr>
        <w:t xml:space="preserve">culture, conformément à la </w:t>
      </w:r>
      <w:hyperlink r:id="rId107" w:history="1">
        <w:r w:rsidRPr="0073388D">
          <w:rPr>
            <w:rStyle w:val="Hyperlink"/>
          </w:rPr>
          <w:t>résolution 7.GA 13</w:t>
        </w:r>
      </w:hyperlink>
      <w:r w:rsidRPr="0073388D">
        <w:rPr>
          <w:u w:val="none"/>
        </w:rPr>
        <w:t> ;</w:t>
      </w:r>
    </w:p>
    <w:p w14:paraId="043B3008" w14:textId="77777777" w:rsidR="00850225" w:rsidRPr="0073388D" w:rsidRDefault="00850225" w:rsidP="00654D96">
      <w:pPr>
        <w:pStyle w:val="COMParaDecision"/>
        <w:numPr>
          <w:ilvl w:val="0"/>
          <w:numId w:val="1"/>
        </w:numPr>
        <w:ind w:left="567" w:hanging="567"/>
      </w:pPr>
      <w:r w:rsidRPr="0073388D">
        <w:t>Considère</w:t>
      </w:r>
      <w:r w:rsidRPr="0073388D">
        <w:rPr>
          <w:u w:val="none"/>
        </w:rPr>
        <w:t xml:space="preserve"> que des progrès suffisants ont été accomplis dans le suivi de la mise en œuvre des recommandations pertinentes du Groupe de travail à composition non limitée sur la gouvernance, les procédures et les méthodes de travail des organes directeurs de l’UNESCO qui requièrent l’attention de l’Assemblée générale et </w:t>
      </w:r>
      <w:r w:rsidRPr="0073388D">
        <w:t>demande</w:t>
      </w:r>
      <w:r w:rsidRPr="0073388D">
        <w:rPr>
          <w:u w:val="none"/>
        </w:rPr>
        <w:t xml:space="preserve"> que le Secrétariat continue de faire rapport, le cas échéant, sur les nouveaux progrès accomplis eu égard à l’état des recommandations.</w:t>
      </w:r>
    </w:p>
    <w:p w14:paraId="6DAE43F2" w14:textId="77777777" w:rsidR="00523412" w:rsidRPr="0073388D" w:rsidRDefault="008B5FC7" w:rsidP="00654D96">
      <w:pPr>
        <w:pStyle w:val="COMParaDecision"/>
        <w:numPr>
          <w:ilvl w:val="0"/>
          <w:numId w:val="1"/>
        </w:numPr>
        <w:ind w:left="567" w:hanging="567"/>
        <w:rPr>
          <w:u w:val="none"/>
        </w:rPr>
      </w:pPr>
      <w:r w:rsidRPr="0073388D">
        <w:t>Invite</w:t>
      </w:r>
      <w:r w:rsidRPr="0073388D">
        <w:rPr>
          <w:u w:val="none"/>
        </w:rPr>
        <w:t xml:space="preserve"> le Secrétariat à présenter une </w:t>
      </w:r>
      <w:r w:rsidR="002F18E8" w:rsidRPr="0073388D">
        <w:rPr>
          <w:u w:val="none"/>
        </w:rPr>
        <w:t xml:space="preserve">nouvelle </w:t>
      </w:r>
      <w:r w:rsidRPr="0073388D">
        <w:rPr>
          <w:u w:val="none"/>
        </w:rPr>
        <w:t xml:space="preserve">version consolidée d’un projet de Règlement intérieur lors de sa prochaine session, en tenant compte de la nécessité d’harmoniser la terminologie et les dispositions techniques du Règlement intérieur de l’Assemblée générale de la Convention de 2003 avec les règlements intérieurs respectifs des autres conventions </w:t>
      </w:r>
      <w:r w:rsidR="002F18E8" w:rsidRPr="0073388D">
        <w:rPr>
          <w:u w:val="none"/>
        </w:rPr>
        <w:t>de l’UNESCO dans le domaine de la culture</w:t>
      </w:r>
      <w:r w:rsidRPr="0073388D">
        <w:rPr>
          <w:u w:val="none"/>
        </w:rPr>
        <w:t>.</w:t>
      </w:r>
    </w:p>
    <w:p w14:paraId="46D0769F" w14:textId="77777777" w:rsidR="000C6444" w:rsidRPr="0073388D" w:rsidRDefault="000C6444">
      <w:pPr>
        <w:spacing w:after="160" w:line="259" w:lineRule="auto"/>
        <w:rPr>
          <w:rFonts w:ascii="Arial" w:hAnsi="Arial" w:cs="Arial"/>
          <w:b/>
          <w:bCs/>
          <w:sz w:val="22"/>
          <w:szCs w:val="22"/>
        </w:rPr>
      </w:pPr>
      <w:r w:rsidRPr="0073388D">
        <w:rPr>
          <w:rFonts w:ascii="Arial" w:hAnsi="Arial" w:cs="Arial"/>
          <w:b/>
          <w:bCs/>
          <w:sz w:val="22"/>
          <w:szCs w:val="22"/>
        </w:rPr>
        <w:br w:type="page"/>
      </w:r>
    </w:p>
    <w:p w14:paraId="0EF0F8B8" w14:textId="5E8C48C4" w:rsidR="00523412" w:rsidRPr="0073388D" w:rsidRDefault="00523412" w:rsidP="004F7D97">
      <w:pPr>
        <w:spacing w:after="160" w:line="259" w:lineRule="auto"/>
        <w:rPr>
          <w:rFonts w:ascii="Arial" w:hAnsi="Arial" w:cs="Arial"/>
          <w:b/>
          <w:bCs/>
          <w:sz w:val="22"/>
          <w:szCs w:val="22"/>
        </w:rPr>
      </w:pPr>
      <w:r w:rsidRPr="0073388D">
        <w:rPr>
          <w:rFonts w:ascii="Arial" w:hAnsi="Arial" w:cs="Arial"/>
          <w:b/>
          <w:bCs/>
          <w:sz w:val="22"/>
          <w:szCs w:val="22"/>
        </w:rPr>
        <w:t>DÉCLARATION SUR BEYROUTH PAR LA HUITIÈME SESSION DE L’ASSEMBLÉE GÉNÉRALE DES ÉTATS PARTIES À LA CONVENTION POUR LA SAUVEGARDE DU PATRIMOINE CULTUREL IMMATÉRIEL</w:t>
      </w:r>
    </w:p>
    <w:p w14:paraId="4D8269A2" w14:textId="77777777" w:rsidR="00523412" w:rsidRPr="0073388D" w:rsidRDefault="00523412" w:rsidP="004F7D97">
      <w:pPr>
        <w:pStyle w:val="ListParagraph"/>
        <w:numPr>
          <w:ilvl w:val="0"/>
          <w:numId w:val="38"/>
        </w:numPr>
        <w:spacing w:after="120" w:line="252" w:lineRule="auto"/>
        <w:ind w:left="567" w:hanging="567"/>
        <w:contextualSpacing w:val="0"/>
        <w:jc w:val="both"/>
        <w:rPr>
          <w:rFonts w:ascii="Arial" w:eastAsia="DengXian" w:hAnsi="Arial" w:cs="Arial"/>
          <w:sz w:val="22"/>
          <w:szCs w:val="22"/>
          <w:lang w:eastAsia="en-US"/>
        </w:rPr>
      </w:pPr>
      <w:r w:rsidRPr="0073388D">
        <w:rPr>
          <w:rFonts w:ascii="Arial" w:eastAsia="DengXian" w:hAnsi="Arial" w:cs="Arial"/>
          <w:sz w:val="22"/>
          <w:szCs w:val="22"/>
          <w:lang w:eastAsia="en-US"/>
        </w:rPr>
        <w:t>Suite aux explosions tragiques qui ont eu lieu à Beyrouth au mois d’août de cette année, la huitième session de l’Assemblée générale de la Convention de 2003 pour la sauvegarde du patrimoine culturel immatériel (8-10 septembre 2020, Paris, siège de l’UNESCO) exprime notre profonde solidarité avec le Liban, son peuple et en particulier les détenteurs de traditions culturelles, les individus et les institutions qui sont aujourd'hui en première ligne pour la reconstruction culturelle de Beyrouth.</w:t>
      </w:r>
    </w:p>
    <w:p w14:paraId="1F1B4DEF" w14:textId="77777777" w:rsidR="00523412" w:rsidRPr="0073388D" w:rsidRDefault="00523412" w:rsidP="004F7D97">
      <w:pPr>
        <w:pStyle w:val="ListParagraph"/>
        <w:numPr>
          <w:ilvl w:val="0"/>
          <w:numId w:val="38"/>
        </w:numPr>
        <w:spacing w:after="120" w:line="252" w:lineRule="auto"/>
        <w:ind w:left="567" w:hanging="567"/>
        <w:contextualSpacing w:val="0"/>
        <w:jc w:val="both"/>
        <w:rPr>
          <w:rFonts w:ascii="Arial" w:eastAsia="DengXian" w:hAnsi="Arial" w:cs="Arial"/>
          <w:sz w:val="22"/>
          <w:szCs w:val="22"/>
          <w:lang w:eastAsia="en-US"/>
        </w:rPr>
      </w:pPr>
      <w:r w:rsidRPr="0073388D">
        <w:rPr>
          <w:rFonts w:ascii="Arial" w:eastAsia="DengXian" w:hAnsi="Arial" w:cs="Arial"/>
          <w:sz w:val="22"/>
          <w:szCs w:val="22"/>
          <w:lang w:eastAsia="en-US"/>
        </w:rPr>
        <w:t>Nous reconnaissons l’immense richesse du patrimoine culturel immatériel de Beyrouth qui fait de cette ville un centre culturel dynamique où la diversité des savoirs, traditions, artisanat, gastronomie, techniques artisanales, architecture traditionnelle, et expressions artistiques enrichissent l’humanité entière.</w:t>
      </w:r>
    </w:p>
    <w:p w14:paraId="75899ABE" w14:textId="77777777" w:rsidR="00523412" w:rsidRPr="0073388D" w:rsidRDefault="00523412" w:rsidP="004F7D97">
      <w:pPr>
        <w:pStyle w:val="ListParagraph"/>
        <w:numPr>
          <w:ilvl w:val="0"/>
          <w:numId w:val="38"/>
        </w:numPr>
        <w:spacing w:after="120" w:line="252" w:lineRule="auto"/>
        <w:ind w:left="567" w:hanging="567"/>
        <w:contextualSpacing w:val="0"/>
        <w:jc w:val="both"/>
        <w:rPr>
          <w:rFonts w:ascii="Arial" w:eastAsia="DengXian" w:hAnsi="Arial" w:cs="Arial"/>
          <w:sz w:val="22"/>
          <w:szCs w:val="22"/>
          <w:lang w:eastAsia="en-US"/>
        </w:rPr>
      </w:pPr>
      <w:r w:rsidRPr="0073388D">
        <w:rPr>
          <w:rFonts w:ascii="Arial" w:eastAsia="DengXian" w:hAnsi="Arial" w:cs="Arial"/>
          <w:sz w:val="22"/>
          <w:szCs w:val="22"/>
          <w:lang w:eastAsia="en-US"/>
        </w:rPr>
        <w:t>Nous soutenons pleinement l’initiative « Li Beirut », dans le cadre de la Convention de 2003, afin qu’elle reçoive l’attention de ses mécanismes et programmes, en particulier ceux qui visent à sauvegarder le patrimoine culturel immatériel dans les situations d’urgence.</w:t>
      </w:r>
    </w:p>
    <w:p w14:paraId="3B0271D2" w14:textId="77777777" w:rsidR="008B5FC7" w:rsidRPr="0073388D" w:rsidRDefault="00523412" w:rsidP="004F7D97">
      <w:pPr>
        <w:pStyle w:val="ListParagraph"/>
        <w:numPr>
          <w:ilvl w:val="0"/>
          <w:numId w:val="38"/>
        </w:numPr>
        <w:spacing w:after="120" w:line="252" w:lineRule="auto"/>
        <w:ind w:left="567" w:hanging="567"/>
        <w:contextualSpacing w:val="0"/>
        <w:jc w:val="both"/>
        <w:rPr>
          <w:rFonts w:eastAsia="DengXian"/>
          <w:lang w:eastAsia="en-US"/>
        </w:rPr>
      </w:pPr>
      <w:r w:rsidRPr="0073388D">
        <w:rPr>
          <w:rFonts w:ascii="Arial" w:eastAsia="DengXian" w:hAnsi="Arial" w:cs="Arial"/>
          <w:sz w:val="22"/>
          <w:szCs w:val="22"/>
          <w:lang w:eastAsia="en-US"/>
        </w:rPr>
        <w:t xml:space="preserve">Avec la solidarité et la coopération convoquées par notre Convention et nous tous, Beyrouth sera la preuve que la force du patrimoine vivant est une source illimitée de résilience qui contribue à la reconstruction de nos </w:t>
      </w:r>
      <w:r w:rsidRPr="0073388D">
        <w:rPr>
          <w:rFonts w:ascii="Arial" w:hAnsi="Arial" w:cs="Arial"/>
          <w:sz w:val="22"/>
          <w:szCs w:val="22"/>
        </w:rPr>
        <w:t>sociétés</w:t>
      </w:r>
      <w:r w:rsidRPr="0073388D">
        <w:rPr>
          <w:rFonts w:ascii="Arial" w:eastAsia="DengXian" w:hAnsi="Arial" w:cs="Arial"/>
          <w:sz w:val="22"/>
          <w:szCs w:val="22"/>
          <w:lang w:eastAsia="en-US"/>
        </w:rPr>
        <w:t>.</w:t>
      </w:r>
    </w:p>
    <w:p w14:paraId="67D5566F" w14:textId="77777777" w:rsidR="00850225" w:rsidRDefault="00850225" w:rsidP="00F41E86">
      <w:pPr>
        <w:pStyle w:val="GATitleResolution"/>
        <w:tabs>
          <w:tab w:val="clear" w:pos="567"/>
          <w:tab w:val="left" w:pos="810"/>
        </w:tabs>
        <w:ind w:left="0"/>
      </w:pPr>
    </w:p>
    <w:p w14:paraId="7E61D5A9" w14:textId="77777777" w:rsidR="00A90C86" w:rsidRPr="00DD1C15" w:rsidRDefault="00A90C86" w:rsidP="00F41E86">
      <w:pPr>
        <w:pStyle w:val="GATitleResolution"/>
        <w:tabs>
          <w:tab w:val="clear" w:pos="567"/>
          <w:tab w:val="left" w:pos="810"/>
        </w:tabs>
        <w:ind w:left="0"/>
      </w:pPr>
    </w:p>
    <w:sectPr w:rsidR="00A90C86" w:rsidRPr="00DD1C15" w:rsidSect="007A4B9A">
      <w:headerReference w:type="first" r:id="rId1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76CE" w14:textId="77777777" w:rsidR="00C8068C" w:rsidRDefault="00C8068C" w:rsidP="00A464EA">
      <w:r>
        <w:separator/>
      </w:r>
    </w:p>
  </w:endnote>
  <w:endnote w:type="continuationSeparator" w:id="0">
    <w:p w14:paraId="19732AE1" w14:textId="77777777" w:rsidR="00C8068C" w:rsidRDefault="00C8068C" w:rsidP="00A4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CD3E" w14:textId="77777777" w:rsidR="00A469EE" w:rsidRDefault="00A46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3744" w14:textId="77777777" w:rsidR="00A469EE" w:rsidRDefault="00A46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F257" w14:textId="77777777" w:rsidR="00A469EE" w:rsidRDefault="00A4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1B2E7" w14:textId="77777777" w:rsidR="00C8068C" w:rsidRDefault="00C8068C" w:rsidP="00A464EA">
      <w:r>
        <w:separator/>
      </w:r>
    </w:p>
  </w:footnote>
  <w:footnote w:type="continuationSeparator" w:id="0">
    <w:p w14:paraId="0A6049D1" w14:textId="77777777" w:rsidR="00C8068C" w:rsidRDefault="00C8068C" w:rsidP="00A464EA">
      <w:r>
        <w:continuationSeparator/>
      </w:r>
    </w:p>
  </w:footnote>
  <w:footnote w:id="1">
    <w:p w14:paraId="59A0EB74" w14:textId="77777777" w:rsidR="00C8068C" w:rsidRPr="00617C63" w:rsidRDefault="00C8068C" w:rsidP="00F04BA8">
      <w:pPr>
        <w:pStyle w:val="FootnoteText"/>
        <w:tabs>
          <w:tab w:val="left" w:pos="475"/>
          <w:tab w:val="left" w:pos="540"/>
        </w:tabs>
        <w:ind w:left="450" w:hanging="450"/>
        <w:rPr>
          <w:rFonts w:cs="Arial"/>
          <w:sz w:val="18"/>
          <w:szCs w:val="18"/>
        </w:rPr>
      </w:pPr>
      <w:r>
        <w:rPr>
          <w:rFonts w:cs="Arial"/>
          <w:sz w:val="18"/>
          <w:szCs w:val="18"/>
        </w:rPr>
        <w:footnoteRef/>
      </w:r>
      <w:r>
        <w:rPr>
          <w:sz w:val="18"/>
          <w:szCs w:val="18"/>
        </w:rPr>
        <w:t>.</w:t>
      </w:r>
      <w:r>
        <w:rPr>
          <w:sz w:val="18"/>
          <w:szCs w:val="18"/>
        </w:rPr>
        <w:tab/>
        <w:t>Les pourcentages sont appliqués au solde du Fonds au 31 décembre 2019. Ce solde n’inclut pas le Fonds de réserve (1 million de dollars des États-Unis).</w:t>
      </w:r>
    </w:p>
  </w:footnote>
  <w:footnote w:id="2">
    <w:p w14:paraId="0D759969" w14:textId="77777777" w:rsidR="00C8068C" w:rsidRPr="00554763" w:rsidRDefault="00C8068C" w:rsidP="00BC77D0">
      <w:pPr>
        <w:pStyle w:val="FootnoteText"/>
        <w:tabs>
          <w:tab w:val="left" w:pos="567"/>
        </w:tabs>
        <w:spacing w:before="0" w:after="0"/>
        <w:rPr>
          <w:rFonts w:cs="Arial"/>
          <w:sz w:val="18"/>
          <w:szCs w:val="18"/>
        </w:rPr>
      </w:pPr>
      <w:r w:rsidRPr="00E62D47">
        <w:rPr>
          <w:rStyle w:val="FootnoteReference"/>
          <w:rFonts w:eastAsia="MS Mincho" w:cs="Arial"/>
          <w:sz w:val="18"/>
          <w:szCs w:val="18"/>
          <w:vertAlign w:val="baseline"/>
        </w:rPr>
        <w:footnoteRef/>
      </w:r>
      <w:r w:rsidRPr="00E62D47">
        <w:rPr>
          <w:sz w:val="18"/>
          <w:szCs w:val="18"/>
        </w:rPr>
        <w:t>.</w:t>
      </w:r>
      <w:r w:rsidRPr="00554763">
        <w:rPr>
          <w:sz w:val="18"/>
          <w:szCs w:val="18"/>
        </w:rPr>
        <w:tab/>
        <w:t xml:space="preserve"> </w:t>
      </w:r>
      <w:hyperlink r:id="rId1" w:history="1">
        <w:r w:rsidRPr="00554763">
          <w:rPr>
            <w:rStyle w:val="Hyperlink"/>
            <w:sz w:val="18"/>
            <w:szCs w:val="18"/>
          </w:rPr>
          <w:t>https://unesdoc.unesco.org/ark:/48223/pf0000235186_fre</w:t>
        </w:r>
      </w:hyperlink>
      <w:r w:rsidRPr="00554763">
        <w:rPr>
          <w:sz w:val="18"/>
          <w:szCs w:val="18"/>
        </w:rPr>
        <w:t xml:space="preserve"> </w:t>
      </w:r>
    </w:p>
  </w:footnote>
  <w:footnote w:id="3">
    <w:p w14:paraId="738B0392" w14:textId="77777777" w:rsidR="00C8068C" w:rsidRPr="00554763" w:rsidRDefault="00C8068C" w:rsidP="00BC77D0">
      <w:pPr>
        <w:pStyle w:val="FootnoteText"/>
        <w:tabs>
          <w:tab w:val="left" w:pos="567"/>
        </w:tabs>
        <w:spacing w:before="0" w:after="0"/>
        <w:rPr>
          <w:rFonts w:cs="Arial"/>
          <w:sz w:val="18"/>
          <w:szCs w:val="18"/>
        </w:rPr>
      </w:pPr>
      <w:r w:rsidRPr="00E62D47">
        <w:rPr>
          <w:rStyle w:val="FootnoteReference"/>
          <w:rFonts w:eastAsia="MS Mincho" w:cs="Arial"/>
          <w:sz w:val="18"/>
          <w:szCs w:val="18"/>
          <w:vertAlign w:val="baseline"/>
        </w:rPr>
        <w:footnoteRef/>
      </w:r>
      <w:r w:rsidRPr="00E62D47">
        <w:rPr>
          <w:sz w:val="18"/>
          <w:szCs w:val="18"/>
        </w:rPr>
        <w:t>.</w:t>
      </w:r>
      <w:r w:rsidRPr="00554763">
        <w:rPr>
          <w:sz w:val="18"/>
          <w:szCs w:val="18"/>
        </w:rPr>
        <w:tab/>
        <w:t xml:space="preserve"> </w:t>
      </w:r>
      <w:hyperlink r:id="rId2" w:history="1">
        <w:r w:rsidRPr="00554763">
          <w:rPr>
            <w:rStyle w:val="Hyperlink"/>
            <w:sz w:val="18"/>
            <w:szCs w:val="18"/>
          </w:rPr>
          <w:t>https://unesdoc.unesco.org/ark:/48223/pf0000259805_fre</w:t>
        </w:r>
      </w:hyperlink>
      <w:r w:rsidRPr="00554763">
        <w:rPr>
          <w:sz w:val="18"/>
          <w:szCs w:val="18"/>
        </w:rPr>
        <w:t xml:space="preserve"> </w:t>
      </w:r>
    </w:p>
  </w:footnote>
  <w:footnote w:id="4">
    <w:p w14:paraId="3714DB3F" w14:textId="77777777" w:rsidR="00C8068C" w:rsidRPr="008709A2" w:rsidRDefault="00C8068C" w:rsidP="00E62D47">
      <w:pPr>
        <w:pStyle w:val="FootnoteText"/>
        <w:tabs>
          <w:tab w:val="left" w:pos="567"/>
        </w:tabs>
        <w:spacing w:before="0" w:after="0"/>
        <w:rPr>
          <w:rFonts w:cs="Arial"/>
          <w:sz w:val="18"/>
          <w:szCs w:val="18"/>
        </w:rPr>
      </w:pPr>
      <w:r w:rsidRPr="00717B27">
        <w:rPr>
          <w:rStyle w:val="FootnoteReference"/>
          <w:rFonts w:eastAsia="MS Mincho" w:cs="Arial"/>
          <w:sz w:val="18"/>
          <w:szCs w:val="18"/>
          <w:vertAlign w:val="baseline"/>
        </w:rPr>
        <w:footnoteRef/>
      </w:r>
      <w:r w:rsidRPr="00554763">
        <w:rPr>
          <w:sz w:val="18"/>
          <w:szCs w:val="18"/>
        </w:rPr>
        <w:t>.</w:t>
      </w:r>
      <w:r w:rsidRPr="00554763">
        <w:rPr>
          <w:sz w:val="18"/>
          <w:szCs w:val="18"/>
        </w:rPr>
        <w:tab/>
        <w:t xml:space="preserve"> </w:t>
      </w:r>
      <w:hyperlink r:id="rId3" w:history="1">
        <w:r w:rsidRPr="008709A2">
          <w:rPr>
            <w:rStyle w:val="Hyperlink"/>
            <w:sz w:val="18"/>
            <w:szCs w:val="18"/>
          </w:rPr>
          <w:t>https://ich.unesco.org/doc/src/ICH-Operational_Directives-7.GA-PDF-FR.pdf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5C6B" w14:textId="60F9DBEB" w:rsidR="00C8068C" w:rsidRDefault="00C8068C" w:rsidP="006E6BE0">
    <w:pPr>
      <w:pStyle w:val="Header"/>
    </w:pPr>
    <w:r>
      <w:rPr>
        <w:rFonts w:ascii="Arial" w:hAnsi="Arial"/>
        <w:sz w:val="20"/>
        <w:szCs w:val="20"/>
      </w:rPr>
      <w:t>LHE/20/8.GA/</w:t>
    </w:r>
    <w:r w:rsidRPr="00D70BE7">
      <w:rPr>
        <w:rFonts w:ascii="Arial" w:hAnsi="Arial"/>
        <w:sz w:val="20"/>
        <w:szCs w:val="20"/>
      </w:rPr>
      <w:t>Résolutions</w:t>
    </w:r>
    <w:r>
      <w:rPr>
        <w:rFonts w:ascii="Arial" w:hAnsi="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sz w:val="20"/>
        <w:szCs w:val="20"/>
      </w:rPr>
      <w:t>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3949" w14:textId="1D99AD0B" w:rsidR="00C8068C" w:rsidRDefault="00C8068C" w:rsidP="006E6BE0">
    <w:pPr>
      <w:pStyle w:val="Header"/>
      <w:jc w:val="right"/>
    </w:pPr>
    <w:r>
      <w:rPr>
        <w:rFonts w:ascii="Arial" w:hAnsi="Arial"/>
        <w:sz w:val="20"/>
        <w:szCs w:val="20"/>
      </w:rPr>
      <w:t>LHE</w:t>
    </w:r>
    <w:r w:rsidRPr="00A82031">
      <w:rPr>
        <w:rFonts w:ascii="Arial" w:hAnsi="Arial"/>
        <w:sz w:val="20"/>
        <w:szCs w:val="20"/>
      </w:rPr>
      <w:t>/</w:t>
    </w:r>
    <w:r>
      <w:rPr>
        <w:rFonts w:ascii="Arial" w:hAnsi="Arial"/>
        <w:sz w:val="20"/>
        <w:szCs w:val="20"/>
      </w:rPr>
      <w:t>20</w:t>
    </w:r>
    <w:r w:rsidRPr="00A82031">
      <w:rPr>
        <w:rFonts w:ascii="Arial" w:hAnsi="Arial"/>
        <w:sz w:val="20"/>
        <w:szCs w:val="20"/>
      </w:rPr>
      <w:t>/</w:t>
    </w:r>
    <w:r>
      <w:rPr>
        <w:rFonts w:ascii="Arial" w:hAnsi="Arial"/>
        <w:sz w:val="20"/>
        <w:szCs w:val="20"/>
      </w:rPr>
      <w:t>8</w:t>
    </w:r>
    <w:r w:rsidRPr="00A82031">
      <w:rPr>
        <w:rFonts w:ascii="Arial" w:hAnsi="Arial"/>
        <w:sz w:val="20"/>
        <w:szCs w:val="20"/>
      </w:rPr>
      <w:t xml:space="preserve">.GA/Résolutions – page </w:t>
    </w:r>
    <w:r w:rsidRPr="00A82031">
      <w:rPr>
        <w:rStyle w:val="PageNumber"/>
        <w:rFonts w:ascii="Arial" w:hAnsi="Arial" w:cs="Arial"/>
        <w:sz w:val="20"/>
        <w:szCs w:val="20"/>
      </w:rPr>
      <w:fldChar w:fldCharType="begin"/>
    </w:r>
    <w:r w:rsidRPr="00A82031">
      <w:rPr>
        <w:rStyle w:val="PageNumber"/>
        <w:rFonts w:ascii="Arial" w:hAnsi="Arial" w:cs="Arial"/>
        <w:sz w:val="20"/>
        <w:szCs w:val="20"/>
      </w:rPr>
      <w:instrText xml:space="preserve"> PAGE </w:instrText>
    </w:r>
    <w:r w:rsidRPr="00A82031">
      <w:rPr>
        <w:rStyle w:val="PageNumber"/>
        <w:rFonts w:ascii="Arial" w:hAnsi="Arial" w:cs="Arial"/>
        <w:sz w:val="20"/>
        <w:szCs w:val="20"/>
      </w:rPr>
      <w:fldChar w:fldCharType="separate"/>
    </w:r>
    <w:r>
      <w:rPr>
        <w:rStyle w:val="PageNumber"/>
        <w:rFonts w:ascii="Arial" w:hAnsi="Arial" w:cs="Arial"/>
        <w:sz w:val="20"/>
        <w:szCs w:val="20"/>
      </w:rPr>
      <w:t>3</w:t>
    </w:r>
    <w:r w:rsidRPr="00A82031">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4C0F" w14:textId="77777777" w:rsidR="00C8068C" w:rsidRPr="00A464EA" w:rsidRDefault="00C8068C" w:rsidP="00A464EA">
    <w:pPr>
      <w:tabs>
        <w:tab w:val="center" w:pos="4536"/>
        <w:tab w:val="right" w:pos="9072"/>
      </w:tabs>
      <w:spacing w:after="520"/>
      <w:jc w:val="right"/>
      <w:rPr>
        <w:rFonts w:ascii="Arial" w:hAnsi="Arial" w:cs="Arial"/>
        <w:b/>
        <w:sz w:val="44"/>
        <w:szCs w:val="44"/>
        <w:lang w:val="nl-NL"/>
      </w:rPr>
    </w:pPr>
    <w:r>
      <w:rPr>
        <w:noProof/>
        <w:lang w:val="en-US" w:eastAsia="ko-KR"/>
      </w:rPr>
      <w:drawing>
        <wp:anchor distT="0" distB="0" distL="114300" distR="114300" simplePos="0" relativeHeight="251661312" behindDoc="0" locked="0" layoutInCell="1" allowOverlap="1" wp14:anchorId="7AC33EE8" wp14:editId="2F513667">
          <wp:simplePos x="0" y="0"/>
          <wp:positionH relativeFrom="page">
            <wp:posOffset>344143</wp:posOffset>
          </wp:positionH>
          <wp:positionV relativeFrom="page">
            <wp:posOffset>258114</wp:posOffset>
          </wp:positionV>
          <wp:extent cx="2037600" cy="1530000"/>
          <wp:effectExtent l="0" t="0" r="1270" b="0"/>
          <wp:wrapNone/>
          <wp:docPr id="4" name="Picture 4"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44"/>
        <w:szCs w:val="44"/>
        <w:lang w:val="nl-NL"/>
      </w:rPr>
      <w:t>8</w:t>
    </w:r>
    <w:r w:rsidRPr="00A464EA">
      <w:rPr>
        <w:rFonts w:ascii="Arial" w:hAnsi="Arial"/>
        <w:b/>
        <w:sz w:val="44"/>
        <w:szCs w:val="44"/>
        <w:lang w:val="nl-NL"/>
      </w:rPr>
      <w:t> GA</w:t>
    </w:r>
  </w:p>
  <w:p w14:paraId="7B93CC10" w14:textId="77777777" w:rsidR="00C8068C" w:rsidRPr="00A464EA" w:rsidRDefault="00C8068C" w:rsidP="00A464EA">
    <w:pPr>
      <w:jc w:val="right"/>
      <w:rPr>
        <w:rFonts w:ascii="Arial" w:hAnsi="Arial" w:cs="Arial"/>
        <w:b/>
      </w:rPr>
    </w:pPr>
    <w:r>
      <w:rPr>
        <w:rFonts w:ascii="Arial" w:hAnsi="Arial"/>
        <w:b/>
      </w:rPr>
      <w:t>LHE</w:t>
    </w:r>
    <w:r w:rsidRPr="00A464EA">
      <w:rPr>
        <w:rFonts w:ascii="Arial" w:hAnsi="Arial"/>
        <w:b/>
      </w:rPr>
      <w:t>/</w:t>
    </w:r>
    <w:r>
      <w:rPr>
        <w:rFonts w:ascii="Arial" w:hAnsi="Arial"/>
        <w:b/>
      </w:rPr>
      <w:t>20</w:t>
    </w:r>
    <w:r w:rsidRPr="00A464EA">
      <w:rPr>
        <w:rFonts w:ascii="Arial" w:hAnsi="Arial"/>
        <w:b/>
      </w:rPr>
      <w:t>/</w:t>
    </w:r>
    <w:r>
      <w:rPr>
        <w:rFonts w:ascii="Arial" w:hAnsi="Arial"/>
        <w:b/>
      </w:rPr>
      <w:t>8</w:t>
    </w:r>
    <w:r w:rsidRPr="00A464EA">
      <w:rPr>
        <w:rFonts w:ascii="Arial" w:hAnsi="Arial"/>
        <w:b/>
      </w:rPr>
      <w:t>.GA/Résolutions</w:t>
    </w:r>
  </w:p>
  <w:p w14:paraId="70088250" w14:textId="335F2FE4" w:rsidR="00C8068C" w:rsidRPr="00A464EA" w:rsidRDefault="00C8068C" w:rsidP="00A464EA">
    <w:pPr>
      <w:jc w:val="right"/>
      <w:rPr>
        <w:rFonts w:ascii="Arial" w:hAnsi="Arial" w:cs="Arial"/>
        <w:b/>
      </w:rPr>
    </w:pPr>
    <w:r w:rsidRPr="00A464EA">
      <w:rPr>
        <w:rFonts w:ascii="Arial" w:hAnsi="Arial"/>
        <w:b/>
      </w:rPr>
      <w:t xml:space="preserve">Paris, le </w:t>
    </w:r>
    <w:r w:rsidR="00A469EE">
      <w:rPr>
        <w:rFonts w:ascii="Arial" w:hAnsi="Arial"/>
        <w:b/>
      </w:rPr>
      <w:t>23</w:t>
    </w:r>
    <w:r w:rsidRPr="004F7D97">
      <w:rPr>
        <w:rFonts w:ascii="Arial" w:hAnsi="Arial"/>
        <w:b/>
      </w:rPr>
      <w:t> septembre 2020</w:t>
    </w:r>
  </w:p>
  <w:p w14:paraId="117C24B0" w14:textId="77777777" w:rsidR="00C8068C" w:rsidRPr="00A464EA" w:rsidRDefault="00C8068C" w:rsidP="00A464EA">
    <w:pPr>
      <w:jc w:val="right"/>
      <w:rPr>
        <w:rFonts w:ascii="Arial" w:hAnsi="Arial" w:cs="Arial"/>
        <w:b/>
      </w:rPr>
    </w:pPr>
    <w:r w:rsidRPr="00A464EA">
      <w:rPr>
        <w:rFonts w:ascii="Arial" w:hAnsi="Arial"/>
        <w:b/>
      </w:rPr>
      <w:t>Original : anglais/français</w:t>
    </w:r>
  </w:p>
  <w:p w14:paraId="62981D85" w14:textId="77777777" w:rsidR="00C8068C" w:rsidRPr="00A464EA" w:rsidRDefault="00C80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06AC" w14:textId="77777777" w:rsidR="00C8068C" w:rsidRPr="00A82031" w:rsidRDefault="00C8068C" w:rsidP="00F04BA8">
    <w:pPr>
      <w:pStyle w:val="Header"/>
      <w:rPr>
        <w:rFonts w:ascii="Arial" w:hAnsi="Arial" w:cs="Arial"/>
        <w:sz w:val="20"/>
        <w:szCs w:val="20"/>
      </w:rPr>
    </w:pPr>
    <w:r>
      <w:rPr>
        <w:rFonts w:ascii="Arial" w:hAnsi="Arial"/>
        <w:sz w:val="20"/>
        <w:szCs w:val="20"/>
      </w:rPr>
      <w:t>LHE</w:t>
    </w:r>
    <w:r w:rsidRPr="00A82031">
      <w:rPr>
        <w:rFonts w:ascii="Arial" w:hAnsi="Arial"/>
        <w:sz w:val="20"/>
        <w:szCs w:val="20"/>
      </w:rPr>
      <w:t>/</w:t>
    </w:r>
    <w:r>
      <w:rPr>
        <w:rFonts w:ascii="Arial" w:hAnsi="Arial"/>
        <w:sz w:val="20"/>
        <w:szCs w:val="20"/>
      </w:rPr>
      <w:t>20</w:t>
    </w:r>
    <w:r w:rsidRPr="00A82031">
      <w:rPr>
        <w:rFonts w:ascii="Arial" w:hAnsi="Arial"/>
        <w:sz w:val="20"/>
        <w:szCs w:val="20"/>
      </w:rPr>
      <w:t>/</w:t>
    </w:r>
    <w:r>
      <w:rPr>
        <w:rFonts w:ascii="Arial" w:hAnsi="Arial"/>
        <w:sz w:val="20"/>
        <w:szCs w:val="20"/>
      </w:rPr>
      <w:t>8</w:t>
    </w:r>
    <w:r w:rsidRPr="00A82031">
      <w:rPr>
        <w:rFonts w:ascii="Arial" w:hAnsi="Arial"/>
        <w:sz w:val="20"/>
        <w:szCs w:val="20"/>
      </w:rPr>
      <w:t xml:space="preserve">.GA/Résolutions – page </w:t>
    </w:r>
    <w:r w:rsidRPr="00A82031">
      <w:rPr>
        <w:rStyle w:val="PageNumber"/>
        <w:rFonts w:ascii="Arial" w:hAnsi="Arial" w:cs="Arial"/>
        <w:sz w:val="20"/>
        <w:szCs w:val="20"/>
      </w:rPr>
      <w:fldChar w:fldCharType="begin"/>
    </w:r>
    <w:r w:rsidRPr="00A82031">
      <w:rPr>
        <w:rStyle w:val="PageNumber"/>
        <w:rFonts w:ascii="Arial" w:hAnsi="Arial" w:cs="Arial"/>
        <w:sz w:val="20"/>
        <w:szCs w:val="20"/>
      </w:rPr>
      <w:instrText xml:space="preserve"> PAGE </w:instrText>
    </w:r>
    <w:r w:rsidRPr="00A82031">
      <w:rPr>
        <w:rStyle w:val="PageNumber"/>
        <w:rFonts w:ascii="Arial" w:hAnsi="Arial" w:cs="Arial"/>
        <w:sz w:val="20"/>
        <w:szCs w:val="20"/>
      </w:rPr>
      <w:fldChar w:fldCharType="separate"/>
    </w:r>
    <w:r>
      <w:rPr>
        <w:rStyle w:val="PageNumber"/>
        <w:rFonts w:ascii="Arial" w:hAnsi="Arial" w:cs="Arial"/>
        <w:sz w:val="20"/>
        <w:szCs w:val="20"/>
      </w:rPr>
      <w:t>9</w:t>
    </w:r>
    <w:r w:rsidRPr="00A82031">
      <w:rPr>
        <w:rStyle w:val="PageNumber"/>
        <w:rFonts w:ascii="Arial" w:hAnsi="Arial" w:cs="Arial"/>
        <w:sz w:val="20"/>
        <w:szCs w:val="20"/>
      </w:rPr>
      <w:fldChar w:fldCharType="end"/>
    </w:r>
  </w:p>
  <w:p w14:paraId="074DDB84" w14:textId="77777777" w:rsidR="00C8068C" w:rsidRPr="00A464EA" w:rsidRDefault="00C8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76249"/>
    <w:multiLevelType w:val="hybridMultilevel"/>
    <w:tmpl w:val="A240EED6"/>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F07BFE"/>
    <w:multiLevelType w:val="hybridMultilevel"/>
    <w:tmpl w:val="1A1C2972"/>
    <w:lvl w:ilvl="0" w:tplc="6FB8652A">
      <w:start w:val="1"/>
      <w:numFmt w:val="decimal"/>
      <w:pStyle w:val="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A4DB1"/>
    <w:multiLevelType w:val="hybridMultilevel"/>
    <w:tmpl w:val="9E6E4B2E"/>
    <w:lvl w:ilvl="0" w:tplc="B35A244C">
      <w:start w:val="1"/>
      <w:numFmt w:val="decimal"/>
      <w:pStyle w:val="GAParaResolut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59863407"/>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23D7EA8"/>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6"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7"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779F67AD"/>
    <w:multiLevelType w:val="hybridMultilevel"/>
    <w:tmpl w:val="A240EED6"/>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266361"/>
    <w:multiLevelType w:val="hybridMultilevel"/>
    <w:tmpl w:val="C6F2F036"/>
    <w:lvl w:ilvl="0" w:tplc="C8945AB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num>
  <w:num w:numId="7">
    <w:abstractNumId w:val="9"/>
    <w:lvlOverride w:ilvl="0">
      <w:startOverride w:val="1"/>
    </w:lvlOverride>
  </w:num>
  <w:num w:numId="8">
    <w:abstractNumId w:val="9"/>
  </w:num>
  <w:num w:numId="9">
    <w:abstractNumId w:val="9"/>
    <w:lvlOverride w:ilvl="0">
      <w:startOverride w:val="1"/>
    </w:lvlOverride>
  </w:num>
  <w:num w:numId="10">
    <w:abstractNumId w:val="4"/>
  </w:num>
  <w:num w:numId="11">
    <w:abstractNumId w:val="15"/>
  </w:num>
  <w:num w:numId="12">
    <w:abstractNumId w:val="2"/>
  </w:num>
  <w:num w:numId="13">
    <w:abstractNumId w:val="10"/>
  </w:num>
  <w:num w:numId="14">
    <w:abstractNumId w:val="16"/>
  </w:num>
  <w:num w:numId="15">
    <w:abstractNumId w:val="19"/>
  </w:num>
  <w:num w:numId="16">
    <w:abstractNumId w:val="13"/>
  </w:num>
  <w:num w:numId="17">
    <w:abstractNumId w:val="9"/>
    <w:lvlOverride w:ilvl="0">
      <w:startOverride w:val="1"/>
    </w:lvlOverride>
  </w:num>
  <w:num w:numId="18">
    <w:abstractNumId w:val="12"/>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17"/>
  </w:num>
  <w:num w:numId="25">
    <w:abstractNumId w:val="6"/>
  </w:num>
  <w:num w:numId="26">
    <w:abstractNumId w:val="11"/>
  </w:num>
  <w:num w:numId="27">
    <w:abstractNumId w:val="3"/>
  </w:num>
  <w:num w:numId="28">
    <w:abstractNumId w:val="18"/>
  </w:num>
  <w:num w:numId="29">
    <w:abstractNumId w:val="7"/>
  </w:num>
  <w:num w:numId="30">
    <w:abstractNumId w:val="0"/>
  </w:num>
  <w:num w:numId="31">
    <w:abstractNumId w:val="1"/>
  </w:num>
  <w:num w:numId="32">
    <w:abstractNumId w:val="5"/>
  </w:num>
  <w:num w:numId="33">
    <w:abstractNumId w:val="8"/>
  </w:num>
  <w:num w:numId="34">
    <w:abstractNumId w:val="9"/>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94"/>
    <w:rsid w:val="0002579C"/>
    <w:rsid w:val="00040147"/>
    <w:rsid w:val="00055BB4"/>
    <w:rsid w:val="00070C96"/>
    <w:rsid w:val="00071564"/>
    <w:rsid w:val="000751D4"/>
    <w:rsid w:val="00086BF2"/>
    <w:rsid w:val="000C6444"/>
    <w:rsid w:val="000D1DFC"/>
    <w:rsid w:val="000D7A5B"/>
    <w:rsid w:val="000E4683"/>
    <w:rsid w:val="00102A64"/>
    <w:rsid w:val="001604D6"/>
    <w:rsid w:val="00165857"/>
    <w:rsid w:val="00182A94"/>
    <w:rsid w:val="001C403F"/>
    <w:rsid w:val="001C59CB"/>
    <w:rsid w:val="001D4065"/>
    <w:rsid w:val="00204DF0"/>
    <w:rsid w:val="00207917"/>
    <w:rsid w:val="002636C1"/>
    <w:rsid w:val="00273DAF"/>
    <w:rsid w:val="0029398E"/>
    <w:rsid w:val="002A2B0F"/>
    <w:rsid w:val="002F18E8"/>
    <w:rsid w:val="00354650"/>
    <w:rsid w:val="00387AF8"/>
    <w:rsid w:val="00397FF6"/>
    <w:rsid w:val="003A7F25"/>
    <w:rsid w:val="003F5033"/>
    <w:rsid w:val="00401C16"/>
    <w:rsid w:val="00406097"/>
    <w:rsid w:val="00410D37"/>
    <w:rsid w:val="004478BB"/>
    <w:rsid w:val="004518C1"/>
    <w:rsid w:val="004B6388"/>
    <w:rsid w:val="004D656E"/>
    <w:rsid w:val="004F7D97"/>
    <w:rsid w:val="00523412"/>
    <w:rsid w:val="00554763"/>
    <w:rsid w:val="00563DA0"/>
    <w:rsid w:val="00573CE4"/>
    <w:rsid w:val="00582376"/>
    <w:rsid w:val="005C7DB0"/>
    <w:rsid w:val="00630A90"/>
    <w:rsid w:val="00644469"/>
    <w:rsid w:val="00654D96"/>
    <w:rsid w:val="006861CF"/>
    <w:rsid w:val="006C6545"/>
    <w:rsid w:val="006E6BE0"/>
    <w:rsid w:val="006F2BFE"/>
    <w:rsid w:val="00713DBD"/>
    <w:rsid w:val="007162C3"/>
    <w:rsid w:val="00716467"/>
    <w:rsid w:val="00717B27"/>
    <w:rsid w:val="00730A2E"/>
    <w:rsid w:val="0073388D"/>
    <w:rsid w:val="007530CE"/>
    <w:rsid w:val="007A2E44"/>
    <w:rsid w:val="007A4B9A"/>
    <w:rsid w:val="007B1E63"/>
    <w:rsid w:val="007B3B44"/>
    <w:rsid w:val="007E35BF"/>
    <w:rsid w:val="008317BE"/>
    <w:rsid w:val="0084247A"/>
    <w:rsid w:val="00850225"/>
    <w:rsid w:val="00872FD3"/>
    <w:rsid w:val="008B5FC7"/>
    <w:rsid w:val="008F73C0"/>
    <w:rsid w:val="009332E1"/>
    <w:rsid w:val="0094283C"/>
    <w:rsid w:val="00947200"/>
    <w:rsid w:val="00951F68"/>
    <w:rsid w:val="00995C66"/>
    <w:rsid w:val="009C598C"/>
    <w:rsid w:val="00A17227"/>
    <w:rsid w:val="00A21676"/>
    <w:rsid w:val="00A46097"/>
    <w:rsid w:val="00A464EA"/>
    <w:rsid w:val="00A469EE"/>
    <w:rsid w:val="00A615C3"/>
    <w:rsid w:val="00A90C86"/>
    <w:rsid w:val="00A92E30"/>
    <w:rsid w:val="00A95DFC"/>
    <w:rsid w:val="00AC17EB"/>
    <w:rsid w:val="00AD68FA"/>
    <w:rsid w:val="00B11217"/>
    <w:rsid w:val="00B5643E"/>
    <w:rsid w:val="00B830FE"/>
    <w:rsid w:val="00BC77D0"/>
    <w:rsid w:val="00BD755E"/>
    <w:rsid w:val="00C16BC5"/>
    <w:rsid w:val="00C27AB5"/>
    <w:rsid w:val="00C27D2E"/>
    <w:rsid w:val="00C30D09"/>
    <w:rsid w:val="00C71838"/>
    <w:rsid w:val="00C72D70"/>
    <w:rsid w:val="00C8068C"/>
    <w:rsid w:val="00C93439"/>
    <w:rsid w:val="00CA129F"/>
    <w:rsid w:val="00CC0EC7"/>
    <w:rsid w:val="00CC257F"/>
    <w:rsid w:val="00CD2D87"/>
    <w:rsid w:val="00CE63DB"/>
    <w:rsid w:val="00CE6C7F"/>
    <w:rsid w:val="00CE7D5A"/>
    <w:rsid w:val="00D214B6"/>
    <w:rsid w:val="00D61C13"/>
    <w:rsid w:val="00D718F7"/>
    <w:rsid w:val="00DD0362"/>
    <w:rsid w:val="00DD1C15"/>
    <w:rsid w:val="00E0211B"/>
    <w:rsid w:val="00E2436D"/>
    <w:rsid w:val="00E46D31"/>
    <w:rsid w:val="00E62D47"/>
    <w:rsid w:val="00EB3C34"/>
    <w:rsid w:val="00EC3864"/>
    <w:rsid w:val="00EC6E45"/>
    <w:rsid w:val="00F025AD"/>
    <w:rsid w:val="00F04BA8"/>
    <w:rsid w:val="00F14003"/>
    <w:rsid w:val="00F148BF"/>
    <w:rsid w:val="00F2002E"/>
    <w:rsid w:val="00F41E86"/>
    <w:rsid w:val="00FA4D92"/>
    <w:rsid w:val="00FC0E64"/>
    <w:rsid w:val="00FC2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2434657"/>
  <w15:chartTrackingRefBased/>
  <w15:docId w15:val="{71007899-5DD3-4250-BBB7-C14DFE5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64EA"/>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64EA"/>
    <w:pPr>
      <w:tabs>
        <w:tab w:val="center" w:pos="4680"/>
        <w:tab w:val="right" w:pos="9360"/>
      </w:tabs>
    </w:pPr>
  </w:style>
  <w:style w:type="character" w:customStyle="1" w:styleId="HeaderChar">
    <w:name w:val="Header Char"/>
    <w:basedOn w:val="DefaultParagraphFont"/>
    <w:link w:val="Header"/>
    <w:rsid w:val="00A464EA"/>
  </w:style>
  <w:style w:type="paragraph" w:styleId="Footer">
    <w:name w:val="footer"/>
    <w:basedOn w:val="Normal"/>
    <w:link w:val="FooterChar"/>
    <w:uiPriority w:val="99"/>
    <w:unhideWhenUsed/>
    <w:rsid w:val="00A464EA"/>
    <w:pPr>
      <w:tabs>
        <w:tab w:val="center" w:pos="4680"/>
        <w:tab w:val="right" w:pos="9360"/>
      </w:tabs>
    </w:pPr>
  </w:style>
  <w:style w:type="character" w:customStyle="1" w:styleId="FooterChar">
    <w:name w:val="Footer Char"/>
    <w:basedOn w:val="DefaultParagraphFont"/>
    <w:link w:val="Footer"/>
    <w:uiPriority w:val="99"/>
    <w:rsid w:val="00A464EA"/>
  </w:style>
  <w:style w:type="paragraph" w:customStyle="1" w:styleId="Sansinterligne2">
    <w:name w:val="Sans interligne2"/>
    <w:uiPriority w:val="1"/>
    <w:rsid w:val="00A464EA"/>
    <w:pPr>
      <w:spacing w:after="0" w:line="240" w:lineRule="auto"/>
    </w:pPr>
    <w:rPr>
      <w:rFonts w:ascii="Times New Roman" w:eastAsia="Times New Roman" w:hAnsi="Times New Roman" w:cs="Times New Roman"/>
      <w:sz w:val="24"/>
      <w:szCs w:val="24"/>
      <w:lang w:val="fr-FR" w:eastAsia="fr-FR"/>
    </w:rPr>
  </w:style>
  <w:style w:type="character" w:styleId="PageNumber">
    <w:name w:val="page number"/>
    <w:basedOn w:val="DefaultParagraphFont"/>
    <w:semiHidden/>
    <w:rsid w:val="00A464EA"/>
  </w:style>
  <w:style w:type="paragraph" w:customStyle="1" w:styleId="GATitleResolution">
    <w:name w:val="GA Title Resolution"/>
    <w:basedOn w:val="Normal"/>
    <w:qFormat/>
    <w:rsid w:val="00DD1C15"/>
    <w:pPr>
      <w:keepNext/>
      <w:tabs>
        <w:tab w:val="left" w:pos="567"/>
      </w:tabs>
      <w:snapToGrid w:val="0"/>
      <w:spacing w:before="240" w:after="120"/>
      <w:ind w:left="567"/>
      <w:jc w:val="both"/>
    </w:pPr>
    <w:rPr>
      <w:rFonts w:ascii="Arial" w:eastAsia="SimSun" w:hAnsi="Arial" w:cs="Arial"/>
      <w:b/>
      <w:snapToGrid w:val="0"/>
      <w:sz w:val="22"/>
      <w:szCs w:val="22"/>
      <w:lang w:eastAsia="en-US"/>
    </w:rPr>
  </w:style>
  <w:style w:type="paragraph" w:customStyle="1" w:styleId="GAParaResolution">
    <w:name w:val="GA Para Resolution"/>
    <w:basedOn w:val="Normal"/>
    <w:qFormat/>
    <w:rsid w:val="00DD1C15"/>
    <w:pPr>
      <w:numPr>
        <w:numId w:val="1"/>
      </w:numPr>
      <w:autoSpaceDE w:val="0"/>
      <w:autoSpaceDN w:val="0"/>
      <w:adjustRightInd w:val="0"/>
      <w:spacing w:after="120"/>
      <w:jc w:val="both"/>
    </w:pPr>
    <w:rPr>
      <w:rFonts w:ascii="Arial" w:hAnsi="Arial" w:cs="Arial"/>
      <w:sz w:val="22"/>
      <w:szCs w:val="22"/>
      <w:u w:val="single"/>
    </w:rPr>
  </w:style>
  <w:style w:type="paragraph" w:customStyle="1" w:styleId="COMPreambulaDecision">
    <w:name w:val="COM Preambula Decision"/>
    <w:basedOn w:val="Normal"/>
    <w:qFormat/>
    <w:rsid w:val="00DD1C15"/>
    <w:pPr>
      <w:keepNext/>
      <w:tabs>
        <w:tab w:val="left" w:pos="567"/>
      </w:tabs>
      <w:snapToGrid w:val="0"/>
      <w:spacing w:after="120"/>
      <w:ind w:left="567"/>
      <w:jc w:val="both"/>
    </w:pPr>
    <w:rPr>
      <w:rFonts w:ascii="Arial" w:eastAsia="SimSun" w:hAnsi="Arial" w:cs="Arial"/>
      <w:snapToGrid w:val="0"/>
      <w:sz w:val="22"/>
      <w:szCs w:val="22"/>
      <w:lang w:eastAsia="en-US"/>
    </w:rPr>
  </w:style>
  <w:style w:type="paragraph" w:customStyle="1" w:styleId="COMParaDecision">
    <w:name w:val="COM Para Decision"/>
    <w:basedOn w:val="Normal"/>
    <w:uiPriority w:val="99"/>
    <w:qFormat/>
    <w:rsid w:val="00DD1C15"/>
    <w:pPr>
      <w:autoSpaceDE w:val="0"/>
      <w:autoSpaceDN w:val="0"/>
      <w:adjustRightInd w:val="0"/>
      <w:spacing w:after="120"/>
      <w:ind w:left="1134" w:hanging="567"/>
      <w:jc w:val="both"/>
    </w:pPr>
    <w:rPr>
      <w:rFonts w:ascii="Arial" w:hAnsi="Arial" w:cs="Arial"/>
      <w:sz w:val="22"/>
      <w:szCs w:val="22"/>
      <w:u w:val="single"/>
    </w:rPr>
  </w:style>
  <w:style w:type="character" w:styleId="Hyperlink">
    <w:name w:val="Hyperlink"/>
    <w:unhideWhenUsed/>
    <w:rsid w:val="00DD1C15"/>
    <w:rPr>
      <w:color w:val="0000FF"/>
      <w:u w:val="single"/>
      <w:lang w:val="fr-FR" w:eastAsia="fr-FR"/>
    </w:rPr>
  </w:style>
  <w:style w:type="paragraph" w:customStyle="1" w:styleId="GAPreambulaResolution">
    <w:name w:val="GA Preambula Resolution"/>
    <w:basedOn w:val="Normal"/>
    <w:qFormat/>
    <w:rsid w:val="00A95DFC"/>
    <w:pPr>
      <w:keepNext/>
      <w:spacing w:after="120"/>
      <w:ind w:left="567"/>
      <w:jc w:val="both"/>
    </w:pPr>
    <w:rPr>
      <w:rFonts w:ascii="Arial" w:hAnsi="Arial" w:cs="Arial"/>
      <w:sz w:val="22"/>
      <w:szCs w:val="22"/>
      <w:lang w:val="en-GB"/>
    </w:rPr>
  </w:style>
  <w:style w:type="paragraph" w:customStyle="1" w:styleId="COMTitleDecision">
    <w:name w:val="COM Title Decision"/>
    <w:basedOn w:val="Normal"/>
    <w:qFormat/>
    <w:rsid w:val="00A95DFC"/>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A95DFC"/>
    <w:pPr>
      <w:keepNext/>
      <w:spacing w:after="120"/>
      <w:ind w:left="567"/>
      <w:jc w:val="both"/>
    </w:pPr>
    <w:rPr>
      <w:rFonts w:ascii="Arial" w:hAnsi="Arial" w:cs="Arial"/>
      <w:sz w:val="22"/>
      <w:szCs w:val="22"/>
    </w:rPr>
  </w:style>
  <w:style w:type="paragraph" w:styleId="FootnoteText">
    <w:name w:val="footnote text"/>
    <w:basedOn w:val="Normal"/>
    <w:link w:val="FootnoteTextChar"/>
    <w:uiPriority w:val="99"/>
    <w:unhideWhenUsed/>
    <w:rsid w:val="00F04BA8"/>
    <w:pPr>
      <w:spacing w:before="60" w:after="60"/>
      <w:jc w:val="both"/>
    </w:pPr>
    <w:rPr>
      <w:rFonts w:ascii="Arial" w:hAnsi="Arial"/>
      <w:sz w:val="20"/>
      <w:szCs w:val="20"/>
    </w:rPr>
  </w:style>
  <w:style w:type="character" w:customStyle="1" w:styleId="FootnoteTextChar">
    <w:name w:val="Footnote Text Char"/>
    <w:basedOn w:val="DefaultParagraphFont"/>
    <w:link w:val="FootnoteText"/>
    <w:uiPriority w:val="99"/>
    <w:rsid w:val="00F04BA8"/>
    <w:rPr>
      <w:rFonts w:ascii="Arial" w:eastAsia="Times New Roman" w:hAnsi="Arial" w:cs="Times New Roman"/>
      <w:sz w:val="20"/>
      <w:szCs w:val="20"/>
      <w:lang w:val="fr-FR" w:eastAsia="fr-FR"/>
    </w:rPr>
  </w:style>
  <w:style w:type="character" w:styleId="FootnoteReference">
    <w:name w:val="footnote reference"/>
    <w:uiPriority w:val="99"/>
    <w:unhideWhenUsed/>
    <w:rsid w:val="00F04BA8"/>
    <w:rPr>
      <w:vertAlign w:val="superscript"/>
    </w:rPr>
  </w:style>
  <w:style w:type="table" w:styleId="TableGrid">
    <w:name w:val="Table Grid"/>
    <w:basedOn w:val="TableNormal"/>
    <w:uiPriority w:val="59"/>
    <w:rsid w:val="00F04BA8"/>
    <w:pPr>
      <w:spacing w:after="0" w:line="240" w:lineRule="auto"/>
    </w:pPr>
    <w:rPr>
      <w:rFonts w:ascii="Calibri" w:eastAsia="SimSun" w:hAnsi="Calibri" w:cs="Times New Roman"/>
      <w:sz w:val="20"/>
      <w:szCs w:val="20"/>
      <w:lang w:val="fr-FR"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List Paragraph1,Numbered List,1st level - Bullet List Paragraph,Lettre d'introduction,lp1,Farbige Liste - Akzent 11,List Paragraph compact,Paragraphe de liste 2,Reference list,Dot pt"/>
    <w:basedOn w:val="Normal"/>
    <w:link w:val="ListParagraphChar"/>
    <w:uiPriority w:val="34"/>
    <w:qFormat/>
    <w:rsid w:val="00F04BA8"/>
    <w:pPr>
      <w:ind w:left="720"/>
      <w:contextualSpacing/>
    </w:pPr>
  </w:style>
  <w:style w:type="paragraph" w:styleId="NoSpacing">
    <w:name w:val="No Spacing"/>
    <w:uiPriority w:val="1"/>
    <w:qFormat/>
    <w:rsid w:val="00F04BA8"/>
    <w:pPr>
      <w:spacing w:after="0" w:line="240" w:lineRule="auto"/>
    </w:pPr>
    <w:rPr>
      <w:rFonts w:eastAsiaTheme="minorHAnsi"/>
      <w:lang w:val="fr-FR" w:eastAsia="en-US"/>
    </w:rPr>
  </w:style>
  <w:style w:type="character" w:customStyle="1" w:styleId="ListParagraphChar">
    <w:name w:val="List Paragraph Char"/>
    <w:aliases w:val="Table of contents numbered Char,Normal bullet 2 Char,Bullet list Char,List Paragraph1 Char,Numbered List Char,1st level - Bullet List Paragraph Char,Lettre d'introduction Char,lp1 Char,Farbige Liste - Akzent 11 Char,Dot pt Char"/>
    <w:link w:val="ListParagraph"/>
    <w:uiPriority w:val="34"/>
    <w:qFormat/>
    <w:locked/>
    <w:rsid w:val="00F04BA8"/>
    <w:rPr>
      <w:rFonts w:ascii="Times New Roman" w:eastAsia="Times New Roman" w:hAnsi="Times New Roman" w:cs="Times New Roman"/>
      <w:sz w:val="24"/>
      <w:szCs w:val="24"/>
      <w:lang w:val="fr-FR" w:eastAsia="fr-FR"/>
    </w:rPr>
  </w:style>
  <w:style w:type="paragraph" w:customStyle="1" w:styleId="Marge">
    <w:name w:val="Marge"/>
    <w:basedOn w:val="Normal"/>
    <w:rsid w:val="007A4B9A"/>
    <w:pPr>
      <w:tabs>
        <w:tab w:val="left" w:pos="567"/>
      </w:tabs>
      <w:snapToGrid w:val="0"/>
      <w:spacing w:after="240"/>
      <w:jc w:val="both"/>
    </w:pPr>
    <w:rPr>
      <w:rFonts w:ascii="Arial" w:hAnsi="Arial"/>
      <w:snapToGrid w:val="0"/>
      <w:sz w:val="22"/>
      <w:lang w:eastAsia="en-US"/>
    </w:rPr>
  </w:style>
  <w:style w:type="paragraph" w:customStyle="1" w:styleId="5GAparabodytext">
    <w:name w:val="5GA para body text"/>
    <w:qFormat/>
    <w:rsid w:val="00F41E86"/>
    <w:pPr>
      <w:keepNext/>
      <w:spacing w:after="120" w:line="360" w:lineRule="auto"/>
      <w:ind w:left="720" w:hanging="360"/>
    </w:pPr>
    <w:rPr>
      <w:rFonts w:ascii="Arial" w:eastAsia="Times New Roman" w:hAnsi="Arial" w:cs="Arial"/>
      <w:snapToGrid w:val="0"/>
      <w:lang w:val="fr-FR" w:eastAsia="en-US"/>
    </w:rPr>
  </w:style>
  <w:style w:type="paragraph" w:styleId="NormalWeb">
    <w:name w:val="Normal (Web)"/>
    <w:basedOn w:val="Normal"/>
    <w:uiPriority w:val="99"/>
    <w:unhideWhenUsed/>
    <w:rsid w:val="00554763"/>
    <w:pPr>
      <w:spacing w:before="100" w:beforeAutospacing="1" w:after="100" w:afterAutospacing="1"/>
    </w:pPr>
    <w:rPr>
      <w:lang w:eastAsia="en-GB"/>
    </w:rPr>
  </w:style>
  <w:style w:type="table" w:customStyle="1" w:styleId="TableGrid2">
    <w:name w:val="Table Grid2"/>
    <w:basedOn w:val="TableNormal"/>
    <w:next w:val="TableGrid"/>
    <w:uiPriority w:val="59"/>
    <w:rsid w:val="00554763"/>
    <w:pPr>
      <w:spacing w:after="0" w:line="240" w:lineRule="auto"/>
    </w:pPr>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view">
    <w:name w:val="textview"/>
    <w:basedOn w:val="DefaultParagraphFont"/>
    <w:rsid w:val="00554763"/>
  </w:style>
  <w:style w:type="paragraph" w:customStyle="1" w:styleId="GAParabodytext">
    <w:name w:val="GA Para body text"/>
    <w:basedOn w:val="Marge"/>
    <w:qFormat/>
    <w:rsid w:val="00C71838"/>
    <w:pPr>
      <w:numPr>
        <w:numId w:val="33"/>
      </w:numPr>
      <w:spacing w:after="120"/>
      <w:ind w:left="567" w:hanging="567"/>
    </w:pPr>
    <w:rPr>
      <w:rFonts w:cs="Arial"/>
      <w:szCs w:val="22"/>
      <w:lang w:val="en-US"/>
    </w:rPr>
  </w:style>
  <w:style w:type="paragraph" w:styleId="BalloonText">
    <w:name w:val="Balloon Text"/>
    <w:basedOn w:val="Normal"/>
    <w:link w:val="BalloonTextChar"/>
    <w:uiPriority w:val="99"/>
    <w:semiHidden/>
    <w:unhideWhenUsed/>
    <w:rsid w:val="002A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B0F"/>
    <w:rPr>
      <w:rFonts w:ascii="Segoe UI" w:eastAsia="Times New Roman" w:hAnsi="Segoe UI" w:cs="Segoe UI"/>
      <w:sz w:val="18"/>
      <w:szCs w:val="18"/>
      <w:lang w:val="fr-FR" w:eastAsia="fr-FR"/>
    </w:rPr>
  </w:style>
  <w:style w:type="paragraph" w:customStyle="1" w:styleId="Annex">
    <w:name w:val="Annex"/>
    <w:basedOn w:val="Normal"/>
    <w:next w:val="Normal"/>
    <w:rsid w:val="00F2002E"/>
    <w:pPr>
      <w:pageBreakBefore/>
      <w:autoSpaceDE w:val="0"/>
      <w:autoSpaceDN w:val="0"/>
      <w:adjustRightInd w:val="0"/>
      <w:spacing w:before="360" w:after="240"/>
      <w:jc w:val="center"/>
      <w:outlineLvl w:val="0"/>
    </w:pPr>
    <w:rPr>
      <w:rFonts w:ascii="Arial" w:eastAsia="SimSun" w:hAnsi="Arial" w:cs="Arial"/>
      <w:b/>
      <w:bCs/>
      <w:sz w:val="22"/>
      <w:szCs w:val="22"/>
      <w:lang w:eastAsia="zh-CN"/>
    </w:rPr>
  </w:style>
  <w:style w:type="character" w:styleId="FollowedHyperlink">
    <w:name w:val="FollowedHyperlink"/>
    <w:basedOn w:val="DefaultParagraphFont"/>
    <w:uiPriority w:val="99"/>
    <w:semiHidden/>
    <w:unhideWhenUsed/>
    <w:rsid w:val="00CC257F"/>
    <w:rPr>
      <w:color w:val="954F72" w:themeColor="followedHyperlink"/>
      <w:u w:val="single"/>
    </w:rPr>
  </w:style>
  <w:style w:type="character" w:styleId="UnresolvedMention">
    <w:name w:val="Unresolved Mention"/>
    <w:basedOn w:val="DefaultParagraphFont"/>
    <w:uiPriority w:val="99"/>
    <w:semiHidden/>
    <w:unhideWhenUsed/>
    <w:rsid w:val="00401C16"/>
    <w:rPr>
      <w:color w:val="605E5C"/>
      <w:shd w:val="clear" w:color="auto" w:fill="E1DFDD"/>
    </w:rPr>
  </w:style>
  <w:style w:type="character" w:styleId="CommentReference">
    <w:name w:val="annotation reference"/>
    <w:basedOn w:val="DefaultParagraphFont"/>
    <w:uiPriority w:val="99"/>
    <w:semiHidden/>
    <w:unhideWhenUsed/>
    <w:rsid w:val="00A17227"/>
    <w:rPr>
      <w:sz w:val="16"/>
      <w:szCs w:val="16"/>
    </w:rPr>
  </w:style>
  <w:style w:type="paragraph" w:styleId="CommentText">
    <w:name w:val="annotation text"/>
    <w:basedOn w:val="Normal"/>
    <w:link w:val="CommentTextChar"/>
    <w:uiPriority w:val="99"/>
    <w:semiHidden/>
    <w:unhideWhenUsed/>
    <w:rsid w:val="00A17227"/>
    <w:rPr>
      <w:sz w:val="20"/>
      <w:szCs w:val="20"/>
    </w:rPr>
  </w:style>
  <w:style w:type="character" w:customStyle="1" w:styleId="CommentTextChar">
    <w:name w:val="Comment Text Char"/>
    <w:basedOn w:val="DefaultParagraphFont"/>
    <w:link w:val="CommentText"/>
    <w:uiPriority w:val="99"/>
    <w:semiHidden/>
    <w:rsid w:val="00A17227"/>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A17227"/>
    <w:rPr>
      <w:b/>
      <w:bCs/>
    </w:rPr>
  </w:style>
  <w:style w:type="character" w:customStyle="1" w:styleId="CommentSubjectChar">
    <w:name w:val="Comment Subject Char"/>
    <w:basedOn w:val="CommentTextChar"/>
    <w:link w:val="CommentSubject"/>
    <w:uiPriority w:val="99"/>
    <w:semiHidden/>
    <w:rsid w:val="00A17227"/>
    <w:rPr>
      <w:rFonts w:ascii="Times New Roman" w:eastAsia="Times New Roman" w:hAnsi="Times New Roman" w:cs="Times New Roman"/>
      <w:b/>
      <w:bCs/>
      <w:sz w:val="20"/>
      <w:szCs w:val="20"/>
      <w:lang w:val="fr-FR" w:eastAsia="fr-FR"/>
    </w:rPr>
  </w:style>
  <w:style w:type="paragraph" w:styleId="Revision">
    <w:name w:val="Revision"/>
    <w:hidden/>
    <w:uiPriority w:val="99"/>
    <w:semiHidden/>
    <w:rsid w:val="00055BB4"/>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260889_fre" TargetMode="External"/><Relationship Id="rId21" Type="http://schemas.openxmlformats.org/officeDocument/2006/relationships/hyperlink" Target="https://ich.unesco.org/doc/src/LHE-20-8.GA-6+Add.-FR.docx" TargetMode="External"/><Relationship Id="rId42" Type="http://schemas.openxmlformats.org/officeDocument/2006/relationships/hyperlink" Target="https://ich.unesco.org/doc/src/LHE-20-8.GA-12-FR.docx" TargetMode="External"/><Relationship Id="rId47" Type="http://schemas.openxmlformats.org/officeDocument/2006/relationships/hyperlink" Target="https://ich.unesco.org/fr/decisions/14.COM/15?dec=decisions&amp;ref_decision=14.COM" TargetMode="External"/><Relationship Id="rId63" Type="http://schemas.openxmlformats.org/officeDocument/2006/relationships/hyperlink" Target="https://ich.unesco.org/doc/src/45515-EN.pdf" TargetMode="External"/><Relationship Id="rId68" Type="http://schemas.openxmlformats.org/officeDocument/2006/relationships/hyperlink" Target="https://ich.unesco.org/doc/src/45520.pdf" TargetMode="External"/><Relationship Id="rId84" Type="http://schemas.openxmlformats.org/officeDocument/2006/relationships/hyperlink" Target="https://ich.unesco.org/doc/src/45531-EN.pdf" TargetMode="External"/><Relationship Id="rId89" Type="http://schemas.openxmlformats.org/officeDocument/2006/relationships/hyperlink" Target="https://ich.unesco.org/doc/src/LHE-20-8.GA-14-FR.docx" TargetMode="External"/><Relationship Id="rId2" Type="http://schemas.openxmlformats.org/officeDocument/2006/relationships/numbering" Target="numbering.xml"/><Relationship Id="rId16" Type="http://schemas.openxmlformats.org/officeDocument/2006/relationships/hyperlink" Target="https://ich.unesco.org/doc/src/LHE-20-8.GA-4-FR.docx" TargetMode="External"/><Relationship Id="rId29" Type="http://schemas.openxmlformats.org/officeDocument/2006/relationships/hyperlink" Target="https://unesdoc.unesco.org/ark:/48223/pf0000243325_fre" TargetMode="External"/><Relationship Id="rId107" Type="http://schemas.openxmlformats.org/officeDocument/2006/relationships/hyperlink" Target="https://ich.unesco.org/fr/resolutions/7.GA/13?dec=resolutions&amp;ref_decision=7.GA" TargetMode="External"/><Relationship Id="rId11" Type="http://schemas.openxmlformats.org/officeDocument/2006/relationships/footer" Target="footer2.xml"/><Relationship Id="rId24" Type="http://schemas.openxmlformats.org/officeDocument/2006/relationships/hyperlink" Target="https://ich.unesco.org/doc/src/LHE-20-8.GA-INF.7-FR.docx" TargetMode="External"/><Relationship Id="rId32" Type="http://schemas.openxmlformats.org/officeDocument/2006/relationships/hyperlink" Target="https://unesdoc.unesco.org/ark:/48223/pf0000259805?posInSet=2&amp;queryId=df3a8b4d-303b-4a77-a734-dbb85f794eb7" TargetMode="External"/><Relationship Id="rId37" Type="http://schemas.openxmlformats.org/officeDocument/2006/relationships/hyperlink" Target="https://ich.unesco.org/fr/Decisions/13.COM/6" TargetMode="External"/><Relationship Id="rId40" Type="http://schemas.openxmlformats.org/officeDocument/2006/relationships/hyperlink" Target="https://ich.unesco.org/fr/D%C3%A9cisions/13.COM/15" TargetMode="External"/><Relationship Id="rId45" Type="http://schemas.openxmlformats.org/officeDocument/2006/relationships/hyperlink" Target="https://ich.unesco.org/fr/decisions/13.COM/13?dec=decisions&amp;ref_decision=13.COM" TargetMode="External"/><Relationship Id="rId53" Type="http://schemas.openxmlformats.org/officeDocument/2006/relationships/hyperlink" Target="https://ich.unesco.org/doc/src/45486.pdf" TargetMode="External"/><Relationship Id="rId58" Type="http://schemas.openxmlformats.org/officeDocument/2006/relationships/hyperlink" Target="https://ich.unesco.org/doc/src/45499.pdf" TargetMode="External"/><Relationship Id="rId66" Type="http://schemas.openxmlformats.org/officeDocument/2006/relationships/hyperlink" Target="https://ich.unesco.org/doc/src/45518.pdf" TargetMode="External"/><Relationship Id="rId74" Type="http://schemas.openxmlformats.org/officeDocument/2006/relationships/hyperlink" Target="https://ich.unesco.org/doc/src/45525.pdf" TargetMode="External"/><Relationship Id="rId79" Type="http://schemas.openxmlformats.org/officeDocument/2006/relationships/hyperlink" Target="https://ich.unesco.org/doc/src/45527.pdf" TargetMode="External"/><Relationship Id="rId87" Type="http://schemas.openxmlformats.org/officeDocument/2006/relationships/hyperlink" Target="https://ich.unesco.org/doc/src/45533-EN.pdf" TargetMode="External"/><Relationship Id="rId102" Type="http://schemas.openxmlformats.org/officeDocument/2006/relationships/hyperlink" Target="https://ich.unesco.org/fr/resolutions/7.GA/12?dec=resolutions&amp;ref_decision=7.GA"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ch.unesco.org/doc/src/45513-EN.pdf" TargetMode="External"/><Relationship Id="rId82" Type="http://schemas.openxmlformats.org/officeDocument/2006/relationships/hyperlink" Target="https://ich.unesco.org/doc/src/45530.pdf" TargetMode="External"/><Relationship Id="rId90" Type="http://schemas.openxmlformats.org/officeDocument/2006/relationships/hyperlink" Target="https://ich.unesco.org/fr/Decisions/8.GA/4" TargetMode="External"/><Relationship Id="rId95" Type="http://schemas.openxmlformats.org/officeDocument/2006/relationships/hyperlink" Target="https://ich.unesco.org/doc/src/ITH-18-13.COM-17-FR.docx" TargetMode="External"/><Relationship Id="rId19" Type="http://schemas.openxmlformats.org/officeDocument/2006/relationships/hyperlink" Target="https://ich.unesco.org/fr/Decisions/13.COM/10.b.41" TargetMode="External"/><Relationship Id="rId14" Type="http://schemas.openxmlformats.org/officeDocument/2006/relationships/hyperlink" Target="https://ich.unesco.org/doc/src/LHE-20-8.GA-2-FR.docx" TargetMode="External"/><Relationship Id="rId22" Type="http://schemas.openxmlformats.org/officeDocument/2006/relationships/hyperlink" Target="https://ich.unesco.org/doc/src/LHE-20-8.GA-6+Add.-FR.docx" TargetMode="External"/><Relationship Id="rId27" Type="http://schemas.openxmlformats.org/officeDocument/2006/relationships/hyperlink" Target="https://ich.unesco.org/fr/Decisions/14.COM/19" TargetMode="External"/><Relationship Id="rId30" Type="http://schemas.openxmlformats.org/officeDocument/2006/relationships/hyperlink" Target="https://unesdoc.unesco.org/ark:/48223/pf0000260889_fre" TargetMode="External"/><Relationship Id="rId35" Type="http://schemas.openxmlformats.org/officeDocument/2006/relationships/hyperlink" Target="https://ich.unesco.org/doc/src/LHE-20-8.GA-11-FR.docx" TargetMode="External"/><Relationship Id="rId43" Type="http://schemas.openxmlformats.org/officeDocument/2006/relationships/hyperlink" Target="https://ich.unesco.org/fr/decisions/12.COM/13?dec=decisions&amp;ref_decision=12.COM" TargetMode="External"/><Relationship Id="rId48" Type="http://schemas.openxmlformats.org/officeDocument/2006/relationships/hyperlink" Target="https://ich.unesco.org/fr/decisions/14.COM/16?dec=decisions&amp;ref_decision=14.COM" TargetMode="External"/><Relationship Id="rId56" Type="http://schemas.openxmlformats.org/officeDocument/2006/relationships/hyperlink" Target="https://ich.unesco.org/doc/src/42674-FR.pdf" TargetMode="External"/><Relationship Id="rId64" Type="http://schemas.openxmlformats.org/officeDocument/2006/relationships/hyperlink" Target="https://ich.unesco.org/doc/src/45516-FR.pdf" TargetMode="External"/><Relationship Id="rId69" Type="http://schemas.openxmlformats.org/officeDocument/2006/relationships/hyperlink" Target="https://ich.unesco.org/doc/src/43083.pdf" TargetMode="External"/><Relationship Id="rId77" Type="http://schemas.openxmlformats.org/officeDocument/2006/relationships/hyperlink" Target="https://ich.unesco.org/doc/src/43093.pdf" TargetMode="External"/><Relationship Id="rId100" Type="http://schemas.openxmlformats.org/officeDocument/2006/relationships/hyperlink" Target="https://ich.unesco.org/fr/decisions/13.COM/17?dec=decisions&amp;ref_decision=13.COM" TargetMode="External"/><Relationship Id="rId105" Type="http://schemas.openxmlformats.org/officeDocument/2006/relationships/hyperlink" Target="https://en.unesco.org/sites/default/files/39c-res87-governance-fre.pdf" TargetMode="External"/><Relationship Id="rId8" Type="http://schemas.openxmlformats.org/officeDocument/2006/relationships/header" Target="header1.xml"/><Relationship Id="rId51" Type="http://schemas.openxmlformats.org/officeDocument/2006/relationships/hyperlink" Target="https://ich.unesco.org/doc/src/LHE-20-8.GA-13-FR.docx" TargetMode="External"/><Relationship Id="rId72" Type="http://schemas.openxmlformats.org/officeDocument/2006/relationships/hyperlink" Target="https://ich.unesco.org/doc/src/45523-FR.pdf" TargetMode="External"/><Relationship Id="rId80" Type="http://schemas.openxmlformats.org/officeDocument/2006/relationships/hyperlink" Target="https://ich.unesco.org/doc/src/45528.pdf" TargetMode="External"/><Relationship Id="rId85" Type="http://schemas.openxmlformats.org/officeDocument/2006/relationships/hyperlink" Target="https://ich.unesco.org/doc/src/42719-EN.pdf" TargetMode="External"/><Relationship Id="rId93" Type="http://schemas.openxmlformats.org/officeDocument/2006/relationships/hyperlink" Target="https://ich.unesco.org/doc/src/LHE-20-8.GA-8-FR.docx" TargetMode="External"/><Relationship Id="rId98" Type="http://schemas.openxmlformats.org/officeDocument/2006/relationships/hyperlink" Target="https://ich.unesco.org/doc/src/ITH-18-7.GA-12-FR.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ch.unesco.org/fr/R%C3%A9solutions/3.GA/12" TargetMode="External"/><Relationship Id="rId25" Type="http://schemas.openxmlformats.org/officeDocument/2006/relationships/hyperlink" Target="https://ich.unesco.org/doc/src/LHE-20-8.GA-8-FR.docx" TargetMode="External"/><Relationship Id="rId33" Type="http://schemas.openxmlformats.org/officeDocument/2006/relationships/hyperlink" Target="https://ich.unesco.org/doc/src/ICH-Operational_Directives-7.GA-PDF-FR.pdf" TargetMode="External"/><Relationship Id="rId38" Type="http://schemas.openxmlformats.org/officeDocument/2006/relationships/hyperlink" Target="https://ich.unesco.org/fr/Decisions/13.COM/10" TargetMode="External"/><Relationship Id="rId46" Type="http://schemas.openxmlformats.org/officeDocument/2006/relationships/hyperlink" Target="https://ich.unesco.org/fr/decisions/13.COM/16?dec=decisions&amp;ref_decision=13.COM" TargetMode="External"/><Relationship Id="rId59" Type="http://schemas.openxmlformats.org/officeDocument/2006/relationships/hyperlink" Target="https://ich.unesco.org/doc/src/45510.pdf" TargetMode="External"/><Relationship Id="rId67" Type="http://schemas.openxmlformats.org/officeDocument/2006/relationships/hyperlink" Target="https://ich.unesco.org/doc/src/45519.pdf" TargetMode="External"/><Relationship Id="rId103" Type="http://schemas.openxmlformats.org/officeDocument/2006/relationships/hyperlink" Target="https://ich.unesco.org/fr/resolutions/7.GA/13?dec=resolutions&amp;ref_decision=7.GA" TargetMode="External"/><Relationship Id="rId108" Type="http://schemas.openxmlformats.org/officeDocument/2006/relationships/header" Target="header4.xml"/><Relationship Id="rId20" Type="http://schemas.openxmlformats.org/officeDocument/2006/relationships/hyperlink" Target="https://ich.unesco.org/fr/Decisions/14.COM/12" TargetMode="External"/><Relationship Id="rId41" Type="http://schemas.openxmlformats.org/officeDocument/2006/relationships/hyperlink" Target="https://ich.unesco.org/fr/D%C3%A9cisions/14.COM/14" TargetMode="External"/><Relationship Id="rId54" Type="http://schemas.openxmlformats.org/officeDocument/2006/relationships/hyperlink" Target="https://ich.unesco.org/doc/src/45490-FR.pdf" TargetMode="External"/><Relationship Id="rId62" Type="http://schemas.openxmlformats.org/officeDocument/2006/relationships/hyperlink" Target="https://ich.unesco.org/doc/src/45514.pdf" TargetMode="External"/><Relationship Id="rId70" Type="http://schemas.openxmlformats.org/officeDocument/2006/relationships/hyperlink" Target="https://ich.unesco.org/doc/src/45521-EN.pdf" TargetMode="External"/><Relationship Id="rId75" Type="http://schemas.openxmlformats.org/officeDocument/2006/relationships/hyperlink" Target="https://ich.unesco.org/doc/src/45571.pdf" TargetMode="External"/><Relationship Id="rId83" Type="http://schemas.openxmlformats.org/officeDocument/2006/relationships/hyperlink" Target="https://ich.unesco.org/doc/src/42676.pdf" TargetMode="External"/><Relationship Id="rId88" Type="http://schemas.openxmlformats.org/officeDocument/2006/relationships/hyperlink" Target="https://ich.unesco.org/doc/src/45534-EN.pdf" TargetMode="External"/><Relationship Id="rId91" Type="http://schemas.openxmlformats.org/officeDocument/2006/relationships/hyperlink" Target="https://ich.unesco.org/doc/src/LHE-20-8.GA-15-FR.docx" TargetMode="External"/><Relationship Id="rId96" Type="http://schemas.openxmlformats.org/officeDocument/2006/relationships/hyperlink" Target="https://ich.unesco.org/doc/src/ITH-17-12.COM-16-FR.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0-8.GA-3_Rev.-FR.docx" TargetMode="External"/><Relationship Id="rId23" Type="http://schemas.openxmlformats.org/officeDocument/2006/relationships/hyperlink" Target="https://ich.unesco.org/doc/src/LHE-20-8.GA-7_Rev.-FR.docx" TargetMode="External"/><Relationship Id="rId28" Type="http://schemas.openxmlformats.org/officeDocument/2006/relationships/hyperlink" Target="https://ich.unesco.org/doc/src/LHE-20-8.GA-9-FR.docx" TargetMode="External"/><Relationship Id="rId36" Type="http://schemas.openxmlformats.org/officeDocument/2006/relationships/hyperlink" Target="https://ich.unesco.org/doc/src/LHE-19-14.COM-14-FR.docx" TargetMode="External"/><Relationship Id="rId49" Type="http://schemas.openxmlformats.org/officeDocument/2006/relationships/hyperlink" Target="https://ich.unesco.org/fr/resolutions/7.GA/6?dec=resolutions&amp;ref_decision=7.GA" TargetMode="External"/><Relationship Id="rId57" Type="http://schemas.openxmlformats.org/officeDocument/2006/relationships/hyperlink" Target="https://ich.unesco.org/doc/src/45495.pdf" TargetMode="External"/><Relationship Id="rId106" Type="http://schemas.openxmlformats.org/officeDocument/2006/relationships/hyperlink" Target="https://unesdoc.unesco.org/ark:/48223/pf0000243325_fre" TargetMode="External"/><Relationship Id="rId10" Type="http://schemas.openxmlformats.org/officeDocument/2006/relationships/footer" Target="footer1.xml"/><Relationship Id="rId31" Type="http://schemas.openxmlformats.org/officeDocument/2006/relationships/hyperlink" Target="https://unesdoc.unesco.org/ark:/48223/pf0000235186" TargetMode="External"/><Relationship Id="rId44" Type="http://schemas.openxmlformats.org/officeDocument/2006/relationships/hyperlink" Target="https://ich.unesco.org/fr/decisions/12.COM/17?dec=decisions&amp;ref_decision=12.COM" TargetMode="External"/><Relationship Id="rId52" Type="http://schemas.openxmlformats.org/officeDocument/2006/relationships/hyperlink" Target="https://ich.unesco.org/fr/d%C3%A9cisions/14.COM/17?dec=decisions&amp;ref_decision=14.COM" TargetMode="External"/><Relationship Id="rId60" Type="http://schemas.openxmlformats.org/officeDocument/2006/relationships/hyperlink" Target="https://ich.unesco.org/doc/src/45512-FR.pdf" TargetMode="External"/><Relationship Id="rId65" Type="http://schemas.openxmlformats.org/officeDocument/2006/relationships/hyperlink" Target="https://ich.unesco.org/doc/src/42681.pdf" TargetMode="External"/><Relationship Id="rId73" Type="http://schemas.openxmlformats.org/officeDocument/2006/relationships/hyperlink" Target="https://ich.unesco.org/doc/src/45524-FR.pdf" TargetMode="External"/><Relationship Id="rId78" Type="http://schemas.openxmlformats.org/officeDocument/2006/relationships/hyperlink" Target="https://ich.unesco.org/doc/src/48726-EN.pdf" TargetMode="External"/><Relationship Id="rId81" Type="http://schemas.openxmlformats.org/officeDocument/2006/relationships/hyperlink" Target="https://ich.unesco.org/doc/src/45529.pdf" TargetMode="External"/><Relationship Id="rId86" Type="http://schemas.openxmlformats.org/officeDocument/2006/relationships/hyperlink" Target="https://ich.unesco.org/doc/src/45532.pdf" TargetMode="External"/><Relationship Id="rId94" Type="http://schemas.openxmlformats.org/officeDocument/2006/relationships/hyperlink" Target="https://ich.unesco.org/doc/src/LHE-19-14.COM-19-FR.docx" TargetMode="External"/><Relationship Id="rId99" Type="http://schemas.openxmlformats.org/officeDocument/2006/relationships/hyperlink" Target="https://ich.unesco.org/fr/decisions/14.COM/19?dec=decisions&amp;ref_decision=14.COM" TargetMode="External"/><Relationship Id="rId101" Type="http://schemas.openxmlformats.org/officeDocument/2006/relationships/hyperlink" Target="https://ich.unesco.org/fr/decisions/12.COM/16?dec=decisions&amp;ref_decision=12.COM"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ich.unesco.org/doc/src/LHE-20-8.GA-5-FR.docx" TargetMode="External"/><Relationship Id="rId39" Type="http://schemas.openxmlformats.org/officeDocument/2006/relationships/hyperlink" Target="https://ich.unesco.org/fr/Decisions/14.COM/14" TargetMode="External"/><Relationship Id="rId109" Type="http://schemas.openxmlformats.org/officeDocument/2006/relationships/fontTable" Target="fontTable.xml"/><Relationship Id="rId34" Type="http://schemas.openxmlformats.org/officeDocument/2006/relationships/hyperlink" Target="https://ich.unesco.org/doc/src/LHE-20-8.GA-10-FR.docx" TargetMode="External"/><Relationship Id="rId50" Type="http://schemas.openxmlformats.org/officeDocument/2006/relationships/hyperlink" Target="https://ich.unesco.org/fr/decisions/7.GA/11?dec=decisions&amp;ref_decision=7.GA" TargetMode="External"/><Relationship Id="rId55" Type="http://schemas.openxmlformats.org/officeDocument/2006/relationships/hyperlink" Target="https://ich.unesco.org/doc/src/45491-EN.pdf" TargetMode="External"/><Relationship Id="rId76" Type="http://schemas.openxmlformats.org/officeDocument/2006/relationships/hyperlink" Target="https://ich.unesco.org/doc/src/42711-EN.pdf" TargetMode="External"/><Relationship Id="rId97" Type="http://schemas.openxmlformats.org/officeDocument/2006/relationships/hyperlink" Target="https://ich.unesco.org/doc/src/ITH-18-7.GA-13-FR.docx" TargetMode="External"/><Relationship Id="rId104" Type="http://schemas.openxmlformats.org/officeDocument/2006/relationships/hyperlink" Target="https://ich.unesco.org/fr/resolutions/6.GA/11?dec=resolutions&amp;ref_decision=6.GA" TargetMode="External"/><Relationship Id="rId7" Type="http://schemas.openxmlformats.org/officeDocument/2006/relationships/endnotes" Target="endnotes.xml"/><Relationship Id="rId71" Type="http://schemas.openxmlformats.org/officeDocument/2006/relationships/hyperlink" Target="https://ich.unesco.org/doc/src/45522-FR.pdf" TargetMode="External"/><Relationship Id="rId92" Type="http://schemas.openxmlformats.org/officeDocument/2006/relationships/hyperlink" Target="https://ich.unesco.org/doc/src/LHE-20-8.GA-7_Rev.-FR.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ICH-Operational_Directives-7.GA-PDF-FR.pdf" TargetMode="External"/><Relationship Id="rId2" Type="http://schemas.openxmlformats.org/officeDocument/2006/relationships/hyperlink" Target="https://unesdoc.unesco.org/ark:/48223/pf0000259805_fre" TargetMode="External"/><Relationship Id="rId1" Type="http://schemas.openxmlformats.org/officeDocument/2006/relationships/hyperlink" Target="https://unesdoc.unesco.org/ark:/48223/pf0000235186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4D16-A8AE-4D06-A4B8-3587D9A0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24</Pages>
  <Words>9300</Words>
  <Characters>53012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Alice</dc:creator>
  <cp:keywords/>
  <dc:description/>
  <cp:lastModifiedBy>Thibault, Alice</cp:lastModifiedBy>
  <cp:revision>48</cp:revision>
  <cp:lastPrinted>2020-09-11T08:28:00Z</cp:lastPrinted>
  <dcterms:created xsi:type="dcterms:W3CDTF">2020-09-09T17:56:00Z</dcterms:created>
  <dcterms:modified xsi:type="dcterms:W3CDTF">2020-09-23T15:16:00Z</dcterms:modified>
</cp:coreProperties>
</file>