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71C0C" w14:textId="77777777" w:rsidR="00655736" w:rsidRPr="00932644" w:rsidRDefault="00655736" w:rsidP="00655736">
      <w:pPr>
        <w:spacing w:before="1440"/>
        <w:jc w:val="center"/>
        <w:rPr>
          <w:rFonts w:ascii="Arial" w:hAnsi="Arial" w:cs="Arial"/>
          <w:b/>
          <w:sz w:val="22"/>
          <w:szCs w:val="22"/>
          <w:lang w:val="es-419"/>
        </w:rPr>
      </w:pPr>
      <w:bookmarkStart w:id="0" w:name="_top"/>
      <w:bookmarkStart w:id="1" w:name="_GoBack"/>
      <w:bookmarkEnd w:id="0"/>
      <w:bookmarkEnd w:id="1"/>
      <w:r w:rsidRPr="00932644">
        <w:rPr>
          <w:rFonts w:ascii="Arial" w:hAnsi="Arial" w:cs="Arial"/>
          <w:b/>
          <w:sz w:val="22"/>
          <w:lang w:val="es-419"/>
        </w:rPr>
        <w:t>CONVENCIÓN PARA LA SALVAGUARDIA DEL</w:t>
      </w:r>
      <w:r w:rsidRPr="00932644">
        <w:rPr>
          <w:rFonts w:ascii="Arial" w:hAnsi="Arial" w:cs="Arial"/>
          <w:b/>
          <w:sz w:val="22"/>
          <w:szCs w:val="22"/>
          <w:lang w:val="es-419"/>
        </w:rPr>
        <w:br/>
      </w:r>
      <w:r w:rsidRPr="00932644">
        <w:rPr>
          <w:rFonts w:ascii="Arial" w:hAnsi="Arial" w:cs="Arial"/>
          <w:b/>
          <w:sz w:val="22"/>
          <w:lang w:val="es-419"/>
        </w:rPr>
        <w:t>PATRIMONIO CULTURAL INMATERIAL</w:t>
      </w:r>
    </w:p>
    <w:p w14:paraId="2F3BFC02" w14:textId="77777777" w:rsidR="00655736" w:rsidRPr="00932644" w:rsidRDefault="00D95C4C" w:rsidP="00655736">
      <w:pPr>
        <w:spacing w:before="1200"/>
        <w:jc w:val="center"/>
        <w:rPr>
          <w:rFonts w:ascii="Arial" w:hAnsi="Arial" w:cs="Arial"/>
          <w:b/>
          <w:sz w:val="22"/>
          <w:szCs w:val="22"/>
          <w:lang w:val="es-419"/>
        </w:rPr>
      </w:pPr>
      <w:r w:rsidRPr="00932644">
        <w:rPr>
          <w:rFonts w:ascii="Arial" w:hAnsi="Arial" w:cs="Arial"/>
          <w:b/>
          <w:sz w:val="22"/>
          <w:lang w:val="es-419"/>
        </w:rPr>
        <w:t>ASAMBLEA GENERAL DE</w:t>
      </w:r>
      <w:r w:rsidR="00D2282C" w:rsidRPr="00932644">
        <w:rPr>
          <w:rFonts w:ascii="Arial" w:hAnsi="Arial" w:cs="Arial"/>
          <w:b/>
          <w:sz w:val="22"/>
          <w:lang w:val="es-419"/>
        </w:rPr>
        <w:t xml:space="preserve"> LOS</w:t>
      </w:r>
      <w:r w:rsidR="003A7DF5" w:rsidRPr="00932644">
        <w:rPr>
          <w:rFonts w:ascii="Arial" w:hAnsi="Arial" w:cs="Arial"/>
          <w:b/>
          <w:sz w:val="22"/>
          <w:lang w:val="es-419"/>
        </w:rPr>
        <w:t xml:space="preserve"> </w:t>
      </w:r>
      <w:r w:rsidRPr="00932644">
        <w:rPr>
          <w:rFonts w:ascii="Arial" w:hAnsi="Arial" w:cs="Arial"/>
          <w:b/>
          <w:sz w:val="22"/>
          <w:lang w:val="es-419"/>
        </w:rPr>
        <w:t>ESTADOS PARTES EN LA CONVENCIÓN</w:t>
      </w:r>
    </w:p>
    <w:p w14:paraId="2B3FB81D" w14:textId="77777777" w:rsidR="00D95C4C" w:rsidRPr="00932644" w:rsidRDefault="00F3369C" w:rsidP="0033246D">
      <w:pPr>
        <w:tabs>
          <w:tab w:val="center" w:pos="4749"/>
          <w:tab w:val="left" w:pos="7770"/>
        </w:tabs>
        <w:spacing w:before="840"/>
        <w:jc w:val="center"/>
        <w:rPr>
          <w:rFonts w:ascii="Arial" w:hAnsi="Arial" w:cs="Arial"/>
          <w:b/>
          <w:sz w:val="22"/>
          <w:szCs w:val="22"/>
          <w:lang w:val="es-419"/>
        </w:rPr>
      </w:pPr>
      <w:r w:rsidRPr="00932644">
        <w:rPr>
          <w:rFonts w:ascii="Arial" w:hAnsi="Arial" w:cs="Arial"/>
          <w:b/>
          <w:sz w:val="22"/>
          <w:lang w:val="es-419"/>
        </w:rPr>
        <w:t>Octava</w:t>
      </w:r>
      <w:r w:rsidR="00763A0D" w:rsidRPr="00932644">
        <w:rPr>
          <w:rFonts w:ascii="Arial" w:hAnsi="Arial" w:cs="Arial"/>
          <w:b/>
          <w:sz w:val="22"/>
          <w:lang w:val="es-419"/>
        </w:rPr>
        <w:t xml:space="preserve"> reunión</w:t>
      </w:r>
    </w:p>
    <w:p w14:paraId="4686ECC7" w14:textId="77777777" w:rsidR="00D95C4C" w:rsidRPr="00932644" w:rsidRDefault="00D95C4C" w:rsidP="00D95C4C">
      <w:pPr>
        <w:jc w:val="center"/>
        <w:rPr>
          <w:rFonts w:ascii="Arial" w:hAnsi="Arial" w:cs="Arial"/>
          <w:b/>
          <w:sz w:val="22"/>
          <w:szCs w:val="22"/>
          <w:lang w:val="es-419"/>
        </w:rPr>
      </w:pPr>
      <w:r w:rsidRPr="00932644">
        <w:rPr>
          <w:rFonts w:ascii="Arial" w:hAnsi="Arial" w:cs="Arial"/>
          <w:b/>
          <w:sz w:val="22"/>
          <w:lang w:val="es-419"/>
        </w:rPr>
        <w:t>Sede de la UNESCO, Sala I</w:t>
      </w:r>
    </w:p>
    <w:p w14:paraId="413669A1" w14:textId="77777777" w:rsidR="00655736" w:rsidRPr="00932644" w:rsidRDefault="00F3369C" w:rsidP="00DF2D5A">
      <w:pPr>
        <w:spacing w:after="1200"/>
        <w:jc w:val="center"/>
        <w:rPr>
          <w:rFonts w:ascii="Arial" w:hAnsi="Arial" w:cs="Arial"/>
          <w:b/>
          <w:sz w:val="22"/>
          <w:szCs w:val="22"/>
          <w:lang w:val="es-419"/>
        </w:rPr>
      </w:pPr>
      <w:r w:rsidRPr="00932644">
        <w:rPr>
          <w:rFonts w:ascii="Arial" w:hAnsi="Arial" w:cs="Arial"/>
          <w:b/>
          <w:sz w:val="22"/>
          <w:lang w:val="es-419"/>
        </w:rPr>
        <w:t>8</w:t>
      </w:r>
      <w:r w:rsidR="005A4A42" w:rsidRPr="00932644">
        <w:rPr>
          <w:rFonts w:ascii="Arial" w:hAnsi="Arial" w:cs="Arial"/>
          <w:b/>
          <w:sz w:val="22"/>
          <w:lang w:val="es-419"/>
        </w:rPr>
        <w:t xml:space="preserve"> </w:t>
      </w:r>
      <w:r w:rsidR="00056D9E" w:rsidRPr="00932644">
        <w:rPr>
          <w:rFonts w:ascii="Arial" w:hAnsi="Arial" w:cs="Arial"/>
          <w:b/>
          <w:sz w:val="22"/>
          <w:lang w:val="es-419"/>
        </w:rPr>
        <w:t>a</w:t>
      </w:r>
      <w:r w:rsidRPr="00932644">
        <w:rPr>
          <w:rFonts w:ascii="Arial" w:hAnsi="Arial" w:cs="Arial"/>
          <w:b/>
          <w:sz w:val="22"/>
          <w:lang w:val="es-419"/>
        </w:rPr>
        <w:t>l</w:t>
      </w:r>
      <w:r w:rsidR="00056D9E" w:rsidRPr="00932644">
        <w:rPr>
          <w:rFonts w:ascii="Arial" w:hAnsi="Arial" w:cs="Arial"/>
          <w:b/>
          <w:sz w:val="22"/>
          <w:lang w:val="es-419"/>
        </w:rPr>
        <w:t xml:space="preserve"> </w:t>
      </w:r>
      <w:r w:rsidRPr="00932644">
        <w:rPr>
          <w:rFonts w:ascii="Arial" w:hAnsi="Arial" w:cs="Arial"/>
          <w:b/>
          <w:sz w:val="22"/>
          <w:lang w:val="es-419"/>
        </w:rPr>
        <w:t>10</w:t>
      </w:r>
      <w:r w:rsidR="005A4A42" w:rsidRPr="00932644">
        <w:rPr>
          <w:rFonts w:ascii="Arial" w:hAnsi="Arial" w:cs="Arial"/>
          <w:b/>
          <w:sz w:val="22"/>
          <w:lang w:val="es-419"/>
        </w:rPr>
        <w:t xml:space="preserve"> de </w:t>
      </w:r>
      <w:r w:rsidRPr="00932644">
        <w:rPr>
          <w:rFonts w:ascii="Arial" w:hAnsi="Arial" w:cs="Arial"/>
          <w:b/>
          <w:sz w:val="22"/>
          <w:lang w:val="es-419"/>
        </w:rPr>
        <w:t>septiembre</w:t>
      </w:r>
      <w:r w:rsidR="00D2282C" w:rsidRPr="00932644">
        <w:rPr>
          <w:rFonts w:ascii="Arial" w:hAnsi="Arial" w:cs="Arial"/>
          <w:b/>
          <w:sz w:val="22"/>
          <w:lang w:val="es-419"/>
        </w:rPr>
        <w:t xml:space="preserve"> </w:t>
      </w:r>
      <w:r w:rsidR="00056D9E" w:rsidRPr="00932644">
        <w:rPr>
          <w:rFonts w:ascii="Arial" w:hAnsi="Arial" w:cs="Arial"/>
          <w:b/>
          <w:sz w:val="22"/>
          <w:lang w:val="es-419"/>
        </w:rPr>
        <w:t>de 20</w:t>
      </w:r>
      <w:r w:rsidRPr="00932644">
        <w:rPr>
          <w:rFonts w:ascii="Arial" w:hAnsi="Arial" w:cs="Arial"/>
          <w:b/>
          <w:sz w:val="22"/>
          <w:lang w:val="es-419"/>
        </w:rPr>
        <w:t>20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932644" w14:paraId="2D4BAF62" w14:textId="77777777">
        <w:trPr>
          <w:jc w:val="center"/>
        </w:trPr>
        <w:tc>
          <w:tcPr>
            <w:tcW w:w="7825" w:type="dxa"/>
            <w:vAlign w:val="center"/>
          </w:tcPr>
          <w:p w14:paraId="5F7F2F6F" w14:textId="77777777" w:rsidR="00655736" w:rsidRPr="00932644" w:rsidRDefault="003C542A" w:rsidP="005A4A42">
            <w:pPr>
              <w:pStyle w:val="Sansinterligne2"/>
              <w:spacing w:before="200" w:after="200"/>
              <w:jc w:val="center"/>
              <w:rPr>
                <w:rFonts w:ascii="Arial" w:hAnsi="Arial" w:cs="Arial"/>
                <w:b/>
                <w:sz w:val="22"/>
                <w:szCs w:val="22"/>
                <w:lang w:val="es-419"/>
              </w:rPr>
            </w:pPr>
            <w:r w:rsidRPr="00932644">
              <w:rPr>
                <w:rFonts w:ascii="Arial" w:hAnsi="Arial" w:cs="Arial"/>
                <w:b/>
                <w:sz w:val="36"/>
                <w:szCs w:val="36"/>
                <w:lang w:val="es-419"/>
              </w:rPr>
              <w:t>Resoluciones</w:t>
            </w:r>
          </w:p>
        </w:tc>
      </w:tr>
    </w:tbl>
    <w:p w14:paraId="4B941852" w14:textId="77777777" w:rsidR="0033246D" w:rsidRPr="00932644" w:rsidRDefault="00401AFE" w:rsidP="0033246D">
      <w:pPr>
        <w:pStyle w:val="GATitleResolution"/>
        <w:keepNext w:val="0"/>
        <w:rPr>
          <w:lang w:val="es-419"/>
        </w:rPr>
      </w:pPr>
      <w:r w:rsidRPr="00932644">
        <w:rPr>
          <w:lang w:val="es-419"/>
        </w:rPr>
        <w:br w:type="page"/>
      </w:r>
    </w:p>
    <w:p w14:paraId="0B75D3D7" w14:textId="08AC2B02" w:rsidR="00577276" w:rsidRPr="00932644" w:rsidRDefault="00577276" w:rsidP="00577276">
      <w:pPr>
        <w:pStyle w:val="GATitleResolution"/>
        <w:rPr>
          <w:rFonts w:eastAsia="SimSun"/>
          <w:lang w:val="es-419"/>
        </w:rPr>
      </w:pPr>
      <w:r w:rsidRPr="00932644">
        <w:rPr>
          <w:bCs/>
          <w:lang w:val="es-419"/>
        </w:rPr>
        <w:lastRenderedPageBreak/>
        <w:t>RESOLUCIÓN 8.GA 2</w:t>
      </w:r>
    </w:p>
    <w:p w14:paraId="424C8E9C" w14:textId="77777777" w:rsidR="00577276" w:rsidRPr="00932644" w:rsidRDefault="00577276" w:rsidP="005925AC">
      <w:pPr>
        <w:pStyle w:val="GAPreambulaResolution"/>
        <w:ind w:hanging="567"/>
        <w:rPr>
          <w:rFonts w:eastAsia="SimSun"/>
          <w:lang w:val="es-419"/>
        </w:rPr>
      </w:pPr>
      <w:r w:rsidRPr="00932644">
        <w:rPr>
          <w:lang w:val="es-419"/>
        </w:rPr>
        <w:t>La Asamblea General,</w:t>
      </w:r>
    </w:p>
    <w:p w14:paraId="0E07D6A9" w14:textId="674F8DBE" w:rsidR="00577276" w:rsidRPr="00932644" w:rsidRDefault="00577276" w:rsidP="005925AC">
      <w:pPr>
        <w:numPr>
          <w:ilvl w:val="0"/>
          <w:numId w:val="10"/>
        </w:numPr>
        <w:spacing w:after="120"/>
        <w:ind w:left="567" w:hanging="567"/>
        <w:jc w:val="both"/>
        <w:rPr>
          <w:rFonts w:ascii="Arial" w:eastAsia="SimSun" w:hAnsi="Arial" w:cs="Arial"/>
          <w:sz w:val="22"/>
          <w:szCs w:val="22"/>
          <w:lang w:val="es-419"/>
        </w:rPr>
      </w:pPr>
      <w:r w:rsidRPr="00932644">
        <w:rPr>
          <w:rFonts w:ascii="Arial" w:hAnsi="Arial"/>
          <w:sz w:val="22"/>
          <w:u w:val="single"/>
          <w:lang w:val="es-419"/>
        </w:rPr>
        <w:t>Habiendo examinado</w:t>
      </w:r>
      <w:r w:rsidRPr="00932644">
        <w:rPr>
          <w:rFonts w:ascii="Arial" w:hAnsi="Arial"/>
          <w:sz w:val="22"/>
          <w:lang w:val="es-419"/>
        </w:rPr>
        <w:t xml:space="preserve"> el documento </w:t>
      </w:r>
      <w:hyperlink r:id="rId8" w:history="1">
        <w:r w:rsidR="007E181E" w:rsidRPr="00932644">
          <w:rPr>
            <w:rStyle w:val="Lienhypertexte"/>
            <w:rFonts w:ascii="Arial" w:hAnsi="Arial"/>
            <w:sz w:val="22"/>
            <w:lang w:val="es-419"/>
          </w:rPr>
          <w:t>LHE/20/8.GA/2</w:t>
        </w:r>
      </w:hyperlink>
      <w:r w:rsidR="007E181E" w:rsidRPr="00932644">
        <w:rPr>
          <w:rFonts w:ascii="Arial" w:hAnsi="Arial"/>
          <w:sz w:val="22"/>
          <w:lang w:val="es-419"/>
        </w:rPr>
        <w:t>,</w:t>
      </w:r>
    </w:p>
    <w:p w14:paraId="5DC2B8A8" w14:textId="77777777" w:rsidR="00577276" w:rsidRPr="00932644" w:rsidRDefault="00577276" w:rsidP="005925AC">
      <w:pPr>
        <w:numPr>
          <w:ilvl w:val="0"/>
          <w:numId w:val="10"/>
        </w:numPr>
        <w:spacing w:after="120"/>
        <w:ind w:left="567" w:hanging="567"/>
        <w:jc w:val="both"/>
        <w:rPr>
          <w:rFonts w:ascii="Arial" w:eastAsia="SimSun" w:hAnsi="Arial" w:cs="Arial"/>
          <w:sz w:val="22"/>
          <w:szCs w:val="22"/>
          <w:lang w:val="es-419"/>
        </w:rPr>
      </w:pPr>
      <w:r w:rsidRPr="00932644">
        <w:rPr>
          <w:rFonts w:ascii="Arial" w:hAnsi="Arial"/>
          <w:sz w:val="22"/>
          <w:u w:val="single"/>
          <w:lang w:val="es-419"/>
        </w:rPr>
        <w:t>Recordando</w:t>
      </w:r>
      <w:r w:rsidRPr="00932644">
        <w:rPr>
          <w:rFonts w:ascii="Arial" w:hAnsi="Arial"/>
          <w:sz w:val="22"/>
          <w:lang w:val="es-419"/>
        </w:rPr>
        <w:t xml:space="preserve"> el Artículo 3 del Reglamento,</w:t>
      </w:r>
    </w:p>
    <w:p w14:paraId="1232E5C4" w14:textId="2A7656F9" w:rsidR="00577276" w:rsidRPr="00932644" w:rsidRDefault="00577276" w:rsidP="001D2C04">
      <w:pPr>
        <w:numPr>
          <w:ilvl w:val="0"/>
          <w:numId w:val="10"/>
        </w:numPr>
        <w:spacing w:after="120"/>
        <w:ind w:left="567" w:hanging="567"/>
        <w:jc w:val="both"/>
        <w:rPr>
          <w:rFonts w:ascii="Arial" w:eastAsia="SimSun" w:hAnsi="Arial" w:cs="Arial"/>
          <w:sz w:val="22"/>
          <w:szCs w:val="22"/>
          <w:lang w:val="es-419"/>
        </w:rPr>
      </w:pPr>
      <w:r w:rsidRPr="00932644">
        <w:rPr>
          <w:rFonts w:ascii="Arial" w:hAnsi="Arial"/>
          <w:sz w:val="22"/>
          <w:u w:val="single"/>
          <w:lang w:val="es-419"/>
        </w:rPr>
        <w:t>Elige</w:t>
      </w:r>
      <w:r w:rsidRPr="00932644">
        <w:rPr>
          <w:rFonts w:ascii="Arial" w:hAnsi="Arial"/>
          <w:sz w:val="22"/>
          <w:lang w:val="es-419"/>
        </w:rPr>
        <w:t xml:space="preserve"> </w:t>
      </w:r>
      <w:r w:rsidR="00D6447C" w:rsidRPr="00932644">
        <w:rPr>
          <w:rFonts w:ascii="Arial" w:hAnsi="Arial"/>
          <w:sz w:val="22"/>
          <w:lang w:val="es-419"/>
        </w:rPr>
        <w:t>a</w:t>
      </w:r>
      <w:r w:rsidR="00630D7D" w:rsidRPr="00932644">
        <w:rPr>
          <w:rFonts w:ascii="Arial" w:hAnsi="Arial"/>
          <w:sz w:val="22"/>
          <w:lang w:val="es-419"/>
        </w:rPr>
        <w:t xml:space="preserve"> S.E.</w:t>
      </w:r>
      <w:r w:rsidR="00FE641B" w:rsidRPr="00932644">
        <w:rPr>
          <w:rFonts w:ascii="Arial" w:hAnsi="Arial"/>
          <w:sz w:val="22"/>
          <w:lang w:val="es-419"/>
        </w:rPr>
        <w:t xml:space="preserve"> </w:t>
      </w:r>
      <w:r w:rsidR="003C7D0D" w:rsidRPr="00932644">
        <w:rPr>
          <w:rFonts w:ascii="Arial" w:hAnsi="Arial"/>
          <w:sz w:val="22"/>
          <w:lang w:val="es-419"/>
        </w:rPr>
        <w:t>Sr.</w:t>
      </w:r>
      <w:r w:rsidR="00735BF7" w:rsidRPr="00932644">
        <w:rPr>
          <w:rFonts w:ascii="Arial" w:hAnsi="Arial"/>
          <w:sz w:val="22"/>
          <w:lang w:val="es-419"/>
        </w:rPr>
        <w:t xml:space="preserve"> Amara Camara (Guinea) </w:t>
      </w:r>
      <w:r w:rsidRPr="00932644">
        <w:rPr>
          <w:rFonts w:ascii="Arial" w:hAnsi="Arial"/>
          <w:sz w:val="22"/>
          <w:lang w:val="es-419"/>
        </w:rPr>
        <w:t>como Presidente de la Asamblea General;</w:t>
      </w:r>
    </w:p>
    <w:p w14:paraId="45A556C9" w14:textId="18F3551E" w:rsidR="00577276" w:rsidRPr="00932644" w:rsidRDefault="00577276" w:rsidP="001D2C04">
      <w:pPr>
        <w:numPr>
          <w:ilvl w:val="0"/>
          <w:numId w:val="10"/>
        </w:numPr>
        <w:tabs>
          <w:tab w:val="left" w:pos="-737"/>
          <w:tab w:val="left" w:pos="1134"/>
        </w:tabs>
        <w:snapToGrid w:val="0"/>
        <w:spacing w:after="120"/>
        <w:ind w:left="567" w:hanging="567"/>
        <w:jc w:val="both"/>
        <w:rPr>
          <w:rFonts w:ascii="Arial" w:hAnsi="Arial" w:cs="Arial"/>
          <w:snapToGrid w:val="0"/>
          <w:sz w:val="22"/>
          <w:szCs w:val="22"/>
          <w:lang w:val="es-419"/>
        </w:rPr>
      </w:pPr>
      <w:r w:rsidRPr="00932644">
        <w:rPr>
          <w:rFonts w:ascii="Arial" w:hAnsi="Arial"/>
          <w:snapToGrid w:val="0"/>
          <w:sz w:val="22"/>
          <w:u w:val="single"/>
          <w:lang w:val="es-419"/>
        </w:rPr>
        <w:t>Elige</w:t>
      </w:r>
      <w:r w:rsidRPr="00932644">
        <w:rPr>
          <w:rFonts w:ascii="Arial" w:hAnsi="Arial"/>
          <w:snapToGrid w:val="0"/>
          <w:sz w:val="22"/>
          <w:lang w:val="es-419"/>
        </w:rPr>
        <w:t xml:space="preserve"> a</w:t>
      </w:r>
      <w:r w:rsidR="00FE641B" w:rsidRPr="00932644">
        <w:rPr>
          <w:rFonts w:ascii="Arial" w:hAnsi="Arial"/>
          <w:snapToGrid w:val="0"/>
          <w:sz w:val="22"/>
          <w:lang w:val="es-419"/>
        </w:rPr>
        <w:t>l</w:t>
      </w:r>
      <w:r w:rsidRPr="00932644">
        <w:rPr>
          <w:rFonts w:ascii="Arial" w:hAnsi="Arial"/>
          <w:snapToGrid w:val="0"/>
          <w:sz w:val="22"/>
          <w:lang w:val="es-419"/>
        </w:rPr>
        <w:t xml:space="preserve"> </w:t>
      </w:r>
      <w:r w:rsidR="003C7D0D" w:rsidRPr="00932644">
        <w:rPr>
          <w:rFonts w:ascii="Arial" w:hAnsi="Arial"/>
          <w:sz w:val="22"/>
          <w:lang w:val="es-419"/>
        </w:rPr>
        <w:t>Sr.</w:t>
      </w:r>
      <w:r w:rsidR="00735BF7" w:rsidRPr="00932644">
        <w:rPr>
          <w:rFonts w:ascii="Arial" w:hAnsi="Arial"/>
          <w:sz w:val="22"/>
          <w:lang w:val="es-419"/>
        </w:rPr>
        <w:t xml:space="preserve"> </w:t>
      </w:r>
      <w:r w:rsidR="00735BF7" w:rsidRPr="00932644">
        <w:rPr>
          <w:rFonts w:ascii="Arial" w:hAnsi="Arial"/>
          <w:snapToGrid w:val="0"/>
          <w:sz w:val="22"/>
          <w:lang w:val="es-419"/>
        </w:rPr>
        <w:t>Wael Abdel</w:t>
      </w:r>
      <w:r w:rsidR="00411CE8" w:rsidRPr="00932644">
        <w:rPr>
          <w:rFonts w:ascii="Arial" w:hAnsi="Arial"/>
          <w:snapToGrid w:val="0"/>
          <w:sz w:val="22"/>
          <w:lang w:val="es-419"/>
        </w:rPr>
        <w:t xml:space="preserve"> W</w:t>
      </w:r>
      <w:r w:rsidR="00735BF7" w:rsidRPr="00932644">
        <w:rPr>
          <w:rFonts w:ascii="Arial" w:hAnsi="Arial"/>
          <w:snapToGrid w:val="0"/>
          <w:sz w:val="22"/>
          <w:lang w:val="es-419"/>
        </w:rPr>
        <w:t xml:space="preserve">ahab (Egipto) </w:t>
      </w:r>
      <w:r w:rsidRPr="00932644">
        <w:rPr>
          <w:rFonts w:ascii="Arial" w:hAnsi="Arial"/>
          <w:snapToGrid w:val="0"/>
          <w:sz w:val="22"/>
          <w:lang w:val="es-419"/>
        </w:rPr>
        <w:t>como Relator de la Asamblea General;</w:t>
      </w:r>
    </w:p>
    <w:p w14:paraId="72FF3AE7" w14:textId="1CABAA49" w:rsidR="00577276" w:rsidRPr="00932644" w:rsidRDefault="00577276" w:rsidP="001D2C04">
      <w:pPr>
        <w:numPr>
          <w:ilvl w:val="0"/>
          <w:numId w:val="10"/>
        </w:numPr>
        <w:tabs>
          <w:tab w:val="left" w:pos="-737"/>
          <w:tab w:val="left" w:pos="1134"/>
        </w:tabs>
        <w:snapToGrid w:val="0"/>
        <w:spacing w:after="120"/>
        <w:ind w:left="567" w:hanging="567"/>
        <w:jc w:val="both"/>
        <w:rPr>
          <w:rFonts w:ascii="Arial" w:hAnsi="Arial"/>
          <w:snapToGrid w:val="0"/>
          <w:sz w:val="22"/>
          <w:lang w:val="es-419"/>
        </w:rPr>
      </w:pPr>
      <w:r w:rsidRPr="00932644">
        <w:rPr>
          <w:rFonts w:ascii="Arial" w:hAnsi="Arial"/>
          <w:snapToGrid w:val="0"/>
          <w:sz w:val="22"/>
          <w:u w:val="single"/>
          <w:lang w:val="es-419"/>
        </w:rPr>
        <w:t>Elige</w:t>
      </w:r>
      <w:r w:rsidRPr="00932644">
        <w:rPr>
          <w:rFonts w:ascii="Arial" w:hAnsi="Arial"/>
          <w:snapToGrid w:val="0"/>
          <w:sz w:val="22"/>
          <w:lang w:val="es-419"/>
        </w:rPr>
        <w:t xml:space="preserve"> a </w:t>
      </w:r>
      <w:r w:rsidR="003C7D0D" w:rsidRPr="00932644">
        <w:rPr>
          <w:rFonts w:ascii="Arial" w:hAnsi="Arial"/>
          <w:snapToGrid w:val="0"/>
          <w:sz w:val="22"/>
          <w:lang w:val="es-419"/>
        </w:rPr>
        <w:t xml:space="preserve">Países Bajos, </w:t>
      </w:r>
      <w:r w:rsidR="00E74873" w:rsidRPr="00932644">
        <w:rPr>
          <w:rFonts w:ascii="Arial" w:hAnsi="Arial"/>
          <w:snapToGrid w:val="0"/>
          <w:sz w:val="22"/>
          <w:lang w:val="es-419"/>
        </w:rPr>
        <w:t>Armenia, Ecuador, Indonesia</w:t>
      </w:r>
      <w:r w:rsidR="003C7D0D" w:rsidRPr="00932644">
        <w:rPr>
          <w:rFonts w:ascii="Arial" w:hAnsi="Arial"/>
          <w:snapToGrid w:val="0"/>
          <w:sz w:val="22"/>
          <w:lang w:val="es-419"/>
        </w:rPr>
        <w:t xml:space="preserve"> y</w:t>
      </w:r>
      <w:r w:rsidR="00E74873" w:rsidRPr="00932644">
        <w:rPr>
          <w:rFonts w:ascii="Arial" w:hAnsi="Arial"/>
          <w:snapToGrid w:val="0"/>
          <w:sz w:val="22"/>
          <w:lang w:val="es-419"/>
        </w:rPr>
        <w:t xml:space="preserve"> Palestina </w:t>
      </w:r>
      <w:r w:rsidRPr="00932644">
        <w:rPr>
          <w:rFonts w:ascii="Arial" w:hAnsi="Arial"/>
          <w:snapToGrid w:val="0"/>
          <w:sz w:val="22"/>
          <w:lang w:val="es-419"/>
        </w:rPr>
        <w:t>como Vicepresidentes de la Asamblea General.</w:t>
      </w:r>
    </w:p>
    <w:p w14:paraId="4483A09C" w14:textId="5DB4744F" w:rsidR="00577276" w:rsidRPr="00932644" w:rsidRDefault="00577276" w:rsidP="00577276">
      <w:pPr>
        <w:pStyle w:val="GATitleResolution"/>
        <w:rPr>
          <w:rFonts w:eastAsia="SimSun"/>
          <w:lang w:val="es-419"/>
        </w:rPr>
      </w:pPr>
      <w:r w:rsidRPr="00932644">
        <w:rPr>
          <w:bCs/>
          <w:lang w:val="es-419"/>
        </w:rPr>
        <w:t>RESOLUCIÓN 8.GA 3</w:t>
      </w:r>
    </w:p>
    <w:p w14:paraId="08B561B5" w14:textId="77777777" w:rsidR="00577276" w:rsidRPr="00932644" w:rsidRDefault="00577276" w:rsidP="001D2C04">
      <w:pPr>
        <w:pStyle w:val="GAPreambulaResolution"/>
        <w:ind w:left="0"/>
        <w:rPr>
          <w:rFonts w:eastAsia="SimSun"/>
          <w:lang w:val="es-419"/>
        </w:rPr>
      </w:pPr>
      <w:r w:rsidRPr="00932644">
        <w:rPr>
          <w:lang w:val="es-419"/>
        </w:rPr>
        <w:t>La Asamblea General,</w:t>
      </w:r>
    </w:p>
    <w:p w14:paraId="317218D9" w14:textId="2BBEE251" w:rsidR="00577276" w:rsidRPr="00932644" w:rsidRDefault="00577276" w:rsidP="001D2C04">
      <w:pPr>
        <w:numPr>
          <w:ilvl w:val="0"/>
          <w:numId w:val="69"/>
        </w:numPr>
        <w:spacing w:after="120"/>
        <w:ind w:left="567" w:hanging="567"/>
        <w:jc w:val="both"/>
        <w:rPr>
          <w:rFonts w:ascii="Arial" w:hAnsi="Arial" w:cs="Arial"/>
          <w:sz w:val="22"/>
          <w:szCs w:val="22"/>
          <w:lang w:val="es-419"/>
        </w:rPr>
      </w:pPr>
      <w:r w:rsidRPr="00932644">
        <w:rPr>
          <w:rFonts w:ascii="Arial" w:hAnsi="Arial" w:cs="Arial"/>
          <w:sz w:val="22"/>
          <w:szCs w:val="22"/>
          <w:u w:val="single"/>
          <w:lang w:val="es-419"/>
        </w:rPr>
        <w:t>Habiendo examinado</w:t>
      </w:r>
      <w:r w:rsidRPr="00932644">
        <w:rPr>
          <w:rFonts w:ascii="Arial" w:hAnsi="Arial" w:cs="Arial"/>
          <w:sz w:val="22"/>
          <w:szCs w:val="22"/>
          <w:lang w:val="es-419"/>
        </w:rPr>
        <w:t xml:space="preserve"> el documento </w:t>
      </w:r>
      <w:hyperlink r:id="rId9" w:history="1">
        <w:r w:rsidRPr="00932644">
          <w:rPr>
            <w:rStyle w:val="Lienhypertexte"/>
            <w:rFonts w:ascii="Arial" w:hAnsi="Arial" w:cs="Arial"/>
            <w:sz w:val="22"/>
            <w:szCs w:val="22"/>
            <w:lang w:val="es-419"/>
          </w:rPr>
          <w:t>LHE/20/8.GA/3 Rev.</w:t>
        </w:r>
      </w:hyperlink>
      <w:r w:rsidRPr="00932644">
        <w:rPr>
          <w:rFonts w:ascii="Arial" w:hAnsi="Arial" w:cs="Arial"/>
          <w:sz w:val="22"/>
          <w:szCs w:val="22"/>
          <w:lang w:val="es-419"/>
        </w:rPr>
        <w:t>,</w:t>
      </w:r>
    </w:p>
    <w:p w14:paraId="01300A3D" w14:textId="77777777" w:rsidR="00577276" w:rsidRPr="00932644" w:rsidRDefault="00577276" w:rsidP="001D2C04">
      <w:pPr>
        <w:numPr>
          <w:ilvl w:val="0"/>
          <w:numId w:val="69"/>
        </w:numPr>
        <w:spacing w:after="120"/>
        <w:ind w:left="567" w:hanging="567"/>
        <w:jc w:val="both"/>
        <w:rPr>
          <w:rFonts w:ascii="Arial" w:eastAsia="SimSun" w:hAnsi="Arial" w:cs="Arial"/>
          <w:sz w:val="22"/>
          <w:szCs w:val="22"/>
          <w:lang w:val="es-419"/>
        </w:rPr>
      </w:pPr>
      <w:r w:rsidRPr="00932644">
        <w:rPr>
          <w:rFonts w:ascii="Arial" w:hAnsi="Arial" w:cs="Arial"/>
          <w:sz w:val="22"/>
          <w:szCs w:val="22"/>
          <w:u w:val="single"/>
          <w:lang w:val="es-419"/>
        </w:rPr>
        <w:t>Aprueba</w:t>
      </w:r>
      <w:r w:rsidRPr="00932644">
        <w:rPr>
          <w:rFonts w:ascii="Arial" w:hAnsi="Arial" w:cs="Arial"/>
          <w:sz w:val="22"/>
          <w:szCs w:val="22"/>
          <w:lang w:val="es-419"/>
        </w:rPr>
        <w:t xml:space="preserve"> el orden del día de su octava reunión (París, Sede de la UNESCO, 8 a</w:t>
      </w:r>
      <w:r w:rsidR="00412BF5" w:rsidRPr="00932644">
        <w:rPr>
          <w:rFonts w:ascii="Arial" w:hAnsi="Arial" w:cs="Arial"/>
          <w:sz w:val="22"/>
          <w:szCs w:val="22"/>
          <w:lang w:val="es-419"/>
        </w:rPr>
        <w:t>l</w:t>
      </w:r>
      <w:r w:rsidRPr="00932644">
        <w:rPr>
          <w:rFonts w:ascii="Arial" w:hAnsi="Arial" w:cs="Arial"/>
          <w:sz w:val="22"/>
          <w:szCs w:val="22"/>
          <w:lang w:val="es-419"/>
        </w:rPr>
        <w:t xml:space="preserve"> 10 de septiembre de 2020), que figura a continuación:</w:t>
      </w:r>
    </w:p>
    <w:p w14:paraId="2B056BA0" w14:textId="77777777" w:rsidR="00577276" w:rsidRPr="00932644" w:rsidRDefault="00577276" w:rsidP="009E1BB7">
      <w:pPr>
        <w:spacing w:before="240" w:after="240"/>
        <w:ind w:left="1134" w:hanging="567"/>
        <w:jc w:val="both"/>
        <w:rPr>
          <w:rFonts w:ascii="Arial" w:eastAsia="SimSun" w:hAnsi="Arial" w:cs="Arial"/>
          <w:b/>
          <w:sz w:val="22"/>
          <w:szCs w:val="22"/>
          <w:lang w:val="es-419"/>
        </w:rPr>
      </w:pPr>
      <w:r w:rsidRPr="00932644">
        <w:rPr>
          <w:rFonts w:ascii="Arial" w:eastAsia="SimSun" w:hAnsi="Arial" w:cs="Arial"/>
          <w:b/>
          <w:bCs/>
          <w:sz w:val="22"/>
          <w:szCs w:val="22"/>
          <w:lang w:val="es-419"/>
        </w:rPr>
        <w:t>Orden del día</w:t>
      </w:r>
    </w:p>
    <w:p w14:paraId="09FEAC13" w14:textId="77777777" w:rsidR="00577276" w:rsidRPr="00932644" w:rsidRDefault="00577276" w:rsidP="00577276">
      <w:pPr>
        <w:numPr>
          <w:ilvl w:val="0"/>
          <w:numId w:val="1"/>
        </w:numPr>
        <w:spacing w:after="120"/>
        <w:ind w:left="1134" w:hanging="567"/>
        <w:rPr>
          <w:rFonts w:ascii="Arial" w:eastAsia="SimSun" w:hAnsi="Arial" w:cs="Arial"/>
          <w:sz w:val="22"/>
          <w:szCs w:val="22"/>
          <w:lang w:val="es-419"/>
        </w:rPr>
      </w:pPr>
      <w:r w:rsidRPr="00932644">
        <w:rPr>
          <w:rFonts w:ascii="Arial" w:eastAsia="SimSun" w:hAnsi="Arial" w:cs="Arial"/>
          <w:sz w:val="22"/>
          <w:szCs w:val="22"/>
          <w:lang w:val="es-419"/>
        </w:rPr>
        <w:t>Apertura</w:t>
      </w:r>
    </w:p>
    <w:p w14:paraId="0A1C16CE" w14:textId="77777777" w:rsidR="00577276" w:rsidRPr="00932644" w:rsidRDefault="00577276" w:rsidP="00577276">
      <w:pPr>
        <w:numPr>
          <w:ilvl w:val="0"/>
          <w:numId w:val="1"/>
        </w:numPr>
        <w:spacing w:after="120"/>
        <w:ind w:left="1134" w:hanging="567"/>
        <w:rPr>
          <w:rFonts w:ascii="Arial" w:eastAsia="SimSun" w:hAnsi="Arial" w:cs="Arial"/>
          <w:sz w:val="22"/>
          <w:szCs w:val="22"/>
          <w:lang w:val="es-419"/>
        </w:rPr>
      </w:pPr>
      <w:r w:rsidRPr="00932644">
        <w:rPr>
          <w:rFonts w:ascii="Arial" w:eastAsia="SimSun" w:hAnsi="Arial" w:cs="Arial"/>
          <w:sz w:val="22"/>
          <w:szCs w:val="22"/>
          <w:lang w:val="es-419"/>
        </w:rPr>
        <w:t>Elección de la Mesa</w:t>
      </w:r>
    </w:p>
    <w:p w14:paraId="72A39A03" w14:textId="77777777" w:rsidR="00577276" w:rsidRPr="00932644" w:rsidRDefault="00577276" w:rsidP="00577276">
      <w:pPr>
        <w:numPr>
          <w:ilvl w:val="0"/>
          <w:numId w:val="1"/>
        </w:numPr>
        <w:spacing w:after="120"/>
        <w:ind w:left="1134" w:hanging="567"/>
        <w:rPr>
          <w:rFonts w:ascii="Arial" w:eastAsia="SimSun" w:hAnsi="Arial" w:cs="Arial"/>
          <w:sz w:val="22"/>
          <w:szCs w:val="22"/>
          <w:lang w:val="es-419"/>
        </w:rPr>
      </w:pPr>
      <w:r w:rsidRPr="00932644">
        <w:rPr>
          <w:rFonts w:ascii="Arial" w:eastAsia="SimSun" w:hAnsi="Arial" w:cs="Arial"/>
          <w:sz w:val="22"/>
          <w:szCs w:val="22"/>
          <w:lang w:val="es-419"/>
        </w:rPr>
        <w:t>Aprobación del orden del día</w:t>
      </w:r>
    </w:p>
    <w:p w14:paraId="09585DFE"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Distribución de los puestos del Comité por grupo electoral</w:t>
      </w:r>
    </w:p>
    <w:p w14:paraId="1E1A7C91"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Informe del Comité a la Asamblea General</w:t>
      </w:r>
    </w:p>
    <w:p w14:paraId="79298F5A"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Informe de la Secretaría sobre sus actividades (enero de 2018 a diciembre de 2019)</w:t>
      </w:r>
    </w:p>
    <w:p w14:paraId="4A6D773E"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Utilización de los recursos del Fondo del Patrimonio Cultural Inmaterial</w:t>
      </w:r>
    </w:p>
    <w:p w14:paraId="64844FA0"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Contribución a la preparación de la estrategia a plazo medio para 2022-2029 (41 C/4) y al proyecto de programa y presupuesto para 2022-2025 (41 C/5)</w:t>
      </w:r>
    </w:p>
    <w:p w14:paraId="42EF9F9E"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Patrimonio cultural inmaterial en situaciones de emergencia</w:t>
      </w:r>
    </w:p>
    <w:p w14:paraId="7DCB38DA"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Revisión de las Directrices Operativas para la aplicación de la Convención</w:t>
      </w:r>
    </w:p>
    <w:p w14:paraId="7850F5D5"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Actualización de la reflexión sobre los mecanismos de inscripción en las listas de la Convención</w:t>
      </w:r>
    </w:p>
    <w:p w14:paraId="54F3E949"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Actualización de la reflexión sobre la participación de las organizaciones no gubernamentales en la aplicación de la Convención</w:t>
      </w:r>
    </w:p>
    <w:p w14:paraId="2C496791" w14:textId="77777777" w:rsidR="00577276" w:rsidRPr="00932644" w:rsidRDefault="00577276" w:rsidP="00577276">
      <w:pPr>
        <w:numPr>
          <w:ilvl w:val="0"/>
          <w:numId w:val="1"/>
        </w:numPr>
        <w:tabs>
          <w:tab w:val="decimal" w:pos="1134"/>
        </w:tabs>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Acreditación de las organizaciones no gubernamentales con fines de asistencia consultiva ante el Comité</w:t>
      </w:r>
    </w:p>
    <w:p w14:paraId="1716FB8C"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Elección de los miembros del Comité Intergubernamental para la Salvaguardia del Patrimonio Cultural Inmaterial</w:t>
      </w:r>
    </w:p>
    <w:p w14:paraId="67BCE37A"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Seguimiento de las recomendaciones del grupo de trabajo de composición abierta sobre la gobernanza, procedimientos y métodos de trabajo de la UNESCO</w:t>
      </w:r>
    </w:p>
    <w:p w14:paraId="546FB34F" w14:textId="77777777" w:rsidR="00577276" w:rsidRPr="00932644" w:rsidRDefault="00577276" w:rsidP="00577276">
      <w:pPr>
        <w:numPr>
          <w:ilvl w:val="0"/>
          <w:numId w:val="1"/>
        </w:numPr>
        <w:spacing w:after="120"/>
        <w:ind w:left="1134" w:hanging="567"/>
        <w:jc w:val="both"/>
        <w:rPr>
          <w:rFonts w:ascii="Arial" w:eastAsia="SimSun" w:hAnsi="Arial" w:cs="Arial"/>
          <w:sz w:val="22"/>
          <w:szCs w:val="22"/>
          <w:lang w:val="es-419"/>
        </w:rPr>
      </w:pPr>
      <w:r w:rsidRPr="00932644">
        <w:rPr>
          <w:rFonts w:ascii="Arial" w:eastAsia="SimSun" w:hAnsi="Arial" w:cs="Arial"/>
          <w:sz w:val="22"/>
          <w:szCs w:val="22"/>
          <w:lang w:val="es-419"/>
        </w:rPr>
        <w:t>Otros asuntos</w:t>
      </w:r>
    </w:p>
    <w:p w14:paraId="5C3EBE6E" w14:textId="77777777" w:rsidR="00577276" w:rsidRPr="00932644" w:rsidRDefault="00577276" w:rsidP="00577276">
      <w:pPr>
        <w:numPr>
          <w:ilvl w:val="0"/>
          <w:numId w:val="1"/>
        </w:numPr>
        <w:spacing w:after="120"/>
        <w:ind w:left="1134" w:hanging="567"/>
        <w:jc w:val="both"/>
        <w:rPr>
          <w:rFonts w:ascii="Arial" w:hAnsi="Arial" w:cs="Arial"/>
          <w:sz w:val="22"/>
          <w:szCs w:val="22"/>
          <w:lang w:val="es-419"/>
        </w:rPr>
      </w:pPr>
      <w:r w:rsidRPr="00932644">
        <w:rPr>
          <w:rFonts w:ascii="Arial" w:eastAsia="SimSun" w:hAnsi="Arial" w:cs="Arial"/>
          <w:sz w:val="22"/>
          <w:szCs w:val="22"/>
          <w:lang w:val="es-419"/>
        </w:rPr>
        <w:t>Clausura</w:t>
      </w:r>
    </w:p>
    <w:p w14:paraId="6E1C6EE7" w14:textId="793E3941" w:rsidR="00577276" w:rsidRPr="00932644" w:rsidRDefault="00577276" w:rsidP="00577276">
      <w:pPr>
        <w:pStyle w:val="GATitleResolution"/>
        <w:rPr>
          <w:rFonts w:eastAsia="SimSun"/>
          <w:lang w:val="es-419"/>
        </w:rPr>
      </w:pPr>
      <w:r w:rsidRPr="00932644">
        <w:rPr>
          <w:bCs/>
          <w:lang w:val="es-419"/>
        </w:rPr>
        <w:lastRenderedPageBreak/>
        <w:t>RESOLUCIÓN 8.GA 4</w:t>
      </w:r>
    </w:p>
    <w:p w14:paraId="53D7982A" w14:textId="77777777" w:rsidR="00577276" w:rsidRPr="00932644" w:rsidRDefault="00577276" w:rsidP="001D2C04">
      <w:pPr>
        <w:pStyle w:val="GAPreambulaResolution"/>
        <w:ind w:left="0"/>
        <w:rPr>
          <w:rFonts w:eastAsia="SimSun"/>
          <w:lang w:val="es-419"/>
        </w:rPr>
      </w:pPr>
      <w:r w:rsidRPr="00932644">
        <w:rPr>
          <w:rFonts w:eastAsia="SimSun"/>
          <w:lang w:val="es-419"/>
        </w:rPr>
        <w:t xml:space="preserve">La </w:t>
      </w:r>
      <w:r w:rsidRPr="00932644">
        <w:rPr>
          <w:lang w:val="es-419"/>
        </w:rPr>
        <w:t>Asamblea</w:t>
      </w:r>
      <w:r w:rsidRPr="00932644">
        <w:rPr>
          <w:rFonts w:eastAsia="SimSun"/>
          <w:lang w:val="es-419"/>
        </w:rPr>
        <w:t xml:space="preserve"> General,</w:t>
      </w:r>
    </w:p>
    <w:p w14:paraId="10F57407" w14:textId="6A4604D8" w:rsidR="00577276" w:rsidRPr="00932644" w:rsidRDefault="00577276" w:rsidP="001D2C04">
      <w:pPr>
        <w:spacing w:before="120" w:after="120"/>
        <w:ind w:left="567" w:hanging="567"/>
        <w:jc w:val="both"/>
        <w:rPr>
          <w:rFonts w:ascii="Arial" w:eastAsia="SimSun" w:hAnsi="Arial" w:cs="Arial"/>
          <w:sz w:val="22"/>
          <w:szCs w:val="22"/>
          <w:lang w:val="es-419"/>
        </w:rPr>
      </w:pPr>
      <w:r w:rsidRPr="00932644">
        <w:rPr>
          <w:rFonts w:ascii="Arial" w:eastAsia="SimSun" w:hAnsi="Arial" w:cs="Arial"/>
          <w:sz w:val="22"/>
          <w:szCs w:val="22"/>
          <w:lang w:val="es-419"/>
        </w:rPr>
        <w:t>1.</w:t>
      </w:r>
      <w:r w:rsidRPr="00932644">
        <w:rPr>
          <w:rFonts w:ascii="Arial" w:eastAsia="SimSun" w:hAnsi="Arial" w:cs="Arial"/>
          <w:sz w:val="22"/>
          <w:szCs w:val="22"/>
          <w:lang w:val="es-419"/>
        </w:rPr>
        <w:tab/>
      </w:r>
      <w:r w:rsidRPr="00932644">
        <w:rPr>
          <w:rFonts w:ascii="Arial" w:eastAsia="SimSun" w:hAnsi="Arial" w:cs="Arial"/>
          <w:sz w:val="22"/>
          <w:szCs w:val="22"/>
          <w:u w:val="single"/>
          <w:lang w:val="es-419"/>
        </w:rPr>
        <w:t>Habiendo examinado</w:t>
      </w:r>
      <w:r w:rsidRPr="00932644">
        <w:rPr>
          <w:rFonts w:ascii="Arial" w:eastAsia="SimSun" w:hAnsi="Arial" w:cs="Arial"/>
          <w:sz w:val="22"/>
          <w:szCs w:val="22"/>
          <w:lang w:val="es-419"/>
        </w:rPr>
        <w:t xml:space="preserve"> el documento </w:t>
      </w:r>
      <w:hyperlink r:id="rId10" w:history="1">
        <w:r w:rsidRPr="00932644">
          <w:rPr>
            <w:rStyle w:val="Lienhypertexte"/>
            <w:rFonts w:ascii="Arial" w:eastAsia="SimSun" w:hAnsi="Arial" w:cs="Arial"/>
            <w:sz w:val="22"/>
            <w:szCs w:val="22"/>
            <w:lang w:val="es-419"/>
          </w:rPr>
          <w:t>LHE/20/8.GA/4</w:t>
        </w:r>
      </w:hyperlink>
      <w:r w:rsidRPr="00932644">
        <w:rPr>
          <w:rFonts w:ascii="Arial" w:eastAsia="SimSun" w:hAnsi="Arial" w:cs="Arial"/>
          <w:sz w:val="22"/>
          <w:szCs w:val="22"/>
          <w:lang w:val="es-419"/>
        </w:rPr>
        <w:t>,</w:t>
      </w:r>
    </w:p>
    <w:p w14:paraId="3370F22E" w14:textId="77777777" w:rsidR="00577276" w:rsidRPr="00932644" w:rsidRDefault="00577276" w:rsidP="001D2C04">
      <w:pPr>
        <w:spacing w:before="120" w:after="120"/>
        <w:ind w:left="567" w:hanging="567"/>
        <w:jc w:val="both"/>
        <w:rPr>
          <w:rFonts w:ascii="Arial" w:eastAsia="SimSun" w:hAnsi="Arial" w:cs="Arial"/>
          <w:sz w:val="22"/>
          <w:szCs w:val="22"/>
          <w:lang w:val="es-419"/>
        </w:rPr>
      </w:pPr>
      <w:r w:rsidRPr="00932644">
        <w:rPr>
          <w:rFonts w:ascii="Arial" w:eastAsia="SimSun" w:hAnsi="Arial" w:cs="Arial"/>
          <w:sz w:val="22"/>
          <w:szCs w:val="22"/>
          <w:lang w:val="es-419"/>
        </w:rPr>
        <w:t>2.</w:t>
      </w:r>
      <w:r w:rsidRPr="00932644">
        <w:rPr>
          <w:rFonts w:ascii="Arial" w:eastAsia="SimSun" w:hAnsi="Arial" w:cs="Arial"/>
          <w:sz w:val="22"/>
          <w:szCs w:val="22"/>
          <w:lang w:val="es-419"/>
        </w:rPr>
        <w:tab/>
      </w:r>
      <w:r w:rsidRPr="00932644">
        <w:rPr>
          <w:rFonts w:ascii="Arial" w:eastAsia="SimSun" w:hAnsi="Arial" w:cs="Arial"/>
          <w:sz w:val="22"/>
          <w:szCs w:val="22"/>
          <w:u w:val="single"/>
          <w:lang w:val="es-419"/>
        </w:rPr>
        <w:t>Recordando</w:t>
      </w:r>
      <w:r w:rsidRPr="00932644">
        <w:rPr>
          <w:rFonts w:ascii="Arial" w:eastAsia="SimSun" w:hAnsi="Arial" w:cs="Arial"/>
          <w:sz w:val="22"/>
          <w:szCs w:val="22"/>
          <w:lang w:val="es-419"/>
        </w:rPr>
        <w:t xml:space="preserve"> el artículo 6 de la Convención,</w:t>
      </w:r>
    </w:p>
    <w:p w14:paraId="0F07AD0D" w14:textId="7A6419D9" w:rsidR="00577276" w:rsidRPr="00932644" w:rsidRDefault="00577276" w:rsidP="001D2C04">
      <w:pPr>
        <w:spacing w:before="120" w:after="120"/>
        <w:ind w:left="567" w:hanging="567"/>
        <w:jc w:val="both"/>
        <w:rPr>
          <w:rFonts w:ascii="Arial" w:eastAsia="SimSun" w:hAnsi="Arial" w:cs="Arial"/>
          <w:sz w:val="22"/>
          <w:szCs w:val="22"/>
          <w:lang w:val="es-419"/>
        </w:rPr>
      </w:pPr>
      <w:r w:rsidRPr="00932644">
        <w:rPr>
          <w:rFonts w:ascii="Arial" w:eastAsia="SimSun" w:hAnsi="Arial" w:cs="Arial"/>
          <w:sz w:val="22"/>
          <w:szCs w:val="22"/>
          <w:lang w:val="es-419"/>
        </w:rPr>
        <w:t>3.</w:t>
      </w:r>
      <w:r w:rsidRPr="00932644">
        <w:rPr>
          <w:rFonts w:ascii="Arial" w:eastAsia="SimSun" w:hAnsi="Arial" w:cs="Arial"/>
          <w:sz w:val="22"/>
          <w:szCs w:val="22"/>
          <w:lang w:val="es-419"/>
        </w:rPr>
        <w:tab/>
      </w:r>
      <w:r w:rsidRPr="00932644">
        <w:rPr>
          <w:rFonts w:ascii="Arial" w:eastAsia="SimSun" w:hAnsi="Arial" w:cs="Arial"/>
          <w:sz w:val="22"/>
          <w:szCs w:val="22"/>
          <w:u w:val="single"/>
          <w:lang w:val="es-419"/>
        </w:rPr>
        <w:t>Recordando también</w:t>
      </w:r>
      <w:r w:rsidRPr="00932644">
        <w:rPr>
          <w:rFonts w:ascii="Arial" w:eastAsia="SimSun" w:hAnsi="Arial" w:cs="Arial"/>
          <w:sz w:val="22"/>
          <w:szCs w:val="22"/>
          <w:lang w:val="es-419"/>
        </w:rPr>
        <w:t xml:space="preserve"> el Artículo 13 de su Reglamento y la </w:t>
      </w:r>
      <w:hyperlink r:id="rId11" w:history="1">
        <w:r w:rsidR="006A0A98" w:rsidRPr="00932644">
          <w:rPr>
            <w:rStyle w:val="Lienhypertexte"/>
            <w:rFonts w:ascii="Arial" w:eastAsia="SimSun" w:hAnsi="Arial" w:cs="Arial"/>
            <w:sz w:val="22"/>
            <w:szCs w:val="22"/>
            <w:lang w:val="es-419"/>
          </w:rPr>
          <w:t>Resolución 3.GA 12</w:t>
        </w:r>
      </w:hyperlink>
      <w:r w:rsidRPr="00932644">
        <w:rPr>
          <w:rFonts w:ascii="Arial" w:eastAsia="SimSun" w:hAnsi="Arial" w:cs="Arial"/>
          <w:sz w:val="22"/>
          <w:szCs w:val="22"/>
          <w:lang w:val="es-419"/>
        </w:rPr>
        <w:t>,</w:t>
      </w:r>
    </w:p>
    <w:p w14:paraId="34867323" w14:textId="77777777" w:rsidR="00577276" w:rsidRPr="00932644" w:rsidRDefault="00577276" w:rsidP="001D2C04">
      <w:pPr>
        <w:spacing w:before="120" w:after="120"/>
        <w:ind w:left="567" w:hanging="567"/>
        <w:jc w:val="both"/>
        <w:rPr>
          <w:lang w:val="es-419"/>
        </w:rPr>
      </w:pPr>
      <w:r w:rsidRPr="00932644">
        <w:rPr>
          <w:rFonts w:ascii="Arial" w:eastAsia="SimSun" w:hAnsi="Arial" w:cs="Arial"/>
          <w:sz w:val="22"/>
          <w:szCs w:val="22"/>
          <w:lang w:val="es-419"/>
        </w:rPr>
        <w:t>4.</w:t>
      </w:r>
      <w:r w:rsidRPr="00932644">
        <w:rPr>
          <w:rFonts w:ascii="Arial" w:eastAsia="SimSun" w:hAnsi="Arial" w:cs="Arial"/>
          <w:sz w:val="22"/>
          <w:szCs w:val="22"/>
          <w:lang w:val="es-419"/>
        </w:rPr>
        <w:tab/>
      </w:r>
      <w:r w:rsidRPr="00932644">
        <w:rPr>
          <w:rFonts w:ascii="Arial" w:eastAsia="SimSun" w:hAnsi="Arial" w:cs="Arial"/>
          <w:sz w:val="22"/>
          <w:szCs w:val="22"/>
          <w:u w:val="single"/>
          <w:lang w:val="es-419"/>
        </w:rPr>
        <w:t>Decide</w:t>
      </w:r>
      <w:r w:rsidRPr="00932644">
        <w:rPr>
          <w:rFonts w:ascii="Arial" w:eastAsia="SimSun" w:hAnsi="Arial" w:cs="Arial"/>
          <w:sz w:val="22"/>
          <w:szCs w:val="22"/>
          <w:lang w:val="es-419"/>
        </w:rPr>
        <w:t xml:space="preserve"> </w:t>
      </w:r>
      <w:r w:rsidR="00735BF7" w:rsidRPr="00932644">
        <w:rPr>
          <w:rFonts w:ascii="Arial" w:eastAsia="SimSun" w:hAnsi="Arial" w:cs="Arial"/>
          <w:sz w:val="22"/>
          <w:szCs w:val="22"/>
          <w:lang w:val="es-419"/>
        </w:rPr>
        <w:t>que,</w:t>
      </w:r>
      <w:r w:rsidRPr="00932644">
        <w:rPr>
          <w:rFonts w:ascii="Arial" w:eastAsia="SimSun" w:hAnsi="Arial" w:cs="Arial"/>
          <w:sz w:val="22"/>
          <w:szCs w:val="22"/>
          <w:lang w:val="es-419"/>
        </w:rPr>
        <w:t xml:space="preserve"> para la elección en su octava reunión, los 24 puestos del Comité se distribuirán entre los grupos electorales de la siguiente manera: Grupo I, tres puestos; Grupo II, tres puestos; Grupo III, cuatro puestos; Grupo IV, cinco puestos; Grupo V (a), seis puestos; Grupo V (b), tres puestos.</w:t>
      </w:r>
    </w:p>
    <w:p w14:paraId="24FBCE06" w14:textId="796724F3" w:rsidR="00577276" w:rsidRPr="00932644" w:rsidRDefault="00577276" w:rsidP="00577276">
      <w:pPr>
        <w:pStyle w:val="GATitleResolution"/>
        <w:rPr>
          <w:lang w:val="es-419"/>
        </w:rPr>
      </w:pPr>
      <w:r w:rsidRPr="00932644">
        <w:rPr>
          <w:bCs/>
          <w:lang w:val="es-419"/>
        </w:rPr>
        <w:t>RESOLUCIÓN 8.GA 5</w:t>
      </w:r>
    </w:p>
    <w:p w14:paraId="6B1B7A85" w14:textId="77777777" w:rsidR="00577276" w:rsidRPr="00932644" w:rsidRDefault="00577276" w:rsidP="001D2C04">
      <w:pPr>
        <w:pStyle w:val="GAPreambulaResolution"/>
        <w:ind w:left="0"/>
        <w:rPr>
          <w:rFonts w:eastAsia="SimSun"/>
          <w:lang w:val="es-419"/>
        </w:rPr>
      </w:pPr>
      <w:r w:rsidRPr="00932644">
        <w:rPr>
          <w:lang w:val="es-419"/>
        </w:rPr>
        <w:t>La Asamblea General,</w:t>
      </w:r>
    </w:p>
    <w:p w14:paraId="18381EF4" w14:textId="6C105D92" w:rsidR="00577276" w:rsidRPr="00932644" w:rsidRDefault="00577276" w:rsidP="001D2C04">
      <w:pPr>
        <w:pStyle w:val="COMParaDecision"/>
        <w:numPr>
          <w:ilvl w:val="0"/>
          <w:numId w:val="4"/>
        </w:numPr>
        <w:ind w:left="567" w:hanging="567"/>
        <w:rPr>
          <w:lang w:val="es-419"/>
        </w:rPr>
      </w:pPr>
      <w:r w:rsidRPr="00932644">
        <w:rPr>
          <w:lang w:val="es-419"/>
        </w:rPr>
        <w:t>Habiendo examinado</w:t>
      </w:r>
      <w:r w:rsidRPr="00932644">
        <w:rPr>
          <w:u w:val="none"/>
          <w:lang w:val="es-419"/>
        </w:rPr>
        <w:t xml:space="preserve"> el documento </w:t>
      </w:r>
      <w:hyperlink r:id="rId12" w:history="1">
        <w:r w:rsidRPr="00932644">
          <w:rPr>
            <w:rStyle w:val="Lienhypertexte"/>
            <w:lang w:val="es-419"/>
          </w:rPr>
          <w:t>LHE/20/8.GA/5</w:t>
        </w:r>
      </w:hyperlink>
      <w:r w:rsidR="00FB6961" w:rsidRPr="00932644">
        <w:rPr>
          <w:u w:val="none"/>
          <w:lang w:val="es-419"/>
        </w:rPr>
        <w:t xml:space="preserve"> y su anexo</w:t>
      </w:r>
      <w:r w:rsidRPr="00932644">
        <w:rPr>
          <w:u w:val="none"/>
          <w:lang w:val="es-419"/>
        </w:rPr>
        <w:t>,</w:t>
      </w:r>
    </w:p>
    <w:p w14:paraId="3C083A00" w14:textId="77777777" w:rsidR="00577276" w:rsidRPr="00932644" w:rsidRDefault="00577276" w:rsidP="001D2C04">
      <w:pPr>
        <w:pStyle w:val="COMParaDecision"/>
        <w:numPr>
          <w:ilvl w:val="0"/>
          <w:numId w:val="4"/>
        </w:numPr>
        <w:ind w:left="567" w:hanging="567"/>
        <w:rPr>
          <w:lang w:val="es-419"/>
        </w:rPr>
      </w:pPr>
      <w:r w:rsidRPr="00932644">
        <w:rPr>
          <w:lang w:val="es-419"/>
        </w:rPr>
        <w:t>Recordando</w:t>
      </w:r>
      <w:r w:rsidRPr="00932644">
        <w:rPr>
          <w:u w:val="none"/>
          <w:lang w:val="es-419"/>
        </w:rPr>
        <w:t xml:space="preserve"> el Artículo 30 de la Convención,</w:t>
      </w:r>
    </w:p>
    <w:p w14:paraId="22A5F728" w14:textId="5C2CF2C1" w:rsidR="00577276" w:rsidRPr="00932644" w:rsidRDefault="00577276" w:rsidP="003C7D0D">
      <w:pPr>
        <w:pStyle w:val="COMParaDecision"/>
        <w:numPr>
          <w:ilvl w:val="0"/>
          <w:numId w:val="4"/>
        </w:numPr>
        <w:ind w:left="567" w:hanging="567"/>
        <w:rPr>
          <w:u w:val="none"/>
          <w:lang w:val="es-419"/>
        </w:rPr>
      </w:pPr>
      <w:r w:rsidRPr="00932644">
        <w:rPr>
          <w:lang w:val="es-419"/>
        </w:rPr>
        <w:t>Da la bienvenida</w:t>
      </w:r>
      <w:r w:rsidRPr="00932644">
        <w:rPr>
          <w:u w:val="none"/>
          <w:lang w:val="es-419"/>
        </w:rPr>
        <w:t xml:space="preserve"> a las Islas Salomón</w:t>
      </w:r>
      <w:r w:rsidR="00EA3CB3" w:rsidRPr="00932644">
        <w:rPr>
          <w:u w:val="none"/>
          <w:lang w:val="es-419"/>
        </w:rPr>
        <w:t>, Kiribati y Singapur</w:t>
      </w:r>
      <w:r w:rsidRPr="00932644">
        <w:rPr>
          <w:u w:val="none"/>
          <w:lang w:val="es-419"/>
        </w:rPr>
        <w:t xml:space="preserve">, que ratificaron la Convención durante el período examinado y </w:t>
      </w:r>
      <w:r w:rsidRPr="00932644">
        <w:rPr>
          <w:lang w:val="es-419"/>
        </w:rPr>
        <w:t>expresa su satisfacción</w:t>
      </w:r>
      <w:r w:rsidRPr="00932644">
        <w:rPr>
          <w:u w:val="none"/>
          <w:lang w:val="es-419"/>
        </w:rPr>
        <w:t xml:space="preserve"> por la elevada tasa de ratificación en todas las regiones;</w:t>
      </w:r>
    </w:p>
    <w:p w14:paraId="54077540" w14:textId="77777777" w:rsidR="00577276" w:rsidRPr="00932644" w:rsidRDefault="00577276" w:rsidP="001D2C04">
      <w:pPr>
        <w:pStyle w:val="COMParaDecision"/>
        <w:numPr>
          <w:ilvl w:val="0"/>
          <w:numId w:val="4"/>
        </w:numPr>
        <w:ind w:left="567" w:hanging="567"/>
        <w:rPr>
          <w:lang w:val="es-419"/>
        </w:rPr>
      </w:pPr>
      <w:r w:rsidRPr="00932644">
        <w:rPr>
          <w:lang w:val="es-419"/>
        </w:rPr>
        <w:t>Toma nota</w:t>
      </w:r>
      <w:r w:rsidRPr="00932644">
        <w:rPr>
          <w:u w:val="none"/>
          <w:lang w:val="es-419"/>
        </w:rPr>
        <w:t xml:space="preserve"> del informe del Comité para la Asamblea General sobre sus actividades entre enero de 2018 y diciembre de 2019, anexo a este documento, y </w:t>
      </w:r>
      <w:r w:rsidRPr="00932644">
        <w:rPr>
          <w:lang w:val="es-419"/>
        </w:rPr>
        <w:t>agradece</w:t>
      </w:r>
      <w:r w:rsidRPr="00932644">
        <w:rPr>
          <w:u w:val="none"/>
          <w:lang w:val="es-419"/>
        </w:rPr>
        <w:t xml:space="preserve"> al Comité por su productiva labor;</w:t>
      </w:r>
    </w:p>
    <w:p w14:paraId="3D29E92C" w14:textId="67CA421B" w:rsidR="00577276" w:rsidRPr="00932644" w:rsidRDefault="00577276" w:rsidP="003C7D0D">
      <w:pPr>
        <w:pStyle w:val="COMParaDecision"/>
        <w:numPr>
          <w:ilvl w:val="0"/>
          <w:numId w:val="4"/>
        </w:numPr>
        <w:ind w:left="567" w:hanging="567"/>
        <w:rPr>
          <w:u w:val="none"/>
          <w:lang w:val="es-419"/>
        </w:rPr>
      </w:pPr>
      <w:r w:rsidRPr="00932644">
        <w:rPr>
          <w:lang w:val="es-419"/>
        </w:rPr>
        <w:t>Felicita</w:t>
      </w:r>
      <w:r w:rsidRPr="00932644">
        <w:rPr>
          <w:u w:val="none"/>
          <w:lang w:val="es-419"/>
        </w:rPr>
        <w:t xml:space="preserve"> al Comité por el progreso obtenido en materia de gobernanza de la Convención, en particular mediante la reforma del mecanismo de presentación de informes periódicos que a) tiene por objeto mejorar la baja tasa de presentación de informes, b) se ha ajustado al marco </w:t>
      </w:r>
      <w:r w:rsidR="00ED4A19" w:rsidRPr="00932644">
        <w:rPr>
          <w:u w:val="none"/>
          <w:lang w:val="es-419"/>
        </w:rPr>
        <w:t xml:space="preserve">global </w:t>
      </w:r>
      <w:r w:rsidRPr="00932644">
        <w:rPr>
          <w:u w:val="none"/>
          <w:lang w:val="es-419"/>
        </w:rPr>
        <w:t xml:space="preserve">de resultados y c) seguirá un ciclo regional de presentación de informes, y como tal </w:t>
      </w:r>
      <w:r w:rsidRPr="00932644">
        <w:rPr>
          <w:lang w:val="es-419"/>
        </w:rPr>
        <w:t>expresa su esperanza</w:t>
      </w:r>
      <w:r w:rsidRPr="00932644">
        <w:rPr>
          <w:u w:val="none"/>
          <w:lang w:val="es-419"/>
        </w:rPr>
        <w:t xml:space="preserve"> </w:t>
      </w:r>
      <w:r w:rsidR="00ED4A19" w:rsidRPr="00932644">
        <w:rPr>
          <w:u w:val="none"/>
          <w:lang w:val="es-419"/>
        </w:rPr>
        <w:t xml:space="preserve">de </w:t>
      </w:r>
      <w:r w:rsidRPr="00932644">
        <w:rPr>
          <w:u w:val="none"/>
          <w:lang w:val="es-419"/>
        </w:rPr>
        <w:t>que el mecanismo reformado sirva de instrumento útil para supervisar los logros y los efectos de la Convención a diversos niveles en todas las regiones;</w:t>
      </w:r>
    </w:p>
    <w:p w14:paraId="0BE31D6C" w14:textId="5B1B032D" w:rsidR="00577276" w:rsidRPr="00932644" w:rsidRDefault="00577276" w:rsidP="001D2C04">
      <w:pPr>
        <w:pStyle w:val="COMParaDecision"/>
        <w:numPr>
          <w:ilvl w:val="0"/>
          <w:numId w:val="4"/>
        </w:numPr>
        <w:ind w:left="567" w:hanging="567"/>
        <w:rPr>
          <w:u w:val="none"/>
          <w:lang w:val="es-419"/>
        </w:rPr>
      </w:pPr>
      <w:r w:rsidRPr="00932644">
        <w:rPr>
          <w:lang w:val="es-419"/>
        </w:rPr>
        <w:t>Felicita también</w:t>
      </w:r>
      <w:r w:rsidRPr="00932644">
        <w:rPr>
          <w:u w:val="none"/>
          <w:lang w:val="es-419"/>
        </w:rPr>
        <w:t xml:space="preserve"> al Comité por la importancia que sigue atribuyendo al fortalecimiento de capacidades para la implementación de la Convención mediante el programa mundial de fortalecimiento de capacidades, y </w:t>
      </w:r>
      <w:r w:rsidR="00EA3CB3" w:rsidRPr="00932644">
        <w:rPr>
          <w:lang w:val="es-419"/>
        </w:rPr>
        <w:t>toma nota</w:t>
      </w:r>
      <w:r w:rsidRPr="00932644">
        <w:rPr>
          <w:lang w:val="es-419"/>
        </w:rPr>
        <w:t xml:space="preserve"> con satisfacción</w:t>
      </w:r>
      <w:r w:rsidRPr="00932644">
        <w:rPr>
          <w:u w:val="none"/>
          <w:lang w:val="es-419"/>
        </w:rPr>
        <w:t xml:space="preserve"> </w:t>
      </w:r>
      <w:r w:rsidR="00EA3CB3" w:rsidRPr="00932644">
        <w:rPr>
          <w:u w:val="none"/>
          <w:lang w:val="es-419"/>
        </w:rPr>
        <w:t xml:space="preserve">de </w:t>
      </w:r>
      <w:r w:rsidRPr="00932644">
        <w:rPr>
          <w:u w:val="none"/>
          <w:lang w:val="es-419"/>
        </w:rPr>
        <w:t>las iniciativas relacionadas con la salvaguardia del patrimonio cultural inmaterial en la educación formal y no formal;</w:t>
      </w:r>
    </w:p>
    <w:p w14:paraId="22EC62F2" w14:textId="77777777" w:rsidR="00577276" w:rsidRPr="00932644" w:rsidRDefault="00577276" w:rsidP="001D2C04">
      <w:pPr>
        <w:pStyle w:val="COMParaDecision"/>
        <w:numPr>
          <w:ilvl w:val="0"/>
          <w:numId w:val="4"/>
        </w:numPr>
        <w:ind w:left="567" w:hanging="567"/>
        <w:rPr>
          <w:u w:val="none"/>
          <w:lang w:val="es-419"/>
        </w:rPr>
      </w:pPr>
      <w:r w:rsidRPr="00932644">
        <w:rPr>
          <w:lang w:val="es-419"/>
        </w:rPr>
        <w:t>Destaca</w:t>
      </w:r>
      <w:r w:rsidRPr="00932644">
        <w:rPr>
          <w:u w:val="none"/>
          <w:lang w:val="es-419"/>
        </w:rPr>
        <w:t xml:space="preserve"> la importante función que la salvaguardia del patrimonio cultural inmaterial puede desempeñar en el apoyo de la construcción de la paz y la cooperación, en particular en lo que respecta a la decisión del Comité sobre la inscripción conjunta de un elemento (</w:t>
      </w:r>
      <w:hyperlink r:id="rId13" w:history="1">
        <w:r w:rsidRPr="00932644">
          <w:rPr>
            <w:rStyle w:val="Lienhypertexte"/>
            <w:lang w:val="es-419"/>
          </w:rPr>
          <w:t>Decisión 13.COM 10.b.41</w:t>
        </w:r>
      </w:hyperlink>
      <w:r w:rsidRPr="00932644">
        <w:rPr>
          <w:u w:val="none"/>
          <w:lang w:val="es-419"/>
        </w:rPr>
        <w:t>);</w:t>
      </w:r>
    </w:p>
    <w:p w14:paraId="619CA5EB" w14:textId="56EDD214" w:rsidR="00577276" w:rsidRPr="00932644" w:rsidRDefault="00577276" w:rsidP="001D2C04">
      <w:pPr>
        <w:pStyle w:val="COMParaDecision"/>
        <w:numPr>
          <w:ilvl w:val="0"/>
          <w:numId w:val="4"/>
        </w:numPr>
        <w:ind w:left="567" w:hanging="567"/>
        <w:rPr>
          <w:u w:val="none"/>
          <w:lang w:val="es-419"/>
        </w:rPr>
      </w:pPr>
      <w:r w:rsidRPr="00932644">
        <w:rPr>
          <w:lang w:val="es-419"/>
        </w:rPr>
        <w:t>Destaca</w:t>
      </w:r>
      <w:r w:rsidRPr="00932644">
        <w:rPr>
          <w:u w:val="none"/>
          <w:lang w:val="es-419"/>
        </w:rPr>
        <w:t xml:space="preserve"> la importancia de la reflexión iniciada por el Comité sobre la naturaleza y los propósitos de los mecanismos de </w:t>
      </w:r>
      <w:r w:rsidR="00ED4A19" w:rsidRPr="00932644">
        <w:rPr>
          <w:u w:val="none"/>
          <w:lang w:val="es-419"/>
        </w:rPr>
        <w:t xml:space="preserve">inscripción </w:t>
      </w:r>
      <w:r w:rsidRPr="00932644">
        <w:rPr>
          <w:u w:val="none"/>
          <w:lang w:val="es-419"/>
        </w:rPr>
        <w:t>en la</w:t>
      </w:r>
      <w:r w:rsidR="00ED4A19" w:rsidRPr="00932644">
        <w:rPr>
          <w:u w:val="none"/>
          <w:lang w:val="es-419"/>
        </w:rPr>
        <w:t>s</w:t>
      </w:r>
      <w:r w:rsidRPr="00932644">
        <w:rPr>
          <w:u w:val="none"/>
          <w:lang w:val="es-419"/>
        </w:rPr>
        <w:t xml:space="preserve"> lista</w:t>
      </w:r>
      <w:r w:rsidR="00ED4A19" w:rsidRPr="00932644">
        <w:rPr>
          <w:u w:val="none"/>
          <w:lang w:val="es-419"/>
        </w:rPr>
        <w:t>s</w:t>
      </w:r>
      <w:r w:rsidRPr="00932644">
        <w:rPr>
          <w:u w:val="none"/>
          <w:lang w:val="es-419"/>
        </w:rPr>
        <w:t xml:space="preserve"> </w:t>
      </w:r>
      <w:r w:rsidR="004E2013" w:rsidRPr="00932644">
        <w:rPr>
          <w:u w:val="none"/>
          <w:lang w:val="es-419"/>
        </w:rPr>
        <w:t xml:space="preserve">de </w:t>
      </w:r>
      <w:r w:rsidRPr="00932644">
        <w:rPr>
          <w:u w:val="none"/>
          <w:lang w:val="es-419"/>
        </w:rPr>
        <w:t xml:space="preserve">la Convención, incluido el seguimiento de los elementos inscritos como parte de esta reflexión más amplia, y </w:t>
      </w:r>
      <w:r w:rsidRPr="00932644">
        <w:rPr>
          <w:lang w:val="es-419"/>
        </w:rPr>
        <w:t>acoge con satisfacción</w:t>
      </w:r>
      <w:r w:rsidRPr="00932644">
        <w:rPr>
          <w:u w:val="none"/>
          <w:lang w:val="es-419"/>
        </w:rPr>
        <w:t xml:space="preserve"> las medidas iniciales adoptadas para mejorar el proceso de inscripción a través del proceso de diálogo previo;</w:t>
      </w:r>
    </w:p>
    <w:p w14:paraId="51961790" w14:textId="4D23DF02" w:rsidR="00577276" w:rsidRPr="00932644" w:rsidRDefault="00735BF7" w:rsidP="001D2C04">
      <w:pPr>
        <w:pStyle w:val="COMParaDecision"/>
        <w:numPr>
          <w:ilvl w:val="0"/>
          <w:numId w:val="4"/>
        </w:numPr>
        <w:ind w:left="567" w:hanging="567"/>
        <w:rPr>
          <w:u w:val="none"/>
          <w:lang w:val="es-419"/>
        </w:rPr>
      </w:pPr>
      <w:r w:rsidRPr="00932644">
        <w:rPr>
          <w:lang w:val="es-419"/>
        </w:rPr>
        <w:t>Reconoc</w:t>
      </w:r>
      <w:r w:rsidR="00182EBE" w:rsidRPr="00932644">
        <w:rPr>
          <w:lang w:val="es-419"/>
        </w:rPr>
        <w:t>e</w:t>
      </w:r>
      <w:r w:rsidRPr="00932644">
        <w:rPr>
          <w:lang w:val="es-419"/>
        </w:rPr>
        <w:t xml:space="preserve"> </w:t>
      </w:r>
      <w:r w:rsidR="00577276" w:rsidRPr="00932644">
        <w:rPr>
          <w:u w:val="none"/>
          <w:lang w:val="es-419"/>
        </w:rPr>
        <w:t xml:space="preserve"> la decisión</w:t>
      </w:r>
      <w:r w:rsidRPr="00932644">
        <w:rPr>
          <w:u w:val="none"/>
          <w:lang w:val="es-419"/>
        </w:rPr>
        <w:t xml:space="preserve"> unánime</w:t>
      </w:r>
      <w:r w:rsidR="00577276" w:rsidRPr="00932644">
        <w:rPr>
          <w:u w:val="none"/>
          <w:lang w:val="es-419"/>
        </w:rPr>
        <w:t xml:space="preserve"> del Comité de suprimir un elemento de una de las Listas de la Convención, de conformidad con los principios fundacionales de la UNESCO y los principios de la Convención sobre la dignidad, la igualdad y el respeto mutuo entre los pueblos (</w:t>
      </w:r>
      <w:hyperlink r:id="rId14" w:history="1">
        <w:r w:rsidR="00577276" w:rsidRPr="00932644">
          <w:rPr>
            <w:rStyle w:val="Lienhypertexte"/>
            <w:lang w:val="es-419"/>
          </w:rPr>
          <w:t>Decisión 14.COM 12</w:t>
        </w:r>
      </w:hyperlink>
      <w:r w:rsidR="00577276" w:rsidRPr="00932644">
        <w:rPr>
          <w:u w:val="none"/>
          <w:lang w:val="es-419"/>
        </w:rPr>
        <w:t>);</w:t>
      </w:r>
    </w:p>
    <w:p w14:paraId="0612DE6F" w14:textId="391CE522" w:rsidR="00577276" w:rsidRPr="00932644" w:rsidRDefault="00577276" w:rsidP="001D2C04">
      <w:pPr>
        <w:pStyle w:val="COMParaDecision"/>
        <w:numPr>
          <w:ilvl w:val="0"/>
          <w:numId w:val="4"/>
        </w:numPr>
        <w:ind w:left="567" w:hanging="567"/>
        <w:rPr>
          <w:u w:val="none"/>
          <w:lang w:val="es-419"/>
        </w:rPr>
      </w:pPr>
      <w:r w:rsidRPr="00932644">
        <w:rPr>
          <w:lang w:val="es-419"/>
        </w:rPr>
        <w:t>Agradece</w:t>
      </w:r>
      <w:r w:rsidRPr="00932644">
        <w:rPr>
          <w:u w:val="none"/>
          <w:lang w:val="es-419"/>
        </w:rPr>
        <w:t xml:space="preserve"> la reflexión que el Comité ha emprendido sobre el patrimonio cultural inmaterial en situaciones de emergencia, así como sobre la participación de las organizaciones no gubernamentales en la implementación de la Convención;</w:t>
      </w:r>
    </w:p>
    <w:p w14:paraId="264CC072" w14:textId="71839C2B" w:rsidR="005F2C7A" w:rsidRPr="00932644" w:rsidRDefault="00577276" w:rsidP="003C7D0D">
      <w:pPr>
        <w:pStyle w:val="5GAParaResolution"/>
        <w:numPr>
          <w:ilvl w:val="0"/>
          <w:numId w:val="4"/>
        </w:numPr>
        <w:ind w:left="567" w:hanging="567"/>
        <w:rPr>
          <w:bCs/>
          <w:lang w:val="es-419"/>
        </w:rPr>
      </w:pPr>
      <w:r w:rsidRPr="00932644">
        <w:rPr>
          <w:u w:val="single"/>
          <w:lang w:val="es-419"/>
        </w:rPr>
        <w:lastRenderedPageBreak/>
        <w:t>Solicita</w:t>
      </w:r>
      <w:r w:rsidRPr="00932644">
        <w:rPr>
          <w:lang w:val="es-419"/>
        </w:rPr>
        <w:t xml:space="preserve"> a la Directora General que transmita este informe a la Conferencia General de la UNESCO, de conformidad con lo dispuesto por el Artículo 30, párrafo 2 de la Convención.</w:t>
      </w:r>
    </w:p>
    <w:p w14:paraId="697F9AF2" w14:textId="2286C73A" w:rsidR="005F2C7A" w:rsidRPr="00932644" w:rsidRDefault="005F2C7A" w:rsidP="005F2C7A">
      <w:pPr>
        <w:pStyle w:val="GATitleResolution"/>
        <w:rPr>
          <w:lang w:val="es-419"/>
        </w:rPr>
      </w:pPr>
      <w:r w:rsidRPr="00932644">
        <w:rPr>
          <w:bCs/>
          <w:lang w:val="es-419"/>
        </w:rPr>
        <w:t>RESOLUCIÓN 8.GA 6</w:t>
      </w:r>
    </w:p>
    <w:p w14:paraId="5F682555" w14:textId="77777777" w:rsidR="005F2C7A" w:rsidRPr="00932644" w:rsidRDefault="005F2C7A" w:rsidP="001D2C04">
      <w:pPr>
        <w:pStyle w:val="GAPreambulaResolution"/>
        <w:ind w:left="0"/>
        <w:rPr>
          <w:lang w:val="es-419"/>
        </w:rPr>
      </w:pPr>
      <w:r w:rsidRPr="00932644">
        <w:rPr>
          <w:lang w:val="es-419"/>
        </w:rPr>
        <w:t>La Asamblea General,</w:t>
      </w:r>
    </w:p>
    <w:p w14:paraId="396D0B8A" w14:textId="58EBEC4D" w:rsidR="005F2C7A" w:rsidRPr="00932644" w:rsidRDefault="005F2C7A" w:rsidP="001D2C04">
      <w:pPr>
        <w:pStyle w:val="GAParaResolution"/>
        <w:numPr>
          <w:ilvl w:val="0"/>
          <w:numId w:val="56"/>
        </w:numPr>
        <w:ind w:left="567" w:hanging="567"/>
        <w:rPr>
          <w:u w:val="none"/>
          <w:lang w:val="es-419"/>
        </w:rPr>
      </w:pPr>
      <w:r w:rsidRPr="00932644">
        <w:rPr>
          <w:lang w:val="es-419"/>
        </w:rPr>
        <w:t>Habiendo</w:t>
      </w:r>
      <w:r w:rsidRPr="00932644">
        <w:rPr>
          <w:u w:val="none"/>
          <w:lang w:val="es-419"/>
        </w:rPr>
        <w:t xml:space="preserve"> examinado el documento </w:t>
      </w:r>
      <w:hyperlink r:id="rId15" w:history="1">
        <w:r w:rsidRPr="00932644">
          <w:rPr>
            <w:rStyle w:val="Lienhypertexte"/>
            <w:lang w:val="es-419"/>
          </w:rPr>
          <w:t>LHE/20/8.GA/6</w:t>
        </w:r>
      </w:hyperlink>
      <w:r w:rsidRPr="00932644">
        <w:rPr>
          <w:u w:val="none"/>
          <w:lang w:val="es-419"/>
        </w:rPr>
        <w:t>,</w:t>
      </w:r>
    </w:p>
    <w:p w14:paraId="276088EC" w14:textId="77777777" w:rsidR="005F2C7A" w:rsidRPr="00932644" w:rsidRDefault="005F2C7A" w:rsidP="001D2C04">
      <w:pPr>
        <w:pStyle w:val="COMParaDecision"/>
        <w:numPr>
          <w:ilvl w:val="0"/>
          <w:numId w:val="4"/>
        </w:numPr>
        <w:ind w:left="567" w:hanging="567"/>
        <w:rPr>
          <w:u w:val="none"/>
          <w:lang w:val="es-419"/>
        </w:rPr>
      </w:pPr>
      <w:r w:rsidRPr="00932644">
        <w:rPr>
          <w:lang w:val="es-419"/>
        </w:rPr>
        <w:t>Felicita</w:t>
      </w:r>
      <w:r w:rsidRPr="00932644">
        <w:rPr>
          <w:u w:val="none"/>
          <w:lang w:val="es-419"/>
        </w:rPr>
        <w:t xml:space="preserve"> a la Secretaría por el apoyo continuo y oportuno prestado para la buena gestión de la Convención mediante la organización eficiente de las reuniones estatutarias y la gestión de sus diversos mecanismos, y </w:t>
      </w:r>
      <w:r w:rsidRPr="00932644">
        <w:rPr>
          <w:lang w:val="es-419"/>
        </w:rPr>
        <w:t>toma nota con satisfacción</w:t>
      </w:r>
      <w:r w:rsidRPr="00932644">
        <w:rPr>
          <w:u w:val="none"/>
          <w:lang w:val="es-419"/>
        </w:rPr>
        <w:t xml:space="preserve"> de la puesta en marcha inicial de la reforma de la presentación de informes periódicos;</w:t>
      </w:r>
    </w:p>
    <w:p w14:paraId="3D718CC4" w14:textId="77777777" w:rsidR="005F2C7A" w:rsidRPr="00932644" w:rsidRDefault="005F2C7A" w:rsidP="001D2C04">
      <w:pPr>
        <w:pStyle w:val="COMParaDecision"/>
        <w:numPr>
          <w:ilvl w:val="0"/>
          <w:numId w:val="4"/>
        </w:numPr>
        <w:ind w:left="567" w:hanging="567"/>
        <w:rPr>
          <w:u w:val="none"/>
          <w:lang w:val="es-419"/>
        </w:rPr>
      </w:pPr>
      <w:r w:rsidRPr="00932644">
        <w:rPr>
          <w:lang w:val="es-419"/>
        </w:rPr>
        <w:t>Felicita también</w:t>
      </w:r>
      <w:r w:rsidRPr="00932644">
        <w:rPr>
          <w:u w:val="none"/>
          <w:lang w:val="es-419"/>
        </w:rPr>
        <w:t xml:space="preserve"> a la Secretaría por apoyar los primeros pasos de la reflexión sobre los mecanismos de inclusión en las listas mediante el seguimiento de los elementos inscritos y la aplicación del proceso de diálogo previo;</w:t>
      </w:r>
    </w:p>
    <w:p w14:paraId="48321C89" w14:textId="0EF2AB56" w:rsidR="005F2C7A" w:rsidRPr="00932644" w:rsidRDefault="005F2C7A" w:rsidP="003C7D0D">
      <w:pPr>
        <w:pStyle w:val="COMParaDecision"/>
        <w:numPr>
          <w:ilvl w:val="0"/>
          <w:numId w:val="4"/>
        </w:numPr>
        <w:ind w:left="567" w:hanging="567"/>
        <w:rPr>
          <w:u w:val="none"/>
          <w:lang w:val="es-419"/>
        </w:rPr>
      </w:pPr>
      <w:r w:rsidRPr="00932644">
        <w:rPr>
          <w:lang w:val="es-419"/>
        </w:rPr>
        <w:t>Aprecia</w:t>
      </w:r>
      <w:r w:rsidRPr="00932644">
        <w:rPr>
          <w:u w:val="none"/>
          <w:lang w:val="es-419"/>
        </w:rPr>
        <w:t xml:space="preserve"> los esfuerzos de la Secretaría por </w:t>
      </w:r>
      <w:r w:rsidR="0001126C" w:rsidRPr="00932644">
        <w:rPr>
          <w:u w:val="none"/>
          <w:lang w:val="es-419"/>
        </w:rPr>
        <w:t xml:space="preserve">reforzar el </w:t>
      </w:r>
      <w:r w:rsidRPr="00932644">
        <w:rPr>
          <w:u w:val="none"/>
          <w:lang w:val="es-419"/>
        </w:rPr>
        <w:t>funciona</w:t>
      </w:r>
      <w:r w:rsidR="0001126C" w:rsidRPr="00932644">
        <w:rPr>
          <w:u w:val="none"/>
          <w:lang w:val="es-419"/>
        </w:rPr>
        <w:t>miento</w:t>
      </w:r>
      <w:r w:rsidRPr="00932644">
        <w:rPr>
          <w:u w:val="none"/>
          <w:lang w:val="es-419"/>
        </w:rPr>
        <w:t xml:space="preserve"> </w:t>
      </w:r>
      <w:r w:rsidR="0001126C" w:rsidRPr="00932644">
        <w:rPr>
          <w:u w:val="none"/>
          <w:lang w:val="es-419"/>
        </w:rPr>
        <w:t>d</w:t>
      </w:r>
      <w:r w:rsidRPr="00932644">
        <w:rPr>
          <w:u w:val="none"/>
          <w:lang w:val="es-419"/>
        </w:rPr>
        <w:t>el mecanismo de asistencia internacional, que se tradujo en una mejora de los gastos del Fondo para el Patrimonio Cultural Inmaterial;</w:t>
      </w:r>
    </w:p>
    <w:p w14:paraId="457D8BBC" w14:textId="77777777" w:rsidR="005F2C7A" w:rsidRPr="00932644" w:rsidRDefault="005F2C7A" w:rsidP="001D2C04">
      <w:pPr>
        <w:pStyle w:val="COMParaDecision"/>
        <w:numPr>
          <w:ilvl w:val="0"/>
          <w:numId w:val="4"/>
        </w:numPr>
        <w:ind w:left="567" w:hanging="567"/>
        <w:rPr>
          <w:u w:val="none"/>
          <w:lang w:val="es-419"/>
        </w:rPr>
      </w:pPr>
      <w:r w:rsidRPr="00932644">
        <w:rPr>
          <w:lang w:val="es-419"/>
        </w:rPr>
        <w:t>Expresa su satisfacción</w:t>
      </w:r>
      <w:r w:rsidRPr="00932644">
        <w:rPr>
          <w:u w:val="none"/>
          <w:lang w:val="es-419"/>
        </w:rPr>
        <w:t xml:space="preserve"> por la estrategia global de fortalecimiento de las capacidades, observando la importante función de socios clave, como los centros de categoría 2, en la sostenibilidad del programa, y </w:t>
      </w:r>
      <w:r w:rsidRPr="00932644">
        <w:rPr>
          <w:lang w:val="es-419"/>
        </w:rPr>
        <w:t>acoge con satisfacción</w:t>
      </w:r>
      <w:r w:rsidRPr="00932644">
        <w:rPr>
          <w:u w:val="none"/>
          <w:lang w:val="es-419"/>
        </w:rPr>
        <w:t xml:space="preserve"> los firmes progresos realizados en la labor intersectorial de salvaguardia del patrimonio cultural inmaterial en la educación formal y no formal;</w:t>
      </w:r>
    </w:p>
    <w:p w14:paraId="7C668E93" w14:textId="77777777" w:rsidR="005F2C7A" w:rsidRPr="00932644" w:rsidRDefault="005F2C7A" w:rsidP="001D2C04">
      <w:pPr>
        <w:pStyle w:val="COMParaDecision"/>
        <w:numPr>
          <w:ilvl w:val="0"/>
          <w:numId w:val="4"/>
        </w:numPr>
        <w:ind w:left="567" w:hanging="567"/>
        <w:rPr>
          <w:u w:val="none"/>
          <w:lang w:val="es-419"/>
        </w:rPr>
      </w:pPr>
      <w:r w:rsidRPr="00932644">
        <w:rPr>
          <w:lang w:val="es-419"/>
        </w:rPr>
        <w:t>Toma nota</w:t>
      </w:r>
      <w:r w:rsidRPr="00932644">
        <w:rPr>
          <w:u w:val="none"/>
          <w:lang w:val="es-419"/>
        </w:rPr>
        <w:t xml:space="preserve"> de los progresos realizados en determinadas esferas temáticas, como la del patrimonio cultural inmaterial en situaciones de emergencia, así como la del patrimonio cultural inmaterial y los contextos urbanos, y </w:t>
      </w:r>
      <w:r w:rsidRPr="00932644">
        <w:rPr>
          <w:lang w:val="es-419"/>
        </w:rPr>
        <w:t>alienta</w:t>
      </w:r>
      <w:r w:rsidRPr="00932644">
        <w:rPr>
          <w:u w:val="none"/>
          <w:lang w:val="es-419"/>
        </w:rPr>
        <w:t xml:space="preserve"> a la Secretaría a que siga desarrollando otras iniciativas temáticas;</w:t>
      </w:r>
    </w:p>
    <w:p w14:paraId="05789118" w14:textId="77777777" w:rsidR="005F2C7A" w:rsidRPr="00932644" w:rsidRDefault="005F2C7A" w:rsidP="001D2C04">
      <w:pPr>
        <w:pStyle w:val="COMParaDecision"/>
        <w:numPr>
          <w:ilvl w:val="0"/>
          <w:numId w:val="4"/>
        </w:numPr>
        <w:ind w:left="567" w:hanging="567"/>
        <w:rPr>
          <w:u w:val="none"/>
          <w:lang w:val="es-419"/>
        </w:rPr>
      </w:pPr>
      <w:r w:rsidRPr="00932644">
        <w:rPr>
          <w:lang w:val="es-419"/>
        </w:rPr>
        <w:t>Aprecia además</w:t>
      </w:r>
      <w:r w:rsidRPr="00932644">
        <w:rPr>
          <w:u w:val="none"/>
          <w:lang w:val="es-419"/>
        </w:rPr>
        <w:t xml:space="preserve"> las iniciativas de comunicación y divulgación dirigidas a objetivos concretos, que aumentaron la visibilidad y el conocimiento de la Convención, y los proyectos innovadores en línea, en particular “Indague en el patrimonio vivo”, que llamaron la atención de nuevos públicos sobre el patrimonio cultural inmaterial;</w:t>
      </w:r>
    </w:p>
    <w:p w14:paraId="7D630A93" w14:textId="50A7ECDE" w:rsidR="005F2C7A" w:rsidRPr="00932644" w:rsidRDefault="005F2C7A" w:rsidP="001D2C04">
      <w:pPr>
        <w:pStyle w:val="COMParaDecision"/>
        <w:numPr>
          <w:ilvl w:val="0"/>
          <w:numId w:val="4"/>
        </w:numPr>
        <w:ind w:left="567" w:hanging="567"/>
        <w:rPr>
          <w:u w:val="none"/>
          <w:lang w:val="es-419"/>
        </w:rPr>
      </w:pPr>
      <w:r w:rsidRPr="00932644">
        <w:rPr>
          <w:lang w:val="es-419"/>
        </w:rPr>
        <w:t>Acoge con satisfacción</w:t>
      </w:r>
      <w:r w:rsidRPr="00932644">
        <w:rPr>
          <w:u w:val="none"/>
          <w:lang w:val="es-419"/>
        </w:rPr>
        <w:t xml:space="preserve"> la respuesta a la pandemia de COVID-19, incluida la encuesta y la plataforma web dedicada a ella, así como el fortalecimiento de capacidades en línea sobre la presentación de informes periódicos en América Latina y el Caribe, y </w:t>
      </w:r>
      <w:r w:rsidRPr="00932644">
        <w:rPr>
          <w:lang w:val="es-419"/>
        </w:rPr>
        <w:t>alienta</w:t>
      </w:r>
      <w:r w:rsidRPr="00932644">
        <w:rPr>
          <w:u w:val="none"/>
          <w:lang w:val="es-419"/>
        </w:rPr>
        <w:t xml:space="preserve"> a la Secretaría a que prosiga sus esfuerzos a ese respecto y comunique de forma general los resultados de la encuesta;</w:t>
      </w:r>
    </w:p>
    <w:p w14:paraId="5B99A6D5" w14:textId="77777777" w:rsidR="005F2C7A" w:rsidRPr="00932644" w:rsidRDefault="005F2C7A" w:rsidP="001D2C04">
      <w:pPr>
        <w:pStyle w:val="COMParaDecision"/>
        <w:numPr>
          <w:ilvl w:val="0"/>
          <w:numId w:val="4"/>
        </w:numPr>
        <w:ind w:left="567" w:hanging="567"/>
        <w:rPr>
          <w:u w:val="none"/>
          <w:lang w:val="es-419"/>
        </w:rPr>
      </w:pPr>
      <w:r w:rsidRPr="00932644">
        <w:rPr>
          <w:lang w:val="es-419"/>
        </w:rPr>
        <w:t>Solicita</w:t>
      </w:r>
      <w:r w:rsidRPr="00932644">
        <w:rPr>
          <w:u w:val="none"/>
          <w:lang w:val="es-419"/>
        </w:rPr>
        <w:t xml:space="preserve"> a la Secretaría que informe sobre sus actividades en el período comprendido entre enero de 2020 y diciembre de 2021 para que la Asamblea General las examine en su novena reunión.</w:t>
      </w:r>
    </w:p>
    <w:p w14:paraId="30A215EB" w14:textId="77777777" w:rsidR="005F2C7A" w:rsidRPr="00932644" w:rsidRDefault="005F2C7A" w:rsidP="005F2C7A">
      <w:pPr>
        <w:pStyle w:val="5GAParaResolution"/>
        <w:rPr>
          <w:bCs/>
          <w:lang w:val="es-419"/>
        </w:rPr>
        <w:sectPr w:rsidR="005F2C7A" w:rsidRPr="00932644" w:rsidSect="003E025A">
          <w:headerReference w:type="even" r:id="rId16"/>
          <w:headerReference w:type="default" r:id="rId17"/>
          <w:headerReference w:type="first" r:id="rId18"/>
          <w:pgSz w:w="11906" w:h="16838" w:code="9"/>
          <w:pgMar w:top="1418" w:right="1133" w:bottom="1134" w:left="1134" w:header="397" w:footer="284" w:gutter="0"/>
          <w:cols w:space="708"/>
          <w:titlePg/>
          <w:docGrid w:linePitch="360"/>
        </w:sectPr>
      </w:pPr>
    </w:p>
    <w:p w14:paraId="552F985C" w14:textId="37875C7C" w:rsidR="008D2F32" w:rsidRPr="00932644" w:rsidRDefault="008D2F32" w:rsidP="008D2F32">
      <w:pPr>
        <w:pStyle w:val="COMPara"/>
        <w:spacing w:before="360"/>
        <w:ind w:left="0" w:firstLine="0"/>
        <w:jc w:val="both"/>
        <w:rPr>
          <w:lang w:val="es-419"/>
        </w:rPr>
      </w:pPr>
      <w:r w:rsidRPr="00932644">
        <w:rPr>
          <w:b/>
          <w:lang w:val="es-419"/>
        </w:rPr>
        <w:lastRenderedPageBreak/>
        <w:t xml:space="preserve">RESOLUCIÓN 8.GA 6 Add. </w:t>
      </w:r>
    </w:p>
    <w:p w14:paraId="1DF4DFE9" w14:textId="77777777" w:rsidR="008D2F32" w:rsidRPr="00932644" w:rsidRDefault="008D2F32" w:rsidP="001D2C04">
      <w:pPr>
        <w:pStyle w:val="GAPreambulaResolution"/>
        <w:ind w:left="0"/>
        <w:rPr>
          <w:rFonts w:eastAsia="SimSun"/>
          <w:lang w:val="es-419"/>
        </w:rPr>
      </w:pPr>
      <w:r w:rsidRPr="00932644">
        <w:rPr>
          <w:lang w:val="es-419"/>
        </w:rPr>
        <w:t>La Asamblea General,</w:t>
      </w:r>
    </w:p>
    <w:p w14:paraId="563EA2FE" w14:textId="6D30C6E6" w:rsidR="008D2F32" w:rsidRPr="00932644" w:rsidRDefault="008D2F32" w:rsidP="001D2C04">
      <w:pPr>
        <w:pStyle w:val="GAParaResolution"/>
        <w:numPr>
          <w:ilvl w:val="0"/>
          <w:numId w:val="57"/>
        </w:numPr>
        <w:ind w:left="567" w:hanging="567"/>
        <w:rPr>
          <w:lang w:val="es-419"/>
        </w:rPr>
      </w:pPr>
      <w:r w:rsidRPr="00932644">
        <w:rPr>
          <w:lang w:val="es-419"/>
        </w:rPr>
        <w:t>Habiendo examinado</w:t>
      </w:r>
      <w:r w:rsidRPr="00932644">
        <w:rPr>
          <w:u w:val="none"/>
          <w:lang w:val="es-419"/>
        </w:rPr>
        <w:t xml:space="preserve"> el documento </w:t>
      </w:r>
      <w:hyperlink r:id="rId19" w:history="1">
        <w:r w:rsidRPr="00932644">
          <w:rPr>
            <w:rStyle w:val="Lienhypertexte"/>
            <w:lang w:val="es-419"/>
          </w:rPr>
          <w:t>LHE/20/8.GA/6 Add.</w:t>
        </w:r>
      </w:hyperlink>
      <w:r w:rsidR="00926E56" w:rsidRPr="00932644">
        <w:rPr>
          <w:u w:val="none"/>
          <w:lang w:val="es-419"/>
        </w:rPr>
        <w:t>,</w:t>
      </w:r>
    </w:p>
    <w:p w14:paraId="3BFFD0B3" w14:textId="0D87029D" w:rsidR="008D2F32" w:rsidRPr="00932644" w:rsidRDefault="008D2F32" w:rsidP="005925AC">
      <w:pPr>
        <w:pStyle w:val="COMParaDecision"/>
        <w:numPr>
          <w:ilvl w:val="0"/>
          <w:numId w:val="4"/>
        </w:numPr>
        <w:ind w:left="567" w:hanging="567"/>
        <w:rPr>
          <w:lang w:val="es-419"/>
        </w:rPr>
      </w:pPr>
      <w:r w:rsidRPr="00932644">
        <w:rPr>
          <w:lang w:val="es-419"/>
        </w:rPr>
        <w:t>Toma nota</w:t>
      </w:r>
      <w:r w:rsidRPr="00932644">
        <w:rPr>
          <w:u w:val="none"/>
          <w:lang w:val="es-419"/>
        </w:rPr>
        <w:t xml:space="preserve"> de los ajustes realizados por la Secretaría en respuesta a la pandemia de COVID-19 y </w:t>
      </w:r>
      <w:r w:rsidRPr="00932644">
        <w:rPr>
          <w:lang w:val="es-419"/>
        </w:rPr>
        <w:t>aprecia</w:t>
      </w:r>
      <w:r w:rsidRPr="00932644">
        <w:rPr>
          <w:u w:val="none"/>
          <w:lang w:val="es-419"/>
        </w:rPr>
        <w:t xml:space="preserve"> la prontitud y la utilidad de esa respuesta a pesar de los numerosos desafíos</w:t>
      </w:r>
      <w:r w:rsidR="005C4EBC" w:rsidRPr="00932644">
        <w:rPr>
          <w:u w:val="none"/>
          <w:lang w:val="es-419"/>
        </w:rPr>
        <w:t>;</w:t>
      </w:r>
    </w:p>
    <w:p w14:paraId="5FF6487B" w14:textId="6230A076" w:rsidR="008D2F32" w:rsidRPr="00932644" w:rsidRDefault="008D2F32" w:rsidP="005925AC">
      <w:pPr>
        <w:pStyle w:val="COMParaDecision"/>
        <w:numPr>
          <w:ilvl w:val="0"/>
          <w:numId w:val="4"/>
        </w:numPr>
        <w:ind w:left="567" w:hanging="567"/>
        <w:rPr>
          <w:u w:val="none"/>
          <w:lang w:val="es-419"/>
        </w:rPr>
      </w:pPr>
      <w:r w:rsidRPr="00932644">
        <w:rPr>
          <w:lang w:val="es-419"/>
        </w:rPr>
        <w:t>Reconoce</w:t>
      </w:r>
      <w:r w:rsidRPr="00932644">
        <w:rPr>
          <w:u w:val="none"/>
          <w:lang w:val="es-419"/>
        </w:rPr>
        <w:t xml:space="preserve"> que las observaciones formuladas mediante la encuesta y la plataforma web dedicada, así como las demás medidas adoptadas por la Secretaría, constituyen un ejemplo pertinente de la relevancia de la Convención frente a los desafíos mundiales y demuestran que el patrimonio vivo tiene la capacidad de responder y adaptarse a esos desafíos</w:t>
      </w:r>
      <w:r w:rsidR="005C4EBC" w:rsidRPr="00932644">
        <w:rPr>
          <w:u w:val="none"/>
          <w:lang w:val="es-419"/>
        </w:rPr>
        <w:t>;</w:t>
      </w:r>
    </w:p>
    <w:p w14:paraId="06476E47" w14:textId="77777777" w:rsidR="008D2F32" w:rsidRPr="00932644" w:rsidRDefault="008D2F32" w:rsidP="005925AC">
      <w:pPr>
        <w:pStyle w:val="COMParaDecision"/>
        <w:numPr>
          <w:ilvl w:val="0"/>
          <w:numId w:val="4"/>
        </w:numPr>
        <w:ind w:left="567" w:hanging="567"/>
        <w:rPr>
          <w:lang w:val="es-419"/>
        </w:rPr>
      </w:pPr>
      <w:r w:rsidRPr="00932644">
        <w:rPr>
          <w:lang w:val="es-419"/>
        </w:rPr>
        <w:t>Alienta</w:t>
      </w:r>
      <w:r w:rsidRPr="00932644">
        <w:rPr>
          <w:u w:val="none"/>
          <w:lang w:val="es-419"/>
        </w:rPr>
        <w:t xml:space="preserve"> a la Secretaría a que aplique las enseñanzas de esta respuesta, incluidas las relativas al fortalecimiento de capacidades, en sus futuras actividades de apoyo al trabajo de los órganos rectores de la Convención, así como a los esfuerzos nacionales de salvaguardia.</w:t>
      </w:r>
    </w:p>
    <w:p w14:paraId="7D5E5A3A" w14:textId="4B6BF049" w:rsidR="00C224D7" w:rsidRPr="00932644" w:rsidRDefault="00C224D7" w:rsidP="001D2C04">
      <w:pPr>
        <w:pStyle w:val="COMTitleDecision"/>
        <w:keepLines/>
        <w:spacing w:before="360"/>
        <w:ind w:left="0"/>
        <w:rPr>
          <w:rFonts w:eastAsia="SimSun"/>
          <w:lang w:val="es-419"/>
        </w:rPr>
      </w:pPr>
      <w:bookmarkStart w:id="2" w:name="_Hlk42187665"/>
      <w:r w:rsidRPr="00932644">
        <w:rPr>
          <w:lang w:val="es-419"/>
        </w:rPr>
        <w:t>RESOLUCIÓN 8.GA 7</w:t>
      </w:r>
    </w:p>
    <w:p w14:paraId="27B86B5E" w14:textId="77777777" w:rsidR="00C224D7" w:rsidRPr="00932644" w:rsidRDefault="00C224D7" w:rsidP="001D2C04">
      <w:pPr>
        <w:pStyle w:val="COMPreambulaDecisions"/>
        <w:keepLines/>
        <w:ind w:left="0"/>
        <w:rPr>
          <w:lang w:val="es-419"/>
        </w:rPr>
      </w:pPr>
      <w:r w:rsidRPr="00932644">
        <w:rPr>
          <w:lang w:val="es-419"/>
        </w:rPr>
        <w:t>La Asamblea General,</w:t>
      </w:r>
    </w:p>
    <w:p w14:paraId="68FBB835" w14:textId="36503F23" w:rsidR="00C224D7" w:rsidRPr="00932644" w:rsidRDefault="00C224D7" w:rsidP="005925AC">
      <w:pPr>
        <w:pStyle w:val="GAParaResolution"/>
        <w:keepNext/>
        <w:keepLines/>
        <w:numPr>
          <w:ilvl w:val="0"/>
          <w:numId w:val="59"/>
        </w:numPr>
        <w:ind w:left="567" w:hanging="567"/>
        <w:rPr>
          <w:u w:val="none"/>
          <w:lang w:val="es-419"/>
        </w:rPr>
      </w:pPr>
      <w:r w:rsidRPr="00932644">
        <w:rPr>
          <w:lang w:val="es-419"/>
        </w:rPr>
        <w:t>Habiendo examinado</w:t>
      </w:r>
      <w:r w:rsidRPr="00932644">
        <w:rPr>
          <w:u w:val="none"/>
          <w:lang w:val="es-419"/>
        </w:rPr>
        <w:t xml:space="preserve"> los documentos </w:t>
      </w:r>
      <w:hyperlink r:id="rId20" w:history="1">
        <w:r w:rsidRPr="00932644">
          <w:rPr>
            <w:rStyle w:val="Lienhypertexte"/>
            <w:lang w:val="es-419"/>
          </w:rPr>
          <w:t>LHE/20/8.GA/7 Rev.</w:t>
        </w:r>
      </w:hyperlink>
      <w:r w:rsidRPr="00932644">
        <w:rPr>
          <w:u w:val="none"/>
          <w:lang w:val="es-419"/>
        </w:rPr>
        <w:t xml:space="preserve"> </w:t>
      </w:r>
      <w:r w:rsidR="003D79DD" w:rsidRPr="00932644">
        <w:rPr>
          <w:u w:val="none"/>
          <w:lang w:val="es-419"/>
        </w:rPr>
        <w:t>con sus anexos y</w:t>
      </w:r>
      <w:r w:rsidRPr="00932644">
        <w:rPr>
          <w:u w:val="none"/>
          <w:lang w:val="es-419"/>
        </w:rPr>
        <w:t xml:space="preserve"> </w:t>
      </w:r>
      <w:hyperlink r:id="rId21" w:history="1">
        <w:r w:rsidRPr="00932644">
          <w:rPr>
            <w:rStyle w:val="Lienhypertexte"/>
            <w:lang w:val="es-419"/>
          </w:rPr>
          <w:t>LHE/20/8.GA/INF.7</w:t>
        </w:r>
      </w:hyperlink>
      <w:r w:rsidRPr="00932644">
        <w:rPr>
          <w:u w:val="none"/>
          <w:lang w:val="es-419"/>
        </w:rPr>
        <w:t>,</w:t>
      </w:r>
    </w:p>
    <w:p w14:paraId="1BD6B8E6" w14:textId="77777777" w:rsidR="00C224D7" w:rsidRPr="00932644" w:rsidRDefault="00C224D7" w:rsidP="001D2C04">
      <w:pPr>
        <w:pStyle w:val="COMParaDecision"/>
        <w:keepLines/>
        <w:numPr>
          <w:ilvl w:val="0"/>
          <w:numId w:val="4"/>
        </w:numPr>
        <w:ind w:left="567" w:hanging="567"/>
        <w:rPr>
          <w:u w:val="none"/>
          <w:lang w:val="es-419"/>
        </w:rPr>
      </w:pPr>
      <w:r w:rsidRPr="00932644">
        <w:rPr>
          <w:lang w:val="es-419"/>
        </w:rPr>
        <w:t>Recordando</w:t>
      </w:r>
      <w:r w:rsidRPr="00932644">
        <w:rPr>
          <w:u w:val="none"/>
          <w:lang w:val="es-419"/>
        </w:rPr>
        <w:t xml:space="preserve"> el Artículo 7(c) de la Convención y los párrafos 66 y 67 de las Directrices Operativas,</w:t>
      </w:r>
    </w:p>
    <w:p w14:paraId="17801BC2" w14:textId="77777777" w:rsidR="00C224D7" w:rsidRPr="00932644" w:rsidRDefault="00C224D7" w:rsidP="001D2C04">
      <w:pPr>
        <w:pStyle w:val="COMParaDecision"/>
        <w:keepLines/>
        <w:numPr>
          <w:ilvl w:val="0"/>
          <w:numId w:val="4"/>
        </w:numPr>
        <w:ind w:left="567" w:hanging="567"/>
        <w:rPr>
          <w:lang w:val="es-419"/>
        </w:rPr>
      </w:pPr>
      <w:r w:rsidRPr="00932644">
        <w:rPr>
          <w:lang w:val="es-419"/>
        </w:rPr>
        <w:t>Recordando también</w:t>
      </w:r>
      <w:r w:rsidRPr="00932644">
        <w:rPr>
          <w:u w:val="none"/>
          <w:lang w:val="es-419"/>
        </w:rPr>
        <w:t xml:space="preserve"> la Decisión 200 EX/19 y la Decisión 201 EX/24, así como la Resolución de consignación para 2020-2021 aprobada por la Conferencia General en su cuadragésima reunión,</w:t>
      </w:r>
    </w:p>
    <w:p w14:paraId="28B5B0E7" w14:textId="77777777" w:rsidR="00C224D7" w:rsidRPr="00932644" w:rsidRDefault="00C224D7" w:rsidP="001D2C04">
      <w:pPr>
        <w:pStyle w:val="COMParaDecision"/>
        <w:keepNext/>
        <w:keepLines/>
        <w:ind w:left="0" w:firstLine="0"/>
        <w:rPr>
          <w:b/>
          <w:bCs/>
          <w:u w:val="none"/>
          <w:lang w:val="es-419"/>
        </w:rPr>
      </w:pPr>
      <w:r w:rsidRPr="00932644">
        <w:rPr>
          <w:b/>
          <w:u w:val="none"/>
          <w:lang w:val="es-419"/>
        </w:rPr>
        <w:t>Estado y tendencias del Fondo</w:t>
      </w:r>
    </w:p>
    <w:p w14:paraId="5D505613" w14:textId="7EBFC4AB" w:rsidR="00C224D7" w:rsidRPr="00932644" w:rsidRDefault="00C224D7" w:rsidP="001D2C04">
      <w:pPr>
        <w:pStyle w:val="COMParaDecision"/>
        <w:keepLines/>
        <w:numPr>
          <w:ilvl w:val="0"/>
          <w:numId w:val="4"/>
        </w:numPr>
        <w:ind w:left="567" w:hanging="567"/>
        <w:rPr>
          <w:u w:val="none"/>
          <w:lang w:val="es-419"/>
        </w:rPr>
      </w:pPr>
      <w:r w:rsidRPr="00932644">
        <w:rPr>
          <w:lang w:val="es-419"/>
        </w:rPr>
        <w:t xml:space="preserve">Acoge con </w:t>
      </w:r>
      <w:r w:rsidR="00074327" w:rsidRPr="00932644">
        <w:rPr>
          <w:lang w:val="es-419"/>
        </w:rPr>
        <w:t>satisfacción</w:t>
      </w:r>
      <w:r w:rsidRPr="00932644">
        <w:rPr>
          <w:u w:val="none"/>
          <w:lang w:val="es-419"/>
        </w:rPr>
        <w:t xml:space="preserve"> las tendencias positivas recientes en la implementación del Fondo, </w:t>
      </w:r>
      <w:r w:rsidRPr="00932644">
        <w:rPr>
          <w:lang w:val="es-419"/>
        </w:rPr>
        <w:t>felicita</w:t>
      </w:r>
      <w:r w:rsidRPr="00932644">
        <w:rPr>
          <w:u w:val="none"/>
          <w:lang w:val="es-419"/>
        </w:rPr>
        <w:t xml:space="preserve"> a la Secretaría por sus esfuerzos para intensificar la puesta en práctica de los mecanismos de Asistencia Internacional, </w:t>
      </w:r>
      <w:r w:rsidRPr="00932644">
        <w:rPr>
          <w:lang w:val="es-419"/>
        </w:rPr>
        <w:t>toma nota</w:t>
      </w:r>
      <w:r w:rsidRPr="00932644">
        <w:rPr>
          <w:u w:val="none"/>
          <w:lang w:val="es-419"/>
        </w:rPr>
        <w:t xml:space="preserve"> de que se ha establecido un equipo dedicado con tres nuevos puestos extrapresupuestarios de plazo fijo y </w:t>
      </w:r>
      <w:r w:rsidRPr="00932644">
        <w:rPr>
          <w:lang w:val="es-419"/>
        </w:rPr>
        <w:t>espera</w:t>
      </w:r>
      <w:r w:rsidRPr="00932644">
        <w:rPr>
          <w:u w:val="none"/>
          <w:lang w:val="es-419"/>
        </w:rPr>
        <w:t xml:space="preserve"> observar las mejorías en la supervisión del impacto de los proyectos apoyados por el Fondo;</w:t>
      </w:r>
    </w:p>
    <w:p w14:paraId="6E02EDAB" w14:textId="77777777" w:rsidR="00C224D7" w:rsidRPr="00932644" w:rsidRDefault="00C224D7" w:rsidP="001D2C04">
      <w:pPr>
        <w:pStyle w:val="COMParaDecision"/>
        <w:keepLines/>
        <w:numPr>
          <w:ilvl w:val="0"/>
          <w:numId w:val="4"/>
        </w:numPr>
        <w:ind w:left="567" w:hanging="567"/>
        <w:rPr>
          <w:u w:val="none"/>
          <w:lang w:val="es-419"/>
        </w:rPr>
      </w:pPr>
      <w:r w:rsidRPr="00932644">
        <w:rPr>
          <w:lang w:val="es-419"/>
        </w:rPr>
        <w:t>Toma nota</w:t>
      </w:r>
      <w:r w:rsidRPr="00932644">
        <w:rPr>
          <w:u w:val="none"/>
          <w:lang w:val="es-419"/>
        </w:rPr>
        <w:t xml:space="preserve"> de las medidas adoptadas por la Secretaría, sin repercusiones en el Plan bienal general, para garantizar la continuidad de sus actividades tras el aplazamiento de la octava reunión de la Asamblea General;</w:t>
      </w:r>
    </w:p>
    <w:p w14:paraId="0164A000" w14:textId="77777777" w:rsidR="00C224D7" w:rsidRPr="00932644" w:rsidRDefault="00C224D7" w:rsidP="001D2C04">
      <w:pPr>
        <w:pStyle w:val="COMParaDecision"/>
        <w:keepLines/>
        <w:numPr>
          <w:ilvl w:val="0"/>
          <w:numId w:val="4"/>
        </w:numPr>
        <w:ind w:left="567" w:hanging="567"/>
        <w:rPr>
          <w:lang w:val="es-419"/>
        </w:rPr>
      </w:pPr>
      <w:r w:rsidRPr="00932644">
        <w:rPr>
          <w:lang w:val="es-419"/>
        </w:rPr>
        <w:t>Toma nota además</w:t>
      </w:r>
      <w:r w:rsidRPr="00932644">
        <w:rPr>
          <w:u w:val="none"/>
          <w:lang w:val="es-419"/>
        </w:rPr>
        <w:t xml:space="preserve"> de los donantes que han proporcionado contribuciones voluntarias complementarias al Fondo desde su última reunión, a saber, la República Popular de China, Finlandia, Japón, Kazajstán, Mónaco, Montenegro, los Países Bajos y Suecia, así como del apoyo en especie proporcionado por la República Popular de China, Japón y Singapur;</w:t>
      </w:r>
    </w:p>
    <w:p w14:paraId="0C5AE29D" w14:textId="77777777" w:rsidR="00C224D7" w:rsidRPr="00932644" w:rsidRDefault="00C224D7" w:rsidP="001D2C04">
      <w:pPr>
        <w:pStyle w:val="COMParaDecision"/>
        <w:keepLines/>
        <w:numPr>
          <w:ilvl w:val="0"/>
          <w:numId w:val="4"/>
        </w:numPr>
        <w:ind w:left="567" w:hanging="567"/>
        <w:rPr>
          <w:u w:val="none"/>
          <w:lang w:val="es-419"/>
        </w:rPr>
      </w:pPr>
      <w:r w:rsidRPr="00932644">
        <w:rPr>
          <w:lang w:val="es-419"/>
        </w:rPr>
        <w:t>Agradece</w:t>
      </w:r>
      <w:r w:rsidRPr="00932644">
        <w:rPr>
          <w:u w:val="none"/>
          <w:lang w:val="es-419"/>
        </w:rPr>
        <w:t xml:space="preserve"> a todos los contribuyentes que, desde la última reunión, han aportado a la Convención y a la Secretaría distintos tipos de apoyo financiero o en especie, en forma, por ejemplo, de contribuciones voluntarias complementarias al Fondo del Patrimonio Cultural Inmaterial y al </w:t>
      </w:r>
      <w:proofErr w:type="spellStart"/>
      <w:r w:rsidRPr="00932644">
        <w:rPr>
          <w:u w:val="none"/>
          <w:lang w:val="es-419"/>
        </w:rPr>
        <w:t>subfondo</w:t>
      </w:r>
      <w:proofErr w:type="spellEnd"/>
      <w:r w:rsidRPr="00932644">
        <w:rPr>
          <w:u w:val="none"/>
          <w:lang w:val="es-419"/>
        </w:rPr>
        <w:t xml:space="preserve"> para el fortalecimiento de las capacidades humanas de la Secretaría, fondos fiduciarios o aún cesiones de personal, y </w:t>
      </w:r>
      <w:r w:rsidRPr="00932644">
        <w:rPr>
          <w:lang w:val="es-419"/>
        </w:rPr>
        <w:t>alienta</w:t>
      </w:r>
      <w:r w:rsidRPr="00932644">
        <w:rPr>
          <w:u w:val="none"/>
          <w:lang w:val="es-419"/>
        </w:rPr>
        <w:t xml:space="preserve"> a otros Estados a considerar la posibilidad de apoyar a la Convención utilizando la modalidad de su elección;</w:t>
      </w:r>
    </w:p>
    <w:p w14:paraId="15B466DF" w14:textId="77777777" w:rsidR="00C224D7" w:rsidRPr="00932644" w:rsidRDefault="00C224D7" w:rsidP="001D2C04">
      <w:pPr>
        <w:pStyle w:val="COMParaDecision"/>
        <w:keepNext/>
        <w:keepLines/>
        <w:ind w:left="0" w:firstLine="0"/>
        <w:rPr>
          <w:b/>
          <w:bCs/>
          <w:u w:val="none"/>
          <w:lang w:val="es-419"/>
        </w:rPr>
      </w:pPr>
      <w:r w:rsidRPr="00932644">
        <w:rPr>
          <w:b/>
          <w:u w:val="none"/>
          <w:lang w:val="es-419"/>
        </w:rPr>
        <w:t>Plan para la utilización de los recursos del Fondo</w:t>
      </w:r>
    </w:p>
    <w:p w14:paraId="44DB4314" w14:textId="77777777" w:rsidR="00C224D7" w:rsidRPr="00932644" w:rsidRDefault="00C224D7" w:rsidP="001D2C04">
      <w:pPr>
        <w:pStyle w:val="COMParaDecision"/>
        <w:keepLines/>
        <w:numPr>
          <w:ilvl w:val="0"/>
          <w:numId w:val="4"/>
        </w:numPr>
        <w:ind w:left="567" w:hanging="567"/>
        <w:rPr>
          <w:lang w:val="es-419"/>
        </w:rPr>
      </w:pPr>
      <w:r w:rsidRPr="00932644">
        <w:rPr>
          <w:lang w:val="es-419"/>
        </w:rPr>
        <w:t>Aprueba</w:t>
      </w:r>
      <w:r w:rsidRPr="00932644">
        <w:rPr>
          <w:u w:val="none"/>
          <w:lang w:val="es-419"/>
        </w:rPr>
        <w:t xml:space="preserve"> el Plan para el uso de recursos del Fondo para el período del 1 de enero de 2020 al 31 de diciembre de 2021, así como para el período del 1 de enero de 2022 al 30 de junio de 2022 en el Anexo I de esta Resolución;</w:t>
      </w:r>
    </w:p>
    <w:p w14:paraId="2AA93218" w14:textId="77777777" w:rsidR="00C224D7" w:rsidRPr="00932644" w:rsidRDefault="00C224D7" w:rsidP="005925AC">
      <w:pPr>
        <w:pStyle w:val="COMParaDecision"/>
        <w:keepLines/>
        <w:numPr>
          <w:ilvl w:val="0"/>
          <w:numId w:val="4"/>
        </w:numPr>
        <w:ind w:left="567" w:hanging="567"/>
        <w:rPr>
          <w:u w:val="none"/>
          <w:lang w:val="es-419"/>
        </w:rPr>
      </w:pPr>
      <w:r w:rsidRPr="00932644">
        <w:rPr>
          <w:lang w:val="es-419"/>
        </w:rPr>
        <w:lastRenderedPageBreak/>
        <w:t>Comprende</w:t>
      </w:r>
      <w:r w:rsidRPr="00932644">
        <w:rPr>
          <w:u w:val="none"/>
          <w:lang w:val="es-419"/>
        </w:rPr>
        <w:t xml:space="preserve"> que, en su novena reunión en 2022, podría adaptar el Plan presupuestario del 1 de enero de 2022 al 30 de junio de 2022, si la Asamblea General no puede reunirse antes del 30 de junio de 2022, la Secretaría está autorizada a continuar sus operaciones hasta que la Asamblea General pueda reunirse;</w:t>
      </w:r>
    </w:p>
    <w:p w14:paraId="37F37A04" w14:textId="3D284405" w:rsidR="00C224D7" w:rsidRPr="00932644" w:rsidRDefault="00C224D7" w:rsidP="005925AC">
      <w:pPr>
        <w:pStyle w:val="COMParaDecision"/>
        <w:keepLines/>
        <w:numPr>
          <w:ilvl w:val="0"/>
          <w:numId w:val="4"/>
        </w:numPr>
        <w:ind w:left="567" w:hanging="567"/>
        <w:rPr>
          <w:lang w:val="es-419"/>
        </w:rPr>
      </w:pPr>
      <w:r w:rsidRPr="00932644">
        <w:rPr>
          <w:lang w:val="es-419"/>
        </w:rPr>
        <w:t xml:space="preserve">Toma nota </w:t>
      </w:r>
      <w:r w:rsidR="00AF0930" w:rsidRPr="00932644">
        <w:rPr>
          <w:lang w:val="es-419"/>
        </w:rPr>
        <w:t>también</w:t>
      </w:r>
      <w:r w:rsidR="00AF0930" w:rsidRPr="00932644">
        <w:rPr>
          <w:u w:val="none"/>
          <w:lang w:val="es-419"/>
        </w:rPr>
        <w:t xml:space="preserve"> </w:t>
      </w:r>
      <w:r w:rsidRPr="00932644">
        <w:rPr>
          <w:u w:val="none"/>
          <w:lang w:val="es-419"/>
        </w:rPr>
        <w:t>de la autorización otorgada por el Comité a la Secretaría, al utilizar los fondos asignados en la partida presupuestaria 3 del Plan, para realizar transferencias entre las actividades incluidas en la partida presupuestaria 3 hasta un monto acumulado equivalente al 5 por ciento del monto inicial de la asignación total propuesta a la Asamblea General con este fin;</w:t>
      </w:r>
    </w:p>
    <w:p w14:paraId="129CC73E" w14:textId="77777777" w:rsidR="00C224D7" w:rsidRPr="00932644" w:rsidRDefault="00C224D7" w:rsidP="001D2C04">
      <w:pPr>
        <w:pStyle w:val="COMParaDecision"/>
        <w:keepLines/>
        <w:numPr>
          <w:ilvl w:val="0"/>
          <w:numId w:val="4"/>
        </w:numPr>
        <w:ind w:left="567" w:hanging="567"/>
        <w:rPr>
          <w:u w:val="none"/>
          <w:lang w:val="es-419"/>
        </w:rPr>
      </w:pPr>
      <w:r w:rsidRPr="00932644">
        <w:rPr>
          <w:lang w:val="es-419"/>
        </w:rPr>
        <w:t>Autoriza</w:t>
      </w:r>
      <w:r w:rsidRPr="00932644">
        <w:rPr>
          <w:u w:val="none"/>
          <w:lang w:val="es-419"/>
        </w:rPr>
        <w:t xml:space="preserve"> al Comité a utilizar inmediatamente todas las contribuciones voluntarias complementarias que puedan recibirse durante esos períodos, como se indica en el Artículo 27 de la Convención, de acuerdo con los porcentajes establecidos en el Plan;</w:t>
      </w:r>
    </w:p>
    <w:p w14:paraId="23945C8F" w14:textId="77777777" w:rsidR="00C224D7" w:rsidRPr="00932644" w:rsidRDefault="00C224D7" w:rsidP="005925AC">
      <w:pPr>
        <w:pStyle w:val="COMParaDecision"/>
        <w:keepLines/>
        <w:numPr>
          <w:ilvl w:val="0"/>
          <w:numId w:val="4"/>
        </w:numPr>
        <w:ind w:left="567" w:hanging="567"/>
        <w:rPr>
          <w:u w:val="none"/>
          <w:lang w:val="es-419"/>
        </w:rPr>
      </w:pPr>
      <w:r w:rsidRPr="00932644">
        <w:rPr>
          <w:lang w:val="es-419"/>
        </w:rPr>
        <w:t>Autoriza además</w:t>
      </w:r>
      <w:r w:rsidRPr="00932644">
        <w:rPr>
          <w:u w:val="none"/>
          <w:lang w:val="es-419"/>
        </w:rPr>
        <w:t xml:space="preserve"> al Comité a utilizar inmediatamente todas las contribuciones que pueda aceptar durante esos períodos con fines específicos, ligados a proyectos concretos, siempre y cuando esos proyectos cuenten con la aprobación del Comité antes de la recepción de los fondos, como se indica en el Artículo 25.5 de la Convención;</w:t>
      </w:r>
    </w:p>
    <w:p w14:paraId="0DAF94EC" w14:textId="264966EF" w:rsidR="00C224D7" w:rsidRPr="00932644" w:rsidRDefault="00AF0930" w:rsidP="005925AC">
      <w:pPr>
        <w:pStyle w:val="COMParaDecision"/>
        <w:keepLines/>
        <w:numPr>
          <w:ilvl w:val="0"/>
          <w:numId w:val="4"/>
        </w:numPr>
        <w:ind w:left="567" w:hanging="567"/>
        <w:rPr>
          <w:u w:val="none"/>
          <w:lang w:val="es-419"/>
        </w:rPr>
      </w:pPr>
      <w:r w:rsidRPr="00932644">
        <w:rPr>
          <w:lang w:val="es-419"/>
        </w:rPr>
        <w:t>A</w:t>
      </w:r>
      <w:r w:rsidR="00C224D7" w:rsidRPr="00932644">
        <w:rPr>
          <w:lang w:val="es-419"/>
        </w:rPr>
        <w:t>utoriza</w:t>
      </w:r>
      <w:r w:rsidRPr="00932644">
        <w:rPr>
          <w:lang w:val="es-419"/>
        </w:rPr>
        <w:t xml:space="preserve"> también</w:t>
      </w:r>
      <w:r w:rsidR="00C224D7" w:rsidRPr="00932644">
        <w:rPr>
          <w:u w:val="none"/>
          <w:lang w:val="es-419"/>
        </w:rPr>
        <w:t xml:space="preserve"> a la Secretaría a realizar transferencias entre las partidas presupuestarias 4, 5, 6 y 7, hasta un equivalente del 30 por ciento de su asignación total inicial, y </w:t>
      </w:r>
      <w:r w:rsidR="00C224D7" w:rsidRPr="00932644">
        <w:rPr>
          <w:lang w:val="es-419"/>
        </w:rPr>
        <w:t xml:space="preserve">solicita </w:t>
      </w:r>
      <w:r w:rsidR="00C224D7" w:rsidRPr="00932644">
        <w:rPr>
          <w:u w:val="none"/>
          <w:lang w:val="es-419"/>
        </w:rPr>
        <w:t>que la Secretaría informe por escrito al Comité y a la Asamblea General, en la reunión posterior a dicha acción, sobre los detalles y las razones de estas transferencias;</w:t>
      </w:r>
    </w:p>
    <w:p w14:paraId="23F0D357" w14:textId="77777777" w:rsidR="00C224D7" w:rsidRPr="00932644" w:rsidRDefault="00C224D7" w:rsidP="001D2C04">
      <w:pPr>
        <w:pStyle w:val="COMParaDecision"/>
        <w:keepNext/>
        <w:keepLines/>
        <w:ind w:left="0" w:firstLine="0"/>
        <w:rPr>
          <w:b/>
          <w:bCs/>
          <w:u w:val="none"/>
          <w:lang w:val="es-419"/>
        </w:rPr>
      </w:pPr>
      <w:proofErr w:type="spellStart"/>
      <w:r w:rsidRPr="00932644">
        <w:rPr>
          <w:b/>
          <w:u w:val="none"/>
          <w:lang w:val="es-419"/>
        </w:rPr>
        <w:t>Subfondo</w:t>
      </w:r>
      <w:proofErr w:type="spellEnd"/>
      <w:r w:rsidRPr="00932644">
        <w:rPr>
          <w:b/>
          <w:u w:val="none"/>
          <w:lang w:val="es-419"/>
        </w:rPr>
        <w:t xml:space="preserve"> para reforzar los recursos humanos de la Secretaría</w:t>
      </w:r>
    </w:p>
    <w:p w14:paraId="68E86D85" w14:textId="77777777" w:rsidR="00C224D7" w:rsidRPr="00932644" w:rsidRDefault="00C224D7" w:rsidP="001D2C04">
      <w:pPr>
        <w:pStyle w:val="COMParaDecision"/>
        <w:keepLines/>
        <w:numPr>
          <w:ilvl w:val="0"/>
          <w:numId w:val="4"/>
        </w:numPr>
        <w:ind w:left="567" w:hanging="567"/>
        <w:rPr>
          <w:lang w:val="es-419"/>
        </w:rPr>
      </w:pPr>
      <w:r w:rsidRPr="00932644">
        <w:rPr>
          <w:lang w:val="es-419"/>
        </w:rPr>
        <w:t>Destaca</w:t>
      </w:r>
      <w:r w:rsidRPr="00932644">
        <w:rPr>
          <w:u w:val="none"/>
          <w:lang w:val="es-419"/>
        </w:rPr>
        <w:t xml:space="preserve"> la necesidad de reforzar los recursos humanos de la Secretaría de forma estructural, para que pueda responder mejor a los deseos y necesidades de los Estados Partes, </w:t>
      </w:r>
      <w:r w:rsidRPr="00932644">
        <w:rPr>
          <w:lang w:val="es-419"/>
        </w:rPr>
        <w:t xml:space="preserve">reconoce </w:t>
      </w:r>
      <w:r w:rsidRPr="00932644">
        <w:rPr>
          <w:u w:val="none"/>
          <w:lang w:val="es-419"/>
        </w:rPr>
        <w:t xml:space="preserve">que se necesitan fondos por un monto aproximado de 950 000 dólares estadounidenses por año para lograr este cometido, e </w:t>
      </w:r>
      <w:r w:rsidRPr="00932644">
        <w:rPr>
          <w:lang w:val="es-419"/>
        </w:rPr>
        <w:t>invita</w:t>
      </w:r>
      <w:r w:rsidRPr="00932644">
        <w:rPr>
          <w:u w:val="none"/>
          <w:lang w:val="es-419"/>
        </w:rPr>
        <w:t xml:space="preserve"> a los Estados Partes a aportar contribuciones voluntarias complementarias al </w:t>
      </w:r>
      <w:proofErr w:type="spellStart"/>
      <w:r w:rsidRPr="00932644">
        <w:rPr>
          <w:u w:val="none"/>
          <w:lang w:val="es-419"/>
        </w:rPr>
        <w:t>subfondo</w:t>
      </w:r>
      <w:proofErr w:type="spellEnd"/>
      <w:r w:rsidRPr="00932644">
        <w:rPr>
          <w:u w:val="none"/>
          <w:lang w:val="es-419"/>
        </w:rPr>
        <w:t xml:space="preserve"> por el monto correspondiente por año;</w:t>
      </w:r>
    </w:p>
    <w:p w14:paraId="37BE7B02" w14:textId="77777777" w:rsidR="00C224D7" w:rsidRPr="00932644" w:rsidRDefault="00C224D7" w:rsidP="001D2C04">
      <w:pPr>
        <w:pStyle w:val="COMParaDecision"/>
        <w:keepNext/>
        <w:keepLines/>
        <w:ind w:left="0" w:firstLine="0"/>
        <w:rPr>
          <w:b/>
          <w:bCs/>
          <w:u w:val="none"/>
          <w:lang w:val="es-419"/>
        </w:rPr>
      </w:pPr>
      <w:r w:rsidRPr="00932644">
        <w:rPr>
          <w:b/>
          <w:u w:val="none"/>
          <w:lang w:val="es-419"/>
        </w:rPr>
        <w:t>Tasa de costos de gestión</w:t>
      </w:r>
    </w:p>
    <w:p w14:paraId="2181C096" w14:textId="77777777" w:rsidR="00C224D7" w:rsidRPr="00932644" w:rsidRDefault="00C224D7" w:rsidP="001D2C04">
      <w:pPr>
        <w:pStyle w:val="COMParaDecision"/>
        <w:keepLines/>
        <w:numPr>
          <w:ilvl w:val="0"/>
          <w:numId w:val="4"/>
        </w:numPr>
        <w:ind w:left="567" w:hanging="567"/>
        <w:rPr>
          <w:u w:val="none"/>
          <w:lang w:val="es-419"/>
        </w:rPr>
      </w:pPr>
      <w:r w:rsidRPr="00932644">
        <w:rPr>
          <w:lang w:val="es-419"/>
        </w:rPr>
        <w:t>Respalda</w:t>
      </w:r>
      <w:r w:rsidRPr="00932644">
        <w:rPr>
          <w:u w:val="none"/>
          <w:lang w:val="es-419"/>
        </w:rPr>
        <w:t xml:space="preserve"> la continuación de la aplicación de una tasa de costos de gestión del 0 por ciento para todas las contribuciones asignadas a la cuenta especial del Fondo del Patrimonio Cultural Inmaterial, así como la aplicación de una tasa de costos de gestión del 7 por ciento para todas las demás contribuciones;</w:t>
      </w:r>
    </w:p>
    <w:p w14:paraId="09C61190" w14:textId="77777777" w:rsidR="00C224D7" w:rsidRPr="00932644" w:rsidRDefault="00C224D7" w:rsidP="001D2C04">
      <w:pPr>
        <w:pStyle w:val="COMParaDecision"/>
        <w:keepNext/>
        <w:keepLines/>
        <w:ind w:left="0" w:firstLine="0"/>
        <w:rPr>
          <w:b/>
          <w:bCs/>
          <w:u w:val="none"/>
          <w:lang w:val="es-419"/>
        </w:rPr>
      </w:pPr>
      <w:r w:rsidRPr="00932644">
        <w:rPr>
          <w:b/>
          <w:u w:val="none"/>
          <w:lang w:val="es-419"/>
        </w:rPr>
        <w:t>Reglamento financiero</w:t>
      </w:r>
    </w:p>
    <w:p w14:paraId="0E9C7757" w14:textId="240E0F54" w:rsidR="00793E00" w:rsidRPr="00932644" w:rsidRDefault="00C224D7" w:rsidP="001D2C04">
      <w:pPr>
        <w:pStyle w:val="COMParaDecision"/>
        <w:keepLines/>
        <w:numPr>
          <w:ilvl w:val="0"/>
          <w:numId w:val="4"/>
        </w:numPr>
        <w:ind w:left="567" w:hanging="567"/>
        <w:rPr>
          <w:u w:val="none"/>
          <w:lang w:val="es-419"/>
        </w:rPr>
        <w:sectPr w:rsidR="00793E00" w:rsidRPr="00932644" w:rsidSect="00BF4AE9">
          <w:headerReference w:type="first" r:id="rId22"/>
          <w:pgSz w:w="11906" w:h="16838" w:code="9"/>
          <w:pgMar w:top="1418" w:right="1134" w:bottom="1134" w:left="1134" w:header="397" w:footer="284" w:gutter="0"/>
          <w:cols w:space="708"/>
          <w:titlePg/>
          <w:docGrid w:linePitch="360"/>
        </w:sectPr>
      </w:pPr>
      <w:r w:rsidRPr="00932644">
        <w:rPr>
          <w:lang w:val="es-419"/>
        </w:rPr>
        <w:t xml:space="preserve">Aprueba </w:t>
      </w:r>
      <w:r w:rsidR="00BE3D40" w:rsidRPr="00932644">
        <w:rPr>
          <w:lang w:val="es-419"/>
        </w:rPr>
        <w:t>además</w:t>
      </w:r>
      <w:r w:rsidR="00BE3D40" w:rsidRPr="00932644">
        <w:rPr>
          <w:u w:val="none"/>
          <w:lang w:val="es-419"/>
        </w:rPr>
        <w:t xml:space="preserve"> </w:t>
      </w:r>
      <w:r w:rsidRPr="00932644">
        <w:rPr>
          <w:u w:val="none"/>
          <w:lang w:val="es-419"/>
        </w:rPr>
        <w:t xml:space="preserve">las revisiones del Reglamento Financiero de la Cuenta Especial para el Fondo de Salvaguardia del Patrimonio Cultural Inmaterial, según se describen en </w:t>
      </w:r>
      <w:r w:rsidR="00F21FDC" w:rsidRPr="00932644">
        <w:rPr>
          <w:u w:val="none"/>
          <w:lang w:val="es-419"/>
        </w:rPr>
        <w:t xml:space="preserve">el </w:t>
      </w:r>
      <w:r w:rsidRPr="00932644">
        <w:rPr>
          <w:u w:val="none"/>
          <w:lang w:val="es-419"/>
        </w:rPr>
        <w:t>Anexo II de la presente Resolución, a fin de armonizarlo con el Reglamento Financiero Estándar de la UNESCO.</w:t>
      </w:r>
    </w:p>
    <w:bookmarkEnd w:id="2"/>
    <w:p w14:paraId="239AF6A9" w14:textId="2CBF2800" w:rsidR="00C224D7" w:rsidRPr="00932644" w:rsidRDefault="005925AC" w:rsidP="00C224D7">
      <w:pPr>
        <w:pStyle w:val="Annex"/>
        <w:rPr>
          <w:lang w:val="es-419"/>
        </w:rPr>
      </w:pPr>
      <w:r w:rsidRPr="00932644">
        <w:rPr>
          <w:lang w:val="es-419"/>
        </w:rPr>
        <w:lastRenderedPageBreak/>
        <w:t xml:space="preserve">ANEXO </w:t>
      </w:r>
      <w:r w:rsidR="00C224D7" w:rsidRPr="00932644">
        <w:rPr>
          <w:lang w:val="es-419"/>
        </w:rPr>
        <w:t>I</w:t>
      </w:r>
    </w:p>
    <w:tbl>
      <w:tblPr>
        <w:tblW w:w="5000" w:type="pct"/>
        <w:tblInd w:w="-147" w:type="dxa"/>
        <w:tblLayout w:type="fixed"/>
        <w:tblCellMar>
          <w:left w:w="170" w:type="dxa"/>
          <w:right w:w="170" w:type="dxa"/>
        </w:tblCellMar>
        <w:tblLook w:val="04A0" w:firstRow="1" w:lastRow="0" w:firstColumn="1" w:lastColumn="0" w:noHBand="0" w:noVBand="1"/>
      </w:tblPr>
      <w:tblGrid>
        <w:gridCol w:w="855"/>
        <w:gridCol w:w="4540"/>
        <w:gridCol w:w="1268"/>
        <w:gridCol w:w="659"/>
        <w:gridCol w:w="894"/>
        <w:gridCol w:w="98"/>
        <w:gridCol w:w="1320"/>
      </w:tblGrid>
      <w:tr w:rsidR="00444740" w:rsidRPr="00932644" w14:paraId="12D94ED6" w14:textId="77777777" w:rsidTr="00EE2803">
        <w:trPr>
          <w:gridAfter w:val="1"/>
          <w:wAfter w:w="685" w:type="pct"/>
          <w:cantSplit/>
        </w:trPr>
        <w:tc>
          <w:tcPr>
            <w:tcW w:w="3458" w:type="pct"/>
            <w:gridSpan w:val="3"/>
            <w:tcBorders>
              <w:top w:val="single" w:sz="4" w:space="0" w:color="auto"/>
              <w:left w:val="single" w:sz="4" w:space="0" w:color="auto"/>
              <w:bottom w:val="single" w:sz="4" w:space="0" w:color="auto"/>
              <w:right w:val="single" w:sz="4" w:space="0" w:color="auto"/>
            </w:tcBorders>
            <w:shd w:val="clear" w:color="000000" w:fill="D8D8D8"/>
          </w:tcPr>
          <w:p w14:paraId="0AF571C3" w14:textId="64BB8ED3" w:rsidR="00444740" w:rsidRPr="00932644" w:rsidRDefault="00444740" w:rsidP="00BF4AE9">
            <w:pPr>
              <w:spacing w:before="120" w:after="120"/>
              <w:jc w:val="center"/>
              <w:rPr>
                <w:rFonts w:ascii="Arial" w:hAnsi="Arial" w:cs="Arial"/>
                <w:b/>
                <w:bCs/>
                <w:sz w:val="18"/>
                <w:szCs w:val="18"/>
                <w:lang w:val="es-419"/>
              </w:rPr>
            </w:pPr>
            <w:r w:rsidRPr="00932644">
              <w:rPr>
                <w:rFonts w:ascii="Arial" w:hAnsi="Arial"/>
                <w:b/>
                <w:sz w:val="18"/>
                <w:lang w:val="es-419"/>
              </w:rPr>
              <w:t>Plan para la utilización de los recursos del Fondo</w:t>
            </w:r>
          </w:p>
        </w:tc>
        <w:tc>
          <w:tcPr>
            <w:tcW w:w="342" w:type="pct"/>
            <w:tcBorders>
              <w:left w:val="single" w:sz="4" w:space="0" w:color="auto"/>
              <w:bottom w:val="dashed" w:sz="4" w:space="0" w:color="auto"/>
            </w:tcBorders>
          </w:tcPr>
          <w:p w14:paraId="0519FA72" w14:textId="77777777" w:rsidR="00444740" w:rsidRPr="00932644" w:rsidRDefault="00444740" w:rsidP="00BF4AE9">
            <w:pPr>
              <w:spacing w:before="120" w:after="120"/>
              <w:jc w:val="center"/>
              <w:rPr>
                <w:rFonts w:ascii="Arial" w:hAnsi="Arial" w:cs="Arial"/>
                <w:b/>
                <w:bCs/>
                <w:sz w:val="18"/>
                <w:szCs w:val="18"/>
                <w:lang w:val="es-419"/>
              </w:rPr>
            </w:pPr>
          </w:p>
        </w:tc>
        <w:tc>
          <w:tcPr>
            <w:tcW w:w="515" w:type="pct"/>
            <w:gridSpan w:val="2"/>
            <w:tcBorders>
              <w:bottom w:val="dashed" w:sz="4" w:space="0" w:color="auto"/>
            </w:tcBorders>
            <w:shd w:val="clear" w:color="auto" w:fill="auto"/>
          </w:tcPr>
          <w:p w14:paraId="50A98828" w14:textId="77777777" w:rsidR="00444740" w:rsidRPr="00932644" w:rsidRDefault="00444740" w:rsidP="00BF4AE9">
            <w:pPr>
              <w:spacing w:before="120" w:after="120"/>
              <w:jc w:val="center"/>
              <w:rPr>
                <w:rFonts w:ascii="Arial" w:hAnsi="Arial" w:cs="Arial"/>
                <w:b/>
                <w:bCs/>
                <w:sz w:val="18"/>
                <w:szCs w:val="18"/>
                <w:lang w:val="es-419"/>
              </w:rPr>
            </w:pPr>
          </w:p>
        </w:tc>
      </w:tr>
      <w:tr w:rsidR="00444740" w:rsidRPr="00932644" w14:paraId="506CC1E5" w14:textId="77777777" w:rsidTr="00EE2803">
        <w:trPr>
          <w:cantSplit/>
        </w:trPr>
        <w:tc>
          <w:tcPr>
            <w:tcW w:w="28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2153A" w14:textId="77777777" w:rsidR="00444740" w:rsidRPr="00932644" w:rsidRDefault="00444740" w:rsidP="00BF4AE9">
            <w:pPr>
              <w:spacing w:before="120" w:after="120"/>
              <w:contextualSpacing/>
              <w:jc w:val="both"/>
              <w:rPr>
                <w:rFonts w:ascii="Arial" w:hAnsi="Arial" w:cs="Arial"/>
                <w:sz w:val="18"/>
                <w:szCs w:val="18"/>
                <w:lang w:val="es-419"/>
              </w:rPr>
            </w:pPr>
            <w:r w:rsidRPr="00932644">
              <w:rPr>
                <w:rFonts w:ascii="Arial" w:hAnsi="Arial"/>
                <w:sz w:val="18"/>
                <w:lang w:val="es-419"/>
              </w:rPr>
              <w:t>Para el período comprendido entre el 1 de enero de 2020 y el 31 de diciembre de 2021, y el período comprendido entre el 1 de enero y el 30 de junio de 2022, los recursos del Fondo del Patrimonio Cultural Inmaterial podrán ser utilizados para los siguientes objetivos:</w:t>
            </w:r>
          </w:p>
        </w:tc>
        <w:tc>
          <w:tcPr>
            <w:tcW w:w="658" w:type="pct"/>
            <w:tcBorders>
              <w:top w:val="single" w:sz="4" w:space="0" w:color="auto"/>
              <w:left w:val="single" w:sz="4" w:space="0" w:color="auto"/>
              <w:bottom w:val="single" w:sz="4" w:space="0" w:color="auto"/>
              <w:right w:val="single" w:sz="4" w:space="0" w:color="auto"/>
            </w:tcBorders>
            <w:vAlign w:val="center"/>
          </w:tcPr>
          <w:p w14:paraId="0BE50F5D" w14:textId="77777777" w:rsidR="00444740" w:rsidRPr="00932644" w:rsidRDefault="00444740" w:rsidP="00BF4AE9">
            <w:pPr>
              <w:spacing w:before="120" w:after="120"/>
              <w:contextualSpacing/>
              <w:jc w:val="center"/>
              <w:rPr>
                <w:sz w:val="18"/>
                <w:szCs w:val="18"/>
                <w:lang w:val="es-419"/>
              </w:rPr>
            </w:pPr>
            <w:r w:rsidRPr="00932644">
              <w:rPr>
                <w:rFonts w:ascii="Arial" w:hAnsi="Arial"/>
                <w:sz w:val="18"/>
                <w:lang w:val="es-419"/>
              </w:rPr>
              <w:t>% de la cantidad total propuesta 2020-2021</w:t>
            </w:r>
            <w:r w:rsidRPr="00932644">
              <w:rPr>
                <w:rStyle w:val="Appelnotedebasdep"/>
                <w:rFonts w:ascii="Arial" w:hAnsi="Arial" w:cs="Arial"/>
                <w:sz w:val="18"/>
                <w:szCs w:val="18"/>
                <w:lang w:val="es-419"/>
              </w:rPr>
              <w:footnoteReference w:id="1"/>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6D8B2C96" w14:textId="77777777" w:rsidR="00444740" w:rsidRPr="00932644" w:rsidRDefault="00444740" w:rsidP="00BF4AE9">
            <w:pPr>
              <w:spacing w:before="120" w:after="120"/>
              <w:contextualSpacing/>
              <w:jc w:val="center"/>
              <w:rPr>
                <w:rFonts w:ascii="Arial" w:hAnsi="Arial" w:cs="Arial"/>
                <w:sz w:val="18"/>
                <w:szCs w:val="18"/>
                <w:lang w:val="es-419"/>
              </w:rPr>
            </w:pPr>
            <w:r w:rsidRPr="00932644">
              <w:rPr>
                <w:rFonts w:ascii="Arial" w:hAnsi="Arial"/>
                <w:sz w:val="18"/>
                <w:lang w:val="es-419"/>
              </w:rPr>
              <w:t>Cantidades indicativas</w:t>
            </w:r>
            <w:r w:rsidRPr="00932644">
              <w:rPr>
                <w:rFonts w:ascii="Arial" w:hAnsi="Arial"/>
                <w:sz w:val="18"/>
                <w:lang w:val="es-419"/>
              </w:rPr>
              <w:br/>
              <w:t>2020-2021</w:t>
            </w:r>
          </w:p>
        </w:tc>
        <w:tc>
          <w:tcPr>
            <w:tcW w:w="736" w:type="pct"/>
            <w:gridSpan w:val="2"/>
            <w:tcBorders>
              <w:top w:val="dashed" w:sz="4" w:space="0" w:color="auto"/>
              <w:left w:val="dashed" w:sz="4" w:space="0" w:color="auto"/>
              <w:bottom w:val="dashed" w:sz="4" w:space="0" w:color="auto"/>
              <w:right w:val="dashed" w:sz="4" w:space="0" w:color="auto"/>
            </w:tcBorders>
            <w:vAlign w:val="center"/>
          </w:tcPr>
          <w:p w14:paraId="0F3A737A" w14:textId="77777777" w:rsidR="00444740" w:rsidRPr="00932644" w:rsidRDefault="00444740" w:rsidP="00BF4AE9">
            <w:pPr>
              <w:spacing w:before="120" w:after="120"/>
              <w:contextualSpacing/>
              <w:jc w:val="center"/>
              <w:rPr>
                <w:rFonts w:ascii="Arial" w:hAnsi="Arial" w:cs="Arial"/>
                <w:sz w:val="18"/>
                <w:szCs w:val="18"/>
                <w:lang w:val="es-419"/>
              </w:rPr>
            </w:pPr>
            <w:r w:rsidRPr="00932644">
              <w:rPr>
                <w:rFonts w:ascii="Arial" w:hAnsi="Arial"/>
                <w:sz w:val="18"/>
                <w:lang w:val="es-419"/>
              </w:rPr>
              <w:t>Cantidades indicativas</w:t>
            </w:r>
            <w:r w:rsidRPr="00932644">
              <w:rPr>
                <w:rFonts w:ascii="Arial" w:hAnsi="Arial"/>
                <w:sz w:val="18"/>
                <w:lang w:val="es-419"/>
              </w:rPr>
              <w:br/>
              <w:t>enero-junio 2022</w:t>
            </w:r>
          </w:p>
        </w:tc>
      </w:tr>
      <w:tr w:rsidR="00444740" w:rsidRPr="00932644" w14:paraId="554D8668"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75F54"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1.</w:t>
            </w: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6DF1245B"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Asistencia Internacional, incluyendo la salvaguardia del patrimonio inscrito en la Lista del Patrimonio cultural inmaterial que requiere medidas urgentes de salvaguardia, la preparación de inventarios y el apoyo a otros programas, proyectos y actividades de salvaguardia;</w:t>
            </w:r>
          </w:p>
        </w:tc>
        <w:tc>
          <w:tcPr>
            <w:tcW w:w="658" w:type="pct"/>
            <w:tcBorders>
              <w:top w:val="single" w:sz="4" w:space="0" w:color="auto"/>
              <w:left w:val="single" w:sz="4" w:space="0" w:color="auto"/>
              <w:bottom w:val="single" w:sz="4" w:space="0" w:color="auto"/>
              <w:right w:val="single" w:sz="4" w:space="0" w:color="auto"/>
            </w:tcBorders>
            <w:vAlign w:val="center"/>
          </w:tcPr>
          <w:p w14:paraId="570CA73A"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51,96 %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1B7832C4"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4 073 861  $</w:t>
            </w:r>
          </w:p>
        </w:tc>
        <w:tc>
          <w:tcPr>
            <w:tcW w:w="736" w:type="pct"/>
            <w:gridSpan w:val="2"/>
            <w:tcBorders>
              <w:top w:val="dashed" w:sz="4" w:space="0" w:color="auto"/>
              <w:left w:val="dashed" w:sz="4" w:space="0" w:color="auto"/>
              <w:bottom w:val="dashed" w:sz="4" w:space="0" w:color="auto"/>
              <w:right w:val="dashed" w:sz="4" w:space="0" w:color="auto"/>
            </w:tcBorders>
            <w:vAlign w:val="center"/>
          </w:tcPr>
          <w:p w14:paraId="6D4042BF"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1 018 465  $</w:t>
            </w:r>
          </w:p>
        </w:tc>
      </w:tr>
      <w:tr w:rsidR="00444740" w:rsidRPr="00932644" w14:paraId="604AD35B"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A28B6"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1.1</w:t>
            </w: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5E689B4B" w14:textId="77777777" w:rsidR="00444740" w:rsidRPr="00932644" w:rsidRDefault="00444740" w:rsidP="00BF4AE9">
            <w:pPr>
              <w:spacing w:before="120" w:after="120"/>
              <w:ind w:right="-1"/>
              <w:contextualSpacing/>
              <w:rPr>
                <w:rFonts w:ascii="Arial" w:hAnsi="Arial" w:cs="Arial"/>
                <w:sz w:val="18"/>
                <w:szCs w:val="18"/>
                <w:lang w:val="es-419"/>
              </w:rPr>
            </w:pPr>
            <w:r w:rsidRPr="00932644">
              <w:rPr>
                <w:rFonts w:ascii="Arial" w:hAnsi="Arial"/>
                <w:sz w:val="18"/>
                <w:lang w:val="es-419"/>
              </w:rPr>
              <w:t>Refuerzo de los recursos humanos para mejorar la aplicación de los mecanismos de Asistencia Internacional a través de tres puestos extrapresupuestarios de plazo fijo (un P3, un P2 y un G5).</w:t>
            </w:r>
          </w:p>
        </w:tc>
        <w:tc>
          <w:tcPr>
            <w:tcW w:w="658" w:type="pct"/>
            <w:tcBorders>
              <w:top w:val="single" w:sz="4" w:space="0" w:color="auto"/>
              <w:left w:val="single" w:sz="4" w:space="0" w:color="auto"/>
              <w:bottom w:val="single" w:sz="4" w:space="0" w:color="auto"/>
              <w:right w:val="single" w:sz="4" w:space="0" w:color="auto"/>
            </w:tcBorders>
            <w:vAlign w:val="center"/>
          </w:tcPr>
          <w:p w14:paraId="6E1A6988"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10,79 %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064F65B8"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845 977 $</w:t>
            </w:r>
          </w:p>
        </w:tc>
        <w:tc>
          <w:tcPr>
            <w:tcW w:w="736" w:type="pct"/>
            <w:gridSpan w:val="2"/>
            <w:tcBorders>
              <w:top w:val="dashed" w:sz="4" w:space="0" w:color="auto"/>
              <w:left w:val="dashed" w:sz="4" w:space="0" w:color="auto"/>
              <w:bottom w:val="dashed" w:sz="4" w:space="0" w:color="auto"/>
              <w:right w:val="dashed" w:sz="4" w:space="0" w:color="auto"/>
            </w:tcBorders>
            <w:vAlign w:val="center"/>
          </w:tcPr>
          <w:p w14:paraId="2EFDF91E"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211 494 $</w:t>
            </w:r>
          </w:p>
        </w:tc>
      </w:tr>
      <w:tr w:rsidR="00444740" w:rsidRPr="00932644" w14:paraId="688FFB49"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B33A2"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2.</w:t>
            </w: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2A18A512"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Asistencia preparatoria para las solicitudes de Asistencia Internacional, así como para los expedientes de candidatura para la Lista de Salvaguardia Urgente y las candidaturas para el Registro de Buenas Prácticas de Salvaguardia;</w:t>
            </w:r>
          </w:p>
        </w:tc>
        <w:tc>
          <w:tcPr>
            <w:tcW w:w="658" w:type="pct"/>
            <w:tcBorders>
              <w:top w:val="single" w:sz="4" w:space="0" w:color="auto"/>
              <w:left w:val="single" w:sz="4" w:space="0" w:color="auto"/>
              <w:bottom w:val="single" w:sz="4" w:space="0" w:color="auto"/>
              <w:right w:val="single" w:sz="4" w:space="0" w:color="auto"/>
            </w:tcBorders>
            <w:vAlign w:val="center"/>
          </w:tcPr>
          <w:p w14:paraId="0E816781"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2,00 %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156C69AD"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156 808 $</w:t>
            </w:r>
          </w:p>
        </w:tc>
        <w:tc>
          <w:tcPr>
            <w:tcW w:w="736" w:type="pct"/>
            <w:gridSpan w:val="2"/>
            <w:tcBorders>
              <w:top w:val="dashed" w:sz="4" w:space="0" w:color="auto"/>
              <w:left w:val="dashed" w:sz="4" w:space="0" w:color="auto"/>
              <w:bottom w:val="dashed" w:sz="4" w:space="0" w:color="auto"/>
              <w:right w:val="dashed" w:sz="4" w:space="0" w:color="auto"/>
            </w:tcBorders>
            <w:vAlign w:val="center"/>
          </w:tcPr>
          <w:p w14:paraId="7B1ED2F5"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39 202 $</w:t>
            </w:r>
          </w:p>
        </w:tc>
      </w:tr>
      <w:tr w:rsidR="00444740" w:rsidRPr="00932644" w14:paraId="4A988AA0"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80A24"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3.</w:t>
            </w: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2799F320"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 xml:space="preserve">Otras funciones del Comité, tal como se describen en el Artículo 7 de la Convención, con la finalidad de promover los objetivos de la Convención y fomentar y dar seguimiento a su aplicación, en particular, a través del fortalecimiento de capacidades para salvaguardar de manera efectiva el patrimonio cultural inmaterial, sensibilizar acerca de la importancia de este patrimonio, proporcionar orientaciones sobre las buenas prácticas de salvaguardia y actualizar y publicar las Listas y el Registro de Buenas Prácticas de Salvaguardia: </w:t>
            </w:r>
          </w:p>
        </w:tc>
        <w:tc>
          <w:tcPr>
            <w:tcW w:w="658" w:type="pct"/>
            <w:tcBorders>
              <w:top w:val="single" w:sz="4" w:space="0" w:color="auto"/>
              <w:left w:val="single" w:sz="4" w:space="0" w:color="auto"/>
              <w:bottom w:val="single" w:sz="4" w:space="0" w:color="auto"/>
              <w:right w:val="single" w:sz="4" w:space="0" w:color="auto"/>
            </w:tcBorders>
            <w:vAlign w:val="center"/>
          </w:tcPr>
          <w:p w14:paraId="5810E9C4"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20,00 %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1BE4E790"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1 568 076  $</w:t>
            </w:r>
          </w:p>
        </w:tc>
        <w:tc>
          <w:tcPr>
            <w:tcW w:w="736" w:type="pct"/>
            <w:gridSpan w:val="2"/>
            <w:tcBorders>
              <w:top w:val="dashed" w:sz="4" w:space="0" w:color="auto"/>
              <w:left w:val="dashed" w:sz="4" w:space="0" w:color="auto"/>
              <w:bottom w:val="dashed" w:sz="4" w:space="0" w:color="auto"/>
              <w:right w:val="dashed" w:sz="4" w:space="0" w:color="auto"/>
            </w:tcBorders>
            <w:vAlign w:val="center"/>
          </w:tcPr>
          <w:p w14:paraId="37942D3F"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392 019 $</w:t>
            </w:r>
          </w:p>
        </w:tc>
      </w:tr>
      <w:tr w:rsidR="00444740" w:rsidRPr="00932644" w14:paraId="0078B86E"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90AF391" w14:textId="77777777" w:rsidR="00444740" w:rsidRPr="00932644" w:rsidRDefault="00444740" w:rsidP="00BF4AE9">
            <w:pPr>
              <w:spacing w:before="120" w:after="120"/>
              <w:contextualSpacing/>
              <w:rPr>
                <w:rFonts w:ascii="Arial" w:hAnsi="Arial" w:cs="Arial"/>
                <w:i/>
                <w:iCs/>
                <w:sz w:val="18"/>
                <w:szCs w:val="18"/>
                <w:lang w:val="es-419"/>
              </w:rPr>
            </w:pPr>
          </w:p>
        </w:tc>
        <w:tc>
          <w:tcPr>
            <w:tcW w:w="23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EDA8B" w14:textId="77777777" w:rsidR="00444740" w:rsidRPr="00932644" w:rsidRDefault="00444740" w:rsidP="00BF4AE9">
            <w:pPr>
              <w:spacing w:before="120" w:after="120"/>
              <w:ind w:left="250"/>
              <w:contextualSpacing/>
              <w:rPr>
                <w:rFonts w:ascii="Arial" w:hAnsi="Arial" w:cs="Arial"/>
                <w:i/>
                <w:iCs/>
                <w:sz w:val="16"/>
                <w:szCs w:val="16"/>
                <w:lang w:val="es-419"/>
              </w:rPr>
            </w:pPr>
            <w:r w:rsidRPr="00932644">
              <w:rPr>
                <w:rFonts w:ascii="Arial" w:hAnsi="Arial"/>
                <w:b/>
                <w:i/>
                <w:sz w:val="16"/>
                <w:lang w:val="es-419"/>
              </w:rPr>
              <w:t>RE 1:</w:t>
            </w:r>
            <w:r w:rsidRPr="00932644">
              <w:rPr>
                <w:rFonts w:ascii="Arial" w:hAnsi="Arial"/>
                <w:i/>
                <w:sz w:val="16"/>
                <w:lang w:val="es-419"/>
              </w:rPr>
              <w:t xml:space="preserve"> Una gobernanza sólida de la Convención de 2003 apoyada por un seguimiento y servicios de gestión de conocimientos reforzados;</w:t>
            </w:r>
          </w:p>
        </w:tc>
        <w:tc>
          <w:tcPr>
            <w:tcW w:w="65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82CA4E"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5,4 %</w:t>
            </w:r>
          </w:p>
          <w:p w14:paraId="0897FAF1"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(27 % de la partida 3)</w:t>
            </w:r>
          </w:p>
        </w:tc>
        <w:tc>
          <w:tcPr>
            <w:tcW w:w="80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4982928B"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423 380 $</w:t>
            </w:r>
          </w:p>
        </w:tc>
        <w:tc>
          <w:tcPr>
            <w:tcW w:w="736"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313CB1AB"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105 845 $</w:t>
            </w:r>
          </w:p>
        </w:tc>
      </w:tr>
      <w:tr w:rsidR="00444740" w:rsidRPr="00932644" w14:paraId="58F1C234"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247F621" w14:textId="77777777" w:rsidR="00444740" w:rsidRPr="00932644" w:rsidRDefault="00444740" w:rsidP="00BF4AE9">
            <w:pPr>
              <w:spacing w:before="120" w:after="120"/>
              <w:contextualSpacing/>
              <w:rPr>
                <w:rFonts w:ascii="Arial" w:hAnsi="Arial" w:cs="Arial"/>
                <w:i/>
                <w:iCs/>
                <w:sz w:val="18"/>
                <w:szCs w:val="18"/>
                <w:lang w:val="es-419"/>
              </w:rPr>
            </w:pPr>
          </w:p>
        </w:tc>
        <w:tc>
          <w:tcPr>
            <w:tcW w:w="23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BA233D" w14:textId="77777777" w:rsidR="00444740" w:rsidRPr="00932644" w:rsidRDefault="00444740" w:rsidP="00BF4AE9">
            <w:pPr>
              <w:spacing w:before="120" w:after="120"/>
              <w:ind w:left="250"/>
              <w:contextualSpacing/>
              <w:rPr>
                <w:rFonts w:ascii="Arial" w:hAnsi="Arial" w:cs="Arial"/>
                <w:i/>
                <w:iCs/>
                <w:sz w:val="16"/>
                <w:szCs w:val="16"/>
                <w:lang w:val="es-419"/>
              </w:rPr>
            </w:pPr>
            <w:r w:rsidRPr="00932644">
              <w:rPr>
                <w:rFonts w:ascii="Arial" w:hAnsi="Arial"/>
                <w:b/>
                <w:i/>
                <w:sz w:val="16"/>
                <w:lang w:val="es-419"/>
              </w:rPr>
              <w:t>RE 2:</w:t>
            </w:r>
            <w:r w:rsidRPr="00932644">
              <w:rPr>
                <w:rFonts w:ascii="Arial" w:hAnsi="Arial"/>
                <w:i/>
                <w:sz w:val="16"/>
                <w:lang w:val="es-419"/>
              </w:rPr>
              <w:t xml:space="preserve"> Aplicación de la Convención en los Estados Miembros mediante un programa de fortalecimiento de capacidades reforzado;</w:t>
            </w:r>
          </w:p>
        </w:tc>
        <w:tc>
          <w:tcPr>
            <w:tcW w:w="65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E69292"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6,6 %</w:t>
            </w:r>
          </w:p>
          <w:p w14:paraId="0091BE1A"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(33 % de la partida 3)</w:t>
            </w:r>
          </w:p>
        </w:tc>
        <w:tc>
          <w:tcPr>
            <w:tcW w:w="80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72369926"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517 465 $</w:t>
            </w:r>
          </w:p>
        </w:tc>
        <w:tc>
          <w:tcPr>
            <w:tcW w:w="736"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339E3F5E"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129 366 $</w:t>
            </w:r>
          </w:p>
        </w:tc>
      </w:tr>
      <w:tr w:rsidR="00444740" w:rsidRPr="00932644" w14:paraId="1BAB4063"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DB4228D" w14:textId="77777777" w:rsidR="00444740" w:rsidRPr="00932644" w:rsidRDefault="00444740" w:rsidP="00BF4AE9">
            <w:pPr>
              <w:spacing w:before="120" w:after="120"/>
              <w:contextualSpacing/>
              <w:rPr>
                <w:rFonts w:ascii="Arial" w:hAnsi="Arial" w:cs="Arial"/>
                <w:i/>
                <w:iCs/>
                <w:sz w:val="18"/>
                <w:szCs w:val="18"/>
                <w:lang w:val="es-419"/>
              </w:rPr>
            </w:pPr>
          </w:p>
        </w:tc>
        <w:tc>
          <w:tcPr>
            <w:tcW w:w="23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9E5703" w14:textId="477703D2" w:rsidR="00444740" w:rsidRPr="00932644" w:rsidRDefault="00444740" w:rsidP="00BF4AE9">
            <w:pPr>
              <w:spacing w:before="120" w:after="120"/>
              <w:ind w:left="250"/>
              <w:contextualSpacing/>
              <w:rPr>
                <w:rFonts w:ascii="Arial" w:hAnsi="Arial" w:cs="Arial"/>
                <w:i/>
                <w:iCs/>
                <w:sz w:val="16"/>
                <w:szCs w:val="16"/>
                <w:lang w:val="es-419"/>
              </w:rPr>
            </w:pPr>
            <w:r w:rsidRPr="00932644">
              <w:rPr>
                <w:rFonts w:ascii="Arial" w:hAnsi="Arial"/>
                <w:b/>
                <w:i/>
                <w:sz w:val="16"/>
                <w:lang w:val="es-419"/>
              </w:rPr>
              <w:t>RE 3:</w:t>
            </w:r>
            <w:r w:rsidRPr="00932644">
              <w:rPr>
                <w:rFonts w:ascii="Arial" w:hAnsi="Arial"/>
                <w:i/>
                <w:sz w:val="16"/>
                <w:lang w:val="es-419"/>
              </w:rPr>
              <w:t xml:space="preserve"> </w:t>
            </w:r>
            <w:r w:rsidR="00975917" w:rsidRPr="00932644">
              <w:rPr>
                <w:rFonts w:ascii="Arial" w:hAnsi="Arial"/>
                <w:i/>
                <w:sz w:val="16"/>
                <w:lang w:val="es-419"/>
              </w:rPr>
              <w:t>La p</w:t>
            </w:r>
            <w:r w:rsidRPr="00932644">
              <w:rPr>
                <w:rFonts w:ascii="Arial" w:hAnsi="Arial"/>
                <w:i/>
                <w:sz w:val="16"/>
                <w:lang w:val="es-419"/>
              </w:rPr>
              <w:t>romoción de la integración del patrimonio cultural inmaterial en los planes, políticas y programas de desarrollo</w:t>
            </w:r>
            <w:r w:rsidR="00975917" w:rsidRPr="00932644">
              <w:rPr>
                <w:rFonts w:ascii="Arial" w:hAnsi="Arial"/>
                <w:i/>
                <w:sz w:val="16"/>
                <w:lang w:val="es-419"/>
              </w:rPr>
              <w:t xml:space="preserve"> apoyada</w:t>
            </w:r>
            <w:r w:rsidRPr="00932644">
              <w:rPr>
                <w:rFonts w:ascii="Arial" w:hAnsi="Arial"/>
                <w:i/>
                <w:sz w:val="16"/>
                <w:lang w:val="es-419"/>
              </w:rPr>
              <w:t>;</w:t>
            </w:r>
          </w:p>
        </w:tc>
        <w:tc>
          <w:tcPr>
            <w:tcW w:w="65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7CD51F"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2,6 %</w:t>
            </w:r>
          </w:p>
          <w:p w14:paraId="5308E798"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(13 % de la partida 3)</w:t>
            </w:r>
          </w:p>
        </w:tc>
        <w:tc>
          <w:tcPr>
            <w:tcW w:w="80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17A98A30"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203 850 $</w:t>
            </w:r>
          </w:p>
        </w:tc>
        <w:tc>
          <w:tcPr>
            <w:tcW w:w="736"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E27105A"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50 962 $</w:t>
            </w:r>
          </w:p>
        </w:tc>
      </w:tr>
      <w:tr w:rsidR="00444740" w:rsidRPr="00932644" w14:paraId="50CAF851"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3D1DAD4" w14:textId="77777777" w:rsidR="00444740" w:rsidRPr="00932644" w:rsidRDefault="00444740" w:rsidP="00BF4AE9">
            <w:pPr>
              <w:spacing w:before="120" w:after="120"/>
              <w:contextualSpacing/>
              <w:rPr>
                <w:rFonts w:ascii="Arial" w:hAnsi="Arial" w:cs="Arial"/>
                <w:i/>
                <w:iCs/>
                <w:sz w:val="18"/>
                <w:szCs w:val="18"/>
                <w:lang w:val="es-419"/>
              </w:rPr>
            </w:pPr>
          </w:p>
        </w:tc>
        <w:tc>
          <w:tcPr>
            <w:tcW w:w="23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C4A7B7" w14:textId="77777777" w:rsidR="00444740" w:rsidRPr="00932644" w:rsidRDefault="00444740" w:rsidP="00BF4AE9">
            <w:pPr>
              <w:spacing w:before="120" w:after="120"/>
              <w:ind w:left="250"/>
              <w:contextualSpacing/>
              <w:rPr>
                <w:rFonts w:ascii="Arial" w:hAnsi="Arial" w:cs="Arial"/>
                <w:i/>
                <w:iCs/>
                <w:sz w:val="16"/>
                <w:szCs w:val="16"/>
                <w:lang w:val="es-419"/>
              </w:rPr>
            </w:pPr>
            <w:r w:rsidRPr="00932644">
              <w:rPr>
                <w:rFonts w:ascii="Arial" w:hAnsi="Arial"/>
                <w:b/>
                <w:i/>
                <w:sz w:val="16"/>
                <w:lang w:val="es-419"/>
              </w:rPr>
              <w:t>RE 4:</w:t>
            </w:r>
            <w:r w:rsidRPr="00932644">
              <w:rPr>
                <w:rFonts w:ascii="Arial" w:hAnsi="Arial"/>
                <w:i/>
                <w:sz w:val="16"/>
                <w:lang w:val="es-419"/>
              </w:rPr>
              <w:t xml:space="preserve"> Objetivos de la Convención promovidos mediante la sensibilización y la divulgación;</w:t>
            </w:r>
          </w:p>
        </w:tc>
        <w:tc>
          <w:tcPr>
            <w:tcW w:w="65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631A3B"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5,4 %</w:t>
            </w:r>
          </w:p>
          <w:p w14:paraId="6FF221EC"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(27 % de la partida 3)</w:t>
            </w:r>
          </w:p>
        </w:tc>
        <w:tc>
          <w:tcPr>
            <w:tcW w:w="80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370C486E"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423 381 $</w:t>
            </w:r>
          </w:p>
        </w:tc>
        <w:tc>
          <w:tcPr>
            <w:tcW w:w="736"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6D437ACD" w14:textId="77777777" w:rsidR="00444740" w:rsidRPr="00932644" w:rsidRDefault="00444740" w:rsidP="00BF4AE9">
            <w:pPr>
              <w:spacing w:before="60" w:after="60"/>
              <w:contextualSpacing/>
              <w:jc w:val="center"/>
              <w:rPr>
                <w:rFonts w:ascii="Arial" w:hAnsi="Arial" w:cs="Arial"/>
                <w:i/>
                <w:iCs/>
                <w:sz w:val="16"/>
                <w:szCs w:val="16"/>
                <w:lang w:val="es-419"/>
              </w:rPr>
            </w:pPr>
            <w:r w:rsidRPr="00932644">
              <w:rPr>
                <w:rFonts w:ascii="Arial" w:hAnsi="Arial"/>
                <w:i/>
                <w:sz w:val="16"/>
                <w:lang w:val="es-419"/>
              </w:rPr>
              <w:t>105 846 $</w:t>
            </w:r>
          </w:p>
        </w:tc>
      </w:tr>
      <w:tr w:rsidR="00444740" w:rsidRPr="00932644" w14:paraId="246BAD01"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A5205B"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4.</w:t>
            </w: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7AD7103B"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Participación en las reuniones del Comité, su Mesa y sus órganos subsidiarios de expertos en patrimonio cultural inmaterial que representen a Estados en vías de desarrollo que son Miembros del Comité;</w:t>
            </w:r>
          </w:p>
        </w:tc>
        <w:tc>
          <w:tcPr>
            <w:tcW w:w="658" w:type="pct"/>
            <w:tcBorders>
              <w:top w:val="single" w:sz="4" w:space="0" w:color="auto"/>
              <w:left w:val="single" w:sz="4" w:space="0" w:color="auto"/>
              <w:bottom w:val="single" w:sz="4" w:space="0" w:color="auto"/>
              <w:right w:val="single" w:sz="4" w:space="0" w:color="auto"/>
            </w:tcBorders>
            <w:vAlign w:val="center"/>
          </w:tcPr>
          <w:p w14:paraId="2796AB16"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2,63 %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5A2E2403"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206 202 $</w:t>
            </w:r>
          </w:p>
        </w:tc>
        <w:tc>
          <w:tcPr>
            <w:tcW w:w="736" w:type="pct"/>
            <w:gridSpan w:val="2"/>
            <w:tcBorders>
              <w:top w:val="dashed" w:sz="4" w:space="0" w:color="auto"/>
              <w:left w:val="dashed" w:sz="4" w:space="0" w:color="auto"/>
              <w:bottom w:val="dashed" w:sz="4" w:space="0" w:color="auto"/>
              <w:right w:val="dashed" w:sz="4" w:space="0" w:color="auto"/>
            </w:tcBorders>
            <w:vAlign w:val="center"/>
          </w:tcPr>
          <w:p w14:paraId="372869B2"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51 550 $</w:t>
            </w:r>
          </w:p>
        </w:tc>
      </w:tr>
      <w:tr w:rsidR="00444740" w:rsidRPr="00932644" w14:paraId="39539B15"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8C2F3"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5.</w:t>
            </w: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03BBB7FA" w14:textId="77777777" w:rsidR="00444740" w:rsidRPr="00932644" w:rsidRDefault="00444740" w:rsidP="00BF4AE9">
            <w:pPr>
              <w:spacing w:before="120" w:after="120"/>
              <w:contextualSpacing/>
              <w:rPr>
                <w:rFonts w:ascii="Arial" w:hAnsi="Arial" w:cs="Arial"/>
                <w:sz w:val="18"/>
                <w:szCs w:val="18"/>
                <w:lang w:val="es-419"/>
              </w:rPr>
            </w:pPr>
            <w:r w:rsidRPr="00932644">
              <w:rPr>
                <w:rFonts w:ascii="Arial" w:hAnsi="Arial"/>
                <w:sz w:val="18"/>
                <w:lang w:val="es-419"/>
              </w:rPr>
              <w:t xml:space="preserve">La participación en las reuniones del Comité de expertos en patrimonio cultural inmaterial que representen a Estados en vías de desarrollo que sean Partes en la </w:t>
            </w:r>
            <w:r w:rsidR="00995F32" w:rsidRPr="00932644">
              <w:rPr>
                <w:rFonts w:ascii="Arial" w:hAnsi="Arial"/>
                <w:sz w:val="18"/>
                <w:lang w:val="es-419"/>
              </w:rPr>
              <w:t>Convención,</w:t>
            </w:r>
            <w:r w:rsidRPr="00932644">
              <w:rPr>
                <w:rFonts w:ascii="Arial" w:hAnsi="Arial"/>
                <w:sz w:val="18"/>
                <w:lang w:val="es-419"/>
              </w:rPr>
              <w:t xml:space="preserve"> pero no miembros del Comité;</w:t>
            </w:r>
          </w:p>
        </w:tc>
        <w:tc>
          <w:tcPr>
            <w:tcW w:w="658" w:type="pct"/>
            <w:tcBorders>
              <w:top w:val="single" w:sz="4" w:space="0" w:color="auto"/>
              <w:left w:val="single" w:sz="4" w:space="0" w:color="auto"/>
              <w:bottom w:val="single" w:sz="4" w:space="0" w:color="auto"/>
              <w:right w:val="single" w:sz="4" w:space="0" w:color="auto"/>
            </w:tcBorders>
            <w:vAlign w:val="center"/>
          </w:tcPr>
          <w:p w14:paraId="538DA12D"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3,31 %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7B6D0D64"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259 516 $</w:t>
            </w:r>
          </w:p>
        </w:tc>
        <w:tc>
          <w:tcPr>
            <w:tcW w:w="736" w:type="pct"/>
            <w:gridSpan w:val="2"/>
            <w:tcBorders>
              <w:top w:val="dashed" w:sz="4" w:space="0" w:color="auto"/>
              <w:left w:val="dashed" w:sz="4" w:space="0" w:color="auto"/>
              <w:bottom w:val="dashed" w:sz="4" w:space="0" w:color="auto"/>
              <w:right w:val="dashed" w:sz="4" w:space="0" w:color="auto"/>
            </w:tcBorders>
            <w:vAlign w:val="center"/>
          </w:tcPr>
          <w:p w14:paraId="21A7B190" w14:textId="77777777" w:rsidR="00444740" w:rsidRPr="00932644" w:rsidRDefault="00444740" w:rsidP="00BF4AE9">
            <w:pPr>
              <w:spacing w:before="60" w:after="60"/>
              <w:contextualSpacing/>
              <w:jc w:val="center"/>
              <w:rPr>
                <w:rFonts w:ascii="Arial" w:hAnsi="Arial" w:cs="Arial"/>
                <w:sz w:val="18"/>
                <w:szCs w:val="18"/>
                <w:lang w:val="es-419"/>
              </w:rPr>
            </w:pPr>
            <w:r w:rsidRPr="00932644">
              <w:rPr>
                <w:rFonts w:ascii="Arial" w:hAnsi="Arial"/>
                <w:sz w:val="18"/>
                <w:lang w:val="es-419"/>
              </w:rPr>
              <w:t>64 879 $</w:t>
            </w:r>
          </w:p>
        </w:tc>
      </w:tr>
      <w:tr w:rsidR="00F431FD" w:rsidRPr="00932644" w14:paraId="55A49CD1"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715031" w14:textId="77777777" w:rsidR="00F431FD" w:rsidRPr="00932644" w:rsidRDefault="00F431FD" w:rsidP="00BF4AE9">
            <w:pPr>
              <w:spacing w:before="120" w:after="120"/>
              <w:contextualSpacing/>
              <w:rPr>
                <w:rFonts w:ascii="Arial" w:hAnsi="Arial" w:cs="Arial"/>
                <w:sz w:val="18"/>
                <w:szCs w:val="18"/>
                <w:lang w:val="es-419"/>
              </w:rPr>
            </w:pPr>
            <w:r w:rsidRPr="00932644">
              <w:rPr>
                <w:rFonts w:ascii="Arial" w:hAnsi="Arial"/>
                <w:sz w:val="18"/>
                <w:lang w:val="es-419"/>
              </w:rPr>
              <w:lastRenderedPageBreak/>
              <w:t>6.</w:t>
            </w: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311E404B" w14:textId="77777777" w:rsidR="00F431FD" w:rsidRPr="00932644" w:rsidRDefault="00F431FD" w:rsidP="00BF4AE9">
            <w:pPr>
              <w:spacing w:before="120" w:after="120"/>
              <w:contextualSpacing/>
              <w:rPr>
                <w:rFonts w:ascii="Arial" w:hAnsi="Arial" w:cs="Arial"/>
                <w:sz w:val="18"/>
                <w:szCs w:val="18"/>
                <w:lang w:val="es-419"/>
              </w:rPr>
            </w:pPr>
            <w:r w:rsidRPr="00932644">
              <w:rPr>
                <w:rFonts w:ascii="Arial" w:hAnsi="Arial"/>
                <w:sz w:val="18"/>
                <w:lang w:val="es-419"/>
              </w:rPr>
              <w:t>La participación en las reuniones del Comité, su Mesa y sus órganos consultivos de organismos públicos o privados, de personas físicas, en particular miembros de comunidades y grupos, que hayan sido invitados por el Comité para ser consultados sobre asuntos específicos, y de expertos en el patrimonio cultural inmaterial que representen a ONG acreditadas de países en vías desarrollo;</w:t>
            </w:r>
          </w:p>
        </w:tc>
        <w:tc>
          <w:tcPr>
            <w:tcW w:w="658" w:type="pct"/>
            <w:tcBorders>
              <w:top w:val="single" w:sz="4" w:space="0" w:color="auto"/>
              <w:left w:val="single" w:sz="4" w:space="0" w:color="auto"/>
              <w:bottom w:val="single" w:sz="4" w:space="0" w:color="auto"/>
              <w:right w:val="single" w:sz="4" w:space="0" w:color="auto"/>
            </w:tcBorders>
            <w:vAlign w:val="center"/>
          </w:tcPr>
          <w:p w14:paraId="70954493" w14:textId="3BDA75F1" w:rsidR="00F431FD" w:rsidRPr="00932644" w:rsidRDefault="00F431FD" w:rsidP="00BF4AE9">
            <w:pPr>
              <w:spacing w:before="60" w:after="60"/>
              <w:contextualSpacing/>
              <w:jc w:val="center"/>
              <w:rPr>
                <w:rFonts w:ascii="Arial" w:hAnsi="Arial" w:cs="Arial"/>
                <w:sz w:val="18"/>
                <w:szCs w:val="18"/>
                <w:lang w:val="es-419"/>
              </w:rPr>
            </w:pPr>
            <w:r w:rsidRPr="00932644">
              <w:rPr>
                <w:rFonts w:ascii="Arial" w:hAnsi="Arial"/>
                <w:sz w:val="18"/>
                <w:lang w:val="es-419"/>
              </w:rPr>
              <w:t>3,31 %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2974B89C" w14:textId="77777777" w:rsidR="00F431FD" w:rsidRPr="00932644" w:rsidRDefault="000D2E75" w:rsidP="00BF4AE9">
            <w:pPr>
              <w:spacing w:before="60" w:after="60"/>
              <w:contextualSpacing/>
              <w:jc w:val="center"/>
              <w:rPr>
                <w:rFonts w:ascii="Arial" w:hAnsi="Arial" w:cs="Arial"/>
                <w:sz w:val="18"/>
                <w:szCs w:val="18"/>
                <w:lang w:val="es-419"/>
              </w:rPr>
            </w:pPr>
            <w:r w:rsidRPr="00932644">
              <w:rPr>
                <w:rFonts w:ascii="Arial" w:hAnsi="Arial"/>
                <w:sz w:val="18"/>
                <w:lang w:val="es-419"/>
              </w:rPr>
              <w:t>259 516 $</w:t>
            </w:r>
          </w:p>
        </w:tc>
        <w:tc>
          <w:tcPr>
            <w:tcW w:w="736" w:type="pct"/>
            <w:gridSpan w:val="2"/>
            <w:tcBorders>
              <w:top w:val="dashed" w:sz="4" w:space="0" w:color="auto"/>
              <w:bottom w:val="dashed" w:sz="4" w:space="0" w:color="auto"/>
              <w:right w:val="dashed" w:sz="4" w:space="0" w:color="auto"/>
            </w:tcBorders>
            <w:shd w:val="clear" w:color="auto" w:fill="auto"/>
            <w:vAlign w:val="center"/>
          </w:tcPr>
          <w:p w14:paraId="7DDB003A" w14:textId="77777777" w:rsidR="00F431FD" w:rsidRPr="00932644" w:rsidRDefault="000D2E75" w:rsidP="000D2E75">
            <w:pPr>
              <w:jc w:val="center"/>
              <w:rPr>
                <w:rFonts w:asciiTheme="minorBidi" w:hAnsiTheme="minorBidi" w:cstheme="minorBidi"/>
                <w:sz w:val="18"/>
                <w:szCs w:val="18"/>
                <w:lang w:val="es-419"/>
              </w:rPr>
            </w:pPr>
            <w:r w:rsidRPr="00932644">
              <w:rPr>
                <w:rFonts w:asciiTheme="minorBidi" w:hAnsiTheme="minorBidi" w:cstheme="minorBidi"/>
                <w:sz w:val="18"/>
                <w:szCs w:val="18"/>
                <w:lang w:val="es-419"/>
              </w:rPr>
              <w:t>64 879 $</w:t>
            </w:r>
          </w:p>
        </w:tc>
      </w:tr>
      <w:tr w:rsidR="00F431FD" w:rsidRPr="00932644" w14:paraId="09FAD3BB"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0DF8F" w14:textId="77777777" w:rsidR="00F431FD" w:rsidRPr="00932644" w:rsidRDefault="00F431FD" w:rsidP="00BF4AE9">
            <w:pPr>
              <w:spacing w:before="120" w:after="120"/>
              <w:contextualSpacing/>
              <w:rPr>
                <w:rFonts w:ascii="Arial" w:hAnsi="Arial" w:cs="Arial"/>
                <w:sz w:val="18"/>
                <w:szCs w:val="18"/>
                <w:lang w:val="es-419"/>
              </w:rPr>
            </w:pPr>
            <w:r w:rsidRPr="00932644">
              <w:rPr>
                <w:rFonts w:ascii="Arial" w:hAnsi="Arial"/>
                <w:sz w:val="18"/>
                <w:lang w:val="es-419"/>
              </w:rPr>
              <w:t>7.</w:t>
            </w: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332D3E6D" w14:textId="46EB728C" w:rsidR="00F431FD" w:rsidRPr="00932644" w:rsidRDefault="00F431FD" w:rsidP="00BF4AE9">
            <w:pPr>
              <w:spacing w:before="120" w:after="120"/>
              <w:contextualSpacing/>
              <w:rPr>
                <w:rFonts w:ascii="Arial" w:hAnsi="Arial" w:cs="Arial"/>
                <w:sz w:val="18"/>
                <w:szCs w:val="18"/>
                <w:lang w:val="es-419"/>
              </w:rPr>
            </w:pPr>
            <w:r w:rsidRPr="00932644">
              <w:rPr>
                <w:rFonts w:ascii="Arial" w:hAnsi="Arial"/>
                <w:sz w:val="18"/>
                <w:lang w:val="es-419"/>
              </w:rPr>
              <w:t>Los costes de los servicios consultivos prestados a pedido del Comité, incluido el apoyo a Estados en vías de desarrollo cuyos representantes hayan sido nombrados miembros del Órgano de Evaluación</w:t>
            </w:r>
            <w:r w:rsidR="009651E0" w:rsidRPr="00932644">
              <w:rPr>
                <w:rFonts w:ascii="Arial" w:hAnsi="Arial"/>
                <w:sz w:val="18"/>
                <w:lang w:val="es-419"/>
              </w:rPr>
              <w:t>.</w:t>
            </w:r>
          </w:p>
        </w:tc>
        <w:tc>
          <w:tcPr>
            <w:tcW w:w="658" w:type="pct"/>
            <w:tcBorders>
              <w:top w:val="single" w:sz="4" w:space="0" w:color="auto"/>
              <w:left w:val="single" w:sz="4" w:space="0" w:color="auto"/>
              <w:bottom w:val="single" w:sz="4" w:space="0" w:color="auto"/>
              <w:right w:val="single" w:sz="4" w:space="0" w:color="auto"/>
            </w:tcBorders>
            <w:vAlign w:val="center"/>
          </w:tcPr>
          <w:p w14:paraId="69C0AE64" w14:textId="77777777" w:rsidR="00F431FD" w:rsidRPr="00932644" w:rsidRDefault="00F431FD" w:rsidP="00BF4AE9">
            <w:pPr>
              <w:spacing w:before="60" w:after="60"/>
              <w:contextualSpacing/>
              <w:jc w:val="center"/>
              <w:rPr>
                <w:rFonts w:ascii="Arial" w:hAnsi="Arial" w:cs="Arial"/>
                <w:sz w:val="18"/>
                <w:szCs w:val="18"/>
                <w:lang w:val="es-419"/>
              </w:rPr>
            </w:pPr>
            <w:r w:rsidRPr="00932644">
              <w:rPr>
                <w:rFonts w:ascii="Arial" w:hAnsi="Arial"/>
                <w:sz w:val="18"/>
                <w:lang w:val="es-419"/>
              </w:rPr>
              <w:t>6,00 %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1FEF2785" w14:textId="77777777" w:rsidR="00F431FD" w:rsidRPr="00932644" w:rsidRDefault="000D2E75" w:rsidP="00BF4AE9">
            <w:pPr>
              <w:spacing w:before="60" w:after="60"/>
              <w:contextualSpacing/>
              <w:jc w:val="center"/>
              <w:rPr>
                <w:rFonts w:ascii="Arial" w:hAnsi="Arial" w:cs="Arial"/>
                <w:sz w:val="18"/>
                <w:szCs w:val="18"/>
                <w:lang w:val="es-419"/>
              </w:rPr>
            </w:pPr>
            <w:r w:rsidRPr="00932644">
              <w:rPr>
                <w:rFonts w:ascii="Arial" w:hAnsi="Arial"/>
                <w:sz w:val="18"/>
                <w:lang w:val="es-419"/>
              </w:rPr>
              <w:t>470 423 $</w:t>
            </w:r>
          </w:p>
        </w:tc>
        <w:tc>
          <w:tcPr>
            <w:tcW w:w="736" w:type="pct"/>
            <w:gridSpan w:val="2"/>
            <w:tcBorders>
              <w:top w:val="dashed" w:sz="4" w:space="0" w:color="auto"/>
              <w:bottom w:val="dashed" w:sz="4" w:space="0" w:color="auto"/>
              <w:right w:val="dashed" w:sz="4" w:space="0" w:color="auto"/>
            </w:tcBorders>
            <w:shd w:val="clear" w:color="auto" w:fill="auto"/>
            <w:vAlign w:val="center"/>
          </w:tcPr>
          <w:p w14:paraId="34CBD017" w14:textId="77777777" w:rsidR="00F431FD" w:rsidRPr="00932644" w:rsidRDefault="000D2E75" w:rsidP="000D2E75">
            <w:pPr>
              <w:jc w:val="center"/>
              <w:rPr>
                <w:rFonts w:asciiTheme="minorBidi" w:hAnsiTheme="minorBidi" w:cstheme="minorBidi"/>
                <w:sz w:val="18"/>
                <w:szCs w:val="18"/>
                <w:lang w:val="es-419"/>
              </w:rPr>
            </w:pPr>
            <w:r w:rsidRPr="00932644">
              <w:rPr>
                <w:rFonts w:asciiTheme="minorBidi" w:hAnsiTheme="minorBidi" w:cstheme="minorBidi"/>
                <w:sz w:val="18"/>
                <w:szCs w:val="18"/>
                <w:lang w:val="es-419"/>
              </w:rPr>
              <w:t>117 606 $</w:t>
            </w:r>
          </w:p>
        </w:tc>
      </w:tr>
      <w:tr w:rsidR="00F431FD" w:rsidRPr="00932644" w14:paraId="5052C191" w14:textId="77777777" w:rsidTr="00EE2803">
        <w:trPr>
          <w:cantSplit/>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96A72" w14:textId="77777777" w:rsidR="00F431FD" w:rsidRPr="00932644" w:rsidRDefault="00F431FD" w:rsidP="00BF4AE9">
            <w:pPr>
              <w:spacing w:before="120" w:after="120"/>
              <w:contextualSpacing/>
              <w:rPr>
                <w:rFonts w:ascii="Arial" w:hAnsi="Arial" w:cs="Arial"/>
                <w:b/>
                <w:bCs/>
                <w:sz w:val="20"/>
                <w:szCs w:val="20"/>
                <w:lang w:val="es-419"/>
              </w:rPr>
            </w:pPr>
          </w:p>
        </w:tc>
        <w:tc>
          <w:tcPr>
            <w:tcW w:w="2356" w:type="pct"/>
            <w:tcBorders>
              <w:top w:val="single" w:sz="4" w:space="0" w:color="auto"/>
              <w:left w:val="single" w:sz="4" w:space="0" w:color="auto"/>
              <w:bottom w:val="single" w:sz="4" w:space="0" w:color="auto"/>
              <w:right w:val="single" w:sz="4" w:space="0" w:color="auto"/>
            </w:tcBorders>
            <w:shd w:val="clear" w:color="auto" w:fill="auto"/>
            <w:vAlign w:val="center"/>
          </w:tcPr>
          <w:p w14:paraId="76959C7C" w14:textId="77777777" w:rsidR="00F431FD" w:rsidRPr="00932644" w:rsidRDefault="00F431FD" w:rsidP="00BF4AE9">
            <w:pPr>
              <w:spacing w:before="120" w:after="120"/>
              <w:contextualSpacing/>
              <w:jc w:val="both"/>
              <w:rPr>
                <w:rFonts w:ascii="Arial" w:hAnsi="Arial" w:cs="Arial"/>
                <w:b/>
                <w:bCs/>
                <w:sz w:val="18"/>
                <w:szCs w:val="18"/>
                <w:lang w:val="es-419"/>
              </w:rPr>
            </w:pPr>
            <w:r w:rsidRPr="00932644">
              <w:rPr>
                <w:rFonts w:ascii="Arial" w:hAnsi="Arial"/>
                <w:b/>
                <w:sz w:val="18"/>
                <w:lang w:val="es-419"/>
              </w:rPr>
              <w:t>TOTAL</w:t>
            </w:r>
          </w:p>
        </w:tc>
        <w:tc>
          <w:tcPr>
            <w:tcW w:w="658" w:type="pct"/>
            <w:tcBorders>
              <w:top w:val="single" w:sz="4" w:space="0" w:color="auto"/>
              <w:left w:val="single" w:sz="4" w:space="0" w:color="auto"/>
              <w:bottom w:val="single" w:sz="4" w:space="0" w:color="auto"/>
              <w:right w:val="single" w:sz="4" w:space="0" w:color="auto"/>
            </w:tcBorders>
            <w:vAlign w:val="center"/>
          </w:tcPr>
          <w:p w14:paraId="64A131AA" w14:textId="77777777" w:rsidR="00F431FD" w:rsidRPr="00932644" w:rsidRDefault="00F431FD" w:rsidP="00BF4AE9">
            <w:pPr>
              <w:spacing w:before="60" w:after="60"/>
              <w:contextualSpacing/>
              <w:jc w:val="center"/>
              <w:rPr>
                <w:rFonts w:ascii="Arial" w:hAnsi="Arial" w:cs="Arial"/>
                <w:b/>
                <w:bCs/>
                <w:sz w:val="18"/>
                <w:szCs w:val="18"/>
                <w:lang w:val="es-419"/>
              </w:rPr>
            </w:pPr>
            <w:r w:rsidRPr="00932644">
              <w:rPr>
                <w:rFonts w:ascii="Arial" w:hAnsi="Arial"/>
                <w:b/>
                <w:sz w:val="18"/>
                <w:lang w:val="es-419"/>
              </w:rPr>
              <w:t>100,00 %</w:t>
            </w:r>
          </w:p>
        </w:tc>
        <w:tc>
          <w:tcPr>
            <w:tcW w:w="806" w:type="pct"/>
            <w:gridSpan w:val="2"/>
            <w:tcBorders>
              <w:top w:val="dashed" w:sz="4" w:space="0" w:color="auto"/>
              <w:left w:val="single" w:sz="4" w:space="0" w:color="auto"/>
              <w:bottom w:val="dashed" w:sz="4" w:space="0" w:color="auto"/>
              <w:right w:val="dashed" w:sz="4" w:space="0" w:color="auto"/>
            </w:tcBorders>
            <w:vAlign w:val="center"/>
          </w:tcPr>
          <w:p w14:paraId="16FB20E6" w14:textId="77777777" w:rsidR="00F431FD" w:rsidRPr="00932644" w:rsidRDefault="00F431FD" w:rsidP="006D4D84">
            <w:pPr>
              <w:spacing w:before="60" w:after="60"/>
              <w:contextualSpacing/>
              <w:jc w:val="center"/>
              <w:rPr>
                <w:rFonts w:ascii="Arial" w:hAnsi="Arial" w:cs="Arial"/>
                <w:b/>
                <w:bCs/>
                <w:sz w:val="18"/>
                <w:szCs w:val="18"/>
                <w:lang w:val="es-419"/>
              </w:rPr>
            </w:pPr>
            <w:r w:rsidRPr="00932644">
              <w:rPr>
                <w:rFonts w:ascii="Arial" w:hAnsi="Arial"/>
                <w:b/>
                <w:sz w:val="18"/>
                <w:lang w:val="es-419"/>
              </w:rPr>
              <w:t>7 840 379 </w:t>
            </w:r>
            <w:r w:rsidRPr="00932644">
              <w:rPr>
                <w:rFonts w:ascii="Arial" w:hAnsi="Arial"/>
                <w:b/>
                <w:bCs/>
                <w:sz w:val="18"/>
                <w:lang w:val="es-419"/>
              </w:rPr>
              <w:t>$</w:t>
            </w:r>
          </w:p>
        </w:tc>
        <w:tc>
          <w:tcPr>
            <w:tcW w:w="736" w:type="pct"/>
            <w:gridSpan w:val="2"/>
            <w:tcBorders>
              <w:top w:val="dashed" w:sz="4" w:space="0" w:color="auto"/>
              <w:bottom w:val="dashed" w:sz="4" w:space="0" w:color="auto"/>
              <w:right w:val="dashed" w:sz="4" w:space="0" w:color="auto"/>
            </w:tcBorders>
            <w:shd w:val="clear" w:color="auto" w:fill="auto"/>
          </w:tcPr>
          <w:p w14:paraId="3B29DEBD" w14:textId="77777777" w:rsidR="00F431FD" w:rsidRPr="00932644" w:rsidRDefault="00F431FD" w:rsidP="006D4D84">
            <w:pPr>
              <w:jc w:val="center"/>
              <w:rPr>
                <w:lang w:val="es-419"/>
              </w:rPr>
            </w:pPr>
            <w:r w:rsidRPr="00932644">
              <w:rPr>
                <w:rFonts w:ascii="Arial" w:hAnsi="Arial"/>
                <w:b/>
                <w:sz w:val="18"/>
                <w:lang w:val="es-419"/>
              </w:rPr>
              <w:t>1 960 095 $</w:t>
            </w:r>
          </w:p>
        </w:tc>
      </w:tr>
      <w:tr w:rsidR="00504DFE" w:rsidRPr="00932644" w14:paraId="3F9AD816" w14:textId="77777777" w:rsidTr="00F201E5">
        <w:trPr>
          <w:cantSplit/>
        </w:trPr>
        <w:tc>
          <w:tcPr>
            <w:tcW w:w="5000" w:type="pct"/>
            <w:gridSpan w:val="7"/>
            <w:tcBorders>
              <w:top w:val="single" w:sz="4" w:space="0" w:color="auto"/>
              <w:left w:val="single" w:sz="4" w:space="0" w:color="auto"/>
              <w:bottom w:val="single" w:sz="4" w:space="0" w:color="auto"/>
              <w:right w:val="dashed" w:sz="4" w:space="0" w:color="auto"/>
            </w:tcBorders>
            <w:shd w:val="clear" w:color="auto" w:fill="auto"/>
            <w:noWrap/>
          </w:tcPr>
          <w:p w14:paraId="11D8A767" w14:textId="77777777" w:rsidR="00504DFE" w:rsidRPr="00932644" w:rsidRDefault="00504DFE" w:rsidP="00F201E5">
            <w:pPr>
              <w:jc w:val="both"/>
              <w:rPr>
                <w:rFonts w:ascii="Arial" w:hAnsi="Arial"/>
                <w:b/>
                <w:sz w:val="18"/>
                <w:lang w:val="es-419"/>
              </w:rPr>
            </w:pPr>
            <w:r w:rsidRPr="00932644">
              <w:rPr>
                <w:rFonts w:ascii="Arial" w:hAnsi="Arial"/>
                <w:sz w:val="18"/>
                <w:lang w:val="es-419"/>
              </w:rPr>
              <w:t>Los Fondos que no hayan sido atribuidos al final del período de este Plan son transferidos al siguiente ejercicio económico y serán asignados según lo establecido por el Plan que será aprobado por la Asamblea General en ese momento.</w:t>
            </w:r>
          </w:p>
        </w:tc>
      </w:tr>
      <w:tr w:rsidR="00504DFE" w:rsidRPr="00932644" w14:paraId="3CA587CE" w14:textId="77777777" w:rsidTr="00F201E5">
        <w:trPr>
          <w:cantSplit/>
        </w:trPr>
        <w:tc>
          <w:tcPr>
            <w:tcW w:w="5000" w:type="pct"/>
            <w:gridSpan w:val="7"/>
            <w:tcBorders>
              <w:top w:val="single" w:sz="4" w:space="0" w:color="auto"/>
              <w:left w:val="single" w:sz="4" w:space="0" w:color="auto"/>
              <w:bottom w:val="single" w:sz="4" w:space="0" w:color="auto"/>
              <w:right w:val="dashed" w:sz="4" w:space="0" w:color="auto"/>
            </w:tcBorders>
            <w:shd w:val="clear" w:color="auto" w:fill="auto"/>
            <w:noWrap/>
          </w:tcPr>
          <w:p w14:paraId="32608A47" w14:textId="77777777" w:rsidR="00504DFE" w:rsidRPr="00932644" w:rsidRDefault="00504DFE" w:rsidP="00F201E5">
            <w:pPr>
              <w:jc w:val="both"/>
              <w:rPr>
                <w:rFonts w:ascii="Arial" w:hAnsi="Arial"/>
                <w:b/>
                <w:sz w:val="18"/>
                <w:lang w:val="es-419"/>
              </w:rPr>
            </w:pPr>
            <w:r w:rsidRPr="00932644">
              <w:rPr>
                <w:rFonts w:ascii="Arial" w:hAnsi="Arial"/>
                <w:sz w:val="18"/>
                <w:lang w:val="es-419"/>
              </w:rPr>
              <w:t>Para el período comprendido entre el 1 de enero y el 30 de junio de 2022, una cuarta parte de la cantidad establecida para los veinticuatro meses del ejercicio financiero 2020-2021 será asignada con carácter provisional, excepto para el Fondo de Reserva, cuyo monto fue establecido por el Comité en un millón de dólares estadounidenses (Decisión 10.COM 8).</w:t>
            </w:r>
          </w:p>
        </w:tc>
      </w:tr>
    </w:tbl>
    <w:p w14:paraId="3557C4A6" w14:textId="77777777" w:rsidR="00C224D7" w:rsidRPr="00932644" w:rsidRDefault="00C224D7" w:rsidP="00C224D7">
      <w:pPr>
        <w:pStyle w:val="COMParaDecision"/>
        <w:ind w:left="0" w:firstLine="0"/>
        <w:rPr>
          <w:lang w:val="es-419"/>
        </w:rPr>
      </w:pPr>
    </w:p>
    <w:p w14:paraId="031FF3D8" w14:textId="59E429C3" w:rsidR="00AF4AD5" w:rsidRPr="00932644" w:rsidRDefault="00AF4AD5" w:rsidP="001D2C04">
      <w:pPr>
        <w:pStyle w:val="Sansinterligne"/>
        <w:spacing w:before="360" w:after="240"/>
        <w:jc w:val="center"/>
        <w:rPr>
          <w:rFonts w:ascii="Arial" w:hAnsi="Arial" w:cs="Arial"/>
          <w:b/>
          <w:bCs/>
          <w:lang w:val="es-419"/>
        </w:rPr>
      </w:pPr>
      <w:r w:rsidRPr="00932644">
        <w:rPr>
          <w:rFonts w:ascii="Arial" w:hAnsi="Arial" w:cs="Arial"/>
          <w:b/>
          <w:bCs/>
          <w:lang w:val="es-419"/>
        </w:rPr>
        <w:t>A</w:t>
      </w:r>
      <w:r w:rsidR="005925AC" w:rsidRPr="00932644">
        <w:rPr>
          <w:rFonts w:ascii="Arial" w:hAnsi="Arial" w:cs="Arial"/>
          <w:b/>
          <w:bCs/>
          <w:lang w:val="es-419"/>
        </w:rPr>
        <w:t>NEXO</w:t>
      </w:r>
      <w:r w:rsidRPr="00932644">
        <w:rPr>
          <w:rFonts w:ascii="Arial" w:hAnsi="Arial" w:cs="Arial"/>
          <w:b/>
          <w:bCs/>
          <w:lang w:val="es-419"/>
        </w:rPr>
        <w:t xml:space="preserve"> II</w:t>
      </w:r>
    </w:p>
    <w:p w14:paraId="7BDA4948" w14:textId="77777777" w:rsidR="00AF4AD5" w:rsidRPr="00932644" w:rsidRDefault="00AF4AD5" w:rsidP="00C224D7">
      <w:pPr>
        <w:pStyle w:val="Sansinterligne"/>
        <w:jc w:val="center"/>
        <w:rPr>
          <w:rFonts w:ascii="Arial" w:hAnsi="Arial"/>
          <w:b/>
          <w:lang w:val="es-419"/>
        </w:rPr>
      </w:pPr>
    </w:p>
    <w:p w14:paraId="003A489F" w14:textId="3AA81201" w:rsidR="00C224D7" w:rsidRPr="00932644" w:rsidRDefault="00DE2B21" w:rsidP="00C224D7">
      <w:pPr>
        <w:pStyle w:val="Sansinterligne"/>
        <w:jc w:val="center"/>
        <w:rPr>
          <w:rFonts w:ascii="Arial" w:hAnsi="Arial" w:cs="Arial"/>
          <w:b/>
          <w:lang w:val="es-419"/>
        </w:rPr>
      </w:pPr>
      <w:r w:rsidRPr="00932644">
        <w:rPr>
          <w:rFonts w:ascii="Arial" w:hAnsi="Arial"/>
          <w:b/>
          <w:lang w:val="es-419"/>
        </w:rPr>
        <w:t>R</w:t>
      </w:r>
      <w:r w:rsidR="00C224D7" w:rsidRPr="00932644">
        <w:rPr>
          <w:rFonts w:ascii="Arial" w:hAnsi="Arial"/>
          <w:b/>
          <w:lang w:val="es-419"/>
        </w:rPr>
        <w:t>evisión del Reglamento Financiero de la Cuenta Especial del Fondo para la Salvaguardia del Patrimonio Cultural Inmaterial en consonancia con el Reglamento Financiero Modelo para Cuentas Especiales relacionadas con las convenciones aprobado por el Consejo Ejecutivo de la UNESCO</w:t>
      </w:r>
    </w:p>
    <w:p w14:paraId="5700B0BC" w14:textId="77777777" w:rsidR="00C224D7" w:rsidRPr="00932644" w:rsidRDefault="00C224D7" w:rsidP="00C224D7">
      <w:pPr>
        <w:rPr>
          <w:lang w:val="es-419" w:eastAsia="zh-CN"/>
        </w:rPr>
      </w:pP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C224D7" w:rsidRPr="00932644" w14:paraId="217D7B05" w14:textId="77777777" w:rsidTr="001D2C04">
        <w:trPr>
          <w:cantSplit/>
        </w:trPr>
        <w:tc>
          <w:tcPr>
            <w:tcW w:w="1418" w:type="dxa"/>
          </w:tcPr>
          <w:p w14:paraId="5089063F" w14:textId="77777777" w:rsidR="00C224D7" w:rsidRPr="00932644" w:rsidRDefault="00C224D7" w:rsidP="00BF4AE9">
            <w:pPr>
              <w:spacing w:before="240" w:after="120"/>
              <w:jc w:val="right"/>
              <w:rPr>
                <w:rFonts w:ascii="Arial" w:hAnsi="Arial" w:cs="Arial"/>
                <w:b/>
                <w:sz w:val="22"/>
                <w:szCs w:val="22"/>
                <w:lang w:val="es-419"/>
              </w:rPr>
            </w:pPr>
            <w:r w:rsidRPr="00932644">
              <w:rPr>
                <w:rFonts w:ascii="Arial" w:hAnsi="Arial"/>
                <w:b/>
                <w:sz w:val="22"/>
                <w:lang w:val="es-419"/>
              </w:rPr>
              <w:t>Artículo 1</w:t>
            </w:r>
          </w:p>
        </w:tc>
        <w:tc>
          <w:tcPr>
            <w:tcW w:w="8221" w:type="dxa"/>
          </w:tcPr>
          <w:p w14:paraId="33C180F8" w14:textId="77777777" w:rsidR="00C224D7" w:rsidRPr="00932644" w:rsidRDefault="00C224D7" w:rsidP="001D2C04">
            <w:pPr>
              <w:spacing w:before="240" w:after="120"/>
              <w:jc w:val="both"/>
              <w:rPr>
                <w:rFonts w:ascii="Arial" w:hAnsi="Arial" w:cs="Arial"/>
                <w:bCs/>
                <w:iCs/>
                <w:sz w:val="22"/>
                <w:szCs w:val="22"/>
                <w:lang w:val="es-419"/>
              </w:rPr>
            </w:pPr>
            <w:r w:rsidRPr="00932644">
              <w:rPr>
                <w:rFonts w:ascii="Arial" w:hAnsi="Arial"/>
                <w:b/>
                <w:iCs/>
                <w:sz w:val="22"/>
                <w:lang w:val="es-419"/>
              </w:rPr>
              <w:t>Creación de una Cuenta Especial</w:t>
            </w:r>
          </w:p>
        </w:tc>
      </w:tr>
      <w:tr w:rsidR="00C224D7" w:rsidRPr="00932644" w14:paraId="76373F23" w14:textId="77777777" w:rsidTr="001D2C04">
        <w:trPr>
          <w:cantSplit/>
        </w:trPr>
        <w:tc>
          <w:tcPr>
            <w:tcW w:w="1418" w:type="dxa"/>
          </w:tcPr>
          <w:p w14:paraId="65E528E2" w14:textId="77777777" w:rsidR="00C224D7" w:rsidRPr="00932644" w:rsidRDefault="00C224D7" w:rsidP="00BF4AE9">
            <w:pPr>
              <w:suppressAutoHyphens/>
              <w:spacing w:before="240" w:after="120"/>
              <w:jc w:val="right"/>
              <w:rPr>
                <w:rFonts w:ascii="Arial" w:hAnsi="Arial" w:cs="Arial"/>
                <w:sz w:val="22"/>
                <w:szCs w:val="22"/>
                <w:lang w:val="es-419"/>
              </w:rPr>
            </w:pPr>
            <w:r w:rsidRPr="00932644">
              <w:rPr>
                <w:rFonts w:ascii="Arial" w:hAnsi="Arial" w:cs="Arial"/>
                <w:sz w:val="22"/>
                <w:szCs w:val="22"/>
                <w:lang w:val="es-419"/>
              </w:rPr>
              <w:t xml:space="preserve">1.1 </w:t>
            </w:r>
          </w:p>
        </w:tc>
        <w:tc>
          <w:tcPr>
            <w:tcW w:w="8221" w:type="dxa"/>
          </w:tcPr>
          <w:p w14:paraId="235E5D8A" w14:textId="77777777" w:rsidR="00C224D7" w:rsidRPr="00932644" w:rsidRDefault="00C224D7" w:rsidP="001D2C04">
            <w:pPr>
              <w:spacing w:before="240" w:after="120"/>
              <w:jc w:val="both"/>
              <w:rPr>
                <w:rFonts w:ascii="Arial" w:hAnsi="Arial" w:cs="Arial"/>
                <w:sz w:val="22"/>
                <w:szCs w:val="22"/>
                <w:lang w:val="es-419"/>
              </w:rPr>
            </w:pPr>
            <w:r w:rsidRPr="00932644">
              <w:rPr>
                <w:rFonts w:ascii="Arial" w:hAnsi="Arial"/>
                <w:sz w:val="22"/>
                <w:lang w:val="es-419"/>
              </w:rPr>
              <w:t>En virtud del artículo 25 de la Convención para la Salvaguardia del Patrimonio Cultural Inmaterial (denominada en adelante la "Convención"), queda</w:t>
            </w:r>
            <w:r w:rsidRPr="00932644">
              <w:rPr>
                <w:rFonts w:ascii="Arial" w:hAnsi="Arial"/>
                <w:sz w:val="22"/>
                <w:lang w:val="es-419"/>
              </w:rPr>
              <w:br/>
              <w:t xml:space="preserve">establecido el "Fondo para la Salvaguardia del patrimonio cultural inmaterial" (denominado en adelante el “Fondo”). </w:t>
            </w:r>
          </w:p>
        </w:tc>
      </w:tr>
      <w:tr w:rsidR="00C224D7" w:rsidRPr="00932644" w14:paraId="34CCC835" w14:textId="77777777" w:rsidTr="001D2C04">
        <w:trPr>
          <w:cantSplit/>
        </w:trPr>
        <w:tc>
          <w:tcPr>
            <w:tcW w:w="1418" w:type="dxa"/>
          </w:tcPr>
          <w:p w14:paraId="407E10E9" w14:textId="77777777" w:rsidR="00C224D7" w:rsidRPr="00932644" w:rsidRDefault="00C224D7" w:rsidP="00BF4AE9">
            <w:pPr>
              <w:suppressAutoHyphens/>
              <w:spacing w:before="240" w:after="120"/>
              <w:jc w:val="right"/>
              <w:rPr>
                <w:rFonts w:ascii="Arial" w:hAnsi="Arial" w:cs="Arial"/>
                <w:sz w:val="22"/>
                <w:szCs w:val="22"/>
                <w:lang w:val="es-419"/>
              </w:rPr>
            </w:pPr>
            <w:r w:rsidRPr="00932644">
              <w:rPr>
                <w:rFonts w:ascii="Arial" w:hAnsi="Arial"/>
                <w:sz w:val="22"/>
                <w:lang w:val="es-419"/>
              </w:rPr>
              <w:t xml:space="preserve">1.2 </w:t>
            </w:r>
          </w:p>
        </w:tc>
        <w:tc>
          <w:tcPr>
            <w:tcW w:w="8221" w:type="dxa"/>
          </w:tcPr>
          <w:p w14:paraId="3F5B8366"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De conformidad con el Artículo 25 de la Convención y los párrafos 5 y 6 del Artículo 6 del Reglamento Financiero de la UNESCO, por las presentes disposiciones se crea la Cuenta Especial del Fondo para la Salvaguardia del Patrimonio Cultural Inmaterial (en adelante denominada la "Cuenta Especial").</w:t>
            </w:r>
          </w:p>
        </w:tc>
      </w:tr>
      <w:tr w:rsidR="00C224D7" w:rsidRPr="00932644" w14:paraId="39169BCD" w14:textId="77777777" w:rsidTr="001D2C04">
        <w:trPr>
          <w:cantSplit/>
        </w:trPr>
        <w:tc>
          <w:tcPr>
            <w:tcW w:w="1418" w:type="dxa"/>
          </w:tcPr>
          <w:p w14:paraId="2F295F2A" w14:textId="77777777" w:rsidR="00C224D7" w:rsidRPr="00932644" w:rsidRDefault="00C224D7" w:rsidP="00BF4AE9">
            <w:pPr>
              <w:suppressAutoHyphens/>
              <w:spacing w:before="240" w:after="120"/>
              <w:jc w:val="right"/>
              <w:rPr>
                <w:rFonts w:ascii="Arial" w:hAnsi="Arial"/>
                <w:sz w:val="22"/>
                <w:lang w:val="es-419"/>
              </w:rPr>
            </w:pPr>
            <w:r w:rsidRPr="00932644">
              <w:rPr>
                <w:rFonts w:ascii="Arial" w:hAnsi="Arial"/>
                <w:sz w:val="22"/>
                <w:lang w:val="es-419"/>
              </w:rPr>
              <w:t>1.3</w:t>
            </w:r>
          </w:p>
        </w:tc>
        <w:tc>
          <w:tcPr>
            <w:tcW w:w="8221" w:type="dxa"/>
          </w:tcPr>
          <w:p w14:paraId="613493CA"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La gestión de esta Cuenta Especial se regirá por las disposiciones siguientes.</w:t>
            </w:r>
          </w:p>
        </w:tc>
      </w:tr>
      <w:tr w:rsidR="00C224D7" w:rsidRPr="00932644" w14:paraId="0F4F9D1D" w14:textId="77777777" w:rsidTr="001D2C04">
        <w:trPr>
          <w:cantSplit/>
        </w:trPr>
        <w:tc>
          <w:tcPr>
            <w:tcW w:w="1418" w:type="dxa"/>
          </w:tcPr>
          <w:p w14:paraId="3363E522" w14:textId="77777777" w:rsidR="00C224D7" w:rsidRPr="00932644" w:rsidRDefault="00C224D7" w:rsidP="00BF4AE9">
            <w:pPr>
              <w:suppressAutoHyphens/>
              <w:spacing w:before="240" w:after="120"/>
              <w:jc w:val="right"/>
              <w:rPr>
                <w:rFonts w:ascii="Arial" w:hAnsi="Arial" w:cs="Arial"/>
                <w:b/>
                <w:sz w:val="22"/>
                <w:szCs w:val="22"/>
                <w:lang w:val="es-419"/>
              </w:rPr>
            </w:pPr>
            <w:r w:rsidRPr="00932644">
              <w:rPr>
                <w:rFonts w:ascii="Arial" w:hAnsi="Arial"/>
                <w:b/>
                <w:sz w:val="22"/>
                <w:lang w:val="es-419"/>
              </w:rPr>
              <w:t>Artículo 2</w:t>
            </w:r>
          </w:p>
        </w:tc>
        <w:tc>
          <w:tcPr>
            <w:tcW w:w="8221" w:type="dxa"/>
          </w:tcPr>
          <w:p w14:paraId="1A5A2524" w14:textId="77777777" w:rsidR="00C224D7" w:rsidRPr="00932644" w:rsidRDefault="00C224D7" w:rsidP="001D2C04">
            <w:pPr>
              <w:suppressAutoHyphens/>
              <w:spacing w:before="240" w:after="120"/>
              <w:jc w:val="both"/>
              <w:rPr>
                <w:rFonts w:ascii="Arial" w:hAnsi="Arial" w:cs="Arial"/>
                <w:b/>
                <w:bCs/>
                <w:sz w:val="22"/>
                <w:szCs w:val="22"/>
                <w:lang w:val="es-419"/>
              </w:rPr>
            </w:pPr>
            <w:r w:rsidRPr="00932644">
              <w:rPr>
                <w:rFonts w:ascii="Arial" w:hAnsi="Arial"/>
                <w:b/>
                <w:bCs/>
                <w:sz w:val="22"/>
                <w:lang w:val="es-419"/>
              </w:rPr>
              <w:t>Ejercicio financiero</w:t>
            </w:r>
          </w:p>
        </w:tc>
      </w:tr>
      <w:tr w:rsidR="00C224D7" w:rsidRPr="00932644" w14:paraId="2B09A072" w14:textId="77777777" w:rsidTr="001D2C04">
        <w:trPr>
          <w:cantSplit/>
        </w:trPr>
        <w:tc>
          <w:tcPr>
            <w:tcW w:w="1418" w:type="dxa"/>
          </w:tcPr>
          <w:p w14:paraId="7C4B1C80"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2.1</w:t>
            </w:r>
          </w:p>
        </w:tc>
        <w:tc>
          <w:tcPr>
            <w:tcW w:w="8221" w:type="dxa"/>
          </w:tcPr>
          <w:p w14:paraId="689158D4"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 xml:space="preserve">El ejercicio financiero </w:t>
            </w:r>
            <w:r w:rsidRPr="00932644">
              <w:rPr>
                <w:rFonts w:ascii="Arial" w:hAnsi="Arial"/>
                <w:bCs/>
                <w:sz w:val="22"/>
                <w:lang w:val="es-419"/>
              </w:rPr>
              <w:t>para las estimaciones presupuestarias será de dos años civiles consecutivos comenzando en un año par.</w:t>
            </w:r>
          </w:p>
        </w:tc>
      </w:tr>
      <w:tr w:rsidR="00C224D7" w:rsidRPr="00932644" w14:paraId="6BE15FD4" w14:textId="77777777" w:rsidTr="001D2C04">
        <w:trPr>
          <w:cantSplit/>
        </w:trPr>
        <w:tc>
          <w:tcPr>
            <w:tcW w:w="1418" w:type="dxa"/>
          </w:tcPr>
          <w:p w14:paraId="2B5D10AE" w14:textId="77777777" w:rsidR="00C224D7" w:rsidRPr="00932644" w:rsidRDefault="00C224D7" w:rsidP="00BF4AE9">
            <w:pPr>
              <w:suppressAutoHyphens/>
              <w:spacing w:before="240" w:after="120"/>
              <w:jc w:val="right"/>
              <w:rPr>
                <w:rFonts w:ascii="Arial" w:hAnsi="Arial" w:cs="Arial"/>
                <w:bCs/>
                <w:spacing w:val="-3"/>
                <w:sz w:val="22"/>
                <w:szCs w:val="22"/>
                <w:lang w:val="es-419"/>
              </w:rPr>
            </w:pPr>
            <w:r w:rsidRPr="00932644">
              <w:rPr>
                <w:rFonts w:ascii="Arial" w:hAnsi="Arial"/>
                <w:bCs/>
                <w:sz w:val="22"/>
                <w:lang w:val="es-419"/>
              </w:rPr>
              <w:t>2.2</w:t>
            </w:r>
          </w:p>
        </w:tc>
        <w:tc>
          <w:tcPr>
            <w:tcW w:w="8221" w:type="dxa"/>
          </w:tcPr>
          <w:p w14:paraId="2C559FD4" w14:textId="01201916" w:rsidR="00B255B3" w:rsidRPr="00932644" w:rsidRDefault="00C224D7" w:rsidP="001D2C04">
            <w:pPr>
              <w:suppressAutoHyphens/>
              <w:spacing w:before="240" w:after="120"/>
              <w:jc w:val="both"/>
              <w:rPr>
                <w:rFonts w:ascii="Arial" w:hAnsi="Arial" w:cs="Arial"/>
                <w:bCs/>
                <w:spacing w:val="-3"/>
                <w:sz w:val="22"/>
                <w:szCs w:val="22"/>
                <w:lang w:val="es-419"/>
              </w:rPr>
            </w:pPr>
            <w:r w:rsidRPr="00932644">
              <w:rPr>
                <w:rFonts w:ascii="Arial" w:hAnsi="Arial"/>
                <w:bCs/>
                <w:sz w:val="22"/>
                <w:lang w:val="es-419"/>
              </w:rPr>
              <w:t>El ejercicio financiero para la contabilidad será de un año civil anual.</w:t>
            </w:r>
          </w:p>
        </w:tc>
      </w:tr>
      <w:tr w:rsidR="00C224D7" w:rsidRPr="00932644" w14:paraId="187EA747" w14:textId="77777777" w:rsidTr="001D2C04">
        <w:trPr>
          <w:cantSplit/>
        </w:trPr>
        <w:tc>
          <w:tcPr>
            <w:tcW w:w="1418" w:type="dxa"/>
          </w:tcPr>
          <w:p w14:paraId="402643B9" w14:textId="6666C577" w:rsidR="00C224D7" w:rsidRPr="00932644" w:rsidRDefault="00C224D7" w:rsidP="001D2C04">
            <w:pPr>
              <w:keepNext/>
              <w:suppressAutoHyphens/>
              <w:spacing w:before="240" w:after="120"/>
              <w:jc w:val="right"/>
              <w:rPr>
                <w:rFonts w:ascii="Arial" w:hAnsi="Arial" w:cs="Arial"/>
                <w:b/>
                <w:sz w:val="22"/>
                <w:szCs w:val="22"/>
                <w:lang w:val="es-419"/>
              </w:rPr>
            </w:pPr>
            <w:r w:rsidRPr="00932644">
              <w:rPr>
                <w:rFonts w:ascii="Arial" w:hAnsi="Arial"/>
                <w:b/>
                <w:sz w:val="22"/>
                <w:lang w:val="es-419"/>
              </w:rPr>
              <w:lastRenderedPageBreak/>
              <w:t>Artículo 3</w:t>
            </w:r>
          </w:p>
        </w:tc>
        <w:tc>
          <w:tcPr>
            <w:tcW w:w="8221" w:type="dxa"/>
          </w:tcPr>
          <w:p w14:paraId="1700E5DA" w14:textId="77777777" w:rsidR="00C224D7" w:rsidRPr="00932644" w:rsidRDefault="00C224D7" w:rsidP="001D2C04">
            <w:pPr>
              <w:keepNext/>
              <w:suppressAutoHyphens/>
              <w:spacing w:before="240" w:after="120"/>
              <w:jc w:val="both"/>
              <w:rPr>
                <w:rFonts w:ascii="Arial" w:hAnsi="Arial" w:cs="Arial"/>
                <w:b/>
                <w:bCs/>
                <w:sz w:val="22"/>
                <w:szCs w:val="22"/>
                <w:lang w:val="es-419"/>
              </w:rPr>
            </w:pPr>
            <w:r w:rsidRPr="00932644">
              <w:rPr>
                <w:rFonts w:ascii="Arial" w:hAnsi="Arial"/>
                <w:b/>
                <w:bCs/>
                <w:sz w:val="22"/>
                <w:lang w:val="es-419"/>
              </w:rPr>
              <w:t>Finalidad</w:t>
            </w:r>
          </w:p>
        </w:tc>
      </w:tr>
      <w:tr w:rsidR="00C224D7" w:rsidRPr="00932644" w14:paraId="3A8F19D5" w14:textId="77777777" w:rsidTr="001D2C04">
        <w:trPr>
          <w:cantSplit/>
        </w:trPr>
        <w:tc>
          <w:tcPr>
            <w:tcW w:w="1418" w:type="dxa"/>
          </w:tcPr>
          <w:p w14:paraId="4DE4026B" w14:textId="77777777" w:rsidR="00C224D7" w:rsidRPr="00932644" w:rsidRDefault="00C224D7" w:rsidP="00BF4AE9">
            <w:pPr>
              <w:spacing w:before="240" w:after="120"/>
              <w:jc w:val="right"/>
              <w:rPr>
                <w:rFonts w:ascii="Arial" w:hAnsi="Arial" w:cs="Arial"/>
                <w:sz w:val="22"/>
                <w:szCs w:val="22"/>
                <w:lang w:val="es-419"/>
              </w:rPr>
            </w:pPr>
          </w:p>
        </w:tc>
        <w:tc>
          <w:tcPr>
            <w:tcW w:w="8221" w:type="dxa"/>
          </w:tcPr>
          <w:p w14:paraId="3F3DA27B" w14:textId="77777777" w:rsidR="00C224D7" w:rsidRPr="00932644" w:rsidRDefault="00C224D7" w:rsidP="001D2C04">
            <w:pPr>
              <w:spacing w:before="240" w:after="120"/>
              <w:jc w:val="both"/>
              <w:rPr>
                <w:rFonts w:ascii="Arial" w:hAnsi="Arial" w:cs="Arial"/>
                <w:bCs/>
                <w:sz w:val="22"/>
                <w:szCs w:val="22"/>
                <w:lang w:val="es-419"/>
              </w:rPr>
            </w:pPr>
            <w:r w:rsidRPr="00932644">
              <w:rPr>
                <w:rFonts w:ascii="Arial" w:hAnsi="Arial"/>
                <w:bCs/>
                <w:sz w:val="22"/>
                <w:lang w:val="es-419"/>
              </w:rPr>
              <w:t>De conformidad con el artículo 25 de la Convención, la finalidad de esta Cuenta Especial será recibir contribuciones de las fuentes mencionadas en el párrafo 1 del Artículo 5 infra y efectuar pagos con esos recursos para contribuir a la salvaguardia del patrimonio cultural inmaterial, con arreglo a lo dispuesto en la Convención y en el presente Reglamento.</w:t>
            </w:r>
          </w:p>
        </w:tc>
      </w:tr>
      <w:tr w:rsidR="00C224D7" w:rsidRPr="00932644" w14:paraId="0BCF40B3" w14:textId="77777777" w:rsidTr="001D2C04">
        <w:trPr>
          <w:cantSplit/>
        </w:trPr>
        <w:tc>
          <w:tcPr>
            <w:tcW w:w="1418" w:type="dxa"/>
          </w:tcPr>
          <w:p w14:paraId="1EDECF5B" w14:textId="77777777" w:rsidR="00C224D7" w:rsidRPr="00932644" w:rsidRDefault="00C224D7" w:rsidP="00BF4AE9">
            <w:pPr>
              <w:keepNext/>
              <w:suppressAutoHyphens/>
              <w:spacing w:before="240" w:after="120"/>
              <w:jc w:val="right"/>
              <w:outlineLvl w:val="7"/>
              <w:rPr>
                <w:rFonts w:ascii="Arial" w:hAnsi="Arial" w:cs="Arial"/>
                <w:b/>
                <w:sz w:val="22"/>
                <w:szCs w:val="22"/>
                <w:lang w:val="es-419"/>
              </w:rPr>
            </w:pPr>
            <w:r w:rsidRPr="00932644">
              <w:rPr>
                <w:rFonts w:ascii="Arial" w:hAnsi="Arial"/>
                <w:b/>
                <w:sz w:val="22"/>
                <w:lang w:val="es-419"/>
              </w:rPr>
              <w:t>Artículo 4</w:t>
            </w:r>
          </w:p>
        </w:tc>
        <w:tc>
          <w:tcPr>
            <w:tcW w:w="8221" w:type="dxa"/>
          </w:tcPr>
          <w:p w14:paraId="64C59AC4" w14:textId="77777777" w:rsidR="00C224D7" w:rsidRPr="00932644" w:rsidRDefault="00C224D7" w:rsidP="001D2C04">
            <w:pPr>
              <w:keepNext/>
              <w:keepLines/>
              <w:suppressAutoHyphens/>
              <w:spacing w:before="240" w:after="120"/>
              <w:jc w:val="both"/>
              <w:outlineLvl w:val="7"/>
              <w:rPr>
                <w:rFonts w:ascii="Arial" w:hAnsi="Arial" w:cs="Arial"/>
                <w:b/>
                <w:sz w:val="22"/>
                <w:szCs w:val="22"/>
                <w:lang w:val="es-419"/>
              </w:rPr>
            </w:pPr>
            <w:r w:rsidRPr="00932644">
              <w:rPr>
                <w:rFonts w:ascii="Arial" w:hAnsi="Arial"/>
                <w:b/>
                <w:sz w:val="22"/>
                <w:lang w:val="es-419"/>
              </w:rPr>
              <w:t>Gobernanza</w:t>
            </w:r>
          </w:p>
        </w:tc>
      </w:tr>
      <w:tr w:rsidR="00C224D7" w:rsidRPr="00932644" w14:paraId="2211356B" w14:textId="77777777" w:rsidTr="001D2C04">
        <w:trPr>
          <w:cantSplit/>
        </w:trPr>
        <w:tc>
          <w:tcPr>
            <w:tcW w:w="1418" w:type="dxa"/>
          </w:tcPr>
          <w:p w14:paraId="28F1D14B"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 xml:space="preserve">4.1 </w:t>
            </w:r>
          </w:p>
        </w:tc>
        <w:tc>
          <w:tcPr>
            <w:tcW w:w="8221" w:type="dxa"/>
          </w:tcPr>
          <w:p w14:paraId="5FF701E9" w14:textId="77777777" w:rsidR="00C224D7" w:rsidRPr="00932644" w:rsidRDefault="00C224D7" w:rsidP="001D2C04">
            <w:pPr>
              <w:spacing w:before="240" w:after="120"/>
              <w:jc w:val="both"/>
              <w:rPr>
                <w:rFonts w:ascii="Arial" w:hAnsi="Arial" w:cs="Arial"/>
                <w:bCs/>
                <w:sz w:val="22"/>
                <w:szCs w:val="22"/>
                <w:lang w:val="es-419"/>
              </w:rPr>
            </w:pPr>
            <w:r w:rsidRPr="00932644">
              <w:rPr>
                <w:rFonts w:ascii="Arial" w:hAnsi="Arial"/>
                <w:bCs/>
                <w:sz w:val="22"/>
                <w:lang w:val="es-419"/>
              </w:rPr>
              <w:t>La Asamblea General de los Estados Partes (en adelante, la "Asamblea General") tiene autoridad sobre la consignación de los recursos de esta Cuenta Especial.</w:t>
            </w:r>
          </w:p>
        </w:tc>
      </w:tr>
      <w:tr w:rsidR="00C224D7" w:rsidRPr="00932644" w14:paraId="392B18F5" w14:textId="77777777" w:rsidTr="001D2C04">
        <w:trPr>
          <w:cantSplit/>
        </w:trPr>
        <w:tc>
          <w:tcPr>
            <w:tcW w:w="1418" w:type="dxa"/>
          </w:tcPr>
          <w:p w14:paraId="093B0152" w14:textId="77777777" w:rsidR="00C224D7" w:rsidRPr="00932644" w:rsidRDefault="00C224D7" w:rsidP="00BF4AE9">
            <w:pPr>
              <w:suppressAutoHyphens/>
              <w:spacing w:before="240" w:after="120"/>
              <w:jc w:val="right"/>
              <w:rPr>
                <w:rFonts w:ascii="Arial" w:hAnsi="Arial"/>
                <w:bCs/>
                <w:sz w:val="22"/>
                <w:lang w:val="es-419"/>
              </w:rPr>
            </w:pPr>
            <w:r w:rsidRPr="00932644">
              <w:rPr>
                <w:rFonts w:ascii="Arial" w:hAnsi="Arial"/>
                <w:bCs/>
                <w:sz w:val="22"/>
                <w:lang w:val="es-419"/>
              </w:rPr>
              <w:t>4.2</w:t>
            </w:r>
          </w:p>
        </w:tc>
        <w:tc>
          <w:tcPr>
            <w:tcW w:w="8221" w:type="dxa"/>
          </w:tcPr>
          <w:p w14:paraId="37AE6A27" w14:textId="77777777" w:rsidR="00C224D7" w:rsidRPr="00932644" w:rsidRDefault="00C224D7" w:rsidP="001D2C04">
            <w:pPr>
              <w:spacing w:before="240" w:after="120"/>
              <w:jc w:val="both"/>
              <w:rPr>
                <w:rFonts w:ascii="Arial" w:hAnsi="Arial"/>
                <w:bCs/>
                <w:sz w:val="22"/>
                <w:lang w:val="es-419"/>
              </w:rPr>
            </w:pPr>
            <w:r w:rsidRPr="00932644">
              <w:rPr>
                <w:rFonts w:ascii="Arial" w:hAnsi="Arial"/>
                <w:bCs/>
                <w:sz w:val="22"/>
                <w:lang w:val="es-419"/>
              </w:rPr>
              <w:t>De conformidad con el Artículo 7 de la Convención, el Comité Intergubernamental para la Salvaguardia del Patrimonio Cultural Inmaterial (en adelante "el Comité") preparará y someterá a la aprobación de la Asamblea General un proyecto de utilización de los recursos del Fondo, de conformidad con el Artículo 25 de la Convención.</w:t>
            </w:r>
          </w:p>
        </w:tc>
      </w:tr>
      <w:tr w:rsidR="00C224D7" w:rsidRPr="00932644" w14:paraId="03AFB672" w14:textId="77777777" w:rsidTr="001D2C04">
        <w:trPr>
          <w:cantSplit/>
        </w:trPr>
        <w:tc>
          <w:tcPr>
            <w:tcW w:w="1418" w:type="dxa"/>
          </w:tcPr>
          <w:p w14:paraId="45695116"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4.3</w:t>
            </w:r>
          </w:p>
        </w:tc>
        <w:tc>
          <w:tcPr>
            <w:tcW w:w="8221" w:type="dxa"/>
          </w:tcPr>
          <w:p w14:paraId="745889E9" w14:textId="77777777" w:rsidR="00C224D7" w:rsidRPr="00932644" w:rsidRDefault="00C224D7" w:rsidP="001D2C04">
            <w:pPr>
              <w:spacing w:before="240" w:after="120"/>
              <w:ind w:left="-1" w:firstLine="2"/>
              <w:jc w:val="both"/>
              <w:rPr>
                <w:rFonts w:ascii="Arial" w:hAnsi="Arial" w:cs="Arial"/>
                <w:bCs/>
                <w:sz w:val="22"/>
                <w:szCs w:val="22"/>
                <w:lang w:val="es-419"/>
              </w:rPr>
            </w:pPr>
            <w:r w:rsidRPr="00932644">
              <w:rPr>
                <w:rFonts w:ascii="Arial" w:hAnsi="Arial"/>
                <w:bCs/>
                <w:sz w:val="22"/>
                <w:lang w:val="es-419"/>
              </w:rPr>
              <w:t>El/La Directora(a) General gestionará y administrará los fondos de la Cuenta Especial de conformidad con el texto de la Convención, las Directrices Operativas, las decisiones aprobadas por la Asamblea General y el Comité, y el presente Reglamento Financiero.</w:t>
            </w:r>
          </w:p>
        </w:tc>
      </w:tr>
      <w:tr w:rsidR="00C224D7" w:rsidRPr="00932644" w14:paraId="565A2E92" w14:textId="77777777" w:rsidTr="001D2C04">
        <w:trPr>
          <w:cantSplit/>
        </w:trPr>
        <w:tc>
          <w:tcPr>
            <w:tcW w:w="1418" w:type="dxa"/>
          </w:tcPr>
          <w:p w14:paraId="06F6DE34" w14:textId="77777777" w:rsidR="00C224D7" w:rsidRPr="00932644" w:rsidRDefault="00C224D7" w:rsidP="00BF4AE9">
            <w:pPr>
              <w:suppressAutoHyphens/>
              <w:spacing w:before="240" w:after="120"/>
              <w:jc w:val="right"/>
              <w:rPr>
                <w:rFonts w:ascii="Arial" w:hAnsi="Arial" w:cs="Arial"/>
                <w:bCs/>
                <w:spacing w:val="-3"/>
                <w:sz w:val="22"/>
                <w:szCs w:val="22"/>
                <w:lang w:val="es-419"/>
              </w:rPr>
            </w:pPr>
            <w:r w:rsidRPr="00932644">
              <w:rPr>
                <w:rFonts w:ascii="Arial" w:hAnsi="Arial"/>
                <w:bCs/>
                <w:sz w:val="22"/>
                <w:lang w:val="es-419"/>
              </w:rPr>
              <w:t>4.4</w:t>
            </w:r>
          </w:p>
        </w:tc>
        <w:tc>
          <w:tcPr>
            <w:tcW w:w="8221" w:type="dxa"/>
          </w:tcPr>
          <w:p w14:paraId="47B71980" w14:textId="77777777" w:rsidR="00C224D7" w:rsidRPr="00932644" w:rsidRDefault="00C224D7" w:rsidP="001D2C04">
            <w:pPr>
              <w:spacing w:before="240" w:after="120"/>
              <w:ind w:left="-1" w:firstLine="2"/>
              <w:jc w:val="both"/>
              <w:rPr>
                <w:rFonts w:ascii="Arial" w:hAnsi="Arial" w:cs="Arial"/>
                <w:bCs/>
                <w:sz w:val="22"/>
                <w:szCs w:val="22"/>
                <w:lang w:val="es-419"/>
              </w:rPr>
            </w:pPr>
            <w:r w:rsidRPr="00932644">
              <w:rPr>
                <w:rFonts w:ascii="Arial" w:hAnsi="Arial"/>
                <w:bCs/>
                <w:sz w:val="22"/>
                <w:lang w:val="es-419"/>
              </w:rPr>
              <w:t>El/La Director(a) General presentará cada dos años a la Asamblea General y al Comité informes descriptivos y financieros, tal como se indica en el Artículo 10 infra.</w:t>
            </w:r>
          </w:p>
        </w:tc>
      </w:tr>
      <w:tr w:rsidR="00C224D7" w:rsidRPr="00932644" w14:paraId="2620D4F0" w14:textId="77777777" w:rsidTr="001D2C04">
        <w:trPr>
          <w:cantSplit/>
        </w:trPr>
        <w:tc>
          <w:tcPr>
            <w:tcW w:w="1418" w:type="dxa"/>
          </w:tcPr>
          <w:p w14:paraId="5CB98688" w14:textId="77777777" w:rsidR="00C224D7" w:rsidRPr="00932644" w:rsidRDefault="00C224D7" w:rsidP="00BF4AE9">
            <w:pPr>
              <w:keepNext/>
              <w:suppressAutoHyphens/>
              <w:spacing w:before="240" w:after="120"/>
              <w:jc w:val="right"/>
              <w:outlineLvl w:val="7"/>
              <w:rPr>
                <w:rFonts w:ascii="Arial" w:hAnsi="Arial" w:cs="Arial"/>
                <w:b/>
                <w:sz w:val="22"/>
                <w:szCs w:val="22"/>
                <w:lang w:val="es-419"/>
              </w:rPr>
            </w:pPr>
            <w:r w:rsidRPr="00932644">
              <w:rPr>
                <w:rFonts w:ascii="Arial" w:hAnsi="Arial"/>
                <w:b/>
                <w:sz w:val="22"/>
                <w:lang w:val="es-419"/>
              </w:rPr>
              <w:t>Artículo 5</w:t>
            </w:r>
          </w:p>
        </w:tc>
        <w:tc>
          <w:tcPr>
            <w:tcW w:w="8221" w:type="dxa"/>
          </w:tcPr>
          <w:p w14:paraId="546AF409" w14:textId="77777777" w:rsidR="00C224D7" w:rsidRPr="00932644" w:rsidRDefault="00C224D7" w:rsidP="001D2C04">
            <w:pPr>
              <w:keepNext/>
              <w:suppressAutoHyphens/>
              <w:spacing w:before="240" w:after="120"/>
              <w:jc w:val="both"/>
              <w:outlineLvl w:val="7"/>
              <w:rPr>
                <w:rFonts w:ascii="Arial" w:hAnsi="Arial" w:cs="Arial"/>
                <w:bCs/>
                <w:sz w:val="22"/>
                <w:szCs w:val="22"/>
                <w:lang w:val="es-419"/>
              </w:rPr>
            </w:pPr>
            <w:r w:rsidRPr="00932644">
              <w:rPr>
                <w:rFonts w:ascii="Arial" w:hAnsi="Arial"/>
                <w:b/>
                <w:sz w:val="22"/>
                <w:lang w:val="es-419"/>
              </w:rPr>
              <w:t>Ingresos</w:t>
            </w:r>
          </w:p>
        </w:tc>
      </w:tr>
      <w:tr w:rsidR="00C224D7" w:rsidRPr="00932644" w14:paraId="7B266497" w14:textId="77777777" w:rsidTr="001D2C04">
        <w:trPr>
          <w:cantSplit/>
        </w:trPr>
        <w:tc>
          <w:tcPr>
            <w:tcW w:w="1418" w:type="dxa"/>
          </w:tcPr>
          <w:p w14:paraId="5495C298" w14:textId="77777777" w:rsidR="00C224D7" w:rsidRPr="00932644" w:rsidRDefault="00C224D7" w:rsidP="00BF4AE9">
            <w:pPr>
              <w:pStyle w:val="Sansinterligne"/>
              <w:spacing w:before="240" w:after="120"/>
              <w:jc w:val="right"/>
              <w:rPr>
                <w:rFonts w:ascii="Arial" w:hAnsi="Arial" w:cs="Arial"/>
                <w:bCs/>
                <w:lang w:val="es-419"/>
              </w:rPr>
            </w:pPr>
            <w:r w:rsidRPr="00932644">
              <w:rPr>
                <w:rFonts w:ascii="Arial" w:hAnsi="Arial"/>
                <w:bCs/>
                <w:lang w:val="es-419"/>
              </w:rPr>
              <w:t xml:space="preserve">5.1 </w:t>
            </w:r>
          </w:p>
        </w:tc>
        <w:tc>
          <w:tcPr>
            <w:tcW w:w="8221" w:type="dxa"/>
          </w:tcPr>
          <w:p w14:paraId="10571F08" w14:textId="77777777" w:rsidR="00C224D7" w:rsidRPr="00932644" w:rsidRDefault="00C224D7" w:rsidP="001D2C04">
            <w:pPr>
              <w:spacing w:before="240" w:after="120"/>
              <w:jc w:val="both"/>
              <w:rPr>
                <w:rFonts w:ascii="Arial" w:hAnsi="Arial" w:cs="Arial"/>
                <w:sz w:val="22"/>
                <w:szCs w:val="22"/>
                <w:lang w:val="es-419"/>
              </w:rPr>
            </w:pPr>
            <w:r w:rsidRPr="00932644">
              <w:rPr>
                <w:rFonts w:ascii="Arial" w:hAnsi="Arial"/>
                <w:sz w:val="22"/>
                <w:lang w:val="es-419"/>
              </w:rPr>
              <w:t>De conformidad con el párrafo 3 del Artículo 25 de la Convención, los ingresos de la Cuenta Especial estarán constituidos por:</w:t>
            </w:r>
          </w:p>
          <w:p w14:paraId="794E3943" w14:textId="77777777" w:rsidR="00C224D7" w:rsidRPr="00932644" w:rsidRDefault="00C224D7" w:rsidP="001D2C04">
            <w:pPr>
              <w:pStyle w:val="Paragraphedeliste"/>
              <w:numPr>
                <w:ilvl w:val="0"/>
                <w:numId w:val="52"/>
              </w:numPr>
              <w:tabs>
                <w:tab w:val="left" w:pos="567"/>
              </w:tabs>
              <w:suppressAutoHyphens/>
              <w:snapToGrid w:val="0"/>
              <w:spacing w:after="60"/>
              <w:ind w:left="321"/>
              <w:contextualSpacing w:val="0"/>
              <w:jc w:val="both"/>
              <w:rPr>
                <w:rFonts w:ascii="Arial" w:hAnsi="Arial" w:cs="Arial"/>
                <w:iCs/>
                <w:spacing w:val="-3"/>
                <w:sz w:val="22"/>
                <w:szCs w:val="22"/>
                <w:lang w:val="es-419"/>
              </w:rPr>
            </w:pPr>
            <w:r w:rsidRPr="00932644">
              <w:rPr>
                <w:rFonts w:ascii="Arial" w:hAnsi="Arial"/>
                <w:sz w:val="22"/>
                <w:lang w:val="es-419"/>
              </w:rPr>
              <w:t xml:space="preserve">las </w:t>
            </w:r>
            <w:r w:rsidRPr="00932644">
              <w:rPr>
                <w:rFonts w:asciiTheme="minorBidi" w:hAnsiTheme="minorBidi" w:cstheme="minorBidi"/>
                <w:iCs/>
                <w:spacing w:val="-3"/>
                <w:sz w:val="22"/>
                <w:szCs w:val="22"/>
                <w:lang w:val="es-419" w:eastAsia="en-GB"/>
              </w:rPr>
              <w:t>contribuciones</w:t>
            </w:r>
            <w:r w:rsidRPr="00932644">
              <w:rPr>
                <w:rFonts w:ascii="Arial" w:hAnsi="Arial"/>
                <w:sz w:val="22"/>
                <w:lang w:val="es-419"/>
              </w:rPr>
              <w:t xml:space="preserve"> de los Estados Partes;</w:t>
            </w:r>
          </w:p>
          <w:p w14:paraId="48F7CADB" w14:textId="77777777" w:rsidR="00C224D7" w:rsidRPr="00932644" w:rsidRDefault="00C224D7" w:rsidP="001D2C04">
            <w:pPr>
              <w:pStyle w:val="Paragraphedeliste"/>
              <w:numPr>
                <w:ilvl w:val="0"/>
                <w:numId w:val="52"/>
              </w:numPr>
              <w:tabs>
                <w:tab w:val="left" w:pos="567"/>
              </w:tabs>
              <w:suppressAutoHyphens/>
              <w:snapToGrid w:val="0"/>
              <w:spacing w:after="60"/>
              <w:ind w:left="321"/>
              <w:contextualSpacing w:val="0"/>
              <w:jc w:val="both"/>
              <w:rPr>
                <w:rFonts w:ascii="Arial" w:hAnsi="Arial"/>
                <w:sz w:val="22"/>
                <w:lang w:val="es-419"/>
              </w:rPr>
            </w:pPr>
            <w:r w:rsidRPr="00932644">
              <w:rPr>
                <w:rFonts w:asciiTheme="minorBidi" w:hAnsiTheme="minorBidi" w:cstheme="minorBidi"/>
                <w:iCs/>
                <w:spacing w:val="-3"/>
                <w:sz w:val="22"/>
                <w:szCs w:val="22"/>
                <w:lang w:val="es-419" w:eastAsia="en-GB"/>
              </w:rPr>
              <w:t>fondos</w:t>
            </w:r>
            <w:r w:rsidRPr="00932644">
              <w:rPr>
                <w:rFonts w:ascii="Arial" w:hAnsi="Arial"/>
                <w:sz w:val="22"/>
                <w:lang w:val="es-419"/>
              </w:rPr>
              <w:t xml:space="preserve"> consignados para este fin por la Conferencia General de la UNESCO; </w:t>
            </w:r>
          </w:p>
          <w:p w14:paraId="652E15CA" w14:textId="77777777" w:rsidR="00C224D7" w:rsidRPr="00932644" w:rsidRDefault="00C224D7" w:rsidP="001D2C04">
            <w:pPr>
              <w:pStyle w:val="Paragraphedeliste"/>
              <w:numPr>
                <w:ilvl w:val="0"/>
                <w:numId w:val="52"/>
              </w:numPr>
              <w:tabs>
                <w:tab w:val="left" w:pos="567"/>
              </w:tabs>
              <w:suppressAutoHyphens/>
              <w:snapToGrid w:val="0"/>
              <w:spacing w:after="60"/>
              <w:ind w:left="321"/>
              <w:contextualSpacing w:val="0"/>
              <w:jc w:val="both"/>
              <w:rPr>
                <w:rFonts w:ascii="Arial" w:hAnsi="Arial" w:cs="Arial"/>
                <w:iCs/>
                <w:spacing w:val="-3"/>
                <w:sz w:val="22"/>
                <w:szCs w:val="22"/>
                <w:lang w:val="es-419"/>
              </w:rPr>
            </w:pPr>
            <w:r w:rsidRPr="00932644">
              <w:rPr>
                <w:rFonts w:ascii="Arial" w:hAnsi="Arial"/>
                <w:sz w:val="22"/>
                <w:lang w:val="es-419"/>
              </w:rPr>
              <w:t>las aportaciones, donaciones o legados que puedan hacer:</w:t>
            </w:r>
          </w:p>
          <w:p w14:paraId="3406C53E" w14:textId="77777777" w:rsidR="00C224D7" w:rsidRPr="00932644" w:rsidRDefault="00C224D7" w:rsidP="001D2C04">
            <w:pPr>
              <w:pStyle w:val="Paragraphedeliste"/>
              <w:numPr>
                <w:ilvl w:val="0"/>
                <w:numId w:val="53"/>
              </w:numPr>
              <w:tabs>
                <w:tab w:val="left" w:pos="746"/>
              </w:tabs>
              <w:snapToGrid w:val="0"/>
              <w:spacing w:after="60"/>
              <w:ind w:left="746" w:hanging="425"/>
              <w:contextualSpacing w:val="0"/>
              <w:jc w:val="both"/>
              <w:rPr>
                <w:rFonts w:ascii="Arial" w:hAnsi="Arial" w:cs="Arial"/>
                <w:sz w:val="22"/>
                <w:szCs w:val="22"/>
                <w:lang w:val="es-419"/>
              </w:rPr>
            </w:pPr>
            <w:r w:rsidRPr="00932644">
              <w:rPr>
                <w:rFonts w:ascii="Arial" w:hAnsi="Arial"/>
                <w:sz w:val="22"/>
                <w:lang w:val="es-419"/>
              </w:rPr>
              <w:t xml:space="preserve">otros </w:t>
            </w:r>
            <w:r w:rsidRPr="00932644">
              <w:rPr>
                <w:rFonts w:asciiTheme="minorBidi" w:hAnsiTheme="minorBidi" w:cstheme="minorBidi"/>
                <w:sz w:val="22"/>
                <w:szCs w:val="22"/>
                <w:lang w:val="es-419"/>
              </w:rPr>
              <w:t>Estados</w:t>
            </w:r>
            <w:r w:rsidRPr="00932644">
              <w:rPr>
                <w:rFonts w:ascii="Arial" w:hAnsi="Arial"/>
                <w:sz w:val="22"/>
                <w:lang w:val="es-419"/>
              </w:rPr>
              <w:t xml:space="preserve">; </w:t>
            </w:r>
          </w:p>
          <w:p w14:paraId="02C9B3B8" w14:textId="77777777" w:rsidR="00C224D7" w:rsidRPr="00932644" w:rsidRDefault="00C224D7" w:rsidP="001D2C04">
            <w:pPr>
              <w:pStyle w:val="Paragraphedeliste"/>
              <w:numPr>
                <w:ilvl w:val="0"/>
                <w:numId w:val="53"/>
              </w:numPr>
              <w:tabs>
                <w:tab w:val="left" w:pos="746"/>
              </w:tabs>
              <w:snapToGrid w:val="0"/>
              <w:spacing w:after="60"/>
              <w:ind w:left="746" w:hanging="425"/>
              <w:contextualSpacing w:val="0"/>
              <w:jc w:val="both"/>
              <w:rPr>
                <w:rFonts w:ascii="Arial" w:hAnsi="Arial" w:cs="Arial"/>
                <w:sz w:val="22"/>
                <w:szCs w:val="22"/>
                <w:lang w:val="es-419"/>
              </w:rPr>
            </w:pPr>
            <w:r w:rsidRPr="00932644">
              <w:rPr>
                <w:rFonts w:ascii="Arial" w:hAnsi="Arial"/>
                <w:sz w:val="22"/>
                <w:lang w:val="es-419"/>
              </w:rPr>
              <w:t xml:space="preserve">organizaciones y programas del sistema de las Naciones Unidas, en </w:t>
            </w:r>
            <w:r w:rsidRPr="00932644">
              <w:rPr>
                <w:rFonts w:asciiTheme="minorBidi" w:hAnsiTheme="minorBidi" w:cstheme="minorBidi"/>
                <w:sz w:val="22"/>
                <w:szCs w:val="22"/>
                <w:lang w:val="es-419"/>
              </w:rPr>
              <w:t>especial</w:t>
            </w:r>
            <w:r w:rsidRPr="00932644">
              <w:rPr>
                <w:rFonts w:ascii="Arial" w:hAnsi="Arial"/>
                <w:sz w:val="22"/>
                <w:lang w:val="es-419"/>
              </w:rPr>
              <w:t xml:space="preserve"> el Programa de las Naciones Unidas para el Desarrollo, así como otras organizaciones internacionales;</w:t>
            </w:r>
          </w:p>
          <w:p w14:paraId="0F00454E" w14:textId="77777777" w:rsidR="00C224D7" w:rsidRPr="00932644" w:rsidRDefault="00C224D7" w:rsidP="001D2C04">
            <w:pPr>
              <w:pStyle w:val="Paragraphedeliste"/>
              <w:numPr>
                <w:ilvl w:val="0"/>
                <w:numId w:val="53"/>
              </w:numPr>
              <w:tabs>
                <w:tab w:val="left" w:pos="746"/>
              </w:tabs>
              <w:snapToGrid w:val="0"/>
              <w:spacing w:after="60"/>
              <w:ind w:left="746" w:hanging="425"/>
              <w:contextualSpacing w:val="0"/>
              <w:jc w:val="both"/>
              <w:rPr>
                <w:rFonts w:ascii="Arial" w:hAnsi="Arial" w:cs="Arial"/>
                <w:sz w:val="22"/>
                <w:szCs w:val="22"/>
                <w:lang w:val="pt-BR"/>
              </w:rPr>
            </w:pPr>
            <w:proofErr w:type="gramStart"/>
            <w:r w:rsidRPr="00932644">
              <w:rPr>
                <w:rFonts w:asciiTheme="minorBidi" w:hAnsiTheme="minorBidi" w:cstheme="minorBidi"/>
                <w:sz w:val="22"/>
                <w:szCs w:val="22"/>
                <w:lang w:val="pt-BR"/>
              </w:rPr>
              <w:t>organismos</w:t>
            </w:r>
            <w:proofErr w:type="gramEnd"/>
            <w:r w:rsidRPr="00932644">
              <w:rPr>
                <w:rFonts w:ascii="Arial" w:hAnsi="Arial"/>
                <w:sz w:val="22"/>
                <w:lang w:val="pt-BR"/>
              </w:rPr>
              <w:t xml:space="preserve"> públicos o privados o personas físicas;</w:t>
            </w:r>
          </w:p>
          <w:p w14:paraId="186F824E" w14:textId="77777777" w:rsidR="00C224D7" w:rsidRPr="00932644" w:rsidRDefault="00C224D7" w:rsidP="009E1BB7">
            <w:pPr>
              <w:pStyle w:val="Paragraphedeliste"/>
              <w:numPr>
                <w:ilvl w:val="0"/>
                <w:numId w:val="52"/>
              </w:numPr>
              <w:tabs>
                <w:tab w:val="left" w:pos="567"/>
              </w:tabs>
              <w:suppressAutoHyphens/>
              <w:snapToGrid w:val="0"/>
              <w:spacing w:after="60"/>
              <w:ind w:left="321"/>
              <w:contextualSpacing w:val="0"/>
              <w:jc w:val="both"/>
              <w:rPr>
                <w:rFonts w:ascii="Arial" w:hAnsi="Arial" w:cs="Arial"/>
                <w:bCs/>
                <w:iCs/>
                <w:spacing w:val="-3"/>
                <w:sz w:val="22"/>
                <w:szCs w:val="22"/>
                <w:lang w:val="es-419"/>
              </w:rPr>
            </w:pPr>
            <w:r w:rsidRPr="00932644">
              <w:rPr>
                <w:rFonts w:ascii="Arial" w:hAnsi="Arial"/>
                <w:bCs/>
                <w:sz w:val="22"/>
                <w:lang w:val="es-419"/>
              </w:rPr>
              <w:t>todo interés devengado por los recursos de la Cuenta Especial;</w:t>
            </w:r>
          </w:p>
          <w:p w14:paraId="08E6A0F6" w14:textId="77777777" w:rsidR="00C224D7" w:rsidRPr="00932644" w:rsidRDefault="00C224D7" w:rsidP="001D2C04">
            <w:pPr>
              <w:pStyle w:val="Paragraphedeliste"/>
              <w:numPr>
                <w:ilvl w:val="0"/>
                <w:numId w:val="52"/>
              </w:numPr>
              <w:tabs>
                <w:tab w:val="left" w:pos="567"/>
              </w:tabs>
              <w:suppressAutoHyphens/>
              <w:snapToGrid w:val="0"/>
              <w:spacing w:after="60"/>
              <w:ind w:left="321"/>
              <w:contextualSpacing w:val="0"/>
              <w:jc w:val="both"/>
              <w:rPr>
                <w:rFonts w:ascii="Arial" w:hAnsi="Arial" w:cs="Arial"/>
                <w:iCs/>
                <w:spacing w:val="-3"/>
                <w:sz w:val="22"/>
                <w:szCs w:val="22"/>
                <w:lang w:val="es-419"/>
              </w:rPr>
            </w:pPr>
            <w:r w:rsidRPr="00932644">
              <w:rPr>
                <w:rFonts w:ascii="Arial" w:hAnsi="Arial"/>
                <w:sz w:val="22"/>
                <w:lang w:val="es-419"/>
              </w:rPr>
              <w:t xml:space="preserve">el </w:t>
            </w:r>
            <w:r w:rsidRPr="00932644">
              <w:rPr>
                <w:rFonts w:asciiTheme="minorBidi" w:hAnsiTheme="minorBidi" w:cstheme="minorBidi"/>
                <w:iCs/>
                <w:spacing w:val="-3"/>
                <w:sz w:val="22"/>
                <w:szCs w:val="22"/>
                <w:lang w:val="es-419" w:eastAsia="en-GB"/>
              </w:rPr>
              <w:t>producto</w:t>
            </w:r>
            <w:r w:rsidRPr="00932644">
              <w:rPr>
                <w:rFonts w:ascii="Arial" w:hAnsi="Arial"/>
                <w:sz w:val="22"/>
                <w:lang w:val="es-419"/>
              </w:rPr>
              <w:t xml:space="preserve"> de las colectas y la recaudación de las manifestaciones organizadas en provecho de la Cuenta Especial;</w:t>
            </w:r>
          </w:p>
          <w:p w14:paraId="12B9C0CE" w14:textId="77777777" w:rsidR="00C224D7" w:rsidRPr="00932644" w:rsidRDefault="00C224D7" w:rsidP="001D2C04">
            <w:pPr>
              <w:pStyle w:val="Paragraphedeliste"/>
              <w:numPr>
                <w:ilvl w:val="0"/>
                <w:numId w:val="52"/>
              </w:numPr>
              <w:tabs>
                <w:tab w:val="left" w:pos="567"/>
              </w:tabs>
              <w:suppressAutoHyphens/>
              <w:snapToGrid w:val="0"/>
              <w:spacing w:after="60"/>
              <w:ind w:left="321"/>
              <w:contextualSpacing w:val="0"/>
              <w:jc w:val="both"/>
              <w:rPr>
                <w:rFonts w:ascii="Arial" w:hAnsi="Arial" w:cs="Arial"/>
                <w:sz w:val="22"/>
                <w:szCs w:val="22"/>
                <w:lang w:val="es-419"/>
              </w:rPr>
            </w:pPr>
            <w:r w:rsidRPr="00932644">
              <w:rPr>
                <w:rFonts w:ascii="Arial" w:hAnsi="Arial"/>
                <w:sz w:val="22"/>
                <w:lang w:val="es-419"/>
              </w:rPr>
              <w:t xml:space="preserve">todos los </w:t>
            </w:r>
            <w:r w:rsidRPr="00932644">
              <w:rPr>
                <w:rFonts w:asciiTheme="minorBidi" w:hAnsiTheme="minorBidi" w:cstheme="minorBidi"/>
                <w:iCs/>
                <w:spacing w:val="-3"/>
                <w:sz w:val="22"/>
                <w:szCs w:val="22"/>
                <w:lang w:val="es-419" w:eastAsia="en-GB"/>
              </w:rPr>
              <w:t>demás</w:t>
            </w:r>
            <w:r w:rsidRPr="00932644">
              <w:rPr>
                <w:rFonts w:ascii="Arial" w:hAnsi="Arial"/>
                <w:sz w:val="22"/>
                <w:lang w:val="es-419"/>
              </w:rPr>
              <w:t xml:space="preserve"> recursos autorizados por el Comité.</w:t>
            </w:r>
          </w:p>
        </w:tc>
      </w:tr>
      <w:tr w:rsidR="00C224D7" w:rsidRPr="00932644" w14:paraId="6AED8860" w14:textId="77777777" w:rsidTr="001D2C04">
        <w:trPr>
          <w:cantSplit/>
        </w:trPr>
        <w:tc>
          <w:tcPr>
            <w:tcW w:w="1418" w:type="dxa"/>
          </w:tcPr>
          <w:p w14:paraId="0AEDF92F" w14:textId="77777777" w:rsidR="00C224D7" w:rsidRPr="00932644" w:rsidRDefault="00C224D7" w:rsidP="00BF4AE9">
            <w:pPr>
              <w:spacing w:before="240" w:after="120"/>
              <w:jc w:val="right"/>
              <w:rPr>
                <w:rFonts w:ascii="Arial" w:hAnsi="Arial" w:cs="Arial"/>
                <w:bCs/>
                <w:sz w:val="22"/>
                <w:szCs w:val="22"/>
                <w:lang w:val="es-419"/>
              </w:rPr>
            </w:pPr>
            <w:r w:rsidRPr="00932644">
              <w:rPr>
                <w:rFonts w:ascii="Arial" w:hAnsi="Arial"/>
                <w:bCs/>
                <w:sz w:val="22"/>
                <w:lang w:val="es-419"/>
              </w:rPr>
              <w:t>5.2</w:t>
            </w:r>
          </w:p>
        </w:tc>
        <w:tc>
          <w:tcPr>
            <w:tcW w:w="8221" w:type="dxa"/>
          </w:tcPr>
          <w:p w14:paraId="667D2B28" w14:textId="51963016" w:rsidR="00C224D7" w:rsidRPr="00932644" w:rsidRDefault="00C224D7" w:rsidP="001D2C04">
            <w:pPr>
              <w:spacing w:before="240" w:after="120"/>
              <w:jc w:val="both"/>
              <w:rPr>
                <w:rFonts w:ascii="Arial" w:hAnsi="Arial" w:cs="Arial"/>
                <w:sz w:val="22"/>
                <w:szCs w:val="22"/>
                <w:lang w:val="es-419"/>
              </w:rPr>
            </w:pPr>
            <w:r w:rsidRPr="00932644">
              <w:rPr>
                <w:rFonts w:ascii="Arial" w:hAnsi="Arial"/>
                <w:sz w:val="22"/>
                <w:lang w:val="es-419"/>
              </w:rPr>
              <w:t>Con arreglo a lo dispuesto en el párrafo 1 del artículo 26 de la Convención, las contribuciones de los Estados Partes que no hayan hecho la declaración mencionada en el párrafo 2 de dicho artículo se abonarán de conformidad con el porcentaje uniforme que determine la Asamblea General</w:t>
            </w:r>
            <w:r w:rsidR="00B11AB6" w:rsidRPr="00932644">
              <w:rPr>
                <w:rFonts w:ascii="Arial" w:hAnsi="Arial"/>
                <w:sz w:val="22"/>
                <w:lang w:val="es-419"/>
              </w:rPr>
              <w:t>.</w:t>
            </w:r>
          </w:p>
        </w:tc>
      </w:tr>
      <w:tr w:rsidR="00C224D7" w:rsidRPr="00932644" w14:paraId="360DC65B" w14:textId="77777777" w:rsidTr="001D2C04">
        <w:trPr>
          <w:cantSplit/>
        </w:trPr>
        <w:tc>
          <w:tcPr>
            <w:tcW w:w="1418" w:type="dxa"/>
          </w:tcPr>
          <w:p w14:paraId="3595CBD4" w14:textId="77777777" w:rsidR="00C224D7" w:rsidRPr="00932644" w:rsidRDefault="00C224D7" w:rsidP="00BF4AE9">
            <w:pPr>
              <w:suppressAutoHyphens/>
              <w:spacing w:before="240" w:after="120"/>
              <w:jc w:val="right"/>
              <w:rPr>
                <w:rFonts w:ascii="Arial" w:hAnsi="Arial" w:cs="Arial"/>
                <w:b/>
                <w:sz w:val="22"/>
                <w:szCs w:val="22"/>
                <w:lang w:val="es-419"/>
              </w:rPr>
            </w:pPr>
            <w:r w:rsidRPr="00932644">
              <w:rPr>
                <w:rFonts w:ascii="Arial" w:hAnsi="Arial"/>
                <w:b/>
                <w:sz w:val="22"/>
                <w:lang w:val="es-419"/>
              </w:rPr>
              <w:lastRenderedPageBreak/>
              <w:t>Artículo 6</w:t>
            </w:r>
          </w:p>
        </w:tc>
        <w:tc>
          <w:tcPr>
            <w:tcW w:w="8221" w:type="dxa"/>
          </w:tcPr>
          <w:p w14:paraId="4EB94EB8" w14:textId="77777777" w:rsidR="00C224D7" w:rsidRPr="00932644" w:rsidRDefault="00C224D7" w:rsidP="001D2C04">
            <w:pPr>
              <w:suppressAutoHyphens/>
              <w:spacing w:before="240" w:after="120"/>
              <w:jc w:val="both"/>
              <w:rPr>
                <w:rFonts w:ascii="Arial" w:hAnsi="Arial" w:cs="Arial"/>
                <w:b/>
                <w:bCs/>
                <w:sz w:val="22"/>
                <w:szCs w:val="22"/>
                <w:lang w:val="es-419"/>
              </w:rPr>
            </w:pPr>
            <w:r w:rsidRPr="00932644">
              <w:rPr>
                <w:rFonts w:ascii="Arial" w:hAnsi="Arial"/>
                <w:b/>
                <w:bCs/>
                <w:sz w:val="22"/>
                <w:lang w:val="es-419"/>
              </w:rPr>
              <w:t>Gastos</w:t>
            </w:r>
          </w:p>
        </w:tc>
      </w:tr>
      <w:tr w:rsidR="00C224D7" w:rsidRPr="00932644" w14:paraId="70631AF3" w14:textId="77777777" w:rsidTr="001D2C04">
        <w:trPr>
          <w:cantSplit/>
        </w:trPr>
        <w:tc>
          <w:tcPr>
            <w:tcW w:w="1418" w:type="dxa"/>
          </w:tcPr>
          <w:p w14:paraId="497F5EE9"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6.1</w:t>
            </w:r>
          </w:p>
        </w:tc>
        <w:tc>
          <w:tcPr>
            <w:tcW w:w="8221" w:type="dxa"/>
          </w:tcPr>
          <w:p w14:paraId="3668DFEB"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iCs/>
                <w:sz w:val="22"/>
                <w:lang w:val="es-419"/>
              </w:rPr>
              <w:t xml:space="preserve">La utilización de los recursos de la Cuenta Especial será aprobada por la Asamblea General cada dos años. </w:t>
            </w:r>
          </w:p>
        </w:tc>
      </w:tr>
      <w:tr w:rsidR="00C224D7" w:rsidRPr="00932644" w14:paraId="493D02E7" w14:textId="77777777" w:rsidTr="001D2C04">
        <w:trPr>
          <w:cantSplit/>
        </w:trPr>
        <w:tc>
          <w:tcPr>
            <w:tcW w:w="1418" w:type="dxa"/>
          </w:tcPr>
          <w:p w14:paraId="250DE1A7"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6.2</w:t>
            </w:r>
          </w:p>
        </w:tc>
        <w:tc>
          <w:tcPr>
            <w:tcW w:w="8221" w:type="dxa"/>
          </w:tcPr>
          <w:p w14:paraId="2096836F" w14:textId="77777777" w:rsidR="00C224D7" w:rsidRPr="00932644" w:rsidRDefault="00C224D7" w:rsidP="001D2C04">
            <w:pPr>
              <w:suppressAutoHyphens/>
              <w:spacing w:before="240" w:after="120"/>
              <w:jc w:val="both"/>
              <w:rPr>
                <w:rFonts w:ascii="Arial" w:hAnsi="Arial" w:cs="Arial"/>
                <w:iCs/>
                <w:sz w:val="22"/>
                <w:szCs w:val="22"/>
                <w:lang w:val="es-419"/>
              </w:rPr>
            </w:pPr>
            <w:r w:rsidRPr="00932644">
              <w:rPr>
                <w:rFonts w:ascii="Arial" w:hAnsi="Arial"/>
                <w:iCs/>
                <w:sz w:val="22"/>
                <w:lang w:val="es-419"/>
              </w:rPr>
              <w:t>Se cargarán a la Cuenta Especial los gastos correspondientes a la finalidad enunciada en el artículo 3, comprendidos los gastos administrativos específicamente relacionados con ésta y los costos de gestión aplicables.</w:t>
            </w:r>
          </w:p>
        </w:tc>
      </w:tr>
      <w:tr w:rsidR="00C224D7" w:rsidRPr="00932644" w14:paraId="73456F6B" w14:textId="77777777" w:rsidTr="001D2C04">
        <w:trPr>
          <w:cantSplit/>
        </w:trPr>
        <w:tc>
          <w:tcPr>
            <w:tcW w:w="1418" w:type="dxa"/>
          </w:tcPr>
          <w:p w14:paraId="44A53FFE"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6.3</w:t>
            </w:r>
          </w:p>
        </w:tc>
        <w:tc>
          <w:tcPr>
            <w:tcW w:w="8221" w:type="dxa"/>
          </w:tcPr>
          <w:p w14:paraId="1294D894"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Los gastos se realizarán dentro de los límites de los fondos disponibles.</w:t>
            </w:r>
          </w:p>
        </w:tc>
      </w:tr>
      <w:tr w:rsidR="00C224D7" w:rsidRPr="00932644" w14:paraId="0A9CE593" w14:textId="77777777" w:rsidTr="001D2C04">
        <w:trPr>
          <w:cantSplit/>
        </w:trPr>
        <w:tc>
          <w:tcPr>
            <w:tcW w:w="1418" w:type="dxa"/>
          </w:tcPr>
          <w:p w14:paraId="49D04AEA" w14:textId="77777777" w:rsidR="00C224D7" w:rsidRPr="00932644" w:rsidRDefault="00C224D7" w:rsidP="00BF4AE9">
            <w:pPr>
              <w:keepNext/>
              <w:spacing w:before="240" w:after="120"/>
              <w:jc w:val="right"/>
              <w:rPr>
                <w:rFonts w:ascii="Arial" w:hAnsi="Arial" w:cs="Arial"/>
                <w:b/>
                <w:sz w:val="22"/>
                <w:szCs w:val="22"/>
                <w:lang w:val="es-419"/>
              </w:rPr>
            </w:pPr>
            <w:r w:rsidRPr="00932644">
              <w:rPr>
                <w:rFonts w:ascii="Arial" w:hAnsi="Arial"/>
                <w:b/>
                <w:sz w:val="22"/>
                <w:lang w:val="es-419"/>
              </w:rPr>
              <w:t>Artículo 7</w:t>
            </w:r>
          </w:p>
        </w:tc>
        <w:tc>
          <w:tcPr>
            <w:tcW w:w="8221" w:type="dxa"/>
          </w:tcPr>
          <w:p w14:paraId="56D6D457" w14:textId="77777777" w:rsidR="00C224D7" w:rsidRPr="00932644" w:rsidRDefault="00C224D7" w:rsidP="001D2C04">
            <w:pPr>
              <w:keepNext/>
              <w:spacing w:before="240" w:after="120"/>
              <w:jc w:val="both"/>
              <w:rPr>
                <w:rFonts w:ascii="Arial" w:hAnsi="Arial" w:cs="Arial"/>
                <w:b/>
                <w:bCs/>
                <w:sz w:val="22"/>
                <w:szCs w:val="22"/>
                <w:lang w:val="es-419"/>
              </w:rPr>
            </w:pPr>
            <w:r w:rsidRPr="00932644">
              <w:rPr>
                <w:rFonts w:ascii="Arial" w:hAnsi="Arial"/>
                <w:b/>
                <w:bCs/>
                <w:sz w:val="22"/>
                <w:lang w:val="es-419"/>
              </w:rPr>
              <w:t>Fondo de reserva</w:t>
            </w:r>
          </w:p>
        </w:tc>
      </w:tr>
      <w:tr w:rsidR="00C224D7" w:rsidRPr="00932644" w14:paraId="1D17188C" w14:textId="77777777" w:rsidTr="001D2C04">
        <w:trPr>
          <w:cantSplit/>
        </w:trPr>
        <w:tc>
          <w:tcPr>
            <w:tcW w:w="1418" w:type="dxa"/>
          </w:tcPr>
          <w:p w14:paraId="401FF552" w14:textId="77777777" w:rsidR="00C224D7" w:rsidRPr="00932644" w:rsidRDefault="00C224D7" w:rsidP="00BF4AE9">
            <w:pPr>
              <w:spacing w:before="240" w:after="120"/>
              <w:jc w:val="right"/>
              <w:rPr>
                <w:rFonts w:ascii="Arial" w:hAnsi="Arial" w:cs="Arial"/>
                <w:b/>
                <w:sz w:val="22"/>
                <w:szCs w:val="22"/>
                <w:lang w:val="es-419"/>
              </w:rPr>
            </w:pPr>
          </w:p>
        </w:tc>
        <w:tc>
          <w:tcPr>
            <w:tcW w:w="8221" w:type="dxa"/>
          </w:tcPr>
          <w:p w14:paraId="6890FBC1" w14:textId="116D6D9F" w:rsidR="00C224D7" w:rsidRPr="00932644" w:rsidRDefault="00C224D7" w:rsidP="005925AC">
            <w:pPr>
              <w:spacing w:before="240" w:after="120"/>
              <w:jc w:val="both"/>
              <w:rPr>
                <w:rFonts w:ascii="Arial" w:hAnsi="Arial" w:cs="Arial"/>
                <w:sz w:val="22"/>
                <w:szCs w:val="22"/>
                <w:lang w:val="es-419"/>
              </w:rPr>
            </w:pPr>
            <w:r w:rsidRPr="00932644">
              <w:rPr>
                <w:rFonts w:ascii="Arial" w:hAnsi="Arial"/>
                <w:sz w:val="22"/>
                <w:lang w:val="es-419"/>
              </w:rPr>
              <w:t>Se creará un fondo de reserva dentro de la Cuenta Especial para atender las solicitudes de asistencia en casos de extrema urgencia, tal como se prevé en el párrafo 3 del artículo 17 y el párrafo 2 del artículo 22 de la Convención. El Comité determinará la cuantía de la reserva.</w:t>
            </w:r>
          </w:p>
        </w:tc>
      </w:tr>
      <w:tr w:rsidR="00C224D7" w:rsidRPr="00932644" w14:paraId="4AB374AE" w14:textId="77777777" w:rsidTr="001D2C04">
        <w:trPr>
          <w:cantSplit/>
        </w:trPr>
        <w:tc>
          <w:tcPr>
            <w:tcW w:w="1418" w:type="dxa"/>
          </w:tcPr>
          <w:p w14:paraId="1A1568E3" w14:textId="77777777" w:rsidR="00C224D7" w:rsidRPr="00932644" w:rsidRDefault="00C224D7" w:rsidP="00BF4AE9">
            <w:pPr>
              <w:suppressAutoHyphens/>
              <w:spacing w:before="240" w:after="120"/>
              <w:jc w:val="right"/>
              <w:rPr>
                <w:rFonts w:ascii="Arial" w:hAnsi="Arial" w:cs="Arial"/>
                <w:b/>
                <w:sz w:val="22"/>
                <w:szCs w:val="22"/>
                <w:lang w:val="es-419"/>
              </w:rPr>
            </w:pPr>
            <w:r w:rsidRPr="00932644">
              <w:rPr>
                <w:rFonts w:ascii="Arial" w:hAnsi="Arial"/>
                <w:b/>
                <w:sz w:val="22"/>
                <w:lang w:val="es-419"/>
              </w:rPr>
              <w:t>Artículo 8</w:t>
            </w:r>
          </w:p>
        </w:tc>
        <w:tc>
          <w:tcPr>
            <w:tcW w:w="8221" w:type="dxa"/>
          </w:tcPr>
          <w:p w14:paraId="42657E84" w14:textId="77777777" w:rsidR="00C224D7" w:rsidRPr="00932644" w:rsidRDefault="00C224D7" w:rsidP="001D2C04">
            <w:pPr>
              <w:suppressAutoHyphens/>
              <w:spacing w:before="240" w:after="120"/>
              <w:jc w:val="both"/>
              <w:rPr>
                <w:rFonts w:ascii="Arial" w:hAnsi="Arial" w:cs="Arial"/>
                <w:b/>
                <w:bCs/>
                <w:sz w:val="22"/>
                <w:szCs w:val="22"/>
                <w:lang w:val="es-419"/>
              </w:rPr>
            </w:pPr>
            <w:r w:rsidRPr="00932644">
              <w:rPr>
                <w:rFonts w:ascii="Arial" w:hAnsi="Arial"/>
                <w:b/>
                <w:bCs/>
                <w:sz w:val="22"/>
                <w:lang w:val="es-419"/>
              </w:rPr>
              <w:t xml:space="preserve">Contabilidad </w:t>
            </w:r>
          </w:p>
        </w:tc>
      </w:tr>
      <w:tr w:rsidR="00C224D7" w:rsidRPr="00932644" w14:paraId="3C5BBD71" w14:textId="77777777" w:rsidTr="001D2C04">
        <w:trPr>
          <w:cantSplit/>
        </w:trPr>
        <w:tc>
          <w:tcPr>
            <w:tcW w:w="1418" w:type="dxa"/>
          </w:tcPr>
          <w:p w14:paraId="6190122C" w14:textId="77777777" w:rsidR="00C224D7" w:rsidRPr="00932644" w:rsidRDefault="00C224D7" w:rsidP="00BF4AE9">
            <w:pPr>
              <w:suppressAutoHyphens/>
              <w:spacing w:before="240" w:after="120"/>
              <w:jc w:val="right"/>
              <w:rPr>
                <w:rFonts w:ascii="Arial" w:hAnsi="Arial"/>
                <w:sz w:val="22"/>
                <w:lang w:val="es-419"/>
              </w:rPr>
            </w:pPr>
            <w:r w:rsidRPr="00932644">
              <w:rPr>
                <w:rFonts w:ascii="Arial" w:hAnsi="Arial"/>
                <w:sz w:val="22"/>
                <w:lang w:val="es-419"/>
              </w:rPr>
              <w:t xml:space="preserve">8.1 </w:t>
            </w:r>
          </w:p>
        </w:tc>
        <w:tc>
          <w:tcPr>
            <w:tcW w:w="8221" w:type="dxa"/>
          </w:tcPr>
          <w:p w14:paraId="6F160F74" w14:textId="77777777" w:rsidR="00C224D7" w:rsidRPr="00932644" w:rsidRDefault="00C224D7" w:rsidP="001D2C04">
            <w:pPr>
              <w:spacing w:before="240" w:after="120"/>
              <w:jc w:val="both"/>
              <w:rPr>
                <w:rFonts w:ascii="Arial" w:hAnsi="Arial"/>
                <w:sz w:val="22"/>
                <w:lang w:val="es-419"/>
              </w:rPr>
            </w:pPr>
            <w:r w:rsidRPr="00932644">
              <w:rPr>
                <w:rFonts w:ascii="Arial" w:hAnsi="Arial"/>
                <w:sz w:val="22"/>
                <w:lang w:val="es-419"/>
              </w:rPr>
              <w:t>La Asamblea General y el Comité podrán establecer cuentas subsidiarias.</w:t>
            </w:r>
          </w:p>
        </w:tc>
      </w:tr>
      <w:tr w:rsidR="00C224D7" w:rsidRPr="00932644" w14:paraId="1E1535A4" w14:textId="77777777" w:rsidTr="001D2C04">
        <w:trPr>
          <w:cantSplit/>
        </w:trPr>
        <w:tc>
          <w:tcPr>
            <w:tcW w:w="1418" w:type="dxa"/>
          </w:tcPr>
          <w:p w14:paraId="267F6BE6"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8.2</w:t>
            </w:r>
          </w:p>
        </w:tc>
        <w:tc>
          <w:tcPr>
            <w:tcW w:w="8221" w:type="dxa"/>
          </w:tcPr>
          <w:p w14:paraId="015B13DA"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El/La Directora(a) Financiero(a) de la UNESCO llevará los libros de contabilidad que sean necesarios.</w:t>
            </w:r>
          </w:p>
        </w:tc>
      </w:tr>
      <w:tr w:rsidR="00C224D7" w:rsidRPr="00932644" w14:paraId="47B828B7" w14:textId="77777777" w:rsidTr="001D2C04">
        <w:trPr>
          <w:cantSplit/>
        </w:trPr>
        <w:tc>
          <w:tcPr>
            <w:tcW w:w="1418" w:type="dxa"/>
          </w:tcPr>
          <w:p w14:paraId="2EB784D6"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8.3</w:t>
            </w:r>
          </w:p>
        </w:tc>
        <w:tc>
          <w:tcPr>
            <w:tcW w:w="8221" w:type="dxa"/>
          </w:tcPr>
          <w:p w14:paraId="516FC3D2"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Todo saldo no utilizado al final de un ejercicio se arrastrará al ejercicio siguiente.</w:t>
            </w:r>
          </w:p>
        </w:tc>
      </w:tr>
      <w:tr w:rsidR="00C224D7" w:rsidRPr="00932644" w14:paraId="05D3E343" w14:textId="77777777" w:rsidTr="001D2C04">
        <w:trPr>
          <w:cantSplit/>
        </w:trPr>
        <w:tc>
          <w:tcPr>
            <w:tcW w:w="1418" w:type="dxa"/>
          </w:tcPr>
          <w:p w14:paraId="7EFED955"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8.4</w:t>
            </w:r>
          </w:p>
        </w:tc>
        <w:tc>
          <w:tcPr>
            <w:tcW w:w="8221" w:type="dxa"/>
          </w:tcPr>
          <w:p w14:paraId="11E47E74"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Las cuentas de la Cuenta Especial formarán parte de los estados financieros consolidados presentados, para su auditoría, al Auditor Externo de la UNESCO.</w:t>
            </w:r>
          </w:p>
        </w:tc>
      </w:tr>
      <w:tr w:rsidR="00C224D7" w:rsidRPr="00932644" w14:paraId="3285EA5F" w14:textId="77777777" w:rsidTr="001D2C04">
        <w:trPr>
          <w:cantSplit/>
        </w:trPr>
        <w:tc>
          <w:tcPr>
            <w:tcW w:w="1418" w:type="dxa"/>
          </w:tcPr>
          <w:p w14:paraId="2CC240E1"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8.5</w:t>
            </w:r>
          </w:p>
        </w:tc>
        <w:tc>
          <w:tcPr>
            <w:tcW w:w="8221" w:type="dxa"/>
          </w:tcPr>
          <w:p w14:paraId="333FD2C7"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Las contribuciones en especie se registrarán aparte, y no en la Cuenta Especial.</w:t>
            </w:r>
          </w:p>
        </w:tc>
      </w:tr>
      <w:tr w:rsidR="00C224D7" w:rsidRPr="00932644" w14:paraId="6B4E6A6D" w14:textId="77777777" w:rsidTr="001D2C04">
        <w:trPr>
          <w:cantSplit/>
        </w:trPr>
        <w:tc>
          <w:tcPr>
            <w:tcW w:w="1418" w:type="dxa"/>
          </w:tcPr>
          <w:p w14:paraId="567CFC54" w14:textId="77777777" w:rsidR="00C224D7" w:rsidRPr="00932644" w:rsidRDefault="00C224D7" w:rsidP="00BF4AE9">
            <w:pPr>
              <w:keepNext/>
              <w:suppressAutoHyphens/>
              <w:spacing w:before="240" w:after="120"/>
              <w:jc w:val="right"/>
              <w:rPr>
                <w:rFonts w:ascii="Arial" w:hAnsi="Arial" w:cs="Arial"/>
                <w:b/>
                <w:bCs/>
                <w:sz w:val="22"/>
                <w:szCs w:val="22"/>
                <w:lang w:val="es-419"/>
              </w:rPr>
            </w:pPr>
            <w:r w:rsidRPr="00932644">
              <w:rPr>
                <w:rFonts w:ascii="Arial" w:hAnsi="Arial"/>
                <w:b/>
                <w:sz w:val="22"/>
                <w:lang w:val="es-419"/>
              </w:rPr>
              <w:t>Artículo 9</w:t>
            </w:r>
          </w:p>
        </w:tc>
        <w:tc>
          <w:tcPr>
            <w:tcW w:w="8221" w:type="dxa"/>
          </w:tcPr>
          <w:p w14:paraId="13E8F6BD" w14:textId="77777777" w:rsidR="00C224D7" w:rsidRPr="00932644" w:rsidRDefault="00C224D7" w:rsidP="001D2C04">
            <w:pPr>
              <w:keepNext/>
              <w:suppressAutoHyphens/>
              <w:spacing w:before="240" w:after="120"/>
              <w:jc w:val="both"/>
              <w:rPr>
                <w:rFonts w:ascii="Arial" w:hAnsi="Arial" w:cs="Arial"/>
                <w:b/>
                <w:bCs/>
                <w:sz w:val="22"/>
                <w:szCs w:val="22"/>
                <w:lang w:val="es-419"/>
              </w:rPr>
            </w:pPr>
            <w:r w:rsidRPr="00932644">
              <w:rPr>
                <w:rFonts w:ascii="Arial" w:hAnsi="Arial"/>
                <w:b/>
                <w:bCs/>
                <w:sz w:val="22"/>
                <w:lang w:val="es-419"/>
              </w:rPr>
              <w:t>Inversiones</w:t>
            </w:r>
          </w:p>
        </w:tc>
      </w:tr>
      <w:tr w:rsidR="00C224D7" w:rsidRPr="00932644" w14:paraId="6ED9990E" w14:textId="77777777" w:rsidTr="001D2C04">
        <w:trPr>
          <w:cantSplit/>
        </w:trPr>
        <w:tc>
          <w:tcPr>
            <w:tcW w:w="1418" w:type="dxa"/>
          </w:tcPr>
          <w:p w14:paraId="3A55D986"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9.1</w:t>
            </w:r>
          </w:p>
        </w:tc>
        <w:tc>
          <w:tcPr>
            <w:tcW w:w="8221" w:type="dxa"/>
          </w:tcPr>
          <w:p w14:paraId="0A86C253" w14:textId="77777777" w:rsidR="00C224D7" w:rsidRPr="00932644" w:rsidRDefault="00C224D7" w:rsidP="001D2C04">
            <w:pPr>
              <w:suppressAutoHyphens/>
              <w:spacing w:before="240" w:after="120"/>
              <w:jc w:val="both"/>
              <w:rPr>
                <w:rFonts w:ascii="Arial" w:hAnsi="Arial" w:cs="Arial"/>
                <w:sz w:val="22"/>
                <w:szCs w:val="22"/>
                <w:lang w:val="es-419"/>
              </w:rPr>
            </w:pPr>
            <w:r w:rsidRPr="00932644">
              <w:rPr>
                <w:rFonts w:ascii="Arial" w:hAnsi="Arial"/>
                <w:sz w:val="22"/>
                <w:lang w:val="es-419"/>
              </w:rPr>
              <w:t>El/La Directora(a) General estará facultado(a) para efectuar inversiones a corto o a largo plazo con los fondos que la Cuenta Especial tenga en su haber.</w:t>
            </w:r>
          </w:p>
        </w:tc>
      </w:tr>
      <w:tr w:rsidR="00C224D7" w:rsidRPr="00932644" w14:paraId="3219DB3F" w14:textId="77777777" w:rsidTr="001D2C04">
        <w:trPr>
          <w:cantSplit/>
        </w:trPr>
        <w:tc>
          <w:tcPr>
            <w:tcW w:w="1418" w:type="dxa"/>
          </w:tcPr>
          <w:p w14:paraId="2CD1A30D" w14:textId="77777777" w:rsidR="00C224D7" w:rsidRPr="00932644" w:rsidRDefault="00C224D7" w:rsidP="00BF4AE9">
            <w:pPr>
              <w:suppressAutoHyphens/>
              <w:spacing w:before="240" w:after="120"/>
              <w:jc w:val="right"/>
              <w:rPr>
                <w:rFonts w:ascii="Arial" w:hAnsi="Arial" w:cs="Arial"/>
                <w:bCs/>
                <w:sz w:val="22"/>
                <w:szCs w:val="22"/>
                <w:lang w:val="es-419"/>
              </w:rPr>
            </w:pPr>
            <w:r w:rsidRPr="00932644">
              <w:rPr>
                <w:rFonts w:ascii="Arial" w:hAnsi="Arial"/>
                <w:bCs/>
                <w:sz w:val="22"/>
                <w:lang w:val="es-419"/>
              </w:rPr>
              <w:t>9.2</w:t>
            </w:r>
          </w:p>
        </w:tc>
        <w:tc>
          <w:tcPr>
            <w:tcW w:w="8221" w:type="dxa"/>
          </w:tcPr>
          <w:p w14:paraId="0168F208" w14:textId="77777777" w:rsidR="00C224D7" w:rsidRPr="00932644" w:rsidRDefault="00C224D7" w:rsidP="001D2C04">
            <w:pPr>
              <w:suppressAutoHyphens/>
              <w:spacing w:before="240" w:after="120"/>
              <w:jc w:val="both"/>
              <w:rPr>
                <w:rFonts w:ascii="Arial" w:hAnsi="Arial" w:cs="Arial"/>
                <w:bCs/>
                <w:sz w:val="22"/>
                <w:szCs w:val="22"/>
                <w:lang w:val="es-419"/>
              </w:rPr>
            </w:pPr>
            <w:r w:rsidRPr="00932644">
              <w:rPr>
                <w:rFonts w:ascii="Arial" w:hAnsi="Arial"/>
                <w:bCs/>
                <w:sz w:val="22"/>
                <w:lang w:val="es-419"/>
              </w:rPr>
              <w:t>Los ingresos generados por estas inversiones se acreditarán en la Cuenta Especial, de conformidad con el Reglamento Financiero de la UNESCO.</w:t>
            </w:r>
          </w:p>
        </w:tc>
      </w:tr>
      <w:tr w:rsidR="00C224D7" w:rsidRPr="00932644" w14:paraId="34338711" w14:textId="77777777" w:rsidTr="001D2C04">
        <w:trPr>
          <w:cantSplit/>
        </w:trPr>
        <w:tc>
          <w:tcPr>
            <w:tcW w:w="1418" w:type="dxa"/>
          </w:tcPr>
          <w:p w14:paraId="24FCDE86" w14:textId="77777777" w:rsidR="00C224D7" w:rsidRPr="00932644" w:rsidRDefault="00C224D7" w:rsidP="001D2C04">
            <w:pPr>
              <w:keepNext/>
              <w:suppressAutoHyphens/>
              <w:spacing w:before="240" w:after="120"/>
              <w:jc w:val="right"/>
              <w:rPr>
                <w:rFonts w:ascii="Arial" w:hAnsi="Arial" w:cs="Arial"/>
                <w:b/>
                <w:sz w:val="22"/>
                <w:szCs w:val="22"/>
                <w:lang w:val="es-419"/>
              </w:rPr>
            </w:pPr>
            <w:r w:rsidRPr="00932644">
              <w:rPr>
                <w:rFonts w:ascii="Arial" w:hAnsi="Arial"/>
                <w:b/>
                <w:sz w:val="22"/>
                <w:lang w:val="es-419"/>
              </w:rPr>
              <w:t>Artículo 10</w:t>
            </w:r>
          </w:p>
        </w:tc>
        <w:tc>
          <w:tcPr>
            <w:tcW w:w="8221" w:type="dxa"/>
          </w:tcPr>
          <w:p w14:paraId="13F18978" w14:textId="77777777" w:rsidR="00C224D7" w:rsidRPr="00932644" w:rsidRDefault="00C224D7" w:rsidP="001D2C04">
            <w:pPr>
              <w:keepNext/>
              <w:suppressAutoHyphens/>
              <w:spacing w:before="240" w:after="120"/>
              <w:jc w:val="both"/>
              <w:rPr>
                <w:rFonts w:ascii="Arial" w:hAnsi="Arial" w:cs="Arial"/>
                <w:b/>
                <w:sz w:val="22"/>
                <w:szCs w:val="22"/>
                <w:lang w:val="es-419"/>
              </w:rPr>
            </w:pPr>
            <w:r w:rsidRPr="00932644">
              <w:rPr>
                <w:rFonts w:ascii="Arial" w:hAnsi="Arial"/>
                <w:b/>
                <w:sz w:val="22"/>
                <w:lang w:val="es-419"/>
              </w:rPr>
              <w:t>Presentación de informes</w:t>
            </w:r>
          </w:p>
        </w:tc>
      </w:tr>
      <w:tr w:rsidR="00C224D7" w:rsidRPr="00932644" w14:paraId="14C3FB65" w14:textId="77777777" w:rsidTr="001D2C04">
        <w:trPr>
          <w:cantSplit/>
        </w:trPr>
        <w:tc>
          <w:tcPr>
            <w:tcW w:w="1418" w:type="dxa"/>
          </w:tcPr>
          <w:p w14:paraId="37D1576D" w14:textId="77777777" w:rsidR="00C224D7" w:rsidRPr="00932644" w:rsidRDefault="00C224D7" w:rsidP="00BF4AE9">
            <w:pPr>
              <w:suppressAutoHyphens/>
              <w:spacing w:before="240" w:after="120"/>
              <w:jc w:val="right"/>
              <w:rPr>
                <w:rFonts w:ascii="Arial" w:hAnsi="Arial" w:cs="Arial"/>
                <w:sz w:val="22"/>
                <w:szCs w:val="22"/>
                <w:lang w:val="es-419"/>
              </w:rPr>
            </w:pPr>
            <w:r w:rsidRPr="00932644">
              <w:rPr>
                <w:rFonts w:ascii="Arial" w:hAnsi="Arial"/>
                <w:sz w:val="22"/>
                <w:lang w:val="es-419"/>
              </w:rPr>
              <w:t xml:space="preserve">10.1 </w:t>
            </w:r>
          </w:p>
        </w:tc>
        <w:tc>
          <w:tcPr>
            <w:tcW w:w="8221" w:type="dxa"/>
          </w:tcPr>
          <w:p w14:paraId="7513D449" w14:textId="77777777" w:rsidR="00C224D7" w:rsidRPr="00932644" w:rsidRDefault="00C224D7" w:rsidP="001D2C04">
            <w:pPr>
              <w:suppressAutoHyphens/>
              <w:spacing w:before="240" w:after="120"/>
              <w:jc w:val="both"/>
              <w:rPr>
                <w:rFonts w:ascii="Arial" w:hAnsi="Arial" w:cs="Arial"/>
                <w:bCs/>
                <w:sz w:val="22"/>
                <w:szCs w:val="22"/>
                <w:lang w:val="es-419"/>
              </w:rPr>
            </w:pPr>
            <w:r w:rsidRPr="00932644">
              <w:rPr>
                <w:rFonts w:ascii="Arial" w:hAnsi="Arial"/>
                <w:bCs/>
                <w:sz w:val="22"/>
                <w:lang w:val="es-419"/>
              </w:rPr>
              <w:t>Se preparará y presentará al Comité y a la Asamblea General un informe financiero bienal que muestre los ingresos y gastos de la Cuenta Especial.</w:t>
            </w:r>
          </w:p>
        </w:tc>
      </w:tr>
      <w:tr w:rsidR="00C224D7" w:rsidRPr="00932644" w14:paraId="5B346D42" w14:textId="77777777" w:rsidTr="001D2C04">
        <w:trPr>
          <w:cantSplit/>
        </w:trPr>
        <w:tc>
          <w:tcPr>
            <w:tcW w:w="1418" w:type="dxa"/>
          </w:tcPr>
          <w:p w14:paraId="3D90035F" w14:textId="77777777" w:rsidR="00C224D7" w:rsidRPr="00932644" w:rsidRDefault="00C224D7" w:rsidP="00BF4AE9">
            <w:pPr>
              <w:spacing w:before="240" w:after="120"/>
              <w:jc w:val="right"/>
              <w:rPr>
                <w:rFonts w:ascii="Arial" w:hAnsi="Arial" w:cs="Arial"/>
                <w:sz w:val="22"/>
                <w:szCs w:val="22"/>
                <w:lang w:val="es-419"/>
              </w:rPr>
            </w:pPr>
            <w:r w:rsidRPr="00932644">
              <w:rPr>
                <w:rFonts w:ascii="Arial" w:hAnsi="Arial"/>
                <w:sz w:val="22"/>
                <w:lang w:val="es-419"/>
              </w:rPr>
              <w:t>10.2</w:t>
            </w:r>
          </w:p>
        </w:tc>
        <w:tc>
          <w:tcPr>
            <w:tcW w:w="8221" w:type="dxa"/>
          </w:tcPr>
          <w:p w14:paraId="58DE1765" w14:textId="77777777" w:rsidR="00C224D7" w:rsidRPr="00932644" w:rsidRDefault="00C224D7" w:rsidP="001D2C04">
            <w:pPr>
              <w:suppressAutoHyphens/>
              <w:spacing w:before="240" w:after="120"/>
              <w:jc w:val="both"/>
              <w:rPr>
                <w:rFonts w:ascii="Arial" w:hAnsi="Arial" w:cs="Arial"/>
                <w:bCs/>
                <w:sz w:val="22"/>
                <w:szCs w:val="22"/>
                <w:lang w:val="es-419"/>
              </w:rPr>
            </w:pPr>
            <w:r w:rsidRPr="00932644">
              <w:rPr>
                <w:rFonts w:ascii="Arial" w:hAnsi="Arial"/>
                <w:bCs/>
                <w:sz w:val="22"/>
                <w:lang w:val="es-419"/>
              </w:rPr>
              <w:t>Se presentará un informe descriptivo bienal al Comité y a la Asamblea General.</w:t>
            </w:r>
          </w:p>
        </w:tc>
      </w:tr>
      <w:tr w:rsidR="00C224D7" w:rsidRPr="00932644" w14:paraId="44200C0F" w14:textId="77777777" w:rsidTr="001D2C04">
        <w:trPr>
          <w:cantSplit/>
        </w:trPr>
        <w:tc>
          <w:tcPr>
            <w:tcW w:w="1418" w:type="dxa"/>
          </w:tcPr>
          <w:p w14:paraId="05506894" w14:textId="77777777" w:rsidR="00C224D7" w:rsidRPr="00932644" w:rsidRDefault="00C224D7" w:rsidP="00BF4AE9">
            <w:pPr>
              <w:keepNext/>
              <w:suppressAutoHyphens/>
              <w:spacing w:before="240" w:after="120"/>
              <w:jc w:val="right"/>
              <w:rPr>
                <w:rFonts w:ascii="Arial" w:hAnsi="Arial" w:cs="Arial"/>
                <w:sz w:val="22"/>
                <w:szCs w:val="22"/>
                <w:lang w:val="es-419"/>
              </w:rPr>
            </w:pPr>
            <w:r w:rsidRPr="00932644">
              <w:rPr>
                <w:rFonts w:ascii="Arial" w:hAnsi="Arial"/>
                <w:b/>
                <w:sz w:val="22"/>
                <w:lang w:val="es-419"/>
              </w:rPr>
              <w:lastRenderedPageBreak/>
              <w:t>Artículo 11</w:t>
            </w:r>
          </w:p>
        </w:tc>
        <w:tc>
          <w:tcPr>
            <w:tcW w:w="8221" w:type="dxa"/>
          </w:tcPr>
          <w:p w14:paraId="78C8A2F2" w14:textId="77777777" w:rsidR="00C224D7" w:rsidRPr="00932644" w:rsidRDefault="00C224D7" w:rsidP="001D2C04">
            <w:pPr>
              <w:keepNext/>
              <w:suppressAutoHyphens/>
              <w:spacing w:before="240" w:after="120"/>
              <w:jc w:val="both"/>
              <w:rPr>
                <w:rFonts w:ascii="Arial" w:hAnsi="Arial" w:cs="Arial"/>
                <w:b/>
                <w:sz w:val="22"/>
                <w:szCs w:val="22"/>
                <w:lang w:val="es-419"/>
              </w:rPr>
            </w:pPr>
            <w:r w:rsidRPr="00932644">
              <w:rPr>
                <w:rFonts w:ascii="Arial" w:hAnsi="Arial"/>
                <w:b/>
                <w:sz w:val="22"/>
                <w:lang w:val="es-419"/>
              </w:rPr>
              <w:t>Cierre de la Cuenta Especial</w:t>
            </w:r>
          </w:p>
        </w:tc>
      </w:tr>
      <w:tr w:rsidR="00C224D7" w:rsidRPr="00932644" w14:paraId="3EC4951A" w14:textId="77777777" w:rsidTr="001D2C04">
        <w:trPr>
          <w:cantSplit/>
        </w:trPr>
        <w:tc>
          <w:tcPr>
            <w:tcW w:w="1418" w:type="dxa"/>
          </w:tcPr>
          <w:p w14:paraId="1C7B75E4" w14:textId="77777777" w:rsidR="00C224D7" w:rsidRPr="00932644" w:rsidRDefault="00C224D7" w:rsidP="00BF4AE9">
            <w:pPr>
              <w:suppressAutoHyphens/>
              <w:spacing w:before="240" w:after="120"/>
              <w:jc w:val="right"/>
              <w:rPr>
                <w:rFonts w:ascii="Arial" w:hAnsi="Arial" w:cs="Arial"/>
                <w:sz w:val="22"/>
                <w:szCs w:val="22"/>
                <w:lang w:val="es-419"/>
              </w:rPr>
            </w:pPr>
            <w:r w:rsidRPr="00932644">
              <w:rPr>
                <w:rFonts w:ascii="Arial" w:hAnsi="Arial"/>
                <w:sz w:val="22"/>
                <w:lang w:val="es-419"/>
              </w:rPr>
              <w:t xml:space="preserve">11.1 </w:t>
            </w:r>
          </w:p>
        </w:tc>
        <w:tc>
          <w:tcPr>
            <w:tcW w:w="8221" w:type="dxa"/>
          </w:tcPr>
          <w:p w14:paraId="47666885" w14:textId="77777777" w:rsidR="00C224D7" w:rsidRPr="00932644" w:rsidRDefault="00C224D7" w:rsidP="001D2C04">
            <w:pPr>
              <w:suppressAutoHyphens/>
              <w:spacing w:before="240" w:after="120"/>
              <w:jc w:val="both"/>
              <w:rPr>
                <w:rFonts w:ascii="Arial" w:hAnsi="Arial" w:cs="Arial"/>
                <w:bCs/>
                <w:sz w:val="22"/>
                <w:szCs w:val="22"/>
                <w:lang w:val="es-419"/>
              </w:rPr>
            </w:pPr>
            <w:r w:rsidRPr="00932644">
              <w:rPr>
                <w:rFonts w:ascii="Arial" w:hAnsi="Arial"/>
                <w:bCs/>
                <w:sz w:val="22"/>
                <w:lang w:val="es-419"/>
              </w:rPr>
              <w:t>El/La Directora(a) General consultará a la Asamblea General en el momento en que considere que el funcionamiento de la Cuenta Especial ya no es necesario. Dicha consulta deberá estipular una decisión sobre el uso de cualquier saldo no utilizado.</w:t>
            </w:r>
          </w:p>
        </w:tc>
      </w:tr>
      <w:tr w:rsidR="00C224D7" w:rsidRPr="00932644" w14:paraId="2B47F9C4" w14:textId="77777777" w:rsidTr="001D2C04">
        <w:trPr>
          <w:cantSplit/>
        </w:trPr>
        <w:tc>
          <w:tcPr>
            <w:tcW w:w="1418" w:type="dxa"/>
          </w:tcPr>
          <w:p w14:paraId="1698D7AC" w14:textId="77777777" w:rsidR="00C224D7" w:rsidRPr="00932644" w:rsidRDefault="00C224D7" w:rsidP="00BF4AE9">
            <w:pPr>
              <w:suppressAutoHyphens/>
              <w:spacing w:before="240" w:after="120"/>
              <w:jc w:val="right"/>
              <w:rPr>
                <w:rFonts w:ascii="Arial" w:hAnsi="Arial" w:cs="Arial"/>
                <w:sz w:val="22"/>
                <w:szCs w:val="22"/>
                <w:lang w:val="es-419"/>
              </w:rPr>
            </w:pPr>
            <w:r w:rsidRPr="00932644">
              <w:rPr>
                <w:rFonts w:ascii="Arial" w:hAnsi="Arial"/>
                <w:sz w:val="22"/>
                <w:lang w:val="es-419"/>
              </w:rPr>
              <w:t xml:space="preserve">11.2 </w:t>
            </w:r>
          </w:p>
        </w:tc>
        <w:tc>
          <w:tcPr>
            <w:tcW w:w="8221" w:type="dxa"/>
          </w:tcPr>
          <w:p w14:paraId="00969111" w14:textId="77777777" w:rsidR="00C224D7" w:rsidRPr="00932644" w:rsidRDefault="00C224D7" w:rsidP="001D2C04">
            <w:pPr>
              <w:suppressAutoHyphens/>
              <w:spacing w:before="240" w:after="120"/>
              <w:jc w:val="both"/>
              <w:rPr>
                <w:rFonts w:ascii="Arial" w:hAnsi="Arial" w:cs="Arial"/>
                <w:bCs/>
                <w:sz w:val="22"/>
                <w:szCs w:val="22"/>
                <w:lang w:val="es-419"/>
              </w:rPr>
            </w:pPr>
            <w:r w:rsidRPr="00932644">
              <w:rPr>
                <w:rFonts w:ascii="Arial" w:hAnsi="Arial"/>
                <w:bCs/>
                <w:sz w:val="22"/>
                <w:lang w:val="es-419"/>
              </w:rPr>
              <w:t>La decisión de la Asamblea General se transmitirá al Consejo Ejecutivo antes del cierre efectivo de la Cuenta Especial.</w:t>
            </w:r>
          </w:p>
        </w:tc>
      </w:tr>
      <w:tr w:rsidR="00C224D7" w:rsidRPr="00932644" w14:paraId="04006280" w14:textId="77777777" w:rsidTr="001D2C04">
        <w:trPr>
          <w:cantSplit/>
        </w:trPr>
        <w:tc>
          <w:tcPr>
            <w:tcW w:w="1418" w:type="dxa"/>
          </w:tcPr>
          <w:p w14:paraId="03459DB7" w14:textId="77777777" w:rsidR="00C224D7" w:rsidRPr="00932644" w:rsidRDefault="00C224D7" w:rsidP="00BF4AE9">
            <w:pPr>
              <w:keepNext/>
              <w:suppressAutoHyphens/>
              <w:spacing w:before="240" w:after="120"/>
              <w:jc w:val="right"/>
              <w:rPr>
                <w:rFonts w:ascii="Arial" w:hAnsi="Arial" w:cs="Arial"/>
                <w:sz w:val="22"/>
                <w:szCs w:val="22"/>
                <w:lang w:val="es-419"/>
              </w:rPr>
            </w:pPr>
            <w:r w:rsidRPr="00932644">
              <w:rPr>
                <w:rFonts w:ascii="Arial" w:hAnsi="Arial"/>
                <w:b/>
                <w:sz w:val="22"/>
                <w:lang w:val="es-419"/>
              </w:rPr>
              <w:t>Artículo 12</w:t>
            </w:r>
          </w:p>
        </w:tc>
        <w:tc>
          <w:tcPr>
            <w:tcW w:w="8221" w:type="dxa"/>
          </w:tcPr>
          <w:p w14:paraId="20C0155D" w14:textId="263C48CA" w:rsidR="00C224D7" w:rsidRPr="00932644" w:rsidRDefault="00C224D7" w:rsidP="001D2C04">
            <w:pPr>
              <w:keepNext/>
              <w:suppressAutoHyphens/>
              <w:spacing w:before="240" w:after="120"/>
              <w:jc w:val="both"/>
              <w:rPr>
                <w:rFonts w:ascii="Arial" w:hAnsi="Arial" w:cs="Arial"/>
                <w:b/>
                <w:bCs/>
                <w:sz w:val="22"/>
                <w:szCs w:val="22"/>
                <w:lang w:val="es-419"/>
              </w:rPr>
            </w:pPr>
            <w:r w:rsidRPr="00932644">
              <w:rPr>
                <w:rFonts w:ascii="Arial" w:hAnsi="Arial"/>
                <w:b/>
                <w:bCs/>
                <w:sz w:val="22"/>
                <w:lang w:val="es-419"/>
              </w:rPr>
              <w:t>Disposici</w:t>
            </w:r>
            <w:r w:rsidR="00FC0998" w:rsidRPr="00932644">
              <w:rPr>
                <w:rFonts w:ascii="Arial" w:hAnsi="Arial"/>
                <w:b/>
                <w:bCs/>
                <w:sz w:val="22"/>
                <w:lang w:val="es-419"/>
              </w:rPr>
              <w:t>o</w:t>
            </w:r>
            <w:r w:rsidRPr="00932644">
              <w:rPr>
                <w:rFonts w:ascii="Arial" w:hAnsi="Arial"/>
                <w:b/>
                <w:bCs/>
                <w:sz w:val="22"/>
                <w:lang w:val="es-419"/>
              </w:rPr>
              <w:t>n</w:t>
            </w:r>
            <w:r w:rsidR="00FC0998" w:rsidRPr="00932644">
              <w:rPr>
                <w:rFonts w:ascii="Arial" w:hAnsi="Arial"/>
                <w:b/>
                <w:bCs/>
                <w:sz w:val="22"/>
                <w:lang w:val="es-419"/>
              </w:rPr>
              <w:t>es</w:t>
            </w:r>
            <w:r w:rsidRPr="00932644">
              <w:rPr>
                <w:rFonts w:ascii="Arial" w:hAnsi="Arial"/>
                <w:b/>
                <w:bCs/>
                <w:sz w:val="22"/>
                <w:lang w:val="es-419"/>
              </w:rPr>
              <w:t xml:space="preserve"> general</w:t>
            </w:r>
            <w:r w:rsidR="00FC0998" w:rsidRPr="00932644">
              <w:rPr>
                <w:rFonts w:ascii="Arial" w:hAnsi="Arial"/>
                <w:b/>
                <w:bCs/>
                <w:sz w:val="22"/>
                <w:lang w:val="es-419"/>
              </w:rPr>
              <w:t>es</w:t>
            </w:r>
          </w:p>
        </w:tc>
      </w:tr>
      <w:tr w:rsidR="00C224D7" w:rsidRPr="00932644" w14:paraId="37F54F29" w14:textId="77777777" w:rsidTr="001D2C04">
        <w:trPr>
          <w:cantSplit/>
        </w:trPr>
        <w:tc>
          <w:tcPr>
            <w:tcW w:w="1418" w:type="dxa"/>
          </w:tcPr>
          <w:p w14:paraId="1DCF82D6" w14:textId="77777777" w:rsidR="00C224D7" w:rsidRPr="00932644" w:rsidRDefault="00C224D7" w:rsidP="00BF4AE9">
            <w:pPr>
              <w:keepNext/>
              <w:suppressAutoHyphens/>
              <w:spacing w:before="240" w:after="120"/>
              <w:jc w:val="right"/>
              <w:rPr>
                <w:rFonts w:ascii="Arial" w:hAnsi="Arial" w:cs="Arial"/>
                <w:spacing w:val="-3"/>
                <w:sz w:val="22"/>
                <w:szCs w:val="22"/>
                <w:lang w:val="es-419"/>
              </w:rPr>
            </w:pPr>
            <w:r w:rsidRPr="00932644">
              <w:rPr>
                <w:rFonts w:ascii="Arial" w:hAnsi="Arial"/>
                <w:sz w:val="22"/>
                <w:lang w:val="es-419"/>
              </w:rPr>
              <w:t xml:space="preserve">12.1 </w:t>
            </w:r>
          </w:p>
        </w:tc>
        <w:tc>
          <w:tcPr>
            <w:tcW w:w="8221" w:type="dxa"/>
          </w:tcPr>
          <w:p w14:paraId="3CDAFBA9" w14:textId="77777777" w:rsidR="00C224D7" w:rsidRPr="00932644" w:rsidRDefault="00C224D7" w:rsidP="001D2C04">
            <w:pPr>
              <w:keepNext/>
              <w:suppressAutoHyphens/>
              <w:spacing w:before="240" w:after="120"/>
              <w:jc w:val="both"/>
              <w:rPr>
                <w:rFonts w:ascii="Arial" w:hAnsi="Arial" w:cs="Arial"/>
                <w:bCs/>
                <w:spacing w:val="-3"/>
                <w:sz w:val="22"/>
                <w:szCs w:val="22"/>
                <w:lang w:val="es-419"/>
              </w:rPr>
            </w:pPr>
            <w:r w:rsidRPr="00932644">
              <w:rPr>
                <w:rFonts w:ascii="Arial" w:hAnsi="Arial"/>
                <w:bCs/>
                <w:sz w:val="22"/>
                <w:lang w:val="es-419"/>
              </w:rPr>
              <w:t>Cualquier enmienda a este Reglamento Financiero deberá ser aprobada por la Asamblea General. El Consejo Ejecutivo deberá ser informado de tales enmiendas.</w:t>
            </w:r>
          </w:p>
        </w:tc>
      </w:tr>
      <w:tr w:rsidR="00C224D7" w:rsidRPr="00932644" w14:paraId="7773F09A" w14:textId="77777777" w:rsidTr="001D2C04">
        <w:trPr>
          <w:cantSplit/>
        </w:trPr>
        <w:tc>
          <w:tcPr>
            <w:tcW w:w="1418" w:type="dxa"/>
          </w:tcPr>
          <w:p w14:paraId="58EAA213" w14:textId="77777777" w:rsidR="00C224D7" w:rsidRPr="00932644" w:rsidRDefault="00C224D7" w:rsidP="00BF4AE9">
            <w:pPr>
              <w:keepNext/>
              <w:suppressAutoHyphens/>
              <w:spacing w:before="240" w:after="120"/>
              <w:jc w:val="right"/>
              <w:rPr>
                <w:rFonts w:ascii="Arial" w:hAnsi="Arial" w:cs="Arial"/>
                <w:sz w:val="22"/>
                <w:szCs w:val="22"/>
                <w:lang w:val="es-419"/>
              </w:rPr>
            </w:pPr>
            <w:r w:rsidRPr="00932644">
              <w:rPr>
                <w:rFonts w:ascii="Arial" w:hAnsi="Arial"/>
                <w:sz w:val="22"/>
                <w:lang w:val="es-419"/>
              </w:rPr>
              <w:t>12.2</w:t>
            </w:r>
          </w:p>
        </w:tc>
        <w:tc>
          <w:tcPr>
            <w:tcW w:w="8221" w:type="dxa"/>
          </w:tcPr>
          <w:p w14:paraId="71A2390F" w14:textId="7F4A2FB7" w:rsidR="00C224D7" w:rsidRPr="00932644" w:rsidRDefault="00C224D7" w:rsidP="001D2C04">
            <w:pPr>
              <w:keepNext/>
              <w:suppressAutoHyphens/>
              <w:spacing w:before="240" w:after="120"/>
              <w:jc w:val="both"/>
              <w:rPr>
                <w:rFonts w:ascii="Arial" w:hAnsi="Arial"/>
                <w:sz w:val="22"/>
                <w:lang w:val="es-419"/>
              </w:rPr>
            </w:pPr>
            <w:r w:rsidRPr="00932644">
              <w:rPr>
                <w:rFonts w:ascii="Arial" w:hAnsi="Arial"/>
                <w:sz w:val="22"/>
                <w:lang w:val="es-419"/>
              </w:rPr>
              <w:t>Salvo disposición en contrario del presente Reglamento, la Cuenta Especial se administrará con arreglo al Reglamento Financiero de la UNESCO.</w:t>
            </w:r>
          </w:p>
        </w:tc>
      </w:tr>
    </w:tbl>
    <w:p w14:paraId="146DF9B9" w14:textId="70A55532" w:rsidR="00A9584D" w:rsidRPr="00932644" w:rsidRDefault="00A9584D" w:rsidP="00A9584D">
      <w:pPr>
        <w:pStyle w:val="GATitleResolution"/>
        <w:rPr>
          <w:lang w:val="es-419"/>
        </w:rPr>
      </w:pPr>
      <w:r w:rsidRPr="00932644">
        <w:rPr>
          <w:lang w:val="es-419"/>
        </w:rPr>
        <w:t>RESOLUCIÓN 8.GA 8</w:t>
      </w:r>
    </w:p>
    <w:p w14:paraId="5A11F9F5" w14:textId="77777777" w:rsidR="00A9584D" w:rsidRPr="00932644" w:rsidRDefault="00A9584D" w:rsidP="001D2C04">
      <w:pPr>
        <w:pStyle w:val="GAPreambulaResolution"/>
        <w:ind w:left="0"/>
        <w:rPr>
          <w:lang w:val="es-419"/>
        </w:rPr>
      </w:pPr>
      <w:r w:rsidRPr="00932644">
        <w:rPr>
          <w:lang w:val="es-419"/>
        </w:rPr>
        <w:t>La Asamblea General,</w:t>
      </w:r>
    </w:p>
    <w:p w14:paraId="7EAF1E57" w14:textId="345EEC7B" w:rsidR="00A9584D" w:rsidRPr="00932644" w:rsidRDefault="00A9584D" w:rsidP="001D2C04">
      <w:pPr>
        <w:pStyle w:val="GAParaResolution"/>
        <w:numPr>
          <w:ilvl w:val="0"/>
          <w:numId w:val="74"/>
        </w:numPr>
        <w:ind w:left="567" w:hanging="567"/>
        <w:rPr>
          <w:lang w:val="es-419"/>
        </w:rPr>
      </w:pPr>
      <w:r w:rsidRPr="00932644">
        <w:rPr>
          <w:lang w:val="es-419"/>
        </w:rPr>
        <w:t>Habiendo examinado</w:t>
      </w:r>
      <w:r w:rsidRPr="00932644">
        <w:rPr>
          <w:u w:val="none"/>
          <w:lang w:val="es-419"/>
        </w:rPr>
        <w:t xml:space="preserve"> el documento </w:t>
      </w:r>
      <w:hyperlink r:id="rId23" w:history="1">
        <w:r w:rsidRPr="00932644">
          <w:rPr>
            <w:rStyle w:val="Lienhypertexte"/>
            <w:lang w:val="es-419"/>
          </w:rPr>
          <w:t>LHE/20/8.GA/8</w:t>
        </w:r>
      </w:hyperlink>
      <w:r w:rsidRPr="00932644">
        <w:rPr>
          <w:u w:val="none"/>
          <w:lang w:val="es-419"/>
        </w:rPr>
        <w:t>,</w:t>
      </w:r>
    </w:p>
    <w:p w14:paraId="1F2BF6DA" w14:textId="77777777" w:rsidR="00A9584D" w:rsidRPr="00932644" w:rsidRDefault="00A9584D" w:rsidP="001D2C04">
      <w:pPr>
        <w:pStyle w:val="COMParaDecision"/>
        <w:numPr>
          <w:ilvl w:val="0"/>
          <w:numId w:val="4"/>
        </w:numPr>
        <w:ind w:left="567" w:hanging="567"/>
        <w:rPr>
          <w:lang w:val="es-419"/>
        </w:rPr>
      </w:pPr>
      <w:r w:rsidRPr="00932644">
        <w:rPr>
          <w:lang w:val="es-419"/>
        </w:rPr>
        <w:t>Recordando</w:t>
      </w:r>
      <w:r w:rsidRPr="00932644">
        <w:rPr>
          <w:u w:val="none"/>
          <w:lang w:val="es-419"/>
        </w:rPr>
        <w:t xml:space="preserve"> la </w:t>
      </w:r>
      <w:hyperlink r:id="rId24" w:history="1">
        <w:r w:rsidRPr="00932644">
          <w:rPr>
            <w:rStyle w:val="Lienhypertexte"/>
            <w:bCs/>
            <w:lang w:val="es-419"/>
          </w:rPr>
          <w:t>Resolución 39 C/87</w:t>
        </w:r>
      </w:hyperlink>
      <w:r w:rsidRPr="00932644">
        <w:rPr>
          <w:u w:val="none"/>
          <w:lang w:val="es-419"/>
        </w:rPr>
        <w:t xml:space="preserve"> de la Conferencia General de la UNESCO (2017), que invita al Consejo Ejecutivo, a la Directora General y a los órganos rectores de la UNESCO a aplicar las recomendaciones del Grupo de Trabajo de composición abierta sobre gobernanza, en particular la Recomendación 74, así como la </w:t>
      </w:r>
      <w:hyperlink r:id="rId25" w:history="1">
        <w:r w:rsidRPr="00932644">
          <w:rPr>
            <w:rStyle w:val="Lienhypertexte"/>
            <w:lang w:val="es-419"/>
          </w:rPr>
          <w:t xml:space="preserve">Decisión  14.COM </w:t>
        </w:r>
        <w:r w:rsidRPr="00932644">
          <w:rPr>
            <w:lang w:val="es-419"/>
          </w:rPr>
          <w:t> </w:t>
        </w:r>
        <w:r w:rsidRPr="00932644">
          <w:rPr>
            <w:rStyle w:val="Lienhypertexte"/>
            <w:lang w:val="es-419"/>
          </w:rPr>
          <w:t>19</w:t>
        </w:r>
      </w:hyperlink>
      <w:r w:rsidRPr="00932644">
        <w:rPr>
          <w:u w:val="none"/>
          <w:lang w:val="es-419"/>
        </w:rPr>
        <w:t xml:space="preserve"> del Comité,</w:t>
      </w:r>
    </w:p>
    <w:p w14:paraId="74A9DDC9" w14:textId="77777777" w:rsidR="00A9584D" w:rsidRPr="00932644" w:rsidRDefault="00A9584D" w:rsidP="001D2C04">
      <w:pPr>
        <w:pStyle w:val="COMParaDecision"/>
        <w:numPr>
          <w:ilvl w:val="0"/>
          <w:numId w:val="4"/>
        </w:numPr>
        <w:ind w:left="567" w:hanging="567"/>
        <w:rPr>
          <w:lang w:val="es-419"/>
        </w:rPr>
      </w:pPr>
      <w:r w:rsidRPr="00932644">
        <w:rPr>
          <w:lang w:val="es-419"/>
        </w:rPr>
        <w:t>Agradece</w:t>
      </w:r>
      <w:r w:rsidRPr="00932644">
        <w:rPr>
          <w:u w:val="none"/>
          <w:lang w:val="es-419"/>
        </w:rPr>
        <w:t xml:space="preserve"> a los Estados Partes que han participado en la consulta electrónica para la preparación del proyecto de Estrategia a Plazo Medio para 2022–2029 (41C/4) y del proyecto de Programa y Presupuesto para 2022–2025 (41C/5) y </w:t>
      </w:r>
      <w:r w:rsidRPr="00932644">
        <w:rPr>
          <w:lang w:val="es-419"/>
        </w:rPr>
        <w:t xml:space="preserve">aprecia </w:t>
      </w:r>
      <w:r w:rsidRPr="00932644">
        <w:rPr>
          <w:u w:val="none"/>
          <w:lang w:val="es-419"/>
        </w:rPr>
        <w:t>los esfuerzos de la Secretaría por haber presentado la consulta de manera oportuna y por haber analizado los resultados;</w:t>
      </w:r>
    </w:p>
    <w:p w14:paraId="33AE6AFF" w14:textId="3342AFE0" w:rsidR="00A9584D" w:rsidRPr="00932644" w:rsidRDefault="00A9584D" w:rsidP="00313948">
      <w:pPr>
        <w:pStyle w:val="COMParaDecision"/>
        <w:numPr>
          <w:ilvl w:val="0"/>
          <w:numId w:val="4"/>
        </w:numPr>
        <w:ind w:left="567" w:hanging="567"/>
        <w:rPr>
          <w:u w:val="none"/>
          <w:lang w:val="es-419"/>
        </w:rPr>
      </w:pPr>
      <w:r w:rsidRPr="00932644">
        <w:rPr>
          <w:lang w:val="es-419"/>
        </w:rPr>
        <w:t>Toma nota</w:t>
      </w:r>
      <w:r w:rsidRPr="00932644">
        <w:rPr>
          <w:u w:val="none"/>
          <w:lang w:val="es-419"/>
        </w:rPr>
        <w:t xml:space="preserve"> de los resultados de la consulta y </w:t>
      </w:r>
      <w:r w:rsidRPr="00932644">
        <w:rPr>
          <w:lang w:val="es-419"/>
        </w:rPr>
        <w:t xml:space="preserve">acoge con </w:t>
      </w:r>
      <w:r w:rsidR="00BF62E4" w:rsidRPr="00932644">
        <w:rPr>
          <w:lang w:val="es-419"/>
        </w:rPr>
        <w:t>satisfacción</w:t>
      </w:r>
      <w:r w:rsidR="00BF62E4" w:rsidRPr="00932644">
        <w:rPr>
          <w:u w:val="none"/>
          <w:lang w:val="es-419"/>
        </w:rPr>
        <w:t xml:space="preserve"> </w:t>
      </w:r>
      <w:r w:rsidRPr="00932644">
        <w:rPr>
          <w:u w:val="none"/>
          <w:lang w:val="es-419"/>
        </w:rPr>
        <w:t>las visiones estratégicas, las orientaciones programáticas y las recomendaciones concretas obtenidas a través de este análisis, que podrían guiar la futura labor de la Convención de 2003</w:t>
      </w:r>
      <w:r w:rsidR="003414B6" w:rsidRPr="00932644">
        <w:rPr>
          <w:u w:val="none"/>
          <w:lang w:val="es-419"/>
        </w:rPr>
        <w:t>;</w:t>
      </w:r>
    </w:p>
    <w:p w14:paraId="5141AEF0" w14:textId="1253F97A" w:rsidR="00D65292" w:rsidRPr="00932644" w:rsidRDefault="00D65292" w:rsidP="001D2C04">
      <w:pPr>
        <w:pStyle w:val="COMParaDecision"/>
        <w:numPr>
          <w:ilvl w:val="0"/>
          <w:numId w:val="4"/>
        </w:numPr>
        <w:ind w:left="567" w:hanging="567"/>
        <w:rPr>
          <w:u w:val="none"/>
          <w:lang w:val="es-419"/>
        </w:rPr>
      </w:pPr>
      <w:r w:rsidRPr="00932644">
        <w:rPr>
          <w:lang w:val="es-419"/>
        </w:rPr>
        <w:t>Destaca</w:t>
      </w:r>
      <w:r w:rsidRPr="00932644">
        <w:rPr>
          <w:u w:val="none"/>
          <w:lang w:val="es-419"/>
        </w:rPr>
        <w:t xml:space="preserve"> la importancia de seguir reforzando los vínculos, la colaboración y las sinergias con otras convenciones de la UNESCO en el ámbito de la cultura, particularmente en lo que se refiere al fortalecimiento de capacidades y </w:t>
      </w:r>
      <w:r w:rsidR="00950839" w:rsidRPr="00932644">
        <w:rPr>
          <w:u w:val="none"/>
          <w:lang w:val="es-419"/>
        </w:rPr>
        <w:t xml:space="preserve">la </w:t>
      </w:r>
      <w:r w:rsidRPr="00932644">
        <w:rPr>
          <w:u w:val="none"/>
          <w:lang w:val="es-419"/>
        </w:rPr>
        <w:t>sensibilización;</w:t>
      </w:r>
    </w:p>
    <w:p w14:paraId="5FE0FDE2" w14:textId="77777777" w:rsidR="00D65292" w:rsidRPr="00932644" w:rsidRDefault="00D65292" w:rsidP="001D2C04">
      <w:pPr>
        <w:pStyle w:val="COMParaDecision"/>
        <w:numPr>
          <w:ilvl w:val="0"/>
          <w:numId w:val="4"/>
        </w:numPr>
        <w:ind w:left="567" w:hanging="567"/>
        <w:rPr>
          <w:u w:val="none"/>
          <w:lang w:val="es-419"/>
        </w:rPr>
      </w:pPr>
      <w:r w:rsidRPr="00932644">
        <w:rPr>
          <w:lang w:val="es-419"/>
        </w:rPr>
        <w:t>Invita</w:t>
      </w:r>
      <w:r w:rsidRPr="00932644">
        <w:rPr>
          <w:u w:val="none"/>
          <w:lang w:val="es-419"/>
        </w:rPr>
        <w:t xml:space="preserve"> además a la Secretaría de la UNESCO que considere la posibilidad de convocar una reunión de reflexión, presencial o en línea, con los puntos focales nacionales de todas las Convenciones de la UNESCO en el ámbito de cultura, si fondos extrapresupuestarios están disponibles;</w:t>
      </w:r>
    </w:p>
    <w:p w14:paraId="5578B8FE" w14:textId="733C36BA" w:rsidR="00D65292" w:rsidRPr="00932644" w:rsidRDefault="00D65292" w:rsidP="001D2C04">
      <w:pPr>
        <w:pStyle w:val="COMParaDecision"/>
        <w:numPr>
          <w:ilvl w:val="0"/>
          <w:numId w:val="4"/>
        </w:numPr>
        <w:ind w:left="567" w:hanging="567"/>
        <w:rPr>
          <w:u w:val="none"/>
          <w:lang w:val="es-419"/>
        </w:rPr>
      </w:pPr>
      <w:r w:rsidRPr="00932644">
        <w:rPr>
          <w:lang w:val="es-419"/>
        </w:rPr>
        <w:t>Solicita</w:t>
      </w:r>
      <w:r w:rsidRPr="00932644">
        <w:rPr>
          <w:u w:val="none"/>
          <w:lang w:val="es-419"/>
        </w:rPr>
        <w:t xml:space="preserve"> a la Secretaría que informe a la Asamblea General en su próxima reunión acerca de la aplicación de esta Resolución.</w:t>
      </w:r>
    </w:p>
    <w:p w14:paraId="0FB8584C" w14:textId="77777777" w:rsidR="008410B9" w:rsidRPr="00932644" w:rsidRDefault="008410B9">
      <w:pPr>
        <w:rPr>
          <w:rFonts w:ascii="Arial" w:hAnsi="Arial" w:cs="Arial"/>
          <w:b/>
          <w:sz w:val="22"/>
          <w:szCs w:val="22"/>
          <w:lang w:val="es-419" w:bidi="ar-SA"/>
        </w:rPr>
      </w:pPr>
      <w:r w:rsidRPr="00932644">
        <w:rPr>
          <w:lang w:val="es-419"/>
        </w:rPr>
        <w:br w:type="page"/>
      </w:r>
    </w:p>
    <w:p w14:paraId="366CB56B" w14:textId="2D8CDAF3" w:rsidR="00895992" w:rsidRPr="00932644" w:rsidRDefault="00895992" w:rsidP="001D2C04">
      <w:pPr>
        <w:pStyle w:val="COMTitleDecision"/>
        <w:spacing w:before="360"/>
        <w:ind w:left="0"/>
        <w:rPr>
          <w:lang w:val="es-419"/>
        </w:rPr>
      </w:pPr>
      <w:r w:rsidRPr="00932644">
        <w:rPr>
          <w:lang w:val="es-419"/>
        </w:rPr>
        <w:lastRenderedPageBreak/>
        <w:t>RESOLUCIÓN 8.GA 9</w:t>
      </w:r>
    </w:p>
    <w:p w14:paraId="03789F71" w14:textId="77777777" w:rsidR="00895992" w:rsidRPr="00932644" w:rsidRDefault="00895992" w:rsidP="001D2C04">
      <w:pPr>
        <w:pStyle w:val="GAPreambulaResolution"/>
        <w:ind w:left="0"/>
        <w:rPr>
          <w:lang w:val="es-419"/>
        </w:rPr>
      </w:pPr>
      <w:r w:rsidRPr="00932644">
        <w:rPr>
          <w:lang w:val="es-419"/>
        </w:rPr>
        <w:t>La Asamblea General,</w:t>
      </w:r>
    </w:p>
    <w:p w14:paraId="45897629" w14:textId="77E54F66" w:rsidR="00895992" w:rsidRPr="00932644" w:rsidRDefault="00895992" w:rsidP="001D2C04">
      <w:pPr>
        <w:pStyle w:val="GAParaResolution"/>
        <w:numPr>
          <w:ilvl w:val="0"/>
          <w:numId w:val="71"/>
        </w:numPr>
        <w:ind w:left="567" w:hanging="567"/>
        <w:rPr>
          <w:u w:val="none"/>
          <w:lang w:val="es-419"/>
        </w:rPr>
      </w:pPr>
      <w:r w:rsidRPr="00932644">
        <w:rPr>
          <w:lang w:val="es-419"/>
        </w:rPr>
        <w:t>Habiendo</w:t>
      </w:r>
      <w:r w:rsidRPr="00932644">
        <w:rPr>
          <w:u w:val="none"/>
          <w:lang w:val="es-419"/>
        </w:rPr>
        <w:t xml:space="preserve"> examinado el documento </w:t>
      </w:r>
      <w:hyperlink r:id="rId26" w:history="1">
        <w:r w:rsidRPr="00932644">
          <w:rPr>
            <w:rStyle w:val="Lienhypertexte"/>
            <w:lang w:val="es-419"/>
          </w:rPr>
          <w:t>LHE/20/8.GA/9</w:t>
        </w:r>
        <w:r w:rsidRPr="00932644">
          <w:rPr>
            <w:rStyle w:val="Lienhypertexte"/>
            <w:u w:val="none"/>
            <w:lang w:val="es-419"/>
          </w:rPr>
          <w:t> </w:t>
        </w:r>
      </w:hyperlink>
      <w:r w:rsidRPr="00932644">
        <w:rPr>
          <w:u w:val="none"/>
          <w:lang w:val="es-419"/>
        </w:rPr>
        <w:t>y su anexo,</w:t>
      </w:r>
    </w:p>
    <w:p w14:paraId="4586E101" w14:textId="26312FB4" w:rsidR="00895992" w:rsidRPr="00932644" w:rsidRDefault="00895992" w:rsidP="001D2C04">
      <w:pPr>
        <w:pStyle w:val="GAParaResolution"/>
        <w:ind w:left="567" w:hanging="567"/>
        <w:rPr>
          <w:color w:val="000000" w:themeColor="text1"/>
          <w:u w:val="none"/>
          <w:lang w:val="es-419"/>
        </w:rPr>
      </w:pPr>
      <w:r w:rsidRPr="00932644">
        <w:rPr>
          <w:lang w:val="es-419"/>
        </w:rPr>
        <w:t>Recordando</w:t>
      </w:r>
      <w:r w:rsidRPr="00932644">
        <w:rPr>
          <w:u w:val="none"/>
          <w:lang w:val="es-419"/>
        </w:rPr>
        <w:t xml:space="preserve"> el artículo 11 de la Convención, capítulos VI.3 y VI.4 de las Directrices Operativas, el punto</w:t>
      </w:r>
      <w:r w:rsidRPr="00932644">
        <w:rPr>
          <w:u w:val="none"/>
          <w:shd w:val="clear" w:color="auto" w:fill="FFFFFF"/>
          <w:lang w:val="es-419"/>
        </w:rPr>
        <w:t xml:space="preserve"> cinco de los Principios Éticos para la Salvaguardia del Patrimonio Cultural Inmaterial, junto con las </w:t>
      </w:r>
      <w:r w:rsidR="008123A9" w:rsidRPr="00932644">
        <w:rPr>
          <w:u w:val="none"/>
          <w:shd w:val="clear" w:color="auto" w:fill="FFFFFF"/>
          <w:lang w:val="es-419"/>
        </w:rPr>
        <w:t xml:space="preserve">Resoluciones </w:t>
      </w:r>
      <w:hyperlink r:id="rId27" w:history="1">
        <w:r w:rsidRPr="00932644">
          <w:rPr>
            <w:rStyle w:val="Lienhypertexte"/>
            <w:shd w:val="clear" w:color="auto" w:fill="FFFFFF"/>
            <w:lang w:val="es-419"/>
          </w:rPr>
          <w:t>38</w:t>
        </w:r>
        <w:r w:rsidR="00063D82" w:rsidRPr="00932644">
          <w:rPr>
            <w:rStyle w:val="Lienhypertexte"/>
            <w:shd w:val="clear" w:color="auto" w:fill="FFFFFF"/>
            <w:lang w:val="es-419"/>
          </w:rPr>
          <w:t xml:space="preserve"> </w:t>
        </w:r>
        <w:r w:rsidRPr="00932644">
          <w:rPr>
            <w:rStyle w:val="Lienhypertexte"/>
            <w:shd w:val="clear" w:color="auto" w:fill="FFFFFF"/>
            <w:lang w:val="es-419"/>
          </w:rPr>
          <w:t>C/48</w:t>
        </w:r>
      </w:hyperlink>
      <w:r w:rsidRPr="00932644">
        <w:rPr>
          <w:u w:val="none"/>
          <w:shd w:val="clear" w:color="auto" w:fill="FFFFFF"/>
          <w:lang w:val="es-419"/>
        </w:rPr>
        <w:t xml:space="preserve"> y </w:t>
      </w:r>
      <w:hyperlink r:id="rId28" w:history="1">
        <w:r w:rsidRPr="00932644">
          <w:rPr>
            <w:rStyle w:val="Lienhypertexte"/>
            <w:shd w:val="clear" w:color="auto" w:fill="FFFFFF"/>
            <w:lang w:val="es-419"/>
          </w:rPr>
          <w:t>39</w:t>
        </w:r>
        <w:r w:rsidR="00063D82" w:rsidRPr="00932644">
          <w:rPr>
            <w:rStyle w:val="Lienhypertexte"/>
            <w:shd w:val="clear" w:color="auto" w:fill="FFFFFF"/>
            <w:lang w:val="es-419"/>
          </w:rPr>
          <w:t xml:space="preserve"> </w:t>
        </w:r>
        <w:r w:rsidRPr="00932644">
          <w:rPr>
            <w:rStyle w:val="Lienhypertexte"/>
            <w:shd w:val="clear" w:color="auto" w:fill="FFFFFF"/>
            <w:lang w:val="es-419"/>
          </w:rPr>
          <w:t>C/35</w:t>
        </w:r>
      </w:hyperlink>
      <w:r w:rsidRPr="00932644">
        <w:rPr>
          <w:u w:val="none"/>
          <w:shd w:val="clear" w:color="auto" w:fill="FFFFFF"/>
          <w:lang w:val="es-419"/>
        </w:rPr>
        <w:t xml:space="preserve"> de la Conferencia General sobre la Estrategia para reforzar la labor de la UNESCO en materia de protección de la cultura y </w:t>
      </w:r>
      <w:r w:rsidRPr="00932644">
        <w:rPr>
          <w:color w:val="000000" w:themeColor="text1"/>
          <w:u w:val="none"/>
          <w:shd w:val="clear" w:color="auto" w:fill="FFFFFF"/>
          <w:lang w:val="es-419"/>
        </w:rPr>
        <w:t xml:space="preserve">promoción del pluralismo cultural en caso de conflicto armado, su Plan de Acción y su </w:t>
      </w:r>
      <w:r w:rsidR="00276975" w:rsidRPr="00932644">
        <w:rPr>
          <w:color w:val="000000" w:themeColor="text1"/>
          <w:u w:val="none"/>
          <w:shd w:val="clear" w:color="auto" w:fill="FFFFFF"/>
          <w:lang w:val="es-419"/>
        </w:rPr>
        <w:t xml:space="preserve">adenda </w:t>
      </w:r>
      <w:r w:rsidRPr="00932644">
        <w:rPr>
          <w:color w:val="000000" w:themeColor="text1"/>
          <w:u w:val="none"/>
          <w:shd w:val="clear" w:color="auto" w:fill="FFFFFF"/>
          <w:lang w:val="es-419"/>
        </w:rPr>
        <w:t>relativo a las situaciones de emergencia vinculadas a desastres provocados por peligros naturales o de origen humano, así como la resolución 2347 (2017) del Consejo de Seguridad de las Naciones Unidas y todas las normas pertinentes del derecho internacional humanitario y del derecho internacional de los derechos humanos, tanto en calidad de tratados como de derecho consuetudinario,</w:t>
      </w:r>
    </w:p>
    <w:p w14:paraId="11594998" w14:textId="77777777" w:rsidR="00AF0930" w:rsidRPr="00932644" w:rsidRDefault="00AF0930" w:rsidP="001D2C04">
      <w:pPr>
        <w:pStyle w:val="GAParaResolution"/>
        <w:ind w:left="567" w:hanging="567"/>
        <w:rPr>
          <w:u w:val="none"/>
          <w:lang w:val="es-419"/>
        </w:rPr>
      </w:pPr>
      <w:r w:rsidRPr="00932644">
        <w:rPr>
          <w:lang w:val="es-419"/>
        </w:rPr>
        <w:t>Expresa</w:t>
      </w:r>
      <w:r w:rsidRPr="00932644">
        <w:rPr>
          <w:u w:val="none"/>
          <w:lang w:val="es-419"/>
        </w:rPr>
        <w:t xml:space="preserve"> su preocupación acerca de las repercusiones negativas que la pandemia de COVID-19 tiene en la salvaguardia y en la promoción del patrimonio cultural inmaterial en el mundo;</w:t>
      </w:r>
    </w:p>
    <w:p w14:paraId="67A03C40" w14:textId="22158945" w:rsidR="00895992" w:rsidRPr="00932644" w:rsidRDefault="00895992" w:rsidP="00313948">
      <w:pPr>
        <w:pStyle w:val="GAParaResolution"/>
        <w:ind w:left="567" w:hanging="567"/>
        <w:rPr>
          <w:u w:val="none"/>
          <w:lang w:val="es-419"/>
        </w:rPr>
      </w:pPr>
      <w:r w:rsidRPr="00932644">
        <w:rPr>
          <w:lang w:val="es-419"/>
        </w:rPr>
        <w:t>Expresa</w:t>
      </w:r>
      <w:r w:rsidR="00471DF1" w:rsidRPr="00932644">
        <w:rPr>
          <w:lang w:val="es-419"/>
        </w:rPr>
        <w:t xml:space="preserve"> también</w:t>
      </w:r>
      <w:r w:rsidRPr="00932644">
        <w:rPr>
          <w:lang w:val="es-419"/>
        </w:rPr>
        <w:t xml:space="preserve"> </w:t>
      </w:r>
      <w:r w:rsidRPr="00932644">
        <w:rPr>
          <w:u w:val="none"/>
          <w:lang w:val="es-419"/>
        </w:rPr>
        <w:t xml:space="preserve">su </w:t>
      </w:r>
      <w:r w:rsidR="00CF773F" w:rsidRPr="00932644">
        <w:rPr>
          <w:u w:val="none"/>
          <w:lang w:val="es-419"/>
        </w:rPr>
        <w:t>solidaridad y</w:t>
      </w:r>
      <w:r w:rsidR="00C42F1E" w:rsidRPr="00932644">
        <w:rPr>
          <w:u w:val="none"/>
          <w:lang w:val="es-419"/>
        </w:rPr>
        <w:t xml:space="preserve"> </w:t>
      </w:r>
      <w:r w:rsidRPr="00932644">
        <w:rPr>
          <w:u w:val="none"/>
          <w:lang w:val="es-419"/>
        </w:rPr>
        <w:t>apoyo total a las personas, los grupos y las comunidades</w:t>
      </w:r>
      <w:r w:rsidR="00C42F1E" w:rsidRPr="00932644">
        <w:rPr>
          <w:u w:val="none"/>
          <w:lang w:val="es-419"/>
        </w:rPr>
        <w:t xml:space="preserve"> </w:t>
      </w:r>
      <w:r w:rsidR="00CF773F" w:rsidRPr="00932644">
        <w:rPr>
          <w:u w:val="none"/>
          <w:lang w:val="es-419"/>
        </w:rPr>
        <w:t xml:space="preserve">durante la pandemia de COVID-19 y </w:t>
      </w:r>
      <w:r w:rsidRPr="00932644">
        <w:rPr>
          <w:u w:val="none"/>
          <w:lang w:val="es-419"/>
        </w:rPr>
        <w:t xml:space="preserve">que se encuentran en situaciones de emergencia y </w:t>
      </w:r>
      <w:r w:rsidRPr="00932644">
        <w:rPr>
          <w:lang w:val="es-419"/>
        </w:rPr>
        <w:t>reconoce</w:t>
      </w:r>
      <w:r w:rsidRPr="00932644">
        <w:rPr>
          <w:u w:val="none"/>
          <w:lang w:val="es-419"/>
        </w:rPr>
        <w:t xml:space="preserve"> </w:t>
      </w:r>
      <w:r w:rsidR="00AF0930" w:rsidRPr="00932644">
        <w:rPr>
          <w:u w:val="none"/>
          <w:lang w:val="es-419"/>
        </w:rPr>
        <w:t xml:space="preserve">el </w:t>
      </w:r>
      <w:r w:rsidRPr="00932644">
        <w:rPr>
          <w:u w:val="none"/>
          <w:lang w:val="es-419"/>
        </w:rPr>
        <w:t xml:space="preserve">extraordinario valor y valentía </w:t>
      </w:r>
      <w:r w:rsidR="00AF0930" w:rsidRPr="00932644">
        <w:rPr>
          <w:u w:val="none"/>
          <w:lang w:val="es-419"/>
        </w:rPr>
        <w:t xml:space="preserve">que demuestran </w:t>
      </w:r>
      <w:r w:rsidRPr="00932644">
        <w:rPr>
          <w:u w:val="none"/>
          <w:lang w:val="es-419"/>
        </w:rPr>
        <w:t>a la hora de explorar modos creativos para mantener la práctica y la transmisión de su patrimonio vivo, a pesar de los arduos contextos a los que se enfrentan;</w:t>
      </w:r>
    </w:p>
    <w:p w14:paraId="48769C48" w14:textId="3D9A35FF" w:rsidR="00927AAF" w:rsidRPr="00932644" w:rsidRDefault="00927AAF" w:rsidP="00313948">
      <w:pPr>
        <w:pStyle w:val="GAParaResolution"/>
        <w:ind w:left="567" w:hanging="567"/>
        <w:rPr>
          <w:color w:val="000000" w:themeColor="text1"/>
          <w:u w:val="none"/>
          <w:lang w:val="es-419"/>
        </w:rPr>
      </w:pPr>
      <w:r w:rsidRPr="00932644">
        <w:rPr>
          <w:color w:val="000000" w:themeColor="text1"/>
          <w:lang w:val="es-419"/>
        </w:rPr>
        <w:t>Expresa además</w:t>
      </w:r>
      <w:r w:rsidRPr="00932644">
        <w:rPr>
          <w:color w:val="000000" w:themeColor="text1"/>
          <w:u w:val="none"/>
          <w:lang w:val="es-419"/>
        </w:rPr>
        <w:t xml:space="preserve"> su solidaridad con el Líbano y su pueblo, tras las trágicas explosiones ocurridas en Beirut en agosto de 2020,</w:t>
      </w:r>
      <w:r w:rsidR="00F641D9" w:rsidRPr="00932644">
        <w:rPr>
          <w:color w:val="000000" w:themeColor="text1"/>
          <w:u w:val="none"/>
          <w:lang w:val="es-419"/>
        </w:rPr>
        <w:t xml:space="preserve"> y</w:t>
      </w:r>
      <w:r w:rsidRPr="00932644">
        <w:rPr>
          <w:color w:val="000000" w:themeColor="text1"/>
          <w:u w:val="none"/>
          <w:lang w:val="es-419"/>
        </w:rPr>
        <w:t xml:space="preserve"> reconociendo la vibrante vida cultural de la ciudad, </w:t>
      </w:r>
      <w:r w:rsidRPr="00932644">
        <w:rPr>
          <w:color w:val="000000" w:themeColor="text1"/>
          <w:lang w:val="es-419"/>
        </w:rPr>
        <w:t>alienta</w:t>
      </w:r>
      <w:r w:rsidRPr="00932644">
        <w:rPr>
          <w:color w:val="000000" w:themeColor="text1"/>
          <w:u w:val="none"/>
          <w:lang w:val="es-419"/>
        </w:rPr>
        <w:t xml:space="preserve"> todos los esfuerzos por apoyar el proceso de recuperación en </w:t>
      </w:r>
      <w:r w:rsidR="00F641D9" w:rsidRPr="00932644">
        <w:rPr>
          <w:color w:val="000000" w:themeColor="text1"/>
          <w:u w:val="none"/>
          <w:lang w:val="es-419"/>
        </w:rPr>
        <w:t>conformidad con</w:t>
      </w:r>
      <w:r w:rsidRPr="00932644">
        <w:rPr>
          <w:color w:val="000000" w:themeColor="text1"/>
          <w:u w:val="none"/>
          <w:lang w:val="es-419"/>
        </w:rPr>
        <w:t xml:space="preserve"> los principios y modalidades </w:t>
      </w:r>
      <w:r w:rsidR="00F641D9" w:rsidRPr="00932644">
        <w:rPr>
          <w:color w:val="000000" w:themeColor="text1"/>
          <w:u w:val="none"/>
          <w:lang w:val="es-419"/>
        </w:rPr>
        <w:t xml:space="preserve">operacionales para la </w:t>
      </w:r>
      <w:r w:rsidRPr="00932644">
        <w:rPr>
          <w:color w:val="000000" w:themeColor="text1"/>
          <w:u w:val="none"/>
          <w:lang w:val="es-419"/>
        </w:rPr>
        <w:t>salvaguardia del patrimonio cultural inmaterial en situaciones de emergencia;</w:t>
      </w:r>
    </w:p>
    <w:p w14:paraId="52E068A0" w14:textId="64B32A9C" w:rsidR="0097556E" w:rsidRPr="00932644" w:rsidRDefault="0097556E" w:rsidP="00313948">
      <w:pPr>
        <w:pStyle w:val="GAParaResolution"/>
        <w:ind w:left="567" w:hanging="567"/>
        <w:rPr>
          <w:color w:val="000000" w:themeColor="text1"/>
          <w:u w:val="none"/>
          <w:lang w:val="es-419"/>
        </w:rPr>
      </w:pPr>
      <w:r w:rsidRPr="00932644">
        <w:rPr>
          <w:color w:val="000000" w:themeColor="text1"/>
          <w:lang w:val="es-419"/>
        </w:rPr>
        <w:t>Reafirma</w:t>
      </w:r>
      <w:r w:rsidRPr="00932644">
        <w:rPr>
          <w:color w:val="000000" w:themeColor="text1"/>
          <w:u w:val="none"/>
          <w:lang w:val="es-419"/>
        </w:rPr>
        <w:t xml:space="preserve"> la doble función que puede desempeñar la salvaguardia del patrimonio cultural inmaterial en situaciones de emergencia, tanto para mitigar las amenazas frente al patrimonio cultural inmaterial en sí mismo, como también en calidad de herramienta útil para ayudar a las comunidades a prepararse</w:t>
      </w:r>
      <w:r w:rsidR="00927AAF" w:rsidRPr="00932644">
        <w:rPr>
          <w:color w:val="000000" w:themeColor="text1"/>
          <w:u w:val="none"/>
          <w:lang w:val="es-419"/>
        </w:rPr>
        <w:t>,</w:t>
      </w:r>
      <w:r w:rsidRPr="00932644">
        <w:rPr>
          <w:color w:val="000000" w:themeColor="text1"/>
          <w:u w:val="none"/>
          <w:lang w:val="es-419"/>
        </w:rPr>
        <w:t xml:space="preserve"> responder </w:t>
      </w:r>
      <w:r w:rsidR="00927AAF" w:rsidRPr="00932644">
        <w:rPr>
          <w:color w:val="000000" w:themeColor="text1"/>
          <w:u w:val="none"/>
          <w:lang w:val="es-419"/>
        </w:rPr>
        <w:t xml:space="preserve">y recuperarse de </w:t>
      </w:r>
      <w:r w:rsidRPr="00932644">
        <w:rPr>
          <w:color w:val="000000" w:themeColor="text1"/>
          <w:u w:val="none"/>
          <w:lang w:val="es-419"/>
        </w:rPr>
        <w:t>las situaciones de emergencia, entre las que se incluyen los efectos del cambio climático;</w:t>
      </w:r>
    </w:p>
    <w:p w14:paraId="358E1C37" w14:textId="7BFB9261" w:rsidR="00895992" w:rsidRPr="00932644" w:rsidRDefault="00895992" w:rsidP="00313948">
      <w:pPr>
        <w:pStyle w:val="GAParaResolution"/>
        <w:ind w:left="567" w:hanging="567"/>
        <w:rPr>
          <w:color w:val="000000" w:themeColor="text1"/>
          <w:u w:val="none"/>
          <w:lang w:val="es-419"/>
        </w:rPr>
      </w:pPr>
      <w:r w:rsidRPr="00932644">
        <w:rPr>
          <w:color w:val="000000" w:themeColor="text1"/>
          <w:shd w:val="clear" w:color="auto" w:fill="FFFFFF"/>
          <w:lang w:val="es-419"/>
        </w:rPr>
        <w:t>Aprecia</w:t>
      </w:r>
      <w:r w:rsidRPr="00932644">
        <w:rPr>
          <w:color w:val="000000" w:themeColor="text1"/>
          <w:u w:val="none"/>
          <w:shd w:val="clear" w:color="auto" w:fill="FFFFFF"/>
          <w:lang w:val="es-419"/>
        </w:rPr>
        <w:t xml:space="preserve"> la reflexión exhaustiva adoptada por el Comité</w:t>
      </w:r>
      <w:r w:rsidRPr="00932644">
        <w:rPr>
          <w:bCs/>
          <w:u w:val="none"/>
          <w:lang w:val="es-419"/>
        </w:rPr>
        <w:t xml:space="preserve"> sobre la función del patrimonio cultural inmaterial en situaciones de emergencia, así como el trabajo adjunto llevado a cabo por la Secretaría para recopilar estudios de caso, realizar actividades piloto y adoptar un enfoque de </w:t>
      </w:r>
      <w:r w:rsidRPr="00932644">
        <w:rPr>
          <w:u w:val="none"/>
          <w:lang w:val="es-419"/>
        </w:rPr>
        <w:t xml:space="preserve">fortalecimiento </w:t>
      </w:r>
      <w:r w:rsidRPr="00932644">
        <w:rPr>
          <w:bCs/>
          <w:u w:val="none"/>
          <w:lang w:val="es-419"/>
        </w:rPr>
        <w:t>de capacidades para la creación de un marco metodológico apropiado sobre el tema;</w:t>
      </w:r>
    </w:p>
    <w:p w14:paraId="27DD44B8" w14:textId="603AA1B7" w:rsidR="00895992" w:rsidRPr="00932644" w:rsidRDefault="00895992" w:rsidP="00313948">
      <w:pPr>
        <w:pStyle w:val="GAParaResolution"/>
        <w:ind w:left="567" w:hanging="567"/>
        <w:rPr>
          <w:color w:val="000000" w:themeColor="text1"/>
          <w:u w:val="none"/>
          <w:lang w:val="es-419"/>
        </w:rPr>
      </w:pPr>
      <w:r w:rsidRPr="00932644">
        <w:rPr>
          <w:color w:val="000000" w:themeColor="text1"/>
          <w:shd w:val="clear" w:color="auto" w:fill="FFFFFF"/>
          <w:lang w:val="es-419"/>
        </w:rPr>
        <w:t>Agradece</w:t>
      </w:r>
      <w:r w:rsidRPr="00932644">
        <w:rPr>
          <w:color w:val="000000" w:themeColor="text1"/>
          <w:u w:val="none"/>
          <w:shd w:val="clear" w:color="auto" w:fill="FFFFFF"/>
          <w:lang w:val="es-419"/>
        </w:rPr>
        <w:t xml:space="preserve"> a la República Popular </w:t>
      </w:r>
      <w:r w:rsidR="00F70D2D" w:rsidRPr="00932644">
        <w:rPr>
          <w:color w:val="000000" w:themeColor="text1"/>
          <w:u w:val="none"/>
          <w:shd w:val="clear" w:color="auto" w:fill="FFFFFF"/>
          <w:lang w:val="es-419"/>
        </w:rPr>
        <w:t xml:space="preserve">de </w:t>
      </w:r>
      <w:r w:rsidRPr="00932644">
        <w:rPr>
          <w:color w:val="000000" w:themeColor="text1"/>
          <w:u w:val="none"/>
          <w:shd w:val="clear" w:color="auto" w:fill="FFFFFF"/>
          <w:lang w:val="es-419"/>
        </w:rPr>
        <w:t>China su generosa contribución a la reunión de expertos sobre el patrimonio cultural inmaterial y las situaciones de emergencia celebrada en la Sede de la UNESCO en mayo de 2019;</w:t>
      </w:r>
    </w:p>
    <w:p w14:paraId="6EA21F68" w14:textId="77777777" w:rsidR="00895992" w:rsidRPr="00932644" w:rsidRDefault="00895992" w:rsidP="00313948">
      <w:pPr>
        <w:pStyle w:val="GAParaResolution"/>
        <w:ind w:left="567" w:hanging="567"/>
        <w:rPr>
          <w:color w:val="000000" w:themeColor="text1"/>
          <w:u w:val="none"/>
          <w:lang w:val="es-419"/>
        </w:rPr>
      </w:pPr>
      <w:r w:rsidRPr="00932644">
        <w:rPr>
          <w:color w:val="000000" w:themeColor="text1"/>
          <w:shd w:val="clear" w:color="auto" w:fill="FFFFFF"/>
          <w:lang w:val="es-419"/>
        </w:rPr>
        <w:t>Aprueba</w:t>
      </w:r>
      <w:r w:rsidRPr="00932644">
        <w:rPr>
          <w:color w:val="000000" w:themeColor="text1"/>
          <w:u w:val="none"/>
          <w:shd w:val="clear" w:color="auto" w:fill="FFFFFF"/>
          <w:lang w:val="es-419"/>
        </w:rPr>
        <w:t xml:space="preserve"> los principios y las modalidades operacionales para la salvaguardia del patrimonio cultural inmaterial en situaciones de emergencia, los cuales se adjuntan a esta resolución;</w:t>
      </w:r>
    </w:p>
    <w:p w14:paraId="5C9BCD71" w14:textId="02EB2262" w:rsidR="00895992" w:rsidRPr="00932644" w:rsidRDefault="00895992" w:rsidP="00313948">
      <w:pPr>
        <w:pStyle w:val="GAParaResolution"/>
        <w:ind w:left="567" w:hanging="567"/>
        <w:rPr>
          <w:color w:val="000000" w:themeColor="text1"/>
          <w:u w:val="none"/>
          <w:lang w:val="es-419"/>
        </w:rPr>
      </w:pPr>
      <w:r w:rsidRPr="00932644">
        <w:rPr>
          <w:color w:val="000000" w:themeColor="text1"/>
          <w:shd w:val="clear" w:color="auto" w:fill="FFFFFF"/>
          <w:lang w:val="es-419"/>
        </w:rPr>
        <w:t>Alienta</w:t>
      </w:r>
      <w:r w:rsidRPr="00932644">
        <w:rPr>
          <w:color w:val="000000" w:themeColor="text1"/>
          <w:u w:val="none"/>
          <w:shd w:val="clear" w:color="auto" w:fill="FFFFFF"/>
          <w:lang w:val="es-419"/>
        </w:rPr>
        <w:t xml:space="preserve"> a los Estados </w:t>
      </w:r>
      <w:r w:rsidR="004E61D8" w:rsidRPr="00932644">
        <w:rPr>
          <w:color w:val="000000" w:themeColor="text1"/>
          <w:u w:val="none"/>
          <w:shd w:val="clear" w:color="auto" w:fill="FFFFFF"/>
          <w:lang w:val="es-419"/>
        </w:rPr>
        <w:t>P</w:t>
      </w:r>
      <w:r w:rsidRPr="00932644">
        <w:rPr>
          <w:color w:val="000000" w:themeColor="text1"/>
          <w:u w:val="none"/>
          <w:shd w:val="clear" w:color="auto" w:fill="FFFFFF"/>
          <w:lang w:val="es-419"/>
        </w:rPr>
        <w:t>artes y a cualquier otra parte relevante interesada en la esfera nacional o internacional a llevar a cabo los pasos necesarios para implementar y adaptar los principios y modalidades operacionales a sus contextos específicos y a implementar diferentes proyectos prácticos que contribuirán a la salvaguardia constante del patrimonio cultural inmaterial en situaciones de emergencia</w:t>
      </w:r>
      <w:r w:rsidR="001D4190" w:rsidRPr="00932644">
        <w:rPr>
          <w:color w:val="000000" w:themeColor="text1"/>
          <w:u w:val="none"/>
          <w:shd w:val="clear" w:color="auto" w:fill="FFFFFF"/>
          <w:lang w:val="es-419"/>
        </w:rPr>
        <w:t>,</w:t>
      </w:r>
      <w:r w:rsidR="00631BEF" w:rsidRPr="00932644">
        <w:rPr>
          <w:color w:val="000000" w:themeColor="text1"/>
          <w:u w:val="none"/>
          <w:shd w:val="clear" w:color="auto" w:fill="FFFFFF"/>
          <w:lang w:val="es-419"/>
        </w:rPr>
        <w:t xml:space="preserve"> </w:t>
      </w:r>
      <w:r w:rsidR="001D4190" w:rsidRPr="00932644">
        <w:rPr>
          <w:color w:val="000000" w:themeColor="text1"/>
          <w:u w:val="none"/>
          <w:shd w:val="clear" w:color="auto" w:fill="FFFFFF"/>
          <w:lang w:val="es-419"/>
        </w:rPr>
        <w:t>inclu</w:t>
      </w:r>
      <w:r w:rsidR="00C2370C" w:rsidRPr="00932644">
        <w:rPr>
          <w:color w:val="000000" w:themeColor="text1"/>
          <w:u w:val="none"/>
          <w:shd w:val="clear" w:color="auto" w:fill="FFFFFF"/>
          <w:lang w:val="es-419"/>
        </w:rPr>
        <w:t>so</w:t>
      </w:r>
      <w:r w:rsidR="001D4190" w:rsidRPr="00932644">
        <w:rPr>
          <w:color w:val="000000" w:themeColor="text1"/>
          <w:u w:val="none"/>
          <w:shd w:val="clear" w:color="auto" w:fill="FFFFFF"/>
          <w:lang w:val="es-419"/>
        </w:rPr>
        <w:t xml:space="preserve"> en el contexto de la respuesta y recuperación al COVID-19</w:t>
      </w:r>
      <w:r w:rsidRPr="00932644">
        <w:rPr>
          <w:color w:val="000000" w:themeColor="text1"/>
          <w:u w:val="none"/>
          <w:shd w:val="clear" w:color="auto" w:fill="FFFFFF"/>
          <w:lang w:val="es-419"/>
        </w:rPr>
        <w:t>;</w:t>
      </w:r>
    </w:p>
    <w:p w14:paraId="70836173" w14:textId="77777777" w:rsidR="00C2370C" w:rsidRPr="00932644" w:rsidRDefault="00C2370C" w:rsidP="008410B9">
      <w:pPr>
        <w:pStyle w:val="GAParaResolution"/>
        <w:keepLines/>
        <w:ind w:left="567" w:hanging="567"/>
        <w:rPr>
          <w:shd w:val="clear" w:color="auto" w:fill="FFFFFF"/>
          <w:lang w:val="es-419" w:eastAsia="en-GB"/>
        </w:rPr>
      </w:pPr>
      <w:r w:rsidRPr="00932644">
        <w:rPr>
          <w:shd w:val="clear" w:color="auto" w:fill="FFFFFF"/>
          <w:lang w:val="es-419" w:eastAsia="en-GB"/>
        </w:rPr>
        <w:lastRenderedPageBreak/>
        <w:t>Solicita</w:t>
      </w:r>
      <w:r w:rsidRPr="00932644">
        <w:rPr>
          <w:u w:val="none"/>
          <w:shd w:val="clear" w:color="auto" w:fill="FFFFFF"/>
          <w:lang w:val="es-419" w:eastAsia="en-GB"/>
        </w:rPr>
        <w:t xml:space="preserve"> a la Secretaría que prosiga sus esfuerzos de seguimiento de los efectos del COVID-19 en la salvaguardia del patrimonio cultural inmaterial y que recopile las enseñanzas extraídas centrándose en la mejor manera de poner en práctica los principios y modalidades en épocas de pandemias, y que informe al Comité y a la Asamblea General en su novena reunión;</w:t>
      </w:r>
    </w:p>
    <w:p w14:paraId="150F2372" w14:textId="39C0B717" w:rsidR="00895992" w:rsidRPr="00932644" w:rsidRDefault="00895992" w:rsidP="00313948">
      <w:pPr>
        <w:pStyle w:val="GAParaResolution"/>
        <w:ind w:left="567" w:hanging="567"/>
        <w:rPr>
          <w:color w:val="000000" w:themeColor="text1"/>
          <w:u w:val="none"/>
          <w:shd w:val="clear" w:color="auto" w:fill="FFFFFF"/>
          <w:lang w:val="es-419"/>
        </w:rPr>
      </w:pPr>
      <w:r w:rsidRPr="00932644">
        <w:rPr>
          <w:color w:val="000000" w:themeColor="text1"/>
          <w:shd w:val="clear" w:color="auto" w:fill="FFFFFF"/>
          <w:lang w:val="es-419"/>
        </w:rPr>
        <w:t>Solicita</w:t>
      </w:r>
      <w:r w:rsidR="0074723F" w:rsidRPr="00932644">
        <w:rPr>
          <w:color w:val="000000" w:themeColor="text1"/>
          <w:shd w:val="clear" w:color="auto" w:fill="FFFFFF"/>
          <w:lang w:val="es-419"/>
        </w:rPr>
        <w:t xml:space="preserve"> también</w:t>
      </w:r>
      <w:r w:rsidRPr="00932644">
        <w:rPr>
          <w:color w:val="000000" w:themeColor="text1"/>
          <w:u w:val="none"/>
          <w:shd w:val="clear" w:color="auto" w:fill="FFFFFF"/>
          <w:lang w:val="es-419"/>
        </w:rPr>
        <w:t xml:space="preserve"> que la Secretaría continúe sus esfuerzos para </w:t>
      </w:r>
      <w:r w:rsidR="008523A5" w:rsidRPr="00932644">
        <w:rPr>
          <w:color w:val="000000" w:themeColor="text1"/>
          <w:u w:val="none"/>
          <w:shd w:val="clear" w:color="auto" w:fill="FFFFFF"/>
          <w:lang w:val="es-419"/>
        </w:rPr>
        <w:t xml:space="preserve">desarrollar </w:t>
      </w:r>
      <w:r w:rsidRPr="00932644">
        <w:rPr>
          <w:color w:val="000000" w:themeColor="text1"/>
          <w:u w:val="none"/>
          <w:shd w:val="clear" w:color="auto" w:fill="FFFFFF"/>
          <w:lang w:val="es-419"/>
        </w:rPr>
        <w:t xml:space="preserve">un enfoque de </w:t>
      </w:r>
      <w:r w:rsidRPr="00932644">
        <w:rPr>
          <w:u w:val="none"/>
          <w:lang w:val="es-419"/>
        </w:rPr>
        <w:t xml:space="preserve">fortalecimiento </w:t>
      </w:r>
      <w:r w:rsidRPr="00932644">
        <w:rPr>
          <w:color w:val="000000" w:themeColor="text1"/>
          <w:u w:val="none"/>
          <w:shd w:val="clear" w:color="auto" w:fill="FFFFFF"/>
          <w:lang w:val="es-419"/>
        </w:rPr>
        <w:t>de capacidades para poner en funcionamiento los principios y modalidades y concienciar a las partes interesadas pertinentes</w:t>
      </w:r>
      <w:r w:rsidR="0019609E" w:rsidRPr="00932644">
        <w:rPr>
          <w:color w:val="000000" w:themeColor="text1"/>
          <w:u w:val="none"/>
          <w:shd w:val="clear" w:color="auto" w:fill="FFFFFF"/>
          <w:lang w:val="es-419"/>
        </w:rPr>
        <w:t xml:space="preserve"> sobre su importancia</w:t>
      </w:r>
      <w:r w:rsidRPr="00932644">
        <w:rPr>
          <w:color w:val="000000" w:themeColor="text1"/>
          <w:u w:val="none"/>
          <w:shd w:val="clear" w:color="auto" w:fill="FFFFFF"/>
          <w:lang w:val="es-419"/>
        </w:rPr>
        <w:t xml:space="preserve">, </w:t>
      </w:r>
      <w:r w:rsidR="0019609E" w:rsidRPr="00932644">
        <w:rPr>
          <w:color w:val="000000" w:themeColor="text1"/>
          <w:u w:val="none"/>
          <w:shd w:val="clear" w:color="auto" w:fill="FFFFFF"/>
          <w:lang w:val="es-419"/>
        </w:rPr>
        <w:t>y además que</w:t>
      </w:r>
      <w:r w:rsidRPr="00932644">
        <w:rPr>
          <w:color w:val="000000" w:themeColor="text1"/>
          <w:u w:val="none"/>
          <w:shd w:val="clear" w:color="auto" w:fill="FFFFFF"/>
          <w:lang w:val="es-419"/>
        </w:rPr>
        <w:t xml:space="preserve"> </w:t>
      </w:r>
      <w:r w:rsidR="0019609E" w:rsidRPr="00932644">
        <w:rPr>
          <w:color w:val="000000" w:themeColor="text1"/>
          <w:u w:val="none"/>
          <w:shd w:val="clear" w:color="auto" w:fill="FFFFFF"/>
          <w:lang w:val="es-419"/>
        </w:rPr>
        <w:t>explore los</w:t>
      </w:r>
      <w:r w:rsidRPr="00932644">
        <w:rPr>
          <w:color w:val="000000" w:themeColor="text1"/>
          <w:u w:val="none"/>
          <w:shd w:val="clear" w:color="auto" w:fill="FFFFFF"/>
          <w:lang w:val="es-419"/>
        </w:rPr>
        <w:t xml:space="preserve"> vínculos y medidas de cooperación con otras convenciones y programas en el ámbito </w:t>
      </w:r>
      <w:r w:rsidR="008523A5" w:rsidRPr="00932644">
        <w:rPr>
          <w:color w:val="000000" w:themeColor="text1"/>
          <w:u w:val="none"/>
          <w:shd w:val="clear" w:color="auto" w:fill="FFFFFF"/>
          <w:lang w:val="es-419"/>
        </w:rPr>
        <w:t xml:space="preserve">de la </w:t>
      </w:r>
      <w:r w:rsidRPr="00932644">
        <w:rPr>
          <w:color w:val="000000" w:themeColor="text1"/>
          <w:u w:val="none"/>
          <w:shd w:val="clear" w:color="auto" w:fill="FFFFFF"/>
          <w:lang w:val="es-419"/>
        </w:rPr>
        <w:t>cultura, con las organizaciones de las Naciones Unidas y los organismos internacionales de ámbitos relacionados;</w:t>
      </w:r>
    </w:p>
    <w:p w14:paraId="052BBE8B" w14:textId="77777777" w:rsidR="00055860" w:rsidRPr="00932644" w:rsidDel="00292AE0" w:rsidRDefault="00055860" w:rsidP="00313948">
      <w:pPr>
        <w:pStyle w:val="GAParaResolution"/>
        <w:ind w:left="567" w:hanging="567"/>
        <w:rPr>
          <w:color w:val="000000" w:themeColor="text1"/>
          <w:u w:val="none"/>
          <w:shd w:val="clear" w:color="auto" w:fill="FFFFFF"/>
          <w:lang w:val="es-419"/>
        </w:rPr>
      </w:pPr>
      <w:r w:rsidRPr="00932644">
        <w:rPr>
          <w:color w:val="000000" w:themeColor="text1"/>
          <w:shd w:val="clear" w:color="auto" w:fill="FFFFFF"/>
          <w:lang w:val="es-419"/>
        </w:rPr>
        <w:t>Solicita además</w:t>
      </w:r>
      <w:r w:rsidRPr="00932644">
        <w:rPr>
          <w:color w:val="000000" w:themeColor="text1"/>
          <w:u w:val="none"/>
          <w:shd w:val="clear" w:color="auto" w:fill="FFFFFF"/>
          <w:lang w:val="es-419"/>
        </w:rPr>
        <w:t xml:space="preserve"> a la Secretaría que traiga los principios y modalidades operacionales a la atención de los órganos intergubernamentales encargados de la aplicación de esas convenciones, en particular a los órganos de la </w:t>
      </w:r>
      <w:r w:rsidRPr="00932644">
        <w:rPr>
          <w:bCs/>
          <w:color w:val="000000" w:themeColor="text1"/>
          <w:u w:val="none"/>
          <w:shd w:val="clear" w:color="auto" w:fill="FFFFFF"/>
          <w:lang w:val="es-419"/>
        </w:rPr>
        <w:t xml:space="preserve">Convención de la Haya de 1954 para la Protección de los Bienes Culturales en caso de Conflicto Armado y sus dos protocolos; </w:t>
      </w:r>
    </w:p>
    <w:p w14:paraId="1D581C25" w14:textId="4F12B99F" w:rsidR="00263D45" w:rsidRPr="00932644" w:rsidRDefault="00263D45" w:rsidP="00313948">
      <w:pPr>
        <w:pStyle w:val="GAParaResolution"/>
        <w:ind w:left="567" w:hanging="567"/>
        <w:rPr>
          <w:u w:val="none"/>
          <w:shd w:val="clear" w:color="auto" w:fill="FFFFFF"/>
          <w:lang w:val="es-419"/>
        </w:rPr>
      </w:pPr>
      <w:r w:rsidRPr="00932644">
        <w:rPr>
          <w:shd w:val="clear" w:color="auto" w:fill="FFFFFF"/>
          <w:lang w:val="es-419"/>
        </w:rPr>
        <w:t>Alienta también</w:t>
      </w:r>
      <w:r w:rsidRPr="00932644">
        <w:rPr>
          <w:u w:val="none"/>
          <w:shd w:val="clear" w:color="auto" w:fill="FFFFFF"/>
          <w:lang w:val="es-419"/>
        </w:rPr>
        <w:t xml:space="preserve"> a los Estados </w:t>
      </w:r>
      <w:r w:rsidR="004E61D8" w:rsidRPr="00932644">
        <w:rPr>
          <w:u w:val="none"/>
          <w:shd w:val="clear" w:color="auto" w:fill="FFFFFF"/>
          <w:lang w:val="es-419"/>
        </w:rPr>
        <w:t>P</w:t>
      </w:r>
      <w:r w:rsidRPr="00932644">
        <w:rPr>
          <w:u w:val="none"/>
          <w:shd w:val="clear" w:color="auto" w:fill="FFFFFF"/>
          <w:lang w:val="es-419"/>
        </w:rPr>
        <w:t>artes a considerar la posibilidad de prestar asistencia financiera a las labores futuras sobre el patrimonio cultural inmaterial en situaciones de emergencia</w:t>
      </w:r>
      <w:r w:rsidR="00CB20B3" w:rsidRPr="00932644">
        <w:rPr>
          <w:u w:val="none"/>
          <w:shd w:val="clear" w:color="auto" w:fill="FFFFFF"/>
          <w:lang w:val="es-419"/>
        </w:rPr>
        <w:t>,</w:t>
      </w:r>
      <w:r w:rsidRPr="00932644">
        <w:rPr>
          <w:u w:val="none"/>
          <w:shd w:val="clear" w:color="auto" w:fill="FFFFFF"/>
          <w:lang w:val="es-419"/>
        </w:rPr>
        <w:t xml:space="preserve"> a través de las modalidades que deseen.</w:t>
      </w:r>
    </w:p>
    <w:p w14:paraId="7D617E14" w14:textId="20800040" w:rsidR="00895992" w:rsidRPr="00932644" w:rsidRDefault="00895992" w:rsidP="001D2C04">
      <w:pPr>
        <w:spacing w:before="360" w:after="240"/>
        <w:jc w:val="center"/>
        <w:rPr>
          <w:rFonts w:ascii="Arial" w:hAnsi="Arial" w:cs="Arial"/>
          <w:color w:val="000000" w:themeColor="text1"/>
          <w:sz w:val="22"/>
          <w:szCs w:val="22"/>
          <w:lang w:val="es-419"/>
        </w:rPr>
      </w:pPr>
      <w:r w:rsidRPr="00932644">
        <w:rPr>
          <w:rFonts w:ascii="Arial" w:hAnsi="Arial"/>
          <w:b/>
          <w:bCs/>
          <w:color w:val="000000" w:themeColor="text1"/>
          <w:sz w:val="22"/>
          <w:szCs w:val="22"/>
          <w:lang w:val="es-419"/>
        </w:rPr>
        <w:t>ANEXO</w:t>
      </w:r>
    </w:p>
    <w:p w14:paraId="202EAF7B" w14:textId="77777777" w:rsidR="00895992" w:rsidRPr="00932644" w:rsidRDefault="00895992" w:rsidP="00895992">
      <w:pPr>
        <w:shd w:val="clear" w:color="auto" w:fill="FFFFFF"/>
        <w:spacing w:after="120"/>
        <w:jc w:val="center"/>
        <w:rPr>
          <w:rFonts w:ascii="Arial" w:hAnsi="Arial" w:cs="Arial"/>
          <w:color w:val="000000" w:themeColor="text1"/>
          <w:sz w:val="22"/>
          <w:szCs w:val="22"/>
          <w:lang w:val="es-419"/>
        </w:rPr>
      </w:pPr>
      <w:r w:rsidRPr="00932644">
        <w:rPr>
          <w:rFonts w:ascii="Arial" w:hAnsi="Arial"/>
          <w:b/>
          <w:bCs/>
          <w:color w:val="000000" w:themeColor="text1"/>
          <w:sz w:val="22"/>
          <w:szCs w:val="22"/>
          <w:lang w:val="es-419"/>
        </w:rPr>
        <w:t>Principios y modalidades operacionales para la salvaguardia del patrimonio cultural inmaterial en situaciones de emergencia</w:t>
      </w:r>
    </w:p>
    <w:p w14:paraId="3A0EB443" w14:textId="77777777" w:rsidR="00895992" w:rsidRPr="00932644" w:rsidRDefault="00895992" w:rsidP="00895992">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El patrimonio cultural inmaterial se está viendo cada vez más afectado en todos los lugares del mundo por situaciones de emergencia, entre las que se incluyen conflictos y desastres provocados por peligros naturales (“desastres naturales”) o de origen humano. Estas situaciones incluyen amenazas a la transmisión y viabilidad del patrimonio cultural inmaterial, las cuales proporcionan una base para la identidad y el bienestar de las comunidades, los grupos y las personas [en adelante, las “comunidades”]. La salvaguardia del patrimonio cultural inmaterial desempeña una doble función en el contexto de las situaciones de emergencia: por un lado, el patrimonio cultural inmaterial puede verse amenazado directamente por situaciones de emergencia, y, por otro lado, también puede ayudar de forma eficaz a las comunidades a preparase para dar respuesta a las situaciones de emergencia y recuperarse de ellas.</w:t>
      </w:r>
    </w:p>
    <w:p w14:paraId="6126391E" w14:textId="09BFA3EC" w:rsidR="00895992" w:rsidRPr="00932644" w:rsidRDefault="00895992" w:rsidP="00895992">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 xml:space="preserve">Las situaciones de emergencia presentan un campo complejo de operación debido a la variedad de naturaleza y escala de los conflictos armados y los desastres naturales, así como a la variedad de partes interesadas involucradas. Los siguientes principios y las modalidades operacionales ofrecen una orientación a los Estados </w:t>
      </w:r>
      <w:r w:rsidR="004E61D8" w:rsidRPr="00932644">
        <w:rPr>
          <w:rFonts w:ascii="Arial" w:hAnsi="Arial"/>
          <w:color w:val="000000" w:themeColor="text1"/>
          <w:sz w:val="22"/>
          <w:szCs w:val="22"/>
          <w:lang w:val="es-419"/>
        </w:rPr>
        <w:t>P</w:t>
      </w:r>
      <w:r w:rsidRPr="00932644">
        <w:rPr>
          <w:rFonts w:ascii="Arial" w:hAnsi="Arial"/>
          <w:color w:val="000000" w:themeColor="text1"/>
          <w:sz w:val="22"/>
          <w:szCs w:val="22"/>
          <w:lang w:val="es-419"/>
        </w:rPr>
        <w:t>artes y otras partes interesadas pertinentes en las esferas nacional e internacional sobre la mejor manera de garantizar que el patrimonio cultural inmaterial sea involucrado y salvaguardado de la forma más eficaz en el contexto de distintos tipos de situaciones de emergencia.</w:t>
      </w:r>
    </w:p>
    <w:p w14:paraId="126A1861" w14:textId="77777777" w:rsidR="00895992" w:rsidRPr="00932644" w:rsidRDefault="00895992" w:rsidP="00895992">
      <w:pPr>
        <w:spacing w:after="240"/>
        <w:jc w:val="both"/>
        <w:rPr>
          <w:rFonts w:ascii="Arial" w:hAnsi="Arial" w:cs="Arial"/>
          <w:sz w:val="22"/>
          <w:szCs w:val="22"/>
          <w:lang w:val="es-419"/>
        </w:rPr>
      </w:pPr>
      <w:r w:rsidRPr="00932644">
        <w:rPr>
          <w:rFonts w:ascii="Arial" w:hAnsi="Arial"/>
          <w:sz w:val="22"/>
          <w:szCs w:val="22"/>
          <w:lang w:val="es-419"/>
        </w:rPr>
        <w:t xml:space="preserve">Los principios y las modalidades operacionales que se presentan a continuación son conformes con la </w:t>
      </w:r>
      <w:hyperlink r:id="rId29" w:history="1">
        <w:r w:rsidRPr="00932644">
          <w:rPr>
            <w:rStyle w:val="Lienhypertexte"/>
            <w:rFonts w:ascii="Arial" w:hAnsi="Arial"/>
            <w:sz w:val="22"/>
            <w:szCs w:val="22"/>
            <w:lang w:val="es-419"/>
          </w:rPr>
          <w:t>Estrategia para reforzar la labor de la UNESCO en materia de protección de la cultura y promoción del pluralismo cultural en caso de conflicto armado</w:t>
        </w:r>
      </w:hyperlink>
      <w:r w:rsidRPr="00932644">
        <w:rPr>
          <w:rStyle w:val="Appelnotedebasdep"/>
          <w:rFonts w:ascii="Arial" w:eastAsia="MS Mincho" w:hAnsi="Arial" w:cs="Arial"/>
          <w:sz w:val="22"/>
          <w:szCs w:val="22"/>
          <w:lang w:val="es-419"/>
        </w:rPr>
        <w:footnoteReference w:id="2"/>
      </w:r>
      <w:r w:rsidRPr="00932644">
        <w:rPr>
          <w:rFonts w:ascii="Arial" w:hAnsi="Arial"/>
          <w:sz w:val="22"/>
          <w:szCs w:val="22"/>
          <w:lang w:val="es-419"/>
        </w:rPr>
        <w:t xml:space="preserve"> y su </w:t>
      </w:r>
      <w:hyperlink r:id="rId30" w:history="1">
        <w:proofErr w:type="spellStart"/>
        <w:r w:rsidRPr="00932644">
          <w:rPr>
            <w:rStyle w:val="Lienhypertexte"/>
            <w:rFonts w:ascii="Arial" w:hAnsi="Arial"/>
            <w:sz w:val="22"/>
            <w:szCs w:val="22"/>
            <w:lang w:val="es-419"/>
          </w:rPr>
          <w:t>addendum</w:t>
        </w:r>
        <w:proofErr w:type="spellEnd"/>
        <w:r w:rsidRPr="00932644">
          <w:rPr>
            <w:rStyle w:val="Lienhypertexte"/>
            <w:rFonts w:ascii="Arial" w:hAnsi="Arial"/>
            <w:sz w:val="22"/>
            <w:szCs w:val="22"/>
            <w:lang w:val="es-419"/>
          </w:rPr>
          <w:t xml:space="preserve"> relativo a las situaciones de emergencia vinculadas a desastres provocados por peligros naturales o de origen humano</w:t>
        </w:r>
      </w:hyperlink>
      <w:r w:rsidRPr="00932644">
        <w:rPr>
          <w:rFonts w:ascii="Arial" w:hAnsi="Arial"/>
          <w:sz w:val="22"/>
          <w:szCs w:val="22"/>
          <w:lang w:val="es-419"/>
        </w:rPr>
        <w:t>,</w:t>
      </w:r>
      <w:r w:rsidRPr="00932644">
        <w:rPr>
          <w:rStyle w:val="Appelnotedebasdep"/>
          <w:rFonts w:ascii="Arial" w:eastAsia="MS Mincho" w:hAnsi="Arial" w:cs="Arial"/>
          <w:sz w:val="22"/>
          <w:szCs w:val="22"/>
          <w:lang w:val="es-419"/>
        </w:rPr>
        <w:footnoteReference w:id="3"/>
      </w:r>
      <w:r w:rsidRPr="00932644">
        <w:rPr>
          <w:rFonts w:ascii="Arial" w:hAnsi="Arial"/>
          <w:sz w:val="22"/>
          <w:szCs w:val="22"/>
          <w:lang w:val="es-419"/>
        </w:rPr>
        <w:t xml:space="preserve"> así como a la resolución 2347 (2017) del Consejo de Seguridad de las Naciones Unidas Asimismo. Ellos deberán considerarse en combinación con las disposiciones relevantes de la Convención de 2003 para la Salvaguardia del Patrimonio Cultural Inmaterial y sus Directrices Operativas, especialmente el </w:t>
      </w:r>
      <w:hyperlink r:id="rId31" w:history="1">
        <w:r w:rsidRPr="00932644">
          <w:rPr>
            <w:rStyle w:val="Lienhypertexte"/>
            <w:rFonts w:ascii="Arial" w:hAnsi="Arial"/>
            <w:sz w:val="22"/>
            <w:szCs w:val="22"/>
            <w:lang w:val="es-419"/>
          </w:rPr>
          <w:t>capítulo VI</w:t>
        </w:r>
        <w:r w:rsidRPr="00932644">
          <w:rPr>
            <w:rStyle w:val="Appelnotedebasdep"/>
            <w:rFonts w:ascii="Arial" w:eastAsia="MS Mincho" w:hAnsi="Arial" w:cs="Arial"/>
            <w:sz w:val="22"/>
            <w:szCs w:val="22"/>
            <w:lang w:val="es-419"/>
          </w:rPr>
          <w:footnoteReference w:id="4"/>
        </w:r>
        <w:r w:rsidRPr="00932644">
          <w:rPr>
            <w:rStyle w:val="Lienhypertexte"/>
            <w:rFonts w:ascii="Arial" w:hAnsi="Arial"/>
            <w:sz w:val="22"/>
            <w:szCs w:val="22"/>
            <w:lang w:val="es-419"/>
          </w:rPr>
          <w:t xml:space="preserve">, que trata sobre la salvaguardia del patrimonio cultural inmaterial y el </w:t>
        </w:r>
        <w:r w:rsidRPr="00932644">
          <w:rPr>
            <w:rStyle w:val="Lienhypertexte"/>
            <w:rFonts w:ascii="Arial" w:hAnsi="Arial"/>
            <w:sz w:val="22"/>
            <w:szCs w:val="22"/>
            <w:lang w:val="es-419"/>
          </w:rPr>
          <w:lastRenderedPageBreak/>
          <w:t>desarrollo sostenible a nivel nacional</w:t>
        </w:r>
      </w:hyperlink>
      <w:r w:rsidRPr="00932644">
        <w:rPr>
          <w:rFonts w:ascii="Arial" w:hAnsi="Arial"/>
          <w:sz w:val="22"/>
          <w:szCs w:val="22"/>
          <w:lang w:val="es-419"/>
        </w:rPr>
        <w:t>, así como los Principios Éticos para la Salvaguardia del Patrimonio Cultural Inmaterial.</w:t>
      </w:r>
    </w:p>
    <w:p w14:paraId="0B360AF9" w14:textId="77777777" w:rsidR="00895992" w:rsidRPr="00932644" w:rsidRDefault="00895992" w:rsidP="00895992">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b/>
          <w:bCs/>
          <w:color w:val="000000" w:themeColor="text1"/>
          <w:sz w:val="22"/>
          <w:szCs w:val="22"/>
          <w:u w:val="single"/>
          <w:lang w:val="es-419"/>
        </w:rPr>
        <w:t>Principios</w:t>
      </w:r>
    </w:p>
    <w:p w14:paraId="334F9BBE" w14:textId="77777777" w:rsidR="00895992" w:rsidRPr="00932644" w:rsidRDefault="00895992" w:rsidP="00895992">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Los siguientes principios deben sentar las bases de todas las intervenciones cuyo objetivo sea salvaguardar o involucrar el patrimonio cultural inmaterial en situaciones de emergencia:</w:t>
      </w:r>
    </w:p>
    <w:p w14:paraId="1016A516" w14:textId="77777777" w:rsidR="00895992" w:rsidRPr="00932644" w:rsidRDefault="00895992" w:rsidP="00895992">
      <w:pPr>
        <w:numPr>
          <w:ilvl w:val="0"/>
          <w:numId w:val="61"/>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El patrimonio cultural inmaterial solo existe gracias a la promulgación por parte de las comunidades que lo practican y lo transmiten, y es inseparable de su contexto social, cultural y económico. Por tanto, su salvaguardia no se puede separar de la protección de las vidas y el bienestar de sus portadores.</w:t>
      </w:r>
    </w:p>
    <w:p w14:paraId="4FC80765" w14:textId="77777777" w:rsidR="00895992" w:rsidRPr="00932644" w:rsidRDefault="00895992" w:rsidP="00895992">
      <w:pPr>
        <w:numPr>
          <w:ilvl w:val="0"/>
          <w:numId w:val="61"/>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Las comunidades cuyo patrimonio cultural inmaterial puede verse afectado por una emergencia incluyen a las personas que provienen de zonas afectadas por desastres naturales o conflictos armados, personas desplazadas y sus comunidades de acogida, así como otras personas y grupos relacionados con este patrimonio cultural inmaterial.</w:t>
      </w:r>
    </w:p>
    <w:p w14:paraId="47D095B1" w14:textId="77777777" w:rsidR="00895992" w:rsidRPr="00932644" w:rsidRDefault="00895992" w:rsidP="00895992">
      <w:pPr>
        <w:numPr>
          <w:ilvl w:val="0"/>
          <w:numId w:val="61"/>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Durante todas las fases de la situación de emergencia, las comunidades deben desempeñar el papel principal en la identificación de su patrimonio cultural inmaterial. Esto requiere la inclusión directa de las comunidades en la identificación de la forma en que la emergencia puede afectar a su patrimonio cultural inmaterial y las medidas que se necesitan para salvaguardarlo, así como la forma en la que pueden aprovechar ese patrimonio como recurso para potenciar la resiliencia y facilitar de esa manera la recuperación y el restablecimiento de la confianza y la coexistencia pacífica dentro de las comunidades y entre ellas.</w:t>
      </w:r>
    </w:p>
    <w:p w14:paraId="280B85A3" w14:textId="5D80358E" w:rsidR="00895992" w:rsidRPr="00932644" w:rsidRDefault="00895992" w:rsidP="00895992">
      <w:pPr>
        <w:numPr>
          <w:ilvl w:val="0"/>
          <w:numId w:val="61"/>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 xml:space="preserve">En referencia al artículo 11 de la Convención, los Estados </w:t>
      </w:r>
      <w:r w:rsidR="004E61D8" w:rsidRPr="00932644">
        <w:rPr>
          <w:rFonts w:ascii="Arial" w:hAnsi="Arial"/>
          <w:color w:val="000000" w:themeColor="text1"/>
          <w:sz w:val="22"/>
          <w:szCs w:val="22"/>
          <w:lang w:val="es-419"/>
        </w:rPr>
        <w:t>P</w:t>
      </w:r>
      <w:r w:rsidRPr="00932644">
        <w:rPr>
          <w:rFonts w:ascii="Arial" w:hAnsi="Arial"/>
          <w:color w:val="000000" w:themeColor="text1"/>
          <w:sz w:val="22"/>
          <w:szCs w:val="22"/>
          <w:lang w:val="es-419"/>
        </w:rPr>
        <w:t xml:space="preserve">artes tomarán las medidas necesarias para asegurar la salvaguardia del patrimonio cultural inmaterial presente en su territorio. Esta disposición se aplica en todos los contextos, también en los que el patrimonio cultural inmaterial se vea afectado por una situación de emergencia. Al llevar a cabo estas medidas, los Estados </w:t>
      </w:r>
      <w:r w:rsidR="004E61D8" w:rsidRPr="00932644">
        <w:rPr>
          <w:rFonts w:ascii="Arial" w:hAnsi="Arial"/>
          <w:color w:val="000000" w:themeColor="text1"/>
          <w:sz w:val="22"/>
          <w:szCs w:val="22"/>
          <w:lang w:val="es-419"/>
        </w:rPr>
        <w:t>P</w:t>
      </w:r>
      <w:r w:rsidRPr="00932644">
        <w:rPr>
          <w:rFonts w:ascii="Arial" w:hAnsi="Arial"/>
          <w:color w:val="000000" w:themeColor="text1"/>
          <w:sz w:val="22"/>
          <w:szCs w:val="22"/>
          <w:lang w:val="es-419"/>
        </w:rPr>
        <w:t>artes se comprometerán a asegurar la más amplia participación posible de las comunidades en las medidas de salvaguardia, incluidos los refugiados, las personas desplazadas en su propio país y los migrantes presentes en sus territorios.</w:t>
      </w:r>
    </w:p>
    <w:p w14:paraId="5D128BFD" w14:textId="77777777" w:rsidR="00895992" w:rsidRPr="00932644" w:rsidRDefault="00895992" w:rsidP="00895992">
      <w:pPr>
        <w:numPr>
          <w:ilvl w:val="0"/>
          <w:numId w:val="61"/>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Las partes interesadas en las esferas nacional e internacional involucradas en la gestión de la emergencia, entre las que se incluyen especialistas de preparación y socorro en caso de desastres, agentes humanitarios, organizaciones no gubernamentales y fuerzas armadas, desempeñan un papel importante en la salvaguardia del patrimonio cultural inmaterial y en el apoyo a las comunidades afectadas a la hora de aprovechar este patrimonio para prepararse y responder ante las situaciones de emergencia.</w:t>
      </w:r>
    </w:p>
    <w:p w14:paraId="2B915795" w14:textId="77777777" w:rsidR="00895992" w:rsidRPr="00932644" w:rsidRDefault="00895992" w:rsidP="00895992">
      <w:pPr>
        <w:numPr>
          <w:ilvl w:val="0"/>
          <w:numId w:val="61"/>
        </w:numPr>
        <w:shd w:val="clear" w:color="auto" w:fill="FFFFFF"/>
        <w:spacing w:before="100" w:beforeAutospacing="1" w:after="240"/>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El patrimonio cultural inmaterial es dinámico y adaptable por naturaleza, sometido a una continua recreación por parte de las comunidades como respuesta a su entorno, a su interacción con la naturaleza y a su historia, así como a las situaciones de emergencia. En todas las situaciones, los esfuerzos por salvaguardar o involucrar el patrimonio cultural inmaterial deben tener en cuenta y respetar esta naturaleza dinámica y adaptable.</w:t>
      </w:r>
    </w:p>
    <w:p w14:paraId="01D9AD79" w14:textId="77777777" w:rsidR="00895992" w:rsidRPr="00932644" w:rsidRDefault="00895992" w:rsidP="00895992">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b/>
          <w:bCs/>
          <w:color w:val="000000" w:themeColor="text1"/>
          <w:sz w:val="22"/>
          <w:szCs w:val="22"/>
          <w:u w:val="single"/>
          <w:lang w:val="es-419"/>
        </w:rPr>
        <w:t>Modalidades</w:t>
      </w:r>
    </w:p>
    <w:p w14:paraId="16E0B33B" w14:textId="77777777" w:rsidR="00895992" w:rsidRPr="00932644" w:rsidRDefault="00895992" w:rsidP="00895992">
      <w:pPr>
        <w:pStyle w:val="NormalWeb"/>
        <w:shd w:val="clear" w:color="auto" w:fill="FFFFFF"/>
        <w:spacing w:before="0" w:beforeAutospacing="0" w:after="240" w:afterAutospacing="0"/>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Las siguientes modalidades integran los principios mencionados anteriormente e identifican las medidas adecuadas para las tres fases del ciclo de gestión de emergencias (preparación, respuesta y recuperación), teniendo en cuenta que la duración de cada fase puede variar y que las fases se pueden solapar unas a otras. Las circunstancias y condiciones locales determinarán cuáles de estas medidas serán más relevantes y apropiadas para cada elemento o situación particular del patrimonio cultural inmaterial.</w:t>
      </w:r>
    </w:p>
    <w:p w14:paraId="4548A1B9" w14:textId="77777777" w:rsidR="00895992" w:rsidRPr="00932644" w:rsidRDefault="00895992" w:rsidP="001D2C04">
      <w:pPr>
        <w:pStyle w:val="NormalWeb"/>
        <w:keepNext/>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b/>
          <w:bCs/>
          <w:color w:val="000000" w:themeColor="text1"/>
          <w:sz w:val="22"/>
          <w:szCs w:val="22"/>
          <w:lang w:val="es-419"/>
        </w:rPr>
        <w:lastRenderedPageBreak/>
        <w:t>Preparación</w:t>
      </w:r>
    </w:p>
    <w:p w14:paraId="0E710509" w14:textId="77777777" w:rsidR="00895992" w:rsidRPr="00932644" w:rsidRDefault="00895992" w:rsidP="00895992">
      <w:pPr>
        <w:numPr>
          <w:ilvl w:val="0"/>
          <w:numId w:val="62"/>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Concienciar y fortalecer las capacidades de las partes interesadas pertinentes con respecto a la doble naturaleza del patrimonio cultural inmaterial en situaciones de emergencia y a los presentes principios y modalidades.</w:t>
      </w:r>
    </w:p>
    <w:p w14:paraId="20DAE10B" w14:textId="77777777" w:rsidR="00895992" w:rsidRPr="00932644" w:rsidRDefault="00895992" w:rsidP="00895992">
      <w:pPr>
        <w:numPr>
          <w:ilvl w:val="0"/>
          <w:numId w:val="62"/>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Proporcionar recursos y asistencia para que las comunidades se puedan involucrar en todos los aspectos de reducción del riesgo y preparación para situaciones de emergencia mediante consulta con otras partes interesadas, especialmente en las regiones y países más propensos a sufrir situaciones de emergencia.</w:t>
      </w:r>
    </w:p>
    <w:p w14:paraId="07F8345F" w14:textId="77777777" w:rsidR="00895992" w:rsidRPr="00932644" w:rsidRDefault="00895992" w:rsidP="00895992">
      <w:pPr>
        <w:numPr>
          <w:ilvl w:val="0"/>
          <w:numId w:val="62"/>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Integrar en los inventarios del patrimonio cultural inmaterial, como se prevé en la Convención de 2003, la información sobre la vulnerabilidad de ciertos elementos frente a las potenciales emergencias. Esto debe incluir la capacidad de mitigación de estos elementos, así como la información de los lugares y comunidades afectados para facilitar la identificación y el acceso durante la respuesta a la situación de emergencia.</w:t>
      </w:r>
    </w:p>
    <w:p w14:paraId="57FDDE07" w14:textId="67FA6C5C" w:rsidR="00895992" w:rsidRPr="00932644" w:rsidRDefault="00895992" w:rsidP="00895992">
      <w:pPr>
        <w:numPr>
          <w:ilvl w:val="0"/>
          <w:numId w:val="62"/>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Incluir la preparación frente a situaciones de emergencia en los planes de salvaguardia de elementos específicos, lo que puede comprender: las medidas preventivas que subsanen la vulnerabilidad potencial de los elementos durante una situación de emergencia, las medidas preparatorias que potencien e involucren sus capacidades de mitigación y las metodologías que evalúen la situación de los elementos durante la fase de respuesta a la emergencia.</w:t>
      </w:r>
    </w:p>
    <w:p w14:paraId="413B9141" w14:textId="77777777" w:rsidR="00895992" w:rsidRPr="00932644" w:rsidRDefault="00895992" w:rsidP="00895992">
      <w:pPr>
        <w:numPr>
          <w:ilvl w:val="0"/>
          <w:numId w:val="62"/>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Incorporar el patrimonio cultural inmaterial relevante en los programas de reducción de riesgo local, nacional, subregional y regional y en la preparación frente a la situación de emergencia.</w:t>
      </w:r>
    </w:p>
    <w:p w14:paraId="254034DF" w14:textId="77777777" w:rsidR="00895992" w:rsidRPr="00932644" w:rsidRDefault="00895992" w:rsidP="00895992">
      <w:pPr>
        <w:numPr>
          <w:ilvl w:val="0"/>
          <w:numId w:val="62"/>
        </w:numPr>
        <w:shd w:val="clear" w:color="auto" w:fill="FFFFFF"/>
        <w:spacing w:before="100" w:beforeAutospacing="1" w:after="240"/>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Establecer vínculos entre los órganos de salvaguardia del patrimonio cultural inmaterial y aquellos responsables de la preparación frente a situaciones de emergencia.</w:t>
      </w:r>
    </w:p>
    <w:p w14:paraId="2B3902B7" w14:textId="77777777" w:rsidR="00895992" w:rsidRPr="00932644" w:rsidRDefault="00895992" w:rsidP="00895992">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b/>
          <w:bCs/>
          <w:color w:val="000000" w:themeColor="text1"/>
          <w:sz w:val="22"/>
          <w:szCs w:val="22"/>
          <w:lang w:val="es-419"/>
        </w:rPr>
        <w:t>Respuesta</w:t>
      </w:r>
    </w:p>
    <w:p w14:paraId="4529E6B2" w14:textId="77777777" w:rsidR="00895992" w:rsidRPr="00932644" w:rsidRDefault="00895992" w:rsidP="00895992">
      <w:pPr>
        <w:numPr>
          <w:ilvl w:val="0"/>
          <w:numId w:val="63"/>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Identificar, localizar y contactar, tan pronto como sea posible, a las comunidades cuyo patrimonio cultural inmaterial esté o pueda verse afectado por una situación de emergencia.</w:t>
      </w:r>
    </w:p>
    <w:p w14:paraId="738407B0" w14:textId="54B972F4" w:rsidR="00895992" w:rsidRPr="00932644" w:rsidRDefault="00895992" w:rsidP="00895992">
      <w:pPr>
        <w:numPr>
          <w:ilvl w:val="0"/>
          <w:numId w:val="63"/>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Priorizar la dotación de recursos y el fortalecimiento de capacidades de las comunidades afectadas para que puedan ellas mismas identificar y solventar</w:t>
      </w:r>
      <w:r w:rsidR="005C0AFB" w:rsidRPr="00932644">
        <w:rPr>
          <w:rFonts w:ascii="Arial" w:hAnsi="Arial"/>
          <w:color w:val="000000" w:themeColor="text1"/>
          <w:sz w:val="22"/>
          <w:szCs w:val="22"/>
          <w:lang w:val="es-419"/>
        </w:rPr>
        <w:t xml:space="preserve"> </w:t>
      </w:r>
      <w:r w:rsidRPr="00932644">
        <w:rPr>
          <w:rFonts w:ascii="Arial" w:hAnsi="Arial"/>
          <w:color w:val="000000" w:themeColor="text1"/>
          <w:sz w:val="22"/>
          <w:szCs w:val="22"/>
          <w:lang w:val="es-419"/>
        </w:rPr>
        <w:t>sus necesidades inmediatas de salvaguardia, así como aprovechar su patrimonio cultural inmaterial para mitigar los efectos inmediatos de la situación de emergencia (identificación de necesidades con la participación de comunidades). En algunos contextos, solo será posible aplicar este conjunto de medidas durante la fase de recuperación.</w:t>
      </w:r>
    </w:p>
    <w:p w14:paraId="2B27E0A7" w14:textId="66D752EA" w:rsidR="00895992" w:rsidRPr="00932644" w:rsidRDefault="00895992" w:rsidP="00895992">
      <w:pPr>
        <w:numPr>
          <w:ilvl w:val="0"/>
          <w:numId w:val="63"/>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 xml:space="preserve">Compartir información dentro de los Estados </w:t>
      </w:r>
      <w:r w:rsidR="004E61D8" w:rsidRPr="00932644">
        <w:rPr>
          <w:rFonts w:ascii="Arial" w:hAnsi="Arial"/>
          <w:color w:val="000000" w:themeColor="text1"/>
          <w:sz w:val="22"/>
          <w:szCs w:val="22"/>
          <w:lang w:val="es-419"/>
        </w:rPr>
        <w:t>P</w:t>
      </w:r>
      <w:r w:rsidRPr="00932644">
        <w:rPr>
          <w:rFonts w:ascii="Arial" w:hAnsi="Arial"/>
          <w:color w:val="000000" w:themeColor="text1"/>
          <w:sz w:val="22"/>
          <w:szCs w:val="22"/>
          <w:lang w:val="es-419"/>
        </w:rPr>
        <w:t>artes afectados,</w:t>
      </w:r>
      <w:r w:rsidR="005C0AFB" w:rsidRPr="00932644">
        <w:rPr>
          <w:rFonts w:ascii="Arial" w:hAnsi="Arial"/>
          <w:color w:val="000000" w:themeColor="text1"/>
          <w:sz w:val="22"/>
          <w:szCs w:val="22"/>
          <w:lang w:val="es-419"/>
        </w:rPr>
        <w:t xml:space="preserve"> </w:t>
      </w:r>
      <w:r w:rsidRPr="00932644">
        <w:rPr>
          <w:rFonts w:ascii="Arial" w:hAnsi="Arial"/>
          <w:color w:val="000000" w:themeColor="text1"/>
          <w:sz w:val="22"/>
          <w:szCs w:val="22"/>
          <w:lang w:val="es-419"/>
        </w:rPr>
        <w:t>entre ellos, y con otras partes interesadas, en particular los agentes comunitarios, las organizaciones no gubernamentales pertinentes y las fuerzas armadas, para determinar la naturaleza y el alcance de la perturbación al patrimonio cultural inmaterial y el ámbito para su contribución en la mitigación de los efectos de la situación de emergencia. De esta manera, también se garantiza que las operaciones de socorro tengan en cuenta por completo el patrimonio cultural inmaterial existente y que contribuyan a su salvaguardia.</w:t>
      </w:r>
    </w:p>
    <w:p w14:paraId="33E227EE" w14:textId="0C53ADB9" w:rsidR="00895992" w:rsidRPr="00932644" w:rsidRDefault="00895992" w:rsidP="00895992">
      <w:pPr>
        <w:numPr>
          <w:ilvl w:val="0"/>
          <w:numId w:val="63"/>
        </w:numPr>
        <w:shd w:val="clear" w:color="auto" w:fill="FFFFFF"/>
        <w:spacing w:before="100" w:beforeAutospacing="1" w:after="240"/>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 xml:space="preserve">Garantizar que el patrimonio cultural inmaterial </w:t>
      </w:r>
      <w:r w:rsidR="00216191" w:rsidRPr="00932644">
        <w:rPr>
          <w:rFonts w:ascii="Arial" w:hAnsi="Arial"/>
          <w:color w:val="000000" w:themeColor="text1"/>
          <w:sz w:val="22"/>
          <w:szCs w:val="22"/>
          <w:lang w:val="es-419"/>
        </w:rPr>
        <w:t xml:space="preserve">sea incorporado </w:t>
      </w:r>
      <w:r w:rsidRPr="00932644">
        <w:rPr>
          <w:rFonts w:ascii="Arial" w:hAnsi="Arial"/>
          <w:color w:val="000000" w:themeColor="text1"/>
          <w:sz w:val="22"/>
          <w:szCs w:val="22"/>
          <w:lang w:val="es-419"/>
        </w:rPr>
        <w:t xml:space="preserve">siempre que se lleve a cabo una evaluación de necesidades posteriores a un desastre o un conflicto, especialmente en el marco de mecanismos </w:t>
      </w:r>
      <w:r w:rsidR="00216191" w:rsidRPr="00932644">
        <w:rPr>
          <w:rFonts w:ascii="Arial" w:hAnsi="Arial"/>
          <w:color w:val="000000" w:themeColor="text1"/>
          <w:sz w:val="22"/>
          <w:szCs w:val="22"/>
          <w:lang w:val="es-419"/>
        </w:rPr>
        <w:t xml:space="preserve">multilaterales </w:t>
      </w:r>
      <w:r w:rsidRPr="00932644">
        <w:rPr>
          <w:rFonts w:ascii="Arial" w:hAnsi="Arial"/>
          <w:color w:val="000000" w:themeColor="text1"/>
          <w:sz w:val="22"/>
          <w:szCs w:val="22"/>
          <w:lang w:val="es-419"/>
        </w:rPr>
        <w:t>de respuestas a situaciones de crisis internacionales. Involucrar a las comunidades en la evaluación de los efectos que un desastre natural o un conflicto armado han tenido en su patrimonio cultural inmaterial, así como en la evaluación de los perjuicios y las pérdidas económicas relacionadas y de las repercusiones en el desarrollo humano.</w:t>
      </w:r>
    </w:p>
    <w:p w14:paraId="0622B752" w14:textId="77777777" w:rsidR="00895992" w:rsidRPr="00932644" w:rsidRDefault="00895992" w:rsidP="001D2C04">
      <w:pPr>
        <w:pStyle w:val="NormalWeb"/>
        <w:keepNext/>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b/>
          <w:bCs/>
          <w:color w:val="000000" w:themeColor="text1"/>
          <w:sz w:val="22"/>
          <w:szCs w:val="22"/>
          <w:lang w:val="es-419"/>
        </w:rPr>
        <w:lastRenderedPageBreak/>
        <w:t>Recuperación</w:t>
      </w:r>
    </w:p>
    <w:p w14:paraId="7CDF80CE" w14:textId="5FF6B42F" w:rsidR="00895992" w:rsidRPr="00932644" w:rsidRDefault="00895992" w:rsidP="00895992">
      <w:pPr>
        <w:numPr>
          <w:ilvl w:val="0"/>
          <w:numId w:val="64"/>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Identificar las necesidades con la participación de las comunidades, en el caso de que no se haya podido realizar antes.</w:t>
      </w:r>
    </w:p>
    <w:p w14:paraId="255D4BA2" w14:textId="77777777" w:rsidR="00895992" w:rsidRPr="00932644" w:rsidRDefault="00895992" w:rsidP="00895992">
      <w:pPr>
        <w:numPr>
          <w:ilvl w:val="0"/>
          <w:numId w:val="64"/>
        </w:numPr>
        <w:shd w:val="clear" w:color="auto" w:fill="FFFFFF"/>
        <w:spacing w:before="100" w:beforeAutospacing="1" w:after="75"/>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En función de los resultados del proceso de identificación de necesidades, proporcionar a las comunidades los recursos y la asistencia para que desarrollen y adopten las medidas o los planes de salvaguardia con el fin de mejorar la capacidad de mitigación de su patrimonio cultural inmaterial. Esta participación debe mantenerse a lo largo de la fase de recuperación y en la siguiente fase de preparación, así como en la transición de un estado de dependencia en la asistencia humanitaria hacia una situación de desarrollo.</w:t>
      </w:r>
    </w:p>
    <w:p w14:paraId="072B55CE" w14:textId="77777777" w:rsidR="00895992" w:rsidRPr="00932644" w:rsidRDefault="00895992" w:rsidP="00895992">
      <w:pPr>
        <w:numPr>
          <w:ilvl w:val="0"/>
          <w:numId w:val="64"/>
        </w:numPr>
        <w:shd w:val="clear" w:color="auto" w:fill="FFFFFF"/>
        <w:spacing w:before="100" w:beforeAutospacing="1" w:after="240"/>
        <w:jc w:val="both"/>
        <w:rPr>
          <w:rFonts w:ascii="Arial" w:hAnsi="Arial" w:cs="Arial"/>
          <w:color w:val="000000" w:themeColor="text1"/>
          <w:sz w:val="22"/>
          <w:szCs w:val="22"/>
          <w:lang w:val="es-419"/>
        </w:rPr>
      </w:pPr>
      <w:r w:rsidRPr="00932644">
        <w:rPr>
          <w:rFonts w:ascii="Arial" w:hAnsi="Arial"/>
          <w:color w:val="000000" w:themeColor="text1"/>
          <w:sz w:val="22"/>
          <w:szCs w:val="22"/>
          <w:lang w:val="es-419"/>
        </w:rPr>
        <w:t>Incluir el patrimonio cultural inmaterial en el fomento del diálogo, del entendimiento mutuo y de la reconciliación dentro de comunidades y entre ellas, incluidas las poblaciones desplazadas y sus comunidades de acogida.</w:t>
      </w:r>
    </w:p>
    <w:p w14:paraId="24876C0C" w14:textId="77777777" w:rsidR="00895992" w:rsidRPr="00932644" w:rsidRDefault="00895992" w:rsidP="00895992">
      <w:pPr>
        <w:pStyle w:val="NormalWeb"/>
        <w:shd w:val="clear" w:color="auto" w:fill="FFFFFF"/>
        <w:spacing w:before="0" w:beforeAutospacing="0" w:after="150" w:afterAutospacing="0"/>
        <w:jc w:val="both"/>
        <w:rPr>
          <w:rFonts w:ascii="Arial" w:hAnsi="Arial" w:cs="Arial"/>
          <w:color w:val="000000" w:themeColor="text1"/>
          <w:sz w:val="22"/>
          <w:szCs w:val="22"/>
          <w:lang w:val="es-419"/>
        </w:rPr>
      </w:pPr>
      <w:r w:rsidRPr="00932644">
        <w:rPr>
          <w:rFonts w:ascii="Arial" w:hAnsi="Arial"/>
          <w:b/>
          <w:bCs/>
          <w:color w:val="000000" w:themeColor="text1"/>
          <w:sz w:val="22"/>
          <w:szCs w:val="22"/>
          <w:lang w:val="es-419"/>
        </w:rPr>
        <w:t>Nota</w:t>
      </w:r>
      <w:r w:rsidRPr="00932644">
        <w:rPr>
          <w:rFonts w:ascii="Arial" w:hAnsi="Arial"/>
          <w:color w:val="000000" w:themeColor="text1"/>
          <w:sz w:val="22"/>
          <w:szCs w:val="22"/>
          <w:lang w:val="es-419"/>
        </w:rPr>
        <w:t>: Los recursos y el apoyo financiero se buscarán mediante los diversos fondos relacionados con situaciones de emergencia, incluido el Fondo de Emergencia para el Patrimonio de la UNESCO y el Fondo del patrimonio cultural inmaterial (Asistencia internacional de emergencia). Los mecanismos de inscripción en las listas de la Convención de 2003 pueden ofrecer una oportunidad de promoción y mejora de la visibilidad de los elementos que contribuyen a la preparación, respuesta y recuperación de los efectos de desastres naturales o conflictos armados (la Lista Representativa del Patrimonio Cultural Inmaterial de la Humanidad, la Lista del Patrimonio Cultural Inmaterial que requiere medidas urgentes de salvaguardia y el Registro de Buenas Prácticas de Salvaguardia). Asimismo, las listas pueden llamar la atención de la comunidad internacional sobre los elementos que se ven especialmente amenazados por desastres naturales o conflictos armados (para obtener información sobre la posibilidad de acelerar el procedimiento de candidatura para la Lista del Patrimonio Cultural Inmaterial que requiere medidas urgentes de salvaguardia, véase el criterio U.6 en el capítulo I.1 de las Directrices Operativas de la Convención de 2003).</w:t>
      </w:r>
    </w:p>
    <w:p w14:paraId="7A48C247" w14:textId="59BDDEA3" w:rsidR="009663D8" w:rsidRPr="00932644" w:rsidRDefault="009663D8" w:rsidP="009663D8">
      <w:pPr>
        <w:pStyle w:val="GATitleResolution"/>
        <w:rPr>
          <w:lang w:val="es-419"/>
        </w:rPr>
      </w:pPr>
      <w:r w:rsidRPr="00932644">
        <w:rPr>
          <w:bCs/>
          <w:lang w:val="es-419"/>
        </w:rPr>
        <w:t>RESOLUCIÓN 8.GA 10</w:t>
      </w:r>
    </w:p>
    <w:p w14:paraId="5452074B" w14:textId="77777777" w:rsidR="009663D8" w:rsidRPr="00932644" w:rsidRDefault="009663D8" w:rsidP="001D2C04">
      <w:pPr>
        <w:pStyle w:val="GAPreambulaResolution"/>
        <w:ind w:left="0"/>
        <w:rPr>
          <w:rFonts w:eastAsia="SimSun"/>
          <w:lang w:val="es-419"/>
        </w:rPr>
      </w:pPr>
      <w:r w:rsidRPr="00932644">
        <w:rPr>
          <w:lang w:val="es-419"/>
        </w:rPr>
        <w:t>La Asamblea General,</w:t>
      </w:r>
    </w:p>
    <w:p w14:paraId="69EE987E" w14:textId="4EFD8D59" w:rsidR="009663D8" w:rsidRPr="00932644" w:rsidRDefault="009663D8" w:rsidP="00A4045D">
      <w:pPr>
        <w:pStyle w:val="GAParaResolution"/>
        <w:numPr>
          <w:ilvl w:val="0"/>
          <w:numId w:val="73"/>
        </w:numPr>
        <w:ind w:left="567" w:hanging="567"/>
        <w:jc w:val="left"/>
        <w:rPr>
          <w:color w:val="000000" w:themeColor="text1"/>
          <w:lang w:val="es-419"/>
        </w:rPr>
      </w:pPr>
      <w:r w:rsidRPr="00932644">
        <w:rPr>
          <w:color w:val="000000" w:themeColor="text1"/>
          <w:lang w:val="es-419"/>
        </w:rPr>
        <w:t>Habiendo examinado</w:t>
      </w:r>
      <w:r w:rsidRPr="00932644">
        <w:rPr>
          <w:color w:val="000000" w:themeColor="text1"/>
          <w:u w:val="none"/>
          <w:lang w:val="es-419"/>
        </w:rPr>
        <w:t xml:space="preserve"> el documento </w:t>
      </w:r>
      <w:hyperlink r:id="rId32" w:history="1">
        <w:r w:rsidRPr="00932644">
          <w:rPr>
            <w:rStyle w:val="Lienhypertexte"/>
            <w:lang w:val="es-419"/>
          </w:rPr>
          <w:t>LHE/20/8.GA/10</w:t>
        </w:r>
      </w:hyperlink>
      <w:r w:rsidR="000D59CD" w:rsidRPr="00932644">
        <w:rPr>
          <w:color w:val="000000" w:themeColor="text1"/>
          <w:u w:val="none"/>
          <w:lang w:val="es-419"/>
        </w:rPr>
        <w:t xml:space="preserve"> y su anexo</w:t>
      </w:r>
      <w:r w:rsidRPr="00932644">
        <w:rPr>
          <w:color w:val="000000" w:themeColor="text1"/>
          <w:u w:val="none"/>
          <w:lang w:val="es-419"/>
        </w:rPr>
        <w:t>,</w:t>
      </w:r>
    </w:p>
    <w:p w14:paraId="015D0839" w14:textId="0A4CA42C" w:rsidR="009663D8" w:rsidRPr="00932644" w:rsidRDefault="009663D8" w:rsidP="00A4045D">
      <w:pPr>
        <w:pStyle w:val="COMParaDecision"/>
        <w:numPr>
          <w:ilvl w:val="0"/>
          <w:numId w:val="4"/>
        </w:numPr>
        <w:ind w:left="567" w:hanging="567"/>
        <w:rPr>
          <w:color w:val="000000" w:themeColor="text1"/>
          <w:u w:val="none"/>
          <w:lang w:val="es-419"/>
        </w:rPr>
      </w:pPr>
      <w:r w:rsidRPr="00932644">
        <w:rPr>
          <w:color w:val="000000" w:themeColor="text1"/>
          <w:lang w:val="es-419"/>
        </w:rPr>
        <w:t>Reconoce</w:t>
      </w:r>
      <w:r w:rsidRPr="00932644">
        <w:rPr>
          <w:color w:val="000000" w:themeColor="text1"/>
          <w:u w:val="none"/>
          <w:lang w:val="es-419"/>
        </w:rPr>
        <w:t xml:space="preserve"> la experiencia positiva que el proceso de “diálogo provisional previo” del ciclo de 2019 aportó al proceso de evaluación e inscripción y </w:t>
      </w:r>
      <w:r w:rsidRPr="00932644">
        <w:rPr>
          <w:color w:val="000000" w:themeColor="text1"/>
          <w:lang w:val="es-419"/>
        </w:rPr>
        <w:t>respalda</w:t>
      </w:r>
      <w:r w:rsidRPr="00932644">
        <w:rPr>
          <w:color w:val="000000" w:themeColor="text1"/>
          <w:u w:val="none"/>
          <w:lang w:val="es-419"/>
        </w:rPr>
        <w:t xml:space="preserve"> la propuesta de incluir un proceso adicional de diálogo intermedio en el ciclo de presentación de candidaturas;</w:t>
      </w:r>
    </w:p>
    <w:p w14:paraId="69111C24" w14:textId="77777777" w:rsidR="009663D8" w:rsidRPr="00932644" w:rsidRDefault="009663D8" w:rsidP="00932644">
      <w:pPr>
        <w:pStyle w:val="COMParaDecision"/>
        <w:numPr>
          <w:ilvl w:val="0"/>
          <w:numId w:val="4"/>
        </w:numPr>
        <w:ind w:left="567" w:hanging="567"/>
        <w:rPr>
          <w:color w:val="000000" w:themeColor="text1"/>
          <w:lang w:val="es-419"/>
        </w:rPr>
      </w:pPr>
      <w:r w:rsidRPr="00932644">
        <w:rPr>
          <w:color w:val="000000" w:themeColor="text1"/>
          <w:lang w:val="es-419"/>
        </w:rPr>
        <w:t>Aprueba</w:t>
      </w:r>
      <w:r w:rsidRPr="00932644">
        <w:rPr>
          <w:color w:val="000000" w:themeColor="text1"/>
          <w:u w:val="none"/>
          <w:lang w:val="es-419"/>
        </w:rPr>
        <w:t xml:space="preserve"> las enmiendas a las Directrices Operativas que figuran en el anexo de la presente resolución.</w:t>
      </w:r>
    </w:p>
    <w:p w14:paraId="7829E8FE" w14:textId="29A8515E" w:rsidR="00976D4F" w:rsidRPr="00932644" w:rsidRDefault="00976D4F" w:rsidP="001D2C04">
      <w:pPr>
        <w:pStyle w:val="Marge"/>
        <w:spacing w:before="360"/>
        <w:jc w:val="center"/>
        <w:rPr>
          <w:rFonts w:cs="Arial"/>
          <w:iCs/>
          <w:szCs w:val="22"/>
          <w:lang w:val="es-419"/>
        </w:rPr>
      </w:pPr>
      <w:r w:rsidRPr="00932644">
        <w:rPr>
          <w:b/>
          <w:bCs/>
          <w:lang w:val="es-419"/>
        </w:rPr>
        <w:t>ANEXO</w:t>
      </w:r>
    </w:p>
    <w:tbl>
      <w:tblPr>
        <w:tblStyle w:val="Grilledutableau"/>
        <w:tblW w:w="493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697"/>
        <w:gridCol w:w="5672"/>
      </w:tblGrid>
      <w:tr w:rsidR="00A4045D" w:rsidRPr="00932644" w14:paraId="71861E40" w14:textId="77777777" w:rsidTr="00A4045D">
        <w:trPr>
          <w:jc w:val="center"/>
        </w:trPr>
        <w:tc>
          <w:tcPr>
            <w:tcW w:w="597" w:type="pct"/>
          </w:tcPr>
          <w:p w14:paraId="4B886C34" w14:textId="59396618" w:rsidR="00A4045D" w:rsidRPr="00932644" w:rsidRDefault="00A4045D" w:rsidP="00A4045D">
            <w:pPr>
              <w:tabs>
                <w:tab w:val="left" w:pos="321"/>
              </w:tabs>
              <w:autoSpaceDE w:val="0"/>
              <w:autoSpaceDN w:val="0"/>
              <w:adjustRightInd w:val="0"/>
              <w:spacing w:before="120" w:after="120"/>
              <w:ind w:right="110"/>
              <w:jc w:val="right"/>
              <w:rPr>
                <w:rFonts w:ascii="Arial" w:hAnsi="Arial" w:cs="Arial"/>
                <w:snapToGrid w:val="0"/>
                <w:sz w:val="22"/>
                <w:szCs w:val="22"/>
                <w:lang w:val="es-419"/>
              </w:rPr>
            </w:pPr>
            <w:r w:rsidRPr="00932644">
              <w:rPr>
                <w:rFonts w:ascii="Arial" w:eastAsia="SimSun" w:hAnsi="Arial" w:cs="Arial"/>
                <w:sz w:val="22"/>
                <w:szCs w:val="22"/>
                <w:lang w:val="fr-FR" w:eastAsia="fr-FR" w:bidi="ar-SA"/>
              </w:rPr>
              <w:t>55</w:t>
            </w:r>
            <w:r w:rsidRPr="00932644">
              <w:rPr>
                <w:rFonts w:ascii="Arial" w:hAnsi="Arial" w:cs="Arial"/>
                <w:snapToGrid w:val="0"/>
                <w:sz w:val="22"/>
                <w:szCs w:val="22"/>
                <w:lang w:val="es-419"/>
              </w:rPr>
              <w:t>.</w:t>
            </w:r>
          </w:p>
        </w:tc>
        <w:tc>
          <w:tcPr>
            <w:tcW w:w="1419" w:type="pct"/>
          </w:tcPr>
          <w:p w14:paraId="7ADC400C" w14:textId="0B761175" w:rsidR="00A4045D" w:rsidRPr="00932644" w:rsidRDefault="00A4045D" w:rsidP="00A4045D">
            <w:pPr>
              <w:spacing w:before="120" w:after="120"/>
              <w:ind w:left="-960" w:right="174"/>
              <w:jc w:val="right"/>
              <w:rPr>
                <w:rFonts w:ascii="Arial" w:hAnsi="Arial" w:cs="Arial"/>
                <w:snapToGrid w:val="0"/>
                <w:sz w:val="22"/>
                <w:szCs w:val="22"/>
                <w:lang w:val="es-419"/>
              </w:rPr>
            </w:pPr>
            <w:r w:rsidRPr="00932644">
              <w:rPr>
                <w:rFonts w:ascii="Arial" w:hAnsi="Arial" w:cs="Arial"/>
                <w:snapToGrid w:val="0"/>
                <w:sz w:val="22"/>
                <w:szCs w:val="22"/>
                <w:lang w:val="es-419"/>
              </w:rPr>
              <w:t>Fase 2:</w:t>
            </w:r>
          </w:p>
        </w:tc>
        <w:tc>
          <w:tcPr>
            <w:tcW w:w="2984" w:type="pct"/>
          </w:tcPr>
          <w:p w14:paraId="6E91FC3A" w14:textId="2E02DFB2" w:rsidR="00A4045D" w:rsidRPr="00932644" w:rsidRDefault="00A4045D" w:rsidP="00A4045D">
            <w:pPr>
              <w:spacing w:before="120" w:after="120"/>
              <w:ind w:left="-109"/>
              <w:jc w:val="both"/>
              <w:rPr>
                <w:rFonts w:ascii="Arial" w:hAnsi="Arial" w:cs="Arial"/>
                <w:snapToGrid w:val="0"/>
                <w:sz w:val="22"/>
                <w:szCs w:val="22"/>
                <w:lang w:val="es-419"/>
              </w:rPr>
            </w:pPr>
            <w:r w:rsidRPr="00932644">
              <w:rPr>
                <w:rFonts w:ascii="Arial" w:hAnsi="Arial" w:cs="Arial"/>
                <w:snapToGrid w:val="0"/>
                <w:sz w:val="22"/>
                <w:szCs w:val="22"/>
                <w:lang w:val="es-419"/>
              </w:rPr>
              <w:t>Evaluación</w:t>
            </w:r>
          </w:p>
        </w:tc>
      </w:tr>
      <w:tr w:rsidR="00A4045D" w:rsidRPr="00932644" w14:paraId="4F3CB3C8" w14:textId="77777777" w:rsidTr="00A4045D">
        <w:trPr>
          <w:jc w:val="center"/>
        </w:trPr>
        <w:tc>
          <w:tcPr>
            <w:tcW w:w="597" w:type="pct"/>
          </w:tcPr>
          <w:p w14:paraId="19891240" w14:textId="77777777" w:rsidR="00A4045D" w:rsidRPr="00932644" w:rsidRDefault="00A4045D" w:rsidP="00A4045D">
            <w:pPr>
              <w:spacing w:before="120" w:after="120"/>
              <w:ind w:left="-535"/>
              <w:jc w:val="right"/>
              <w:rPr>
                <w:rFonts w:ascii="Arial" w:hAnsi="Arial" w:cs="Arial"/>
                <w:snapToGrid w:val="0"/>
                <w:sz w:val="22"/>
                <w:szCs w:val="22"/>
                <w:lang w:val="es-419"/>
              </w:rPr>
            </w:pPr>
          </w:p>
        </w:tc>
        <w:tc>
          <w:tcPr>
            <w:tcW w:w="1419" w:type="pct"/>
          </w:tcPr>
          <w:p w14:paraId="764DE0FE" w14:textId="77777777" w:rsidR="00A4045D" w:rsidRPr="00932644" w:rsidRDefault="00A4045D" w:rsidP="00A4045D">
            <w:pPr>
              <w:spacing w:before="120"/>
              <w:ind w:left="-533" w:right="176"/>
              <w:jc w:val="right"/>
              <w:rPr>
                <w:rFonts w:ascii="Arial" w:hAnsi="Arial" w:cs="Arial"/>
                <w:snapToGrid w:val="0"/>
                <w:sz w:val="22"/>
                <w:szCs w:val="22"/>
                <w:lang w:val="es-419"/>
              </w:rPr>
            </w:pPr>
            <w:r w:rsidRPr="00932644">
              <w:rPr>
                <w:rFonts w:ascii="Arial" w:hAnsi="Arial" w:cs="Arial"/>
                <w:snapToGrid w:val="0"/>
                <w:sz w:val="22"/>
                <w:szCs w:val="22"/>
                <w:lang w:val="es-419"/>
              </w:rPr>
              <w:t>Diciembre del año 1</w:t>
            </w:r>
          </w:p>
          <w:p w14:paraId="41436DB8" w14:textId="00CDE81A" w:rsidR="00A4045D" w:rsidRPr="00932644" w:rsidRDefault="00A4045D" w:rsidP="00A4045D">
            <w:pPr>
              <w:spacing w:after="120"/>
              <w:ind w:left="-533" w:right="176"/>
              <w:jc w:val="right"/>
              <w:rPr>
                <w:rFonts w:ascii="Arial" w:hAnsi="Arial" w:cs="Arial"/>
                <w:snapToGrid w:val="0"/>
                <w:sz w:val="22"/>
                <w:szCs w:val="22"/>
                <w:lang w:val="es-419"/>
              </w:rPr>
            </w:pPr>
            <w:r w:rsidRPr="00932644">
              <w:rPr>
                <w:rFonts w:ascii="Arial" w:hAnsi="Arial" w:cs="Arial"/>
                <w:snapToGrid w:val="0"/>
                <w:sz w:val="22"/>
                <w:szCs w:val="22"/>
                <w:lang w:val="es-419"/>
              </w:rPr>
              <w:t xml:space="preserve"> a mayo del año 2</w:t>
            </w:r>
          </w:p>
        </w:tc>
        <w:tc>
          <w:tcPr>
            <w:tcW w:w="2984" w:type="pct"/>
          </w:tcPr>
          <w:p w14:paraId="52D4F80C" w14:textId="75AB9263" w:rsidR="00A4045D" w:rsidRPr="00932644" w:rsidRDefault="00A4045D" w:rsidP="00A4045D">
            <w:pPr>
              <w:spacing w:before="120" w:after="120"/>
              <w:ind w:left="-109"/>
              <w:jc w:val="both"/>
              <w:rPr>
                <w:rFonts w:ascii="Arial" w:hAnsi="Arial" w:cs="Arial"/>
                <w:snapToGrid w:val="0"/>
                <w:sz w:val="22"/>
                <w:szCs w:val="22"/>
                <w:lang w:val="es-419"/>
              </w:rPr>
            </w:pPr>
            <w:r w:rsidRPr="00932644">
              <w:rPr>
                <w:rFonts w:ascii="Arial" w:hAnsi="Arial" w:cs="Arial"/>
                <w:snapToGrid w:val="0"/>
                <w:sz w:val="22"/>
                <w:szCs w:val="22"/>
                <w:lang w:val="es-419"/>
              </w:rPr>
              <w:t>Evaluación individual de los expedientes por los miembros del Órgano de Evaluación.</w:t>
            </w:r>
          </w:p>
        </w:tc>
      </w:tr>
      <w:tr w:rsidR="00A4045D" w:rsidRPr="00932644" w14:paraId="4FFD2B1E" w14:textId="77777777" w:rsidTr="00A4045D">
        <w:trPr>
          <w:jc w:val="center"/>
        </w:trPr>
        <w:tc>
          <w:tcPr>
            <w:tcW w:w="597" w:type="pct"/>
          </w:tcPr>
          <w:p w14:paraId="6ED32D7B" w14:textId="77777777" w:rsidR="00A4045D" w:rsidRPr="00932644" w:rsidRDefault="00A4045D" w:rsidP="00A4045D">
            <w:pPr>
              <w:spacing w:before="120" w:after="120"/>
              <w:ind w:left="-109"/>
              <w:jc w:val="right"/>
              <w:rPr>
                <w:rFonts w:ascii="Arial" w:hAnsi="Arial" w:cs="Arial"/>
                <w:snapToGrid w:val="0"/>
                <w:sz w:val="22"/>
                <w:szCs w:val="22"/>
                <w:lang w:val="es-419"/>
              </w:rPr>
            </w:pPr>
          </w:p>
        </w:tc>
        <w:tc>
          <w:tcPr>
            <w:tcW w:w="1419" w:type="pct"/>
          </w:tcPr>
          <w:p w14:paraId="66C9EE2C" w14:textId="3A8DD939" w:rsidR="00A4045D" w:rsidRPr="00932644" w:rsidRDefault="00A4045D" w:rsidP="00A4045D">
            <w:pPr>
              <w:spacing w:before="120" w:after="120"/>
              <w:ind w:left="-109" w:right="174"/>
              <w:jc w:val="right"/>
              <w:rPr>
                <w:rFonts w:ascii="Arial" w:hAnsi="Arial" w:cs="Arial"/>
                <w:snapToGrid w:val="0"/>
                <w:sz w:val="22"/>
                <w:szCs w:val="22"/>
                <w:lang w:val="es-419"/>
              </w:rPr>
            </w:pPr>
            <w:r w:rsidRPr="00932644">
              <w:rPr>
                <w:rFonts w:ascii="Arial" w:hAnsi="Arial" w:cs="Arial"/>
                <w:snapToGrid w:val="0"/>
                <w:sz w:val="22"/>
                <w:szCs w:val="22"/>
                <w:lang w:val="es-419"/>
              </w:rPr>
              <w:t>Junio</w:t>
            </w:r>
            <w:r w:rsidRPr="00932644">
              <w:rPr>
                <w:rFonts w:ascii="Arial" w:hAnsi="Arial" w:cs="Arial"/>
                <w:snapToGrid w:val="0"/>
                <w:sz w:val="22"/>
                <w:szCs w:val="22"/>
                <w:lang w:val="es-419"/>
              </w:rPr>
              <w:br/>
              <w:t>año 2</w:t>
            </w:r>
          </w:p>
        </w:tc>
        <w:tc>
          <w:tcPr>
            <w:tcW w:w="2984" w:type="pct"/>
          </w:tcPr>
          <w:p w14:paraId="6BC30B1D" w14:textId="109F1860" w:rsidR="00A4045D" w:rsidRPr="00932644" w:rsidRDefault="00A4045D" w:rsidP="00A4045D">
            <w:pPr>
              <w:spacing w:before="120" w:after="120"/>
              <w:ind w:left="-109"/>
              <w:jc w:val="both"/>
              <w:rPr>
                <w:rFonts w:ascii="Arial" w:hAnsi="Arial" w:cs="Arial"/>
                <w:snapToGrid w:val="0"/>
                <w:sz w:val="22"/>
                <w:szCs w:val="22"/>
                <w:lang w:val="es-419"/>
              </w:rPr>
            </w:pPr>
            <w:r w:rsidRPr="00932644">
              <w:rPr>
                <w:rFonts w:ascii="Arial" w:hAnsi="Arial" w:cs="Arial"/>
                <w:snapToGrid w:val="0"/>
                <w:sz w:val="22"/>
                <w:szCs w:val="22"/>
                <w:lang w:val="es-419"/>
              </w:rPr>
              <w:t>Reunión en la que el Órgano de Evaluación finaliza colectivamente su evaluación de los expedientes y decide qué expedientes se incluirán en el proceso de diálogo. Solo la evaluación de los expedientes incluidos en el proceso de diálogo quedará pendiente hasta la reunión final del Órgano de Evaluación.</w:t>
            </w:r>
          </w:p>
          <w:p w14:paraId="348E3E6A" w14:textId="6F69954A" w:rsidR="00A4045D" w:rsidRPr="00932644" w:rsidRDefault="00A4045D" w:rsidP="007C68D6">
            <w:pPr>
              <w:keepLines/>
              <w:spacing w:before="120" w:after="120"/>
              <w:ind w:left="-108"/>
              <w:jc w:val="both"/>
              <w:rPr>
                <w:rFonts w:ascii="Arial" w:hAnsi="Arial" w:cs="Arial"/>
                <w:snapToGrid w:val="0"/>
                <w:sz w:val="22"/>
                <w:szCs w:val="22"/>
                <w:lang w:val="es-419"/>
              </w:rPr>
            </w:pPr>
            <w:r w:rsidRPr="00932644">
              <w:rPr>
                <w:rFonts w:ascii="Arial" w:hAnsi="Arial" w:cs="Arial"/>
                <w:snapToGrid w:val="0"/>
                <w:sz w:val="22"/>
                <w:szCs w:val="22"/>
                <w:lang w:val="es-419"/>
              </w:rPr>
              <w:lastRenderedPageBreak/>
              <w:t>El proceso de diálogo se inicia cuando el Órgano de Evaluación considera que un breve proceso de preguntas y respuestas, realizado por escrito a través de la Secretaría con el Estado o los Estados que presentan las candidaturas, podría influir en el resultado de su evaluación.</w:t>
            </w:r>
          </w:p>
        </w:tc>
      </w:tr>
      <w:tr w:rsidR="00A4045D" w:rsidRPr="00932644" w14:paraId="1EE6F07C" w14:textId="77777777" w:rsidTr="00A4045D">
        <w:trPr>
          <w:jc w:val="center"/>
        </w:trPr>
        <w:tc>
          <w:tcPr>
            <w:tcW w:w="597" w:type="pct"/>
          </w:tcPr>
          <w:p w14:paraId="1C547F7A" w14:textId="77777777" w:rsidR="00A4045D" w:rsidRPr="00932644" w:rsidRDefault="00A4045D" w:rsidP="00A4045D">
            <w:pPr>
              <w:spacing w:before="120" w:after="120"/>
              <w:ind w:left="-109"/>
              <w:jc w:val="right"/>
              <w:rPr>
                <w:rFonts w:ascii="Arial" w:hAnsi="Arial" w:cs="Arial"/>
                <w:snapToGrid w:val="0"/>
                <w:sz w:val="22"/>
                <w:szCs w:val="22"/>
                <w:lang w:val="es-419"/>
              </w:rPr>
            </w:pPr>
          </w:p>
        </w:tc>
        <w:tc>
          <w:tcPr>
            <w:tcW w:w="1419" w:type="pct"/>
          </w:tcPr>
          <w:p w14:paraId="3E6C0A18" w14:textId="3684B65B" w:rsidR="00A4045D" w:rsidRPr="00932644" w:rsidRDefault="00A4045D" w:rsidP="00A4045D">
            <w:pPr>
              <w:spacing w:before="120" w:after="120"/>
              <w:ind w:left="-109" w:right="174"/>
              <w:jc w:val="right"/>
              <w:rPr>
                <w:rFonts w:ascii="Arial" w:hAnsi="Arial" w:cs="Arial"/>
                <w:snapToGrid w:val="0"/>
                <w:sz w:val="22"/>
                <w:szCs w:val="22"/>
                <w:lang w:val="es-419"/>
              </w:rPr>
            </w:pPr>
            <w:r w:rsidRPr="00932644">
              <w:rPr>
                <w:rFonts w:ascii="Arial" w:hAnsi="Arial" w:cs="Arial"/>
                <w:snapToGrid w:val="0"/>
                <w:sz w:val="22"/>
                <w:szCs w:val="22"/>
                <w:lang w:val="es-419"/>
              </w:rPr>
              <w:t xml:space="preserve">Dos semanas después de la reunión de junio </w:t>
            </w:r>
            <w:r w:rsidRPr="00932644">
              <w:rPr>
                <w:rFonts w:ascii="Arial" w:hAnsi="Arial" w:cs="Arial"/>
                <w:snapToGrid w:val="0"/>
                <w:sz w:val="22"/>
                <w:szCs w:val="22"/>
                <w:lang w:val="es-419"/>
              </w:rPr>
              <w:br/>
              <w:t>año 2</w:t>
            </w:r>
          </w:p>
        </w:tc>
        <w:tc>
          <w:tcPr>
            <w:tcW w:w="2984" w:type="pct"/>
          </w:tcPr>
          <w:p w14:paraId="51CC1FA5" w14:textId="65B42363" w:rsidR="00A4045D" w:rsidRPr="00932644" w:rsidRDefault="00A4045D" w:rsidP="00A4045D">
            <w:pPr>
              <w:spacing w:before="120" w:after="120"/>
              <w:ind w:left="-109"/>
              <w:jc w:val="both"/>
              <w:rPr>
                <w:rFonts w:ascii="Arial" w:hAnsi="Arial" w:cs="Arial"/>
                <w:snapToGrid w:val="0"/>
                <w:sz w:val="22"/>
                <w:szCs w:val="22"/>
                <w:lang w:val="es-419"/>
              </w:rPr>
            </w:pPr>
            <w:r w:rsidRPr="00932644">
              <w:rPr>
                <w:rFonts w:ascii="Arial" w:hAnsi="Arial" w:cs="Arial"/>
                <w:snapToGrid w:val="0"/>
                <w:sz w:val="22"/>
                <w:szCs w:val="22"/>
                <w:lang w:val="es-419"/>
              </w:rPr>
              <w:t>Plazo en el que el Órgano de Evaluación deberá transmitir, por medio de la Secretaría, sus preguntas a los Estados Partes implicados en el proceso de diálogo, en uno de los dos idiomas de trabajo de la Convención.</w:t>
            </w:r>
          </w:p>
        </w:tc>
      </w:tr>
      <w:tr w:rsidR="00A4045D" w:rsidRPr="00932644" w14:paraId="1A93230F" w14:textId="77777777" w:rsidTr="00A4045D">
        <w:trPr>
          <w:jc w:val="center"/>
        </w:trPr>
        <w:tc>
          <w:tcPr>
            <w:tcW w:w="597" w:type="pct"/>
          </w:tcPr>
          <w:p w14:paraId="718C9579" w14:textId="77777777" w:rsidR="00A4045D" w:rsidRPr="00932644" w:rsidRDefault="00A4045D" w:rsidP="00A4045D">
            <w:pPr>
              <w:spacing w:before="120" w:after="120"/>
              <w:ind w:left="-109"/>
              <w:jc w:val="right"/>
              <w:rPr>
                <w:rFonts w:ascii="Arial" w:hAnsi="Arial" w:cs="Arial"/>
                <w:snapToGrid w:val="0"/>
                <w:sz w:val="22"/>
                <w:szCs w:val="22"/>
                <w:lang w:val="es-419"/>
              </w:rPr>
            </w:pPr>
          </w:p>
        </w:tc>
        <w:tc>
          <w:tcPr>
            <w:tcW w:w="1419" w:type="pct"/>
          </w:tcPr>
          <w:p w14:paraId="1CA47BF9" w14:textId="70AB2A8F" w:rsidR="00A4045D" w:rsidRPr="00932644" w:rsidRDefault="00A4045D" w:rsidP="00A4045D">
            <w:pPr>
              <w:spacing w:before="120" w:after="120"/>
              <w:ind w:left="-109" w:right="174"/>
              <w:jc w:val="right"/>
              <w:rPr>
                <w:rFonts w:ascii="Arial" w:hAnsi="Arial" w:cs="Arial"/>
                <w:snapToGrid w:val="0"/>
                <w:sz w:val="22"/>
                <w:szCs w:val="22"/>
                <w:lang w:val="es-419"/>
              </w:rPr>
            </w:pPr>
          </w:p>
        </w:tc>
        <w:tc>
          <w:tcPr>
            <w:tcW w:w="2984" w:type="pct"/>
          </w:tcPr>
          <w:p w14:paraId="6D34B866" w14:textId="08E77711" w:rsidR="00A4045D" w:rsidRPr="00932644" w:rsidRDefault="00A4045D" w:rsidP="00A4045D">
            <w:pPr>
              <w:spacing w:before="120" w:after="120"/>
              <w:ind w:left="-109"/>
              <w:jc w:val="both"/>
              <w:rPr>
                <w:rFonts w:ascii="Arial" w:hAnsi="Arial" w:cs="Arial"/>
                <w:snapToGrid w:val="0"/>
                <w:sz w:val="22"/>
                <w:szCs w:val="22"/>
                <w:lang w:val="es-419"/>
              </w:rPr>
            </w:pPr>
            <w:r w:rsidRPr="00932644">
              <w:rPr>
                <w:rFonts w:ascii="Arial" w:hAnsi="Arial" w:cs="Arial"/>
                <w:snapToGrid w:val="0"/>
                <w:sz w:val="22"/>
                <w:szCs w:val="22"/>
                <w:lang w:val="es-419"/>
              </w:rPr>
              <w:t>Los Estados Partes deberán responder a las solicitudes del Órgano de Evaluación, por medio de la Secretaría, en un plazo de cuatro semanas a partir de la recepción de la carta, en los dos idiomas de trabajo de la Convención.</w:t>
            </w:r>
          </w:p>
        </w:tc>
      </w:tr>
      <w:tr w:rsidR="00A4045D" w:rsidRPr="00932644" w14:paraId="0BDC60A6" w14:textId="77777777" w:rsidTr="00A4045D">
        <w:trPr>
          <w:jc w:val="center"/>
        </w:trPr>
        <w:tc>
          <w:tcPr>
            <w:tcW w:w="597" w:type="pct"/>
          </w:tcPr>
          <w:p w14:paraId="3188455E" w14:textId="77777777" w:rsidR="00A4045D" w:rsidRPr="00932644" w:rsidRDefault="00A4045D" w:rsidP="00A4045D">
            <w:pPr>
              <w:spacing w:before="120" w:after="120"/>
              <w:ind w:left="-109"/>
              <w:jc w:val="right"/>
              <w:rPr>
                <w:rFonts w:ascii="Arial" w:hAnsi="Arial" w:cs="Arial"/>
                <w:snapToGrid w:val="0"/>
                <w:sz w:val="22"/>
                <w:szCs w:val="22"/>
                <w:lang w:val="es-419"/>
              </w:rPr>
            </w:pPr>
          </w:p>
        </w:tc>
        <w:tc>
          <w:tcPr>
            <w:tcW w:w="1419" w:type="pct"/>
          </w:tcPr>
          <w:p w14:paraId="19B4AF9F" w14:textId="394F47F5" w:rsidR="00A4045D" w:rsidRPr="00932644" w:rsidRDefault="00A4045D" w:rsidP="00A4045D">
            <w:pPr>
              <w:spacing w:before="120" w:after="120"/>
              <w:ind w:left="-109" w:right="174"/>
              <w:jc w:val="right"/>
              <w:rPr>
                <w:rFonts w:ascii="Arial" w:hAnsi="Arial" w:cs="Arial"/>
                <w:snapToGrid w:val="0"/>
                <w:sz w:val="22"/>
                <w:szCs w:val="22"/>
                <w:lang w:val="es-419"/>
              </w:rPr>
            </w:pPr>
            <w:r w:rsidRPr="00932644">
              <w:rPr>
                <w:rFonts w:ascii="Arial" w:hAnsi="Arial" w:cs="Arial"/>
                <w:snapToGrid w:val="0"/>
                <w:sz w:val="22"/>
                <w:szCs w:val="22"/>
                <w:lang w:val="es-419"/>
              </w:rPr>
              <w:t>A más tardar para septiembre del año 2</w:t>
            </w:r>
          </w:p>
        </w:tc>
        <w:tc>
          <w:tcPr>
            <w:tcW w:w="2984" w:type="pct"/>
          </w:tcPr>
          <w:p w14:paraId="43C230F1" w14:textId="5DEBBB77" w:rsidR="00A4045D" w:rsidRPr="00932644" w:rsidRDefault="00A4045D" w:rsidP="00A4045D">
            <w:pPr>
              <w:spacing w:before="120" w:after="120"/>
              <w:ind w:left="-109"/>
              <w:jc w:val="both"/>
              <w:rPr>
                <w:rFonts w:ascii="Arial" w:hAnsi="Arial" w:cs="Arial"/>
                <w:snapToGrid w:val="0"/>
                <w:sz w:val="22"/>
                <w:szCs w:val="22"/>
                <w:lang w:val="es-419"/>
              </w:rPr>
            </w:pPr>
            <w:r w:rsidRPr="00932644">
              <w:rPr>
                <w:rFonts w:ascii="Arial" w:hAnsi="Arial" w:cs="Arial"/>
                <w:snapToGrid w:val="0"/>
                <w:sz w:val="22"/>
                <w:szCs w:val="22"/>
                <w:lang w:val="es-419"/>
              </w:rPr>
              <w:t>Reunión en la que el Órgano de Evaluación finaliza su evaluación de los expedientes afectados por el proceso de diálogo y su informe sobre la evaluación de todos los expedientes.</w:t>
            </w:r>
          </w:p>
        </w:tc>
      </w:tr>
      <w:tr w:rsidR="00A4045D" w:rsidRPr="00932644" w14:paraId="00D92E4F" w14:textId="77777777" w:rsidTr="00A4045D">
        <w:trPr>
          <w:jc w:val="center"/>
        </w:trPr>
        <w:tc>
          <w:tcPr>
            <w:tcW w:w="597" w:type="pct"/>
          </w:tcPr>
          <w:p w14:paraId="69570A44" w14:textId="77777777" w:rsidR="00A4045D" w:rsidRPr="00932644" w:rsidRDefault="00A4045D" w:rsidP="00A4045D">
            <w:pPr>
              <w:spacing w:before="120" w:after="120"/>
              <w:ind w:left="-109"/>
              <w:jc w:val="right"/>
              <w:rPr>
                <w:rFonts w:ascii="Arial" w:hAnsi="Arial" w:cs="Arial"/>
                <w:snapToGrid w:val="0"/>
                <w:sz w:val="22"/>
                <w:szCs w:val="22"/>
                <w:lang w:val="es-419"/>
              </w:rPr>
            </w:pPr>
          </w:p>
        </w:tc>
        <w:tc>
          <w:tcPr>
            <w:tcW w:w="1419" w:type="pct"/>
          </w:tcPr>
          <w:p w14:paraId="207484A4" w14:textId="53D9E5F0" w:rsidR="00A4045D" w:rsidRPr="00932644" w:rsidRDefault="00A4045D" w:rsidP="00A4045D">
            <w:pPr>
              <w:spacing w:before="120" w:after="120"/>
              <w:ind w:left="-109" w:right="174"/>
              <w:jc w:val="right"/>
              <w:rPr>
                <w:rFonts w:ascii="Arial" w:hAnsi="Arial" w:cs="Arial"/>
                <w:snapToGrid w:val="0"/>
                <w:sz w:val="22"/>
                <w:szCs w:val="22"/>
                <w:lang w:val="es-419"/>
              </w:rPr>
            </w:pPr>
            <w:r w:rsidRPr="00932644">
              <w:rPr>
                <w:rFonts w:ascii="Arial" w:hAnsi="Arial" w:cs="Arial"/>
                <w:snapToGrid w:val="0"/>
                <w:sz w:val="22"/>
                <w:szCs w:val="22"/>
                <w:lang w:val="es-419"/>
              </w:rPr>
              <w:t>Cuatro semanas antes de la reunión del Comité</w:t>
            </w:r>
          </w:p>
        </w:tc>
        <w:tc>
          <w:tcPr>
            <w:tcW w:w="2984" w:type="pct"/>
          </w:tcPr>
          <w:p w14:paraId="3111543B" w14:textId="52FA202E" w:rsidR="00A4045D" w:rsidRPr="00932644" w:rsidRDefault="00A4045D" w:rsidP="00A4045D">
            <w:pPr>
              <w:spacing w:before="120" w:after="120"/>
              <w:ind w:left="-109"/>
              <w:jc w:val="both"/>
              <w:rPr>
                <w:rFonts w:ascii="Arial" w:hAnsi="Arial" w:cs="Arial"/>
                <w:snapToGrid w:val="0"/>
                <w:sz w:val="22"/>
                <w:szCs w:val="22"/>
                <w:lang w:val="es-419"/>
              </w:rPr>
            </w:pPr>
            <w:r w:rsidRPr="00932644">
              <w:rPr>
                <w:rFonts w:ascii="Arial" w:hAnsi="Arial" w:cs="Arial"/>
                <w:snapToGrid w:val="0"/>
                <w:sz w:val="22"/>
                <w:szCs w:val="22"/>
                <w:lang w:val="es-419"/>
              </w:rPr>
              <w:t>La Secretaría transmite los informes de evaluación a los miembros del Comité y los pone a disposición en línea para su consulta.</w:t>
            </w:r>
          </w:p>
        </w:tc>
      </w:tr>
    </w:tbl>
    <w:p w14:paraId="2A5118DD" w14:textId="7956B870" w:rsidR="009663D8" w:rsidRPr="00932644" w:rsidRDefault="009663D8" w:rsidP="009663D8">
      <w:pPr>
        <w:pStyle w:val="GATitleResolution"/>
        <w:rPr>
          <w:lang w:val="es-419"/>
        </w:rPr>
      </w:pPr>
      <w:r w:rsidRPr="00932644">
        <w:rPr>
          <w:lang w:val="es-419"/>
        </w:rPr>
        <w:t>RESOLUCIÓN 8.GA 11</w:t>
      </w:r>
    </w:p>
    <w:p w14:paraId="0433AC88" w14:textId="77777777" w:rsidR="009663D8" w:rsidRPr="00932644" w:rsidRDefault="009663D8" w:rsidP="001D2C04">
      <w:pPr>
        <w:pStyle w:val="GAPreambulaResolution"/>
        <w:ind w:left="0"/>
        <w:rPr>
          <w:rFonts w:eastAsia="SimSun"/>
          <w:lang w:val="es-419"/>
        </w:rPr>
      </w:pPr>
      <w:r w:rsidRPr="00932644">
        <w:rPr>
          <w:lang w:val="es-419"/>
        </w:rPr>
        <w:t>La Asamblea General,</w:t>
      </w:r>
    </w:p>
    <w:p w14:paraId="4D6E9381" w14:textId="1C5D7AE2" w:rsidR="009663D8" w:rsidRPr="00932644" w:rsidRDefault="009663D8" w:rsidP="00B86A2E">
      <w:pPr>
        <w:pStyle w:val="GAParaResolution"/>
        <w:numPr>
          <w:ilvl w:val="0"/>
          <w:numId w:val="79"/>
        </w:numPr>
        <w:ind w:left="567" w:hanging="567"/>
        <w:rPr>
          <w:lang w:val="es-419"/>
        </w:rPr>
      </w:pPr>
      <w:r w:rsidRPr="00932644">
        <w:rPr>
          <w:lang w:val="es-419"/>
        </w:rPr>
        <w:t>Habiendo examinado</w:t>
      </w:r>
      <w:r w:rsidRPr="00932644">
        <w:rPr>
          <w:u w:val="none"/>
          <w:lang w:val="es-419"/>
        </w:rPr>
        <w:t xml:space="preserve"> el documento </w:t>
      </w:r>
      <w:hyperlink r:id="rId33" w:history="1">
        <w:r w:rsidRPr="00932644">
          <w:rPr>
            <w:rStyle w:val="Lienhypertexte"/>
            <w:lang w:val="es-419"/>
          </w:rPr>
          <w:t>LHE/20/8.GA/11</w:t>
        </w:r>
      </w:hyperlink>
      <w:r w:rsidR="00981775" w:rsidRPr="00932644">
        <w:rPr>
          <w:u w:val="none"/>
          <w:lang w:val="es-419"/>
        </w:rPr>
        <w:t xml:space="preserve"> </w:t>
      </w:r>
      <w:r w:rsidR="002A4782" w:rsidRPr="00932644">
        <w:rPr>
          <w:u w:val="none"/>
          <w:lang w:val="es-419"/>
        </w:rPr>
        <w:t>con su anexo</w:t>
      </w:r>
      <w:r w:rsidRPr="00932644">
        <w:rPr>
          <w:u w:val="none"/>
          <w:lang w:val="es-419"/>
        </w:rPr>
        <w:t xml:space="preserve">, así como el </w:t>
      </w:r>
      <w:r w:rsidRPr="00932644">
        <w:rPr>
          <w:u w:val="none"/>
        </w:rPr>
        <w:t>documento</w:t>
      </w:r>
      <w:r w:rsidR="00621D45" w:rsidRPr="00932644">
        <w:rPr>
          <w:u w:val="none"/>
        </w:rPr>
        <w:t xml:space="preserve"> </w:t>
      </w:r>
      <w:hyperlink r:id="rId34" w:history="1">
        <w:r w:rsidRPr="00932644">
          <w:rPr>
            <w:rStyle w:val="Lienhypertexte"/>
            <w:lang w:val="es-419"/>
          </w:rPr>
          <w:t>LHE/19/14.COM/14</w:t>
        </w:r>
      </w:hyperlink>
      <w:r w:rsidRPr="00932644">
        <w:rPr>
          <w:u w:val="none"/>
          <w:lang w:val="es-419"/>
        </w:rPr>
        <w:t>,</w:t>
      </w:r>
    </w:p>
    <w:p w14:paraId="261D9B40" w14:textId="77777777" w:rsidR="009663D8" w:rsidRPr="00932644" w:rsidRDefault="009663D8" w:rsidP="00B86A2E">
      <w:pPr>
        <w:pStyle w:val="COMParaDecision"/>
        <w:numPr>
          <w:ilvl w:val="0"/>
          <w:numId w:val="11"/>
        </w:numPr>
        <w:ind w:left="567" w:hanging="567"/>
        <w:jc w:val="left"/>
        <w:rPr>
          <w:lang w:val="es-419"/>
        </w:rPr>
      </w:pPr>
      <w:r w:rsidRPr="00932644">
        <w:rPr>
          <w:lang w:val="es-419"/>
        </w:rPr>
        <w:t>Recordando</w:t>
      </w:r>
      <w:r w:rsidRPr="00932644">
        <w:rPr>
          <w:u w:val="none"/>
          <w:lang w:val="es-419"/>
        </w:rPr>
        <w:t xml:space="preserve"> las Decisiones </w:t>
      </w:r>
      <w:hyperlink r:id="rId35" w:history="1">
        <w:r w:rsidRPr="00932644">
          <w:rPr>
            <w:rStyle w:val="Lienhypertexte"/>
            <w:lang w:val="es-419"/>
          </w:rPr>
          <w:t>13.COM 6</w:t>
        </w:r>
      </w:hyperlink>
      <w:r w:rsidRPr="00932644">
        <w:rPr>
          <w:u w:val="none"/>
          <w:lang w:val="es-419"/>
        </w:rPr>
        <w:t xml:space="preserve">, </w:t>
      </w:r>
      <w:hyperlink r:id="rId36" w:history="1">
        <w:r w:rsidRPr="00932644">
          <w:rPr>
            <w:rStyle w:val="Lienhypertexte"/>
            <w:lang w:val="es-419"/>
          </w:rPr>
          <w:t>13.COM 10</w:t>
        </w:r>
      </w:hyperlink>
      <w:r w:rsidRPr="00932644">
        <w:rPr>
          <w:u w:val="none"/>
          <w:lang w:val="es-419"/>
        </w:rPr>
        <w:t xml:space="preserve"> y </w:t>
      </w:r>
      <w:hyperlink r:id="rId37" w:history="1">
        <w:r w:rsidRPr="00932644">
          <w:rPr>
            <w:rStyle w:val="Lienhypertexte"/>
            <w:lang w:val="es-419"/>
          </w:rPr>
          <w:t>14.COM 14</w:t>
        </w:r>
      </w:hyperlink>
      <w:r w:rsidRPr="00932644">
        <w:rPr>
          <w:u w:val="none"/>
          <w:lang w:val="es-419"/>
        </w:rPr>
        <w:t>,</w:t>
      </w:r>
    </w:p>
    <w:p w14:paraId="58D9A27E" w14:textId="1A03B59A" w:rsidR="009663D8" w:rsidRPr="00932644" w:rsidRDefault="009663D8" w:rsidP="00B86A2E">
      <w:pPr>
        <w:pStyle w:val="COMParaDecision"/>
        <w:numPr>
          <w:ilvl w:val="0"/>
          <w:numId w:val="11"/>
        </w:numPr>
        <w:ind w:left="567" w:hanging="567"/>
        <w:rPr>
          <w:lang w:val="es-419"/>
        </w:rPr>
      </w:pPr>
      <w:r w:rsidRPr="00932644">
        <w:rPr>
          <w:lang w:val="es-419"/>
        </w:rPr>
        <w:t>Reafirma</w:t>
      </w:r>
      <w:r w:rsidRPr="00932644">
        <w:rPr>
          <w:u w:val="none"/>
          <w:lang w:val="es-419"/>
        </w:rPr>
        <w:t xml:space="preserve"> la necesidad de una reflexión global sobre los mecanismos de inscripción en las Listas </w:t>
      </w:r>
      <w:r w:rsidR="00BE75D7" w:rsidRPr="00932644">
        <w:rPr>
          <w:u w:val="none"/>
          <w:lang w:val="es-419"/>
        </w:rPr>
        <w:t xml:space="preserve">y de seguimiento </w:t>
      </w:r>
      <w:r w:rsidRPr="00932644">
        <w:rPr>
          <w:u w:val="none"/>
          <w:lang w:val="es-419"/>
        </w:rPr>
        <w:t>de la Convención de 2003;</w:t>
      </w:r>
    </w:p>
    <w:p w14:paraId="3B9BF33E" w14:textId="78D43B51" w:rsidR="009261A2" w:rsidRPr="00932644" w:rsidRDefault="009261A2" w:rsidP="00B86A2E">
      <w:pPr>
        <w:pStyle w:val="GAParaResolution"/>
        <w:ind w:left="567" w:hanging="567"/>
        <w:rPr>
          <w:u w:val="none"/>
          <w:lang w:val="es-419"/>
        </w:rPr>
      </w:pPr>
      <w:r w:rsidRPr="00932644">
        <w:rPr>
          <w:lang w:val="es-419"/>
        </w:rPr>
        <w:t>Reafirma</w:t>
      </w:r>
      <w:r w:rsidR="00B86A2E" w:rsidRPr="00932644">
        <w:rPr>
          <w:lang w:val="es-419"/>
        </w:rPr>
        <w:t xml:space="preserve"> también</w:t>
      </w:r>
      <w:r w:rsidRPr="00932644">
        <w:rPr>
          <w:u w:val="none"/>
          <w:lang w:val="es-419"/>
        </w:rPr>
        <w:t xml:space="preserve"> la necesidad de seguir desplegando esfuerzos para alcanzar listas geográficamente más representativas, equilibradas y diversificadas culturalmente;</w:t>
      </w:r>
    </w:p>
    <w:p w14:paraId="7920F71E" w14:textId="0730EC71" w:rsidR="009663D8" w:rsidRPr="00932644" w:rsidRDefault="009663D8" w:rsidP="00B86A2E">
      <w:pPr>
        <w:pStyle w:val="COMParaDecision"/>
        <w:numPr>
          <w:ilvl w:val="0"/>
          <w:numId w:val="11"/>
        </w:numPr>
        <w:ind w:left="567" w:hanging="567"/>
        <w:rPr>
          <w:u w:val="none"/>
          <w:lang w:val="es-419"/>
        </w:rPr>
      </w:pPr>
      <w:r w:rsidRPr="00932644">
        <w:rPr>
          <w:lang w:val="es-419"/>
        </w:rPr>
        <w:t>Renueva su gratitud</w:t>
      </w:r>
      <w:r w:rsidRPr="00932644">
        <w:rPr>
          <w:u w:val="none"/>
          <w:lang w:val="es-419"/>
        </w:rPr>
        <w:t xml:space="preserve"> al Gobierno de Japón por su contribución en apoyo de la reflexión global sobre los mecanismos de inscripción en las Listas de la Convención de 2003;</w:t>
      </w:r>
    </w:p>
    <w:p w14:paraId="00B533F6" w14:textId="1FC1B955" w:rsidR="009663D8" w:rsidRPr="00932644" w:rsidRDefault="009663D8" w:rsidP="00B86A2E">
      <w:pPr>
        <w:pStyle w:val="COMParaDecision"/>
        <w:numPr>
          <w:ilvl w:val="0"/>
          <w:numId w:val="11"/>
        </w:numPr>
        <w:ind w:left="567" w:hanging="567"/>
        <w:rPr>
          <w:u w:val="none"/>
          <w:lang w:val="es-419"/>
        </w:rPr>
      </w:pPr>
      <w:r w:rsidRPr="00932644">
        <w:rPr>
          <w:lang w:val="es-419"/>
        </w:rPr>
        <w:t>Toma nota</w:t>
      </w:r>
      <w:r w:rsidRPr="00932644">
        <w:rPr>
          <w:u w:val="none"/>
          <w:lang w:val="es-419"/>
        </w:rPr>
        <w:t xml:space="preserve"> de la modalidad alternativa para llevar a cabo la reunión preliminar de expertos de categoría VI y la intención de poner la decimoquinta reunión del Comité al día acerca de estos cambios;</w:t>
      </w:r>
    </w:p>
    <w:p w14:paraId="7C6C865E" w14:textId="13C1376A" w:rsidR="009261A2" w:rsidRPr="00932644" w:rsidRDefault="009261A2" w:rsidP="00B86A2E">
      <w:pPr>
        <w:pStyle w:val="GAParaResolution"/>
        <w:ind w:left="567" w:hanging="567"/>
        <w:rPr>
          <w:lang w:val="es-419"/>
        </w:rPr>
      </w:pPr>
      <w:r w:rsidRPr="00932644">
        <w:rPr>
          <w:lang w:val="es-419"/>
        </w:rPr>
        <w:t>Toma nota también</w:t>
      </w:r>
      <w:r w:rsidRPr="00932644">
        <w:rPr>
          <w:u w:val="none"/>
          <w:lang w:val="es-419"/>
        </w:rPr>
        <w:t xml:space="preserve"> de la </w:t>
      </w:r>
      <w:hyperlink r:id="rId38" w:history="1">
        <w:r w:rsidRPr="00932644">
          <w:rPr>
            <w:rStyle w:val="Lienhypertexte"/>
            <w:lang w:val="es-419"/>
          </w:rPr>
          <w:t>Decisión 13.COM.15</w:t>
        </w:r>
      </w:hyperlink>
      <w:r w:rsidRPr="00932644">
        <w:rPr>
          <w:u w:val="none"/>
          <w:lang w:val="es-419"/>
        </w:rPr>
        <w:t xml:space="preserve"> del Comité que determina que se trate un número de 50 expedientes por ciclo durante el transcurso de 2020 y 2021, y </w:t>
      </w:r>
      <w:r w:rsidRPr="00932644">
        <w:rPr>
          <w:lang w:val="es-419"/>
        </w:rPr>
        <w:t>acoge</w:t>
      </w:r>
      <w:r w:rsidRPr="00932644">
        <w:rPr>
          <w:u w:val="none"/>
          <w:lang w:val="es-419"/>
        </w:rPr>
        <w:t xml:space="preserve"> con beneplácito los esfuerzos de la Secretaría por aumentar ese número a 60 durante el ciclo de 2021;</w:t>
      </w:r>
    </w:p>
    <w:p w14:paraId="429713CC" w14:textId="2FBBDB05" w:rsidR="006269DC" w:rsidRPr="00932644" w:rsidRDefault="00A42009" w:rsidP="00B86A2E">
      <w:pPr>
        <w:pStyle w:val="GAParaResolution"/>
        <w:ind w:left="567" w:hanging="567"/>
        <w:rPr>
          <w:u w:val="none"/>
          <w:lang w:val="es-419"/>
        </w:rPr>
      </w:pPr>
      <w:r w:rsidRPr="00932644">
        <w:rPr>
          <w:lang w:val="es-419"/>
        </w:rPr>
        <w:t>Recomienda</w:t>
      </w:r>
      <w:r w:rsidRPr="00932644">
        <w:rPr>
          <w:u w:val="none"/>
          <w:lang w:val="es-419"/>
        </w:rPr>
        <w:t xml:space="preserve"> al Comité</w:t>
      </w:r>
      <w:r w:rsidR="00457E38" w:rsidRPr="00932644">
        <w:rPr>
          <w:u w:val="none"/>
          <w:lang w:val="es-419"/>
        </w:rPr>
        <w:t xml:space="preserve"> que considere</w:t>
      </w:r>
      <w:r w:rsidRPr="00932644">
        <w:rPr>
          <w:u w:val="none"/>
          <w:lang w:val="es-419"/>
        </w:rPr>
        <w:t xml:space="preserve">, de manera articulada con el proceso de reflexión sobre </w:t>
      </w:r>
      <w:r w:rsidR="00267C72" w:rsidRPr="00932644">
        <w:rPr>
          <w:u w:val="none"/>
          <w:lang w:val="es-419"/>
        </w:rPr>
        <w:t>los</w:t>
      </w:r>
      <w:r w:rsidRPr="00932644">
        <w:rPr>
          <w:u w:val="none"/>
          <w:lang w:val="es-419"/>
        </w:rPr>
        <w:t xml:space="preserve"> mecanismo</w:t>
      </w:r>
      <w:r w:rsidR="00267C72" w:rsidRPr="00932644">
        <w:rPr>
          <w:u w:val="none"/>
          <w:lang w:val="es-419"/>
        </w:rPr>
        <w:t>s</w:t>
      </w:r>
      <w:r w:rsidRPr="00932644">
        <w:rPr>
          <w:u w:val="none"/>
          <w:lang w:val="es-419"/>
        </w:rPr>
        <w:t xml:space="preserve"> de inscripción </w:t>
      </w:r>
      <w:r w:rsidR="00457E38" w:rsidRPr="00932644">
        <w:rPr>
          <w:u w:val="none"/>
          <w:lang w:val="es-419"/>
        </w:rPr>
        <w:t>en</w:t>
      </w:r>
      <w:r w:rsidRPr="00932644">
        <w:rPr>
          <w:u w:val="none"/>
          <w:lang w:val="es-419"/>
        </w:rPr>
        <w:t xml:space="preserve"> las listas</w:t>
      </w:r>
      <w:r w:rsidR="00064F9D" w:rsidRPr="00932644">
        <w:rPr>
          <w:u w:val="none"/>
          <w:lang w:val="es-419"/>
        </w:rPr>
        <w:t xml:space="preserve">, </w:t>
      </w:r>
      <w:r w:rsidR="00887928" w:rsidRPr="00932644">
        <w:rPr>
          <w:u w:val="none"/>
          <w:lang w:val="es-419"/>
        </w:rPr>
        <w:t xml:space="preserve">la posibilidad de aumentar </w:t>
      </w:r>
      <w:r w:rsidR="00457E38" w:rsidRPr="00932644">
        <w:rPr>
          <w:u w:val="none"/>
          <w:lang w:val="es-419"/>
        </w:rPr>
        <w:t xml:space="preserve">el </w:t>
      </w:r>
      <w:r w:rsidR="00B066B3" w:rsidRPr="00932644">
        <w:rPr>
          <w:u w:val="none"/>
          <w:lang w:val="es-419"/>
        </w:rPr>
        <w:t>número</w:t>
      </w:r>
      <w:r w:rsidR="00457E38" w:rsidRPr="00932644">
        <w:rPr>
          <w:u w:val="none"/>
          <w:lang w:val="es-419"/>
        </w:rPr>
        <w:t xml:space="preserve"> de expedientes </w:t>
      </w:r>
      <w:r w:rsidR="00B066B3" w:rsidRPr="00932644">
        <w:rPr>
          <w:u w:val="none"/>
          <w:lang w:val="es-419"/>
        </w:rPr>
        <w:t>evaluados</w:t>
      </w:r>
      <w:r w:rsidR="00457E38" w:rsidRPr="00932644">
        <w:rPr>
          <w:u w:val="none"/>
          <w:lang w:val="es-419"/>
        </w:rPr>
        <w:t xml:space="preserve"> en el ciclo 2022/2023 para poder incluir todos</w:t>
      </w:r>
      <w:r w:rsidR="00064F9D" w:rsidRPr="00932644">
        <w:rPr>
          <w:u w:val="none"/>
          <w:lang w:val="es-419"/>
        </w:rPr>
        <w:t xml:space="preserve"> los expedientes presentados por los Estados</w:t>
      </w:r>
      <w:r w:rsidR="00DB0F49" w:rsidRPr="00932644">
        <w:rPr>
          <w:u w:val="none"/>
          <w:lang w:val="es-419"/>
        </w:rPr>
        <w:t xml:space="preserve"> </w:t>
      </w:r>
      <w:r w:rsidR="00064F9D" w:rsidRPr="00932644">
        <w:rPr>
          <w:u w:val="none"/>
          <w:lang w:val="es-419"/>
        </w:rPr>
        <w:t>Partes;</w:t>
      </w:r>
    </w:p>
    <w:p w14:paraId="44685415" w14:textId="0A7F4C9A" w:rsidR="009663D8" w:rsidRPr="00932644" w:rsidRDefault="009663D8" w:rsidP="00B86A2E">
      <w:pPr>
        <w:pStyle w:val="COMParaDecision"/>
        <w:numPr>
          <w:ilvl w:val="0"/>
          <w:numId w:val="11"/>
        </w:numPr>
        <w:ind w:left="567" w:hanging="567"/>
        <w:rPr>
          <w:u w:val="none"/>
          <w:lang w:val="es-419"/>
        </w:rPr>
      </w:pPr>
      <w:r w:rsidRPr="00932644">
        <w:rPr>
          <w:lang w:val="es-419"/>
        </w:rPr>
        <w:t xml:space="preserve">Toma nota </w:t>
      </w:r>
      <w:r w:rsidR="00D771CF" w:rsidRPr="00932644">
        <w:rPr>
          <w:lang w:val="es-419"/>
        </w:rPr>
        <w:t>además</w:t>
      </w:r>
      <w:r w:rsidR="00D771CF" w:rsidRPr="00932644">
        <w:rPr>
          <w:u w:val="none"/>
          <w:lang w:val="es-419"/>
        </w:rPr>
        <w:t xml:space="preserve"> </w:t>
      </w:r>
      <w:r w:rsidRPr="00932644">
        <w:rPr>
          <w:u w:val="none"/>
          <w:lang w:val="es-419"/>
        </w:rPr>
        <w:t xml:space="preserve">del cronograma provisional revisado de la reflexión sobre los mecanismos de inscripción en las Listas de la Convención de 2003, tal como figura en el anexo de la </w:t>
      </w:r>
      <w:r w:rsidRPr="00932644">
        <w:rPr>
          <w:u w:val="none"/>
          <w:lang w:val="es-419"/>
        </w:rPr>
        <w:lastRenderedPageBreak/>
        <w:t>presente resolución, incluido el grupo de trabajo intergubernamental de composición abierta, previsto para reunirse en junio de 2021;</w:t>
      </w:r>
    </w:p>
    <w:p w14:paraId="69A091AF" w14:textId="4832D738" w:rsidR="00ED68A1" w:rsidRPr="00932644" w:rsidRDefault="00ED68A1" w:rsidP="00B86A2E">
      <w:pPr>
        <w:pStyle w:val="GAParaResolution"/>
        <w:ind w:left="567" w:hanging="567"/>
        <w:rPr>
          <w:sz w:val="24"/>
          <w:szCs w:val="24"/>
          <w:u w:val="none"/>
          <w:lang w:val="es-419"/>
        </w:rPr>
      </w:pPr>
      <w:r w:rsidRPr="00932644">
        <w:rPr>
          <w:lang w:val="es-419"/>
        </w:rPr>
        <w:t>Solicita</w:t>
      </w:r>
      <w:r w:rsidRPr="00932644">
        <w:rPr>
          <w:u w:val="none"/>
          <w:lang w:val="es-419"/>
        </w:rPr>
        <w:t xml:space="preserve"> a la Secretaría que aproveche plenamente las consultas en línea permitiendo </w:t>
      </w:r>
      <w:r w:rsidR="00E17A56" w:rsidRPr="00932644">
        <w:rPr>
          <w:u w:val="none"/>
          <w:lang w:val="es-419"/>
        </w:rPr>
        <w:t xml:space="preserve">así </w:t>
      </w:r>
      <w:r w:rsidRPr="00932644">
        <w:rPr>
          <w:u w:val="none"/>
          <w:lang w:val="es-419"/>
        </w:rPr>
        <w:t xml:space="preserve">la participación </w:t>
      </w:r>
      <w:r w:rsidR="00E17A56" w:rsidRPr="00932644">
        <w:rPr>
          <w:u w:val="none"/>
          <w:lang w:val="es-419"/>
        </w:rPr>
        <w:t xml:space="preserve">de </w:t>
      </w:r>
      <w:r w:rsidRPr="00932644">
        <w:rPr>
          <w:u w:val="none"/>
          <w:lang w:val="es-419"/>
        </w:rPr>
        <w:t>un mayor número de expertos, de manera a recopilar comentarios y sugerencias lo más ampliamente posible</w:t>
      </w:r>
      <w:r w:rsidR="00E17A56" w:rsidRPr="00932644">
        <w:rPr>
          <w:u w:val="none"/>
          <w:lang w:val="es-419"/>
        </w:rPr>
        <w:t>;</w:t>
      </w:r>
      <w:r w:rsidRPr="00932644">
        <w:rPr>
          <w:u w:val="none"/>
          <w:lang w:val="es-419"/>
        </w:rPr>
        <w:t xml:space="preserve"> </w:t>
      </w:r>
    </w:p>
    <w:p w14:paraId="716E8962" w14:textId="418D07AE" w:rsidR="002C26E5" w:rsidRPr="00932644" w:rsidRDefault="001E1B00" w:rsidP="00B86A2E">
      <w:pPr>
        <w:pStyle w:val="GAParaResolution"/>
        <w:ind w:left="567" w:hanging="567"/>
        <w:rPr>
          <w:u w:val="none"/>
          <w:lang w:val="es-419"/>
        </w:rPr>
      </w:pPr>
      <w:r w:rsidRPr="00932644">
        <w:rPr>
          <w:lang w:val="es-419"/>
        </w:rPr>
        <w:t>Recuerda</w:t>
      </w:r>
      <w:r w:rsidR="001C01B3" w:rsidRPr="00932644">
        <w:rPr>
          <w:u w:val="none"/>
          <w:lang w:val="es-419"/>
        </w:rPr>
        <w:t xml:space="preserve"> el párrafo 11 de la </w:t>
      </w:r>
      <w:hyperlink r:id="rId39" w:history="1">
        <w:r w:rsidRPr="00932644">
          <w:rPr>
            <w:rStyle w:val="Lienhypertexte"/>
            <w:lang w:val="es-419"/>
          </w:rPr>
          <w:t>Decisión</w:t>
        </w:r>
        <w:r w:rsidR="001C01B3" w:rsidRPr="00932644">
          <w:rPr>
            <w:rStyle w:val="Lienhypertexte"/>
            <w:lang w:val="es-419"/>
          </w:rPr>
          <w:t xml:space="preserve"> 14 COM 14</w:t>
        </w:r>
      </w:hyperlink>
      <w:r w:rsidR="001C01B3" w:rsidRPr="00932644">
        <w:rPr>
          <w:u w:val="none"/>
          <w:lang w:val="es-419"/>
        </w:rPr>
        <w:t>, que d</w:t>
      </w:r>
      <w:r w:rsidR="002C26E5" w:rsidRPr="00932644">
        <w:rPr>
          <w:u w:val="none"/>
          <w:lang w:val="es-419"/>
        </w:rPr>
        <w:t xml:space="preserve">estaca que una revisión de las Directrices Operativas es necesaria para establecer procedimientos </w:t>
      </w:r>
      <w:r w:rsidR="00FC7676" w:rsidRPr="00932644">
        <w:rPr>
          <w:u w:val="none"/>
          <w:lang w:val="es-419"/>
        </w:rPr>
        <w:t xml:space="preserve">y criterios </w:t>
      </w:r>
      <w:r w:rsidR="002C26E5" w:rsidRPr="00932644">
        <w:rPr>
          <w:u w:val="none"/>
          <w:lang w:val="es-419"/>
        </w:rPr>
        <w:t>claros</w:t>
      </w:r>
      <w:r w:rsidR="00FC7676" w:rsidRPr="00932644">
        <w:rPr>
          <w:u w:val="none"/>
          <w:lang w:val="es-419"/>
        </w:rPr>
        <w:t xml:space="preserve"> y específicos </w:t>
      </w:r>
      <w:r w:rsidR="002C26E5" w:rsidRPr="00932644">
        <w:rPr>
          <w:u w:val="none"/>
          <w:lang w:val="es-419"/>
        </w:rPr>
        <w:t>para la supresión de elementos de las listas y el traspaso de un elemento de una lista</w:t>
      </w:r>
      <w:r w:rsidR="00FC7676" w:rsidRPr="00932644">
        <w:rPr>
          <w:u w:val="none"/>
          <w:lang w:val="es-419"/>
        </w:rPr>
        <w:t xml:space="preserve"> a otra;</w:t>
      </w:r>
    </w:p>
    <w:p w14:paraId="72EC0B87" w14:textId="6F58F66B" w:rsidR="009663D8" w:rsidRPr="00932644" w:rsidRDefault="00742E92" w:rsidP="00B86A2E">
      <w:pPr>
        <w:pStyle w:val="COMParaDecision"/>
        <w:numPr>
          <w:ilvl w:val="0"/>
          <w:numId w:val="11"/>
        </w:numPr>
        <w:ind w:left="567" w:hanging="567"/>
        <w:rPr>
          <w:u w:val="none"/>
          <w:lang w:val="es-419"/>
        </w:rPr>
      </w:pPr>
      <w:r w:rsidRPr="00932644">
        <w:rPr>
          <w:lang w:val="es-419"/>
        </w:rPr>
        <w:t>Solicita</w:t>
      </w:r>
      <w:r w:rsidR="001C01B3" w:rsidRPr="00932644">
        <w:rPr>
          <w:lang w:val="es-419"/>
        </w:rPr>
        <w:t xml:space="preserve"> además</w:t>
      </w:r>
      <w:r w:rsidRPr="00932644">
        <w:rPr>
          <w:u w:val="none"/>
          <w:lang w:val="es-419"/>
        </w:rPr>
        <w:t xml:space="preserve"> </w:t>
      </w:r>
      <w:r w:rsidR="009663D8" w:rsidRPr="00932644">
        <w:rPr>
          <w:u w:val="none"/>
          <w:lang w:val="es-419"/>
        </w:rPr>
        <w:t>a la Secretaría que informe a</w:t>
      </w:r>
      <w:r w:rsidR="00011BD0" w:rsidRPr="00932644">
        <w:rPr>
          <w:u w:val="none"/>
          <w:lang w:val="es-419"/>
        </w:rPr>
        <w:t>l Comité en su</w:t>
      </w:r>
      <w:r w:rsidR="009663D8" w:rsidRPr="00932644">
        <w:rPr>
          <w:u w:val="none"/>
          <w:lang w:val="es-419"/>
        </w:rPr>
        <w:t xml:space="preserve"> decimosexta reunión sobre los progresos logrados en el proceso de reflexión, en particular los resultados del grupo de trabajo mencionado.</w:t>
      </w:r>
    </w:p>
    <w:p w14:paraId="175BCBB6" w14:textId="34D9EF14" w:rsidR="009663D8" w:rsidRPr="00932644" w:rsidRDefault="003B1118" w:rsidP="00932644">
      <w:pPr>
        <w:pStyle w:val="GAParaResolution"/>
        <w:numPr>
          <w:ilvl w:val="0"/>
          <w:numId w:val="0"/>
        </w:numPr>
        <w:spacing w:before="360" w:after="240"/>
        <w:jc w:val="center"/>
        <w:rPr>
          <w:rFonts w:eastAsia="Times New Roman"/>
          <w:b/>
          <w:u w:val="none"/>
          <w:lang w:val="es-419"/>
        </w:rPr>
      </w:pPr>
      <w:r w:rsidRPr="00932644">
        <w:rPr>
          <w:b/>
          <w:u w:val="none"/>
          <w:lang w:val="es-419"/>
        </w:rPr>
        <w:t>ANEXO</w:t>
      </w:r>
    </w:p>
    <w:p w14:paraId="37A2C0E9" w14:textId="77777777" w:rsidR="009663D8" w:rsidRPr="00932644" w:rsidRDefault="009663D8" w:rsidP="009663D8">
      <w:pPr>
        <w:tabs>
          <w:tab w:val="center" w:pos="4819"/>
          <w:tab w:val="left" w:pos="8775"/>
        </w:tabs>
        <w:spacing w:before="120" w:after="240"/>
        <w:jc w:val="center"/>
        <w:rPr>
          <w:rFonts w:ascii="Arial" w:hAnsi="Arial" w:cs="Arial"/>
          <w:b/>
          <w:sz w:val="22"/>
          <w:szCs w:val="22"/>
          <w:lang w:val="es-419"/>
        </w:rPr>
      </w:pPr>
      <w:r w:rsidRPr="00932644">
        <w:rPr>
          <w:rFonts w:ascii="Arial" w:hAnsi="Arial"/>
          <w:b/>
          <w:sz w:val="22"/>
          <w:lang w:val="es-419"/>
        </w:rPr>
        <w:t>Cronograma de la reflexión sobre los mecanismos de inscripción en las Listas de la Convención de 2003 para la Salvaguardia del Patrimonio Cultural Inmaterial</w:t>
      </w:r>
    </w:p>
    <w:tbl>
      <w:tblPr>
        <w:tblW w:w="9639" w:type="dxa"/>
        <w:jc w:val="center"/>
        <w:tblLook w:val="04A0" w:firstRow="1" w:lastRow="0" w:firstColumn="1" w:lastColumn="0" w:noHBand="0" w:noVBand="1"/>
      </w:tblPr>
      <w:tblGrid>
        <w:gridCol w:w="2969"/>
        <w:gridCol w:w="6670"/>
      </w:tblGrid>
      <w:tr w:rsidR="009663D8" w:rsidRPr="00932644" w14:paraId="3FF05D14" w14:textId="77777777" w:rsidTr="009663D8">
        <w:trPr>
          <w:cantSplit/>
          <w:jc w:val="center"/>
        </w:trPr>
        <w:tc>
          <w:tcPr>
            <w:tcW w:w="1540" w:type="pct"/>
            <w:hideMark/>
          </w:tcPr>
          <w:p w14:paraId="79CF8288" w14:textId="77777777" w:rsidR="009663D8" w:rsidRPr="00932644" w:rsidRDefault="009663D8">
            <w:pPr>
              <w:spacing w:before="120" w:after="120"/>
              <w:jc w:val="center"/>
              <w:rPr>
                <w:rFonts w:ascii="Arial" w:hAnsi="Arial" w:cs="Arial"/>
                <w:sz w:val="22"/>
                <w:szCs w:val="22"/>
                <w:lang w:val="es-419"/>
              </w:rPr>
            </w:pPr>
            <w:r w:rsidRPr="00932644">
              <w:rPr>
                <w:rFonts w:ascii="Arial" w:hAnsi="Arial"/>
                <w:sz w:val="22"/>
                <w:lang w:val="es-419"/>
              </w:rPr>
              <w:t>Noviembre de 2020</w:t>
            </w:r>
          </w:p>
        </w:tc>
        <w:tc>
          <w:tcPr>
            <w:tcW w:w="3460" w:type="pct"/>
            <w:hideMark/>
          </w:tcPr>
          <w:p w14:paraId="28CF9E15" w14:textId="77777777" w:rsidR="009663D8" w:rsidRPr="00932644" w:rsidRDefault="009663D8">
            <w:pPr>
              <w:spacing w:before="120" w:after="120"/>
              <w:rPr>
                <w:rFonts w:ascii="Arial" w:hAnsi="Arial" w:cs="Arial"/>
                <w:sz w:val="22"/>
                <w:szCs w:val="22"/>
                <w:lang w:val="es-419"/>
              </w:rPr>
            </w:pPr>
            <w:r w:rsidRPr="00932644">
              <w:rPr>
                <w:rFonts w:ascii="Arial" w:hAnsi="Arial"/>
                <w:sz w:val="22"/>
                <w:lang w:val="es-419"/>
              </w:rPr>
              <w:t>Puesta en marcha de la encuesta en línea</w:t>
            </w:r>
          </w:p>
        </w:tc>
      </w:tr>
      <w:tr w:rsidR="009663D8" w:rsidRPr="00932644" w14:paraId="35A9E03D" w14:textId="77777777" w:rsidTr="009663D8">
        <w:trPr>
          <w:cantSplit/>
          <w:jc w:val="center"/>
        </w:trPr>
        <w:tc>
          <w:tcPr>
            <w:tcW w:w="1540" w:type="pct"/>
            <w:hideMark/>
          </w:tcPr>
          <w:p w14:paraId="032F8CC1" w14:textId="77777777" w:rsidR="009663D8" w:rsidRPr="00932644" w:rsidRDefault="009663D8">
            <w:pPr>
              <w:spacing w:before="120" w:after="120"/>
              <w:jc w:val="center"/>
              <w:rPr>
                <w:rFonts w:ascii="Arial" w:hAnsi="Arial" w:cs="Arial"/>
                <w:sz w:val="22"/>
                <w:szCs w:val="22"/>
                <w:lang w:val="es-419"/>
              </w:rPr>
            </w:pPr>
            <w:r w:rsidRPr="00932644">
              <w:rPr>
                <w:rFonts w:ascii="Arial" w:hAnsi="Arial"/>
                <w:b/>
                <w:sz w:val="22"/>
                <w:lang w:val="es-419"/>
              </w:rPr>
              <w:t>14 al 19 de diciembre de 2020</w:t>
            </w:r>
          </w:p>
        </w:tc>
        <w:tc>
          <w:tcPr>
            <w:tcW w:w="3460" w:type="pct"/>
            <w:hideMark/>
          </w:tcPr>
          <w:p w14:paraId="52377C56" w14:textId="7DCD8FD8" w:rsidR="009663D8" w:rsidRPr="00932644" w:rsidRDefault="009663D8">
            <w:pPr>
              <w:spacing w:before="120" w:after="120"/>
              <w:rPr>
                <w:rFonts w:ascii="Arial" w:hAnsi="Arial" w:cs="Arial"/>
                <w:sz w:val="22"/>
                <w:szCs w:val="22"/>
                <w:lang w:val="es-419"/>
              </w:rPr>
            </w:pPr>
            <w:r w:rsidRPr="00932644">
              <w:rPr>
                <w:rFonts w:ascii="Arial" w:hAnsi="Arial"/>
                <w:b/>
                <w:sz w:val="22"/>
                <w:lang w:val="es-419"/>
              </w:rPr>
              <w:t>Decimoquint</w:t>
            </w:r>
            <w:r w:rsidR="00173CD9" w:rsidRPr="00932644">
              <w:rPr>
                <w:rFonts w:ascii="Arial" w:hAnsi="Arial"/>
                <w:b/>
                <w:sz w:val="22"/>
                <w:lang w:val="es-419"/>
              </w:rPr>
              <w:t>a</w:t>
            </w:r>
            <w:r w:rsidRPr="00932644">
              <w:rPr>
                <w:rFonts w:ascii="Arial" w:hAnsi="Arial"/>
                <w:b/>
                <w:sz w:val="22"/>
                <w:lang w:val="es-419"/>
              </w:rPr>
              <w:t xml:space="preserve"> reunión del Comité Intergubernamental</w:t>
            </w:r>
          </w:p>
        </w:tc>
      </w:tr>
      <w:tr w:rsidR="009663D8" w:rsidRPr="00932644" w14:paraId="79735C18" w14:textId="77777777" w:rsidTr="009663D8">
        <w:trPr>
          <w:cantSplit/>
          <w:jc w:val="center"/>
        </w:trPr>
        <w:tc>
          <w:tcPr>
            <w:tcW w:w="1540" w:type="pct"/>
            <w:hideMark/>
          </w:tcPr>
          <w:p w14:paraId="510C4B57" w14:textId="77777777" w:rsidR="009663D8" w:rsidRPr="00932644" w:rsidRDefault="009663D8">
            <w:pPr>
              <w:spacing w:before="120" w:after="120"/>
              <w:jc w:val="center"/>
              <w:rPr>
                <w:rFonts w:ascii="Arial" w:hAnsi="Arial" w:cs="Arial"/>
                <w:sz w:val="22"/>
                <w:szCs w:val="22"/>
                <w:lang w:val="es-419"/>
              </w:rPr>
            </w:pPr>
            <w:r w:rsidRPr="00932644">
              <w:rPr>
                <w:rFonts w:ascii="Arial" w:hAnsi="Arial"/>
                <w:sz w:val="22"/>
                <w:lang w:val="es-419"/>
              </w:rPr>
              <w:t>Enero de 2021</w:t>
            </w:r>
          </w:p>
        </w:tc>
        <w:tc>
          <w:tcPr>
            <w:tcW w:w="3460" w:type="pct"/>
            <w:hideMark/>
          </w:tcPr>
          <w:p w14:paraId="5FB337DF" w14:textId="77777777" w:rsidR="009663D8" w:rsidRPr="00932644" w:rsidRDefault="009663D8">
            <w:pPr>
              <w:spacing w:before="120" w:after="120"/>
              <w:rPr>
                <w:rFonts w:ascii="Arial" w:eastAsia="SimSun" w:hAnsi="Arial" w:cs="Arial"/>
                <w:sz w:val="22"/>
                <w:szCs w:val="22"/>
                <w:lang w:val="es-419"/>
              </w:rPr>
            </w:pPr>
            <w:r w:rsidRPr="00932644">
              <w:rPr>
                <w:rFonts w:ascii="Arial" w:hAnsi="Arial"/>
                <w:sz w:val="22"/>
                <w:lang w:val="es-419"/>
              </w:rPr>
              <w:t>Fecha límite para que los expertos completen la encuesta</w:t>
            </w:r>
          </w:p>
        </w:tc>
      </w:tr>
      <w:tr w:rsidR="009663D8" w:rsidRPr="00932644" w14:paraId="7362C72B" w14:textId="77777777" w:rsidTr="009663D8">
        <w:trPr>
          <w:cantSplit/>
          <w:jc w:val="center"/>
        </w:trPr>
        <w:tc>
          <w:tcPr>
            <w:tcW w:w="1540" w:type="pct"/>
            <w:hideMark/>
          </w:tcPr>
          <w:p w14:paraId="59A10F1C" w14:textId="77777777" w:rsidR="009663D8" w:rsidRPr="00932644" w:rsidRDefault="009663D8">
            <w:pPr>
              <w:spacing w:before="120" w:after="120"/>
              <w:jc w:val="center"/>
              <w:rPr>
                <w:rFonts w:ascii="Arial" w:hAnsi="Arial" w:cs="Arial"/>
                <w:sz w:val="22"/>
                <w:szCs w:val="22"/>
                <w:lang w:val="es-419"/>
              </w:rPr>
            </w:pPr>
            <w:r w:rsidRPr="00932644">
              <w:rPr>
                <w:rFonts w:ascii="Arial" w:hAnsi="Arial"/>
                <w:sz w:val="22"/>
                <w:lang w:val="es-419"/>
              </w:rPr>
              <w:t>Febrero de 2021</w:t>
            </w:r>
          </w:p>
        </w:tc>
        <w:tc>
          <w:tcPr>
            <w:tcW w:w="3460" w:type="pct"/>
            <w:hideMark/>
          </w:tcPr>
          <w:p w14:paraId="12CD91E5" w14:textId="77777777" w:rsidR="009663D8" w:rsidRPr="00932644" w:rsidRDefault="009663D8">
            <w:pPr>
              <w:spacing w:before="120" w:after="120"/>
              <w:rPr>
                <w:rFonts w:ascii="Arial" w:eastAsiaTheme="minorEastAsia" w:hAnsi="Arial" w:cs="Arial"/>
                <w:sz w:val="22"/>
                <w:szCs w:val="22"/>
                <w:lang w:val="es-419"/>
              </w:rPr>
            </w:pPr>
            <w:r w:rsidRPr="00932644">
              <w:rPr>
                <w:rFonts w:ascii="Arial" w:hAnsi="Arial"/>
                <w:sz w:val="22"/>
                <w:lang w:val="es-419"/>
              </w:rPr>
              <w:t>Primera reunión plenaria en línea de expertos y creación de los grupos de trabajo</w:t>
            </w:r>
          </w:p>
        </w:tc>
      </w:tr>
      <w:tr w:rsidR="009663D8" w:rsidRPr="00932644" w14:paraId="586A1601" w14:textId="77777777" w:rsidTr="009663D8">
        <w:trPr>
          <w:cantSplit/>
          <w:jc w:val="center"/>
        </w:trPr>
        <w:tc>
          <w:tcPr>
            <w:tcW w:w="1540" w:type="pct"/>
            <w:hideMark/>
          </w:tcPr>
          <w:p w14:paraId="2F7FB9AE" w14:textId="77777777" w:rsidR="009663D8" w:rsidRPr="00932644" w:rsidRDefault="009663D8">
            <w:pPr>
              <w:spacing w:before="120" w:after="120"/>
              <w:jc w:val="center"/>
              <w:rPr>
                <w:rFonts w:ascii="Arial" w:hAnsi="Arial" w:cs="Arial"/>
                <w:sz w:val="22"/>
                <w:szCs w:val="22"/>
                <w:lang w:val="es-419"/>
              </w:rPr>
            </w:pPr>
            <w:r w:rsidRPr="00932644">
              <w:rPr>
                <w:rFonts w:ascii="Arial" w:hAnsi="Arial"/>
                <w:sz w:val="22"/>
                <w:lang w:val="es-419"/>
              </w:rPr>
              <w:t>Febrero/marzo de 2021</w:t>
            </w:r>
          </w:p>
        </w:tc>
        <w:tc>
          <w:tcPr>
            <w:tcW w:w="3460" w:type="pct"/>
            <w:hideMark/>
          </w:tcPr>
          <w:p w14:paraId="520301D4" w14:textId="77777777" w:rsidR="009663D8" w:rsidRPr="00932644" w:rsidRDefault="009663D8">
            <w:pPr>
              <w:spacing w:before="120" w:after="120"/>
              <w:rPr>
                <w:rFonts w:ascii="Arial" w:hAnsi="Arial" w:cs="Arial"/>
                <w:sz w:val="22"/>
                <w:szCs w:val="22"/>
                <w:lang w:val="es-419"/>
              </w:rPr>
            </w:pPr>
            <w:r w:rsidRPr="00932644">
              <w:rPr>
                <w:rFonts w:ascii="Arial" w:hAnsi="Arial"/>
                <w:sz w:val="22"/>
                <w:lang w:val="es-419"/>
              </w:rPr>
              <w:t>Análisis de los resultados de la encuesta a través de reuniones en línea de los grupos de trabajo</w:t>
            </w:r>
          </w:p>
        </w:tc>
      </w:tr>
      <w:tr w:rsidR="009663D8" w:rsidRPr="00932644" w14:paraId="358C95CB" w14:textId="77777777" w:rsidTr="009663D8">
        <w:trPr>
          <w:cantSplit/>
          <w:jc w:val="center"/>
        </w:trPr>
        <w:tc>
          <w:tcPr>
            <w:tcW w:w="1540" w:type="pct"/>
            <w:hideMark/>
          </w:tcPr>
          <w:p w14:paraId="78DB0518" w14:textId="77777777" w:rsidR="009663D8" w:rsidRPr="00932644" w:rsidRDefault="009663D8">
            <w:pPr>
              <w:spacing w:before="120" w:after="120"/>
              <w:jc w:val="center"/>
              <w:rPr>
                <w:rFonts w:ascii="Arial" w:hAnsi="Arial" w:cs="Arial"/>
                <w:sz w:val="22"/>
                <w:szCs w:val="22"/>
                <w:lang w:val="es-419"/>
              </w:rPr>
            </w:pPr>
            <w:r w:rsidRPr="00932644">
              <w:rPr>
                <w:rFonts w:ascii="Arial" w:hAnsi="Arial"/>
                <w:sz w:val="22"/>
                <w:lang w:val="es-419"/>
              </w:rPr>
              <w:t xml:space="preserve">Marzo de 2021 </w:t>
            </w:r>
          </w:p>
        </w:tc>
        <w:tc>
          <w:tcPr>
            <w:tcW w:w="3460" w:type="pct"/>
            <w:hideMark/>
          </w:tcPr>
          <w:p w14:paraId="055F56AB" w14:textId="77777777" w:rsidR="009663D8" w:rsidRPr="00932644" w:rsidRDefault="009663D8">
            <w:pPr>
              <w:spacing w:before="120" w:after="120"/>
              <w:rPr>
                <w:rFonts w:ascii="Arial" w:hAnsi="Arial" w:cs="Arial"/>
                <w:sz w:val="22"/>
                <w:szCs w:val="22"/>
                <w:lang w:val="es-419"/>
              </w:rPr>
            </w:pPr>
            <w:r w:rsidRPr="00932644">
              <w:rPr>
                <w:rFonts w:ascii="Arial" w:hAnsi="Arial"/>
                <w:sz w:val="22"/>
                <w:lang w:val="es-419"/>
              </w:rPr>
              <w:t>Segunda reunión plenaria en línea de expertos (día 1): Presentación de las recomendaciones de los grupos de trabajo</w:t>
            </w:r>
          </w:p>
        </w:tc>
      </w:tr>
      <w:tr w:rsidR="009663D8" w:rsidRPr="00932644" w14:paraId="19782705" w14:textId="77777777" w:rsidTr="009663D8">
        <w:trPr>
          <w:cantSplit/>
          <w:jc w:val="center"/>
        </w:trPr>
        <w:tc>
          <w:tcPr>
            <w:tcW w:w="1540" w:type="pct"/>
            <w:hideMark/>
          </w:tcPr>
          <w:p w14:paraId="6D5B6502" w14:textId="77777777" w:rsidR="009663D8" w:rsidRPr="00932644" w:rsidRDefault="009663D8">
            <w:pPr>
              <w:spacing w:before="120" w:after="120"/>
              <w:jc w:val="center"/>
              <w:rPr>
                <w:rFonts w:ascii="Arial" w:hAnsi="Arial" w:cs="Arial"/>
                <w:sz w:val="22"/>
                <w:szCs w:val="22"/>
                <w:lang w:val="es-419"/>
              </w:rPr>
            </w:pPr>
            <w:r w:rsidRPr="00932644">
              <w:rPr>
                <w:rFonts w:ascii="Arial" w:hAnsi="Arial"/>
                <w:sz w:val="22"/>
                <w:lang w:val="es-419"/>
              </w:rPr>
              <w:t>Marzo de 2021</w:t>
            </w:r>
          </w:p>
        </w:tc>
        <w:tc>
          <w:tcPr>
            <w:tcW w:w="3460" w:type="pct"/>
            <w:hideMark/>
          </w:tcPr>
          <w:p w14:paraId="663EFCE1" w14:textId="77777777" w:rsidR="009663D8" w:rsidRPr="00932644" w:rsidRDefault="009663D8">
            <w:pPr>
              <w:spacing w:before="120" w:after="120"/>
              <w:rPr>
                <w:rFonts w:ascii="Arial" w:hAnsi="Arial" w:cs="Arial"/>
                <w:sz w:val="22"/>
                <w:szCs w:val="22"/>
                <w:lang w:val="es-419"/>
              </w:rPr>
            </w:pPr>
            <w:r w:rsidRPr="00932644">
              <w:rPr>
                <w:rFonts w:ascii="Arial" w:hAnsi="Arial"/>
                <w:sz w:val="22"/>
                <w:lang w:val="es-419"/>
              </w:rPr>
              <w:t>Segunda reunión plenaria en línea de expertos (día 2): Armonización de las recomendaciones y conclusiones</w:t>
            </w:r>
          </w:p>
        </w:tc>
      </w:tr>
      <w:tr w:rsidR="009663D8" w:rsidRPr="00932644" w14:paraId="1D2CE90B" w14:textId="77777777" w:rsidTr="009663D8">
        <w:trPr>
          <w:cantSplit/>
          <w:jc w:val="center"/>
        </w:trPr>
        <w:tc>
          <w:tcPr>
            <w:tcW w:w="1540" w:type="pct"/>
            <w:hideMark/>
          </w:tcPr>
          <w:p w14:paraId="317DB825" w14:textId="77777777" w:rsidR="009663D8" w:rsidRPr="00932644" w:rsidRDefault="009663D8">
            <w:pPr>
              <w:spacing w:before="120" w:after="120"/>
              <w:jc w:val="center"/>
              <w:rPr>
                <w:rFonts w:ascii="Arial" w:hAnsi="Arial" w:cs="Arial"/>
                <w:sz w:val="22"/>
                <w:szCs w:val="22"/>
                <w:lang w:val="es-419"/>
              </w:rPr>
            </w:pPr>
            <w:r w:rsidRPr="00932644">
              <w:rPr>
                <w:rFonts w:ascii="Arial" w:hAnsi="Arial"/>
                <w:sz w:val="22"/>
                <w:lang w:val="es-419"/>
              </w:rPr>
              <w:t>Mayo de 2021</w:t>
            </w:r>
          </w:p>
        </w:tc>
        <w:tc>
          <w:tcPr>
            <w:tcW w:w="3460" w:type="pct"/>
            <w:hideMark/>
          </w:tcPr>
          <w:p w14:paraId="3F0E284D" w14:textId="77777777" w:rsidR="009663D8" w:rsidRPr="00932644" w:rsidRDefault="009663D8">
            <w:pPr>
              <w:spacing w:before="120" w:after="120"/>
              <w:rPr>
                <w:rFonts w:ascii="Arial" w:hAnsi="Arial" w:cs="Arial"/>
                <w:sz w:val="22"/>
                <w:szCs w:val="22"/>
                <w:lang w:val="es-419"/>
              </w:rPr>
            </w:pPr>
            <w:r w:rsidRPr="00932644">
              <w:rPr>
                <w:rFonts w:ascii="Arial" w:hAnsi="Arial"/>
                <w:sz w:val="22"/>
                <w:lang w:val="es-419"/>
              </w:rPr>
              <w:t xml:space="preserve">Publicación en línea de los documentos de trabajo para el grupo de trabajo intergubernamental de composición abierta </w:t>
            </w:r>
          </w:p>
        </w:tc>
      </w:tr>
      <w:tr w:rsidR="009663D8" w:rsidRPr="00932644" w14:paraId="22B0BF2A" w14:textId="77777777" w:rsidTr="009663D8">
        <w:trPr>
          <w:cantSplit/>
          <w:jc w:val="center"/>
        </w:trPr>
        <w:tc>
          <w:tcPr>
            <w:tcW w:w="1540" w:type="pct"/>
            <w:hideMark/>
          </w:tcPr>
          <w:p w14:paraId="5EF50105" w14:textId="77777777" w:rsidR="009663D8" w:rsidRPr="00932644" w:rsidRDefault="009663D8">
            <w:pPr>
              <w:spacing w:before="120" w:after="120"/>
              <w:jc w:val="center"/>
              <w:rPr>
                <w:rFonts w:ascii="Arial" w:hAnsi="Arial" w:cs="Arial"/>
                <w:sz w:val="22"/>
                <w:szCs w:val="22"/>
                <w:lang w:val="es-419"/>
              </w:rPr>
            </w:pPr>
            <w:r w:rsidRPr="00932644">
              <w:rPr>
                <w:rFonts w:ascii="Arial" w:hAnsi="Arial"/>
                <w:sz w:val="22"/>
                <w:lang w:val="es-419"/>
              </w:rPr>
              <w:t>Junio de 2021</w:t>
            </w:r>
          </w:p>
        </w:tc>
        <w:tc>
          <w:tcPr>
            <w:tcW w:w="3460" w:type="pct"/>
            <w:hideMark/>
          </w:tcPr>
          <w:p w14:paraId="7834F53B" w14:textId="77777777" w:rsidR="009663D8" w:rsidRPr="00932644" w:rsidRDefault="009663D8">
            <w:pPr>
              <w:spacing w:before="120" w:after="120"/>
              <w:rPr>
                <w:rFonts w:ascii="Arial" w:hAnsi="Arial" w:cs="Arial"/>
                <w:sz w:val="22"/>
                <w:szCs w:val="22"/>
                <w:lang w:val="es-419"/>
              </w:rPr>
            </w:pPr>
            <w:r w:rsidRPr="00932644">
              <w:rPr>
                <w:rFonts w:ascii="Arial" w:hAnsi="Arial"/>
                <w:sz w:val="22"/>
                <w:lang w:val="es-419"/>
              </w:rPr>
              <w:t>Reunión del grupo de trabajo intergubernamental de composición abierta</w:t>
            </w:r>
          </w:p>
        </w:tc>
      </w:tr>
      <w:tr w:rsidR="009663D8" w:rsidRPr="00932644" w14:paraId="6C25B3E2" w14:textId="77777777" w:rsidTr="009663D8">
        <w:trPr>
          <w:cantSplit/>
          <w:jc w:val="center"/>
        </w:trPr>
        <w:tc>
          <w:tcPr>
            <w:tcW w:w="1540" w:type="pct"/>
            <w:hideMark/>
          </w:tcPr>
          <w:p w14:paraId="71A262EE" w14:textId="77777777" w:rsidR="009663D8" w:rsidRPr="00932644" w:rsidRDefault="009663D8">
            <w:pPr>
              <w:spacing w:before="120" w:after="120"/>
              <w:jc w:val="center"/>
              <w:rPr>
                <w:rFonts w:ascii="Arial" w:hAnsi="Arial" w:cs="Arial"/>
                <w:b/>
                <w:sz w:val="22"/>
                <w:szCs w:val="22"/>
                <w:lang w:val="es-419"/>
              </w:rPr>
            </w:pPr>
            <w:r w:rsidRPr="00932644">
              <w:rPr>
                <w:rFonts w:ascii="Arial" w:hAnsi="Arial"/>
                <w:b/>
                <w:sz w:val="22"/>
                <w:lang w:val="es-419"/>
              </w:rPr>
              <w:t>Noviembre/diciembre de 2021</w:t>
            </w:r>
          </w:p>
        </w:tc>
        <w:tc>
          <w:tcPr>
            <w:tcW w:w="3460" w:type="pct"/>
            <w:hideMark/>
          </w:tcPr>
          <w:p w14:paraId="7DBA38E5" w14:textId="77777777" w:rsidR="009663D8" w:rsidRPr="00932644" w:rsidRDefault="009663D8">
            <w:pPr>
              <w:spacing w:before="120" w:after="120"/>
              <w:rPr>
                <w:rFonts w:ascii="Arial" w:hAnsi="Arial" w:cs="Arial"/>
                <w:b/>
                <w:sz w:val="22"/>
                <w:szCs w:val="22"/>
                <w:lang w:val="es-419"/>
              </w:rPr>
            </w:pPr>
            <w:r w:rsidRPr="00932644">
              <w:rPr>
                <w:rFonts w:ascii="Arial" w:hAnsi="Arial"/>
                <w:b/>
                <w:sz w:val="22"/>
                <w:lang w:val="es-419"/>
              </w:rPr>
              <w:t>Decimosexta reunión del Comité Intergubernamental</w:t>
            </w:r>
          </w:p>
        </w:tc>
      </w:tr>
    </w:tbl>
    <w:p w14:paraId="758498CB" w14:textId="307E5F43" w:rsidR="009663D8" w:rsidRPr="00932644" w:rsidRDefault="009663D8" w:rsidP="006876D3">
      <w:pPr>
        <w:pStyle w:val="GATitleResolution"/>
        <w:rPr>
          <w:lang w:val="es-419"/>
        </w:rPr>
      </w:pPr>
      <w:r w:rsidRPr="00932644">
        <w:rPr>
          <w:bCs/>
          <w:lang w:val="es-419"/>
        </w:rPr>
        <w:t>RESOLUCIÓN 8.GA 12</w:t>
      </w:r>
    </w:p>
    <w:p w14:paraId="7AE69EC6" w14:textId="77777777" w:rsidR="009663D8" w:rsidRPr="00932644" w:rsidRDefault="009663D8" w:rsidP="001D2C04">
      <w:pPr>
        <w:pStyle w:val="GAPreambulaResolution"/>
        <w:ind w:left="0"/>
        <w:rPr>
          <w:rFonts w:eastAsia="SimSun"/>
          <w:lang w:val="es-419"/>
        </w:rPr>
      </w:pPr>
      <w:r w:rsidRPr="00932644">
        <w:rPr>
          <w:lang w:val="es-419"/>
        </w:rPr>
        <w:t>La Asamblea General,</w:t>
      </w:r>
    </w:p>
    <w:p w14:paraId="7C661C05" w14:textId="5C423CAD" w:rsidR="009663D8" w:rsidRPr="00932644" w:rsidRDefault="009663D8" w:rsidP="001D2C04">
      <w:pPr>
        <w:pStyle w:val="GAParaResolution"/>
        <w:numPr>
          <w:ilvl w:val="0"/>
          <w:numId w:val="65"/>
        </w:numPr>
        <w:ind w:left="567" w:hanging="567"/>
        <w:rPr>
          <w:lang w:val="es-419"/>
        </w:rPr>
      </w:pPr>
      <w:r w:rsidRPr="00932644">
        <w:rPr>
          <w:lang w:val="es-419"/>
        </w:rPr>
        <w:t>Habiendo examinado</w:t>
      </w:r>
      <w:r w:rsidRPr="00932644">
        <w:rPr>
          <w:u w:val="none"/>
          <w:lang w:val="es-419"/>
        </w:rPr>
        <w:t xml:space="preserve"> el documento </w:t>
      </w:r>
      <w:hyperlink r:id="rId40" w:history="1">
        <w:r w:rsidRPr="00932644">
          <w:rPr>
            <w:rStyle w:val="Lienhypertexte"/>
            <w:lang w:val="es-419"/>
          </w:rPr>
          <w:t>LHE/20/8.GA/12</w:t>
        </w:r>
      </w:hyperlink>
      <w:r w:rsidRPr="00932644">
        <w:rPr>
          <w:u w:val="none"/>
          <w:lang w:val="es-419"/>
        </w:rPr>
        <w:t>,</w:t>
      </w:r>
    </w:p>
    <w:p w14:paraId="744DE306" w14:textId="77777777" w:rsidR="009663D8" w:rsidRPr="00932644" w:rsidRDefault="009663D8" w:rsidP="001D2C04">
      <w:pPr>
        <w:pStyle w:val="COMParaDecision"/>
        <w:numPr>
          <w:ilvl w:val="0"/>
          <w:numId w:val="11"/>
        </w:numPr>
        <w:ind w:left="567" w:hanging="567"/>
        <w:rPr>
          <w:lang w:val="es-419"/>
        </w:rPr>
      </w:pPr>
      <w:r w:rsidRPr="00932644">
        <w:rPr>
          <w:lang w:val="es-419"/>
        </w:rPr>
        <w:t>Recordando</w:t>
      </w:r>
      <w:r w:rsidRPr="00932644">
        <w:rPr>
          <w:u w:val="none"/>
          <w:lang w:val="es-419"/>
        </w:rPr>
        <w:t xml:space="preserve"> el Artículo 9 de la Convención y el capítulo III.2 de las Directrices Operativas,</w:t>
      </w:r>
    </w:p>
    <w:p w14:paraId="6B0B5D14" w14:textId="372B19DB" w:rsidR="009663D8" w:rsidRPr="00932644" w:rsidRDefault="009663D8" w:rsidP="001D2C04">
      <w:pPr>
        <w:pStyle w:val="COMParaDecision"/>
        <w:numPr>
          <w:ilvl w:val="0"/>
          <w:numId w:val="11"/>
        </w:numPr>
        <w:ind w:left="567" w:hanging="567"/>
        <w:rPr>
          <w:lang w:val="es-419"/>
        </w:rPr>
      </w:pPr>
      <w:r w:rsidRPr="00932644">
        <w:rPr>
          <w:lang w:val="es-419"/>
        </w:rPr>
        <w:lastRenderedPageBreak/>
        <w:t>Recordando también</w:t>
      </w:r>
      <w:r w:rsidRPr="00932644">
        <w:rPr>
          <w:u w:val="none"/>
          <w:lang w:val="es-419"/>
        </w:rPr>
        <w:t xml:space="preserve"> la</w:t>
      </w:r>
      <w:r w:rsidR="003B1118" w:rsidRPr="00932644">
        <w:rPr>
          <w:u w:val="none"/>
          <w:lang w:val="es-419"/>
        </w:rPr>
        <w:t>s Decisiones</w:t>
      </w:r>
      <w:r w:rsidRPr="00932644">
        <w:rPr>
          <w:u w:val="none"/>
          <w:lang w:val="es-419"/>
        </w:rPr>
        <w:t xml:space="preserve"> </w:t>
      </w:r>
      <w:hyperlink r:id="rId41" w:history="1">
        <w:r w:rsidRPr="00932644">
          <w:rPr>
            <w:rStyle w:val="Lienhypertexte"/>
            <w:lang w:val="es-419"/>
          </w:rPr>
          <w:t>12.COM 13</w:t>
        </w:r>
      </w:hyperlink>
      <w:r w:rsidRPr="00932644">
        <w:rPr>
          <w:u w:val="none"/>
          <w:lang w:val="es-419"/>
        </w:rPr>
        <w:t xml:space="preserve">, </w:t>
      </w:r>
      <w:hyperlink r:id="rId42" w:history="1">
        <w:r w:rsidRPr="00932644">
          <w:rPr>
            <w:rStyle w:val="Lienhypertexte"/>
            <w:lang w:val="es-419"/>
          </w:rPr>
          <w:t>12.COM 17</w:t>
        </w:r>
      </w:hyperlink>
      <w:r w:rsidRPr="00932644">
        <w:rPr>
          <w:u w:val="none"/>
          <w:lang w:val="es-419"/>
        </w:rPr>
        <w:t xml:space="preserve">, </w:t>
      </w:r>
      <w:hyperlink r:id="rId43" w:history="1">
        <w:r w:rsidRPr="00932644">
          <w:rPr>
            <w:rStyle w:val="Lienhypertexte"/>
            <w:lang w:val="es-419"/>
          </w:rPr>
          <w:t>13.COM 13</w:t>
        </w:r>
      </w:hyperlink>
      <w:r w:rsidRPr="00932644">
        <w:rPr>
          <w:u w:val="none"/>
          <w:lang w:val="es-419"/>
        </w:rPr>
        <w:t xml:space="preserve">, </w:t>
      </w:r>
      <w:hyperlink r:id="rId44" w:history="1">
        <w:r w:rsidRPr="00932644">
          <w:rPr>
            <w:rStyle w:val="Lienhypertexte"/>
            <w:lang w:val="es-419"/>
          </w:rPr>
          <w:t>13.COM 16</w:t>
        </w:r>
      </w:hyperlink>
      <w:r w:rsidRPr="00932644">
        <w:rPr>
          <w:u w:val="none"/>
          <w:lang w:val="es-419"/>
        </w:rPr>
        <w:t xml:space="preserve">, </w:t>
      </w:r>
      <w:hyperlink r:id="rId45" w:history="1">
        <w:r w:rsidRPr="00932644">
          <w:rPr>
            <w:rStyle w:val="Lienhypertexte"/>
            <w:lang w:val="es-419"/>
          </w:rPr>
          <w:t>14.COM 15</w:t>
        </w:r>
      </w:hyperlink>
      <w:r w:rsidRPr="00932644">
        <w:rPr>
          <w:u w:val="none"/>
          <w:lang w:val="es-419"/>
        </w:rPr>
        <w:t xml:space="preserve"> y </w:t>
      </w:r>
      <w:hyperlink r:id="rId46" w:history="1">
        <w:r w:rsidRPr="00932644">
          <w:rPr>
            <w:rStyle w:val="Lienhypertexte"/>
            <w:lang w:val="es-419"/>
          </w:rPr>
          <w:t>14.COM 16</w:t>
        </w:r>
      </w:hyperlink>
      <w:r w:rsidRPr="00932644">
        <w:rPr>
          <w:u w:val="none"/>
          <w:lang w:val="es-419"/>
        </w:rPr>
        <w:t>, así como la</w:t>
      </w:r>
      <w:r w:rsidR="003B1118" w:rsidRPr="00932644">
        <w:rPr>
          <w:u w:val="none"/>
          <w:lang w:val="es-419"/>
        </w:rPr>
        <w:t>s Resoluciones</w:t>
      </w:r>
      <w:r w:rsidRPr="00932644">
        <w:rPr>
          <w:u w:val="none"/>
          <w:lang w:val="es-419"/>
        </w:rPr>
        <w:t xml:space="preserve"> </w:t>
      </w:r>
      <w:hyperlink r:id="rId47" w:history="1">
        <w:r w:rsidRPr="00932644">
          <w:rPr>
            <w:rStyle w:val="Lienhypertexte"/>
            <w:lang w:val="es-419"/>
          </w:rPr>
          <w:t>7.GA 6</w:t>
        </w:r>
      </w:hyperlink>
      <w:r w:rsidRPr="00932644">
        <w:rPr>
          <w:rStyle w:val="Lienhypertexte"/>
          <w:lang w:val="es-419"/>
        </w:rPr>
        <w:t xml:space="preserve"> </w:t>
      </w:r>
      <w:r w:rsidRPr="00932644">
        <w:rPr>
          <w:u w:val="none"/>
          <w:lang w:val="es-419"/>
        </w:rPr>
        <w:t xml:space="preserve">y </w:t>
      </w:r>
      <w:hyperlink r:id="rId48" w:history="1">
        <w:r w:rsidRPr="00932644">
          <w:rPr>
            <w:rStyle w:val="Lienhypertexte"/>
            <w:lang w:val="es-419"/>
          </w:rPr>
          <w:t>7.GA 11</w:t>
        </w:r>
      </w:hyperlink>
      <w:r w:rsidRPr="00932644">
        <w:rPr>
          <w:u w:val="none"/>
          <w:lang w:val="es-419"/>
        </w:rPr>
        <w:t>,</w:t>
      </w:r>
    </w:p>
    <w:p w14:paraId="2DFECADE" w14:textId="77777777" w:rsidR="009663D8" w:rsidRPr="00932644" w:rsidRDefault="009663D8" w:rsidP="001D2C04">
      <w:pPr>
        <w:pStyle w:val="GAParaResolution"/>
        <w:ind w:left="567" w:hanging="567"/>
        <w:rPr>
          <w:u w:val="none"/>
          <w:lang w:val="es-419"/>
        </w:rPr>
      </w:pPr>
      <w:r w:rsidRPr="00932644">
        <w:rPr>
          <w:lang w:val="es-419"/>
        </w:rPr>
        <w:t xml:space="preserve">Felicita </w:t>
      </w:r>
      <w:r w:rsidRPr="00932644">
        <w:rPr>
          <w:u w:val="none"/>
          <w:lang w:val="es-419"/>
        </w:rPr>
        <w:t xml:space="preserve">a la Secretaría, a las organizaciones no gubernamentales acreditadas, al Foro de ONG dedicadas al PCI, al grupo de trabajo informal </w:t>
      </w:r>
      <w:r w:rsidRPr="00932644">
        <w:rPr>
          <w:i/>
          <w:iCs/>
          <w:u w:val="none"/>
          <w:lang w:val="es-419"/>
        </w:rPr>
        <w:t>ad hoc</w:t>
      </w:r>
      <w:r w:rsidRPr="00932644">
        <w:rPr>
          <w:u w:val="none"/>
          <w:lang w:val="es-419"/>
        </w:rPr>
        <w:t xml:space="preserve"> de composición abierta y a los Estados Partes por llevar a cabo la reflexión sobre la participación de las organizaciones no gubernamentales en la aplicación de la Convención;</w:t>
      </w:r>
    </w:p>
    <w:p w14:paraId="22B97134" w14:textId="77777777" w:rsidR="009663D8" w:rsidRPr="00932644" w:rsidRDefault="009663D8" w:rsidP="001D2C04">
      <w:pPr>
        <w:pStyle w:val="COMParaDecision"/>
        <w:numPr>
          <w:ilvl w:val="0"/>
          <w:numId w:val="11"/>
        </w:numPr>
        <w:ind w:left="567" w:hanging="567"/>
        <w:rPr>
          <w:lang w:val="es-419"/>
        </w:rPr>
      </w:pPr>
      <w:r w:rsidRPr="00932644">
        <w:rPr>
          <w:lang w:val="es-419"/>
        </w:rPr>
        <w:t>Reconoce</w:t>
      </w:r>
      <w:r w:rsidRPr="00932644">
        <w:rPr>
          <w:u w:val="none"/>
          <w:lang w:val="es-419"/>
        </w:rPr>
        <w:t xml:space="preserve"> la importante función y el potencial inexplotado de las organizaciones no gubernamentales acreditadas y del Foro de ONG dedicadas al PCI en la prestación de apoyo para la aplicación de la Convención;</w:t>
      </w:r>
    </w:p>
    <w:p w14:paraId="3F38A777" w14:textId="0DFB953B" w:rsidR="009663D8" w:rsidRPr="00932644" w:rsidRDefault="009663D8" w:rsidP="003B1118">
      <w:pPr>
        <w:pStyle w:val="COMParaDecision"/>
        <w:numPr>
          <w:ilvl w:val="0"/>
          <w:numId w:val="11"/>
        </w:numPr>
        <w:ind w:left="567" w:hanging="567"/>
        <w:rPr>
          <w:snapToGrid w:val="0"/>
          <w:lang w:val="es-419"/>
        </w:rPr>
      </w:pPr>
      <w:r w:rsidRPr="00932644">
        <w:rPr>
          <w:lang w:val="es-419"/>
        </w:rPr>
        <w:t>Acoge con satisfacción</w:t>
      </w:r>
      <w:r w:rsidRPr="00932644">
        <w:rPr>
          <w:u w:val="none"/>
          <w:lang w:val="es-419"/>
        </w:rPr>
        <w:t xml:space="preserve"> el punto específico "Informe del Foro de las Organizaciones no Gubernamentales" que se inscribirá, </w:t>
      </w:r>
      <w:r w:rsidR="000F1F86" w:rsidRPr="00932644">
        <w:rPr>
          <w:u w:val="none"/>
          <w:lang w:val="es-419"/>
        </w:rPr>
        <w:t>de manera</w:t>
      </w:r>
      <w:r w:rsidRPr="00932644">
        <w:rPr>
          <w:u w:val="none"/>
          <w:lang w:val="es-419"/>
        </w:rPr>
        <w:t xml:space="preserve"> experimental, en el orden del día provisional de la decimoquinta reunión del Comité;</w:t>
      </w:r>
    </w:p>
    <w:p w14:paraId="7B7D5652" w14:textId="7546BF9B" w:rsidR="009663D8" w:rsidRPr="00932644" w:rsidRDefault="009663D8" w:rsidP="003B1118">
      <w:pPr>
        <w:pStyle w:val="COMParaDecision"/>
        <w:numPr>
          <w:ilvl w:val="0"/>
          <w:numId w:val="11"/>
        </w:numPr>
        <w:ind w:left="567" w:hanging="567"/>
        <w:rPr>
          <w:snapToGrid w:val="0"/>
          <w:lang w:val="es-419"/>
        </w:rPr>
      </w:pPr>
      <w:r w:rsidRPr="00932644">
        <w:rPr>
          <w:lang w:val="es-419"/>
        </w:rPr>
        <w:t>Toma nota</w:t>
      </w:r>
      <w:r w:rsidRPr="00932644">
        <w:rPr>
          <w:u w:val="none"/>
          <w:lang w:val="es-419"/>
        </w:rPr>
        <w:t xml:space="preserve"> de los resultados del proceso de reflexión y </w:t>
      </w:r>
      <w:r w:rsidR="00742E92" w:rsidRPr="00932644">
        <w:rPr>
          <w:lang w:val="es-419"/>
        </w:rPr>
        <w:t>solicita</w:t>
      </w:r>
      <w:r w:rsidR="00742E92" w:rsidRPr="00932644">
        <w:rPr>
          <w:u w:val="none"/>
          <w:lang w:val="es-419"/>
        </w:rPr>
        <w:t xml:space="preserve"> </w:t>
      </w:r>
      <w:r w:rsidRPr="00932644">
        <w:rPr>
          <w:u w:val="none"/>
          <w:lang w:val="es-419"/>
        </w:rPr>
        <w:t>a la Secretaría que aplique, según proceda, las decisiones pertinentes del Comité en consulta y con la colaboración del Foro de ONG dedicadas al PCI.</w:t>
      </w:r>
    </w:p>
    <w:p w14:paraId="5A6CE079" w14:textId="4EF99C28" w:rsidR="00AF17D5" w:rsidRPr="00932644" w:rsidRDefault="00AF17D5" w:rsidP="00AF17D5">
      <w:pPr>
        <w:pStyle w:val="GATitleResolution"/>
        <w:rPr>
          <w:lang w:val="es-419"/>
        </w:rPr>
      </w:pPr>
      <w:r w:rsidRPr="00932644">
        <w:rPr>
          <w:lang w:val="es-419"/>
        </w:rPr>
        <w:t>RESOLUCIÓN 8.GA 13</w:t>
      </w:r>
    </w:p>
    <w:p w14:paraId="1DEC63D1" w14:textId="77777777" w:rsidR="00AF17D5" w:rsidRPr="00932644" w:rsidRDefault="00AF17D5" w:rsidP="003B1118">
      <w:pPr>
        <w:pStyle w:val="GAPreambulaResolution"/>
        <w:ind w:left="0"/>
        <w:rPr>
          <w:rFonts w:eastAsia="SimSun"/>
          <w:lang w:val="es-419"/>
        </w:rPr>
      </w:pPr>
      <w:r w:rsidRPr="00932644">
        <w:rPr>
          <w:lang w:val="es-419"/>
        </w:rPr>
        <w:t>La Asamblea General,</w:t>
      </w:r>
    </w:p>
    <w:p w14:paraId="10BE04F2" w14:textId="1CD8D016" w:rsidR="00AF17D5" w:rsidRPr="00932644" w:rsidRDefault="00AF17D5" w:rsidP="003B1118">
      <w:pPr>
        <w:pStyle w:val="GAParaResolution"/>
        <w:numPr>
          <w:ilvl w:val="0"/>
          <w:numId w:val="66"/>
        </w:numPr>
        <w:ind w:left="567" w:hanging="567"/>
        <w:rPr>
          <w:lang w:val="es-419"/>
        </w:rPr>
      </w:pPr>
      <w:r w:rsidRPr="00932644">
        <w:rPr>
          <w:lang w:val="es-419"/>
        </w:rPr>
        <w:t>Habiendo examinado</w:t>
      </w:r>
      <w:r w:rsidRPr="00932644">
        <w:rPr>
          <w:u w:val="none"/>
          <w:lang w:val="es-419"/>
        </w:rPr>
        <w:t xml:space="preserve"> el documento </w:t>
      </w:r>
      <w:hyperlink r:id="rId49" w:history="1">
        <w:r w:rsidRPr="00932644">
          <w:rPr>
            <w:rStyle w:val="Lienhypertexte"/>
            <w:lang w:val="es-419"/>
          </w:rPr>
          <w:t>LHE/20/8.GA/13</w:t>
        </w:r>
      </w:hyperlink>
      <w:r w:rsidR="002A4782" w:rsidRPr="00932644">
        <w:rPr>
          <w:u w:val="none"/>
          <w:lang w:val="es-419"/>
        </w:rPr>
        <w:t xml:space="preserve"> y su anexo</w:t>
      </w:r>
      <w:r w:rsidRPr="00932644">
        <w:rPr>
          <w:u w:val="none"/>
          <w:lang w:val="es-419"/>
        </w:rPr>
        <w:t>,</w:t>
      </w:r>
    </w:p>
    <w:p w14:paraId="64D07E58" w14:textId="77777777" w:rsidR="00AF17D5" w:rsidRPr="00932644" w:rsidRDefault="00AF17D5" w:rsidP="003B1118">
      <w:pPr>
        <w:pStyle w:val="COMParaDecision"/>
        <w:numPr>
          <w:ilvl w:val="0"/>
          <w:numId w:val="11"/>
        </w:numPr>
        <w:ind w:left="567" w:hanging="567"/>
        <w:rPr>
          <w:lang w:val="es-419"/>
        </w:rPr>
      </w:pPr>
      <w:r w:rsidRPr="00932644">
        <w:rPr>
          <w:lang w:val="es-419"/>
        </w:rPr>
        <w:t>Recordando</w:t>
      </w:r>
      <w:r w:rsidRPr="00932644">
        <w:rPr>
          <w:u w:val="none"/>
          <w:lang w:val="es-419"/>
        </w:rPr>
        <w:t xml:space="preserve"> el Artículo 9 de la Convención y los párrafos 91 a 99 de las Directrices Operativas,</w:t>
      </w:r>
    </w:p>
    <w:p w14:paraId="2D8BEC48" w14:textId="30DDC587" w:rsidR="00AF17D5" w:rsidRPr="00932644" w:rsidRDefault="00AF17D5" w:rsidP="003B1118">
      <w:pPr>
        <w:pStyle w:val="COMParaDecision"/>
        <w:numPr>
          <w:ilvl w:val="0"/>
          <w:numId w:val="11"/>
        </w:numPr>
        <w:ind w:left="567" w:hanging="567"/>
        <w:rPr>
          <w:lang w:val="es-419"/>
        </w:rPr>
      </w:pPr>
      <w:r w:rsidRPr="00932644">
        <w:rPr>
          <w:lang w:val="es-419"/>
        </w:rPr>
        <w:t>Recordando también</w:t>
      </w:r>
      <w:r w:rsidRPr="00932644">
        <w:rPr>
          <w:u w:val="none"/>
          <w:lang w:val="es-419"/>
        </w:rPr>
        <w:t xml:space="preserve"> la </w:t>
      </w:r>
      <w:hyperlink r:id="rId50" w:history="1">
        <w:r w:rsidR="001E0F20" w:rsidRPr="00932644">
          <w:rPr>
            <w:rStyle w:val="Lienhypertexte"/>
            <w:lang w:val="es-419"/>
          </w:rPr>
          <w:t>D</w:t>
        </w:r>
        <w:r w:rsidRPr="00932644">
          <w:rPr>
            <w:rStyle w:val="Lienhypertexte"/>
            <w:lang w:val="es-419"/>
          </w:rPr>
          <w:t>ecisión 14.COM 17</w:t>
        </w:r>
      </w:hyperlink>
      <w:r w:rsidRPr="00932644">
        <w:rPr>
          <w:u w:val="none"/>
          <w:lang w:val="es-419"/>
        </w:rPr>
        <w:t>,</w:t>
      </w:r>
    </w:p>
    <w:p w14:paraId="6BF458BA" w14:textId="77777777" w:rsidR="00AF17D5" w:rsidRPr="00932644" w:rsidRDefault="00AF17D5" w:rsidP="003B1118">
      <w:pPr>
        <w:pStyle w:val="COMParaDecision"/>
        <w:numPr>
          <w:ilvl w:val="0"/>
          <w:numId w:val="11"/>
        </w:numPr>
        <w:ind w:left="567" w:hanging="567"/>
        <w:rPr>
          <w:lang w:val="es-419"/>
        </w:rPr>
      </w:pPr>
      <w:r w:rsidRPr="00932644">
        <w:rPr>
          <w:lang w:val="es-419"/>
        </w:rPr>
        <w:t>Acredita</w:t>
      </w:r>
      <w:r w:rsidRPr="00932644">
        <w:rPr>
          <w:u w:val="none"/>
          <w:lang w:val="es-419"/>
        </w:rPr>
        <w:t xml:space="preserve"> a las 36 ONG enumeradas en el anexo de esta resolución con fines de asistencia consultiva ante el Comité;</w:t>
      </w:r>
    </w:p>
    <w:p w14:paraId="17FCB7DB" w14:textId="78883ED4" w:rsidR="00AF17D5" w:rsidRPr="00932644" w:rsidRDefault="00AF17D5" w:rsidP="003B1118">
      <w:pPr>
        <w:pStyle w:val="COMParaDecision"/>
        <w:numPr>
          <w:ilvl w:val="0"/>
          <w:numId w:val="11"/>
        </w:numPr>
        <w:ind w:left="567" w:hanging="567"/>
        <w:rPr>
          <w:lang w:val="es-419"/>
        </w:rPr>
      </w:pPr>
      <w:r w:rsidRPr="00932644">
        <w:rPr>
          <w:lang w:val="es-419"/>
        </w:rPr>
        <w:t>Alienta</w:t>
      </w:r>
      <w:r w:rsidRPr="00932644">
        <w:rPr>
          <w:u w:val="none"/>
          <w:lang w:val="es-419"/>
        </w:rPr>
        <w:t xml:space="preserve"> a las ONG de los grupos electorales subrepresentados que cumplan con los criterios de acreditación a presentar sus solicitudes de acreditación lo antes posible, a fin de mejorar la distribución geográfica de las ONG acreditadas, e </w:t>
      </w:r>
      <w:r w:rsidRPr="00932644">
        <w:rPr>
          <w:lang w:val="es-419"/>
        </w:rPr>
        <w:t>invita</w:t>
      </w:r>
      <w:r w:rsidRPr="00932644">
        <w:rPr>
          <w:u w:val="none"/>
          <w:lang w:val="es-419"/>
        </w:rPr>
        <w:t xml:space="preserve"> a los Estados Partes de dichos grupos electorales a</w:t>
      </w:r>
      <w:r w:rsidR="00A22D5D" w:rsidRPr="00932644">
        <w:rPr>
          <w:u w:val="none"/>
          <w:lang w:val="es-419"/>
        </w:rPr>
        <w:t xml:space="preserve"> garantizar la</w:t>
      </w:r>
      <w:r w:rsidRPr="00932644">
        <w:rPr>
          <w:u w:val="none"/>
          <w:lang w:val="es-419"/>
        </w:rPr>
        <w:t xml:space="preserve"> </w:t>
      </w:r>
      <w:r w:rsidR="00A22D5D" w:rsidRPr="00932644">
        <w:rPr>
          <w:u w:val="none"/>
          <w:lang w:val="es-419"/>
        </w:rPr>
        <w:t xml:space="preserve">difusión </w:t>
      </w:r>
      <w:r w:rsidRPr="00932644">
        <w:rPr>
          <w:u w:val="none"/>
          <w:lang w:val="es-419"/>
        </w:rPr>
        <w:t xml:space="preserve">amplia </w:t>
      </w:r>
      <w:r w:rsidR="00A22D5D" w:rsidRPr="00932644">
        <w:rPr>
          <w:u w:val="none"/>
          <w:lang w:val="es-419"/>
        </w:rPr>
        <w:t xml:space="preserve">de </w:t>
      </w:r>
      <w:r w:rsidRPr="00932644">
        <w:rPr>
          <w:u w:val="none"/>
          <w:lang w:val="es-419"/>
        </w:rPr>
        <w:t>esta invitación a las ONG que oper</w:t>
      </w:r>
      <w:r w:rsidR="00A22D5D" w:rsidRPr="00932644">
        <w:rPr>
          <w:u w:val="none"/>
          <w:lang w:val="es-419"/>
        </w:rPr>
        <w:t>a</w:t>
      </w:r>
      <w:r w:rsidRPr="00932644">
        <w:rPr>
          <w:u w:val="none"/>
          <w:lang w:val="es-419"/>
        </w:rPr>
        <w:t>n en sus territorios;</w:t>
      </w:r>
    </w:p>
    <w:p w14:paraId="5C0C589B" w14:textId="6D619ACF" w:rsidR="0047382C" w:rsidRPr="00932644" w:rsidRDefault="0047382C" w:rsidP="003B1118">
      <w:pPr>
        <w:pStyle w:val="COMParaDecision"/>
        <w:numPr>
          <w:ilvl w:val="0"/>
          <w:numId w:val="11"/>
        </w:numPr>
        <w:ind w:left="567" w:hanging="567"/>
        <w:rPr>
          <w:u w:val="none"/>
          <w:lang w:val="es-419"/>
        </w:rPr>
      </w:pPr>
      <w:r w:rsidRPr="00932644">
        <w:rPr>
          <w:lang w:val="es-419"/>
        </w:rPr>
        <w:t>Invita</w:t>
      </w:r>
      <w:r w:rsidRPr="00932644">
        <w:rPr>
          <w:u w:val="none"/>
          <w:lang w:val="es-419"/>
        </w:rPr>
        <w:t xml:space="preserve"> a los Estados Partes a reflexionar acerca de la acreditación de ONG </w:t>
      </w:r>
      <w:r w:rsidR="00935204" w:rsidRPr="00932644">
        <w:rPr>
          <w:u w:val="none"/>
          <w:lang w:val="es-419"/>
        </w:rPr>
        <w:t>de</w:t>
      </w:r>
      <w:r w:rsidRPr="00932644">
        <w:rPr>
          <w:u w:val="none"/>
          <w:lang w:val="es-419"/>
        </w:rPr>
        <w:t xml:space="preserve"> Estados no Partes</w:t>
      </w:r>
      <w:r w:rsidR="00E746DB" w:rsidRPr="00932644">
        <w:rPr>
          <w:u w:val="none"/>
          <w:lang w:val="es-419"/>
        </w:rPr>
        <w:t>,</w:t>
      </w:r>
      <w:r w:rsidRPr="00932644">
        <w:rPr>
          <w:u w:val="none"/>
          <w:lang w:val="es-419"/>
        </w:rPr>
        <w:t xml:space="preserve"> con miras a incluir esta discusión en su próxima reunión; </w:t>
      </w:r>
    </w:p>
    <w:p w14:paraId="55260FC5" w14:textId="2F7B7BB6" w:rsidR="00AF17D5" w:rsidRPr="00932644" w:rsidRDefault="00AF17D5" w:rsidP="003B1118">
      <w:pPr>
        <w:pStyle w:val="COMParaDecision"/>
        <w:numPr>
          <w:ilvl w:val="0"/>
          <w:numId w:val="11"/>
        </w:numPr>
        <w:ind w:left="567" w:hanging="567"/>
        <w:rPr>
          <w:lang w:val="es-419"/>
        </w:rPr>
      </w:pPr>
      <w:r w:rsidRPr="00932644">
        <w:rPr>
          <w:lang w:val="es-419"/>
        </w:rPr>
        <w:t>Invita</w:t>
      </w:r>
      <w:r w:rsidR="00935204" w:rsidRPr="00932644">
        <w:rPr>
          <w:lang w:val="es-419"/>
        </w:rPr>
        <w:t xml:space="preserve"> también</w:t>
      </w:r>
      <w:r w:rsidRPr="00932644">
        <w:rPr>
          <w:u w:val="none"/>
          <w:lang w:val="es-419"/>
        </w:rPr>
        <w:t xml:space="preserve"> a las ONG acreditadas en 2012 y 2016 a presentar a la Secretaría su informe cuatrienal antes del 15 de febrero de 2021 para que el Comité pueda revisar, en su decimosexta reunión, la contribución y el compromiso de cada organización consultiva.</w:t>
      </w:r>
    </w:p>
    <w:p w14:paraId="3037CFC9" w14:textId="77777777" w:rsidR="00AF17D5" w:rsidRPr="00932644" w:rsidRDefault="00AF17D5" w:rsidP="00AF17D5">
      <w:pPr>
        <w:rPr>
          <w:rFonts w:ascii="Arial" w:eastAsia="SimSun" w:hAnsi="Arial" w:cs="Arial"/>
          <w:sz w:val="22"/>
          <w:szCs w:val="22"/>
          <w:u w:val="single"/>
          <w:lang w:val="es-419"/>
        </w:rPr>
      </w:pPr>
      <w:r w:rsidRPr="00932644">
        <w:rPr>
          <w:lang w:val="es-419"/>
        </w:rPr>
        <w:br w:type="page"/>
      </w:r>
    </w:p>
    <w:p w14:paraId="682B15FA" w14:textId="77777777" w:rsidR="00AF17D5" w:rsidRPr="00932644" w:rsidRDefault="00AF17D5" w:rsidP="00AF17D5">
      <w:pPr>
        <w:pStyle w:val="5GAparabodytext"/>
        <w:ind w:left="0" w:firstLine="0"/>
        <w:jc w:val="center"/>
        <w:rPr>
          <w:b/>
          <w:lang w:val="es-419"/>
        </w:rPr>
      </w:pPr>
      <w:r w:rsidRPr="00932644">
        <w:rPr>
          <w:b/>
          <w:lang w:val="es-419"/>
        </w:rPr>
        <w:lastRenderedPageBreak/>
        <w:t>ANEXO</w:t>
      </w:r>
    </w:p>
    <w:tbl>
      <w:tblPr>
        <w:tblW w:w="9497" w:type="dxa"/>
        <w:tblInd w:w="212" w:type="dxa"/>
        <w:tblCellMar>
          <w:left w:w="70" w:type="dxa"/>
          <w:right w:w="70" w:type="dxa"/>
        </w:tblCellMar>
        <w:tblLook w:val="04A0" w:firstRow="1" w:lastRow="0" w:firstColumn="1" w:lastColumn="0" w:noHBand="0" w:noVBand="1"/>
      </w:tblPr>
      <w:tblGrid>
        <w:gridCol w:w="5813"/>
        <w:gridCol w:w="2125"/>
        <w:gridCol w:w="1559"/>
      </w:tblGrid>
      <w:tr w:rsidR="00AF17D5" w:rsidRPr="00932644" w14:paraId="186CCF00" w14:textId="77777777" w:rsidTr="00AF17D5">
        <w:trPr>
          <w:trHeight w:val="164"/>
        </w:trPr>
        <w:tc>
          <w:tcPr>
            <w:tcW w:w="3060" w:type="pct"/>
            <w:shd w:val="clear" w:color="auto" w:fill="808080" w:themeFill="background1" w:themeFillShade="80"/>
            <w:vAlign w:val="center"/>
            <w:hideMark/>
          </w:tcPr>
          <w:p w14:paraId="3BEEA089" w14:textId="77777777" w:rsidR="00AF17D5" w:rsidRPr="00932644" w:rsidRDefault="00AF17D5">
            <w:pPr>
              <w:keepNext/>
              <w:jc w:val="center"/>
              <w:rPr>
                <w:rFonts w:ascii="Arial" w:hAnsi="Arial" w:cs="Arial"/>
                <w:b/>
                <w:bCs/>
                <w:color w:val="000000"/>
                <w:sz w:val="22"/>
                <w:szCs w:val="22"/>
                <w:lang w:val="es-419"/>
              </w:rPr>
            </w:pPr>
            <w:r w:rsidRPr="00932644">
              <w:rPr>
                <w:rFonts w:ascii="Arial" w:hAnsi="Arial"/>
                <w:b/>
                <w:color w:val="000000"/>
                <w:sz w:val="22"/>
                <w:lang w:val="es-419"/>
              </w:rPr>
              <w:t>Nombre de la organización</w:t>
            </w:r>
          </w:p>
        </w:tc>
        <w:tc>
          <w:tcPr>
            <w:tcW w:w="1119" w:type="pct"/>
            <w:shd w:val="clear" w:color="auto" w:fill="808080" w:themeFill="background1" w:themeFillShade="80"/>
            <w:vAlign w:val="center"/>
            <w:hideMark/>
          </w:tcPr>
          <w:p w14:paraId="4C917BB0" w14:textId="77777777" w:rsidR="00AF17D5" w:rsidRPr="00932644" w:rsidRDefault="00AF17D5">
            <w:pPr>
              <w:jc w:val="center"/>
              <w:rPr>
                <w:rFonts w:ascii="Arial" w:hAnsi="Arial" w:cs="Arial"/>
                <w:b/>
                <w:bCs/>
                <w:color w:val="000000"/>
                <w:sz w:val="22"/>
                <w:szCs w:val="22"/>
                <w:lang w:val="es-419"/>
              </w:rPr>
            </w:pPr>
            <w:r w:rsidRPr="00932644">
              <w:rPr>
                <w:rFonts w:ascii="Arial" w:hAnsi="Arial"/>
                <w:b/>
                <w:color w:val="000000"/>
                <w:sz w:val="22"/>
                <w:lang w:val="es-419"/>
              </w:rPr>
              <w:t>País de la sede</w:t>
            </w:r>
          </w:p>
        </w:tc>
        <w:tc>
          <w:tcPr>
            <w:tcW w:w="821" w:type="pct"/>
            <w:shd w:val="clear" w:color="auto" w:fill="808080" w:themeFill="background1" w:themeFillShade="80"/>
            <w:vAlign w:val="center"/>
            <w:hideMark/>
          </w:tcPr>
          <w:p w14:paraId="0442F990" w14:textId="77777777" w:rsidR="00AF17D5" w:rsidRPr="00932644" w:rsidRDefault="00AF17D5">
            <w:pPr>
              <w:spacing w:before="120" w:after="120"/>
              <w:jc w:val="center"/>
              <w:rPr>
                <w:rFonts w:ascii="Arial" w:hAnsi="Arial" w:cs="Arial"/>
                <w:b/>
                <w:bCs/>
                <w:color w:val="000000"/>
                <w:sz w:val="22"/>
                <w:szCs w:val="22"/>
                <w:lang w:val="es-419"/>
              </w:rPr>
            </w:pPr>
            <w:r w:rsidRPr="00932644">
              <w:rPr>
                <w:rFonts w:ascii="Arial" w:hAnsi="Arial"/>
                <w:b/>
                <w:color w:val="000000"/>
                <w:sz w:val="22"/>
                <w:lang w:val="es-419"/>
              </w:rPr>
              <w:t>Número de solicitud</w:t>
            </w:r>
          </w:p>
        </w:tc>
      </w:tr>
      <w:tr w:rsidR="00AF17D5" w:rsidRPr="00932644" w14:paraId="09FC2448" w14:textId="77777777" w:rsidTr="00AF17D5">
        <w:trPr>
          <w:trHeight w:val="164"/>
        </w:trPr>
        <w:tc>
          <w:tcPr>
            <w:tcW w:w="3060" w:type="pct"/>
            <w:tcBorders>
              <w:top w:val="single" w:sz="4" w:space="0" w:color="auto"/>
              <w:left w:val="nil"/>
              <w:bottom w:val="single" w:sz="4" w:space="0" w:color="auto"/>
              <w:right w:val="nil"/>
            </w:tcBorders>
            <w:hideMark/>
          </w:tcPr>
          <w:p w14:paraId="214DE3A1" w14:textId="77777777" w:rsidR="00AF17D5" w:rsidRPr="00932644" w:rsidRDefault="00AF17D5">
            <w:pPr>
              <w:rPr>
                <w:rFonts w:ascii="Arial" w:hAnsi="Arial" w:cs="Arial"/>
                <w:color w:val="000000"/>
                <w:sz w:val="22"/>
                <w:szCs w:val="22"/>
                <w:lang w:val="es-419"/>
              </w:rPr>
            </w:pPr>
            <w:r w:rsidRPr="00932644">
              <w:rPr>
                <w:rFonts w:ascii="Arial" w:hAnsi="Arial" w:cs="Arial"/>
                <w:color w:val="000000"/>
                <w:sz w:val="22"/>
                <w:szCs w:val="22"/>
                <w:lang w:val="es-419"/>
              </w:rPr>
              <w:t>ABAIM</w:t>
            </w:r>
          </w:p>
        </w:tc>
        <w:tc>
          <w:tcPr>
            <w:tcW w:w="1119" w:type="pct"/>
            <w:tcBorders>
              <w:top w:val="single" w:sz="4" w:space="0" w:color="auto"/>
              <w:left w:val="nil"/>
              <w:bottom w:val="single" w:sz="4" w:space="0" w:color="auto"/>
              <w:right w:val="nil"/>
            </w:tcBorders>
            <w:hideMark/>
          </w:tcPr>
          <w:p w14:paraId="44226CE8"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Mauricio</w:t>
            </w:r>
          </w:p>
        </w:tc>
        <w:tc>
          <w:tcPr>
            <w:tcW w:w="821" w:type="pct"/>
            <w:tcBorders>
              <w:top w:val="single" w:sz="4" w:space="0" w:color="auto"/>
              <w:left w:val="nil"/>
              <w:bottom w:val="single" w:sz="4" w:space="0" w:color="auto"/>
              <w:right w:val="nil"/>
            </w:tcBorders>
            <w:hideMark/>
          </w:tcPr>
          <w:p w14:paraId="77B8DCD1" w14:textId="77777777" w:rsidR="00AF17D5" w:rsidRPr="00932644" w:rsidRDefault="00EE2803">
            <w:pPr>
              <w:jc w:val="center"/>
              <w:rPr>
                <w:rFonts w:ascii="Arial" w:hAnsi="Arial" w:cs="Arial"/>
                <w:color w:val="000000"/>
                <w:sz w:val="22"/>
                <w:szCs w:val="22"/>
                <w:lang w:val="es-419"/>
              </w:rPr>
            </w:pPr>
            <w:hyperlink r:id="rId51" w:history="1">
              <w:r w:rsidR="00AF17D5" w:rsidRPr="00932644">
                <w:rPr>
                  <w:rStyle w:val="Lienhypertexte"/>
                  <w:rFonts w:ascii="Arial" w:hAnsi="Arial"/>
                  <w:sz w:val="22"/>
                  <w:szCs w:val="22"/>
                  <w:lang w:val="es-419"/>
                </w:rPr>
                <w:t>NGO-90443</w:t>
              </w:r>
            </w:hyperlink>
          </w:p>
        </w:tc>
      </w:tr>
      <w:tr w:rsidR="00AF17D5" w:rsidRPr="00932644" w14:paraId="48B8B0BE" w14:textId="77777777" w:rsidTr="00AF17D5">
        <w:trPr>
          <w:trHeight w:val="164"/>
        </w:trPr>
        <w:tc>
          <w:tcPr>
            <w:tcW w:w="3060" w:type="pct"/>
            <w:tcBorders>
              <w:top w:val="single" w:sz="4" w:space="0" w:color="auto"/>
              <w:left w:val="nil"/>
              <w:bottom w:val="single" w:sz="4" w:space="0" w:color="auto"/>
              <w:right w:val="nil"/>
            </w:tcBorders>
            <w:hideMark/>
          </w:tcPr>
          <w:p w14:paraId="2908966E" w14:textId="77777777" w:rsidR="00AF17D5" w:rsidRPr="00932644" w:rsidRDefault="00AF17D5">
            <w:pPr>
              <w:rPr>
                <w:rFonts w:ascii="Arial" w:hAnsi="Arial" w:cs="Arial"/>
                <w:color w:val="000000"/>
                <w:sz w:val="22"/>
                <w:szCs w:val="22"/>
                <w:lang w:val="es-419"/>
              </w:rPr>
            </w:pPr>
            <w:r w:rsidRPr="00932644">
              <w:rPr>
                <w:rFonts w:ascii="Arial" w:hAnsi="Arial" w:cs="Arial"/>
                <w:color w:val="000000"/>
                <w:sz w:val="22"/>
                <w:szCs w:val="22"/>
                <w:lang w:val="es-419"/>
              </w:rPr>
              <w:t xml:space="preserve">Association </w:t>
            </w:r>
            <w:proofErr w:type="spellStart"/>
            <w:r w:rsidRPr="00932644">
              <w:rPr>
                <w:rFonts w:ascii="Arial" w:hAnsi="Arial" w:cs="Arial"/>
                <w:color w:val="000000"/>
                <w:sz w:val="22"/>
                <w:szCs w:val="22"/>
                <w:lang w:val="es-419"/>
              </w:rPr>
              <w:t>Culturelle</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Passate</w:t>
            </w:r>
            <w:proofErr w:type="spellEnd"/>
          </w:p>
        </w:tc>
        <w:tc>
          <w:tcPr>
            <w:tcW w:w="1119" w:type="pct"/>
            <w:tcBorders>
              <w:top w:val="single" w:sz="4" w:space="0" w:color="auto"/>
              <w:left w:val="nil"/>
              <w:bottom w:val="single" w:sz="4" w:space="0" w:color="auto"/>
              <w:right w:val="nil"/>
            </w:tcBorders>
            <w:hideMark/>
          </w:tcPr>
          <w:p w14:paraId="497FBD3F"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Burkina Faso</w:t>
            </w:r>
          </w:p>
        </w:tc>
        <w:tc>
          <w:tcPr>
            <w:tcW w:w="821" w:type="pct"/>
            <w:tcBorders>
              <w:top w:val="single" w:sz="4" w:space="0" w:color="auto"/>
              <w:left w:val="nil"/>
              <w:bottom w:val="single" w:sz="4" w:space="0" w:color="auto"/>
              <w:right w:val="nil"/>
            </w:tcBorders>
            <w:hideMark/>
          </w:tcPr>
          <w:p w14:paraId="448BF812" w14:textId="77777777" w:rsidR="00AF17D5" w:rsidRPr="00932644" w:rsidRDefault="00EE2803">
            <w:pPr>
              <w:jc w:val="center"/>
              <w:rPr>
                <w:rFonts w:ascii="Arial" w:hAnsi="Arial" w:cs="Arial"/>
                <w:color w:val="000000"/>
                <w:sz w:val="22"/>
                <w:szCs w:val="22"/>
                <w:lang w:val="es-419"/>
              </w:rPr>
            </w:pPr>
            <w:hyperlink r:id="rId52" w:history="1">
              <w:r w:rsidR="00AF17D5" w:rsidRPr="00932644">
                <w:rPr>
                  <w:rStyle w:val="Lienhypertexte"/>
                  <w:rFonts w:ascii="Arial" w:hAnsi="Arial"/>
                  <w:sz w:val="22"/>
                  <w:szCs w:val="22"/>
                  <w:lang w:val="es-419"/>
                </w:rPr>
                <w:t>NGO-90450</w:t>
              </w:r>
            </w:hyperlink>
          </w:p>
        </w:tc>
      </w:tr>
      <w:tr w:rsidR="00AF17D5" w:rsidRPr="00932644" w14:paraId="63861883" w14:textId="77777777" w:rsidTr="00AF17D5">
        <w:trPr>
          <w:trHeight w:val="164"/>
        </w:trPr>
        <w:tc>
          <w:tcPr>
            <w:tcW w:w="3060" w:type="pct"/>
            <w:tcBorders>
              <w:top w:val="single" w:sz="4" w:space="0" w:color="auto"/>
              <w:left w:val="nil"/>
              <w:bottom w:val="single" w:sz="4" w:space="0" w:color="auto"/>
              <w:right w:val="nil"/>
            </w:tcBorders>
            <w:hideMark/>
          </w:tcPr>
          <w:p w14:paraId="70613992" w14:textId="77777777" w:rsidR="00AF17D5" w:rsidRPr="00932644" w:rsidRDefault="00AF17D5">
            <w:pPr>
              <w:rPr>
                <w:rFonts w:ascii="Arial" w:hAnsi="Arial" w:cs="Arial"/>
                <w:color w:val="000000"/>
                <w:sz w:val="22"/>
                <w:szCs w:val="22"/>
                <w:lang w:val="es-419"/>
              </w:rPr>
            </w:pPr>
            <w:r w:rsidRPr="00932644">
              <w:rPr>
                <w:rFonts w:ascii="Arial" w:hAnsi="Arial" w:cs="Arial"/>
                <w:color w:val="000000"/>
                <w:sz w:val="22"/>
                <w:szCs w:val="22"/>
                <w:lang w:val="es-419"/>
              </w:rPr>
              <w:t>Association House of Batana</w:t>
            </w:r>
          </w:p>
        </w:tc>
        <w:tc>
          <w:tcPr>
            <w:tcW w:w="1119" w:type="pct"/>
            <w:tcBorders>
              <w:top w:val="single" w:sz="4" w:space="0" w:color="auto"/>
              <w:left w:val="nil"/>
              <w:bottom w:val="single" w:sz="4" w:space="0" w:color="auto"/>
              <w:right w:val="nil"/>
            </w:tcBorders>
            <w:hideMark/>
          </w:tcPr>
          <w:p w14:paraId="5CEA79FE"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Croacia</w:t>
            </w:r>
          </w:p>
        </w:tc>
        <w:tc>
          <w:tcPr>
            <w:tcW w:w="821" w:type="pct"/>
            <w:tcBorders>
              <w:top w:val="single" w:sz="4" w:space="0" w:color="auto"/>
              <w:left w:val="nil"/>
              <w:bottom w:val="single" w:sz="4" w:space="0" w:color="auto"/>
              <w:right w:val="nil"/>
            </w:tcBorders>
            <w:hideMark/>
          </w:tcPr>
          <w:p w14:paraId="2A56EB1A" w14:textId="77777777" w:rsidR="00AF17D5" w:rsidRPr="00932644" w:rsidRDefault="00EE2803">
            <w:pPr>
              <w:jc w:val="center"/>
              <w:rPr>
                <w:rFonts w:ascii="Arial" w:hAnsi="Arial" w:cs="Arial"/>
                <w:color w:val="000000"/>
                <w:sz w:val="22"/>
                <w:szCs w:val="22"/>
                <w:lang w:val="es-419"/>
              </w:rPr>
            </w:pPr>
            <w:hyperlink r:id="rId53" w:history="1">
              <w:r w:rsidR="00AF17D5" w:rsidRPr="00932644">
                <w:rPr>
                  <w:rStyle w:val="Lienhypertexte"/>
                  <w:rFonts w:ascii="Arial" w:hAnsi="Arial"/>
                  <w:sz w:val="22"/>
                  <w:szCs w:val="22"/>
                  <w:lang w:val="es-419"/>
                </w:rPr>
                <w:t>NGO-90457</w:t>
              </w:r>
            </w:hyperlink>
          </w:p>
        </w:tc>
      </w:tr>
      <w:tr w:rsidR="00AF17D5" w:rsidRPr="00932644" w14:paraId="1E419FE3" w14:textId="77777777" w:rsidTr="00AF17D5">
        <w:trPr>
          <w:trHeight w:val="164"/>
        </w:trPr>
        <w:tc>
          <w:tcPr>
            <w:tcW w:w="3060" w:type="pct"/>
            <w:tcBorders>
              <w:top w:val="single" w:sz="4" w:space="0" w:color="auto"/>
              <w:left w:val="nil"/>
              <w:bottom w:val="single" w:sz="4" w:space="0" w:color="auto"/>
              <w:right w:val="nil"/>
            </w:tcBorders>
            <w:hideMark/>
          </w:tcPr>
          <w:p w14:paraId="2A675227" w14:textId="77777777" w:rsidR="00AF17D5" w:rsidRPr="00932644" w:rsidRDefault="00AF17D5">
            <w:pPr>
              <w:rPr>
                <w:rFonts w:ascii="Arial" w:hAnsi="Arial" w:cs="Arial"/>
                <w:color w:val="000000"/>
                <w:sz w:val="22"/>
                <w:szCs w:val="22"/>
                <w:lang w:val="es-419"/>
              </w:rPr>
            </w:pPr>
            <w:r w:rsidRPr="00932644">
              <w:rPr>
                <w:rFonts w:ascii="Arial" w:hAnsi="Arial" w:cs="Arial"/>
                <w:color w:val="000000"/>
                <w:sz w:val="22"/>
                <w:szCs w:val="22"/>
                <w:lang w:val="es-419"/>
              </w:rPr>
              <w:t xml:space="preserve">Association </w:t>
            </w:r>
            <w:proofErr w:type="spellStart"/>
            <w:r w:rsidRPr="00932644">
              <w:rPr>
                <w:rFonts w:ascii="Arial" w:hAnsi="Arial" w:cs="Arial"/>
                <w:color w:val="000000"/>
                <w:sz w:val="22"/>
                <w:szCs w:val="22"/>
                <w:lang w:val="es-419"/>
              </w:rPr>
              <w:t>Mamelomaso</w:t>
            </w:r>
            <w:proofErr w:type="spellEnd"/>
            <w:r w:rsidRPr="00932644">
              <w:rPr>
                <w:rFonts w:ascii="Arial" w:hAnsi="Arial" w:cs="Arial"/>
                <w:color w:val="000000"/>
                <w:sz w:val="22"/>
                <w:szCs w:val="22"/>
                <w:lang w:val="es-419"/>
              </w:rPr>
              <w:t xml:space="preserve"> (MM)</w:t>
            </w:r>
          </w:p>
        </w:tc>
        <w:tc>
          <w:tcPr>
            <w:tcW w:w="1119" w:type="pct"/>
            <w:tcBorders>
              <w:top w:val="single" w:sz="4" w:space="0" w:color="auto"/>
              <w:left w:val="nil"/>
              <w:bottom w:val="single" w:sz="4" w:space="0" w:color="auto"/>
              <w:right w:val="nil"/>
            </w:tcBorders>
            <w:hideMark/>
          </w:tcPr>
          <w:p w14:paraId="58C75F9C"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Madagascar</w:t>
            </w:r>
          </w:p>
        </w:tc>
        <w:tc>
          <w:tcPr>
            <w:tcW w:w="821" w:type="pct"/>
            <w:tcBorders>
              <w:top w:val="single" w:sz="4" w:space="0" w:color="auto"/>
              <w:left w:val="nil"/>
              <w:bottom w:val="single" w:sz="4" w:space="0" w:color="auto"/>
              <w:right w:val="nil"/>
            </w:tcBorders>
            <w:hideMark/>
          </w:tcPr>
          <w:p w14:paraId="73ABBB69" w14:textId="77777777" w:rsidR="00AF17D5" w:rsidRPr="00932644" w:rsidRDefault="00EE2803">
            <w:pPr>
              <w:jc w:val="center"/>
              <w:rPr>
                <w:rFonts w:ascii="Arial" w:hAnsi="Arial" w:cs="Arial"/>
                <w:color w:val="000000"/>
                <w:sz w:val="22"/>
                <w:szCs w:val="22"/>
                <w:lang w:val="es-419"/>
              </w:rPr>
            </w:pPr>
            <w:hyperlink r:id="rId54" w:history="1">
              <w:r w:rsidR="00AF17D5" w:rsidRPr="00932644">
                <w:rPr>
                  <w:rStyle w:val="Lienhypertexte"/>
                  <w:rFonts w:ascii="Arial" w:hAnsi="Arial"/>
                  <w:sz w:val="22"/>
                  <w:szCs w:val="22"/>
                  <w:lang w:val="es-419"/>
                </w:rPr>
                <w:t>NGO-90419</w:t>
              </w:r>
            </w:hyperlink>
          </w:p>
        </w:tc>
      </w:tr>
      <w:tr w:rsidR="00AF17D5" w:rsidRPr="00932644" w14:paraId="3FF9EA4F" w14:textId="77777777" w:rsidTr="00AF17D5">
        <w:trPr>
          <w:trHeight w:val="164"/>
        </w:trPr>
        <w:tc>
          <w:tcPr>
            <w:tcW w:w="3060" w:type="pct"/>
            <w:tcBorders>
              <w:top w:val="single" w:sz="4" w:space="0" w:color="auto"/>
              <w:left w:val="nil"/>
              <w:bottom w:val="single" w:sz="4" w:space="0" w:color="auto"/>
              <w:right w:val="nil"/>
            </w:tcBorders>
            <w:hideMark/>
          </w:tcPr>
          <w:p w14:paraId="569F7AF1" w14:textId="77777777" w:rsidR="00AF17D5" w:rsidRPr="00932644" w:rsidRDefault="00AF17D5">
            <w:pPr>
              <w:rPr>
                <w:rFonts w:ascii="Arial" w:hAnsi="Arial" w:cs="Arial"/>
                <w:color w:val="000000"/>
                <w:sz w:val="22"/>
                <w:szCs w:val="22"/>
                <w:lang w:val="fr-FR"/>
              </w:rPr>
            </w:pPr>
            <w:r w:rsidRPr="00932644">
              <w:rPr>
                <w:rFonts w:ascii="Arial" w:hAnsi="Arial" w:cs="Arial"/>
                <w:color w:val="000000"/>
                <w:sz w:val="22"/>
                <w:szCs w:val="22"/>
                <w:lang w:val="fr-FR"/>
              </w:rPr>
              <w:t>Association Recherche Histoire et Patrimoine de l’Oriental Marocain (ARHPOM)</w:t>
            </w:r>
          </w:p>
        </w:tc>
        <w:tc>
          <w:tcPr>
            <w:tcW w:w="1119" w:type="pct"/>
            <w:tcBorders>
              <w:top w:val="single" w:sz="4" w:space="0" w:color="auto"/>
              <w:left w:val="nil"/>
              <w:bottom w:val="single" w:sz="4" w:space="0" w:color="auto"/>
              <w:right w:val="nil"/>
            </w:tcBorders>
            <w:hideMark/>
          </w:tcPr>
          <w:p w14:paraId="3F3C4139"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Marruecos</w:t>
            </w:r>
          </w:p>
        </w:tc>
        <w:tc>
          <w:tcPr>
            <w:tcW w:w="821" w:type="pct"/>
            <w:tcBorders>
              <w:top w:val="single" w:sz="4" w:space="0" w:color="auto"/>
              <w:left w:val="nil"/>
              <w:bottom w:val="single" w:sz="4" w:space="0" w:color="auto"/>
              <w:right w:val="nil"/>
            </w:tcBorders>
            <w:hideMark/>
          </w:tcPr>
          <w:p w14:paraId="059F011A" w14:textId="77777777" w:rsidR="00AF17D5" w:rsidRPr="00932644" w:rsidRDefault="00EE2803">
            <w:pPr>
              <w:jc w:val="center"/>
              <w:rPr>
                <w:rFonts w:ascii="Arial" w:hAnsi="Arial" w:cs="Arial"/>
                <w:color w:val="000000"/>
                <w:sz w:val="22"/>
                <w:szCs w:val="22"/>
                <w:lang w:val="es-419"/>
              </w:rPr>
            </w:pPr>
            <w:hyperlink r:id="rId55" w:history="1">
              <w:r w:rsidR="00AF17D5" w:rsidRPr="00932644">
                <w:rPr>
                  <w:rStyle w:val="Lienhypertexte"/>
                  <w:rFonts w:ascii="Arial" w:hAnsi="Arial"/>
                  <w:sz w:val="22"/>
                  <w:szCs w:val="22"/>
                  <w:lang w:val="es-419"/>
                </w:rPr>
                <w:t>NGO-90470</w:t>
              </w:r>
            </w:hyperlink>
          </w:p>
        </w:tc>
      </w:tr>
      <w:tr w:rsidR="00AF17D5" w:rsidRPr="00932644" w14:paraId="3D7B61FE" w14:textId="77777777" w:rsidTr="00AF17D5">
        <w:trPr>
          <w:trHeight w:val="164"/>
        </w:trPr>
        <w:tc>
          <w:tcPr>
            <w:tcW w:w="3060" w:type="pct"/>
            <w:tcBorders>
              <w:top w:val="single" w:sz="4" w:space="0" w:color="auto"/>
              <w:left w:val="nil"/>
              <w:bottom w:val="single" w:sz="4" w:space="0" w:color="auto"/>
              <w:right w:val="nil"/>
            </w:tcBorders>
            <w:hideMark/>
          </w:tcPr>
          <w:p w14:paraId="719EA473"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Bavarian association for cultural heritage</w:t>
            </w:r>
          </w:p>
        </w:tc>
        <w:tc>
          <w:tcPr>
            <w:tcW w:w="1119" w:type="pct"/>
            <w:tcBorders>
              <w:top w:val="single" w:sz="4" w:space="0" w:color="auto"/>
              <w:left w:val="nil"/>
              <w:bottom w:val="single" w:sz="4" w:space="0" w:color="auto"/>
              <w:right w:val="nil"/>
            </w:tcBorders>
            <w:hideMark/>
          </w:tcPr>
          <w:p w14:paraId="6E17C21E"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Alemania</w:t>
            </w:r>
          </w:p>
        </w:tc>
        <w:tc>
          <w:tcPr>
            <w:tcW w:w="821" w:type="pct"/>
            <w:tcBorders>
              <w:top w:val="single" w:sz="4" w:space="0" w:color="auto"/>
              <w:left w:val="nil"/>
              <w:bottom w:val="single" w:sz="4" w:space="0" w:color="auto"/>
              <w:right w:val="nil"/>
            </w:tcBorders>
            <w:hideMark/>
          </w:tcPr>
          <w:p w14:paraId="207ED9EF" w14:textId="77777777" w:rsidR="00AF17D5" w:rsidRPr="00932644" w:rsidRDefault="00EE2803">
            <w:pPr>
              <w:jc w:val="center"/>
              <w:rPr>
                <w:rFonts w:ascii="Arial" w:hAnsi="Arial" w:cs="Arial"/>
                <w:color w:val="000000"/>
                <w:sz w:val="22"/>
                <w:szCs w:val="22"/>
                <w:lang w:val="es-419"/>
              </w:rPr>
            </w:pPr>
            <w:hyperlink r:id="rId56" w:history="1">
              <w:r w:rsidR="00AF17D5" w:rsidRPr="00932644">
                <w:rPr>
                  <w:rStyle w:val="Lienhypertexte"/>
                  <w:rFonts w:ascii="Arial" w:hAnsi="Arial"/>
                  <w:sz w:val="22"/>
                  <w:szCs w:val="22"/>
                  <w:lang w:val="es-419"/>
                </w:rPr>
                <w:t>NGO-90438</w:t>
              </w:r>
            </w:hyperlink>
          </w:p>
        </w:tc>
      </w:tr>
      <w:tr w:rsidR="00AF17D5" w:rsidRPr="00932644" w14:paraId="6BCE7E6F" w14:textId="77777777" w:rsidTr="00AF17D5">
        <w:trPr>
          <w:trHeight w:val="164"/>
        </w:trPr>
        <w:tc>
          <w:tcPr>
            <w:tcW w:w="3060" w:type="pct"/>
            <w:tcBorders>
              <w:top w:val="single" w:sz="4" w:space="0" w:color="auto"/>
              <w:left w:val="nil"/>
              <w:bottom w:val="single" w:sz="4" w:space="0" w:color="auto"/>
              <w:right w:val="nil"/>
            </w:tcBorders>
            <w:hideMark/>
          </w:tcPr>
          <w:p w14:paraId="416B21A5"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Bonairean</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Historical</w:t>
            </w:r>
            <w:proofErr w:type="spellEnd"/>
            <w:r w:rsidRPr="00932644">
              <w:rPr>
                <w:rFonts w:ascii="Arial" w:hAnsi="Arial" w:cs="Arial"/>
                <w:color w:val="000000"/>
                <w:sz w:val="22"/>
                <w:szCs w:val="22"/>
                <w:lang w:val="es-419"/>
              </w:rPr>
              <w:t xml:space="preserve"> Cultural </w:t>
            </w:r>
            <w:proofErr w:type="spellStart"/>
            <w:r w:rsidRPr="00932644">
              <w:rPr>
                <w:rFonts w:ascii="Arial" w:hAnsi="Arial" w:cs="Arial"/>
                <w:color w:val="000000"/>
                <w:sz w:val="22"/>
                <w:szCs w:val="22"/>
                <w:lang w:val="es-419"/>
              </w:rPr>
              <w:t>Foundation</w:t>
            </w:r>
            <w:proofErr w:type="spellEnd"/>
            <w:r w:rsidRPr="00932644">
              <w:rPr>
                <w:rFonts w:ascii="Arial" w:hAnsi="Arial" w:cs="Arial"/>
                <w:color w:val="000000"/>
                <w:sz w:val="22"/>
                <w:szCs w:val="22"/>
                <w:lang w:val="es-419"/>
              </w:rPr>
              <w:t xml:space="preserve"> FUHIKUBO</w:t>
            </w:r>
          </w:p>
        </w:tc>
        <w:tc>
          <w:tcPr>
            <w:tcW w:w="1119" w:type="pct"/>
            <w:tcBorders>
              <w:top w:val="single" w:sz="4" w:space="0" w:color="auto"/>
              <w:left w:val="nil"/>
              <w:bottom w:val="single" w:sz="4" w:space="0" w:color="auto"/>
              <w:right w:val="nil"/>
            </w:tcBorders>
            <w:hideMark/>
          </w:tcPr>
          <w:p w14:paraId="45F67EA6"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Países Bajos</w:t>
            </w:r>
          </w:p>
          <w:p w14:paraId="1C6579A1"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(Bonaire)</w:t>
            </w:r>
          </w:p>
        </w:tc>
        <w:tc>
          <w:tcPr>
            <w:tcW w:w="821" w:type="pct"/>
            <w:tcBorders>
              <w:top w:val="single" w:sz="4" w:space="0" w:color="auto"/>
              <w:left w:val="nil"/>
              <w:bottom w:val="single" w:sz="4" w:space="0" w:color="auto"/>
              <w:right w:val="nil"/>
            </w:tcBorders>
            <w:hideMark/>
          </w:tcPr>
          <w:p w14:paraId="7BF7C85C" w14:textId="77777777" w:rsidR="00AF17D5" w:rsidRPr="00932644" w:rsidRDefault="00EE2803">
            <w:pPr>
              <w:jc w:val="center"/>
              <w:rPr>
                <w:rFonts w:ascii="Arial" w:hAnsi="Arial" w:cs="Arial"/>
                <w:color w:val="000000"/>
                <w:sz w:val="22"/>
                <w:szCs w:val="22"/>
                <w:lang w:val="es-419"/>
              </w:rPr>
            </w:pPr>
            <w:hyperlink r:id="rId57" w:history="1">
              <w:r w:rsidR="00AF17D5" w:rsidRPr="00932644">
                <w:rPr>
                  <w:rStyle w:val="Lienhypertexte"/>
                  <w:rFonts w:ascii="Arial" w:hAnsi="Arial"/>
                  <w:sz w:val="22"/>
                  <w:szCs w:val="22"/>
                  <w:lang w:val="es-419"/>
                </w:rPr>
                <w:t>NGO-90466</w:t>
              </w:r>
            </w:hyperlink>
          </w:p>
        </w:tc>
      </w:tr>
      <w:tr w:rsidR="00AF17D5" w:rsidRPr="00932644" w14:paraId="19E838AA" w14:textId="77777777" w:rsidTr="00AF17D5">
        <w:trPr>
          <w:trHeight w:val="164"/>
        </w:trPr>
        <w:tc>
          <w:tcPr>
            <w:tcW w:w="3060" w:type="pct"/>
            <w:tcBorders>
              <w:top w:val="single" w:sz="4" w:space="0" w:color="auto"/>
              <w:left w:val="nil"/>
              <w:bottom w:val="single" w:sz="4" w:space="0" w:color="auto"/>
              <w:right w:val="nil"/>
            </w:tcBorders>
            <w:hideMark/>
          </w:tcPr>
          <w:p w14:paraId="6BD562D4" w14:textId="77777777" w:rsidR="00AF17D5" w:rsidRPr="00932644" w:rsidRDefault="00AF17D5">
            <w:pPr>
              <w:rPr>
                <w:rFonts w:ascii="Arial" w:hAnsi="Arial" w:cs="Arial"/>
                <w:color w:val="000000"/>
                <w:sz w:val="22"/>
                <w:szCs w:val="22"/>
                <w:lang w:val="es-419"/>
              </w:rPr>
            </w:pPr>
            <w:r w:rsidRPr="00932644">
              <w:rPr>
                <w:rFonts w:ascii="Arial" w:hAnsi="Arial" w:cs="Arial"/>
                <w:color w:val="000000"/>
                <w:sz w:val="22"/>
                <w:szCs w:val="22"/>
                <w:lang w:val="es-419"/>
              </w:rPr>
              <w:t xml:space="preserve">Carrefour </w:t>
            </w:r>
            <w:proofErr w:type="spellStart"/>
            <w:r w:rsidRPr="00932644">
              <w:rPr>
                <w:rFonts w:ascii="Arial" w:hAnsi="Arial" w:cs="Arial"/>
                <w:color w:val="000000"/>
                <w:sz w:val="22"/>
                <w:szCs w:val="22"/>
                <w:lang w:val="es-419"/>
              </w:rPr>
              <w:t>mondial</w:t>
            </w:r>
            <w:proofErr w:type="spellEnd"/>
            <w:r w:rsidRPr="00932644">
              <w:rPr>
                <w:rFonts w:ascii="Arial" w:hAnsi="Arial" w:cs="Arial"/>
                <w:color w:val="000000"/>
                <w:sz w:val="22"/>
                <w:szCs w:val="22"/>
                <w:lang w:val="es-419"/>
              </w:rPr>
              <w:t xml:space="preserve"> de </w:t>
            </w:r>
            <w:proofErr w:type="spellStart"/>
            <w:r w:rsidRPr="00932644">
              <w:rPr>
                <w:rFonts w:ascii="Arial" w:hAnsi="Arial" w:cs="Arial"/>
                <w:color w:val="000000"/>
                <w:sz w:val="22"/>
                <w:szCs w:val="22"/>
                <w:lang w:val="es-419"/>
              </w:rPr>
              <w:t>l’accordéon</w:t>
            </w:r>
            <w:proofErr w:type="spellEnd"/>
          </w:p>
        </w:tc>
        <w:tc>
          <w:tcPr>
            <w:tcW w:w="1119" w:type="pct"/>
            <w:tcBorders>
              <w:top w:val="single" w:sz="4" w:space="0" w:color="auto"/>
              <w:left w:val="nil"/>
              <w:bottom w:val="single" w:sz="4" w:space="0" w:color="auto"/>
              <w:right w:val="nil"/>
            </w:tcBorders>
            <w:hideMark/>
          </w:tcPr>
          <w:p w14:paraId="743D5E9E"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Canadá</w:t>
            </w:r>
          </w:p>
        </w:tc>
        <w:tc>
          <w:tcPr>
            <w:tcW w:w="821" w:type="pct"/>
            <w:tcBorders>
              <w:top w:val="single" w:sz="4" w:space="0" w:color="auto"/>
              <w:left w:val="nil"/>
              <w:bottom w:val="single" w:sz="4" w:space="0" w:color="auto"/>
              <w:right w:val="nil"/>
            </w:tcBorders>
            <w:hideMark/>
          </w:tcPr>
          <w:p w14:paraId="7163BA1F" w14:textId="77777777" w:rsidR="00AF17D5" w:rsidRPr="00932644" w:rsidRDefault="00EE2803">
            <w:pPr>
              <w:jc w:val="center"/>
              <w:rPr>
                <w:rFonts w:ascii="Arial" w:hAnsi="Arial" w:cs="Arial"/>
                <w:color w:val="000000"/>
                <w:sz w:val="22"/>
                <w:szCs w:val="22"/>
                <w:lang w:val="es-419"/>
              </w:rPr>
            </w:pPr>
            <w:hyperlink r:id="rId58" w:history="1">
              <w:r w:rsidR="00AF17D5" w:rsidRPr="00932644">
                <w:rPr>
                  <w:rStyle w:val="Lienhypertexte"/>
                  <w:rFonts w:ascii="Arial" w:hAnsi="Arial"/>
                  <w:sz w:val="22"/>
                  <w:szCs w:val="22"/>
                  <w:lang w:val="es-419"/>
                </w:rPr>
                <w:t>NGO-90439</w:t>
              </w:r>
            </w:hyperlink>
          </w:p>
        </w:tc>
      </w:tr>
      <w:tr w:rsidR="00AF17D5" w:rsidRPr="00932644" w14:paraId="74F9FDB2" w14:textId="77777777" w:rsidTr="00AF17D5">
        <w:trPr>
          <w:trHeight w:val="164"/>
        </w:trPr>
        <w:tc>
          <w:tcPr>
            <w:tcW w:w="3060" w:type="pct"/>
            <w:tcBorders>
              <w:top w:val="single" w:sz="4" w:space="0" w:color="auto"/>
              <w:left w:val="nil"/>
              <w:bottom w:val="single" w:sz="4" w:space="0" w:color="auto"/>
              <w:right w:val="nil"/>
            </w:tcBorders>
            <w:hideMark/>
          </w:tcPr>
          <w:p w14:paraId="7CD29FE8"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Centre for Black Culture and International Understanding, Osogbo</w:t>
            </w:r>
          </w:p>
        </w:tc>
        <w:tc>
          <w:tcPr>
            <w:tcW w:w="1119" w:type="pct"/>
            <w:tcBorders>
              <w:top w:val="single" w:sz="4" w:space="0" w:color="auto"/>
              <w:left w:val="nil"/>
              <w:bottom w:val="single" w:sz="4" w:space="0" w:color="auto"/>
              <w:right w:val="nil"/>
            </w:tcBorders>
            <w:hideMark/>
          </w:tcPr>
          <w:p w14:paraId="374D726E"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Nigeria</w:t>
            </w:r>
          </w:p>
        </w:tc>
        <w:tc>
          <w:tcPr>
            <w:tcW w:w="821" w:type="pct"/>
            <w:tcBorders>
              <w:top w:val="single" w:sz="4" w:space="0" w:color="auto"/>
              <w:left w:val="nil"/>
              <w:bottom w:val="single" w:sz="4" w:space="0" w:color="auto"/>
              <w:right w:val="nil"/>
            </w:tcBorders>
            <w:hideMark/>
          </w:tcPr>
          <w:p w14:paraId="312BB636" w14:textId="77777777" w:rsidR="00AF17D5" w:rsidRPr="00932644" w:rsidRDefault="00EE2803">
            <w:pPr>
              <w:jc w:val="center"/>
              <w:rPr>
                <w:rFonts w:ascii="Arial" w:hAnsi="Arial" w:cs="Arial"/>
                <w:color w:val="000000"/>
                <w:sz w:val="22"/>
                <w:szCs w:val="22"/>
                <w:lang w:val="es-419"/>
              </w:rPr>
            </w:pPr>
            <w:hyperlink r:id="rId59" w:history="1">
              <w:r w:rsidR="00AF17D5" w:rsidRPr="00932644">
                <w:rPr>
                  <w:rStyle w:val="Lienhypertexte"/>
                  <w:rFonts w:ascii="Arial" w:hAnsi="Arial"/>
                  <w:sz w:val="22"/>
                  <w:szCs w:val="22"/>
                  <w:lang w:val="es-419"/>
                </w:rPr>
                <w:t>NGO-90423</w:t>
              </w:r>
            </w:hyperlink>
          </w:p>
        </w:tc>
      </w:tr>
      <w:tr w:rsidR="00AF17D5" w:rsidRPr="00932644" w14:paraId="293207A8" w14:textId="77777777" w:rsidTr="00AF17D5">
        <w:trPr>
          <w:trHeight w:val="164"/>
        </w:trPr>
        <w:tc>
          <w:tcPr>
            <w:tcW w:w="3060" w:type="pct"/>
            <w:tcBorders>
              <w:top w:val="single" w:sz="4" w:space="0" w:color="auto"/>
              <w:left w:val="nil"/>
              <w:bottom w:val="single" w:sz="4" w:space="0" w:color="auto"/>
              <w:right w:val="nil"/>
            </w:tcBorders>
            <w:hideMark/>
          </w:tcPr>
          <w:p w14:paraId="35868BD4"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Crafts</w:t>
            </w:r>
            <w:proofErr w:type="spellEnd"/>
            <w:r w:rsidRPr="00932644">
              <w:rPr>
                <w:rFonts w:ascii="Arial" w:hAnsi="Arial" w:cs="Arial"/>
                <w:color w:val="000000"/>
                <w:sz w:val="22"/>
                <w:szCs w:val="22"/>
                <w:lang w:val="es-419"/>
              </w:rPr>
              <w:t xml:space="preserve"> of Chile </w:t>
            </w:r>
            <w:proofErr w:type="spellStart"/>
            <w:r w:rsidRPr="00932644">
              <w:rPr>
                <w:rFonts w:ascii="Arial" w:hAnsi="Arial" w:cs="Arial"/>
                <w:color w:val="000000"/>
                <w:sz w:val="22"/>
                <w:szCs w:val="22"/>
                <w:lang w:val="es-419"/>
              </w:rPr>
              <w:t>Foundation</w:t>
            </w:r>
            <w:proofErr w:type="spellEnd"/>
          </w:p>
        </w:tc>
        <w:tc>
          <w:tcPr>
            <w:tcW w:w="1119" w:type="pct"/>
            <w:tcBorders>
              <w:top w:val="single" w:sz="4" w:space="0" w:color="auto"/>
              <w:left w:val="nil"/>
              <w:bottom w:val="single" w:sz="4" w:space="0" w:color="auto"/>
              <w:right w:val="nil"/>
            </w:tcBorders>
            <w:hideMark/>
          </w:tcPr>
          <w:p w14:paraId="05AF08BB"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Chile</w:t>
            </w:r>
          </w:p>
        </w:tc>
        <w:tc>
          <w:tcPr>
            <w:tcW w:w="821" w:type="pct"/>
            <w:tcBorders>
              <w:top w:val="single" w:sz="4" w:space="0" w:color="auto"/>
              <w:left w:val="nil"/>
              <w:bottom w:val="single" w:sz="4" w:space="0" w:color="auto"/>
              <w:right w:val="nil"/>
            </w:tcBorders>
            <w:hideMark/>
          </w:tcPr>
          <w:p w14:paraId="26EE90B4" w14:textId="77777777" w:rsidR="00AF17D5" w:rsidRPr="00932644" w:rsidRDefault="00EE2803">
            <w:pPr>
              <w:jc w:val="center"/>
              <w:rPr>
                <w:rFonts w:ascii="Arial" w:hAnsi="Arial" w:cs="Arial"/>
                <w:color w:val="000000"/>
                <w:sz w:val="22"/>
                <w:szCs w:val="22"/>
                <w:lang w:val="es-419"/>
              </w:rPr>
            </w:pPr>
            <w:hyperlink r:id="rId60" w:history="1">
              <w:r w:rsidR="00AF17D5" w:rsidRPr="00932644">
                <w:rPr>
                  <w:rStyle w:val="Lienhypertexte"/>
                  <w:rFonts w:ascii="Arial" w:hAnsi="Arial"/>
                  <w:sz w:val="22"/>
                  <w:szCs w:val="22"/>
                  <w:lang w:val="es-419"/>
                </w:rPr>
                <w:t>NGO-90458</w:t>
              </w:r>
            </w:hyperlink>
          </w:p>
        </w:tc>
      </w:tr>
      <w:tr w:rsidR="00AF17D5" w:rsidRPr="00932644" w14:paraId="741D16F1" w14:textId="77777777" w:rsidTr="00AF17D5">
        <w:trPr>
          <w:trHeight w:val="164"/>
        </w:trPr>
        <w:tc>
          <w:tcPr>
            <w:tcW w:w="3060" w:type="pct"/>
            <w:tcBorders>
              <w:top w:val="single" w:sz="4" w:space="0" w:color="auto"/>
              <w:left w:val="nil"/>
              <w:bottom w:val="single" w:sz="4" w:space="0" w:color="auto"/>
              <w:right w:val="nil"/>
            </w:tcBorders>
            <w:hideMark/>
          </w:tcPr>
          <w:p w14:paraId="7F5C8FB2"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Cultural and Community Organization NAKS</w:t>
            </w:r>
          </w:p>
        </w:tc>
        <w:tc>
          <w:tcPr>
            <w:tcW w:w="1119" w:type="pct"/>
            <w:tcBorders>
              <w:top w:val="single" w:sz="4" w:space="0" w:color="auto"/>
              <w:left w:val="nil"/>
              <w:bottom w:val="single" w:sz="4" w:space="0" w:color="auto"/>
              <w:right w:val="nil"/>
            </w:tcBorders>
            <w:hideMark/>
          </w:tcPr>
          <w:p w14:paraId="1D018D70"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Suriname</w:t>
            </w:r>
          </w:p>
        </w:tc>
        <w:tc>
          <w:tcPr>
            <w:tcW w:w="821" w:type="pct"/>
            <w:tcBorders>
              <w:top w:val="single" w:sz="4" w:space="0" w:color="auto"/>
              <w:left w:val="nil"/>
              <w:bottom w:val="single" w:sz="4" w:space="0" w:color="auto"/>
              <w:right w:val="nil"/>
            </w:tcBorders>
            <w:hideMark/>
          </w:tcPr>
          <w:p w14:paraId="5F9BB935" w14:textId="77777777" w:rsidR="00AF17D5" w:rsidRPr="00932644" w:rsidRDefault="00EE2803">
            <w:pPr>
              <w:jc w:val="center"/>
              <w:rPr>
                <w:rFonts w:ascii="Arial" w:hAnsi="Arial" w:cs="Arial"/>
                <w:color w:val="000000"/>
                <w:sz w:val="22"/>
                <w:szCs w:val="22"/>
                <w:lang w:val="es-419"/>
              </w:rPr>
            </w:pPr>
            <w:hyperlink r:id="rId61" w:history="1">
              <w:r w:rsidR="00AF17D5" w:rsidRPr="00932644">
                <w:rPr>
                  <w:rStyle w:val="Lienhypertexte"/>
                  <w:rFonts w:ascii="Arial" w:hAnsi="Arial"/>
                  <w:sz w:val="22"/>
                  <w:szCs w:val="22"/>
                  <w:lang w:val="es-419"/>
                </w:rPr>
                <w:t>NGO-90444</w:t>
              </w:r>
            </w:hyperlink>
          </w:p>
        </w:tc>
      </w:tr>
      <w:tr w:rsidR="00AF17D5" w:rsidRPr="00932644" w14:paraId="39F20BBA" w14:textId="77777777" w:rsidTr="00AF17D5">
        <w:trPr>
          <w:trHeight w:val="164"/>
        </w:trPr>
        <w:tc>
          <w:tcPr>
            <w:tcW w:w="3060" w:type="pct"/>
            <w:tcBorders>
              <w:top w:val="single" w:sz="4" w:space="0" w:color="auto"/>
              <w:left w:val="nil"/>
              <w:bottom w:val="single" w:sz="4" w:space="0" w:color="auto"/>
              <w:right w:val="nil"/>
            </w:tcBorders>
            <w:hideMark/>
          </w:tcPr>
          <w:p w14:paraId="1B0622F3" w14:textId="77777777" w:rsidR="00AF17D5" w:rsidRPr="00932644" w:rsidRDefault="00AF17D5">
            <w:pPr>
              <w:rPr>
                <w:rFonts w:ascii="Arial" w:hAnsi="Arial" w:cs="Arial"/>
                <w:color w:val="000000"/>
                <w:sz w:val="22"/>
                <w:szCs w:val="22"/>
                <w:lang w:val="es-419"/>
              </w:rPr>
            </w:pPr>
            <w:r w:rsidRPr="00932644">
              <w:rPr>
                <w:rFonts w:ascii="Arial" w:hAnsi="Arial" w:cs="Arial"/>
                <w:color w:val="000000"/>
                <w:sz w:val="22"/>
                <w:szCs w:val="22"/>
                <w:lang w:val="es-419"/>
              </w:rPr>
              <w:t xml:space="preserve">Culture – </w:t>
            </w:r>
            <w:proofErr w:type="spellStart"/>
            <w:r w:rsidRPr="00932644">
              <w:rPr>
                <w:rFonts w:ascii="Arial" w:hAnsi="Arial" w:cs="Arial"/>
                <w:color w:val="000000"/>
                <w:sz w:val="22"/>
                <w:szCs w:val="22"/>
                <w:lang w:val="es-419"/>
              </w:rPr>
              <w:t>Développement</w:t>
            </w:r>
            <w:proofErr w:type="spellEnd"/>
            <w:r w:rsidRPr="00932644">
              <w:rPr>
                <w:rFonts w:ascii="Arial" w:hAnsi="Arial" w:cs="Arial"/>
                <w:color w:val="000000"/>
                <w:sz w:val="22"/>
                <w:szCs w:val="22"/>
                <w:lang w:val="es-419"/>
              </w:rPr>
              <w:t xml:space="preserve"> (CUL.DEV)</w:t>
            </w:r>
          </w:p>
        </w:tc>
        <w:tc>
          <w:tcPr>
            <w:tcW w:w="1119" w:type="pct"/>
            <w:tcBorders>
              <w:top w:val="single" w:sz="4" w:space="0" w:color="auto"/>
              <w:left w:val="nil"/>
              <w:bottom w:val="single" w:sz="4" w:space="0" w:color="auto"/>
              <w:right w:val="nil"/>
            </w:tcBorders>
            <w:hideMark/>
          </w:tcPr>
          <w:p w14:paraId="55778072"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Togo</w:t>
            </w:r>
          </w:p>
        </w:tc>
        <w:tc>
          <w:tcPr>
            <w:tcW w:w="821" w:type="pct"/>
            <w:tcBorders>
              <w:top w:val="single" w:sz="4" w:space="0" w:color="auto"/>
              <w:left w:val="nil"/>
              <w:bottom w:val="single" w:sz="4" w:space="0" w:color="auto"/>
              <w:right w:val="nil"/>
            </w:tcBorders>
            <w:hideMark/>
          </w:tcPr>
          <w:p w14:paraId="648769C8" w14:textId="77777777" w:rsidR="00AF17D5" w:rsidRPr="00932644" w:rsidRDefault="00EE2803">
            <w:pPr>
              <w:jc w:val="center"/>
              <w:rPr>
                <w:rFonts w:ascii="Arial" w:hAnsi="Arial" w:cs="Arial"/>
                <w:color w:val="000000"/>
                <w:sz w:val="22"/>
                <w:szCs w:val="22"/>
                <w:lang w:val="es-419"/>
              </w:rPr>
            </w:pPr>
            <w:hyperlink r:id="rId62" w:history="1">
              <w:r w:rsidR="00AF17D5" w:rsidRPr="00932644">
                <w:rPr>
                  <w:rStyle w:val="Lienhypertexte"/>
                  <w:rFonts w:ascii="Arial" w:hAnsi="Arial"/>
                  <w:sz w:val="22"/>
                  <w:szCs w:val="22"/>
                  <w:lang w:val="es-419"/>
                </w:rPr>
                <w:t>NGO-90454</w:t>
              </w:r>
            </w:hyperlink>
          </w:p>
        </w:tc>
      </w:tr>
      <w:tr w:rsidR="00AF17D5" w:rsidRPr="00932644" w14:paraId="5E769C02" w14:textId="77777777" w:rsidTr="00AF17D5">
        <w:trPr>
          <w:trHeight w:val="164"/>
        </w:trPr>
        <w:tc>
          <w:tcPr>
            <w:tcW w:w="3060" w:type="pct"/>
            <w:tcBorders>
              <w:top w:val="single" w:sz="4" w:space="0" w:color="auto"/>
              <w:left w:val="nil"/>
              <w:bottom w:val="single" w:sz="4" w:space="0" w:color="auto"/>
              <w:right w:val="nil"/>
            </w:tcBorders>
            <w:hideMark/>
          </w:tcPr>
          <w:p w14:paraId="15B8B1E5"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Development Centre ‘Democracy through culture’</w:t>
            </w:r>
          </w:p>
        </w:tc>
        <w:tc>
          <w:tcPr>
            <w:tcW w:w="1119" w:type="pct"/>
            <w:tcBorders>
              <w:top w:val="single" w:sz="4" w:space="0" w:color="auto"/>
              <w:left w:val="nil"/>
              <w:bottom w:val="single" w:sz="4" w:space="0" w:color="auto"/>
              <w:right w:val="nil"/>
            </w:tcBorders>
            <w:hideMark/>
          </w:tcPr>
          <w:p w14:paraId="698D5111"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Ucrania</w:t>
            </w:r>
          </w:p>
        </w:tc>
        <w:tc>
          <w:tcPr>
            <w:tcW w:w="821" w:type="pct"/>
            <w:tcBorders>
              <w:top w:val="single" w:sz="4" w:space="0" w:color="auto"/>
              <w:left w:val="nil"/>
              <w:bottom w:val="single" w:sz="4" w:space="0" w:color="auto"/>
              <w:right w:val="nil"/>
            </w:tcBorders>
            <w:hideMark/>
          </w:tcPr>
          <w:p w14:paraId="6D6BDFD3" w14:textId="77777777" w:rsidR="00AF17D5" w:rsidRPr="00932644" w:rsidRDefault="00EE2803">
            <w:pPr>
              <w:jc w:val="center"/>
              <w:rPr>
                <w:rFonts w:ascii="Arial" w:hAnsi="Arial" w:cs="Arial"/>
                <w:color w:val="000000"/>
                <w:sz w:val="22"/>
                <w:szCs w:val="22"/>
                <w:lang w:val="es-419"/>
              </w:rPr>
            </w:pPr>
            <w:hyperlink r:id="rId63" w:history="1">
              <w:r w:rsidR="00AF17D5" w:rsidRPr="00932644">
                <w:rPr>
                  <w:rStyle w:val="Lienhypertexte"/>
                  <w:rFonts w:ascii="Arial" w:hAnsi="Arial"/>
                  <w:sz w:val="22"/>
                  <w:szCs w:val="22"/>
                  <w:lang w:val="es-419"/>
                </w:rPr>
                <w:t>NGO-90421</w:t>
              </w:r>
            </w:hyperlink>
          </w:p>
        </w:tc>
      </w:tr>
      <w:tr w:rsidR="00AF17D5" w:rsidRPr="00932644" w14:paraId="297840EA" w14:textId="77777777" w:rsidTr="00AF17D5">
        <w:trPr>
          <w:trHeight w:val="164"/>
        </w:trPr>
        <w:tc>
          <w:tcPr>
            <w:tcW w:w="3060" w:type="pct"/>
            <w:tcBorders>
              <w:top w:val="single" w:sz="4" w:space="0" w:color="auto"/>
              <w:left w:val="nil"/>
              <w:bottom w:val="single" w:sz="4" w:space="0" w:color="auto"/>
              <w:right w:val="nil"/>
            </w:tcBorders>
            <w:hideMark/>
          </w:tcPr>
          <w:p w14:paraId="074BEA66"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 xml:space="preserve">Ethnographic Centre of the </w:t>
            </w:r>
            <w:proofErr w:type="spellStart"/>
            <w:r w:rsidRPr="00932644">
              <w:rPr>
                <w:rFonts w:ascii="Arial" w:hAnsi="Arial" w:cs="Arial"/>
                <w:color w:val="000000"/>
                <w:sz w:val="22"/>
                <w:szCs w:val="22"/>
                <w:lang w:val="en-GB"/>
              </w:rPr>
              <w:t>Campane</w:t>
            </w:r>
            <w:proofErr w:type="spellEnd"/>
            <w:r w:rsidRPr="00932644">
              <w:rPr>
                <w:rFonts w:ascii="Arial" w:hAnsi="Arial" w:cs="Arial"/>
                <w:color w:val="000000"/>
                <w:sz w:val="22"/>
                <w:szCs w:val="22"/>
                <w:lang w:val="en-GB"/>
              </w:rPr>
              <w:t xml:space="preserve"> Islands</w:t>
            </w:r>
          </w:p>
        </w:tc>
        <w:tc>
          <w:tcPr>
            <w:tcW w:w="1119" w:type="pct"/>
            <w:tcBorders>
              <w:top w:val="single" w:sz="4" w:space="0" w:color="auto"/>
              <w:left w:val="nil"/>
              <w:bottom w:val="single" w:sz="4" w:space="0" w:color="auto"/>
              <w:right w:val="nil"/>
            </w:tcBorders>
            <w:hideMark/>
          </w:tcPr>
          <w:p w14:paraId="066BED3A"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Italia</w:t>
            </w:r>
          </w:p>
        </w:tc>
        <w:tc>
          <w:tcPr>
            <w:tcW w:w="821" w:type="pct"/>
            <w:tcBorders>
              <w:top w:val="single" w:sz="4" w:space="0" w:color="auto"/>
              <w:left w:val="nil"/>
              <w:bottom w:val="single" w:sz="4" w:space="0" w:color="auto"/>
              <w:right w:val="nil"/>
            </w:tcBorders>
            <w:hideMark/>
          </w:tcPr>
          <w:p w14:paraId="757876F3" w14:textId="77777777" w:rsidR="00AF17D5" w:rsidRPr="00932644" w:rsidRDefault="00EE2803">
            <w:pPr>
              <w:jc w:val="center"/>
              <w:rPr>
                <w:rFonts w:ascii="Arial" w:hAnsi="Arial" w:cs="Arial"/>
                <w:color w:val="000000"/>
                <w:sz w:val="22"/>
                <w:szCs w:val="22"/>
                <w:lang w:val="es-419"/>
              </w:rPr>
            </w:pPr>
            <w:hyperlink r:id="rId64" w:history="1">
              <w:r w:rsidR="00AF17D5" w:rsidRPr="00932644">
                <w:rPr>
                  <w:rStyle w:val="Lienhypertexte"/>
                  <w:rFonts w:ascii="Arial" w:hAnsi="Arial"/>
                  <w:sz w:val="22"/>
                  <w:szCs w:val="22"/>
                  <w:lang w:val="es-419"/>
                </w:rPr>
                <w:t>NGO-90462</w:t>
              </w:r>
            </w:hyperlink>
          </w:p>
        </w:tc>
      </w:tr>
      <w:tr w:rsidR="00AF17D5" w:rsidRPr="00932644" w14:paraId="1EB4A041" w14:textId="77777777" w:rsidTr="00AF17D5">
        <w:trPr>
          <w:trHeight w:val="164"/>
        </w:trPr>
        <w:tc>
          <w:tcPr>
            <w:tcW w:w="3060" w:type="pct"/>
            <w:tcBorders>
              <w:top w:val="single" w:sz="4" w:space="0" w:color="auto"/>
              <w:left w:val="nil"/>
              <w:bottom w:val="single" w:sz="4" w:space="0" w:color="auto"/>
              <w:right w:val="nil"/>
            </w:tcBorders>
            <w:hideMark/>
          </w:tcPr>
          <w:p w14:paraId="055F1592"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Finnish</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Crafts</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Organization</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Taito</w:t>
            </w:r>
            <w:proofErr w:type="spellEnd"/>
          </w:p>
        </w:tc>
        <w:tc>
          <w:tcPr>
            <w:tcW w:w="1119" w:type="pct"/>
            <w:tcBorders>
              <w:top w:val="single" w:sz="4" w:space="0" w:color="auto"/>
              <w:left w:val="nil"/>
              <w:bottom w:val="single" w:sz="4" w:space="0" w:color="auto"/>
              <w:right w:val="nil"/>
            </w:tcBorders>
            <w:hideMark/>
          </w:tcPr>
          <w:p w14:paraId="2BCB3D3C"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Finlandia</w:t>
            </w:r>
          </w:p>
        </w:tc>
        <w:tc>
          <w:tcPr>
            <w:tcW w:w="821" w:type="pct"/>
            <w:tcBorders>
              <w:top w:val="single" w:sz="4" w:space="0" w:color="auto"/>
              <w:left w:val="nil"/>
              <w:bottom w:val="single" w:sz="4" w:space="0" w:color="auto"/>
              <w:right w:val="nil"/>
            </w:tcBorders>
            <w:hideMark/>
          </w:tcPr>
          <w:p w14:paraId="2EF8ED4E" w14:textId="77777777" w:rsidR="00AF17D5" w:rsidRPr="00932644" w:rsidRDefault="00EE2803">
            <w:pPr>
              <w:jc w:val="center"/>
              <w:rPr>
                <w:rFonts w:ascii="Arial" w:hAnsi="Arial" w:cs="Arial"/>
                <w:color w:val="000000"/>
                <w:sz w:val="22"/>
                <w:szCs w:val="22"/>
                <w:lang w:val="es-419"/>
              </w:rPr>
            </w:pPr>
            <w:hyperlink r:id="rId65" w:history="1">
              <w:r w:rsidR="00AF17D5" w:rsidRPr="00932644">
                <w:rPr>
                  <w:rStyle w:val="Lienhypertexte"/>
                  <w:rFonts w:ascii="Arial" w:hAnsi="Arial"/>
                  <w:sz w:val="22"/>
                  <w:szCs w:val="22"/>
                  <w:lang w:val="es-419"/>
                </w:rPr>
                <w:t>NGO-90436</w:t>
              </w:r>
            </w:hyperlink>
          </w:p>
        </w:tc>
      </w:tr>
      <w:tr w:rsidR="00AF17D5" w:rsidRPr="00932644" w14:paraId="1113D20C" w14:textId="77777777" w:rsidTr="00AF17D5">
        <w:trPr>
          <w:trHeight w:val="164"/>
        </w:trPr>
        <w:tc>
          <w:tcPr>
            <w:tcW w:w="3060" w:type="pct"/>
            <w:tcBorders>
              <w:top w:val="single" w:sz="4" w:space="0" w:color="auto"/>
              <w:left w:val="nil"/>
              <w:bottom w:val="single" w:sz="4" w:space="0" w:color="auto"/>
              <w:right w:val="nil"/>
            </w:tcBorders>
            <w:hideMark/>
          </w:tcPr>
          <w:p w14:paraId="1274AC11"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Foundation</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Museum</w:t>
            </w:r>
            <w:proofErr w:type="spellEnd"/>
            <w:r w:rsidRPr="00932644">
              <w:rPr>
                <w:rFonts w:ascii="Arial" w:hAnsi="Arial" w:cs="Arial"/>
                <w:color w:val="000000"/>
                <w:sz w:val="22"/>
                <w:szCs w:val="22"/>
                <w:lang w:val="es-419"/>
              </w:rPr>
              <w:t xml:space="preserve"> Tula</w:t>
            </w:r>
          </w:p>
        </w:tc>
        <w:tc>
          <w:tcPr>
            <w:tcW w:w="1119" w:type="pct"/>
            <w:tcBorders>
              <w:top w:val="single" w:sz="4" w:space="0" w:color="auto"/>
              <w:left w:val="nil"/>
              <w:bottom w:val="single" w:sz="4" w:space="0" w:color="auto"/>
              <w:right w:val="nil"/>
            </w:tcBorders>
            <w:hideMark/>
          </w:tcPr>
          <w:p w14:paraId="20F9C279" w14:textId="05844810"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Curasao</w:t>
            </w:r>
          </w:p>
        </w:tc>
        <w:tc>
          <w:tcPr>
            <w:tcW w:w="821" w:type="pct"/>
            <w:tcBorders>
              <w:top w:val="single" w:sz="4" w:space="0" w:color="auto"/>
              <w:left w:val="nil"/>
              <w:bottom w:val="single" w:sz="4" w:space="0" w:color="auto"/>
              <w:right w:val="nil"/>
            </w:tcBorders>
            <w:hideMark/>
          </w:tcPr>
          <w:p w14:paraId="28A65B93" w14:textId="77777777" w:rsidR="00AF17D5" w:rsidRPr="00932644" w:rsidRDefault="00EE2803">
            <w:pPr>
              <w:jc w:val="center"/>
              <w:rPr>
                <w:rFonts w:ascii="Arial" w:hAnsi="Arial" w:cs="Arial"/>
                <w:color w:val="000000"/>
                <w:sz w:val="22"/>
                <w:szCs w:val="22"/>
                <w:lang w:val="es-419"/>
              </w:rPr>
            </w:pPr>
            <w:hyperlink r:id="rId66" w:history="1">
              <w:r w:rsidR="00AF17D5" w:rsidRPr="00932644">
                <w:rPr>
                  <w:rStyle w:val="Lienhypertexte"/>
                  <w:rFonts w:ascii="Arial" w:hAnsi="Arial"/>
                  <w:sz w:val="22"/>
                  <w:szCs w:val="22"/>
                  <w:lang w:val="es-419"/>
                </w:rPr>
                <w:t>NGO-90460</w:t>
              </w:r>
            </w:hyperlink>
          </w:p>
        </w:tc>
      </w:tr>
      <w:tr w:rsidR="00AF17D5" w:rsidRPr="00932644" w14:paraId="1ED1599D" w14:textId="77777777" w:rsidTr="00AF17D5">
        <w:trPr>
          <w:trHeight w:val="164"/>
        </w:trPr>
        <w:tc>
          <w:tcPr>
            <w:tcW w:w="3060" w:type="pct"/>
            <w:tcBorders>
              <w:top w:val="single" w:sz="4" w:space="0" w:color="auto"/>
              <w:left w:val="nil"/>
              <w:bottom w:val="single" w:sz="4" w:space="0" w:color="auto"/>
              <w:right w:val="nil"/>
            </w:tcBorders>
            <w:hideMark/>
          </w:tcPr>
          <w:p w14:paraId="406DE050" w14:textId="473CB774" w:rsidR="00AF17D5" w:rsidRPr="00932644" w:rsidRDefault="003B1118">
            <w:pPr>
              <w:rPr>
                <w:rFonts w:ascii="Arial" w:hAnsi="Arial" w:cs="Arial"/>
                <w:color w:val="000000"/>
                <w:sz w:val="22"/>
                <w:szCs w:val="22"/>
                <w:lang w:val="en-GB"/>
              </w:rPr>
            </w:pPr>
            <w:r w:rsidRPr="00932644">
              <w:rPr>
                <w:rFonts w:ascii="Arial" w:hAnsi="Arial" w:cs="Arial"/>
                <w:color w:val="000000"/>
                <w:sz w:val="22"/>
                <w:szCs w:val="22"/>
                <w:lang w:val="en-GB"/>
              </w:rPr>
              <w:t>‘</w:t>
            </w:r>
            <w:proofErr w:type="spellStart"/>
            <w:r w:rsidR="00AF17D5" w:rsidRPr="00932644">
              <w:rPr>
                <w:rFonts w:ascii="Arial" w:hAnsi="Arial" w:cs="Arial"/>
                <w:color w:val="000000"/>
                <w:sz w:val="22"/>
                <w:szCs w:val="22"/>
                <w:lang w:val="en-GB"/>
              </w:rPr>
              <w:t>Hazarashen</w:t>
            </w:r>
            <w:proofErr w:type="spellEnd"/>
            <w:r w:rsidRPr="00932644">
              <w:rPr>
                <w:rFonts w:ascii="Arial" w:hAnsi="Arial" w:cs="Arial"/>
                <w:color w:val="000000"/>
                <w:sz w:val="22"/>
                <w:szCs w:val="22"/>
                <w:lang w:val="en-GB"/>
              </w:rPr>
              <w:t>’</w:t>
            </w:r>
            <w:r w:rsidR="00AF17D5" w:rsidRPr="00932644">
              <w:rPr>
                <w:rFonts w:ascii="Arial" w:hAnsi="Arial" w:cs="Arial"/>
                <w:color w:val="000000"/>
                <w:sz w:val="22"/>
                <w:szCs w:val="22"/>
                <w:lang w:val="en-GB"/>
              </w:rPr>
              <w:t xml:space="preserve"> Armenian Centre for Ethnological Studies</w:t>
            </w:r>
          </w:p>
        </w:tc>
        <w:tc>
          <w:tcPr>
            <w:tcW w:w="1119" w:type="pct"/>
            <w:tcBorders>
              <w:top w:val="single" w:sz="4" w:space="0" w:color="auto"/>
              <w:left w:val="nil"/>
              <w:bottom w:val="single" w:sz="4" w:space="0" w:color="auto"/>
              <w:right w:val="nil"/>
            </w:tcBorders>
            <w:hideMark/>
          </w:tcPr>
          <w:p w14:paraId="5243419E"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Armenia</w:t>
            </w:r>
          </w:p>
        </w:tc>
        <w:tc>
          <w:tcPr>
            <w:tcW w:w="821" w:type="pct"/>
            <w:tcBorders>
              <w:top w:val="single" w:sz="4" w:space="0" w:color="auto"/>
              <w:left w:val="nil"/>
              <w:bottom w:val="single" w:sz="4" w:space="0" w:color="auto"/>
              <w:right w:val="nil"/>
            </w:tcBorders>
            <w:hideMark/>
          </w:tcPr>
          <w:p w14:paraId="79391B18" w14:textId="77777777" w:rsidR="00AF17D5" w:rsidRPr="00932644" w:rsidRDefault="00EE2803">
            <w:pPr>
              <w:jc w:val="center"/>
              <w:rPr>
                <w:rFonts w:ascii="Arial" w:hAnsi="Arial" w:cs="Arial"/>
                <w:color w:val="000000"/>
                <w:sz w:val="22"/>
                <w:szCs w:val="22"/>
                <w:lang w:val="es-419"/>
              </w:rPr>
            </w:pPr>
            <w:hyperlink r:id="rId67" w:history="1">
              <w:r w:rsidR="00AF17D5" w:rsidRPr="00932644">
                <w:rPr>
                  <w:rStyle w:val="Lienhypertexte"/>
                  <w:rFonts w:ascii="Arial" w:hAnsi="Arial"/>
                  <w:sz w:val="22"/>
                  <w:szCs w:val="22"/>
                  <w:lang w:val="es-419"/>
                </w:rPr>
                <w:t>NGO-90431</w:t>
              </w:r>
            </w:hyperlink>
          </w:p>
        </w:tc>
      </w:tr>
      <w:tr w:rsidR="00AF17D5" w:rsidRPr="00932644" w14:paraId="2B996AE5" w14:textId="77777777" w:rsidTr="00AF17D5">
        <w:trPr>
          <w:trHeight w:val="164"/>
        </w:trPr>
        <w:tc>
          <w:tcPr>
            <w:tcW w:w="3060" w:type="pct"/>
            <w:tcBorders>
              <w:top w:val="single" w:sz="4" w:space="0" w:color="auto"/>
              <w:left w:val="nil"/>
              <w:bottom w:val="single" w:sz="4" w:space="0" w:color="auto"/>
              <w:right w:val="nil"/>
            </w:tcBorders>
            <w:hideMark/>
          </w:tcPr>
          <w:p w14:paraId="6067931B" w14:textId="77777777" w:rsidR="00AF17D5" w:rsidRPr="00932644" w:rsidRDefault="00AF17D5">
            <w:pPr>
              <w:rPr>
                <w:rFonts w:ascii="Arial" w:hAnsi="Arial" w:cs="Arial"/>
                <w:color w:val="000000"/>
                <w:sz w:val="22"/>
                <w:szCs w:val="22"/>
                <w:lang w:val="es-419"/>
              </w:rPr>
            </w:pPr>
            <w:r w:rsidRPr="00932644">
              <w:rPr>
                <w:rFonts w:ascii="Arial" w:hAnsi="Arial" w:cs="Arial"/>
                <w:color w:val="000000"/>
                <w:sz w:val="22"/>
                <w:szCs w:val="22"/>
                <w:lang w:val="es-419"/>
              </w:rPr>
              <w:t>Heritage Saskatchewan Alliance Inc.</w:t>
            </w:r>
          </w:p>
        </w:tc>
        <w:tc>
          <w:tcPr>
            <w:tcW w:w="1119" w:type="pct"/>
            <w:tcBorders>
              <w:top w:val="single" w:sz="4" w:space="0" w:color="auto"/>
              <w:left w:val="nil"/>
              <w:bottom w:val="single" w:sz="4" w:space="0" w:color="auto"/>
              <w:right w:val="nil"/>
            </w:tcBorders>
            <w:hideMark/>
          </w:tcPr>
          <w:p w14:paraId="0083600F"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Canadá</w:t>
            </w:r>
          </w:p>
        </w:tc>
        <w:tc>
          <w:tcPr>
            <w:tcW w:w="821" w:type="pct"/>
            <w:tcBorders>
              <w:top w:val="single" w:sz="4" w:space="0" w:color="auto"/>
              <w:left w:val="nil"/>
              <w:bottom w:val="single" w:sz="4" w:space="0" w:color="auto"/>
              <w:right w:val="nil"/>
            </w:tcBorders>
            <w:hideMark/>
          </w:tcPr>
          <w:p w14:paraId="4B08CC7B" w14:textId="77777777" w:rsidR="00AF17D5" w:rsidRPr="00932644" w:rsidRDefault="00EE2803">
            <w:pPr>
              <w:jc w:val="center"/>
              <w:rPr>
                <w:rFonts w:ascii="Arial" w:hAnsi="Arial" w:cs="Arial"/>
                <w:color w:val="000000"/>
                <w:sz w:val="22"/>
                <w:szCs w:val="22"/>
                <w:lang w:val="es-419"/>
              </w:rPr>
            </w:pPr>
            <w:hyperlink r:id="rId68" w:history="1">
              <w:r w:rsidR="00AF17D5" w:rsidRPr="00932644">
                <w:rPr>
                  <w:rStyle w:val="Lienhypertexte"/>
                  <w:rFonts w:ascii="Arial" w:hAnsi="Arial"/>
                  <w:sz w:val="22"/>
                  <w:szCs w:val="22"/>
                  <w:lang w:val="es-419"/>
                </w:rPr>
                <w:t>NGO-90437</w:t>
              </w:r>
            </w:hyperlink>
          </w:p>
        </w:tc>
      </w:tr>
      <w:tr w:rsidR="00AF17D5" w:rsidRPr="00932644" w14:paraId="7FC4BB7B" w14:textId="77777777" w:rsidTr="00AF17D5">
        <w:trPr>
          <w:trHeight w:val="164"/>
        </w:trPr>
        <w:tc>
          <w:tcPr>
            <w:tcW w:w="3060" w:type="pct"/>
            <w:tcBorders>
              <w:top w:val="single" w:sz="4" w:space="0" w:color="auto"/>
              <w:left w:val="nil"/>
              <w:bottom w:val="single" w:sz="4" w:space="0" w:color="auto"/>
              <w:right w:val="nil"/>
            </w:tcBorders>
            <w:hideMark/>
          </w:tcPr>
          <w:p w14:paraId="37A69AD3"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Institut</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Tshakapesh</w:t>
            </w:r>
            <w:proofErr w:type="spellEnd"/>
          </w:p>
        </w:tc>
        <w:tc>
          <w:tcPr>
            <w:tcW w:w="1119" w:type="pct"/>
            <w:tcBorders>
              <w:top w:val="single" w:sz="4" w:space="0" w:color="auto"/>
              <w:left w:val="nil"/>
              <w:bottom w:val="single" w:sz="4" w:space="0" w:color="auto"/>
              <w:right w:val="nil"/>
            </w:tcBorders>
            <w:hideMark/>
          </w:tcPr>
          <w:p w14:paraId="0D8E5D02"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Canadá</w:t>
            </w:r>
          </w:p>
        </w:tc>
        <w:tc>
          <w:tcPr>
            <w:tcW w:w="821" w:type="pct"/>
            <w:tcBorders>
              <w:top w:val="single" w:sz="4" w:space="0" w:color="auto"/>
              <w:left w:val="nil"/>
              <w:bottom w:val="single" w:sz="4" w:space="0" w:color="auto"/>
              <w:right w:val="nil"/>
            </w:tcBorders>
            <w:hideMark/>
          </w:tcPr>
          <w:p w14:paraId="2992CCBA" w14:textId="77777777" w:rsidR="00AF17D5" w:rsidRPr="00932644" w:rsidRDefault="00EE2803">
            <w:pPr>
              <w:jc w:val="center"/>
              <w:rPr>
                <w:rFonts w:ascii="Arial" w:hAnsi="Arial" w:cs="Arial"/>
                <w:color w:val="000000"/>
                <w:sz w:val="22"/>
                <w:szCs w:val="22"/>
                <w:lang w:val="es-419"/>
              </w:rPr>
            </w:pPr>
            <w:hyperlink r:id="rId69" w:history="1">
              <w:r w:rsidR="00AF17D5" w:rsidRPr="00932644">
                <w:rPr>
                  <w:rStyle w:val="Lienhypertexte"/>
                  <w:rFonts w:ascii="Arial" w:hAnsi="Arial"/>
                  <w:sz w:val="22"/>
                  <w:szCs w:val="22"/>
                  <w:lang w:val="es-419"/>
                </w:rPr>
                <w:t>NGO-90474</w:t>
              </w:r>
            </w:hyperlink>
          </w:p>
        </w:tc>
      </w:tr>
      <w:tr w:rsidR="00AF17D5" w:rsidRPr="00932644" w14:paraId="6620B2BF" w14:textId="77777777" w:rsidTr="00AF17D5">
        <w:trPr>
          <w:trHeight w:val="164"/>
        </w:trPr>
        <w:tc>
          <w:tcPr>
            <w:tcW w:w="3060" w:type="pct"/>
            <w:tcBorders>
              <w:top w:val="single" w:sz="4" w:space="0" w:color="auto"/>
              <w:left w:val="nil"/>
              <w:bottom w:val="single" w:sz="4" w:space="0" w:color="auto"/>
              <w:right w:val="nil"/>
            </w:tcBorders>
            <w:hideMark/>
          </w:tcPr>
          <w:p w14:paraId="39595B90" w14:textId="77777777" w:rsidR="00AF17D5" w:rsidRPr="00932644" w:rsidRDefault="00AF17D5">
            <w:pPr>
              <w:rPr>
                <w:rFonts w:ascii="Arial" w:hAnsi="Arial" w:cs="Arial"/>
                <w:color w:val="000000"/>
                <w:sz w:val="22"/>
                <w:szCs w:val="22"/>
                <w:lang w:val="es-419"/>
              </w:rPr>
            </w:pPr>
            <w:r w:rsidRPr="00932644">
              <w:rPr>
                <w:rFonts w:ascii="Arial" w:hAnsi="Arial" w:cs="Arial"/>
                <w:color w:val="000000"/>
                <w:sz w:val="22"/>
                <w:szCs w:val="22"/>
                <w:lang w:val="es-419"/>
              </w:rPr>
              <w:t xml:space="preserve">Les </w:t>
            </w:r>
            <w:proofErr w:type="spellStart"/>
            <w:r w:rsidRPr="00932644">
              <w:rPr>
                <w:rFonts w:ascii="Arial" w:hAnsi="Arial" w:cs="Arial"/>
                <w:color w:val="000000"/>
                <w:sz w:val="22"/>
                <w:szCs w:val="22"/>
                <w:lang w:val="es-419"/>
              </w:rPr>
              <w:t>Forges</w:t>
            </w:r>
            <w:proofErr w:type="spellEnd"/>
            <w:r w:rsidRPr="00932644">
              <w:rPr>
                <w:rFonts w:ascii="Arial" w:hAnsi="Arial" w:cs="Arial"/>
                <w:color w:val="000000"/>
                <w:sz w:val="22"/>
                <w:szCs w:val="22"/>
                <w:lang w:val="es-419"/>
              </w:rPr>
              <w:t xml:space="preserve"> de </w:t>
            </w:r>
            <w:proofErr w:type="spellStart"/>
            <w:r w:rsidRPr="00932644">
              <w:rPr>
                <w:rFonts w:ascii="Arial" w:hAnsi="Arial" w:cs="Arial"/>
                <w:color w:val="000000"/>
                <w:sz w:val="22"/>
                <w:szCs w:val="22"/>
                <w:lang w:val="es-419"/>
              </w:rPr>
              <w:t>Montréal</w:t>
            </w:r>
            <w:proofErr w:type="spellEnd"/>
          </w:p>
        </w:tc>
        <w:tc>
          <w:tcPr>
            <w:tcW w:w="1119" w:type="pct"/>
            <w:tcBorders>
              <w:top w:val="single" w:sz="4" w:space="0" w:color="auto"/>
              <w:left w:val="nil"/>
              <w:bottom w:val="single" w:sz="4" w:space="0" w:color="auto"/>
              <w:right w:val="nil"/>
            </w:tcBorders>
            <w:hideMark/>
          </w:tcPr>
          <w:p w14:paraId="341A8326"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Canadá</w:t>
            </w:r>
          </w:p>
        </w:tc>
        <w:tc>
          <w:tcPr>
            <w:tcW w:w="821" w:type="pct"/>
            <w:tcBorders>
              <w:top w:val="single" w:sz="4" w:space="0" w:color="auto"/>
              <w:left w:val="nil"/>
              <w:bottom w:val="single" w:sz="4" w:space="0" w:color="auto"/>
              <w:right w:val="nil"/>
            </w:tcBorders>
            <w:hideMark/>
          </w:tcPr>
          <w:p w14:paraId="7826087E" w14:textId="77777777" w:rsidR="00AF17D5" w:rsidRPr="00932644" w:rsidRDefault="00EE2803">
            <w:pPr>
              <w:jc w:val="center"/>
              <w:rPr>
                <w:rFonts w:ascii="Arial" w:hAnsi="Arial" w:cs="Arial"/>
                <w:color w:val="000000"/>
                <w:sz w:val="22"/>
                <w:szCs w:val="22"/>
                <w:lang w:val="es-419"/>
              </w:rPr>
            </w:pPr>
            <w:hyperlink r:id="rId70" w:history="1">
              <w:r w:rsidR="00AF17D5" w:rsidRPr="00932644">
                <w:rPr>
                  <w:rStyle w:val="Lienhypertexte"/>
                  <w:rFonts w:ascii="Arial" w:hAnsi="Arial"/>
                  <w:sz w:val="22"/>
                  <w:szCs w:val="22"/>
                  <w:lang w:val="es-419"/>
                </w:rPr>
                <w:t>NGO-90472</w:t>
              </w:r>
            </w:hyperlink>
          </w:p>
        </w:tc>
      </w:tr>
      <w:tr w:rsidR="00AF17D5" w:rsidRPr="00932644" w14:paraId="5B244D9D" w14:textId="77777777" w:rsidTr="00AF17D5">
        <w:trPr>
          <w:trHeight w:val="164"/>
        </w:trPr>
        <w:tc>
          <w:tcPr>
            <w:tcW w:w="3060" w:type="pct"/>
            <w:tcBorders>
              <w:top w:val="single" w:sz="4" w:space="0" w:color="auto"/>
              <w:left w:val="nil"/>
              <w:bottom w:val="single" w:sz="4" w:space="0" w:color="auto"/>
              <w:right w:val="nil"/>
            </w:tcBorders>
            <w:hideMark/>
          </w:tcPr>
          <w:p w14:paraId="0F7635A9" w14:textId="77777777" w:rsidR="00AF17D5" w:rsidRPr="00932644" w:rsidRDefault="00AF17D5">
            <w:pPr>
              <w:rPr>
                <w:rFonts w:ascii="Arial" w:hAnsi="Arial" w:cs="Arial"/>
                <w:color w:val="000000"/>
                <w:sz w:val="22"/>
                <w:szCs w:val="22"/>
                <w:lang w:val="fr-FR"/>
              </w:rPr>
            </w:pPr>
            <w:r w:rsidRPr="00932644">
              <w:rPr>
                <w:rFonts w:ascii="Arial" w:hAnsi="Arial" w:cs="Arial"/>
                <w:color w:val="000000"/>
                <w:sz w:val="22"/>
                <w:szCs w:val="22"/>
                <w:lang w:val="fr-FR"/>
              </w:rPr>
              <w:t>Maison de la Culture Yiddish – Bibliothèque MEDEM</w:t>
            </w:r>
          </w:p>
        </w:tc>
        <w:tc>
          <w:tcPr>
            <w:tcW w:w="1119" w:type="pct"/>
            <w:tcBorders>
              <w:top w:val="single" w:sz="4" w:space="0" w:color="auto"/>
              <w:left w:val="nil"/>
              <w:bottom w:val="single" w:sz="4" w:space="0" w:color="auto"/>
              <w:right w:val="nil"/>
            </w:tcBorders>
            <w:hideMark/>
          </w:tcPr>
          <w:p w14:paraId="44F559EE"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Francia</w:t>
            </w:r>
          </w:p>
        </w:tc>
        <w:tc>
          <w:tcPr>
            <w:tcW w:w="821" w:type="pct"/>
            <w:tcBorders>
              <w:top w:val="single" w:sz="4" w:space="0" w:color="auto"/>
              <w:left w:val="nil"/>
              <w:bottom w:val="single" w:sz="4" w:space="0" w:color="auto"/>
              <w:right w:val="nil"/>
            </w:tcBorders>
            <w:hideMark/>
          </w:tcPr>
          <w:p w14:paraId="1387C885" w14:textId="77777777" w:rsidR="00AF17D5" w:rsidRPr="00932644" w:rsidRDefault="00EE2803">
            <w:pPr>
              <w:jc w:val="center"/>
              <w:rPr>
                <w:rFonts w:ascii="Arial" w:hAnsi="Arial" w:cs="Arial"/>
                <w:color w:val="000000"/>
                <w:sz w:val="22"/>
                <w:szCs w:val="22"/>
                <w:lang w:val="es-419"/>
              </w:rPr>
            </w:pPr>
            <w:hyperlink r:id="rId71" w:history="1">
              <w:r w:rsidR="00AF17D5" w:rsidRPr="00932644">
                <w:rPr>
                  <w:rStyle w:val="Lienhypertexte"/>
                  <w:rFonts w:ascii="Arial" w:hAnsi="Arial"/>
                  <w:sz w:val="22"/>
                  <w:szCs w:val="22"/>
                  <w:lang w:val="es-419"/>
                </w:rPr>
                <w:t>NGO-90451</w:t>
              </w:r>
            </w:hyperlink>
          </w:p>
        </w:tc>
      </w:tr>
      <w:tr w:rsidR="00AF17D5" w:rsidRPr="00932644" w14:paraId="1B902240" w14:textId="77777777" w:rsidTr="00AF17D5">
        <w:trPr>
          <w:trHeight w:val="164"/>
        </w:trPr>
        <w:tc>
          <w:tcPr>
            <w:tcW w:w="3060" w:type="pct"/>
            <w:tcBorders>
              <w:top w:val="single" w:sz="4" w:space="0" w:color="auto"/>
              <w:left w:val="nil"/>
              <w:bottom w:val="single" w:sz="4" w:space="0" w:color="auto"/>
              <w:right w:val="nil"/>
            </w:tcBorders>
            <w:hideMark/>
          </w:tcPr>
          <w:p w14:paraId="1AC25BD3"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Norwegian</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Ship</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Preservation</w:t>
            </w:r>
            <w:proofErr w:type="spellEnd"/>
            <w:r w:rsidRPr="00932644">
              <w:rPr>
                <w:rFonts w:ascii="Arial" w:hAnsi="Arial" w:cs="Arial"/>
                <w:color w:val="000000"/>
                <w:sz w:val="22"/>
                <w:szCs w:val="22"/>
                <w:lang w:val="es-419"/>
              </w:rPr>
              <w:t xml:space="preserve"> Association</w:t>
            </w:r>
          </w:p>
        </w:tc>
        <w:tc>
          <w:tcPr>
            <w:tcW w:w="1119" w:type="pct"/>
            <w:tcBorders>
              <w:top w:val="single" w:sz="4" w:space="0" w:color="auto"/>
              <w:left w:val="nil"/>
              <w:bottom w:val="single" w:sz="4" w:space="0" w:color="auto"/>
              <w:right w:val="nil"/>
            </w:tcBorders>
            <w:hideMark/>
          </w:tcPr>
          <w:p w14:paraId="2D4974B0"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Noruega</w:t>
            </w:r>
          </w:p>
        </w:tc>
        <w:tc>
          <w:tcPr>
            <w:tcW w:w="821" w:type="pct"/>
            <w:tcBorders>
              <w:top w:val="single" w:sz="4" w:space="0" w:color="auto"/>
              <w:left w:val="nil"/>
              <w:bottom w:val="single" w:sz="4" w:space="0" w:color="auto"/>
              <w:right w:val="nil"/>
            </w:tcBorders>
            <w:hideMark/>
          </w:tcPr>
          <w:p w14:paraId="760E3EE7" w14:textId="77777777" w:rsidR="00AF17D5" w:rsidRPr="00932644" w:rsidRDefault="00EE2803">
            <w:pPr>
              <w:jc w:val="center"/>
              <w:rPr>
                <w:rFonts w:ascii="Arial" w:hAnsi="Arial" w:cs="Arial"/>
                <w:color w:val="000000"/>
                <w:sz w:val="22"/>
                <w:szCs w:val="22"/>
                <w:lang w:val="es-419"/>
              </w:rPr>
            </w:pPr>
            <w:hyperlink r:id="rId72" w:history="1">
              <w:r w:rsidR="00AF17D5" w:rsidRPr="00932644">
                <w:rPr>
                  <w:rStyle w:val="Lienhypertexte"/>
                  <w:rFonts w:ascii="Arial" w:hAnsi="Arial"/>
                  <w:sz w:val="22"/>
                  <w:szCs w:val="22"/>
                  <w:lang w:val="es-419"/>
                </w:rPr>
                <w:t>NGO-90448</w:t>
              </w:r>
            </w:hyperlink>
          </w:p>
        </w:tc>
      </w:tr>
      <w:tr w:rsidR="00AF17D5" w:rsidRPr="00932644" w14:paraId="7BCDDD2F" w14:textId="77777777" w:rsidTr="00AF17D5">
        <w:trPr>
          <w:trHeight w:val="164"/>
        </w:trPr>
        <w:tc>
          <w:tcPr>
            <w:tcW w:w="3060" w:type="pct"/>
            <w:tcBorders>
              <w:top w:val="single" w:sz="4" w:space="0" w:color="auto"/>
              <w:left w:val="nil"/>
              <w:bottom w:val="single" w:sz="4" w:space="0" w:color="auto"/>
              <w:right w:val="nil"/>
            </w:tcBorders>
            <w:hideMark/>
          </w:tcPr>
          <w:p w14:paraId="037EAE52"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Nubian</w:t>
            </w:r>
            <w:proofErr w:type="spellEnd"/>
            <w:r w:rsidRPr="00932644">
              <w:rPr>
                <w:rFonts w:ascii="Arial" w:hAnsi="Arial" w:cs="Arial"/>
                <w:color w:val="000000"/>
                <w:sz w:val="22"/>
                <w:szCs w:val="22"/>
                <w:lang w:val="es-419"/>
              </w:rPr>
              <w:t xml:space="preserve"> Heritage </w:t>
            </w:r>
            <w:proofErr w:type="spellStart"/>
            <w:r w:rsidRPr="00932644">
              <w:rPr>
                <w:rFonts w:ascii="Arial" w:hAnsi="Arial" w:cs="Arial"/>
                <w:color w:val="000000"/>
                <w:sz w:val="22"/>
                <w:szCs w:val="22"/>
                <w:lang w:val="es-419"/>
              </w:rPr>
              <w:t>Society</w:t>
            </w:r>
            <w:proofErr w:type="spellEnd"/>
          </w:p>
        </w:tc>
        <w:tc>
          <w:tcPr>
            <w:tcW w:w="1119" w:type="pct"/>
            <w:tcBorders>
              <w:top w:val="single" w:sz="4" w:space="0" w:color="auto"/>
              <w:left w:val="nil"/>
              <w:bottom w:val="single" w:sz="4" w:space="0" w:color="auto"/>
              <w:right w:val="nil"/>
            </w:tcBorders>
            <w:hideMark/>
          </w:tcPr>
          <w:p w14:paraId="2DF234B1"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Egipto</w:t>
            </w:r>
          </w:p>
        </w:tc>
        <w:tc>
          <w:tcPr>
            <w:tcW w:w="821" w:type="pct"/>
            <w:tcBorders>
              <w:top w:val="single" w:sz="4" w:space="0" w:color="auto"/>
              <w:left w:val="nil"/>
              <w:bottom w:val="single" w:sz="4" w:space="0" w:color="auto"/>
              <w:right w:val="nil"/>
            </w:tcBorders>
            <w:hideMark/>
          </w:tcPr>
          <w:p w14:paraId="3FDC26EB" w14:textId="77777777" w:rsidR="00AF17D5" w:rsidRPr="00932644" w:rsidRDefault="00EE2803">
            <w:pPr>
              <w:jc w:val="center"/>
              <w:rPr>
                <w:rFonts w:ascii="Arial" w:hAnsi="Arial" w:cs="Arial"/>
                <w:color w:val="000000"/>
                <w:sz w:val="22"/>
                <w:szCs w:val="22"/>
                <w:lang w:val="es-419"/>
              </w:rPr>
            </w:pPr>
            <w:hyperlink r:id="rId73" w:history="1">
              <w:r w:rsidR="00AF17D5" w:rsidRPr="00932644">
                <w:rPr>
                  <w:rStyle w:val="Lienhypertexte"/>
                  <w:rFonts w:ascii="Arial" w:hAnsi="Arial"/>
                  <w:sz w:val="22"/>
                  <w:szCs w:val="22"/>
                  <w:lang w:val="es-419"/>
                </w:rPr>
                <w:t>NGO-90446</w:t>
              </w:r>
            </w:hyperlink>
          </w:p>
        </w:tc>
      </w:tr>
      <w:tr w:rsidR="00AF17D5" w:rsidRPr="00932644" w14:paraId="5545F6DC" w14:textId="77777777" w:rsidTr="00AF17D5">
        <w:trPr>
          <w:trHeight w:val="164"/>
        </w:trPr>
        <w:tc>
          <w:tcPr>
            <w:tcW w:w="3060" w:type="pct"/>
            <w:tcBorders>
              <w:top w:val="single" w:sz="4" w:space="0" w:color="auto"/>
              <w:left w:val="nil"/>
              <w:bottom w:val="single" w:sz="4" w:space="0" w:color="auto"/>
              <w:right w:val="nil"/>
            </w:tcBorders>
            <w:hideMark/>
          </w:tcPr>
          <w:p w14:paraId="23AB4FC8"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Pacific</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Traditions</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Society</w:t>
            </w:r>
            <w:proofErr w:type="spellEnd"/>
          </w:p>
        </w:tc>
        <w:tc>
          <w:tcPr>
            <w:tcW w:w="1119" w:type="pct"/>
            <w:tcBorders>
              <w:top w:val="single" w:sz="4" w:space="0" w:color="auto"/>
              <w:left w:val="nil"/>
              <w:bottom w:val="single" w:sz="4" w:space="0" w:color="auto"/>
              <w:right w:val="nil"/>
            </w:tcBorders>
            <w:hideMark/>
          </w:tcPr>
          <w:p w14:paraId="7E20814C"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Estados Unidos de América</w:t>
            </w:r>
          </w:p>
        </w:tc>
        <w:tc>
          <w:tcPr>
            <w:tcW w:w="821" w:type="pct"/>
            <w:tcBorders>
              <w:top w:val="single" w:sz="4" w:space="0" w:color="auto"/>
              <w:left w:val="nil"/>
              <w:bottom w:val="single" w:sz="4" w:space="0" w:color="auto"/>
              <w:right w:val="nil"/>
            </w:tcBorders>
            <w:hideMark/>
          </w:tcPr>
          <w:p w14:paraId="400D320D" w14:textId="77777777" w:rsidR="00AF17D5" w:rsidRPr="00932644" w:rsidRDefault="00EE2803">
            <w:pPr>
              <w:jc w:val="center"/>
              <w:rPr>
                <w:rFonts w:ascii="Arial" w:hAnsi="Arial" w:cs="Arial"/>
                <w:color w:val="000000"/>
                <w:sz w:val="22"/>
                <w:szCs w:val="22"/>
                <w:lang w:val="es-419"/>
              </w:rPr>
            </w:pPr>
            <w:hyperlink r:id="rId74" w:history="1">
              <w:r w:rsidR="00AF17D5" w:rsidRPr="00932644">
                <w:rPr>
                  <w:rStyle w:val="Lienhypertexte"/>
                  <w:rFonts w:ascii="Arial" w:hAnsi="Arial"/>
                  <w:sz w:val="22"/>
                  <w:szCs w:val="22"/>
                  <w:lang w:val="es-419"/>
                </w:rPr>
                <w:t>NGO-90425</w:t>
              </w:r>
            </w:hyperlink>
          </w:p>
        </w:tc>
      </w:tr>
      <w:tr w:rsidR="00AF17D5" w:rsidRPr="00932644" w14:paraId="192CC7AF" w14:textId="77777777" w:rsidTr="00AF17D5">
        <w:trPr>
          <w:trHeight w:val="164"/>
        </w:trPr>
        <w:tc>
          <w:tcPr>
            <w:tcW w:w="3060" w:type="pct"/>
            <w:tcBorders>
              <w:top w:val="single" w:sz="4" w:space="0" w:color="auto"/>
              <w:left w:val="nil"/>
              <w:bottom w:val="single" w:sz="4" w:space="0" w:color="auto"/>
              <w:right w:val="nil"/>
            </w:tcBorders>
            <w:hideMark/>
          </w:tcPr>
          <w:p w14:paraId="781C4377"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Persian Garden Institute for Living Heritage (PGILH)</w:t>
            </w:r>
          </w:p>
        </w:tc>
        <w:tc>
          <w:tcPr>
            <w:tcW w:w="1119" w:type="pct"/>
            <w:tcBorders>
              <w:top w:val="single" w:sz="4" w:space="0" w:color="auto"/>
              <w:left w:val="nil"/>
              <w:bottom w:val="single" w:sz="4" w:space="0" w:color="auto"/>
              <w:right w:val="nil"/>
            </w:tcBorders>
            <w:hideMark/>
          </w:tcPr>
          <w:p w14:paraId="6F551B7F"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Irán (República Islámica del)</w:t>
            </w:r>
          </w:p>
        </w:tc>
        <w:tc>
          <w:tcPr>
            <w:tcW w:w="821" w:type="pct"/>
            <w:tcBorders>
              <w:top w:val="single" w:sz="4" w:space="0" w:color="auto"/>
              <w:left w:val="nil"/>
              <w:bottom w:val="single" w:sz="4" w:space="0" w:color="auto"/>
              <w:right w:val="nil"/>
            </w:tcBorders>
            <w:hideMark/>
          </w:tcPr>
          <w:p w14:paraId="2F0CCD4D" w14:textId="77777777" w:rsidR="00AF17D5" w:rsidRPr="00932644" w:rsidRDefault="00EE2803">
            <w:pPr>
              <w:jc w:val="center"/>
              <w:rPr>
                <w:rFonts w:ascii="Arial" w:hAnsi="Arial" w:cs="Arial"/>
                <w:color w:val="000000"/>
                <w:sz w:val="22"/>
                <w:szCs w:val="22"/>
                <w:lang w:val="es-419"/>
              </w:rPr>
            </w:pPr>
            <w:hyperlink r:id="rId75" w:history="1">
              <w:r w:rsidR="00AF17D5" w:rsidRPr="00932644">
                <w:rPr>
                  <w:rStyle w:val="Lienhypertexte"/>
                  <w:rFonts w:ascii="Arial" w:hAnsi="Arial"/>
                  <w:sz w:val="22"/>
                  <w:szCs w:val="22"/>
                  <w:lang w:val="es-419"/>
                </w:rPr>
                <w:t>NGO-90433</w:t>
              </w:r>
            </w:hyperlink>
          </w:p>
        </w:tc>
      </w:tr>
      <w:tr w:rsidR="00AF17D5" w:rsidRPr="00932644" w14:paraId="6F9F0673" w14:textId="77777777" w:rsidTr="00AF17D5">
        <w:trPr>
          <w:trHeight w:val="164"/>
        </w:trPr>
        <w:tc>
          <w:tcPr>
            <w:tcW w:w="3060" w:type="pct"/>
            <w:tcBorders>
              <w:top w:val="single" w:sz="4" w:space="0" w:color="auto"/>
              <w:left w:val="nil"/>
              <w:bottom w:val="single" w:sz="4" w:space="0" w:color="auto"/>
              <w:right w:val="nil"/>
            </w:tcBorders>
            <w:hideMark/>
          </w:tcPr>
          <w:p w14:paraId="65F54DB4"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Piraeus Bank Group Cultural Foundation (PIOP)</w:t>
            </w:r>
          </w:p>
        </w:tc>
        <w:tc>
          <w:tcPr>
            <w:tcW w:w="1119" w:type="pct"/>
            <w:tcBorders>
              <w:top w:val="single" w:sz="4" w:space="0" w:color="auto"/>
              <w:left w:val="nil"/>
              <w:bottom w:val="single" w:sz="4" w:space="0" w:color="auto"/>
              <w:right w:val="nil"/>
            </w:tcBorders>
            <w:hideMark/>
          </w:tcPr>
          <w:p w14:paraId="0EB2D706"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Grecia</w:t>
            </w:r>
          </w:p>
        </w:tc>
        <w:tc>
          <w:tcPr>
            <w:tcW w:w="821" w:type="pct"/>
            <w:tcBorders>
              <w:top w:val="single" w:sz="4" w:space="0" w:color="auto"/>
              <w:left w:val="nil"/>
              <w:bottom w:val="single" w:sz="4" w:space="0" w:color="auto"/>
              <w:right w:val="nil"/>
            </w:tcBorders>
            <w:hideMark/>
          </w:tcPr>
          <w:p w14:paraId="7DEFB27B" w14:textId="77777777" w:rsidR="00AF17D5" w:rsidRPr="00932644" w:rsidRDefault="00EE2803">
            <w:pPr>
              <w:jc w:val="center"/>
              <w:rPr>
                <w:rFonts w:ascii="Arial" w:hAnsi="Arial" w:cs="Arial"/>
                <w:color w:val="000000"/>
                <w:sz w:val="22"/>
                <w:szCs w:val="22"/>
                <w:lang w:val="es-419"/>
              </w:rPr>
            </w:pPr>
            <w:hyperlink r:id="rId76" w:history="1">
              <w:r w:rsidR="00AF17D5" w:rsidRPr="00932644">
                <w:rPr>
                  <w:rStyle w:val="Lienhypertexte"/>
                  <w:rFonts w:ascii="Arial" w:hAnsi="Arial" w:cs="Arial"/>
                  <w:sz w:val="22"/>
                  <w:szCs w:val="22"/>
                  <w:lang w:val="es-419"/>
                </w:rPr>
                <w:t>NGO-90287</w:t>
              </w:r>
            </w:hyperlink>
          </w:p>
        </w:tc>
      </w:tr>
      <w:tr w:rsidR="00AF17D5" w:rsidRPr="00932644" w14:paraId="2D1EBA58" w14:textId="77777777" w:rsidTr="00AF17D5">
        <w:trPr>
          <w:trHeight w:val="164"/>
        </w:trPr>
        <w:tc>
          <w:tcPr>
            <w:tcW w:w="3060" w:type="pct"/>
            <w:tcBorders>
              <w:top w:val="single" w:sz="4" w:space="0" w:color="auto"/>
              <w:left w:val="nil"/>
              <w:bottom w:val="single" w:sz="4" w:space="0" w:color="auto"/>
              <w:right w:val="nil"/>
            </w:tcBorders>
            <w:hideMark/>
          </w:tcPr>
          <w:p w14:paraId="42C76E07"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Portuguese</w:t>
            </w:r>
            <w:proofErr w:type="spellEnd"/>
            <w:r w:rsidRPr="00932644">
              <w:rPr>
                <w:rFonts w:ascii="Arial" w:hAnsi="Arial" w:cs="Arial"/>
                <w:color w:val="000000"/>
                <w:sz w:val="22"/>
                <w:szCs w:val="22"/>
                <w:lang w:val="es-419"/>
              </w:rPr>
              <w:t xml:space="preserve"> Folklore </w:t>
            </w:r>
            <w:proofErr w:type="spellStart"/>
            <w:r w:rsidRPr="00932644">
              <w:rPr>
                <w:rFonts w:ascii="Arial" w:hAnsi="Arial" w:cs="Arial"/>
                <w:color w:val="000000"/>
                <w:sz w:val="22"/>
                <w:szCs w:val="22"/>
                <w:lang w:val="es-419"/>
              </w:rPr>
              <w:t>Federation</w:t>
            </w:r>
            <w:proofErr w:type="spellEnd"/>
          </w:p>
        </w:tc>
        <w:tc>
          <w:tcPr>
            <w:tcW w:w="1119" w:type="pct"/>
            <w:tcBorders>
              <w:top w:val="single" w:sz="4" w:space="0" w:color="auto"/>
              <w:left w:val="nil"/>
              <w:bottom w:val="single" w:sz="4" w:space="0" w:color="auto"/>
              <w:right w:val="nil"/>
            </w:tcBorders>
            <w:hideMark/>
          </w:tcPr>
          <w:p w14:paraId="77D4CCF2"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Portugal</w:t>
            </w:r>
          </w:p>
        </w:tc>
        <w:tc>
          <w:tcPr>
            <w:tcW w:w="821" w:type="pct"/>
            <w:tcBorders>
              <w:top w:val="single" w:sz="4" w:space="0" w:color="auto"/>
              <w:left w:val="nil"/>
              <w:bottom w:val="single" w:sz="4" w:space="0" w:color="auto"/>
              <w:right w:val="nil"/>
            </w:tcBorders>
            <w:hideMark/>
          </w:tcPr>
          <w:p w14:paraId="39C747EA" w14:textId="77777777" w:rsidR="00AF17D5" w:rsidRPr="00932644" w:rsidRDefault="00EE2803">
            <w:pPr>
              <w:jc w:val="center"/>
              <w:rPr>
                <w:rFonts w:ascii="Arial" w:hAnsi="Arial" w:cs="Arial"/>
                <w:color w:val="000000"/>
                <w:sz w:val="22"/>
                <w:szCs w:val="22"/>
                <w:lang w:val="es-419"/>
              </w:rPr>
            </w:pPr>
            <w:hyperlink r:id="rId77" w:history="1">
              <w:r w:rsidR="00AF17D5" w:rsidRPr="00932644">
                <w:rPr>
                  <w:rStyle w:val="Lienhypertexte"/>
                  <w:rFonts w:ascii="Arial" w:hAnsi="Arial"/>
                  <w:sz w:val="22"/>
                  <w:szCs w:val="22"/>
                  <w:lang w:val="es-419"/>
                </w:rPr>
                <w:t>NGO-90447</w:t>
              </w:r>
            </w:hyperlink>
          </w:p>
        </w:tc>
      </w:tr>
      <w:tr w:rsidR="00AF17D5" w:rsidRPr="00932644" w14:paraId="5EE38DFF" w14:textId="77777777" w:rsidTr="00AF17D5">
        <w:trPr>
          <w:trHeight w:val="164"/>
        </w:trPr>
        <w:tc>
          <w:tcPr>
            <w:tcW w:w="3060" w:type="pct"/>
            <w:tcBorders>
              <w:top w:val="single" w:sz="4" w:space="0" w:color="auto"/>
              <w:left w:val="nil"/>
              <w:bottom w:val="single" w:sz="4" w:space="0" w:color="auto"/>
              <w:right w:val="nil"/>
            </w:tcBorders>
            <w:hideMark/>
          </w:tcPr>
          <w:p w14:paraId="0EDF8FBF" w14:textId="4C69562B"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Public Fund ‘Rural Development Fund’ (RDF)</w:t>
            </w:r>
          </w:p>
        </w:tc>
        <w:tc>
          <w:tcPr>
            <w:tcW w:w="1119" w:type="pct"/>
            <w:tcBorders>
              <w:top w:val="single" w:sz="4" w:space="0" w:color="auto"/>
              <w:left w:val="nil"/>
              <w:bottom w:val="single" w:sz="4" w:space="0" w:color="auto"/>
              <w:right w:val="nil"/>
            </w:tcBorders>
            <w:hideMark/>
          </w:tcPr>
          <w:p w14:paraId="319A5AB2"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Kirguistán</w:t>
            </w:r>
          </w:p>
        </w:tc>
        <w:tc>
          <w:tcPr>
            <w:tcW w:w="821" w:type="pct"/>
            <w:tcBorders>
              <w:top w:val="single" w:sz="4" w:space="0" w:color="auto"/>
              <w:left w:val="nil"/>
              <w:bottom w:val="single" w:sz="4" w:space="0" w:color="auto"/>
              <w:right w:val="nil"/>
            </w:tcBorders>
            <w:hideMark/>
          </w:tcPr>
          <w:p w14:paraId="09961D02" w14:textId="77777777" w:rsidR="00AF17D5" w:rsidRPr="00932644" w:rsidRDefault="00EE2803">
            <w:pPr>
              <w:jc w:val="center"/>
              <w:rPr>
                <w:rFonts w:ascii="Arial" w:hAnsi="Arial" w:cs="Arial"/>
                <w:color w:val="000000"/>
                <w:sz w:val="22"/>
                <w:szCs w:val="22"/>
                <w:lang w:val="es-419"/>
              </w:rPr>
            </w:pPr>
            <w:hyperlink r:id="rId78" w:history="1">
              <w:r w:rsidR="00AF17D5" w:rsidRPr="00932644">
                <w:rPr>
                  <w:rStyle w:val="Lienhypertexte"/>
                  <w:rFonts w:ascii="Arial" w:hAnsi="Arial"/>
                  <w:sz w:val="22"/>
                  <w:szCs w:val="22"/>
                  <w:lang w:val="es-419"/>
                </w:rPr>
                <w:t>NGO-90441</w:t>
              </w:r>
            </w:hyperlink>
          </w:p>
        </w:tc>
      </w:tr>
      <w:tr w:rsidR="00AF17D5" w:rsidRPr="00932644" w14:paraId="6D0115C4" w14:textId="77777777" w:rsidTr="00AF17D5">
        <w:trPr>
          <w:trHeight w:val="164"/>
        </w:trPr>
        <w:tc>
          <w:tcPr>
            <w:tcW w:w="3060" w:type="pct"/>
            <w:tcBorders>
              <w:top w:val="single" w:sz="4" w:space="0" w:color="auto"/>
              <w:left w:val="nil"/>
              <w:bottom w:val="single" w:sz="4" w:space="0" w:color="auto"/>
              <w:right w:val="nil"/>
            </w:tcBorders>
            <w:hideMark/>
          </w:tcPr>
          <w:p w14:paraId="5ACB5949" w14:textId="77777777" w:rsidR="00AF17D5" w:rsidRPr="00932644" w:rsidRDefault="00AF17D5">
            <w:pPr>
              <w:rPr>
                <w:rFonts w:ascii="Arial" w:hAnsi="Arial" w:cs="Arial"/>
                <w:color w:val="000000"/>
                <w:sz w:val="22"/>
                <w:szCs w:val="22"/>
                <w:lang w:val="en-GB"/>
              </w:rPr>
            </w:pPr>
            <w:proofErr w:type="spellStart"/>
            <w:r w:rsidRPr="00932644">
              <w:rPr>
                <w:rFonts w:ascii="Arial" w:hAnsi="Arial" w:cs="Arial"/>
                <w:color w:val="000000"/>
                <w:sz w:val="22"/>
                <w:szCs w:val="22"/>
                <w:lang w:val="en-GB"/>
              </w:rPr>
              <w:t>Rupayan</w:t>
            </w:r>
            <w:proofErr w:type="spellEnd"/>
            <w:r w:rsidRPr="00932644">
              <w:rPr>
                <w:rFonts w:ascii="Arial" w:hAnsi="Arial" w:cs="Arial"/>
                <w:color w:val="000000"/>
                <w:sz w:val="22"/>
                <w:szCs w:val="22"/>
                <w:lang w:val="en-GB"/>
              </w:rPr>
              <w:t xml:space="preserve"> </w:t>
            </w:r>
            <w:proofErr w:type="spellStart"/>
            <w:r w:rsidRPr="00932644">
              <w:rPr>
                <w:rFonts w:ascii="Arial" w:hAnsi="Arial" w:cs="Arial"/>
                <w:color w:val="000000"/>
                <w:sz w:val="22"/>
                <w:szCs w:val="22"/>
                <w:lang w:val="en-GB"/>
              </w:rPr>
              <w:t>Sansthan</w:t>
            </w:r>
            <w:proofErr w:type="spellEnd"/>
            <w:r w:rsidRPr="00932644">
              <w:rPr>
                <w:rFonts w:ascii="Arial" w:hAnsi="Arial" w:cs="Arial"/>
                <w:color w:val="000000"/>
                <w:sz w:val="22"/>
                <w:szCs w:val="22"/>
                <w:lang w:val="en-GB"/>
              </w:rPr>
              <w:t xml:space="preserve"> (Rajasthan Institute of Folklore)</w:t>
            </w:r>
          </w:p>
        </w:tc>
        <w:tc>
          <w:tcPr>
            <w:tcW w:w="1119" w:type="pct"/>
            <w:tcBorders>
              <w:top w:val="single" w:sz="4" w:space="0" w:color="auto"/>
              <w:left w:val="nil"/>
              <w:bottom w:val="single" w:sz="4" w:space="0" w:color="auto"/>
              <w:right w:val="nil"/>
            </w:tcBorders>
            <w:hideMark/>
          </w:tcPr>
          <w:p w14:paraId="462D23B4"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India</w:t>
            </w:r>
          </w:p>
        </w:tc>
        <w:tc>
          <w:tcPr>
            <w:tcW w:w="821" w:type="pct"/>
            <w:tcBorders>
              <w:top w:val="single" w:sz="4" w:space="0" w:color="auto"/>
              <w:left w:val="nil"/>
              <w:bottom w:val="single" w:sz="4" w:space="0" w:color="auto"/>
              <w:right w:val="nil"/>
            </w:tcBorders>
            <w:hideMark/>
          </w:tcPr>
          <w:p w14:paraId="4CBF9698" w14:textId="77777777" w:rsidR="00AF17D5" w:rsidRPr="00932644" w:rsidRDefault="00EE2803">
            <w:pPr>
              <w:jc w:val="center"/>
              <w:rPr>
                <w:rFonts w:ascii="Arial" w:hAnsi="Arial" w:cs="Arial"/>
                <w:color w:val="000000"/>
                <w:sz w:val="22"/>
                <w:szCs w:val="22"/>
                <w:lang w:val="es-419"/>
              </w:rPr>
            </w:pPr>
            <w:hyperlink r:id="rId79" w:history="1">
              <w:r w:rsidR="00AF17D5" w:rsidRPr="00932644">
                <w:rPr>
                  <w:rStyle w:val="Lienhypertexte"/>
                  <w:rFonts w:ascii="Arial" w:hAnsi="Arial"/>
                  <w:sz w:val="22"/>
                  <w:szCs w:val="22"/>
                  <w:lang w:val="es-419"/>
                </w:rPr>
                <w:t>NGO-90459</w:t>
              </w:r>
            </w:hyperlink>
          </w:p>
        </w:tc>
      </w:tr>
      <w:tr w:rsidR="00AF17D5" w:rsidRPr="00932644" w14:paraId="09C234F9" w14:textId="77777777" w:rsidTr="00AF17D5">
        <w:trPr>
          <w:trHeight w:val="164"/>
        </w:trPr>
        <w:tc>
          <w:tcPr>
            <w:tcW w:w="3060" w:type="pct"/>
            <w:tcBorders>
              <w:top w:val="single" w:sz="4" w:space="0" w:color="auto"/>
              <w:left w:val="nil"/>
              <w:bottom w:val="single" w:sz="4" w:space="0" w:color="auto"/>
              <w:right w:val="nil"/>
            </w:tcBorders>
            <w:hideMark/>
          </w:tcPr>
          <w:p w14:paraId="5DACE428"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Saudi Heritage Preservation Society (SHPS)</w:t>
            </w:r>
          </w:p>
        </w:tc>
        <w:tc>
          <w:tcPr>
            <w:tcW w:w="1119" w:type="pct"/>
            <w:tcBorders>
              <w:top w:val="single" w:sz="4" w:space="0" w:color="auto"/>
              <w:left w:val="nil"/>
              <w:bottom w:val="single" w:sz="4" w:space="0" w:color="auto"/>
              <w:right w:val="nil"/>
            </w:tcBorders>
            <w:hideMark/>
          </w:tcPr>
          <w:p w14:paraId="4CB9B85C"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Arabia Saudita</w:t>
            </w:r>
          </w:p>
        </w:tc>
        <w:tc>
          <w:tcPr>
            <w:tcW w:w="821" w:type="pct"/>
            <w:tcBorders>
              <w:top w:val="single" w:sz="4" w:space="0" w:color="auto"/>
              <w:left w:val="nil"/>
              <w:bottom w:val="single" w:sz="4" w:space="0" w:color="auto"/>
              <w:right w:val="nil"/>
            </w:tcBorders>
            <w:hideMark/>
          </w:tcPr>
          <w:p w14:paraId="0BE2757F" w14:textId="77777777" w:rsidR="00AF17D5" w:rsidRPr="00932644" w:rsidRDefault="00EE2803">
            <w:pPr>
              <w:jc w:val="center"/>
              <w:rPr>
                <w:rFonts w:ascii="Arial" w:hAnsi="Arial" w:cs="Arial"/>
                <w:color w:val="000000"/>
                <w:sz w:val="22"/>
                <w:szCs w:val="22"/>
                <w:lang w:val="es-419"/>
              </w:rPr>
            </w:pPr>
            <w:hyperlink r:id="rId80" w:history="1">
              <w:r w:rsidR="00AF17D5" w:rsidRPr="00932644">
                <w:rPr>
                  <w:rStyle w:val="Lienhypertexte"/>
                  <w:rFonts w:ascii="Arial" w:hAnsi="Arial"/>
                  <w:sz w:val="22"/>
                  <w:szCs w:val="22"/>
                  <w:lang w:val="es-419"/>
                </w:rPr>
                <w:t>NGO-90473</w:t>
              </w:r>
            </w:hyperlink>
          </w:p>
        </w:tc>
      </w:tr>
      <w:tr w:rsidR="00AF17D5" w:rsidRPr="00932644" w14:paraId="3458061C" w14:textId="77777777" w:rsidTr="00AF17D5">
        <w:trPr>
          <w:trHeight w:val="164"/>
        </w:trPr>
        <w:tc>
          <w:tcPr>
            <w:tcW w:w="3060" w:type="pct"/>
            <w:tcBorders>
              <w:top w:val="single" w:sz="4" w:space="0" w:color="auto"/>
              <w:left w:val="nil"/>
              <w:bottom w:val="single" w:sz="4" w:space="0" w:color="auto"/>
              <w:right w:val="nil"/>
            </w:tcBorders>
            <w:hideMark/>
          </w:tcPr>
          <w:p w14:paraId="7A76F1E5" w14:textId="77777777" w:rsidR="00AF17D5" w:rsidRPr="00932644" w:rsidRDefault="00AF17D5">
            <w:pPr>
              <w:rPr>
                <w:rFonts w:ascii="Arial" w:hAnsi="Arial" w:cs="Arial"/>
                <w:color w:val="000000"/>
                <w:sz w:val="22"/>
                <w:szCs w:val="22"/>
                <w:lang w:val="en-GB"/>
              </w:rPr>
            </w:pPr>
            <w:proofErr w:type="spellStart"/>
            <w:r w:rsidRPr="00932644">
              <w:rPr>
                <w:rFonts w:ascii="Arial" w:hAnsi="Arial" w:cs="Arial"/>
                <w:color w:val="000000"/>
                <w:sz w:val="22"/>
                <w:szCs w:val="22"/>
                <w:lang w:val="en-GB"/>
              </w:rPr>
              <w:t>Sadhona</w:t>
            </w:r>
            <w:proofErr w:type="spellEnd"/>
            <w:r w:rsidRPr="00932644">
              <w:rPr>
                <w:rFonts w:ascii="Arial" w:hAnsi="Arial" w:cs="Arial"/>
                <w:color w:val="000000"/>
                <w:sz w:val="22"/>
                <w:szCs w:val="22"/>
                <w:lang w:val="en-GB"/>
              </w:rPr>
              <w:t xml:space="preserve"> – </w:t>
            </w:r>
            <w:proofErr w:type="spellStart"/>
            <w:r w:rsidRPr="00932644">
              <w:rPr>
                <w:rFonts w:ascii="Arial" w:hAnsi="Arial" w:cs="Arial"/>
                <w:color w:val="000000"/>
                <w:sz w:val="22"/>
                <w:szCs w:val="22"/>
                <w:lang w:val="en-GB"/>
              </w:rPr>
              <w:t>Center</w:t>
            </w:r>
            <w:proofErr w:type="spellEnd"/>
            <w:r w:rsidRPr="00932644">
              <w:rPr>
                <w:rFonts w:ascii="Arial" w:hAnsi="Arial" w:cs="Arial"/>
                <w:color w:val="000000"/>
                <w:sz w:val="22"/>
                <w:szCs w:val="22"/>
                <w:lang w:val="en-GB"/>
              </w:rPr>
              <w:t xml:space="preserve"> for Advancement of </w:t>
            </w:r>
            <w:proofErr w:type="spellStart"/>
            <w:r w:rsidRPr="00932644">
              <w:rPr>
                <w:rFonts w:ascii="Arial" w:hAnsi="Arial" w:cs="Arial"/>
                <w:color w:val="000000"/>
                <w:sz w:val="22"/>
                <w:szCs w:val="22"/>
                <w:lang w:val="en-GB"/>
              </w:rPr>
              <w:t>Southasian</w:t>
            </w:r>
            <w:proofErr w:type="spellEnd"/>
            <w:r w:rsidRPr="00932644">
              <w:rPr>
                <w:rFonts w:ascii="Arial" w:hAnsi="Arial" w:cs="Arial"/>
                <w:color w:val="000000"/>
                <w:sz w:val="22"/>
                <w:szCs w:val="22"/>
                <w:lang w:val="en-GB"/>
              </w:rPr>
              <w:t xml:space="preserve"> Culture</w:t>
            </w:r>
          </w:p>
        </w:tc>
        <w:tc>
          <w:tcPr>
            <w:tcW w:w="1119" w:type="pct"/>
            <w:tcBorders>
              <w:top w:val="single" w:sz="4" w:space="0" w:color="auto"/>
              <w:left w:val="nil"/>
              <w:bottom w:val="single" w:sz="4" w:space="0" w:color="auto"/>
              <w:right w:val="nil"/>
            </w:tcBorders>
            <w:hideMark/>
          </w:tcPr>
          <w:p w14:paraId="402ADC4C"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Bangladesh</w:t>
            </w:r>
          </w:p>
        </w:tc>
        <w:tc>
          <w:tcPr>
            <w:tcW w:w="821" w:type="pct"/>
            <w:tcBorders>
              <w:top w:val="single" w:sz="4" w:space="0" w:color="auto"/>
              <w:left w:val="nil"/>
              <w:bottom w:val="single" w:sz="4" w:space="0" w:color="auto"/>
              <w:right w:val="nil"/>
            </w:tcBorders>
            <w:hideMark/>
          </w:tcPr>
          <w:p w14:paraId="47521E0F" w14:textId="77777777" w:rsidR="00AF17D5" w:rsidRPr="00932644" w:rsidRDefault="00EE2803">
            <w:pPr>
              <w:jc w:val="center"/>
              <w:rPr>
                <w:rFonts w:ascii="Arial" w:hAnsi="Arial" w:cs="Arial"/>
                <w:color w:val="000000"/>
                <w:sz w:val="22"/>
                <w:szCs w:val="22"/>
                <w:lang w:val="es-419"/>
              </w:rPr>
            </w:pPr>
            <w:hyperlink r:id="rId81" w:history="1">
              <w:r w:rsidR="00AF17D5" w:rsidRPr="00932644">
                <w:rPr>
                  <w:rStyle w:val="Lienhypertexte"/>
                  <w:rFonts w:ascii="Arial" w:hAnsi="Arial"/>
                  <w:sz w:val="22"/>
                  <w:szCs w:val="22"/>
                  <w:lang w:val="es-419"/>
                </w:rPr>
                <w:t>NGO-90420</w:t>
              </w:r>
            </w:hyperlink>
          </w:p>
        </w:tc>
      </w:tr>
      <w:tr w:rsidR="00AF17D5" w:rsidRPr="00932644" w14:paraId="1D4F0EB1" w14:textId="77777777" w:rsidTr="00AF17D5">
        <w:trPr>
          <w:trHeight w:val="164"/>
        </w:trPr>
        <w:tc>
          <w:tcPr>
            <w:tcW w:w="3060" w:type="pct"/>
            <w:tcBorders>
              <w:top w:val="single" w:sz="4" w:space="0" w:color="auto"/>
              <w:left w:val="nil"/>
              <w:bottom w:val="single" w:sz="4" w:space="0" w:color="auto"/>
              <w:right w:val="nil"/>
            </w:tcBorders>
            <w:hideMark/>
          </w:tcPr>
          <w:p w14:paraId="2FEF1FCA"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The Association for Cultural Equity</w:t>
            </w:r>
          </w:p>
        </w:tc>
        <w:tc>
          <w:tcPr>
            <w:tcW w:w="1119" w:type="pct"/>
            <w:tcBorders>
              <w:top w:val="single" w:sz="4" w:space="0" w:color="auto"/>
              <w:left w:val="nil"/>
              <w:bottom w:val="single" w:sz="4" w:space="0" w:color="auto"/>
              <w:right w:val="nil"/>
            </w:tcBorders>
            <w:hideMark/>
          </w:tcPr>
          <w:p w14:paraId="03A34408"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Estados Unidos de América</w:t>
            </w:r>
          </w:p>
        </w:tc>
        <w:tc>
          <w:tcPr>
            <w:tcW w:w="821" w:type="pct"/>
            <w:tcBorders>
              <w:top w:val="single" w:sz="4" w:space="0" w:color="auto"/>
              <w:left w:val="nil"/>
              <w:bottom w:val="single" w:sz="4" w:space="0" w:color="auto"/>
              <w:right w:val="nil"/>
            </w:tcBorders>
            <w:hideMark/>
          </w:tcPr>
          <w:p w14:paraId="29758A80" w14:textId="77777777" w:rsidR="00AF17D5" w:rsidRPr="00932644" w:rsidRDefault="00EE2803">
            <w:pPr>
              <w:jc w:val="center"/>
              <w:rPr>
                <w:rFonts w:ascii="Arial" w:hAnsi="Arial" w:cs="Arial"/>
                <w:color w:val="000000"/>
                <w:sz w:val="22"/>
                <w:szCs w:val="22"/>
                <w:lang w:val="es-419"/>
              </w:rPr>
            </w:pPr>
            <w:hyperlink r:id="rId82" w:history="1">
              <w:r w:rsidR="00AF17D5" w:rsidRPr="00932644">
                <w:rPr>
                  <w:rStyle w:val="Lienhypertexte"/>
                  <w:rFonts w:ascii="Arial" w:hAnsi="Arial"/>
                  <w:sz w:val="22"/>
                  <w:szCs w:val="22"/>
                  <w:lang w:val="es-419"/>
                </w:rPr>
                <w:t>NGO-90455</w:t>
              </w:r>
            </w:hyperlink>
          </w:p>
        </w:tc>
      </w:tr>
      <w:tr w:rsidR="00AF17D5" w:rsidRPr="00932644" w14:paraId="78887190" w14:textId="77777777" w:rsidTr="00AF17D5">
        <w:trPr>
          <w:trHeight w:val="164"/>
        </w:trPr>
        <w:tc>
          <w:tcPr>
            <w:tcW w:w="3060" w:type="pct"/>
            <w:tcBorders>
              <w:top w:val="single" w:sz="4" w:space="0" w:color="auto"/>
              <w:left w:val="nil"/>
              <w:bottom w:val="single" w:sz="4" w:space="0" w:color="auto"/>
              <w:right w:val="nil"/>
            </w:tcBorders>
            <w:hideMark/>
          </w:tcPr>
          <w:p w14:paraId="7CF36CFF" w14:textId="77777777" w:rsidR="00AF17D5" w:rsidRPr="00932644" w:rsidRDefault="00AF17D5">
            <w:pPr>
              <w:rPr>
                <w:rFonts w:ascii="Arial" w:hAnsi="Arial" w:cs="Arial"/>
                <w:color w:val="000000"/>
                <w:sz w:val="22"/>
                <w:szCs w:val="22"/>
                <w:lang w:val="en-GB"/>
              </w:rPr>
            </w:pPr>
            <w:r w:rsidRPr="00932644">
              <w:rPr>
                <w:rFonts w:ascii="Arial" w:hAnsi="Arial" w:cs="Arial"/>
                <w:color w:val="000000"/>
                <w:sz w:val="22"/>
                <w:szCs w:val="22"/>
                <w:lang w:val="en-GB"/>
              </w:rPr>
              <w:t>The Eel Coast Cultural Heritage NGO</w:t>
            </w:r>
          </w:p>
        </w:tc>
        <w:tc>
          <w:tcPr>
            <w:tcW w:w="1119" w:type="pct"/>
            <w:tcBorders>
              <w:top w:val="single" w:sz="4" w:space="0" w:color="auto"/>
              <w:left w:val="nil"/>
              <w:bottom w:val="single" w:sz="4" w:space="0" w:color="auto"/>
              <w:right w:val="nil"/>
            </w:tcBorders>
            <w:hideMark/>
          </w:tcPr>
          <w:p w14:paraId="21A96488"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Suecia</w:t>
            </w:r>
          </w:p>
        </w:tc>
        <w:tc>
          <w:tcPr>
            <w:tcW w:w="821" w:type="pct"/>
            <w:tcBorders>
              <w:top w:val="single" w:sz="4" w:space="0" w:color="auto"/>
              <w:left w:val="nil"/>
              <w:bottom w:val="single" w:sz="4" w:space="0" w:color="auto"/>
              <w:right w:val="nil"/>
            </w:tcBorders>
            <w:hideMark/>
          </w:tcPr>
          <w:p w14:paraId="7A826C7A" w14:textId="77777777" w:rsidR="00AF17D5" w:rsidRPr="00932644" w:rsidRDefault="00EE2803">
            <w:pPr>
              <w:jc w:val="center"/>
              <w:rPr>
                <w:rFonts w:ascii="Arial" w:hAnsi="Arial" w:cs="Arial"/>
                <w:color w:val="000000"/>
                <w:sz w:val="22"/>
                <w:szCs w:val="22"/>
                <w:lang w:val="es-419"/>
              </w:rPr>
            </w:pPr>
            <w:hyperlink r:id="rId83" w:history="1">
              <w:r w:rsidR="00AF17D5" w:rsidRPr="00932644">
                <w:rPr>
                  <w:rStyle w:val="Lienhypertexte"/>
                  <w:rFonts w:ascii="Arial" w:hAnsi="Arial"/>
                  <w:sz w:val="22"/>
                  <w:szCs w:val="22"/>
                  <w:lang w:val="es-419"/>
                </w:rPr>
                <w:t>NGO-90428</w:t>
              </w:r>
            </w:hyperlink>
          </w:p>
        </w:tc>
      </w:tr>
      <w:tr w:rsidR="00AF17D5" w:rsidRPr="00932644" w14:paraId="40C49C09" w14:textId="77777777" w:rsidTr="00AF17D5">
        <w:trPr>
          <w:trHeight w:val="164"/>
        </w:trPr>
        <w:tc>
          <w:tcPr>
            <w:tcW w:w="3060" w:type="pct"/>
            <w:tcBorders>
              <w:top w:val="single" w:sz="4" w:space="0" w:color="auto"/>
              <w:left w:val="nil"/>
              <w:bottom w:val="single" w:sz="4" w:space="0" w:color="auto"/>
              <w:right w:val="nil"/>
            </w:tcBorders>
            <w:hideMark/>
          </w:tcPr>
          <w:p w14:paraId="25799B39"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Uly</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Taghzym</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Public</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Fund</w:t>
            </w:r>
            <w:proofErr w:type="spellEnd"/>
          </w:p>
        </w:tc>
        <w:tc>
          <w:tcPr>
            <w:tcW w:w="1119" w:type="pct"/>
            <w:tcBorders>
              <w:top w:val="single" w:sz="4" w:space="0" w:color="auto"/>
              <w:left w:val="nil"/>
              <w:bottom w:val="single" w:sz="4" w:space="0" w:color="auto"/>
              <w:right w:val="nil"/>
            </w:tcBorders>
            <w:hideMark/>
          </w:tcPr>
          <w:p w14:paraId="4544A190"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Kazajstán</w:t>
            </w:r>
          </w:p>
        </w:tc>
        <w:tc>
          <w:tcPr>
            <w:tcW w:w="821" w:type="pct"/>
            <w:tcBorders>
              <w:top w:val="single" w:sz="4" w:space="0" w:color="auto"/>
              <w:left w:val="nil"/>
              <w:bottom w:val="single" w:sz="4" w:space="0" w:color="auto"/>
              <w:right w:val="nil"/>
            </w:tcBorders>
            <w:hideMark/>
          </w:tcPr>
          <w:p w14:paraId="74F6F291" w14:textId="77777777" w:rsidR="00AF17D5" w:rsidRPr="00932644" w:rsidRDefault="00EE2803">
            <w:pPr>
              <w:jc w:val="center"/>
              <w:rPr>
                <w:rFonts w:ascii="Arial" w:hAnsi="Arial" w:cs="Arial"/>
                <w:color w:val="000000"/>
                <w:sz w:val="22"/>
                <w:szCs w:val="22"/>
                <w:lang w:val="es-419"/>
              </w:rPr>
            </w:pPr>
            <w:hyperlink r:id="rId84" w:history="1">
              <w:r w:rsidR="00AF17D5" w:rsidRPr="00932644">
                <w:rPr>
                  <w:rStyle w:val="Lienhypertexte"/>
                  <w:rFonts w:ascii="Arial" w:hAnsi="Arial"/>
                  <w:sz w:val="22"/>
                  <w:szCs w:val="22"/>
                  <w:lang w:val="es-419"/>
                </w:rPr>
                <w:t>NGO-90434</w:t>
              </w:r>
            </w:hyperlink>
          </w:p>
        </w:tc>
      </w:tr>
      <w:tr w:rsidR="00AF17D5" w:rsidRPr="00932644" w14:paraId="38FE7C20" w14:textId="77777777" w:rsidTr="00AF17D5">
        <w:trPr>
          <w:trHeight w:val="164"/>
        </w:trPr>
        <w:tc>
          <w:tcPr>
            <w:tcW w:w="3060" w:type="pct"/>
            <w:tcBorders>
              <w:top w:val="single" w:sz="4" w:space="0" w:color="auto"/>
              <w:left w:val="nil"/>
              <w:bottom w:val="single" w:sz="4" w:space="0" w:color="auto"/>
              <w:right w:val="nil"/>
            </w:tcBorders>
            <w:hideMark/>
          </w:tcPr>
          <w:p w14:paraId="51A2ECBF"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World</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Crafts</w:t>
            </w:r>
            <w:proofErr w:type="spellEnd"/>
            <w:r w:rsidRPr="00932644">
              <w:rPr>
                <w:rFonts w:ascii="Arial" w:hAnsi="Arial" w:cs="Arial"/>
                <w:color w:val="000000"/>
                <w:sz w:val="22"/>
                <w:szCs w:val="22"/>
                <w:lang w:val="es-419"/>
              </w:rPr>
              <w:t xml:space="preserve"> Council AISBL</w:t>
            </w:r>
          </w:p>
        </w:tc>
        <w:tc>
          <w:tcPr>
            <w:tcW w:w="1119" w:type="pct"/>
            <w:tcBorders>
              <w:top w:val="single" w:sz="4" w:space="0" w:color="auto"/>
              <w:left w:val="nil"/>
              <w:bottom w:val="single" w:sz="4" w:space="0" w:color="auto"/>
              <w:right w:val="nil"/>
            </w:tcBorders>
            <w:hideMark/>
          </w:tcPr>
          <w:p w14:paraId="72612F4E"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Reino Unido de Gran Bretaña e Irlanda del Norte</w:t>
            </w:r>
          </w:p>
        </w:tc>
        <w:tc>
          <w:tcPr>
            <w:tcW w:w="821" w:type="pct"/>
            <w:tcBorders>
              <w:top w:val="single" w:sz="4" w:space="0" w:color="auto"/>
              <w:left w:val="nil"/>
              <w:bottom w:val="single" w:sz="4" w:space="0" w:color="auto"/>
              <w:right w:val="nil"/>
            </w:tcBorders>
            <w:hideMark/>
          </w:tcPr>
          <w:p w14:paraId="1560ADF6" w14:textId="77777777" w:rsidR="00AF17D5" w:rsidRPr="00932644" w:rsidRDefault="00EE2803">
            <w:pPr>
              <w:jc w:val="center"/>
              <w:rPr>
                <w:rFonts w:ascii="Arial" w:hAnsi="Arial" w:cs="Arial"/>
                <w:color w:val="000000"/>
                <w:sz w:val="22"/>
                <w:szCs w:val="22"/>
                <w:lang w:val="es-419"/>
              </w:rPr>
            </w:pPr>
            <w:hyperlink r:id="rId85" w:history="1">
              <w:r w:rsidR="00AF17D5" w:rsidRPr="00932644">
                <w:rPr>
                  <w:rStyle w:val="Lienhypertexte"/>
                  <w:rFonts w:ascii="Arial" w:hAnsi="Arial"/>
                  <w:sz w:val="22"/>
                  <w:szCs w:val="22"/>
                  <w:lang w:val="es-419"/>
                </w:rPr>
                <w:t>NGO-90435</w:t>
              </w:r>
            </w:hyperlink>
          </w:p>
        </w:tc>
      </w:tr>
      <w:tr w:rsidR="00AF17D5" w:rsidRPr="00932644" w14:paraId="3CEBE614" w14:textId="77777777" w:rsidTr="00AF17D5">
        <w:trPr>
          <w:trHeight w:val="164"/>
        </w:trPr>
        <w:tc>
          <w:tcPr>
            <w:tcW w:w="3060" w:type="pct"/>
            <w:tcBorders>
              <w:top w:val="single" w:sz="4" w:space="0" w:color="auto"/>
              <w:left w:val="nil"/>
              <w:bottom w:val="single" w:sz="4" w:space="0" w:color="auto"/>
              <w:right w:val="nil"/>
            </w:tcBorders>
            <w:hideMark/>
          </w:tcPr>
          <w:p w14:paraId="15ECB597" w14:textId="77777777" w:rsidR="00AF17D5" w:rsidRPr="00932644" w:rsidRDefault="00AF17D5">
            <w:pPr>
              <w:rPr>
                <w:rFonts w:ascii="Arial" w:hAnsi="Arial" w:cs="Arial"/>
                <w:color w:val="000000"/>
                <w:sz w:val="22"/>
                <w:szCs w:val="22"/>
                <w:lang w:val="es-419"/>
              </w:rPr>
            </w:pPr>
            <w:proofErr w:type="spellStart"/>
            <w:r w:rsidRPr="00932644">
              <w:rPr>
                <w:rFonts w:ascii="Arial" w:hAnsi="Arial" w:cs="Arial"/>
                <w:color w:val="000000"/>
                <w:sz w:val="22"/>
                <w:szCs w:val="22"/>
                <w:lang w:val="es-419"/>
              </w:rPr>
              <w:t>World</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Ethnosport</w:t>
            </w:r>
            <w:proofErr w:type="spellEnd"/>
            <w:r w:rsidRPr="00932644">
              <w:rPr>
                <w:rFonts w:ascii="Arial" w:hAnsi="Arial" w:cs="Arial"/>
                <w:color w:val="000000"/>
                <w:sz w:val="22"/>
                <w:szCs w:val="22"/>
                <w:lang w:val="es-419"/>
              </w:rPr>
              <w:t xml:space="preserve"> </w:t>
            </w:r>
            <w:proofErr w:type="spellStart"/>
            <w:r w:rsidRPr="00932644">
              <w:rPr>
                <w:rFonts w:ascii="Arial" w:hAnsi="Arial" w:cs="Arial"/>
                <w:color w:val="000000"/>
                <w:sz w:val="22"/>
                <w:szCs w:val="22"/>
                <w:lang w:val="es-419"/>
              </w:rPr>
              <w:t>Society</w:t>
            </w:r>
            <w:proofErr w:type="spellEnd"/>
          </w:p>
        </w:tc>
        <w:tc>
          <w:tcPr>
            <w:tcW w:w="1119" w:type="pct"/>
            <w:tcBorders>
              <w:top w:val="single" w:sz="4" w:space="0" w:color="auto"/>
              <w:left w:val="nil"/>
              <w:bottom w:val="single" w:sz="4" w:space="0" w:color="auto"/>
              <w:right w:val="nil"/>
            </w:tcBorders>
            <w:hideMark/>
          </w:tcPr>
          <w:p w14:paraId="34FF0CCA" w14:textId="77777777" w:rsidR="00AF17D5" w:rsidRPr="00932644" w:rsidRDefault="00AF17D5">
            <w:pPr>
              <w:jc w:val="center"/>
              <w:rPr>
                <w:rFonts w:ascii="Arial" w:hAnsi="Arial" w:cs="Arial"/>
                <w:color w:val="000000"/>
                <w:sz w:val="22"/>
                <w:szCs w:val="22"/>
                <w:lang w:val="es-419"/>
              </w:rPr>
            </w:pPr>
            <w:r w:rsidRPr="00932644">
              <w:rPr>
                <w:rFonts w:ascii="Arial" w:hAnsi="Arial"/>
                <w:color w:val="000000"/>
                <w:sz w:val="22"/>
                <w:lang w:val="es-419"/>
              </w:rPr>
              <w:t>Letonia</w:t>
            </w:r>
          </w:p>
        </w:tc>
        <w:tc>
          <w:tcPr>
            <w:tcW w:w="821" w:type="pct"/>
            <w:tcBorders>
              <w:top w:val="single" w:sz="4" w:space="0" w:color="auto"/>
              <w:left w:val="nil"/>
              <w:bottom w:val="single" w:sz="4" w:space="0" w:color="auto"/>
              <w:right w:val="nil"/>
            </w:tcBorders>
            <w:hideMark/>
          </w:tcPr>
          <w:p w14:paraId="379A7E4B" w14:textId="77777777" w:rsidR="00AF17D5" w:rsidRPr="00932644" w:rsidRDefault="00EE2803">
            <w:pPr>
              <w:jc w:val="center"/>
              <w:rPr>
                <w:rFonts w:ascii="Arial" w:hAnsi="Arial" w:cs="Arial"/>
                <w:color w:val="000000"/>
                <w:sz w:val="22"/>
                <w:szCs w:val="22"/>
                <w:lang w:val="es-419"/>
              </w:rPr>
            </w:pPr>
            <w:hyperlink r:id="rId86" w:history="1">
              <w:r w:rsidR="00AF17D5" w:rsidRPr="00932644">
                <w:rPr>
                  <w:rStyle w:val="Lienhypertexte"/>
                  <w:rFonts w:ascii="Arial" w:hAnsi="Arial"/>
                  <w:sz w:val="22"/>
                  <w:szCs w:val="22"/>
                  <w:lang w:val="es-419"/>
                </w:rPr>
                <w:t>NGO-90478</w:t>
              </w:r>
            </w:hyperlink>
          </w:p>
        </w:tc>
      </w:tr>
    </w:tbl>
    <w:p w14:paraId="40E65725" w14:textId="77777777" w:rsidR="00AF17D5" w:rsidRPr="00932644" w:rsidRDefault="00AF17D5" w:rsidP="00AF17D5">
      <w:pPr>
        <w:spacing w:after="120"/>
        <w:jc w:val="both"/>
        <w:rPr>
          <w:rFonts w:ascii="Arial" w:hAnsi="Arial" w:cs="Arial"/>
          <w:snapToGrid w:val="0"/>
          <w:sz w:val="22"/>
          <w:szCs w:val="22"/>
          <w:lang w:val="es-419" w:eastAsia="en-US"/>
        </w:rPr>
      </w:pPr>
    </w:p>
    <w:p w14:paraId="1869555D" w14:textId="472AD38B" w:rsidR="00010ABD" w:rsidRPr="00932644" w:rsidRDefault="00010ABD" w:rsidP="004532DE">
      <w:pPr>
        <w:pStyle w:val="GATitleResolution"/>
        <w:tabs>
          <w:tab w:val="left" w:pos="2830"/>
        </w:tabs>
        <w:rPr>
          <w:lang w:val="es-419"/>
        </w:rPr>
      </w:pPr>
      <w:r w:rsidRPr="00932644">
        <w:rPr>
          <w:bCs/>
          <w:lang w:val="es-419"/>
        </w:rPr>
        <w:lastRenderedPageBreak/>
        <w:t>RESOLUCIÓN 8.GA 14</w:t>
      </w:r>
      <w:r w:rsidR="004532DE" w:rsidRPr="00932644">
        <w:rPr>
          <w:bCs/>
          <w:lang w:val="es-419"/>
        </w:rPr>
        <w:tab/>
      </w:r>
    </w:p>
    <w:p w14:paraId="1BFC9BF1" w14:textId="77777777" w:rsidR="00010ABD" w:rsidRPr="00932644" w:rsidRDefault="00010ABD" w:rsidP="001D2C04">
      <w:pPr>
        <w:pStyle w:val="GAPreambulaResolution"/>
        <w:ind w:left="0"/>
        <w:rPr>
          <w:rFonts w:eastAsia="SimSun"/>
          <w:lang w:val="es-419"/>
        </w:rPr>
      </w:pPr>
      <w:r w:rsidRPr="00932644">
        <w:rPr>
          <w:lang w:val="es-419"/>
        </w:rPr>
        <w:t>La Asamblea General,</w:t>
      </w:r>
    </w:p>
    <w:p w14:paraId="44F72725" w14:textId="36E01130" w:rsidR="00010ABD" w:rsidRPr="00932644" w:rsidRDefault="00010ABD" w:rsidP="001D2C04">
      <w:pPr>
        <w:pStyle w:val="GAParaResolution"/>
        <w:numPr>
          <w:ilvl w:val="0"/>
          <w:numId w:val="67"/>
        </w:numPr>
        <w:ind w:left="567" w:hanging="567"/>
        <w:jc w:val="left"/>
        <w:rPr>
          <w:lang w:val="es-419"/>
        </w:rPr>
      </w:pPr>
      <w:r w:rsidRPr="00932644">
        <w:rPr>
          <w:lang w:val="es-419"/>
        </w:rPr>
        <w:t>Habiendo examinado</w:t>
      </w:r>
      <w:r w:rsidRPr="00932644">
        <w:rPr>
          <w:u w:val="none"/>
          <w:lang w:val="es-419"/>
        </w:rPr>
        <w:t xml:space="preserve"> el documento </w:t>
      </w:r>
      <w:hyperlink r:id="rId87" w:history="1">
        <w:r w:rsidRPr="00932644">
          <w:rPr>
            <w:rStyle w:val="Lienhypertexte"/>
            <w:lang w:val="es-419"/>
          </w:rPr>
          <w:t>LHE/20/8.GA/14</w:t>
        </w:r>
      </w:hyperlink>
      <w:r w:rsidRPr="00932644">
        <w:rPr>
          <w:u w:val="none"/>
          <w:lang w:val="es-419"/>
        </w:rPr>
        <w:t>,</w:t>
      </w:r>
    </w:p>
    <w:p w14:paraId="58A591ED" w14:textId="77777777" w:rsidR="00010ABD" w:rsidRPr="00932644" w:rsidRDefault="00010ABD" w:rsidP="001D2C04">
      <w:pPr>
        <w:pStyle w:val="COMParaDecision"/>
        <w:numPr>
          <w:ilvl w:val="0"/>
          <w:numId w:val="4"/>
        </w:numPr>
        <w:ind w:left="567" w:hanging="567"/>
        <w:rPr>
          <w:u w:val="none"/>
          <w:lang w:val="es-419"/>
        </w:rPr>
      </w:pPr>
      <w:r w:rsidRPr="00932644">
        <w:rPr>
          <w:lang w:val="es-419"/>
        </w:rPr>
        <w:t>Recordando</w:t>
      </w:r>
      <w:r w:rsidRPr="00932644">
        <w:rPr>
          <w:u w:val="none"/>
          <w:lang w:val="es-419"/>
        </w:rPr>
        <w:t xml:space="preserve"> los Artículos 5, 6 y 26.5 de la Convención y los Artículos 13, 14 y 15 de su Reglamento,</w:t>
      </w:r>
    </w:p>
    <w:p w14:paraId="62DC28FB" w14:textId="3D6F1AEA" w:rsidR="00010ABD" w:rsidRPr="00932644" w:rsidRDefault="00010ABD" w:rsidP="001D2C04">
      <w:pPr>
        <w:pStyle w:val="COMParaDecision"/>
        <w:numPr>
          <w:ilvl w:val="0"/>
          <w:numId w:val="4"/>
        </w:numPr>
        <w:ind w:left="567" w:hanging="567"/>
        <w:jc w:val="left"/>
        <w:rPr>
          <w:lang w:val="es-419"/>
        </w:rPr>
      </w:pPr>
      <w:r w:rsidRPr="00932644">
        <w:rPr>
          <w:lang w:val="es-419"/>
        </w:rPr>
        <w:t>Recordando además</w:t>
      </w:r>
      <w:r w:rsidRPr="00932644">
        <w:rPr>
          <w:u w:val="none"/>
          <w:lang w:val="es-419"/>
        </w:rPr>
        <w:t xml:space="preserve"> la </w:t>
      </w:r>
      <w:hyperlink r:id="rId88" w:history="1">
        <w:r w:rsidR="00233A40" w:rsidRPr="00932644">
          <w:rPr>
            <w:rStyle w:val="Lienhypertexte"/>
            <w:lang w:val="es-419"/>
          </w:rPr>
          <w:t>R</w:t>
        </w:r>
        <w:r w:rsidRPr="00932644">
          <w:rPr>
            <w:rStyle w:val="Lienhypertexte"/>
            <w:lang w:val="es-419"/>
          </w:rPr>
          <w:t>esolución 8.GA 4</w:t>
        </w:r>
      </w:hyperlink>
      <w:r w:rsidRPr="00932644">
        <w:rPr>
          <w:u w:val="none"/>
          <w:lang w:val="es-419"/>
        </w:rPr>
        <w:t>,</w:t>
      </w:r>
    </w:p>
    <w:p w14:paraId="331D1700" w14:textId="7740F863" w:rsidR="00010ABD" w:rsidRPr="00932644" w:rsidRDefault="00010ABD" w:rsidP="00AE7239">
      <w:pPr>
        <w:pStyle w:val="COMParaDecision"/>
        <w:numPr>
          <w:ilvl w:val="0"/>
          <w:numId w:val="4"/>
        </w:numPr>
        <w:ind w:left="567" w:hanging="567"/>
        <w:rPr>
          <w:lang w:val="es-419"/>
        </w:rPr>
      </w:pPr>
      <w:r w:rsidRPr="00932644">
        <w:rPr>
          <w:lang w:val="es-419"/>
        </w:rPr>
        <w:t>Elige</w:t>
      </w:r>
      <w:r w:rsidRPr="00932644">
        <w:rPr>
          <w:u w:val="none"/>
          <w:lang w:val="es-419"/>
        </w:rPr>
        <w:t xml:space="preserve"> a los siguientes doce Estados Partes </w:t>
      </w:r>
      <w:r w:rsidR="00C21043" w:rsidRPr="00932644">
        <w:rPr>
          <w:u w:val="none"/>
          <w:lang w:val="es-419"/>
        </w:rPr>
        <w:t>a</w:t>
      </w:r>
      <w:r w:rsidRPr="00932644">
        <w:rPr>
          <w:u w:val="none"/>
          <w:lang w:val="es-419"/>
        </w:rPr>
        <w:t>l Comité Intergubernamental para la Salvaguardia del Patrimonio Cultural Inmaterial por un mandato de cuatro años a partir de la fecha de su elección:</w:t>
      </w:r>
    </w:p>
    <w:p w14:paraId="3B74BD56" w14:textId="77777777" w:rsidR="00C21043" w:rsidRPr="00932644" w:rsidRDefault="00010ABD" w:rsidP="00AE7239">
      <w:pPr>
        <w:pStyle w:val="GAParaResolution"/>
        <w:numPr>
          <w:ilvl w:val="0"/>
          <w:numId w:val="0"/>
        </w:numPr>
        <w:ind w:left="1134" w:hanging="567"/>
        <w:rPr>
          <w:u w:val="none"/>
          <w:lang w:val="es-419"/>
        </w:rPr>
      </w:pPr>
      <w:r w:rsidRPr="00932644">
        <w:rPr>
          <w:u w:val="none"/>
          <w:lang w:val="es-419"/>
        </w:rPr>
        <w:t>Grupo I:</w:t>
      </w:r>
      <w:r w:rsidR="00233A40" w:rsidRPr="00932644">
        <w:rPr>
          <w:u w:val="none"/>
          <w:lang w:val="es-419"/>
        </w:rPr>
        <w:t xml:space="preserve"> </w:t>
      </w:r>
      <w:r w:rsidR="00C21043" w:rsidRPr="00932644">
        <w:rPr>
          <w:u w:val="none"/>
          <w:lang w:val="es-419"/>
        </w:rPr>
        <w:t>Suecia y Suiza</w:t>
      </w:r>
    </w:p>
    <w:p w14:paraId="1B5E9399" w14:textId="399C9226" w:rsidR="00010ABD" w:rsidRPr="00932644" w:rsidRDefault="00010ABD" w:rsidP="00AE7239">
      <w:pPr>
        <w:pStyle w:val="GAParaResolution"/>
        <w:numPr>
          <w:ilvl w:val="0"/>
          <w:numId w:val="0"/>
        </w:numPr>
        <w:ind w:left="1134" w:hanging="567"/>
        <w:rPr>
          <w:u w:val="none"/>
          <w:lang w:val="es-419"/>
        </w:rPr>
      </w:pPr>
      <w:r w:rsidRPr="00932644">
        <w:rPr>
          <w:u w:val="none"/>
          <w:lang w:val="es-419"/>
        </w:rPr>
        <w:t>Grupo II:</w:t>
      </w:r>
      <w:r w:rsidR="002D7F8D" w:rsidRPr="00932644">
        <w:rPr>
          <w:u w:val="none"/>
          <w:lang w:val="es-419"/>
        </w:rPr>
        <w:t xml:space="preserve"> </w:t>
      </w:r>
      <w:r w:rsidR="00C21043" w:rsidRPr="00932644">
        <w:rPr>
          <w:u w:val="none"/>
          <w:lang w:val="es-419"/>
        </w:rPr>
        <w:t>Chequia</w:t>
      </w:r>
    </w:p>
    <w:p w14:paraId="165127AE" w14:textId="5002CBC6" w:rsidR="00010ABD" w:rsidRPr="00932644" w:rsidRDefault="00010ABD" w:rsidP="00AE7239">
      <w:pPr>
        <w:pStyle w:val="GAParaResolution"/>
        <w:numPr>
          <w:ilvl w:val="0"/>
          <w:numId w:val="0"/>
        </w:numPr>
        <w:ind w:left="1134" w:hanging="567"/>
        <w:rPr>
          <w:u w:val="none"/>
          <w:lang w:val="es-419"/>
        </w:rPr>
      </w:pPr>
      <w:r w:rsidRPr="00932644">
        <w:rPr>
          <w:u w:val="none"/>
          <w:lang w:val="es-419"/>
        </w:rPr>
        <w:t>Grupo III:</w:t>
      </w:r>
      <w:r w:rsidR="001E0F20" w:rsidRPr="00932644">
        <w:rPr>
          <w:u w:val="none"/>
          <w:lang w:val="es-419"/>
        </w:rPr>
        <w:t xml:space="preserve"> </w:t>
      </w:r>
      <w:r w:rsidR="00471751" w:rsidRPr="00932644">
        <w:rPr>
          <w:u w:val="none"/>
          <w:lang w:val="es-419"/>
        </w:rPr>
        <w:t>Brasil, Panam</w:t>
      </w:r>
      <w:r w:rsidR="00355FFA" w:rsidRPr="00932644">
        <w:rPr>
          <w:u w:val="none"/>
          <w:lang w:val="es-419"/>
        </w:rPr>
        <w:t>á</w:t>
      </w:r>
      <w:r w:rsidR="001E0F20" w:rsidRPr="00932644">
        <w:rPr>
          <w:u w:val="none"/>
          <w:lang w:val="es-419"/>
        </w:rPr>
        <w:t xml:space="preserve"> y </w:t>
      </w:r>
      <w:r w:rsidR="00471751" w:rsidRPr="00932644">
        <w:rPr>
          <w:u w:val="none"/>
          <w:lang w:val="es-419"/>
        </w:rPr>
        <w:t>Per</w:t>
      </w:r>
      <w:r w:rsidR="00355FFA" w:rsidRPr="00932644">
        <w:rPr>
          <w:u w:val="none"/>
          <w:lang w:val="es-419"/>
        </w:rPr>
        <w:t>ú</w:t>
      </w:r>
    </w:p>
    <w:p w14:paraId="426C028C" w14:textId="3A6BAE19" w:rsidR="00010ABD" w:rsidRPr="00932644" w:rsidRDefault="00010ABD" w:rsidP="00AE7239">
      <w:pPr>
        <w:pStyle w:val="GAParaResolution"/>
        <w:numPr>
          <w:ilvl w:val="0"/>
          <w:numId w:val="0"/>
        </w:numPr>
        <w:ind w:left="1134" w:hanging="567"/>
        <w:rPr>
          <w:u w:val="none"/>
          <w:lang w:val="es-419"/>
        </w:rPr>
      </w:pPr>
      <w:r w:rsidRPr="00932644">
        <w:rPr>
          <w:u w:val="none"/>
          <w:lang w:val="es-419"/>
        </w:rPr>
        <w:t>Grupo IV:</w:t>
      </w:r>
      <w:r w:rsidR="00471751" w:rsidRPr="00932644">
        <w:rPr>
          <w:u w:val="none"/>
          <w:lang w:val="es-419"/>
        </w:rPr>
        <w:t xml:space="preserve"> República de Corea</w:t>
      </w:r>
    </w:p>
    <w:p w14:paraId="44AA8183" w14:textId="0EDBB057" w:rsidR="00010ABD" w:rsidRPr="00932644" w:rsidRDefault="00010ABD" w:rsidP="00AE7239">
      <w:pPr>
        <w:pStyle w:val="GAParaResolution"/>
        <w:numPr>
          <w:ilvl w:val="0"/>
          <w:numId w:val="0"/>
        </w:numPr>
        <w:ind w:left="1134" w:hanging="567"/>
        <w:rPr>
          <w:u w:val="none"/>
          <w:lang w:val="es-419"/>
        </w:rPr>
      </w:pPr>
      <w:r w:rsidRPr="00932644">
        <w:rPr>
          <w:u w:val="none"/>
          <w:lang w:val="es-419"/>
        </w:rPr>
        <w:t>Grupo V(a):</w:t>
      </w:r>
      <w:r w:rsidR="00471751" w:rsidRPr="00932644">
        <w:rPr>
          <w:u w:val="none"/>
          <w:lang w:val="es-419"/>
        </w:rPr>
        <w:t xml:space="preserve"> Botsuana, </w:t>
      </w:r>
      <w:r w:rsidR="004532DE" w:rsidRPr="00932644">
        <w:rPr>
          <w:u w:val="none"/>
          <w:lang w:val="es-419"/>
        </w:rPr>
        <w:t>Côte d'Ivoire</w:t>
      </w:r>
      <w:r w:rsidR="001E0F20" w:rsidRPr="00932644">
        <w:rPr>
          <w:u w:val="none"/>
          <w:lang w:val="es-419"/>
        </w:rPr>
        <w:t xml:space="preserve"> y</w:t>
      </w:r>
      <w:r w:rsidR="00471751" w:rsidRPr="00932644">
        <w:rPr>
          <w:u w:val="none"/>
          <w:lang w:val="es-419"/>
        </w:rPr>
        <w:t xml:space="preserve"> Ruanda</w:t>
      </w:r>
    </w:p>
    <w:p w14:paraId="5C375176" w14:textId="6246C292" w:rsidR="00010ABD" w:rsidRPr="00932644" w:rsidRDefault="00010ABD" w:rsidP="00AE7239">
      <w:pPr>
        <w:pStyle w:val="GAParaResolution"/>
        <w:numPr>
          <w:ilvl w:val="0"/>
          <w:numId w:val="0"/>
        </w:numPr>
        <w:ind w:left="1134" w:hanging="567"/>
        <w:rPr>
          <w:u w:val="none"/>
          <w:lang w:val="es-419"/>
        </w:rPr>
      </w:pPr>
      <w:r w:rsidRPr="00932644">
        <w:rPr>
          <w:u w:val="none"/>
          <w:lang w:val="es-419"/>
        </w:rPr>
        <w:t>Grupo V(b):</w:t>
      </w:r>
      <w:r w:rsidR="00471751" w:rsidRPr="00932644">
        <w:rPr>
          <w:u w:val="none"/>
          <w:lang w:val="es-419"/>
        </w:rPr>
        <w:t xml:space="preserve"> </w:t>
      </w:r>
      <w:r w:rsidR="00E270FB" w:rsidRPr="00932644">
        <w:rPr>
          <w:u w:val="none"/>
          <w:lang w:val="es-419"/>
        </w:rPr>
        <w:t>Arabia</w:t>
      </w:r>
      <w:r w:rsidR="003267C1" w:rsidRPr="00932644">
        <w:rPr>
          <w:u w:val="none"/>
          <w:lang w:val="es-419"/>
        </w:rPr>
        <w:t xml:space="preserve"> </w:t>
      </w:r>
      <w:r w:rsidR="00471751" w:rsidRPr="00932644">
        <w:rPr>
          <w:u w:val="none"/>
          <w:lang w:val="es-419"/>
        </w:rPr>
        <w:t>Saud</w:t>
      </w:r>
      <w:r w:rsidR="00AD425B" w:rsidRPr="00932644">
        <w:rPr>
          <w:u w:val="none"/>
          <w:lang w:val="es-419"/>
        </w:rPr>
        <w:t>ita</w:t>
      </w:r>
      <w:r w:rsidR="003267C1" w:rsidRPr="00932644">
        <w:rPr>
          <w:u w:val="none"/>
          <w:lang w:val="es-419"/>
        </w:rPr>
        <w:t xml:space="preserve"> </w:t>
      </w:r>
      <w:r w:rsidR="001E0F20" w:rsidRPr="00932644">
        <w:rPr>
          <w:u w:val="none"/>
          <w:lang w:val="es-419"/>
        </w:rPr>
        <w:t xml:space="preserve">y Marruecos </w:t>
      </w:r>
    </w:p>
    <w:p w14:paraId="513CF1A9" w14:textId="697FE34F" w:rsidR="001177D3" w:rsidRPr="00932644" w:rsidRDefault="001177D3" w:rsidP="001177D3">
      <w:pPr>
        <w:pStyle w:val="GATitleResolution"/>
        <w:rPr>
          <w:lang w:val="es-419"/>
        </w:rPr>
      </w:pPr>
      <w:r w:rsidRPr="00932644">
        <w:rPr>
          <w:bCs/>
          <w:lang w:val="es-419"/>
        </w:rPr>
        <w:t>RESOLUCIÓN 8.GA 15</w:t>
      </w:r>
    </w:p>
    <w:p w14:paraId="2A0FB969" w14:textId="77777777" w:rsidR="001177D3" w:rsidRPr="00932644" w:rsidRDefault="001177D3" w:rsidP="001D2C04">
      <w:pPr>
        <w:pStyle w:val="GAPreambulaResolution"/>
        <w:ind w:left="0"/>
        <w:rPr>
          <w:rFonts w:eastAsia="SimSun"/>
          <w:lang w:val="es-419"/>
        </w:rPr>
      </w:pPr>
      <w:r w:rsidRPr="00932644">
        <w:rPr>
          <w:lang w:val="es-419"/>
        </w:rPr>
        <w:t>La Asamblea General,</w:t>
      </w:r>
    </w:p>
    <w:p w14:paraId="3848C2E4" w14:textId="3D9F2500" w:rsidR="001177D3" w:rsidRPr="00932644" w:rsidRDefault="001177D3" w:rsidP="001D2C04">
      <w:pPr>
        <w:pStyle w:val="GAParaResolution"/>
        <w:numPr>
          <w:ilvl w:val="0"/>
          <w:numId w:val="68"/>
        </w:numPr>
        <w:ind w:left="567" w:hanging="567"/>
        <w:rPr>
          <w:u w:val="none"/>
          <w:lang w:val="es-419"/>
        </w:rPr>
      </w:pPr>
      <w:r w:rsidRPr="00932644">
        <w:rPr>
          <w:lang w:val="es-419"/>
        </w:rPr>
        <w:t>Habiendo examinado</w:t>
      </w:r>
      <w:r w:rsidRPr="00932644">
        <w:rPr>
          <w:u w:val="none"/>
          <w:lang w:val="es-419"/>
        </w:rPr>
        <w:t xml:space="preserve"> el documento </w:t>
      </w:r>
      <w:hyperlink r:id="rId89" w:history="1">
        <w:r w:rsidRPr="00932644">
          <w:rPr>
            <w:rStyle w:val="Lienhypertexte"/>
            <w:lang w:val="es-419"/>
          </w:rPr>
          <w:t>LHE/20/8.GA/15</w:t>
        </w:r>
      </w:hyperlink>
      <w:r w:rsidRPr="00932644">
        <w:rPr>
          <w:u w:val="none"/>
          <w:lang w:val="es-419"/>
        </w:rPr>
        <w:t>,</w:t>
      </w:r>
    </w:p>
    <w:p w14:paraId="5A69852F" w14:textId="2733D278" w:rsidR="001177D3" w:rsidRPr="00932644" w:rsidRDefault="001177D3" w:rsidP="00AE7239">
      <w:pPr>
        <w:pStyle w:val="COMParaDecision"/>
        <w:numPr>
          <w:ilvl w:val="0"/>
          <w:numId w:val="4"/>
        </w:numPr>
        <w:ind w:left="567" w:hanging="567"/>
        <w:rPr>
          <w:lang w:val="pt-BR"/>
        </w:rPr>
      </w:pPr>
      <w:r w:rsidRPr="00932644">
        <w:rPr>
          <w:lang w:val="pt-BR"/>
        </w:rPr>
        <w:t>Recordando</w:t>
      </w:r>
      <w:r w:rsidRPr="00932644">
        <w:rPr>
          <w:u w:val="none"/>
          <w:lang w:val="pt-BR"/>
        </w:rPr>
        <w:t xml:space="preserve"> </w:t>
      </w:r>
      <w:proofErr w:type="spellStart"/>
      <w:r w:rsidRPr="00932644">
        <w:rPr>
          <w:u w:val="none"/>
          <w:lang w:val="pt-BR"/>
        </w:rPr>
        <w:t>los</w:t>
      </w:r>
      <w:proofErr w:type="spellEnd"/>
      <w:r w:rsidRPr="00932644">
        <w:rPr>
          <w:u w:val="none"/>
          <w:lang w:val="pt-BR"/>
        </w:rPr>
        <w:t xml:space="preserve"> documentos </w:t>
      </w:r>
      <w:hyperlink r:id="rId90" w:history="1">
        <w:r w:rsidRPr="00932644">
          <w:rPr>
            <w:rStyle w:val="Lienhypertexte"/>
            <w:lang w:val="pt-BR"/>
          </w:rPr>
          <w:t>LHE/20/8.GA/7 Rev.</w:t>
        </w:r>
      </w:hyperlink>
      <w:r w:rsidRPr="00932644">
        <w:rPr>
          <w:u w:val="none"/>
          <w:lang w:val="pt-BR"/>
        </w:rPr>
        <w:t xml:space="preserve">, </w:t>
      </w:r>
      <w:hyperlink r:id="rId91" w:history="1">
        <w:r w:rsidRPr="00932644">
          <w:rPr>
            <w:rStyle w:val="Lienhypertexte"/>
            <w:lang w:val="pt-BR"/>
          </w:rPr>
          <w:t>LHE/20/8.GA/8</w:t>
        </w:r>
      </w:hyperlink>
      <w:r w:rsidRPr="00932644">
        <w:rPr>
          <w:u w:val="none"/>
          <w:lang w:val="pt-BR"/>
        </w:rPr>
        <w:t xml:space="preserve">, </w:t>
      </w:r>
      <w:hyperlink r:id="rId92" w:history="1">
        <w:r w:rsidRPr="00932644">
          <w:rPr>
            <w:rStyle w:val="Lienhypertexte"/>
            <w:lang w:val="pt-BR"/>
          </w:rPr>
          <w:t>LHE/19/14.COM/19</w:t>
        </w:r>
      </w:hyperlink>
      <w:r w:rsidRPr="00932644">
        <w:rPr>
          <w:rStyle w:val="Lienhypertexte"/>
          <w:lang w:val="pt-BR"/>
        </w:rPr>
        <w:t xml:space="preserve">, </w:t>
      </w:r>
      <w:hyperlink r:id="rId93" w:history="1">
        <w:r w:rsidRPr="00932644">
          <w:rPr>
            <w:rStyle w:val="Lienhypertexte"/>
            <w:lang w:val="pt-BR"/>
          </w:rPr>
          <w:t>ITH/18/13.COM/17</w:t>
        </w:r>
      </w:hyperlink>
      <w:r w:rsidRPr="00932644">
        <w:rPr>
          <w:u w:val="none"/>
          <w:lang w:val="pt-BR"/>
        </w:rPr>
        <w:t xml:space="preserve">, </w:t>
      </w:r>
      <w:hyperlink r:id="rId94" w:history="1">
        <w:r w:rsidRPr="00932644">
          <w:rPr>
            <w:rStyle w:val="Lienhypertexte"/>
            <w:lang w:val="pt-BR"/>
          </w:rPr>
          <w:t>ITH/17/12.COM/16</w:t>
        </w:r>
      </w:hyperlink>
      <w:r w:rsidRPr="00932644">
        <w:rPr>
          <w:u w:val="none"/>
          <w:lang w:val="pt-BR"/>
        </w:rPr>
        <w:t xml:space="preserve">, </w:t>
      </w:r>
      <w:hyperlink r:id="rId95" w:history="1">
        <w:r w:rsidRPr="00932644">
          <w:rPr>
            <w:rStyle w:val="Lienhypertexte"/>
            <w:lang w:val="pt-BR"/>
          </w:rPr>
          <w:t>ITH/18/7.GA/13</w:t>
        </w:r>
      </w:hyperlink>
      <w:r w:rsidRPr="00932644">
        <w:rPr>
          <w:u w:val="none"/>
          <w:lang w:val="pt-BR"/>
        </w:rPr>
        <w:t xml:space="preserve"> y </w:t>
      </w:r>
      <w:hyperlink r:id="rId96" w:history="1">
        <w:r w:rsidRPr="00932644">
          <w:rPr>
            <w:rStyle w:val="Lienhypertexte"/>
            <w:lang w:val="pt-BR"/>
          </w:rPr>
          <w:t>ITH/18/7.GA/12</w:t>
        </w:r>
      </w:hyperlink>
      <w:r w:rsidRPr="00932644">
        <w:rPr>
          <w:u w:val="none"/>
          <w:lang w:val="pt-BR"/>
        </w:rPr>
        <w:t xml:space="preserve">, </w:t>
      </w:r>
      <w:proofErr w:type="spellStart"/>
      <w:r w:rsidR="003504C0" w:rsidRPr="00932644">
        <w:rPr>
          <w:u w:val="none"/>
          <w:lang w:val="pt-BR"/>
        </w:rPr>
        <w:t>las</w:t>
      </w:r>
      <w:proofErr w:type="spellEnd"/>
      <w:r w:rsidR="003504C0" w:rsidRPr="00932644">
        <w:rPr>
          <w:u w:val="none"/>
          <w:lang w:val="pt-BR"/>
        </w:rPr>
        <w:t xml:space="preserve"> </w:t>
      </w:r>
      <w:proofErr w:type="spellStart"/>
      <w:r w:rsidRPr="00932644">
        <w:rPr>
          <w:u w:val="none"/>
          <w:lang w:val="pt-BR"/>
        </w:rPr>
        <w:t>Decisiones</w:t>
      </w:r>
      <w:proofErr w:type="spellEnd"/>
      <w:r w:rsidRPr="00932644">
        <w:rPr>
          <w:u w:val="none"/>
          <w:lang w:val="pt-BR"/>
        </w:rPr>
        <w:t xml:space="preserve"> </w:t>
      </w:r>
      <w:hyperlink r:id="rId97" w:history="1">
        <w:r w:rsidRPr="00932644">
          <w:rPr>
            <w:rStyle w:val="Lienhypertexte"/>
            <w:lang w:val="pt-BR"/>
          </w:rPr>
          <w:t>14.COM 19</w:t>
        </w:r>
      </w:hyperlink>
      <w:r w:rsidRPr="00932644">
        <w:rPr>
          <w:rStyle w:val="Lienhypertexte"/>
          <w:lang w:val="pt-BR"/>
        </w:rPr>
        <w:t>,</w:t>
      </w:r>
      <w:r w:rsidRPr="00932644">
        <w:rPr>
          <w:rStyle w:val="Lienhypertexte"/>
          <w:u w:val="none"/>
          <w:lang w:val="pt-BR"/>
        </w:rPr>
        <w:t xml:space="preserve"> </w:t>
      </w:r>
      <w:hyperlink r:id="rId98" w:history="1">
        <w:r w:rsidRPr="00932644">
          <w:rPr>
            <w:rStyle w:val="Lienhypertexte"/>
            <w:lang w:val="pt-BR"/>
          </w:rPr>
          <w:t>13.COM 17</w:t>
        </w:r>
      </w:hyperlink>
      <w:r w:rsidRPr="00932644">
        <w:rPr>
          <w:u w:val="none"/>
          <w:lang w:val="pt-BR"/>
        </w:rPr>
        <w:t xml:space="preserve">, </w:t>
      </w:r>
      <w:hyperlink r:id="rId99" w:history="1">
        <w:r w:rsidRPr="00932644">
          <w:rPr>
            <w:rStyle w:val="Lienhypertexte"/>
            <w:lang w:val="pt-BR"/>
          </w:rPr>
          <w:t>12.COM 16</w:t>
        </w:r>
      </w:hyperlink>
      <w:r w:rsidRPr="00932644">
        <w:rPr>
          <w:rStyle w:val="Lienhypertexte"/>
          <w:color w:val="auto"/>
          <w:u w:val="none"/>
          <w:lang w:val="pt-BR"/>
        </w:rPr>
        <w:t xml:space="preserve"> </w:t>
      </w:r>
      <w:r w:rsidRPr="00932644">
        <w:rPr>
          <w:u w:val="none"/>
          <w:lang w:val="pt-BR"/>
        </w:rPr>
        <w:t xml:space="preserve">y </w:t>
      </w:r>
      <w:proofErr w:type="spellStart"/>
      <w:r w:rsidR="003504C0" w:rsidRPr="00932644">
        <w:rPr>
          <w:u w:val="none"/>
          <w:lang w:val="pt-BR"/>
        </w:rPr>
        <w:t>las</w:t>
      </w:r>
      <w:proofErr w:type="spellEnd"/>
      <w:r w:rsidR="003504C0" w:rsidRPr="00932644">
        <w:rPr>
          <w:u w:val="none"/>
          <w:lang w:val="pt-BR"/>
        </w:rPr>
        <w:t xml:space="preserve"> </w:t>
      </w:r>
      <w:proofErr w:type="spellStart"/>
      <w:r w:rsidRPr="00932644">
        <w:rPr>
          <w:u w:val="none"/>
          <w:lang w:val="pt-BR"/>
        </w:rPr>
        <w:t>Resoluciones</w:t>
      </w:r>
      <w:proofErr w:type="spellEnd"/>
      <w:r w:rsidRPr="00932644">
        <w:rPr>
          <w:u w:val="none"/>
          <w:lang w:val="pt-BR"/>
        </w:rPr>
        <w:t xml:space="preserve"> </w:t>
      </w:r>
      <w:hyperlink r:id="rId100" w:history="1">
        <w:r w:rsidRPr="00932644">
          <w:rPr>
            <w:rStyle w:val="Lienhypertexte"/>
            <w:lang w:val="pt-BR"/>
          </w:rPr>
          <w:t>7.GA 12</w:t>
        </w:r>
      </w:hyperlink>
      <w:r w:rsidRPr="00932644">
        <w:rPr>
          <w:u w:val="none"/>
          <w:lang w:val="pt-BR"/>
        </w:rPr>
        <w:t xml:space="preserve">, </w:t>
      </w:r>
      <w:hyperlink r:id="rId101" w:history="1">
        <w:r w:rsidRPr="00932644">
          <w:rPr>
            <w:rStyle w:val="Lienhypertexte"/>
            <w:lang w:val="pt-BR"/>
          </w:rPr>
          <w:t>7.GA 13</w:t>
        </w:r>
      </w:hyperlink>
      <w:r w:rsidRPr="00932644">
        <w:rPr>
          <w:u w:val="none"/>
          <w:lang w:val="pt-BR"/>
        </w:rPr>
        <w:t xml:space="preserve"> y </w:t>
      </w:r>
      <w:hyperlink r:id="rId102" w:history="1">
        <w:r w:rsidRPr="00932644">
          <w:rPr>
            <w:rStyle w:val="Lienhypertexte"/>
            <w:lang w:val="pt-BR"/>
          </w:rPr>
          <w:t>6.GA 11</w:t>
        </w:r>
      </w:hyperlink>
      <w:r w:rsidRPr="00932644">
        <w:rPr>
          <w:u w:val="none"/>
          <w:lang w:val="pt-BR"/>
        </w:rPr>
        <w:t>,</w:t>
      </w:r>
    </w:p>
    <w:p w14:paraId="1D274C8B" w14:textId="2EFDCFBA" w:rsidR="001177D3" w:rsidRPr="00932644" w:rsidRDefault="001177D3" w:rsidP="00AE7239">
      <w:pPr>
        <w:pStyle w:val="COMParaDecision"/>
        <w:numPr>
          <w:ilvl w:val="0"/>
          <w:numId w:val="4"/>
        </w:numPr>
        <w:ind w:left="567" w:hanging="567"/>
        <w:rPr>
          <w:lang w:val="es-419"/>
        </w:rPr>
      </w:pPr>
      <w:r w:rsidRPr="00932644">
        <w:rPr>
          <w:lang w:val="es-419"/>
        </w:rPr>
        <w:t>Recordando además</w:t>
      </w:r>
      <w:r w:rsidRPr="00932644">
        <w:rPr>
          <w:u w:val="none"/>
          <w:lang w:val="es-419"/>
        </w:rPr>
        <w:t xml:space="preserve"> </w:t>
      </w:r>
      <w:r w:rsidR="00314EBD" w:rsidRPr="00932644">
        <w:rPr>
          <w:u w:val="none"/>
          <w:lang w:val="es-419"/>
        </w:rPr>
        <w:t xml:space="preserve">la </w:t>
      </w:r>
      <w:r w:rsidR="003504C0" w:rsidRPr="00932644">
        <w:rPr>
          <w:u w:val="none"/>
          <w:lang w:val="es-419"/>
        </w:rPr>
        <w:t xml:space="preserve">Resolución </w:t>
      </w:r>
      <w:hyperlink r:id="rId103" w:history="1">
        <w:r w:rsidR="003504C0" w:rsidRPr="00932644">
          <w:rPr>
            <w:rStyle w:val="Lienhypertexte"/>
            <w:lang w:val="es-419"/>
          </w:rPr>
          <w:t>39 C/87</w:t>
        </w:r>
      </w:hyperlink>
      <w:r w:rsidR="005F5C6E" w:rsidRPr="00932644">
        <w:rPr>
          <w:rStyle w:val="Lienhypertexte"/>
          <w:u w:val="none"/>
          <w:lang w:val="es-419"/>
        </w:rPr>
        <w:t xml:space="preserve"> </w:t>
      </w:r>
      <w:r w:rsidR="003504C0" w:rsidRPr="00932644">
        <w:rPr>
          <w:rStyle w:val="Lienhypertexte"/>
          <w:color w:val="auto"/>
          <w:u w:val="none"/>
          <w:lang w:val="es-419"/>
        </w:rPr>
        <w:t>y</w:t>
      </w:r>
      <w:r w:rsidR="003504C0" w:rsidRPr="00932644">
        <w:rPr>
          <w:rStyle w:val="Lienhypertexte"/>
          <w:u w:val="none"/>
          <w:lang w:val="es-419"/>
        </w:rPr>
        <w:t xml:space="preserve"> </w:t>
      </w:r>
      <w:r w:rsidR="005F5C6E" w:rsidRPr="00932644">
        <w:rPr>
          <w:u w:val="none"/>
          <w:lang w:val="es-419"/>
        </w:rPr>
        <w:t xml:space="preserve">Resolución </w:t>
      </w:r>
      <w:hyperlink r:id="rId104" w:history="1">
        <w:r w:rsidRPr="00932644">
          <w:rPr>
            <w:rStyle w:val="Lienhypertexte"/>
            <w:lang w:val="es-419"/>
          </w:rPr>
          <w:t>38</w:t>
        </w:r>
        <w:r w:rsidR="005F5C6E" w:rsidRPr="00932644">
          <w:rPr>
            <w:rStyle w:val="Lienhypertexte"/>
            <w:lang w:val="es-419"/>
          </w:rPr>
          <w:t xml:space="preserve"> </w:t>
        </w:r>
        <w:r w:rsidRPr="00932644">
          <w:rPr>
            <w:rStyle w:val="Lienhypertexte"/>
            <w:lang w:val="es-419"/>
          </w:rPr>
          <w:t>C/101</w:t>
        </w:r>
      </w:hyperlink>
      <w:r w:rsidRPr="00932644">
        <w:rPr>
          <w:u w:val="none"/>
          <w:lang w:val="es-419"/>
        </w:rPr>
        <w:t>,</w:t>
      </w:r>
    </w:p>
    <w:p w14:paraId="07B03CA1" w14:textId="51C17373" w:rsidR="001177D3" w:rsidRPr="00932644" w:rsidRDefault="001177D3" w:rsidP="00AE7239">
      <w:pPr>
        <w:pStyle w:val="COMParaDecision"/>
        <w:numPr>
          <w:ilvl w:val="0"/>
          <w:numId w:val="4"/>
        </w:numPr>
        <w:ind w:left="567" w:hanging="567"/>
        <w:rPr>
          <w:lang w:val="es-419"/>
        </w:rPr>
      </w:pPr>
      <w:r w:rsidRPr="00932644">
        <w:rPr>
          <w:lang w:val="es-419"/>
        </w:rPr>
        <w:t>Alienta</w:t>
      </w:r>
      <w:r w:rsidRPr="00932644">
        <w:rPr>
          <w:u w:val="none"/>
          <w:lang w:val="es-419"/>
        </w:rPr>
        <w:t xml:space="preserve"> al sector de cultura a que prosiga sus esfuerzos, cuando proceda, para armonizar los reglamentos de los órganos rectores de las </w:t>
      </w:r>
      <w:r w:rsidR="00121B1C" w:rsidRPr="00932644">
        <w:rPr>
          <w:u w:val="none"/>
          <w:lang w:val="es-419"/>
        </w:rPr>
        <w:t>C</w:t>
      </w:r>
      <w:r w:rsidRPr="00932644">
        <w:rPr>
          <w:u w:val="none"/>
          <w:lang w:val="es-419"/>
        </w:rPr>
        <w:t>onvenciones</w:t>
      </w:r>
      <w:r w:rsidR="00121B1C" w:rsidRPr="00932644">
        <w:rPr>
          <w:u w:val="none"/>
          <w:lang w:val="es-419"/>
        </w:rPr>
        <w:t xml:space="preserve"> de la</w:t>
      </w:r>
      <w:r w:rsidRPr="00932644">
        <w:rPr>
          <w:u w:val="none"/>
          <w:lang w:val="es-419"/>
        </w:rPr>
        <w:t xml:space="preserve"> </w:t>
      </w:r>
      <w:r w:rsidR="00121B1C" w:rsidRPr="00932644">
        <w:rPr>
          <w:u w:val="none"/>
          <w:lang w:val="es-419"/>
        </w:rPr>
        <w:t xml:space="preserve">UNESCO en el ámbito de la </w:t>
      </w:r>
      <w:r w:rsidRPr="00932644">
        <w:rPr>
          <w:u w:val="none"/>
          <w:lang w:val="es-419"/>
        </w:rPr>
        <w:t xml:space="preserve">cultura, de conformidad con la </w:t>
      </w:r>
      <w:hyperlink r:id="rId105" w:history="1">
        <w:r w:rsidRPr="00932644">
          <w:rPr>
            <w:rStyle w:val="Lienhypertexte"/>
            <w:lang w:val="es-419"/>
          </w:rPr>
          <w:t>Resolución 7.GA 13</w:t>
        </w:r>
      </w:hyperlink>
      <w:r w:rsidRPr="00932644">
        <w:rPr>
          <w:u w:val="none"/>
          <w:lang w:val="es-419"/>
        </w:rPr>
        <w:t>;</w:t>
      </w:r>
    </w:p>
    <w:p w14:paraId="0F128E95" w14:textId="476B42E2" w:rsidR="001177D3" w:rsidRPr="00932644" w:rsidRDefault="001177D3" w:rsidP="00AE7239">
      <w:pPr>
        <w:pStyle w:val="COMParaDecision"/>
        <w:numPr>
          <w:ilvl w:val="0"/>
          <w:numId w:val="4"/>
        </w:numPr>
        <w:ind w:left="567" w:hanging="567"/>
        <w:rPr>
          <w:lang w:val="es-419"/>
        </w:rPr>
      </w:pPr>
      <w:r w:rsidRPr="00932644">
        <w:rPr>
          <w:lang w:val="es-419"/>
        </w:rPr>
        <w:t>Considera</w:t>
      </w:r>
      <w:r w:rsidRPr="00932644">
        <w:rPr>
          <w:u w:val="none"/>
          <w:lang w:val="es-419"/>
        </w:rPr>
        <w:t xml:space="preserve"> que se ha avanzado suficientemente en el seguimiento de la aplicación de las recomendaciones pertinentes del Grupo de Trabajo de composición abierta sobre la gobernanza, los procedimientos y los métodos de trabajo de los órganos rectores de la UNESCO que requieren la atención de la Asamblea General y </w:t>
      </w:r>
      <w:r w:rsidR="00742E92" w:rsidRPr="00932644">
        <w:rPr>
          <w:lang w:val="es-419"/>
        </w:rPr>
        <w:t>solicita</w:t>
      </w:r>
      <w:r w:rsidR="00742E92" w:rsidRPr="00932644">
        <w:rPr>
          <w:u w:val="none"/>
          <w:lang w:val="es-419"/>
        </w:rPr>
        <w:t xml:space="preserve"> </w:t>
      </w:r>
      <w:r w:rsidRPr="00932644">
        <w:rPr>
          <w:u w:val="none"/>
          <w:lang w:val="es-419"/>
        </w:rPr>
        <w:t>que la Secretaría siga informando, cuando sea necesario, sobre los nuevos progresos realizados en relación con la situación de las recomendaciones.</w:t>
      </w:r>
    </w:p>
    <w:p w14:paraId="134A8A29" w14:textId="77777777" w:rsidR="00314EBD" w:rsidRPr="00932644" w:rsidRDefault="00314EBD" w:rsidP="001D2C04">
      <w:pPr>
        <w:pStyle w:val="GAParaResolution"/>
        <w:ind w:left="567" w:hanging="567"/>
        <w:rPr>
          <w:u w:val="none"/>
          <w:lang w:val="es-419"/>
        </w:rPr>
      </w:pPr>
      <w:r w:rsidRPr="00932644">
        <w:rPr>
          <w:lang w:val="es-419"/>
        </w:rPr>
        <w:t>Invita</w:t>
      </w:r>
      <w:r w:rsidRPr="00932644">
        <w:rPr>
          <w:u w:val="none"/>
          <w:lang w:val="es-419"/>
        </w:rPr>
        <w:t xml:space="preserve"> a la Secretaría a presentar a la Asamblea General, en su próxima reunión, un nuevo proyecto de versión consolidada del Reglamento, teniendo en cuenta la necesidad de armonizar la terminología y las disposiciones técnicas del Reglamento de la Asamblea General de la Convención de 2003 con los respectivos Reglamentos de las demás Convenciones de la UNESCO en el ámbito de la cultura.</w:t>
      </w:r>
    </w:p>
    <w:p w14:paraId="45221FE9" w14:textId="2EFF3209" w:rsidR="00D004D7" w:rsidRPr="00932644" w:rsidRDefault="00D004D7" w:rsidP="00D004D7">
      <w:pPr>
        <w:pStyle w:val="GAParaResolution"/>
        <w:numPr>
          <w:ilvl w:val="0"/>
          <w:numId w:val="0"/>
        </w:numPr>
        <w:ind w:left="1070"/>
        <w:rPr>
          <w:u w:val="none"/>
          <w:lang w:val="es-419"/>
        </w:rPr>
      </w:pPr>
      <w:r w:rsidRPr="00932644">
        <w:rPr>
          <w:u w:val="none"/>
          <w:lang w:val="es-419"/>
        </w:rPr>
        <w:br w:type="page"/>
      </w:r>
    </w:p>
    <w:p w14:paraId="252E02B4" w14:textId="77777777" w:rsidR="00D004D7" w:rsidRPr="00932644" w:rsidRDefault="00D004D7">
      <w:pPr>
        <w:spacing w:before="100" w:beforeAutospacing="1" w:after="240"/>
        <w:jc w:val="both"/>
        <w:rPr>
          <w:rFonts w:ascii="Arial" w:eastAsiaTheme="minorHAnsi" w:hAnsi="Arial" w:cs="Arial"/>
          <w:b/>
          <w:bCs/>
          <w:sz w:val="22"/>
          <w:szCs w:val="22"/>
          <w:lang w:val="es-ES_tradnl"/>
        </w:rPr>
      </w:pPr>
      <w:r w:rsidRPr="00932644">
        <w:rPr>
          <w:rFonts w:ascii="Arial" w:eastAsiaTheme="minorHAnsi" w:hAnsi="Arial" w:cs="Arial"/>
          <w:b/>
          <w:bCs/>
          <w:sz w:val="22"/>
          <w:szCs w:val="22"/>
          <w:lang w:val="es-ES_tradnl"/>
        </w:rPr>
        <w:lastRenderedPageBreak/>
        <w:t>DECLARACIÓN SOBRE BEIRUT DE LA OCTAVA REUNIÓN DE LA ASAMBLEA GENERAL DE LOS ESTADOS PARTES EN LA CONVENCIÓN PARA LA SALVAGUARDIA DEL PATRIMONIO CULTURAL INMATERIAL</w:t>
      </w:r>
    </w:p>
    <w:p w14:paraId="712A6C55" w14:textId="2F9DC238" w:rsidR="00D004D7" w:rsidRPr="00932644" w:rsidRDefault="00D004D7" w:rsidP="00D004D7">
      <w:pPr>
        <w:numPr>
          <w:ilvl w:val="0"/>
          <w:numId w:val="80"/>
        </w:numPr>
        <w:spacing w:before="100" w:beforeAutospacing="1" w:after="120" w:line="252" w:lineRule="auto"/>
        <w:ind w:left="427" w:hanging="427"/>
        <w:jc w:val="both"/>
        <w:rPr>
          <w:rFonts w:ascii="Arial" w:eastAsiaTheme="minorHAnsi" w:hAnsi="Arial" w:cs="Arial"/>
          <w:sz w:val="22"/>
          <w:szCs w:val="22"/>
          <w:lang w:val="es-ES_tradnl"/>
        </w:rPr>
      </w:pPr>
      <w:r w:rsidRPr="00932644">
        <w:rPr>
          <w:rFonts w:ascii="Arial" w:eastAsiaTheme="minorHAnsi" w:hAnsi="Arial" w:cs="Arial"/>
          <w:sz w:val="22"/>
          <w:szCs w:val="22"/>
          <w:lang w:val="es-ES_tradnl"/>
        </w:rPr>
        <w:t xml:space="preserve">Tras las trágicas explosiones ocurridas en Beirut en agosto de este año, la octava reunión de la Asamblea General de la Convención de 2003 para la Salvaguardia del Patrimonio Cultural Inmaterial (8 al 10 de septiembre de 2020, París, </w:t>
      </w:r>
      <w:r w:rsidR="00741339" w:rsidRPr="00932644">
        <w:rPr>
          <w:rFonts w:ascii="Arial" w:eastAsiaTheme="minorHAnsi" w:hAnsi="Arial" w:cs="Arial"/>
          <w:sz w:val="22"/>
          <w:szCs w:val="22"/>
          <w:lang w:val="es-ES_tradnl"/>
        </w:rPr>
        <w:t>s</w:t>
      </w:r>
      <w:r w:rsidRPr="00932644">
        <w:rPr>
          <w:rFonts w:ascii="Arial" w:eastAsiaTheme="minorHAnsi" w:hAnsi="Arial" w:cs="Arial"/>
          <w:sz w:val="22"/>
          <w:szCs w:val="22"/>
          <w:lang w:val="es-ES_tradnl"/>
        </w:rPr>
        <w:t xml:space="preserve">ede de la UNESCO) expresa nuestra más profunda solidaridad con </w:t>
      </w:r>
      <w:r w:rsidR="00AC65C8" w:rsidRPr="00932644">
        <w:rPr>
          <w:rFonts w:ascii="Arial" w:eastAsiaTheme="minorHAnsi" w:hAnsi="Arial" w:cs="Arial"/>
          <w:sz w:val="22"/>
          <w:szCs w:val="22"/>
          <w:lang w:val="es-ES_tradnl"/>
        </w:rPr>
        <w:t>el Líbano, su pueblo</w:t>
      </w:r>
      <w:r w:rsidRPr="00932644">
        <w:rPr>
          <w:rFonts w:ascii="Arial" w:eastAsiaTheme="minorHAnsi" w:hAnsi="Arial" w:cs="Arial"/>
          <w:sz w:val="22"/>
          <w:szCs w:val="22"/>
          <w:lang w:val="es-ES_tradnl"/>
        </w:rPr>
        <w:t xml:space="preserve">, </w:t>
      </w:r>
      <w:r w:rsidR="00AC65C8" w:rsidRPr="00932644">
        <w:rPr>
          <w:rFonts w:ascii="Arial" w:eastAsiaTheme="minorHAnsi" w:hAnsi="Arial" w:cs="Arial"/>
          <w:sz w:val="22"/>
          <w:szCs w:val="22"/>
          <w:lang w:val="es-ES_tradnl"/>
        </w:rPr>
        <w:t xml:space="preserve">y </w:t>
      </w:r>
      <w:r w:rsidRPr="00932644">
        <w:rPr>
          <w:rFonts w:ascii="Arial" w:eastAsiaTheme="minorHAnsi" w:hAnsi="Arial" w:cs="Arial"/>
          <w:sz w:val="22"/>
          <w:szCs w:val="22"/>
          <w:lang w:val="es-ES_tradnl"/>
        </w:rPr>
        <w:t>especialmente, con los portadores de sus tradiciones culturales, y las personas e instituciones que hoy se encuentran al frente de la reconstrucción cultural de Beirut.</w:t>
      </w:r>
    </w:p>
    <w:p w14:paraId="038AFAE2" w14:textId="77777777" w:rsidR="00D004D7" w:rsidRPr="00932644" w:rsidRDefault="00D004D7" w:rsidP="00D004D7">
      <w:pPr>
        <w:numPr>
          <w:ilvl w:val="0"/>
          <w:numId w:val="80"/>
        </w:numPr>
        <w:spacing w:before="100" w:beforeAutospacing="1" w:after="120" w:line="252" w:lineRule="auto"/>
        <w:ind w:left="446" w:hanging="446"/>
        <w:jc w:val="both"/>
        <w:rPr>
          <w:rFonts w:ascii="Arial" w:eastAsiaTheme="minorHAnsi" w:hAnsi="Arial" w:cs="Arial"/>
          <w:sz w:val="22"/>
          <w:szCs w:val="22"/>
          <w:lang w:val="es-ES_tradnl"/>
        </w:rPr>
      </w:pPr>
      <w:r w:rsidRPr="00932644">
        <w:rPr>
          <w:rFonts w:ascii="Arial" w:eastAsiaTheme="minorHAnsi" w:hAnsi="Arial" w:cs="Arial"/>
          <w:sz w:val="22"/>
          <w:szCs w:val="22"/>
          <w:lang w:val="es-ES_tradnl"/>
        </w:rPr>
        <w:t>Reconocemos la enorme riqueza del patrimonio cultural inmaterial de Beirut, que hace de esta ciudad un centro cultural vibrante, donde se reúnen diversidad de conocimientos, saberes, tradiciones, oficios, gastronomías, técnicas artesanales, tradiciones arquitectónicas y expresiones artísticas que enriquecen a toda la humanidad.</w:t>
      </w:r>
    </w:p>
    <w:p w14:paraId="05C76947" w14:textId="06328620" w:rsidR="00D004D7" w:rsidRPr="00932644" w:rsidRDefault="00D004D7" w:rsidP="00D004D7">
      <w:pPr>
        <w:numPr>
          <w:ilvl w:val="0"/>
          <w:numId w:val="80"/>
        </w:numPr>
        <w:spacing w:before="100" w:beforeAutospacing="1" w:after="120" w:line="252" w:lineRule="auto"/>
        <w:ind w:left="446" w:hanging="446"/>
        <w:jc w:val="both"/>
        <w:rPr>
          <w:rFonts w:ascii="Arial" w:eastAsiaTheme="minorHAnsi" w:hAnsi="Arial" w:cs="Arial"/>
          <w:sz w:val="22"/>
          <w:szCs w:val="22"/>
          <w:lang w:val="es-ES_tradnl"/>
        </w:rPr>
      </w:pPr>
      <w:r w:rsidRPr="00932644">
        <w:rPr>
          <w:rFonts w:ascii="Arial" w:eastAsiaTheme="minorHAnsi" w:hAnsi="Arial" w:cs="Arial"/>
          <w:sz w:val="22"/>
          <w:szCs w:val="22"/>
          <w:lang w:val="es-ES_tradnl"/>
        </w:rPr>
        <w:t>Apoyamos plenamente la iniciativa "Li-Beirut" en el marco de la Convención de 2003, para que reciba atención de sus mecanismos y programas, especialmente aquellos dirigidos a salvaguardar el patrimonio cultural inmaterial en situaciones de emergencia.</w:t>
      </w:r>
    </w:p>
    <w:p w14:paraId="2D6095CF" w14:textId="77777777" w:rsidR="00D004D7" w:rsidRPr="00932644" w:rsidRDefault="00D004D7" w:rsidP="00D2498F">
      <w:pPr>
        <w:pStyle w:val="GAParaResolution"/>
        <w:numPr>
          <w:ilvl w:val="0"/>
          <w:numId w:val="80"/>
        </w:numPr>
        <w:ind w:left="426" w:hanging="426"/>
        <w:rPr>
          <w:u w:val="none"/>
          <w:lang w:val="es-419"/>
        </w:rPr>
      </w:pPr>
      <w:r w:rsidRPr="00932644">
        <w:rPr>
          <w:rFonts w:eastAsiaTheme="minorHAnsi"/>
          <w:u w:val="none"/>
          <w:lang w:val="es-ES_tradnl"/>
        </w:rPr>
        <w:t>Con la solidaridad y la cooperación convocadas por nuestra Convención y por todos nosotros, Beirut será prueba de cómo la fuerza del patrimonio vivo es una fuente ilimitada de resiliencia que contribuye a la reconstrucción de nuestras sociedades.</w:t>
      </w:r>
    </w:p>
    <w:p w14:paraId="28068A2D" w14:textId="77777777" w:rsidR="00742E92" w:rsidRPr="00D2498F" w:rsidRDefault="00742E92">
      <w:pPr>
        <w:pStyle w:val="GATitleResolution"/>
        <w:rPr>
          <w:lang w:val="es-419"/>
        </w:rPr>
      </w:pPr>
    </w:p>
    <w:sectPr w:rsidR="00742E92" w:rsidRPr="00D2498F" w:rsidSect="00010ABD">
      <w:headerReference w:type="first" r:id="rId106"/>
      <w:pgSz w:w="11906" w:h="16838" w:code="9"/>
      <w:pgMar w:top="1418" w:right="1133"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74E3A" w14:textId="77777777" w:rsidR="004532DE" w:rsidRDefault="004532DE" w:rsidP="00655736">
      <w:r>
        <w:separator/>
      </w:r>
    </w:p>
  </w:endnote>
  <w:endnote w:type="continuationSeparator" w:id="0">
    <w:p w14:paraId="46D8871B" w14:textId="77777777" w:rsidR="004532DE" w:rsidRDefault="004532D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D539" w14:textId="77777777" w:rsidR="004532DE" w:rsidRDefault="004532DE" w:rsidP="00655736">
      <w:r>
        <w:separator/>
      </w:r>
    </w:p>
  </w:footnote>
  <w:footnote w:type="continuationSeparator" w:id="0">
    <w:p w14:paraId="369DA1DF" w14:textId="77777777" w:rsidR="004532DE" w:rsidRDefault="004532DE" w:rsidP="00655736">
      <w:r>
        <w:continuationSeparator/>
      </w:r>
    </w:p>
  </w:footnote>
  <w:footnote w:id="1">
    <w:p w14:paraId="2448637C" w14:textId="77777777" w:rsidR="004532DE" w:rsidRPr="00861C02" w:rsidRDefault="004532DE" w:rsidP="009E1BB7">
      <w:pPr>
        <w:pStyle w:val="Notedebasdepage"/>
        <w:tabs>
          <w:tab w:val="left" w:pos="475"/>
          <w:tab w:val="left" w:pos="540"/>
        </w:tabs>
        <w:ind w:left="450" w:hanging="450"/>
        <w:jc w:val="both"/>
        <w:rPr>
          <w:rFonts w:asciiTheme="minorBidi" w:hAnsiTheme="minorBidi" w:cstheme="minorBidi"/>
          <w:sz w:val="18"/>
          <w:szCs w:val="18"/>
        </w:rPr>
      </w:pPr>
      <w:r w:rsidRPr="00861C02">
        <w:rPr>
          <w:rFonts w:asciiTheme="minorBidi" w:hAnsiTheme="minorBidi" w:cstheme="minorBidi"/>
          <w:sz w:val="18"/>
          <w:szCs w:val="18"/>
        </w:rPr>
        <w:footnoteRef/>
      </w:r>
      <w:r w:rsidRPr="00861C02">
        <w:rPr>
          <w:rFonts w:asciiTheme="minorBidi" w:hAnsiTheme="minorBidi" w:cstheme="minorBidi"/>
          <w:sz w:val="18"/>
        </w:rPr>
        <w:t>.</w:t>
      </w:r>
      <w:r w:rsidRPr="00861C02">
        <w:rPr>
          <w:rFonts w:asciiTheme="minorBidi" w:hAnsiTheme="minorBidi" w:cstheme="minorBidi"/>
          <w:sz w:val="18"/>
        </w:rPr>
        <w:tab/>
        <w:t>Los porcentajes se aplican al saldo del Fondo en fecha del 31 de diciembre de 2019. Este saldo no incluye el Fondo de Reserva (1 millón de dólares estadounidenses).</w:t>
      </w:r>
    </w:p>
  </w:footnote>
  <w:footnote w:id="2">
    <w:p w14:paraId="081D490B" w14:textId="1C185598" w:rsidR="004532DE" w:rsidRDefault="004532DE" w:rsidP="00895992">
      <w:pPr>
        <w:pStyle w:val="Notedebasdepage"/>
        <w:tabs>
          <w:tab w:val="left" w:pos="567"/>
        </w:tabs>
        <w:rPr>
          <w:rFonts w:ascii="Arial" w:hAnsi="Arial" w:cs="Arial"/>
          <w:sz w:val="18"/>
          <w:szCs w:val="18"/>
        </w:rPr>
      </w:pPr>
      <w:r w:rsidRPr="001D2C04">
        <w:rPr>
          <w:rStyle w:val="Appelnotedebasdep"/>
          <w:rFonts w:ascii="Arial" w:eastAsia="MS Mincho" w:hAnsi="Arial" w:cs="Arial"/>
          <w:sz w:val="18"/>
          <w:szCs w:val="18"/>
          <w:vertAlign w:val="baseline"/>
        </w:rPr>
        <w:footnoteRef/>
      </w:r>
      <w:r>
        <w:rPr>
          <w:rFonts w:ascii="Arial" w:hAnsi="Arial"/>
          <w:sz w:val="18"/>
          <w:szCs w:val="18"/>
        </w:rPr>
        <w:t>.</w:t>
      </w:r>
      <w:r>
        <w:rPr>
          <w:rFonts w:ascii="Arial" w:hAnsi="Arial"/>
          <w:sz w:val="18"/>
          <w:szCs w:val="18"/>
        </w:rPr>
        <w:tab/>
      </w:r>
      <w:hyperlink r:id="rId1" w:history="1">
        <w:r>
          <w:rPr>
            <w:rStyle w:val="Lienhypertexte"/>
            <w:rFonts w:ascii="Arial" w:hAnsi="Arial"/>
            <w:sz w:val="18"/>
            <w:szCs w:val="18"/>
          </w:rPr>
          <w:t>https://unesdoc.unesco.org/ark:/48223/pf0000235186_spa</w:t>
        </w:r>
      </w:hyperlink>
    </w:p>
  </w:footnote>
  <w:footnote w:id="3">
    <w:p w14:paraId="6687D8ED" w14:textId="6C98619D" w:rsidR="004532DE" w:rsidRPr="00313948" w:rsidRDefault="004532DE" w:rsidP="00895992">
      <w:pPr>
        <w:pStyle w:val="Notedebasdepage"/>
        <w:tabs>
          <w:tab w:val="left" w:pos="567"/>
        </w:tabs>
        <w:rPr>
          <w:rFonts w:ascii="Arial" w:hAnsi="Arial" w:cs="Arial"/>
          <w:sz w:val="18"/>
          <w:szCs w:val="18"/>
        </w:rPr>
      </w:pPr>
      <w:r w:rsidRPr="001D2C04">
        <w:rPr>
          <w:rStyle w:val="Appelnotedebasdep"/>
          <w:rFonts w:ascii="Arial" w:eastAsia="MS Mincho" w:hAnsi="Arial" w:cs="Arial"/>
          <w:sz w:val="18"/>
          <w:szCs w:val="18"/>
          <w:vertAlign w:val="baseline"/>
        </w:rPr>
        <w:footnoteRef/>
      </w:r>
      <w:r w:rsidRPr="00313948">
        <w:rPr>
          <w:rFonts w:ascii="Arial" w:hAnsi="Arial"/>
          <w:sz w:val="18"/>
          <w:szCs w:val="18"/>
        </w:rPr>
        <w:t>.</w:t>
      </w:r>
      <w:r>
        <w:rPr>
          <w:rFonts w:ascii="Arial" w:hAnsi="Arial"/>
          <w:sz w:val="18"/>
          <w:szCs w:val="18"/>
        </w:rPr>
        <w:tab/>
      </w:r>
      <w:hyperlink r:id="rId2" w:history="1">
        <w:r w:rsidRPr="00313948">
          <w:rPr>
            <w:rStyle w:val="Lienhypertexte"/>
            <w:rFonts w:ascii="Arial" w:hAnsi="Arial"/>
            <w:sz w:val="18"/>
            <w:szCs w:val="18"/>
          </w:rPr>
          <w:t>https://unesdoc.unesco.org/ark:/48223/pf0000259805_spa</w:t>
        </w:r>
      </w:hyperlink>
    </w:p>
  </w:footnote>
  <w:footnote w:id="4">
    <w:p w14:paraId="0499E334" w14:textId="60DA7C34" w:rsidR="004532DE" w:rsidRDefault="004532DE" w:rsidP="00895992">
      <w:pPr>
        <w:pStyle w:val="Notedebasdepage"/>
        <w:tabs>
          <w:tab w:val="left" w:pos="567"/>
        </w:tabs>
        <w:rPr>
          <w:rFonts w:ascii="Arial" w:hAnsi="Arial" w:cs="Arial"/>
          <w:sz w:val="18"/>
          <w:szCs w:val="18"/>
        </w:rPr>
      </w:pPr>
      <w:r w:rsidRPr="001D2C04">
        <w:rPr>
          <w:rStyle w:val="Appelnotedebasdep"/>
          <w:rFonts w:ascii="Arial" w:eastAsia="MS Mincho" w:hAnsi="Arial" w:cs="Arial"/>
          <w:sz w:val="18"/>
          <w:szCs w:val="18"/>
          <w:vertAlign w:val="baseline"/>
        </w:rPr>
        <w:footnoteRef/>
      </w:r>
      <w:r w:rsidRPr="00313948">
        <w:rPr>
          <w:rFonts w:ascii="Arial" w:hAnsi="Arial"/>
          <w:sz w:val="18"/>
          <w:szCs w:val="18"/>
        </w:rPr>
        <w:t>.</w:t>
      </w:r>
      <w:r w:rsidRPr="00313948">
        <w:rPr>
          <w:rFonts w:ascii="Arial" w:hAnsi="Arial"/>
          <w:sz w:val="18"/>
          <w:szCs w:val="18"/>
        </w:rPr>
        <w:tab/>
      </w:r>
      <w:hyperlink r:id="rId3" w:history="1">
        <w:r w:rsidRPr="001D2C04">
          <w:rPr>
            <w:rStyle w:val="Lienhypertexte"/>
            <w:rFonts w:ascii="Arial" w:hAnsi="Arial"/>
            <w:sz w:val="18"/>
            <w:szCs w:val="18"/>
          </w:rPr>
          <w:t>https://ich.unesco.org/doc/src/ICH-Operational_Directives-7.GA-ES.docx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D9DB" w14:textId="6E796222" w:rsidR="004532DE" w:rsidRPr="002038EE" w:rsidRDefault="004532DE" w:rsidP="002038EE">
    <w:pPr>
      <w:pStyle w:val="En-tte"/>
      <w:rPr>
        <w:rFonts w:ascii="Arial" w:hAnsi="Arial" w:cs="Arial"/>
      </w:rPr>
    </w:pPr>
    <w:r>
      <w:rPr>
        <w:rFonts w:ascii="Arial" w:hAnsi="Arial"/>
        <w:sz w:val="20"/>
        <w:szCs w:val="20"/>
      </w:rPr>
      <w:t>LHE/20/8.GA/</w:t>
    </w:r>
    <w:r w:rsidRPr="00D70BE7">
      <w:rPr>
        <w:rFonts w:ascii="Arial" w:hAnsi="Arial"/>
        <w:sz w:val="20"/>
        <w:szCs w:val="20"/>
      </w:rPr>
      <w:t>R</w:t>
    </w:r>
    <w:r>
      <w:rPr>
        <w:rFonts w:ascii="Arial" w:hAnsi="Arial"/>
        <w:sz w:val="20"/>
        <w:szCs w:val="20"/>
      </w:rPr>
      <w:t>e</w:t>
    </w:r>
    <w:r w:rsidRPr="00D70BE7">
      <w:rPr>
        <w:rFonts w:ascii="Arial" w:hAnsi="Arial"/>
        <w:sz w:val="20"/>
        <w:szCs w:val="20"/>
      </w:rPr>
      <w:t>solu</w:t>
    </w:r>
    <w:r>
      <w:rPr>
        <w:rFonts w:ascii="Arial" w:hAnsi="Arial"/>
        <w:sz w:val="20"/>
        <w:szCs w:val="20"/>
      </w:rPr>
      <w:t>c</w:t>
    </w:r>
    <w:r w:rsidRPr="00D70BE7">
      <w:rPr>
        <w:rFonts w:ascii="Arial" w:hAnsi="Arial"/>
        <w:sz w:val="20"/>
        <w:szCs w:val="20"/>
      </w:rPr>
      <w:t>ion</w:t>
    </w:r>
    <w:r>
      <w:rPr>
        <w:rFonts w:ascii="Arial" w:hAnsi="Arial"/>
        <w:sz w:val="20"/>
        <w:szCs w:val="20"/>
      </w:rPr>
      <w:t>e</w:t>
    </w:r>
    <w:r w:rsidRPr="00D70BE7">
      <w:rPr>
        <w:rFonts w:ascii="Arial" w:hAnsi="Arial"/>
        <w:sz w:val="20"/>
        <w:szCs w:val="20"/>
      </w:rPr>
      <w:t>s</w:t>
    </w:r>
    <w:r>
      <w:rPr>
        <w:rFonts w:ascii="Arial" w:hAnsi="Arial"/>
        <w:sz w:val="20"/>
        <w:szCs w:val="20"/>
      </w:rPr>
      <w:t xml:space="preserve"> – página </w:t>
    </w:r>
    <w:r w:rsidRPr="00C23A97">
      <w:rPr>
        <w:rStyle w:val="Numrodepage"/>
        <w:rFonts w:ascii="Arial" w:hAnsi="Arial" w:cs="Arial"/>
        <w:sz w:val="20"/>
        <w:szCs w:val="20"/>
      </w:rPr>
      <w:fldChar w:fldCharType="begin"/>
    </w:r>
    <w:r w:rsidRPr="00C23A97">
      <w:rPr>
        <w:rStyle w:val="Numrodepage"/>
        <w:rFonts w:ascii="Arial" w:hAnsi="Arial" w:cs="Arial"/>
        <w:sz w:val="20"/>
        <w:szCs w:val="20"/>
      </w:rPr>
      <w:instrText xml:space="preserve"> PAGE </w:instrText>
    </w:r>
    <w:r w:rsidRPr="00C23A97">
      <w:rPr>
        <w:rStyle w:val="Numrodepage"/>
        <w:rFonts w:ascii="Arial" w:hAnsi="Arial" w:cs="Arial"/>
        <w:sz w:val="20"/>
        <w:szCs w:val="20"/>
      </w:rPr>
      <w:fldChar w:fldCharType="separate"/>
    </w:r>
    <w:r w:rsidR="00EE2803">
      <w:rPr>
        <w:rStyle w:val="Numrodepage"/>
        <w:rFonts w:ascii="Arial" w:hAnsi="Arial" w:cs="Arial"/>
        <w:noProof/>
        <w:sz w:val="20"/>
        <w:szCs w:val="20"/>
      </w:rPr>
      <w:t>22</w:t>
    </w:r>
    <w:r w:rsidRPr="00C23A97">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1D0C" w14:textId="1C973742" w:rsidR="004532DE" w:rsidRPr="002038EE" w:rsidRDefault="004532DE" w:rsidP="002038EE">
    <w:pPr>
      <w:pStyle w:val="En-tte"/>
      <w:jc w:val="right"/>
      <w:rPr>
        <w:rFonts w:ascii="Arial" w:hAnsi="Arial" w:cs="Arial"/>
      </w:rPr>
    </w:pPr>
    <w:r>
      <w:rPr>
        <w:rFonts w:ascii="Arial" w:hAnsi="Arial"/>
        <w:sz w:val="20"/>
        <w:szCs w:val="20"/>
      </w:rPr>
      <w:t>LHE/20/8.GA/</w:t>
    </w:r>
    <w:r w:rsidRPr="00D70BE7">
      <w:rPr>
        <w:rFonts w:ascii="Arial" w:hAnsi="Arial"/>
        <w:sz w:val="20"/>
        <w:szCs w:val="20"/>
      </w:rPr>
      <w:t>R</w:t>
    </w:r>
    <w:r>
      <w:rPr>
        <w:rFonts w:ascii="Arial" w:hAnsi="Arial"/>
        <w:sz w:val="20"/>
        <w:szCs w:val="20"/>
      </w:rPr>
      <w:t>e</w:t>
    </w:r>
    <w:r w:rsidRPr="00D70BE7">
      <w:rPr>
        <w:rFonts w:ascii="Arial" w:hAnsi="Arial"/>
        <w:sz w:val="20"/>
        <w:szCs w:val="20"/>
      </w:rPr>
      <w:t>solu</w:t>
    </w:r>
    <w:r>
      <w:rPr>
        <w:rFonts w:ascii="Arial" w:hAnsi="Arial"/>
        <w:sz w:val="20"/>
        <w:szCs w:val="20"/>
      </w:rPr>
      <w:t>c</w:t>
    </w:r>
    <w:r w:rsidRPr="00D70BE7">
      <w:rPr>
        <w:rFonts w:ascii="Arial" w:hAnsi="Arial"/>
        <w:sz w:val="20"/>
        <w:szCs w:val="20"/>
      </w:rPr>
      <w:t>ion</w:t>
    </w:r>
    <w:r>
      <w:rPr>
        <w:rFonts w:ascii="Arial" w:hAnsi="Arial"/>
        <w:sz w:val="20"/>
        <w:szCs w:val="20"/>
      </w:rPr>
      <w:t>e</w:t>
    </w:r>
    <w:r w:rsidRPr="00D70BE7">
      <w:rPr>
        <w:rFonts w:ascii="Arial" w:hAnsi="Arial"/>
        <w:sz w:val="20"/>
        <w:szCs w:val="20"/>
      </w:rPr>
      <w:t>s</w:t>
    </w:r>
    <w:r>
      <w:rPr>
        <w:rFonts w:ascii="Arial" w:hAnsi="Arial"/>
        <w:sz w:val="20"/>
        <w:szCs w:val="20"/>
      </w:rPr>
      <w:t xml:space="preserve"> – página </w:t>
    </w:r>
    <w:r w:rsidRPr="00C23A97">
      <w:rPr>
        <w:rStyle w:val="Numrodepage"/>
        <w:rFonts w:ascii="Arial" w:hAnsi="Arial" w:cs="Arial"/>
        <w:sz w:val="20"/>
        <w:szCs w:val="20"/>
      </w:rPr>
      <w:fldChar w:fldCharType="begin"/>
    </w:r>
    <w:r w:rsidRPr="00C23A97">
      <w:rPr>
        <w:rStyle w:val="Numrodepage"/>
        <w:rFonts w:ascii="Arial" w:hAnsi="Arial" w:cs="Arial"/>
        <w:sz w:val="20"/>
        <w:szCs w:val="20"/>
      </w:rPr>
      <w:instrText xml:space="preserve"> PAGE </w:instrText>
    </w:r>
    <w:r w:rsidRPr="00C23A97">
      <w:rPr>
        <w:rStyle w:val="Numrodepage"/>
        <w:rFonts w:ascii="Arial" w:hAnsi="Arial" w:cs="Arial"/>
        <w:sz w:val="20"/>
        <w:szCs w:val="20"/>
      </w:rPr>
      <w:fldChar w:fldCharType="separate"/>
    </w:r>
    <w:r w:rsidR="00EE2803">
      <w:rPr>
        <w:rStyle w:val="Numrodepage"/>
        <w:rFonts w:ascii="Arial" w:hAnsi="Arial" w:cs="Arial"/>
        <w:noProof/>
        <w:sz w:val="20"/>
        <w:szCs w:val="20"/>
      </w:rPr>
      <w:t>21</w:t>
    </w:r>
    <w:r w:rsidRPr="00C23A97">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23B6E" w14:textId="07A126B6" w:rsidR="004532DE" w:rsidRPr="00932644" w:rsidRDefault="004532DE" w:rsidP="003C5A46">
    <w:pPr>
      <w:pStyle w:val="En-tte"/>
      <w:spacing w:after="520"/>
      <w:jc w:val="right"/>
      <w:rPr>
        <w:rFonts w:ascii="Arial" w:hAnsi="Arial" w:cs="Arial"/>
        <w:b/>
        <w:sz w:val="44"/>
        <w:szCs w:val="44"/>
        <w:lang w:val="uz-Cyrl-UZ"/>
      </w:rPr>
    </w:pPr>
    <w:r w:rsidRPr="00932644">
      <w:rPr>
        <w:rFonts w:ascii="Arial" w:hAnsi="Arial" w:cs="Arial"/>
        <w:bCs/>
        <w:noProof/>
        <w:lang w:val="fr-FR" w:eastAsia="ja-JP" w:bidi="ar-SA"/>
      </w:rPr>
      <w:drawing>
        <wp:anchor distT="0" distB="0" distL="114300" distR="114300" simplePos="0" relativeHeight="251659264" behindDoc="1" locked="0" layoutInCell="1" allowOverlap="1" wp14:anchorId="4C56C857" wp14:editId="522E30D8">
          <wp:simplePos x="0" y="0"/>
          <wp:positionH relativeFrom="page">
            <wp:posOffset>281940</wp:posOffset>
          </wp:positionH>
          <wp:positionV relativeFrom="page">
            <wp:posOffset>252095</wp:posOffset>
          </wp:positionV>
          <wp:extent cx="2113200" cy="1422000"/>
          <wp:effectExtent l="0" t="0" r="1905" b="6985"/>
          <wp:wrapNone/>
          <wp:docPr id="1" name="Pictur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13200" cy="142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644">
      <w:rPr>
        <w:rFonts w:ascii="Arial" w:hAnsi="Arial"/>
        <w:b/>
        <w:sz w:val="44"/>
        <w:lang w:val="uz-Cyrl-UZ"/>
      </w:rPr>
      <w:t>8 GA</w:t>
    </w:r>
  </w:p>
  <w:p w14:paraId="550EF055" w14:textId="19FC8E20" w:rsidR="004532DE" w:rsidRPr="003E2CA6" w:rsidRDefault="004532DE" w:rsidP="003C5A46">
    <w:pPr>
      <w:jc w:val="right"/>
      <w:rPr>
        <w:rFonts w:ascii="Arial" w:hAnsi="Arial" w:cs="Arial"/>
        <w:b/>
        <w:sz w:val="22"/>
        <w:szCs w:val="22"/>
        <w:lang w:val="fr-FR"/>
      </w:rPr>
    </w:pPr>
    <w:r w:rsidRPr="00932644">
      <w:rPr>
        <w:rFonts w:ascii="Arial" w:hAnsi="Arial"/>
        <w:b/>
        <w:sz w:val="22"/>
        <w:lang w:val="uz-Cyrl-UZ"/>
      </w:rPr>
      <w:t>LHE/20/8.GA/</w:t>
    </w:r>
    <w:proofErr w:type="spellStart"/>
    <w:r w:rsidR="003E2CA6">
      <w:rPr>
        <w:rFonts w:ascii="Arial" w:hAnsi="Arial"/>
        <w:b/>
        <w:sz w:val="22"/>
        <w:lang w:val="fr-FR"/>
      </w:rPr>
      <w:t>Resoluciones</w:t>
    </w:r>
    <w:proofErr w:type="spellEnd"/>
  </w:p>
  <w:p w14:paraId="3926D302" w14:textId="7FE01CC5" w:rsidR="004532DE" w:rsidRPr="00932644" w:rsidRDefault="004532DE" w:rsidP="003C5A46">
    <w:pPr>
      <w:jc w:val="right"/>
      <w:rPr>
        <w:rFonts w:ascii="Arial" w:hAnsi="Arial" w:cs="Arial"/>
        <w:b/>
        <w:sz w:val="22"/>
        <w:szCs w:val="22"/>
        <w:lang w:val="uz-Cyrl-UZ"/>
      </w:rPr>
    </w:pPr>
    <w:r w:rsidRPr="00932644">
      <w:rPr>
        <w:rFonts w:ascii="Arial" w:hAnsi="Arial"/>
        <w:b/>
        <w:sz w:val="22"/>
        <w:lang w:val="uz-Cyrl-UZ"/>
      </w:rPr>
      <w:t xml:space="preserve">París, </w:t>
    </w:r>
    <w:r w:rsidR="00954A81">
      <w:rPr>
        <w:rFonts w:ascii="Arial" w:hAnsi="Arial"/>
        <w:b/>
        <w:sz w:val="22"/>
        <w:lang w:val="fr-FR"/>
      </w:rPr>
      <w:t>24</w:t>
    </w:r>
    <w:r w:rsidRPr="00932644">
      <w:rPr>
        <w:rFonts w:ascii="Arial" w:hAnsi="Arial"/>
        <w:b/>
        <w:sz w:val="22"/>
        <w:lang w:val="uz-Cyrl-UZ"/>
      </w:rPr>
      <w:t xml:space="preserve"> de septiembre de 2020</w:t>
    </w:r>
  </w:p>
  <w:p w14:paraId="2179BD4F" w14:textId="78128C1B" w:rsidR="004532DE" w:rsidRPr="00FA3525" w:rsidRDefault="004532DE" w:rsidP="003C5A46">
    <w:pPr>
      <w:jc w:val="right"/>
      <w:rPr>
        <w:rFonts w:ascii="Arial" w:hAnsi="Arial" w:cs="Arial"/>
        <w:b/>
        <w:sz w:val="22"/>
        <w:szCs w:val="22"/>
      </w:rPr>
    </w:pPr>
    <w:r w:rsidRPr="00932644">
      <w:rPr>
        <w:rFonts w:ascii="Arial" w:hAnsi="Arial"/>
        <w:b/>
        <w:sz w:val="22"/>
        <w:lang w:val="uz-Cyrl-UZ"/>
      </w:rPr>
      <w:t>Original: inglés</w:t>
    </w:r>
    <w:r w:rsidRPr="00932644">
      <w:rPr>
        <w:rFonts w:ascii="Arial" w:hAnsi="Arial"/>
        <w:b/>
        <w:sz w:val="22"/>
      </w:rPr>
      <w:t>/ francés</w:t>
    </w:r>
  </w:p>
  <w:p w14:paraId="56604169" w14:textId="6C92035F" w:rsidR="004532DE" w:rsidRPr="00B06A89" w:rsidRDefault="004532DE" w:rsidP="00FA3525">
    <w:pPr>
      <w:pStyle w:val="En-tte"/>
      <w:tabs>
        <w:tab w:val="clear" w:pos="4536"/>
        <w:tab w:val="clear" w:pos="9072"/>
        <w:tab w:val="left" w:pos="2220"/>
        <w:tab w:val="left" w:pos="2745"/>
      </w:tabs>
      <w:rPr>
        <w:rFonts w:ascii="Arial" w:hAnsi="Arial" w:cs="Arial"/>
        <w:bCs/>
        <w:lang w:val="uz-Cyrl-UZ"/>
      </w:rPr>
    </w:pPr>
    <w:r>
      <w:rPr>
        <w:rFonts w:ascii="Arial" w:hAnsi="Arial" w:cs="Arial"/>
        <w:bCs/>
        <w:lang w:val="uz-Cyrl-UZ"/>
      </w:rPr>
      <w:tab/>
    </w:r>
    <w:r>
      <w:rPr>
        <w:rFonts w:ascii="Arial" w:hAnsi="Arial" w:cs="Arial"/>
        <w:bCs/>
        <w:lang w:val="uz-Cyrl-UZ"/>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8B6F" w14:textId="4C0E78DD" w:rsidR="004532DE" w:rsidRPr="005C03BC" w:rsidRDefault="004532DE" w:rsidP="00FC6AB9">
    <w:pPr>
      <w:pStyle w:val="En-tte"/>
      <w:rPr>
        <w:rFonts w:ascii="Arial" w:hAnsi="Arial" w:cs="Arial"/>
      </w:rPr>
    </w:pPr>
    <w:r>
      <w:rPr>
        <w:rFonts w:ascii="Arial" w:hAnsi="Arial"/>
        <w:sz w:val="20"/>
        <w:szCs w:val="20"/>
      </w:rPr>
      <w:t>LHE/20/8.GA/</w:t>
    </w:r>
    <w:r w:rsidRPr="00D70BE7">
      <w:rPr>
        <w:rFonts w:ascii="Arial" w:hAnsi="Arial"/>
        <w:sz w:val="20"/>
        <w:szCs w:val="20"/>
      </w:rPr>
      <w:t>R</w:t>
    </w:r>
    <w:r>
      <w:rPr>
        <w:rFonts w:ascii="Arial" w:hAnsi="Arial"/>
        <w:sz w:val="20"/>
        <w:szCs w:val="20"/>
      </w:rPr>
      <w:t>e</w:t>
    </w:r>
    <w:r w:rsidRPr="00D70BE7">
      <w:rPr>
        <w:rFonts w:ascii="Arial" w:hAnsi="Arial"/>
        <w:sz w:val="20"/>
        <w:szCs w:val="20"/>
      </w:rPr>
      <w:t>solu</w:t>
    </w:r>
    <w:r>
      <w:rPr>
        <w:rFonts w:ascii="Arial" w:hAnsi="Arial"/>
        <w:sz w:val="20"/>
        <w:szCs w:val="20"/>
      </w:rPr>
      <w:t>c</w:t>
    </w:r>
    <w:r w:rsidRPr="00D70BE7">
      <w:rPr>
        <w:rFonts w:ascii="Arial" w:hAnsi="Arial"/>
        <w:sz w:val="20"/>
        <w:szCs w:val="20"/>
      </w:rPr>
      <w:t>ion</w:t>
    </w:r>
    <w:r>
      <w:rPr>
        <w:rFonts w:ascii="Arial" w:hAnsi="Arial"/>
        <w:sz w:val="20"/>
        <w:szCs w:val="20"/>
      </w:rPr>
      <w:t>e</w:t>
    </w:r>
    <w:r w:rsidRPr="00D70BE7">
      <w:rPr>
        <w:rFonts w:ascii="Arial" w:hAnsi="Arial"/>
        <w:sz w:val="20"/>
        <w:szCs w:val="20"/>
      </w:rPr>
      <w:t>s</w:t>
    </w:r>
    <w:r>
      <w:rPr>
        <w:rFonts w:ascii="Arial" w:hAnsi="Arial"/>
        <w:sz w:val="20"/>
        <w:szCs w:val="20"/>
      </w:rPr>
      <w:t xml:space="preserve"> – page </w:t>
    </w:r>
    <w:r w:rsidRPr="00C23A97">
      <w:rPr>
        <w:rStyle w:val="Numrodepage"/>
        <w:rFonts w:ascii="Arial" w:hAnsi="Arial" w:cs="Arial"/>
        <w:sz w:val="20"/>
        <w:szCs w:val="20"/>
      </w:rPr>
      <w:fldChar w:fldCharType="begin"/>
    </w:r>
    <w:r w:rsidRPr="00C23A97">
      <w:rPr>
        <w:rStyle w:val="Numrodepage"/>
        <w:rFonts w:ascii="Arial" w:hAnsi="Arial" w:cs="Arial"/>
        <w:sz w:val="20"/>
        <w:szCs w:val="20"/>
      </w:rPr>
      <w:instrText xml:space="preserve"> PAGE </w:instrText>
    </w:r>
    <w:r w:rsidRPr="00C23A97">
      <w:rPr>
        <w:rStyle w:val="Numrodepage"/>
        <w:rFonts w:ascii="Arial" w:hAnsi="Arial" w:cs="Arial"/>
        <w:sz w:val="20"/>
        <w:szCs w:val="20"/>
      </w:rPr>
      <w:fldChar w:fldCharType="separate"/>
    </w:r>
    <w:r w:rsidR="00EE2803">
      <w:rPr>
        <w:rStyle w:val="Numrodepage"/>
        <w:rFonts w:ascii="Arial" w:hAnsi="Arial" w:cs="Arial"/>
        <w:noProof/>
        <w:sz w:val="20"/>
        <w:szCs w:val="20"/>
      </w:rPr>
      <w:t>5</w:t>
    </w:r>
    <w:r w:rsidRPr="00C23A97">
      <w:rPr>
        <w:rStyle w:val="Numrodepage"/>
        <w:rFonts w:ascii="Arial" w:hAnsi="Arial" w:cs="Arial"/>
        <w:sz w:val="20"/>
        <w:szCs w:val="20"/>
      </w:rPr>
      <w:fldChar w:fldCharType="end"/>
    </w:r>
  </w:p>
  <w:p w14:paraId="78F5098B" w14:textId="77777777" w:rsidR="004532DE" w:rsidRPr="00CF1575" w:rsidRDefault="004532DE" w:rsidP="00FC6AB9">
    <w:pPr>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4DB0" w14:textId="77777777" w:rsidR="004532DE" w:rsidRPr="008724E5" w:rsidRDefault="004532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F78"/>
    <w:multiLevelType w:val="hybridMultilevel"/>
    <w:tmpl w:val="AE767C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4A01EE"/>
    <w:multiLevelType w:val="hybridMultilevel"/>
    <w:tmpl w:val="39A26484"/>
    <w:lvl w:ilvl="0" w:tplc="804A2796">
      <w:start w:val="1"/>
      <w:numFmt w:val="decimal"/>
      <w:lvlText w:val="%1."/>
      <w:lvlJc w:val="left"/>
      <w:pPr>
        <w:ind w:left="153" w:hanging="360"/>
      </w:pPr>
      <w:rPr>
        <w:rFonts w:ascii="Arial" w:eastAsia="Times New Roman" w:hAnsi="Arial" w:cs="Arial"/>
      </w:rPr>
    </w:lvl>
    <w:lvl w:ilvl="1" w:tplc="D7C06FCA" w:tentative="1">
      <w:start w:val="1"/>
      <w:numFmt w:val="lowerLetter"/>
      <w:lvlText w:val="%2."/>
      <w:lvlJc w:val="left"/>
      <w:pPr>
        <w:ind w:left="873" w:hanging="360"/>
      </w:pPr>
    </w:lvl>
    <w:lvl w:ilvl="2" w:tplc="2FCAE06E" w:tentative="1">
      <w:start w:val="1"/>
      <w:numFmt w:val="lowerRoman"/>
      <w:lvlText w:val="%3."/>
      <w:lvlJc w:val="right"/>
      <w:pPr>
        <w:ind w:left="1593" w:hanging="180"/>
      </w:pPr>
    </w:lvl>
    <w:lvl w:ilvl="3" w:tplc="5E9AC0AE" w:tentative="1">
      <w:start w:val="1"/>
      <w:numFmt w:val="decimal"/>
      <w:lvlText w:val="%4."/>
      <w:lvlJc w:val="left"/>
      <w:pPr>
        <w:ind w:left="2313" w:hanging="360"/>
      </w:pPr>
    </w:lvl>
    <w:lvl w:ilvl="4" w:tplc="7A521106" w:tentative="1">
      <w:start w:val="1"/>
      <w:numFmt w:val="lowerLetter"/>
      <w:lvlText w:val="%5."/>
      <w:lvlJc w:val="left"/>
      <w:pPr>
        <w:ind w:left="3033" w:hanging="360"/>
      </w:pPr>
    </w:lvl>
    <w:lvl w:ilvl="5" w:tplc="99783CE6" w:tentative="1">
      <w:start w:val="1"/>
      <w:numFmt w:val="lowerRoman"/>
      <w:lvlText w:val="%6."/>
      <w:lvlJc w:val="right"/>
      <w:pPr>
        <w:ind w:left="3753" w:hanging="180"/>
      </w:pPr>
    </w:lvl>
    <w:lvl w:ilvl="6" w:tplc="9D2AC444" w:tentative="1">
      <w:start w:val="1"/>
      <w:numFmt w:val="decimal"/>
      <w:lvlText w:val="%7."/>
      <w:lvlJc w:val="left"/>
      <w:pPr>
        <w:ind w:left="4473" w:hanging="360"/>
      </w:pPr>
    </w:lvl>
    <w:lvl w:ilvl="7" w:tplc="10AC1068" w:tentative="1">
      <w:start w:val="1"/>
      <w:numFmt w:val="lowerLetter"/>
      <w:lvlText w:val="%8."/>
      <w:lvlJc w:val="left"/>
      <w:pPr>
        <w:ind w:left="5193" w:hanging="360"/>
      </w:pPr>
    </w:lvl>
    <w:lvl w:ilvl="8" w:tplc="CB82B760" w:tentative="1">
      <w:start w:val="1"/>
      <w:numFmt w:val="lowerRoman"/>
      <w:lvlText w:val="%9."/>
      <w:lvlJc w:val="right"/>
      <w:pPr>
        <w:ind w:left="5913" w:hanging="180"/>
      </w:pPr>
    </w:lvl>
  </w:abstractNum>
  <w:abstractNum w:abstractNumId="3"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C595C4F"/>
    <w:multiLevelType w:val="multilevel"/>
    <w:tmpl w:val="FE165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0" w15:restartNumberingAfterBreak="0">
    <w:nsid w:val="16986E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2"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3" w15:restartNumberingAfterBreak="0">
    <w:nsid w:val="21376431"/>
    <w:multiLevelType w:val="multilevel"/>
    <w:tmpl w:val="F0A69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5D37F1"/>
    <w:multiLevelType w:val="hybridMultilevel"/>
    <w:tmpl w:val="68B8CC1E"/>
    <w:lvl w:ilvl="0" w:tplc="88B650A8">
      <w:start w:val="1"/>
      <w:numFmt w:val="decimal"/>
      <w:lvlText w:val="%1."/>
      <w:lvlJc w:val="left"/>
      <w:pPr>
        <w:ind w:left="720" w:hanging="360"/>
      </w:pPr>
    </w:lvl>
    <w:lvl w:ilvl="1" w:tplc="D7C06FCA" w:tentative="1">
      <w:start w:val="1"/>
      <w:numFmt w:val="lowerLetter"/>
      <w:lvlText w:val="%2."/>
      <w:lvlJc w:val="left"/>
      <w:pPr>
        <w:ind w:left="1440" w:hanging="360"/>
      </w:pPr>
    </w:lvl>
    <w:lvl w:ilvl="2" w:tplc="2FCAE06E" w:tentative="1">
      <w:start w:val="1"/>
      <w:numFmt w:val="lowerRoman"/>
      <w:lvlText w:val="%3."/>
      <w:lvlJc w:val="right"/>
      <w:pPr>
        <w:ind w:left="2160" w:hanging="180"/>
      </w:pPr>
    </w:lvl>
    <w:lvl w:ilvl="3" w:tplc="5E9AC0AE" w:tentative="1">
      <w:start w:val="1"/>
      <w:numFmt w:val="decimal"/>
      <w:lvlText w:val="%4."/>
      <w:lvlJc w:val="left"/>
      <w:pPr>
        <w:ind w:left="2880" w:hanging="360"/>
      </w:pPr>
    </w:lvl>
    <w:lvl w:ilvl="4" w:tplc="7A521106" w:tentative="1">
      <w:start w:val="1"/>
      <w:numFmt w:val="lowerLetter"/>
      <w:lvlText w:val="%5."/>
      <w:lvlJc w:val="left"/>
      <w:pPr>
        <w:ind w:left="3600" w:hanging="360"/>
      </w:pPr>
    </w:lvl>
    <w:lvl w:ilvl="5" w:tplc="99783CE6" w:tentative="1">
      <w:start w:val="1"/>
      <w:numFmt w:val="lowerRoman"/>
      <w:lvlText w:val="%6."/>
      <w:lvlJc w:val="right"/>
      <w:pPr>
        <w:ind w:left="4320" w:hanging="180"/>
      </w:pPr>
    </w:lvl>
    <w:lvl w:ilvl="6" w:tplc="9D2AC444" w:tentative="1">
      <w:start w:val="1"/>
      <w:numFmt w:val="decimal"/>
      <w:lvlText w:val="%7."/>
      <w:lvlJc w:val="left"/>
      <w:pPr>
        <w:ind w:left="5040" w:hanging="360"/>
      </w:pPr>
    </w:lvl>
    <w:lvl w:ilvl="7" w:tplc="10AC1068" w:tentative="1">
      <w:start w:val="1"/>
      <w:numFmt w:val="lowerLetter"/>
      <w:lvlText w:val="%8."/>
      <w:lvlJc w:val="left"/>
      <w:pPr>
        <w:ind w:left="5760" w:hanging="360"/>
      </w:pPr>
    </w:lvl>
    <w:lvl w:ilvl="8" w:tplc="CB82B760" w:tentative="1">
      <w:start w:val="1"/>
      <w:numFmt w:val="lowerRoman"/>
      <w:lvlText w:val="%9."/>
      <w:lvlJc w:val="right"/>
      <w:pPr>
        <w:ind w:left="6480" w:hanging="180"/>
      </w:pPr>
    </w:lvl>
  </w:abstractNum>
  <w:abstractNum w:abstractNumId="22"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397A4DB1"/>
    <w:multiLevelType w:val="hybridMultilevel"/>
    <w:tmpl w:val="000ABFC2"/>
    <w:lvl w:ilvl="0" w:tplc="918ACE6A">
      <w:start w:val="1"/>
      <w:numFmt w:val="decimal"/>
      <w:pStyle w:val="GAParaResolution"/>
      <w:lvlText w:val="%1."/>
      <w:lvlJc w:val="left"/>
      <w:pPr>
        <w:ind w:left="1070" w:hanging="360"/>
      </w:p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4"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6"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7"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9"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0" w15:restartNumberingAfterBreak="0">
    <w:nsid w:val="463070DB"/>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2"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3" w15:restartNumberingAfterBreak="0">
    <w:nsid w:val="4A3E6874"/>
    <w:multiLevelType w:val="multilevel"/>
    <w:tmpl w:val="14F41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C273624"/>
    <w:multiLevelType w:val="hybridMultilevel"/>
    <w:tmpl w:val="7E96AAA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7" w15:restartNumberingAfterBreak="0">
    <w:nsid w:val="595C76A3"/>
    <w:multiLevelType w:val="hybridMultilevel"/>
    <w:tmpl w:val="4926AA42"/>
    <w:lvl w:ilvl="0" w:tplc="0809000F">
      <w:start w:val="1"/>
      <w:numFmt w:val="decimal"/>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38"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5A4266"/>
    <w:multiLevelType w:val="hybridMultilevel"/>
    <w:tmpl w:val="9B32572C"/>
    <w:lvl w:ilvl="0" w:tplc="8754109A">
      <w:start w:val="1"/>
      <w:numFmt w:val="lowerLetter"/>
      <w:lvlText w:val="(%1)"/>
      <w:lvlJc w:val="left"/>
      <w:pPr>
        <w:ind w:left="510" w:hanging="360"/>
      </w:pPr>
      <w:rPr>
        <w:rFonts w:hint="default"/>
        <w:b w:val="0"/>
        <w:sz w:val="24"/>
        <w:szCs w:val="24"/>
      </w:rPr>
    </w:lvl>
    <w:lvl w:ilvl="1" w:tplc="4BAC89C4" w:tentative="1">
      <w:start w:val="1"/>
      <w:numFmt w:val="lowerLetter"/>
      <w:lvlText w:val="%2."/>
      <w:lvlJc w:val="left"/>
      <w:pPr>
        <w:ind w:left="1230" w:hanging="360"/>
      </w:pPr>
    </w:lvl>
    <w:lvl w:ilvl="2" w:tplc="A2507D00" w:tentative="1">
      <w:start w:val="1"/>
      <w:numFmt w:val="lowerRoman"/>
      <w:lvlText w:val="%3."/>
      <w:lvlJc w:val="right"/>
      <w:pPr>
        <w:ind w:left="1950" w:hanging="180"/>
      </w:pPr>
    </w:lvl>
    <w:lvl w:ilvl="3" w:tplc="D6946DF6" w:tentative="1">
      <w:start w:val="1"/>
      <w:numFmt w:val="decimal"/>
      <w:lvlText w:val="%4."/>
      <w:lvlJc w:val="left"/>
      <w:pPr>
        <w:ind w:left="2670" w:hanging="360"/>
      </w:pPr>
    </w:lvl>
    <w:lvl w:ilvl="4" w:tplc="D18A4AD0" w:tentative="1">
      <w:start w:val="1"/>
      <w:numFmt w:val="lowerLetter"/>
      <w:lvlText w:val="%5."/>
      <w:lvlJc w:val="left"/>
      <w:pPr>
        <w:ind w:left="3390" w:hanging="360"/>
      </w:pPr>
    </w:lvl>
    <w:lvl w:ilvl="5" w:tplc="6C544C6E" w:tentative="1">
      <w:start w:val="1"/>
      <w:numFmt w:val="lowerRoman"/>
      <w:lvlText w:val="%6."/>
      <w:lvlJc w:val="right"/>
      <w:pPr>
        <w:ind w:left="4110" w:hanging="180"/>
      </w:pPr>
    </w:lvl>
    <w:lvl w:ilvl="6" w:tplc="76DA06B6" w:tentative="1">
      <w:start w:val="1"/>
      <w:numFmt w:val="decimal"/>
      <w:lvlText w:val="%7."/>
      <w:lvlJc w:val="left"/>
      <w:pPr>
        <w:ind w:left="4830" w:hanging="360"/>
      </w:pPr>
    </w:lvl>
    <w:lvl w:ilvl="7" w:tplc="D71495D4" w:tentative="1">
      <w:start w:val="1"/>
      <w:numFmt w:val="lowerLetter"/>
      <w:lvlText w:val="%8."/>
      <w:lvlJc w:val="left"/>
      <w:pPr>
        <w:ind w:left="5550" w:hanging="360"/>
      </w:pPr>
    </w:lvl>
    <w:lvl w:ilvl="8" w:tplc="7332D7AC" w:tentative="1">
      <w:start w:val="1"/>
      <w:numFmt w:val="lowerRoman"/>
      <w:lvlText w:val="%9."/>
      <w:lvlJc w:val="right"/>
      <w:pPr>
        <w:ind w:left="6270" w:hanging="180"/>
      </w:pPr>
    </w:lvl>
  </w:abstractNum>
  <w:abstractNum w:abstractNumId="40"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ECD35B7"/>
    <w:multiLevelType w:val="hybridMultilevel"/>
    <w:tmpl w:val="5B0A12EC"/>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4728598E">
      <w:numFmt w:val="bullet"/>
      <w:lvlText w:val="-"/>
      <w:lvlJc w:val="left"/>
      <w:pPr>
        <w:ind w:left="2973" w:hanging="360"/>
      </w:pPr>
      <w:rPr>
        <w:rFonts w:ascii="Arial" w:eastAsia="SimSun" w:hAnsi="Arial" w:cs="Arial" w:hint="default"/>
        <w:sz w:val="22"/>
      </w:r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3"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44"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32673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63838AA"/>
    <w:multiLevelType w:val="multilevel"/>
    <w:tmpl w:val="15189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6D826C3"/>
    <w:multiLevelType w:val="hybridMultilevel"/>
    <w:tmpl w:val="68B8CC1E"/>
    <w:lvl w:ilvl="0" w:tplc="88B650A8">
      <w:start w:val="1"/>
      <w:numFmt w:val="decimal"/>
      <w:lvlText w:val="%1."/>
      <w:lvlJc w:val="left"/>
      <w:pPr>
        <w:ind w:left="2204" w:hanging="360"/>
      </w:pPr>
    </w:lvl>
    <w:lvl w:ilvl="1" w:tplc="D7C06FCA" w:tentative="1">
      <w:start w:val="1"/>
      <w:numFmt w:val="lowerLetter"/>
      <w:lvlText w:val="%2."/>
      <w:lvlJc w:val="left"/>
      <w:pPr>
        <w:ind w:left="1440" w:hanging="360"/>
      </w:pPr>
    </w:lvl>
    <w:lvl w:ilvl="2" w:tplc="2FCAE06E" w:tentative="1">
      <w:start w:val="1"/>
      <w:numFmt w:val="lowerRoman"/>
      <w:lvlText w:val="%3."/>
      <w:lvlJc w:val="right"/>
      <w:pPr>
        <w:ind w:left="2160" w:hanging="180"/>
      </w:pPr>
    </w:lvl>
    <w:lvl w:ilvl="3" w:tplc="5E9AC0AE" w:tentative="1">
      <w:start w:val="1"/>
      <w:numFmt w:val="decimal"/>
      <w:lvlText w:val="%4."/>
      <w:lvlJc w:val="left"/>
      <w:pPr>
        <w:ind w:left="2880" w:hanging="360"/>
      </w:pPr>
    </w:lvl>
    <w:lvl w:ilvl="4" w:tplc="7A521106" w:tentative="1">
      <w:start w:val="1"/>
      <w:numFmt w:val="lowerLetter"/>
      <w:lvlText w:val="%5."/>
      <w:lvlJc w:val="left"/>
      <w:pPr>
        <w:ind w:left="3600" w:hanging="360"/>
      </w:pPr>
    </w:lvl>
    <w:lvl w:ilvl="5" w:tplc="99783CE6" w:tentative="1">
      <w:start w:val="1"/>
      <w:numFmt w:val="lowerRoman"/>
      <w:lvlText w:val="%6."/>
      <w:lvlJc w:val="right"/>
      <w:pPr>
        <w:ind w:left="4320" w:hanging="180"/>
      </w:pPr>
    </w:lvl>
    <w:lvl w:ilvl="6" w:tplc="9D2AC444" w:tentative="1">
      <w:start w:val="1"/>
      <w:numFmt w:val="decimal"/>
      <w:lvlText w:val="%7."/>
      <w:lvlJc w:val="left"/>
      <w:pPr>
        <w:ind w:left="5040" w:hanging="360"/>
      </w:pPr>
    </w:lvl>
    <w:lvl w:ilvl="7" w:tplc="10AC1068" w:tentative="1">
      <w:start w:val="1"/>
      <w:numFmt w:val="lowerLetter"/>
      <w:lvlText w:val="%8."/>
      <w:lvlJc w:val="left"/>
      <w:pPr>
        <w:ind w:left="5760" w:hanging="360"/>
      </w:pPr>
    </w:lvl>
    <w:lvl w:ilvl="8" w:tplc="CB82B760" w:tentative="1">
      <w:start w:val="1"/>
      <w:numFmt w:val="lowerRoman"/>
      <w:lvlText w:val="%9."/>
      <w:lvlJc w:val="right"/>
      <w:pPr>
        <w:ind w:left="6480" w:hanging="180"/>
      </w:pPr>
    </w:lvl>
  </w:abstractNum>
  <w:abstractNum w:abstractNumId="49"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51"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52" w15:restartNumberingAfterBreak="0">
    <w:nsid w:val="76C5391B"/>
    <w:multiLevelType w:val="hybridMultilevel"/>
    <w:tmpl w:val="8724F8B4"/>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3" w15:restartNumberingAfterBreak="0">
    <w:nsid w:val="7B802E06"/>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54"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C7B49B8"/>
    <w:multiLevelType w:val="hybridMultilevel"/>
    <w:tmpl w:val="D618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585C35"/>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num w:numId="1">
    <w:abstractNumId w:val="42"/>
  </w:num>
  <w:num w:numId="2">
    <w:abstractNumId w:val="8"/>
  </w:num>
  <w:num w:numId="3">
    <w:abstractNumId w:val="20"/>
  </w:num>
  <w:num w:numId="4">
    <w:abstractNumId w:val="23"/>
  </w:num>
  <w:num w:numId="5">
    <w:abstractNumId w:val="24"/>
  </w:num>
  <w:num w:numId="6">
    <w:abstractNumId w:val="51"/>
  </w:num>
  <w:num w:numId="7">
    <w:abstractNumId w:val="38"/>
  </w:num>
  <w:num w:numId="8">
    <w:abstractNumId w:val="23"/>
    <w:lvlOverride w:ilvl="0">
      <w:startOverride w:val="1"/>
    </w:lvlOverride>
  </w:num>
  <w:num w:numId="9">
    <w:abstractNumId w:val="31"/>
  </w:num>
  <w:num w:numId="10">
    <w:abstractNumId w:val="48"/>
  </w:num>
  <w:num w:numId="11">
    <w:abstractNumId w:val="23"/>
  </w:num>
  <w:num w:numId="12">
    <w:abstractNumId w:val="14"/>
  </w:num>
  <w:num w:numId="13">
    <w:abstractNumId w:val="17"/>
  </w:num>
  <w:num w:numId="14">
    <w:abstractNumId w:val="41"/>
  </w:num>
  <w:num w:numId="15">
    <w:abstractNumId w:val="15"/>
  </w:num>
  <w:num w:numId="16">
    <w:abstractNumId w:val="25"/>
  </w:num>
  <w:num w:numId="17">
    <w:abstractNumId w:val="11"/>
  </w:num>
  <w:num w:numId="18">
    <w:abstractNumId w:val="50"/>
  </w:num>
  <w:num w:numId="19">
    <w:abstractNumId w:val="9"/>
  </w:num>
  <w:num w:numId="20">
    <w:abstractNumId w:val="32"/>
  </w:num>
  <w:num w:numId="21">
    <w:abstractNumId w:val="54"/>
  </w:num>
  <w:num w:numId="22">
    <w:abstractNumId w:val="28"/>
  </w:num>
  <w:num w:numId="23">
    <w:abstractNumId w:val="26"/>
  </w:num>
  <w:num w:numId="24">
    <w:abstractNumId w:val="22"/>
  </w:num>
  <w:num w:numId="25">
    <w:abstractNumId w:val="36"/>
  </w:num>
  <w:num w:numId="26">
    <w:abstractNumId w:val="12"/>
  </w:num>
  <w:num w:numId="27">
    <w:abstractNumId w:val="3"/>
  </w:num>
  <w:num w:numId="28">
    <w:abstractNumId w:val="29"/>
  </w:num>
  <w:num w:numId="29">
    <w:abstractNumId w:val="40"/>
  </w:num>
  <w:num w:numId="30">
    <w:abstractNumId w:val="1"/>
  </w:num>
  <w:num w:numId="31">
    <w:abstractNumId w:val="7"/>
  </w:num>
  <w:num w:numId="32">
    <w:abstractNumId w:val="44"/>
  </w:num>
  <w:num w:numId="33">
    <w:abstractNumId w:val="6"/>
  </w:num>
  <w:num w:numId="34">
    <w:abstractNumId w:val="27"/>
  </w:num>
  <w:num w:numId="35">
    <w:abstractNumId w:val="18"/>
  </w:num>
  <w:num w:numId="36">
    <w:abstractNumId w:val="49"/>
  </w:num>
  <w:num w:numId="37">
    <w:abstractNumId w:val="16"/>
  </w:num>
  <w:num w:numId="38">
    <w:abstractNumId w:val="19"/>
  </w:num>
  <w:num w:numId="39">
    <w:abstractNumId w:val="46"/>
  </w:num>
  <w:num w:numId="40">
    <w:abstractNumId w:val="34"/>
  </w:num>
  <w:num w:numId="41">
    <w:abstractNumId w:val="39"/>
  </w:num>
  <w:num w:numId="42">
    <w:abstractNumId w:val="21"/>
  </w:num>
  <w:num w:numId="43">
    <w:abstractNumId w:val="23"/>
    <w:lvlOverride w:ilvl="0">
      <w:startOverride w:val="1"/>
    </w:lvlOverride>
  </w:num>
  <w:num w:numId="44">
    <w:abstractNumId w:val="23"/>
    <w:lvlOverride w:ilvl="0">
      <w:startOverride w:val="1"/>
    </w:lvlOverride>
  </w:num>
  <w:num w:numId="45">
    <w:abstractNumId w:val="23"/>
    <w:lvlOverride w:ilvl="0">
      <w:startOverride w:val="1"/>
    </w:lvlOverride>
  </w:num>
  <w:num w:numId="46">
    <w:abstractNumId w:val="23"/>
    <w:lvlOverride w:ilvl="0">
      <w:startOverride w:val="1"/>
    </w:lvlOverride>
  </w:num>
  <w:num w:numId="47">
    <w:abstractNumId w:val="23"/>
    <w:lvlOverride w:ilvl="0">
      <w:startOverride w:val="1"/>
    </w:lvlOverride>
  </w:num>
  <w:num w:numId="48">
    <w:abstractNumId w:val="52"/>
  </w:num>
  <w:num w:numId="49">
    <w:abstractNumId w:val="4"/>
  </w:num>
  <w:num w:numId="50">
    <w:abstractNumId w:val="30"/>
  </w:num>
  <w:num w:numId="51">
    <w:abstractNumId w:val="43"/>
  </w:num>
  <w:num w:numId="52">
    <w:abstractNumId w:val="45"/>
  </w:num>
  <w:num w:numId="53">
    <w:abstractNumId w:val="56"/>
  </w:num>
  <w:num w:numId="54">
    <w:abstractNumId w:val="10"/>
  </w:num>
  <w:num w:numId="55">
    <w:abstractNumId w:val="53"/>
  </w:num>
  <w:num w:numId="56">
    <w:abstractNumId w:val="23"/>
    <w:lvlOverride w:ilvl="0">
      <w:startOverride w:val="1"/>
    </w:lvlOverride>
  </w:num>
  <w:num w:numId="57">
    <w:abstractNumId w:val="23"/>
    <w:lvlOverride w:ilvl="0">
      <w:startOverride w:val="1"/>
    </w:lvlOverride>
  </w:num>
  <w:num w:numId="58">
    <w:abstractNumId w:val="23"/>
  </w:num>
  <w:num w:numId="59">
    <w:abstractNumId w:val="23"/>
    <w:lvlOverride w:ilvl="0">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num>
  <w:num w:numId="66">
    <w:abstractNumId w:val="23"/>
    <w:lvlOverride w:ilvl="0">
      <w:startOverride w:val="1"/>
    </w:lvlOverride>
  </w:num>
  <w:num w:numId="67">
    <w:abstractNumId w:val="23"/>
    <w:lvlOverride w:ilvl="0">
      <w:startOverride w:val="1"/>
    </w:lvlOverride>
  </w:num>
  <w:num w:numId="68">
    <w:abstractNumId w:val="23"/>
    <w:lvlOverride w:ilvl="0">
      <w:startOverride w:val="1"/>
    </w:lvlOverride>
  </w:num>
  <w:num w:numId="69">
    <w:abstractNumId w:val="2"/>
  </w:num>
  <w:num w:numId="70">
    <w:abstractNumId w:val="23"/>
  </w:num>
  <w:num w:numId="71">
    <w:abstractNumId w:val="23"/>
    <w:lvlOverride w:ilvl="0">
      <w:startOverride w:val="1"/>
    </w:lvlOverride>
  </w:num>
  <w:num w:numId="72">
    <w:abstractNumId w:val="37"/>
  </w:num>
  <w:num w:numId="73">
    <w:abstractNumId w:val="23"/>
    <w:lvlOverride w:ilvl="0">
      <w:startOverride w:val="1"/>
    </w:lvlOverride>
  </w:num>
  <w:num w:numId="74">
    <w:abstractNumId w:val="23"/>
    <w:lvlOverride w:ilvl="0">
      <w:startOverride w:val="1"/>
    </w:lvlOverride>
  </w:num>
  <w:num w:numId="75">
    <w:abstractNumId w:val="23"/>
    <w:lvlOverride w:ilvl="0">
      <w:startOverride w:val="1"/>
    </w:lvlOverride>
  </w:num>
  <w:num w:numId="76">
    <w:abstractNumId w:val="0"/>
  </w:num>
  <w:num w:numId="77">
    <w:abstractNumId w:val="35"/>
  </w:num>
  <w:num w:numId="78">
    <w:abstractNumId w:val="23"/>
    <w:lvlOverride w:ilvl="0">
      <w:startOverride w:val="1"/>
    </w:lvlOverride>
  </w:num>
  <w:num w:numId="79">
    <w:abstractNumId w:val="23"/>
    <w:lvlOverride w:ilvl="0">
      <w:startOverride w:val="1"/>
    </w:lvlOverride>
  </w:num>
  <w:num w:numId="80">
    <w:abstractNumId w:val="55"/>
  </w:num>
  <w:num w:numId="81">
    <w:abstractNumId w:val="23"/>
    <w:lvlOverride w:ilvl="0">
      <w:startOverride w:val="1"/>
    </w:lvlOverride>
  </w:num>
  <w:num w:numId="82">
    <w:abstractNumId w:val="23"/>
    <w:lvlOverride w:ilvl="0">
      <w:startOverride w:val="1"/>
    </w:lvlOverride>
  </w:num>
  <w:num w:numId="83">
    <w:abstractNumId w:val="23"/>
    <w:lvlOverride w:ilvl="0">
      <w:startOverride w:val="1"/>
    </w:lvlOverride>
  </w:num>
  <w:num w:numId="84">
    <w:abstractNumId w:val="23"/>
    <w:lvlOverride w:ilvl="0">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uz-Cyrl-UZ" w:vendorID="64" w:dllVersion="0" w:nlCheck="1" w:checkStyle="0"/>
  <w:activeWritingStyle w:appName="MSWord" w:lang="fr-FR" w:vendorID="64" w:dllVersion="0" w:nlCheck="1" w:checkStyle="0"/>
  <w:activeWritingStyle w:appName="MSWord" w:lang="en-GB" w:vendorID="64" w:dllVersion="0" w:nlCheck="1" w:checkStyle="0"/>
  <w:activeWritingStyle w:appName="MSWord" w:lang="pt-PT" w:vendorID="64" w:dllVersion="0" w:nlCheck="1" w:checkStyle="0"/>
  <w:activeWritingStyle w:appName="MSWord" w:lang="es-419" w:vendorID="64" w:dllVersion="0" w:nlCheck="1" w:checkStyle="0"/>
  <w:activeWritingStyle w:appName="MSWord" w:lang="es-419" w:vendorID="64" w:dllVersion="131078" w:nlCheck="1" w:checkStyle="0"/>
  <w:activeWritingStyle w:appName="MSWord" w:lang="pt-BR" w:vendorID="64" w:dllVersion="131078" w:nlCheck="1" w:checkStyle="0"/>
  <w:activeWritingStyle w:appName="MSWord" w:lang="es-ES"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054BB"/>
    <w:rsid w:val="00007E37"/>
    <w:rsid w:val="00010ABD"/>
    <w:rsid w:val="0001126C"/>
    <w:rsid w:val="00011BD0"/>
    <w:rsid w:val="00011E18"/>
    <w:rsid w:val="00013115"/>
    <w:rsid w:val="00015258"/>
    <w:rsid w:val="00023FA5"/>
    <w:rsid w:val="0002670A"/>
    <w:rsid w:val="000276A6"/>
    <w:rsid w:val="00027B0C"/>
    <w:rsid w:val="00030737"/>
    <w:rsid w:val="00032DC0"/>
    <w:rsid w:val="0003516D"/>
    <w:rsid w:val="000352DE"/>
    <w:rsid w:val="0003656C"/>
    <w:rsid w:val="000411EB"/>
    <w:rsid w:val="000415A6"/>
    <w:rsid w:val="00041A66"/>
    <w:rsid w:val="00044A54"/>
    <w:rsid w:val="000501BB"/>
    <w:rsid w:val="0005176E"/>
    <w:rsid w:val="00053DCC"/>
    <w:rsid w:val="000544C8"/>
    <w:rsid w:val="0005517B"/>
    <w:rsid w:val="00055860"/>
    <w:rsid w:val="00056D9E"/>
    <w:rsid w:val="00057628"/>
    <w:rsid w:val="00062515"/>
    <w:rsid w:val="00063D82"/>
    <w:rsid w:val="00064F9D"/>
    <w:rsid w:val="00066EC3"/>
    <w:rsid w:val="000713B3"/>
    <w:rsid w:val="00074327"/>
    <w:rsid w:val="000765F7"/>
    <w:rsid w:val="00077AB7"/>
    <w:rsid w:val="00080A2B"/>
    <w:rsid w:val="000811B2"/>
    <w:rsid w:val="00081249"/>
    <w:rsid w:val="00081CD8"/>
    <w:rsid w:val="00084909"/>
    <w:rsid w:val="00085717"/>
    <w:rsid w:val="000A06D6"/>
    <w:rsid w:val="000A1518"/>
    <w:rsid w:val="000A312F"/>
    <w:rsid w:val="000A7F0E"/>
    <w:rsid w:val="000B0874"/>
    <w:rsid w:val="000B1C34"/>
    <w:rsid w:val="000B40C4"/>
    <w:rsid w:val="000C0D61"/>
    <w:rsid w:val="000C3622"/>
    <w:rsid w:val="000C5BC9"/>
    <w:rsid w:val="000C5FCA"/>
    <w:rsid w:val="000D092B"/>
    <w:rsid w:val="000D2E75"/>
    <w:rsid w:val="000D3A28"/>
    <w:rsid w:val="000D59CD"/>
    <w:rsid w:val="000D5AF7"/>
    <w:rsid w:val="000E3FA4"/>
    <w:rsid w:val="000E43FE"/>
    <w:rsid w:val="000E58DD"/>
    <w:rsid w:val="000E5BA3"/>
    <w:rsid w:val="000F0486"/>
    <w:rsid w:val="000F1F86"/>
    <w:rsid w:val="000F3A3F"/>
    <w:rsid w:val="000F68DD"/>
    <w:rsid w:val="00100071"/>
    <w:rsid w:val="001015EF"/>
    <w:rsid w:val="00102557"/>
    <w:rsid w:val="00102FF7"/>
    <w:rsid w:val="001037D8"/>
    <w:rsid w:val="00106DCF"/>
    <w:rsid w:val="00114A55"/>
    <w:rsid w:val="00114E45"/>
    <w:rsid w:val="001177D3"/>
    <w:rsid w:val="00117B83"/>
    <w:rsid w:val="00121B1C"/>
    <w:rsid w:val="00125770"/>
    <w:rsid w:val="00126C79"/>
    <w:rsid w:val="00131CAC"/>
    <w:rsid w:val="00131D8D"/>
    <w:rsid w:val="00133CF8"/>
    <w:rsid w:val="00134E7C"/>
    <w:rsid w:val="001376FE"/>
    <w:rsid w:val="00137A71"/>
    <w:rsid w:val="00137F7C"/>
    <w:rsid w:val="001452D1"/>
    <w:rsid w:val="00153462"/>
    <w:rsid w:val="00153B2A"/>
    <w:rsid w:val="001551C4"/>
    <w:rsid w:val="00155870"/>
    <w:rsid w:val="0015705D"/>
    <w:rsid w:val="00162256"/>
    <w:rsid w:val="00164715"/>
    <w:rsid w:val="00164D56"/>
    <w:rsid w:val="00167B10"/>
    <w:rsid w:val="0017009C"/>
    <w:rsid w:val="00171003"/>
    <w:rsid w:val="001713BA"/>
    <w:rsid w:val="001715C1"/>
    <w:rsid w:val="00173CD9"/>
    <w:rsid w:val="00173F5C"/>
    <w:rsid w:val="0017402F"/>
    <w:rsid w:val="00180776"/>
    <w:rsid w:val="00182EBE"/>
    <w:rsid w:val="00186C15"/>
    <w:rsid w:val="001914AE"/>
    <w:rsid w:val="001929BF"/>
    <w:rsid w:val="0019609E"/>
    <w:rsid w:val="0019631E"/>
    <w:rsid w:val="00196C1B"/>
    <w:rsid w:val="001B0F73"/>
    <w:rsid w:val="001B5C04"/>
    <w:rsid w:val="001C01B3"/>
    <w:rsid w:val="001C2814"/>
    <w:rsid w:val="001C396E"/>
    <w:rsid w:val="001C5005"/>
    <w:rsid w:val="001C5217"/>
    <w:rsid w:val="001C610B"/>
    <w:rsid w:val="001C7E8D"/>
    <w:rsid w:val="001D0378"/>
    <w:rsid w:val="001D0BB5"/>
    <w:rsid w:val="001D0DDB"/>
    <w:rsid w:val="001D2BDC"/>
    <w:rsid w:val="001D2C04"/>
    <w:rsid w:val="001D3B77"/>
    <w:rsid w:val="001D4190"/>
    <w:rsid w:val="001D5C04"/>
    <w:rsid w:val="001E0F20"/>
    <w:rsid w:val="001E1405"/>
    <w:rsid w:val="001E1A28"/>
    <w:rsid w:val="001E1B00"/>
    <w:rsid w:val="001E3B77"/>
    <w:rsid w:val="001E4379"/>
    <w:rsid w:val="001F0919"/>
    <w:rsid w:val="001F2785"/>
    <w:rsid w:val="001F3E1D"/>
    <w:rsid w:val="001F44CC"/>
    <w:rsid w:val="002001DC"/>
    <w:rsid w:val="00201633"/>
    <w:rsid w:val="002038EE"/>
    <w:rsid w:val="00204F63"/>
    <w:rsid w:val="00206677"/>
    <w:rsid w:val="002067EE"/>
    <w:rsid w:val="002111E5"/>
    <w:rsid w:val="00212794"/>
    <w:rsid w:val="0021579E"/>
    <w:rsid w:val="00216191"/>
    <w:rsid w:val="00217A96"/>
    <w:rsid w:val="002200F0"/>
    <w:rsid w:val="00220842"/>
    <w:rsid w:val="0022236A"/>
    <w:rsid w:val="00222A2D"/>
    <w:rsid w:val="00223029"/>
    <w:rsid w:val="00223B93"/>
    <w:rsid w:val="002247C4"/>
    <w:rsid w:val="002275E8"/>
    <w:rsid w:val="00231F16"/>
    <w:rsid w:val="002338AA"/>
    <w:rsid w:val="00233A40"/>
    <w:rsid w:val="00234745"/>
    <w:rsid w:val="00234D53"/>
    <w:rsid w:val="0023763F"/>
    <w:rsid w:val="00237E68"/>
    <w:rsid w:val="002407AF"/>
    <w:rsid w:val="00241220"/>
    <w:rsid w:val="00244F2C"/>
    <w:rsid w:val="00253FDC"/>
    <w:rsid w:val="00256CF1"/>
    <w:rsid w:val="002619A8"/>
    <w:rsid w:val="00261FF9"/>
    <w:rsid w:val="00263D45"/>
    <w:rsid w:val="00267C72"/>
    <w:rsid w:val="00271ABC"/>
    <w:rsid w:val="002723D4"/>
    <w:rsid w:val="002726FD"/>
    <w:rsid w:val="002733EE"/>
    <w:rsid w:val="0027388A"/>
    <w:rsid w:val="00275D07"/>
    <w:rsid w:val="00276975"/>
    <w:rsid w:val="0027795F"/>
    <w:rsid w:val="002817C7"/>
    <w:rsid w:val="00283981"/>
    <w:rsid w:val="0028682A"/>
    <w:rsid w:val="002869CE"/>
    <w:rsid w:val="00286A58"/>
    <w:rsid w:val="002875F1"/>
    <w:rsid w:val="00292AE0"/>
    <w:rsid w:val="00293E29"/>
    <w:rsid w:val="002961AC"/>
    <w:rsid w:val="002A387E"/>
    <w:rsid w:val="002A4782"/>
    <w:rsid w:val="002B07F2"/>
    <w:rsid w:val="002B28F5"/>
    <w:rsid w:val="002C09E3"/>
    <w:rsid w:val="002C26E5"/>
    <w:rsid w:val="002C6A8C"/>
    <w:rsid w:val="002D6790"/>
    <w:rsid w:val="002D7F8D"/>
    <w:rsid w:val="002E3C76"/>
    <w:rsid w:val="002F4166"/>
    <w:rsid w:val="002F4FDE"/>
    <w:rsid w:val="002F7E64"/>
    <w:rsid w:val="00302306"/>
    <w:rsid w:val="0030377C"/>
    <w:rsid w:val="00304EF1"/>
    <w:rsid w:val="00311695"/>
    <w:rsid w:val="00311932"/>
    <w:rsid w:val="00312D96"/>
    <w:rsid w:val="00313948"/>
    <w:rsid w:val="00314EBD"/>
    <w:rsid w:val="00316336"/>
    <w:rsid w:val="003237BA"/>
    <w:rsid w:val="003267C1"/>
    <w:rsid w:val="00326CBC"/>
    <w:rsid w:val="0033246D"/>
    <w:rsid w:val="00337B9A"/>
    <w:rsid w:val="003414B6"/>
    <w:rsid w:val="00343380"/>
    <w:rsid w:val="00343A5C"/>
    <w:rsid w:val="00345CB4"/>
    <w:rsid w:val="0034606E"/>
    <w:rsid w:val="003504C0"/>
    <w:rsid w:val="00350E66"/>
    <w:rsid w:val="00351D63"/>
    <w:rsid w:val="0035207B"/>
    <w:rsid w:val="00353379"/>
    <w:rsid w:val="00355FFA"/>
    <w:rsid w:val="00356500"/>
    <w:rsid w:val="0036188C"/>
    <w:rsid w:val="003625CD"/>
    <w:rsid w:val="003645D0"/>
    <w:rsid w:val="003658D7"/>
    <w:rsid w:val="00366940"/>
    <w:rsid w:val="00370913"/>
    <w:rsid w:val="00373208"/>
    <w:rsid w:val="00374BB0"/>
    <w:rsid w:val="0037686D"/>
    <w:rsid w:val="00380219"/>
    <w:rsid w:val="003820B2"/>
    <w:rsid w:val="00384FE3"/>
    <w:rsid w:val="00386E75"/>
    <w:rsid w:val="00387C88"/>
    <w:rsid w:val="00390194"/>
    <w:rsid w:val="00390DF8"/>
    <w:rsid w:val="00391FF8"/>
    <w:rsid w:val="003927C9"/>
    <w:rsid w:val="00394738"/>
    <w:rsid w:val="003965DA"/>
    <w:rsid w:val="00397351"/>
    <w:rsid w:val="003A0DF4"/>
    <w:rsid w:val="003A3F17"/>
    <w:rsid w:val="003A49B3"/>
    <w:rsid w:val="003A7700"/>
    <w:rsid w:val="003A7DF5"/>
    <w:rsid w:val="003B103A"/>
    <w:rsid w:val="003B1118"/>
    <w:rsid w:val="003B325F"/>
    <w:rsid w:val="003B45C0"/>
    <w:rsid w:val="003C17B8"/>
    <w:rsid w:val="003C2EF7"/>
    <w:rsid w:val="003C499E"/>
    <w:rsid w:val="003C542A"/>
    <w:rsid w:val="003C5A46"/>
    <w:rsid w:val="003C7D0D"/>
    <w:rsid w:val="003D069C"/>
    <w:rsid w:val="003D0E26"/>
    <w:rsid w:val="003D1A07"/>
    <w:rsid w:val="003D1EDD"/>
    <w:rsid w:val="003D2E9F"/>
    <w:rsid w:val="003D34EB"/>
    <w:rsid w:val="003D57B4"/>
    <w:rsid w:val="003D7646"/>
    <w:rsid w:val="003D79DD"/>
    <w:rsid w:val="003E025A"/>
    <w:rsid w:val="003E0E26"/>
    <w:rsid w:val="003E1380"/>
    <w:rsid w:val="003E2CA6"/>
    <w:rsid w:val="003E44A7"/>
    <w:rsid w:val="003F113A"/>
    <w:rsid w:val="003F2242"/>
    <w:rsid w:val="00400158"/>
    <w:rsid w:val="00400B12"/>
    <w:rsid w:val="00401AFE"/>
    <w:rsid w:val="0040509F"/>
    <w:rsid w:val="00405873"/>
    <w:rsid w:val="00411483"/>
    <w:rsid w:val="00411CE8"/>
    <w:rsid w:val="00412BF5"/>
    <w:rsid w:val="0041328B"/>
    <w:rsid w:val="004136F6"/>
    <w:rsid w:val="00414643"/>
    <w:rsid w:val="004164DB"/>
    <w:rsid w:val="00416743"/>
    <w:rsid w:val="004175E4"/>
    <w:rsid w:val="00420509"/>
    <w:rsid w:val="00420856"/>
    <w:rsid w:val="00422749"/>
    <w:rsid w:val="00425C70"/>
    <w:rsid w:val="0043536D"/>
    <w:rsid w:val="00435D55"/>
    <w:rsid w:val="00440B13"/>
    <w:rsid w:val="004421E5"/>
    <w:rsid w:val="00444740"/>
    <w:rsid w:val="0044475D"/>
    <w:rsid w:val="004504E8"/>
    <w:rsid w:val="00450A45"/>
    <w:rsid w:val="00450AA2"/>
    <w:rsid w:val="00452284"/>
    <w:rsid w:val="004532DE"/>
    <w:rsid w:val="00453EA5"/>
    <w:rsid w:val="00454229"/>
    <w:rsid w:val="00455A45"/>
    <w:rsid w:val="00455D80"/>
    <w:rsid w:val="00456CCF"/>
    <w:rsid w:val="00457E38"/>
    <w:rsid w:val="00464E54"/>
    <w:rsid w:val="00471751"/>
    <w:rsid w:val="00471C09"/>
    <w:rsid w:val="00471DF1"/>
    <w:rsid w:val="004726F4"/>
    <w:rsid w:val="0047382C"/>
    <w:rsid w:val="00474018"/>
    <w:rsid w:val="00474EE4"/>
    <w:rsid w:val="00480EAB"/>
    <w:rsid w:val="004817BF"/>
    <w:rsid w:val="0048272B"/>
    <w:rsid w:val="00483637"/>
    <w:rsid w:val="004856CA"/>
    <w:rsid w:val="004858CE"/>
    <w:rsid w:val="004901DB"/>
    <w:rsid w:val="00491B6C"/>
    <w:rsid w:val="004952A9"/>
    <w:rsid w:val="004955F2"/>
    <w:rsid w:val="0049705E"/>
    <w:rsid w:val="004A2F83"/>
    <w:rsid w:val="004A34A0"/>
    <w:rsid w:val="004A7C4D"/>
    <w:rsid w:val="004B1242"/>
    <w:rsid w:val="004B3C53"/>
    <w:rsid w:val="004B3D1E"/>
    <w:rsid w:val="004D1625"/>
    <w:rsid w:val="004D2119"/>
    <w:rsid w:val="004D3A14"/>
    <w:rsid w:val="004D3EE3"/>
    <w:rsid w:val="004E2013"/>
    <w:rsid w:val="004E2706"/>
    <w:rsid w:val="004E2CC2"/>
    <w:rsid w:val="004E4F30"/>
    <w:rsid w:val="004E61D8"/>
    <w:rsid w:val="004E7FD7"/>
    <w:rsid w:val="004F38FF"/>
    <w:rsid w:val="004F4D8D"/>
    <w:rsid w:val="004F7E66"/>
    <w:rsid w:val="005018B2"/>
    <w:rsid w:val="00501CA7"/>
    <w:rsid w:val="00504A94"/>
    <w:rsid w:val="00504DFE"/>
    <w:rsid w:val="00510143"/>
    <w:rsid w:val="00513F69"/>
    <w:rsid w:val="0051541A"/>
    <w:rsid w:val="0051706B"/>
    <w:rsid w:val="0051770D"/>
    <w:rsid w:val="00517768"/>
    <w:rsid w:val="005208F9"/>
    <w:rsid w:val="00522FB4"/>
    <w:rsid w:val="0052570B"/>
    <w:rsid w:val="0052599B"/>
    <w:rsid w:val="00526B7B"/>
    <w:rsid w:val="005308CE"/>
    <w:rsid w:val="00533278"/>
    <w:rsid w:val="00535DE4"/>
    <w:rsid w:val="00540DF8"/>
    <w:rsid w:val="00540E2B"/>
    <w:rsid w:val="0054238B"/>
    <w:rsid w:val="00542D4D"/>
    <w:rsid w:val="00542F5A"/>
    <w:rsid w:val="00543D28"/>
    <w:rsid w:val="0055140A"/>
    <w:rsid w:val="00553240"/>
    <w:rsid w:val="00553304"/>
    <w:rsid w:val="005543DF"/>
    <w:rsid w:val="0055583B"/>
    <w:rsid w:val="00556989"/>
    <w:rsid w:val="0055761F"/>
    <w:rsid w:val="00557C2E"/>
    <w:rsid w:val="00565A74"/>
    <w:rsid w:val="005706A3"/>
    <w:rsid w:val="0057439C"/>
    <w:rsid w:val="00577276"/>
    <w:rsid w:val="005801F9"/>
    <w:rsid w:val="0058269B"/>
    <w:rsid w:val="00587649"/>
    <w:rsid w:val="005925AC"/>
    <w:rsid w:val="005944C1"/>
    <w:rsid w:val="00594F62"/>
    <w:rsid w:val="005A2FC3"/>
    <w:rsid w:val="005A4A42"/>
    <w:rsid w:val="005A776B"/>
    <w:rsid w:val="005A7A2A"/>
    <w:rsid w:val="005B0127"/>
    <w:rsid w:val="005B341B"/>
    <w:rsid w:val="005B5F30"/>
    <w:rsid w:val="005B6A52"/>
    <w:rsid w:val="005B7A35"/>
    <w:rsid w:val="005C0AFB"/>
    <w:rsid w:val="005C334D"/>
    <w:rsid w:val="005C3B1C"/>
    <w:rsid w:val="005C4B73"/>
    <w:rsid w:val="005C4D30"/>
    <w:rsid w:val="005C4EBC"/>
    <w:rsid w:val="005D0589"/>
    <w:rsid w:val="005D0F82"/>
    <w:rsid w:val="005D60F6"/>
    <w:rsid w:val="005D7F53"/>
    <w:rsid w:val="005E0142"/>
    <w:rsid w:val="005E0434"/>
    <w:rsid w:val="005E1D2B"/>
    <w:rsid w:val="005E3A7C"/>
    <w:rsid w:val="005E40B0"/>
    <w:rsid w:val="005F26C2"/>
    <w:rsid w:val="005F2C7A"/>
    <w:rsid w:val="005F5C6E"/>
    <w:rsid w:val="005F6DDC"/>
    <w:rsid w:val="005F7566"/>
    <w:rsid w:val="006006FC"/>
    <w:rsid w:val="00600D93"/>
    <w:rsid w:val="00601C4A"/>
    <w:rsid w:val="00604106"/>
    <w:rsid w:val="006046DE"/>
    <w:rsid w:val="00606D01"/>
    <w:rsid w:val="006101EC"/>
    <w:rsid w:val="0061216D"/>
    <w:rsid w:val="0061295D"/>
    <w:rsid w:val="00613F19"/>
    <w:rsid w:val="0061462C"/>
    <w:rsid w:val="00615D21"/>
    <w:rsid w:val="00616FAD"/>
    <w:rsid w:val="00620B79"/>
    <w:rsid w:val="00621D45"/>
    <w:rsid w:val="006237E4"/>
    <w:rsid w:val="006269DC"/>
    <w:rsid w:val="00627883"/>
    <w:rsid w:val="00630320"/>
    <w:rsid w:val="00630D7D"/>
    <w:rsid w:val="00631BEF"/>
    <w:rsid w:val="0063300C"/>
    <w:rsid w:val="006350E4"/>
    <w:rsid w:val="00644794"/>
    <w:rsid w:val="0064497A"/>
    <w:rsid w:val="006449E8"/>
    <w:rsid w:val="00646E1B"/>
    <w:rsid w:val="00647FDC"/>
    <w:rsid w:val="00651871"/>
    <w:rsid w:val="006527F9"/>
    <w:rsid w:val="006536B1"/>
    <w:rsid w:val="00655736"/>
    <w:rsid w:val="00660DE6"/>
    <w:rsid w:val="00661D21"/>
    <w:rsid w:val="00663B8D"/>
    <w:rsid w:val="006641BC"/>
    <w:rsid w:val="00665ACF"/>
    <w:rsid w:val="00673729"/>
    <w:rsid w:val="00674A53"/>
    <w:rsid w:val="00675BD4"/>
    <w:rsid w:val="00676D99"/>
    <w:rsid w:val="00677E27"/>
    <w:rsid w:val="00682A3D"/>
    <w:rsid w:val="00685B69"/>
    <w:rsid w:val="00687286"/>
    <w:rsid w:val="006876D3"/>
    <w:rsid w:val="00694967"/>
    <w:rsid w:val="00694B48"/>
    <w:rsid w:val="00695E0F"/>
    <w:rsid w:val="00696C8D"/>
    <w:rsid w:val="00696DEB"/>
    <w:rsid w:val="006A0A98"/>
    <w:rsid w:val="006A107E"/>
    <w:rsid w:val="006A1C38"/>
    <w:rsid w:val="006A2AC2"/>
    <w:rsid w:val="006A31E5"/>
    <w:rsid w:val="006A3617"/>
    <w:rsid w:val="006A3846"/>
    <w:rsid w:val="006A5FAC"/>
    <w:rsid w:val="006B23CA"/>
    <w:rsid w:val="006B2CDD"/>
    <w:rsid w:val="006D0836"/>
    <w:rsid w:val="006D10E5"/>
    <w:rsid w:val="006D2E80"/>
    <w:rsid w:val="006D4D84"/>
    <w:rsid w:val="006D7193"/>
    <w:rsid w:val="006E17C0"/>
    <w:rsid w:val="006E46E4"/>
    <w:rsid w:val="006E6587"/>
    <w:rsid w:val="006F0CDC"/>
    <w:rsid w:val="006F3AD8"/>
    <w:rsid w:val="00704266"/>
    <w:rsid w:val="0070701F"/>
    <w:rsid w:val="00717DA5"/>
    <w:rsid w:val="007335B1"/>
    <w:rsid w:val="00733DFF"/>
    <w:rsid w:val="00734244"/>
    <w:rsid w:val="00735BF7"/>
    <w:rsid w:val="00735E7D"/>
    <w:rsid w:val="0073653E"/>
    <w:rsid w:val="007405F8"/>
    <w:rsid w:val="00741339"/>
    <w:rsid w:val="00742A33"/>
    <w:rsid w:val="00742E92"/>
    <w:rsid w:val="00744484"/>
    <w:rsid w:val="00745458"/>
    <w:rsid w:val="0074723F"/>
    <w:rsid w:val="0074773E"/>
    <w:rsid w:val="0075168A"/>
    <w:rsid w:val="00752D1E"/>
    <w:rsid w:val="007561EE"/>
    <w:rsid w:val="007566AA"/>
    <w:rsid w:val="00761108"/>
    <w:rsid w:val="00761B30"/>
    <w:rsid w:val="00763A0D"/>
    <w:rsid w:val="00763D4B"/>
    <w:rsid w:val="007670E1"/>
    <w:rsid w:val="00767D85"/>
    <w:rsid w:val="00773188"/>
    <w:rsid w:val="00775A1B"/>
    <w:rsid w:val="00783782"/>
    <w:rsid w:val="00784135"/>
    <w:rsid w:val="00784B8C"/>
    <w:rsid w:val="0078508E"/>
    <w:rsid w:val="00786831"/>
    <w:rsid w:val="00787F21"/>
    <w:rsid w:val="00791AA1"/>
    <w:rsid w:val="0079354D"/>
    <w:rsid w:val="00793E00"/>
    <w:rsid w:val="007973BB"/>
    <w:rsid w:val="007A1141"/>
    <w:rsid w:val="007A1414"/>
    <w:rsid w:val="007A17D4"/>
    <w:rsid w:val="007A2383"/>
    <w:rsid w:val="007A2A54"/>
    <w:rsid w:val="007A3D46"/>
    <w:rsid w:val="007A7460"/>
    <w:rsid w:val="007B49B7"/>
    <w:rsid w:val="007B5363"/>
    <w:rsid w:val="007B6396"/>
    <w:rsid w:val="007B6CC7"/>
    <w:rsid w:val="007C03CE"/>
    <w:rsid w:val="007C1D7C"/>
    <w:rsid w:val="007C2D2A"/>
    <w:rsid w:val="007C3619"/>
    <w:rsid w:val="007C68D6"/>
    <w:rsid w:val="007D6144"/>
    <w:rsid w:val="007E1144"/>
    <w:rsid w:val="007E181E"/>
    <w:rsid w:val="007E24AB"/>
    <w:rsid w:val="007E5DEA"/>
    <w:rsid w:val="007F0B64"/>
    <w:rsid w:val="007F1296"/>
    <w:rsid w:val="0080067C"/>
    <w:rsid w:val="00805148"/>
    <w:rsid w:val="00805233"/>
    <w:rsid w:val="00806CEF"/>
    <w:rsid w:val="00807F95"/>
    <w:rsid w:val="008123A9"/>
    <w:rsid w:val="0081376A"/>
    <w:rsid w:val="00815776"/>
    <w:rsid w:val="00816DDC"/>
    <w:rsid w:val="00820B4C"/>
    <w:rsid w:val="008224A8"/>
    <w:rsid w:val="00823A11"/>
    <w:rsid w:val="00825AAB"/>
    <w:rsid w:val="00825E5B"/>
    <w:rsid w:val="008279CE"/>
    <w:rsid w:val="00832CC5"/>
    <w:rsid w:val="008338B0"/>
    <w:rsid w:val="00834DF4"/>
    <w:rsid w:val="00835058"/>
    <w:rsid w:val="0083511D"/>
    <w:rsid w:val="008361B0"/>
    <w:rsid w:val="00840DE5"/>
    <w:rsid w:val="008410B9"/>
    <w:rsid w:val="00841E68"/>
    <w:rsid w:val="00844F55"/>
    <w:rsid w:val="0084656D"/>
    <w:rsid w:val="00850423"/>
    <w:rsid w:val="00851EE5"/>
    <w:rsid w:val="0085206E"/>
    <w:rsid w:val="008523A5"/>
    <w:rsid w:val="00852866"/>
    <w:rsid w:val="00853A72"/>
    <w:rsid w:val="0085414A"/>
    <w:rsid w:val="008543D5"/>
    <w:rsid w:val="008567AD"/>
    <w:rsid w:val="00856E9F"/>
    <w:rsid w:val="00861478"/>
    <w:rsid w:val="00861C02"/>
    <w:rsid w:val="0086269D"/>
    <w:rsid w:val="00863A95"/>
    <w:rsid w:val="00864B82"/>
    <w:rsid w:val="0086543A"/>
    <w:rsid w:val="008660C2"/>
    <w:rsid w:val="00866DDB"/>
    <w:rsid w:val="0086792E"/>
    <w:rsid w:val="00867CCC"/>
    <w:rsid w:val="00870972"/>
    <w:rsid w:val="008718EE"/>
    <w:rsid w:val="00872417"/>
    <w:rsid w:val="008724E5"/>
    <w:rsid w:val="0087266E"/>
    <w:rsid w:val="008743B2"/>
    <w:rsid w:val="008766FA"/>
    <w:rsid w:val="00876893"/>
    <w:rsid w:val="00883E9B"/>
    <w:rsid w:val="00884A9D"/>
    <w:rsid w:val="0088512B"/>
    <w:rsid w:val="008869D1"/>
    <w:rsid w:val="008878FB"/>
    <w:rsid w:val="00887928"/>
    <w:rsid w:val="0089005B"/>
    <w:rsid w:val="00890E86"/>
    <w:rsid w:val="00892029"/>
    <w:rsid w:val="008926DB"/>
    <w:rsid w:val="008955BF"/>
    <w:rsid w:val="00895992"/>
    <w:rsid w:val="008A0658"/>
    <w:rsid w:val="008A2B2D"/>
    <w:rsid w:val="008A4E1E"/>
    <w:rsid w:val="008B5AC0"/>
    <w:rsid w:val="008B6508"/>
    <w:rsid w:val="008B6CFC"/>
    <w:rsid w:val="008C0A66"/>
    <w:rsid w:val="008C296C"/>
    <w:rsid w:val="008C2DDE"/>
    <w:rsid w:val="008C4CBE"/>
    <w:rsid w:val="008C527F"/>
    <w:rsid w:val="008C59BE"/>
    <w:rsid w:val="008D11D7"/>
    <w:rsid w:val="008D2037"/>
    <w:rsid w:val="008D2F32"/>
    <w:rsid w:val="008D4305"/>
    <w:rsid w:val="008D6F4C"/>
    <w:rsid w:val="008E3747"/>
    <w:rsid w:val="008E502E"/>
    <w:rsid w:val="008E6AE6"/>
    <w:rsid w:val="008E7690"/>
    <w:rsid w:val="008E796C"/>
    <w:rsid w:val="008F17B7"/>
    <w:rsid w:val="008F629F"/>
    <w:rsid w:val="00900E4D"/>
    <w:rsid w:val="00903385"/>
    <w:rsid w:val="00905753"/>
    <w:rsid w:val="0090662E"/>
    <w:rsid w:val="0091595E"/>
    <w:rsid w:val="009163A7"/>
    <w:rsid w:val="0092105E"/>
    <w:rsid w:val="0092128F"/>
    <w:rsid w:val="00922983"/>
    <w:rsid w:val="00923E52"/>
    <w:rsid w:val="00924B2C"/>
    <w:rsid w:val="009261A2"/>
    <w:rsid w:val="00926E56"/>
    <w:rsid w:val="00927AAF"/>
    <w:rsid w:val="00930C47"/>
    <w:rsid w:val="00930EA2"/>
    <w:rsid w:val="00932644"/>
    <w:rsid w:val="00935204"/>
    <w:rsid w:val="00940A67"/>
    <w:rsid w:val="00946D0B"/>
    <w:rsid w:val="00946EE0"/>
    <w:rsid w:val="00950839"/>
    <w:rsid w:val="009516E7"/>
    <w:rsid w:val="00954A81"/>
    <w:rsid w:val="009559D5"/>
    <w:rsid w:val="00956ECA"/>
    <w:rsid w:val="00957107"/>
    <w:rsid w:val="009651E0"/>
    <w:rsid w:val="009663D8"/>
    <w:rsid w:val="00972F61"/>
    <w:rsid w:val="00974BE6"/>
    <w:rsid w:val="0097556E"/>
    <w:rsid w:val="009755DB"/>
    <w:rsid w:val="00975917"/>
    <w:rsid w:val="00976D4F"/>
    <w:rsid w:val="00977DF6"/>
    <w:rsid w:val="00981775"/>
    <w:rsid w:val="00981E65"/>
    <w:rsid w:val="009837E0"/>
    <w:rsid w:val="00983D39"/>
    <w:rsid w:val="009852FD"/>
    <w:rsid w:val="009854EB"/>
    <w:rsid w:val="009901B2"/>
    <w:rsid w:val="0099245F"/>
    <w:rsid w:val="0099401F"/>
    <w:rsid w:val="0099499A"/>
    <w:rsid w:val="00995049"/>
    <w:rsid w:val="00995F32"/>
    <w:rsid w:val="009A1240"/>
    <w:rsid w:val="009A14AE"/>
    <w:rsid w:val="009A18CD"/>
    <w:rsid w:val="009A3035"/>
    <w:rsid w:val="009A5035"/>
    <w:rsid w:val="009C0E76"/>
    <w:rsid w:val="009C16A3"/>
    <w:rsid w:val="009C3EF1"/>
    <w:rsid w:val="009C44AD"/>
    <w:rsid w:val="009C613E"/>
    <w:rsid w:val="009C6913"/>
    <w:rsid w:val="009D1ED8"/>
    <w:rsid w:val="009D25C3"/>
    <w:rsid w:val="009D34A1"/>
    <w:rsid w:val="009E1612"/>
    <w:rsid w:val="009E1932"/>
    <w:rsid w:val="009E1BB7"/>
    <w:rsid w:val="00A0047B"/>
    <w:rsid w:val="00A04519"/>
    <w:rsid w:val="00A059E2"/>
    <w:rsid w:val="00A10918"/>
    <w:rsid w:val="00A12558"/>
    <w:rsid w:val="00A13903"/>
    <w:rsid w:val="00A158CB"/>
    <w:rsid w:val="00A17C72"/>
    <w:rsid w:val="00A213B4"/>
    <w:rsid w:val="00A21D2B"/>
    <w:rsid w:val="00A22D5D"/>
    <w:rsid w:val="00A26D3D"/>
    <w:rsid w:val="00A33BA7"/>
    <w:rsid w:val="00A34ED5"/>
    <w:rsid w:val="00A4045D"/>
    <w:rsid w:val="00A4170F"/>
    <w:rsid w:val="00A42009"/>
    <w:rsid w:val="00A42754"/>
    <w:rsid w:val="00A45DBF"/>
    <w:rsid w:val="00A46907"/>
    <w:rsid w:val="00A46A8D"/>
    <w:rsid w:val="00A5262F"/>
    <w:rsid w:val="00A56114"/>
    <w:rsid w:val="00A62C38"/>
    <w:rsid w:val="00A64996"/>
    <w:rsid w:val="00A66A1D"/>
    <w:rsid w:val="00A70A9D"/>
    <w:rsid w:val="00A721C0"/>
    <w:rsid w:val="00A746BD"/>
    <w:rsid w:val="00A755A2"/>
    <w:rsid w:val="00A806AF"/>
    <w:rsid w:val="00A94B28"/>
    <w:rsid w:val="00A94CD2"/>
    <w:rsid w:val="00A94D8B"/>
    <w:rsid w:val="00A9584D"/>
    <w:rsid w:val="00AA12F3"/>
    <w:rsid w:val="00AA4182"/>
    <w:rsid w:val="00AA4A57"/>
    <w:rsid w:val="00AA6660"/>
    <w:rsid w:val="00AB2C36"/>
    <w:rsid w:val="00AB70B6"/>
    <w:rsid w:val="00AB77DD"/>
    <w:rsid w:val="00AC03D3"/>
    <w:rsid w:val="00AC25D5"/>
    <w:rsid w:val="00AC506E"/>
    <w:rsid w:val="00AC5431"/>
    <w:rsid w:val="00AC65C8"/>
    <w:rsid w:val="00AC6B83"/>
    <w:rsid w:val="00AD1151"/>
    <w:rsid w:val="00AD1A86"/>
    <w:rsid w:val="00AD245C"/>
    <w:rsid w:val="00AD425B"/>
    <w:rsid w:val="00AD7638"/>
    <w:rsid w:val="00AE103E"/>
    <w:rsid w:val="00AE2062"/>
    <w:rsid w:val="00AE54DC"/>
    <w:rsid w:val="00AE5B94"/>
    <w:rsid w:val="00AE6A1D"/>
    <w:rsid w:val="00AE7239"/>
    <w:rsid w:val="00AF0930"/>
    <w:rsid w:val="00AF0A07"/>
    <w:rsid w:val="00AF17D5"/>
    <w:rsid w:val="00AF4AD5"/>
    <w:rsid w:val="00AF4AEC"/>
    <w:rsid w:val="00AF625E"/>
    <w:rsid w:val="00B01195"/>
    <w:rsid w:val="00B0487A"/>
    <w:rsid w:val="00B05171"/>
    <w:rsid w:val="00B066B3"/>
    <w:rsid w:val="00B06A89"/>
    <w:rsid w:val="00B10ADD"/>
    <w:rsid w:val="00B11AB6"/>
    <w:rsid w:val="00B12CD3"/>
    <w:rsid w:val="00B13BAD"/>
    <w:rsid w:val="00B211EF"/>
    <w:rsid w:val="00B233C2"/>
    <w:rsid w:val="00B23798"/>
    <w:rsid w:val="00B255B3"/>
    <w:rsid w:val="00B2645C"/>
    <w:rsid w:val="00B31F8F"/>
    <w:rsid w:val="00B41D9B"/>
    <w:rsid w:val="00B4392B"/>
    <w:rsid w:val="00B5212B"/>
    <w:rsid w:val="00B52FFB"/>
    <w:rsid w:val="00B5429E"/>
    <w:rsid w:val="00B54CF5"/>
    <w:rsid w:val="00B5572E"/>
    <w:rsid w:val="00B56CD3"/>
    <w:rsid w:val="00B56F7B"/>
    <w:rsid w:val="00B620FF"/>
    <w:rsid w:val="00B67E59"/>
    <w:rsid w:val="00B72192"/>
    <w:rsid w:val="00B769BC"/>
    <w:rsid w:val="00B8318A"/>
    <w:rsid w:val="00B855DD"/>
    <w:rsid w:val="00B86873"/>
    <w:rsid w:val="00B86A2E"/>
    <w:rsid w:val="00B87144"/>
    <w:rsid w:val="00B9400D"/>
    <w:rsid w:val="00BA0EBE"/>
    <w:rsid w:val="00BA4F1B"/>
    <w:rsid w:val="00BA6165"/>
    <w:rsid w:val="00BA6510"/>
    <w:rsid w:val="00BA6FBC"/>
    <w:rsid w:val="00BA74C4"/>
    <w:rsid w:val="00BA7F24"/>
    <w:rsid w:val="00BB04AF"/>
    <w:rsid w:val="00BB2CC0"/>
    <w:rsid w:val="00BB5D4C"/>
    <w:rsid w:val="00BB730F"/>
    <w:rsid w:val="00BB76F7"/>
    <w:rsid w:val="00BB7F07"/>
    <w:rsid w:val="00BC03FD"/>
    <w:rsid w:val="00BC146D"/>
    <w:rsid w:val="00BC4B38"/>
    <w:rsid w:val="00BD2EC7"/>
    <w:rsid w:val="00BD52C9"/>
    <w:rsid w:val="00BD5974"/>
    <w:rsid w:val="00BE23E2"/>
    <w:rsid w:val="00BE3909"/>
    <w:rsid w:val="00BE3D40"/>
    <w:rsid w:val="00BE6354"/>
    <w:rsid w:val="00BE75D7"/>
    <w:rsid w:val="00BF2A54"/>
    <w:rsid w:val="00BF4AE9"/>
    <w:rsid w:val="00BF5102"/>
    <w:rsid w:val="00BF62E4"/>
    <w:rsid w:val="00C00351"/>
    <w:rsid w:val="00C02674"/>
    <w:rsid w:val="00C048A9"/>
    <w:rsid w:val="00C05BE4"/>
    <w:rsid w:val="00C074A4"/>
    <w:rsid w:val="00C12ABF"/>
    <w:rsid w:val="00C12DD5"/>
    <w:rsid w:val="00C137AD"/>
    <w:rsid w:val="00C138EC"/>
    <w:rsid w:val="00C14E64"/>
    <w:rsid w:val="00C16372"/>
    <w:rsid w:val="00C21043"/>
    <w:rsid w:val="00C22430"/>
    <w:rsid w:val="00C224D7"/>
    <w:rsid w:val="00C2370C"/>
    <w:rsid w:val="00C23A97"/>
    <w:rsid w:val="00C308EE"/>
    <w:rsid w:val="00C40B38"/>
    <w:rsid w:val="00C4208E"/>
    <w:rsid w:val="00C42BBF"/>
    <w:rsid w:val="00C42F1E"/>
    <w:rsid w:val="00C455CA"/>
    <w:rsid w:val="00C60EDC"/>
    <w:rsid w:val="00C642F2"/>
    <w:rsid w:val="00C6502A"/>
    <w:rsid w:val="00C65644"/>
    <w:rsid w:val="00C65721"/>
    <w:rsid w:val="00C65F7D"/>
    <w:rsid w:val="00C66924"/>
    <w:rsid w:val="00C67869"/>
    <w:rsid w:val="00C70328"/>
    <w:rsid w:val="00C70EA7"/>
    <w:rsid w:val="00C72A10"/>
    <w:rsid w:val="00C741D9"/>
    <w:rsid w:val="00C749DB"/>
    <w:rsid w:val="00C7516E"/>
    <w:rsid w:val="00C75770"/>
    <w:rsid w:val="00C76E9C"/>
    <w:rsid w:val="00C7774B"/>
    <w:rsid w:val="00C8026A"/>
    <w:rsid w:val="00C809D2"/>
    <w:rsid w:val="00C818A4"/>
    <w:rsid w:val="00C81EAF"/>
    <w:rsid w:val="00C83899"/>
    <w:rsid w:val="00C86A89"/>
    <w:rsid w:val="00C9306A"/>
    <w:rsid w:val="00C94EC8"/>
    <w:rsid w:val="00CA01A8"/>
    <w:rsid w:val="00CA3803"/>
    <w:rsid w:val="00CA61AF"/>
    <w:rsid w:val="00CA698E"/>
    <w:rsid w:val="00CB20B3"/>
    <w:rsid w:val="00CB30EA"/>
    <w:rsid w:val="00CB6F10"/>
    <w:rsid w:val="00CB71B5"/>
    <w:rsid w:val="00CC39C4"/>
    <w:rsid w:val="00CC39CE"/>
    <w:rsid w:val="00CC61AD"/>
    <w:rsid w:val="00CC71B0"/>
    <w:rsid w:val="00CC7970"/>
    <w:rsid w:val="00CD1824"/>
    <w:rsid w:val="00CD6B85"/>
    <w:rsid w:val="00CE0505"/>
    <w:rsid w:val="00CE2D1F"/>
    <w:rsid w:val="00CF42E9"/>
    <w:rsid w:val="00CF6B95"/>
    <w:rsid w:val="00CF6FAD"/>
    <w:rsid w:val="00CF773F"/>
    <w:rsid w:val="00D00037"/>
    <w:rsid w:val="00D004D7"/>
    <w:rsid w:val="00D00B2B"/>
    <w:rsid w:val="00D02C59"/>
    <w:rsid w:val="00D078FE"/>
    <w:rsid w:val="00D139CA"/>
    <w:rsid w:val="00D174C5"/>
    <w:rsid w:val="00D177B1"/>
    <w:rsid w:val="00D20FEB"/>
    <w:rsid w:val="00D21016"/>
    <w:rsid w:val="00D21629"/>
    <w:rsid w:val="00D2282C"/>
    <w:rsid w:val="00D23471"/>
    <w:rsid w:val="00D24877"/>
    <w:rsid w:val="00D2498F"/>
    <w:rsid w:val="00D251FD"/>
    <w:rsid w:val="00D337D3"/>
    <w:rsid w:val="00D379F5"/>
    <w:rsid w:val="00D42A83"/>
    <w:rsid w:val="00D4477B"/>
    <w:rsid w:val="00D45C11"/>
    <w:rsid w:val="00D5172C"/>
    <w:rsid w:val="00D56355"/>
    <w:rsid w:val="00D56CE1"/>
    <w:rsid w:val="00D60087"/>
    <w:rsid w:val="00D60505"/>
    <w:rsid w:val="00D61E8A"/>
    <w:rsid w:val="00D61F16"/>
    <w:rsid w:val="00D62D08"/>
    <w:rsid w:val="00D6447C"/>
    <w:rsid w:val="00D65292"/>
    <w:rsid w:val="00D72A99"/>
    <w:rsid w:val="00D75699"/>
    <w:rsid w:val="00D75835"/>
    <w:rsid w:val="00D76D6F"/>
    <w:rsid w:val="00D76E5B"/>
    <w:rsid w:val="00D771CF"/>
    <w:rsid w:val="00D809AE"/>
    <w:rsid w:val="00D80D76"/>
    <w:rsid w:val="00D815DE"/>
    <w:rsid w:val="00D82572"/>
    <w:rsid w:val="00D913AD"/>
    <w:rsid w:val="00D95C4C"/>
    <w:rsid w:val="00D9654A"/>
    <w:rsid w:val="00D974AD"/>
    <w:rsid w:val="00DA104E"/>
    <w:rsid w:val="00DA1528"/>
    <w:rsid w:val="00DA1B55"/>
    <w:rsid w:val="00DA2CD4"/>
    <w:rsid w:val="00DA36ED"/>
    <w:rsid w:val="00DB0F49"/>
    <w:rsid w:val="00DC0981"/>
    <w:rsid w:val="00DC2347"/>
    <w:rsid w:val="00DC405F"/>
    <w:rsid w:val="00DC65F6"/>
    <w:rsid w:val="00DC72AA"/>
    <w:rsid w:val="00DD4850"/>
    <w:rsid w:val="00DD49FC"/>
    <w:rsid w:val="00DD6A01"/>
    <w:rsid w:val="00DE2B21"/>
    <w:rsid w:val="00DE320D"/>
    <w:rsid w:val="00DE34F1"/>
    <w:rsid w:val="00DE34F7"/>
    <w:rsid w:val="00DE38CE"/>
    <w:rsid w:val="00DE45BC"/>
    <w:rsid w:val="00DE4B84"/>
    <w:rsid w:val="00DF0CEA"/>
    <w:rsid w:val="00DF2D5A"/>
    <w:rsid w:val="00DF4942"/>
    <w:rsid w:val="00E05A87"/>
    <w:rsid w:val="00E14F26"/>
    <w:rsid w:val="00E15C32"/>
    <w:rsid w:val="00E17A56"/>
    <w:rsid w:val="00E23F6E"/>
    <w:rsid w:val="00E24485"/>
    <w:rsid w:val="00E268BD"/>
    <w:rsid w:val="00E270FB"/>
    <w:rsid w:val="00E30E7F"/>
    <w:rsid w:val="00E32FD5"/>
    <w:rsid w:val="00E36FF9"/>
    <w:rsid w:val="00E378FC"/>
    <w:rsid w:val="00E37BC5"/>
    <w:rsid w:val="00E42038"/>
    <w:rsid w:val="00E42162"/>
    <w:rsid w:val="00E43C98"/>
    <w:rsid w:val="00E46B8E"/>
    <w:rsid w:val="00E557FB"/>
    <w:rsid w:val="00E55B3E"/>
    <w:rsid w:val="00E627B1"/>
    <w:rsid w:val="00E63D3F"/>
    <w:rsid w:val="00E665A8"/>
    <w:rsid w:val="00E71B91"/>
    <w:rsid w:val="00E73093"/>
    <w:rsid w:val="00E746DB"/>
    <w:rsid w:val="00E74873"/>
    <w:rsid w:val="00E7517D"/>
    <w:rsid w:val="00E80C76"/>
    <w:rsid w:val="00E81873"/>
    <w:rsid w:val="00E81D74"/>
    <w:rsid w:val="00E8488E"/>
    <w:rsid w:val="00E84C76"/>
    <w:rsid w:val="00E91012"/>
    <w:rsid w:val="00E931D3"/>
    <w:rsid w:val="00E9376C"/>
    <w:rsid w:val="00E94AF2"/>
    <w:rsid w:val="00EA1A18"/>
    <w:rsid w:val="00EA1DFD"/>
    <w:rsid w:val="00EA26B5"/>
    <w:rsid w:val="00EA335E"/>
    <w:rsid w:val="00EA3CB3"/>
    <w:rsid w:val="00EA450B"/>
    <w:rsid w:val="00EA528C"/>
    <w:rsid w:val="00EB0910"/>
    <w:rsid w:val="00EB65A1"/>
    <w:rsid w:val="00EB7502"/>
    <w:rsid w:val="00EB7906"/>
    <w:rsid w:val="00EB7E7E"/>
    <w:rsid w:val="00EC0EE9"/>
    <w:rsid w:val="00EC0F1A"/>
    <w:rsid w:val="00EC4EB2"/>
    <w:rsid w:val="00EC611E"/>
    <w:rsid w:val="00ED01B1"/>
    <w:rsid w:val="00ED2599"/>
    <w:rsid w:val="00ED3C4E"/>
    <w:rsid w:val="00ED4A19"/>
    <w:rsid w:val="00ED68A1"/>
    <w:rsid w:val="00ED6BB0"/>
    <w:rsid w:val="00ED7D1D"/>
    <w:rsid w:val="00EE1BB4"/>
    <w:rsid w:val="00EE2803"/>
    <w:rsid w:val="00EE7B6D"/>
    <w:rsid w:val="00EF34E2"/>
    <w:rsid w:val="00EF7502"/>
    <w:rsid w:val="00F10D5B"/>
    <w:rsid w:val="00F11AAB"/>
    <w:rsid w:val="00F11AF8"/>
    <w:rsid w:val="00F12DE5"/>
    <w:rsid w:val="00F13432"/>
    <w:rsid w:val="00F14F87"/>
    <w:rsid w:val="00F16942"/>
    <w:rsid w:val="00F178F6"/>
    <w:rsid w:val="00F201E5"/>
    <w:rsid w:val="00F2039D"/>
    <w:rsid w:val="00F21FDC"/>
    <w:rsid w:val="00F22EF5"/>
    <w:rsid w:val="00F24CE4"/>
    <w:rsid w:val="00F25F82"/>
    <w:rsid w:val="00F265BE"/>
    <w:rsid w:val="00F276F6"/>
    <w:rsid w:val="00F31154"/>
    <w:rsid w:val="00F316B7"/>
    <w:rsid w:val="00F3369C"/>
    <w:rsid w:val="00F35C19"/>
    <w:rsid w:val="00F431FD"/>
    <w:rsid w:val="00F51A8B"/>
    <w:rsid w:val="00F51EE1"/>
    <w:rsid w:val="00F52FA7"/>
    <w:rsid w:val="00F53DE9"/>
    <w:rsid w:val="00F5560B"/>
    <w:rsid w:val="00F55C58"/>
    <w:rsid w:val="00F56B30"/>
    <w:rsid w:val="00F576CB"/>
    <w:rsid w:val="00F61211"/>
    <w:rsid w:val="00F61239"/>
    <w:rsid w:val="00F62B92"/>
    <w:rsid w:val="00F641D9"/>
    <w:rsid w:val="00F65C85"/>
    <w:rsid w:val="00F66E2E"/>
    <w:rsid w:val="00F677F0"/>
    <w:rsid w:val="00F70400"/>
    <w:rsid w:val="00F70B28"/>
    <w:rsid w:val="00F70D2D"/>
    <w:rsid w:val="00F71A02"/>
    <w:rsid w:val="00F72B27"/>
    <w:rsid w:val="00F73041"/>
    <w:rsid w:val="00F748C2"/>
    <w:rsid w:val="00F753DA"/>
    <w:rsid w:val="00F76DA6"/>
    <w:rsid w:val="00F82693"/>
    <w:rsid w:val="00F93736"/>
    <w:rsid w:val="00F95924"/>
    <w:rsid w:val="00F96E48"/>
    <w:rsid w:val="00F97597"/>
    <w:rsid w:val="00F9774A"/>
    <w:rsid w:val="00FA0E16"/>
    <w:rsid w:val="00FA3525"/>
    <w:rsid w:val="00FB303E"/>
    <w:rsid w:val="00FB41B2"/>
    <w:rsid w:val="00FB4265"/>
    <w:rsid w:val="00FB5877"/>
    <w:rsid w:val="00FB6755"/>
    <w:rsid w:val="00FB6961"/>
    <w:rsid w:val="00FB6BCE"/>
    <w:rsid w:val="00FB716F"/>
    <w:rsid w:val="00FC00D6"/>
    <w:rsid w:val="00FC0998"/>
    <w:rsid w:val="00FC6AB9"/>
    <w:rsid w:val="00FC7676"/>
    <w:rsid w:val="00FD044C"/>
    <w:rsid w:val="00FD1226"/>
    <w:rsid w:val="00FD2FC2"/>
    <w:rsid w:val="00FD4972"/>
    <w:rsid w:val="00FD6C6A"/>
    <w:rsid w:val="00FD7B61"/>
    <w:rsid w:val="00FE0B76"/>
    <w:rsid w:val="00FE14BD"/>
    <w:rsid w:val="00FE185A"/>
    <w:rsid w:val="00FE364A"/>
    <w:rsid w:val="00FE408B"/>
    <w:rsid w:val="00FE53DA"/>
    <w:rsid w:val="00FE641B"/>
    <w:rsid w:val="00FF0E0F"/>
    <w:rsid w:val="00FF1801"/>
    <w:rsid w:val="00FF4830"/>
    <w:rsid w:val="00FF515B"/>
    <w:rsid w:val="00FF6B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E66CDCB"/>
  <w15:docId w15:val="{6CF82827-FC6E-48DC-8D92-81936861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6355"/>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COM Heading"/>
    <w:basedOn w:val="Normal"/>
    <w:next w:val="Normal"/>
    <w:link w:val="Titre4Car"/>
    <w:qFormat/>
    <w:rsid w:val="00F71A02"/>
    <w:pPr>
      <w:keepNext/>
      <w:keepLines/>
      <w:numPr>
        <w:numId w:val="5"/>
      </w:numPr>
      <w:tabs>
        <w:tab w:val="left" w:pos="567"/>
      </w:tabs>
      <w:snapToGrid w:val="0"/>
      <w:spacing w:after="240"/>
      <w:ind w:left="567" w:hanging="567"/>
      <w:outlineLvl w:val="3"/>
    </w:pPr>
    <w:rPr>
      <w:rFonts w:ascii="Arial" w:hAnsi="Arial"/>
      <w:b/>
      <w:bCs/>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s-ES"/>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s-ES"/>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s-ES"/>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COM Heading Car"/>
    <w:link w:val="Titre4"/>
    <w:rsid w:val="00F71A02"/>
    <w:rPr>
      <w:rFonts w:ascii="Arial" w:eastAsia="Times New Roman" w:hAnsi="Arial"/>
      <w:b/>
      <w:bCs/>
      <w:snapToGrid w:val="0"/>
      <w:sz w:val="22"/>
      <w:szCs w:val="24"/>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2"/>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A94CD2"/>
    <w:pPr>
      <w:numPr>
        <w:numId w:val="3"/>
      </w:numPr>
      <w:spacing w:after="120"/>
      <w:ind w:left="567" w:hanging="567"/>
      <w:jc w:val="both"/>
    </w:pPr>
    <w:rPr>
      <w:rFonts w:ascii="Arial" w:eastAsia="Times New Roman" w:hAnsi="Arial" w:cs="Arial"/>
      <w:snapToGrid w:val="0"/>
      <w:sz w:val="22"/>
      <w:szCs w:val="22"/>
    </w:rPr>
  </w:style>
  <w:style w:type="paragraph" w:customStyle="1" w:styleId="GATitleResolution">
    <w:name w:val="GA Title Resolution"/>
    <w:basedOn w:val="Normal"/>
    <w:qFormat/>
    <w:rsid w:val="00DF2D5A"/>
    <w:pPr>
      <w:keepNext/>
      <w:spacing w:before="360" w:after="120"/>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1"/>
      </w:numPr>
      <w:autoSpaceDE w:val="0"/>
      <w:autoSpaceDN w:val="0"/>
      <w:adjustRightInd w:val="0"/>
      <w:spacing w:after="120"/>
      <w:jc w:val="both"/>
    </w:pPr>
    <w:rPr>
      <w:rFonts w:ascii="Arial" w:eastAsia="SimSun" w:hAnsi="Arial" w:cs="Arial"/>
      <w:sz w:val="22"/>
      <w:szCs w:val="22"/>
      <w:u w:val="single"/>
    </w:rPr>
  </w:style>
  <w:style w:type="paragraph" w:styleId="Notedebasdepage">
    <w:name w:val="footnote text"/>
    <w:basedOn w:val="Normal"/>
    <w:link w:val="NotedebasdepageCar"/>
    <w:uiPriority w:val="99"/>
    <w:unhideWhenUsed/>
    <w:rsid w:val="0005517B"/>
    <w:rPr>
      <w:sz w:val="20"/>
      <w:szCs w:val="20"/>
    </w:rPr>
  </w:style>
  <w:style w:type="character" w:customStyle="1" w:styleId="NotedebasdepageCar">
    <w:name w:val="Note de bas de page Car"/>
    <w:basedOn w:val="Policepardfaut"/>
    <w:link w:val="Notedebasdepage"/>
    <w:uiPriority w:val="99"/>
    <w:rsid w:val="0005517B"/>
    <w:rPr>
      <w:rFonts w:ascii="Times New Roman" w:eastAsia="Times New Roman" w:hAnsi="Times New Roman"/>
    </w:rPr>
  </w:style>
  <w:style w:type="character" w:styleId="Lienhypertexte">
    <w:name w:val="Hyperlink"/>
    <w:aliases w:val=" Car Car3 Char, Car Car3 Char Char Char Char"/>
    <w:link w:val="CarCar3"/>
    <w:unhideWhenUsed/>
    <w:rsid w:val="0005517B"/>
    <w:rPr>
      <w:color w:val="0000FF"/>
      <w:u w:val="single"/>
    </w:rPr>
  </w:style>
  <w:style w:type="character" w:styleId="Appelnotedebasdep">
    <w:name w:val="footnote reference"/>
    <w:uiPriority w:val="99"/>
    <w:unhideWhenUsed/>
    <w:rsid w:val="0005517B"/>
    <w:rPr>
      <w:vertAlign w:val="superscript"/>
    </w:rPr>
  </w:style>
  <w:style w:type="paragraph" w:styleId="Paragraphedeliste">
    <w:name w:val="List Paragraph"/>
    <w:aliases w:val="List Paragraph (numbered (a)),Lapis Bulleted List,Dot pt,F5 List Paragraph,No Spacing1,List Paragraph Char Char Char,Indicator Text,Numbered Para 1,Bullet 1,List Paragraph12,Bullet Points,MAIN CONTENT,List Paragraph1,Normal bullet 2"/>
    <w:basedOn w:val="Normal"/>
    <w:link w:val="ParagraphedelisteCar"/>
    <w:uiPriority w:val="34"/>
    <w:qFormat/>
    <w:rsid w:val="00ED3C4E"/>
    <w:pPr>
      <w:ind w:left="720"/>
      <w:contextualSpacing/>
    </w:pPr>
  </w:style>
  <w:style w:type="paragraph" w:customStyle="1" w:styleId="COMPara">
    <w:name w:val="COM Para"/>
    <w:qFormat/>
    <w:rsid w:val="00D76E5B"/>
    <w:pPr>
      <w:spacing w:after="120"/>
      <w:ind w:left="567" w:hanging="567"/>
    </w:pPr>
    <w:rPr>
      <w:rFonts w:ascii="Arial" w:eastAsia="Times New Roman" w:hAnsi="Arial" w:cs="Arial"/>
      <w:snapToGrid w:val="0"/>
      <w:sz w:val="22"/>
      <w:szCs w:val="22"/>
    </w:rPr>
  </w:style>
  <w:style w:type="paragraph" w:customStyle="1" w:styleId="U1">
    <w:name w:val="U.1"/>
    <w:basedOn w:val="Normal"/>
    <w:qFormat/>
    <w:rsid w:val="00D76E5B"/>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D76E5B"/>
    <w:pPr>
      <w:numPr>
        <w:numId w:val="6"/>
      </w:numPr>
      <w:autoSpaceDE w:val="0"/>
      <w:autoSpaceDN w:val="0"/>
      <w:adjustRightInd w:val="0"/>
      <w:spacing w:before="120" w:after="120"/>
      <w:ind w:right="284"/>
      <w:jc w:val="both"/>
    </w:pPr>
    <w:rPr>
      <w:rFonts w:ascii="Arial" w:eastAsia="SimSun" w:hAnsi="Arial" w:cs="Arial"/>
      <w:w w:val="90"/>
      <w:sz w:val="22"/>
      <w:szCs w:val="22"/>
    </w:rPr>
  </w:style>
  <w:style w:type="character" w:customStyle="1" w:styleId="iChar">
    <w:name w:val="(i) Char"/>
    <w:link w:val="i"/>
    <w:locked/>
    <w:rsid w:val="00D76E5B"/>
    <w:rPr>
      <w:rFonts w:ascii="Arial" w:hAnsi="Arial" w:cs="Arial"/>
      <w:w w:val="90"/>
      <w:sz w:val="22"/>
      <w:szCs w:val="22"/>
    </w:rPr>
  </w:style>
  <w:style w:type="character" w:styleId="Lienhypertextesuivivisit">
    <w:name w:val="FollowedHyperlink"/>
    <w:basedOn w:val="Policepardfaut"/>
    <w:uiPriority w:val="99"/>
    <w:semiHidden/>
    <w:unhideWhenUsed/>
    <w:rsid w:val="00D76E5B"/>
    <w:rPr>
      <w:color w:val="954F72" w:themeColor="followedHyperlink"/>
      <w:u w:val="single"/>
    </w:rPr>
  </w:style>
  <w:style w:type="paragraph" w:styleId="Rvision">
    <w:name w:val="Revision"/>
    <w:hidden/>
    <w:uiPriority w:val="99"/>
    <w:semiHidden/>
    <w:rsid w:val="00D76E5B"/>
    <w:rPr>
      <w:rFonts w:ascii="Times New Roman" w:eastAsia="Times New Roman" w:hAnsi="Times New Roman"/>
      <w:sz w:val="24"/>
      <w:szCs w:val="24"/>
    </w:rPr>
  </w:style>
  <w:style w:type="paragraph" w:customStyle="1" w:styleId="COMParaDecision">
    <w:name w:val="COM Para Decision"/>
    <w:basedOn w:val="Normal"/>
    <w:uiPriority w:val="99"/>
    <w:qFormat/>
    <w:rsid w:val="00D76E5B"/>
    <w:pPr>
      <w:autoSpaceDE w:val="0"/>
      <w:autoSpaceDN w:val="0"/>
      <w:adjustRightInd w:val="0"/>
      <w:spacing w:after="120"/>
      <w:ind w:left="1134" w:hanging="567"/>
      <w:jc w:val="both"/>
    </w:pPr>
    <w:rPr>
      <w:rFonts w:ascii="Arial" w:eastAsia="SimSun" w:hAnsi="Arial" w:cs="Arial"/>
      <w:sz w:val="22"/>
      <w:szCs w:val="22"/>
      <w:u w:val="single"/>
    </w:rPr>
  </w:style>
  <w:style w:type="character" w:customStyle="1" w:styleId="st1">
    <w:name w:val="st1"/>
    <w:rsid w:val="00D76E5B"/>
  </w:style>
  <w:style w:type="character" w:styleId="Marquedecommentaire">
    <w:name w:val="annotation reference"/>
    <w:basedOn w:val="Policepardfaut"/>
    <w:uiPriority w:val="99"/>
    <w:semiHidden/>
    <w:unhideWhenUsed/>
    <w:rsid w:val="00D76E5B"/>
    <w:rPr>
      <w:sz w:val="16"/>
      <w:szCs w:val="16"/>
    </w:rPr>
  </w:style>
  <w:style w:type="paragraph" w:styleId="Commentaire">
    <w:name w:val="annotation text"/>
    <w:basedOn w:val="Normal"/>
    <w:link w:val="CommentaireCar"/>
    <w:uiPriority w:val="99"/>
    <w:semiHidden/>
    <w:unhideWhenUsed/>
    <w:rsid w:val="00D76E5B"/>
    <w:rPr>
      <w:sz w:val="20"/>
      <w:szCs w:val="20"/>
    </w:rPr>
  </w:style>
  <w:style w:type="character" w:customStyle="1" w:styleId="CommentaireCar">
    <w:name w:val="Commentaire Car"/>
    <w:basedOn w:val="Policepardfaut"/>
    <w:link w:val="Commentaire"/>
    <w:uiPriority w:val="99"/>
    <w:semiHidden/>
    <w:rsid w:val="00D76E5B"/>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D76E5B"/>
    <w:rPr>
      <w:b/>
      <w:bCs/>
    </w:rPr>
  </w:style>
  <w:style w:type="character" w:customStyle="1" w:styleId="ObjetducommentaireCar">
    <w:name w:val="Objet du commentaire Car"/>
    <w:basedOn w:val="CommentaireCar"/>
    <w:link w:val="Objetducommentaire"/>
    <w:uiPriority w:val="99"/>
    <w:semiHidden/>
    <w:rsid w:val="00D76E5B"/>
    <w:rPr>
      <w:rFonts w:ascii="Times New Roman" w:eastAsia="Times New Roman" w:hAnsi="Times New Roman"/>
      <w:b/>
      <w:bCs/>
    </w:rPr>
  </w:style>
  <w:style w:type="paragraph" w:customStyle="1" w:styleId="Bullet1">
    <w:name w:val="Bullet_1"/>
    <w:basedOn w:val="Normal"/>
    <w:link w:val="Bullet1Char"/>
    <w:qFormat/>
    <w:rsid w:val="00D76E5B"/>
    <w:pPr>
      <w:numPr>
        <w:numId w:val="7"/>
      </w:numPr>
      <w:snapToGrid w:val="0"/>
      <w:spacing w:before="240" w:after="240" w:line="360" w:lineRule="auto"/>
      <w:jc w:val="both"/>
    </w:pPr>
    <w:rPr>
      <w:rFonts w:ascii="Arial" w:eastAsia="SimSun" w:hAnsi="Arial" w:cs="Arial"/>
      <w:snapToGrid w:val="0"/>
      <w:sz w:val="28"/>
      <w:szCs w:val="28"/>
    </w:rPr>
  </w:style>
  <w:style w:type="paragraph" w:customStyle="1" w:styleId="Bullet2">
    <w:name w:val="Bullet_2"/>
    <w:basedOn w:val="Normal"/>
    <w:link w:val="Bullet2Char"/>
    <w:qFormat/>
    <w:rsid w:val="00D76E5B"/>
    <w:pPr>
      <w:numPr>
        <w:ilvl w:val="1"/>
        <w:numId w:val="7"/>
      </w:numPr>
      <w:snapToGrid w:val="0"/>
      <w:spacing w:before="240" w:after="240" w:line="360" w:lineRule="auto"/>
      <w:jc w:val="both"/>
    </w:pPr>
    <w:rPr>
      <w:rFonts w:ascii="Arial" w:eastAsia="SimSun" w:hAnsi="Arial" w:cs="Arial"/>
      <w:snapToGrid w:val="0"/>
      <w:sz w:val="28"/>
      <w:szCs w:val="28"/>
    </w:rPr>
  </w:style>
  <w:style w:type="character" w:customStyle="1" w:styleId="Bullet1Char">
    <w:name w:val="Bullet_1 Char"/>
    <w:link w:val="Bullet1"/>
    <w:rsid w:val="00D76E5B"/>
    <w:rPr>
      <w:rFonts w:ascii="Arial" w:hAnsi="Arial" w:cs="Arial"/>
      <w:snapToGrid w:val="0"/>
      <w:sz w:val="28"/>
      <w:szCs w:val="28"/>
    </w:rPr>
  </w:style>
  <w:style w:type="character" w:customStyle="1" w:styleId="Bullet2Char">
    <w:name w:val="Bullet_2 Char"/>
    <w:link w:val="Bullet2"/>
    <w:rsid w:val="00D76E5B"/>
    <w:rPr>
      <w:rFonts w:ascii="Arial" w:hAnsi="Arial" w:cs="Arial"/>
      <w:snapToGrid w:val="0"/>
      <w:sz w:val="28"/>
      <w:szCs w:val="28"/>
    </w:rPr>
  </w:style>
  <w:style w:type="paragraph" w:customStyle="1" w:styleId="dates">
    <w:name w:val="dates"/>
    <w:basedOn w:val="Normal"/>
    <w:qFormat/>
    <w:rsid w:val="00D76E5B"/>
    <w:pPr>
      <w:widowControl w:val="0"/>
      <w:tabs>
        <w:tab w:val="left" w:pos="2268"/>
      </w:tabs>
      <w:autoSpaceDE w:val="0"/>
      <w:autoSpaceDN w:val="0"/>
      <w:adjustRightInd w:val="0"/>
      <w:spacing w:after="120"/>
      <w:ind w:left="2268" w:hanging="1134"/>
    </w:pPr>
    <w:rPr>
      <w:rFonts w:ascii="Arial" w:eastAsia="SimSun" w:hAnsi="Arial" w:cs="Arial"/>
      <w:w w:val="90"/>
      <w:sz w:val="22"/>
      <w:szCs w:val="22"/>
    </w:rPr>
  </w:style>
  <w:style w:type="paragraph" w:customStyle="1" w:styleId="alina">
    <w:name w:val="alinéa"/>
    <w:basedOn w:val="Normal"/>
    <w:rsid w:val="002733EE"/>
    <w:pPr>
      <w:spacing w:after="240"/>
      <w:ind w:left="567"/>
      <w:jc w:val="both"/>
    </w:pPr>
    <w:rPr>
      <w:rFonts w:ascii="Arial" w:hAnsi="Arial"/>
      <w:snapToGrid w:val="0"/>
    </w:rPr>
  </w:style>
  <w:style w:type="paragraph" w:customStyle="1" w:styleId="c">
    <w:name w:val="(c)"/>
    <w:basedOn w:val="Normal"/>
    <w:rsid w:val="002733EE"/>
    <w:pPr>
      <w:tabs>
        <w:tab w:val="left" w:pos="1701"/>
      </w:tabs>
      <w:spacing w:after="240"/>
      <w:ind w:left="1701" w:hanging="567"/>
      <w:jc w:val="both"/>
    </w:pPr>
    <w:rPr>
      <w:rFonts w:ascii="Arial" w:hAnsi="Arial"/>
    </w:rPr>
  </w:style>
  <w:style w:type="paragraph" w:styleId="PrformatHTML">
    <w:name w:val="HTML Preformatted"/>
    <w:basedOn w:val="Normal"/>
    <w:link w:val="PrformatHTMLCar"/>
    <w:uiPriority w:val="99"/>
    <w:semiHidden/>
    <w:unhideWhenUsed/>
    <w:rsid w:val="0067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bidi="ar-SA"/>
    </w:rPr>
  </w:style>
  <w:style w:type="character" w:customStyle="1" w:styleId="PrformatHTMLCar">
    <w:name w:val="Préformaté HTML Car"/>
    <w:basedOn w:val="Policepardfaut"/>
    <w:link w:val="PrformatHTML"/>
    <w:uiPriority w:val="99"/>
    <w:semiHidden/>
    <w:rsid w:val="00675BD4"/>
    <w:rPr>
      <w:rFonts w:ascii="Courier New" w:eastAsia="Times New Roman" w:hAnsi="Courier New" w:cs="Courier New"/>
      <w:lang w:val="fr-FR" w:eastAsia="fr-FR" w:bidi="ar-SA"/>
    </w:rPr>
  </w:style>
  <w:style w:type="paragraph" w:customStyle="1" w:styleId="Default">
    <w:name w:val="Default"/>
    <w:rsid w:val="00F35C19"/>
    <w:pPr>
      <w:autoSpaceDE w:val="0"/>
      <w:autoSpaceDN w:val="0"/>
      <w:adjustRightInd w:val="0"/>
    </w:pPr>
    <w:rPr>
      <w:rFonts w:ascii="Arial" w:hAnsi="Arial" w:cs="Arial"/>
      <w:color w:val="000000"/>
      <w:sz w:val="24"/>
      <w:szCs w:val="24"/>
      <w:lang w:val="fr-FR" w:bidi="ar-SA"/>
    </w:rPr>
  </w:style>
  <w:style w:type="paragraph" w:customStyle="1" w:styleId="5GAParaResolution">
    <w:name w:val="5GA Para Resolution"/>
    <w:basedOn w:val="Normal"/>
    <w:qFormat/>
    <w:rsid w:val="003E025A"/>
    <w:pPr>
      <w:autoSpaceDE w:val="0"/>
      <w:autoSpaceDN w:val="0"/>
      <w:adjustRightInd w:val="0"/>
      <w:spacing w:after="120"/>
      <w:ind w:left="1134" w:hanging="567"/>
      <w:jc w:val="both"/>
    </w:pPr>
    <w:rPr>
      <w:rFonts w:ascii="Arial" w:eastAsia="SimSun" w:hAnsi="Arial" w:cs="Arial"/>
      <w:sz w:val="22"/>
      <w:szCs w:val="22"/>
      <w:lang w:bidi="ar-SA"/>
    </w:rPr>
  </w:style>
  <w:style w:type="paragraph" w:customStyle="1" w:styleId="COMTitleDecision">
    <w:name w:val="COM Title Decision"/>
    <w:basedOn w:val="Normal"/>
    <w:uiPriority w:val="99"/>
    <w:qFormat/>
    <w:rsid w:val="003E025A"/>
    <w:pPr>
      <w:keepNext/>
      <w:spacing w:before="240" w:after="120"/>
      <w:ind w:left="567"/>
      <w:jc w:val="both"/>
    </w:pPr>
    <w:rPr>
      <w:rFonts w:ascii="Arial" w:hAnsi="Arial" w:cs="Arial"/>
      <w:b/>
      <w:sz w:val="22"/>
      <w:szCs w:val="22"/>
      <w:lang w:bidi="ar-SA"/>
    </w:rPr>
  </w:style>
  <w:style w:type="paragraph" w:customStyle="1" w:styleId="COMPreambulaDecisions">
    <w:name w:val="COM Preambula Decisions"/>
    <w:basedOn w:val="Normal"/>
    <w:qFormat/>
    <w:rsid w:val="003E025A"/>
    <w:pPr>
      <w:keepNext/>
      <w:spacing w:after="120"/>
      <w:ind w:left="567"/>
      <w:jc w:val="both"/>
    </w:pPr>
    <w:rPr>
      <w:rFonts w:ascii="Arial" w:hAnsi="Arial" w:cs="Arial"/>
      <w:sz w:val="22"/>
      <w:szCs w:val="22"/>
      <w:lang w:bidi="ar-SA"/>
    </w:rPr>
  </w:style>
  <w:style w:type="paragraph" w:customStyle="1" w:styleId="5GATitleResolution">
    <w:name w:val="5GA Title Resolution"/>
    <w:basedOn w:val="Normal"/>
    <w:qFormat/>
    <w:rsid w:val="003E025A"/>
    <w:pPr>
      <w:keepNext/>
      <w:spacing w:before="240" w:after="120"/>
      <w:ind w:left="567"/>
      <w:jc w:val="both"/>
    </w:pPr>
    <w:rPr>
      <w:rFonts w:ascii="Arial" w:hAnsi="Arial" w:cs="Arial"/>
      <w:b/>
      <w:sz w:val="22"/>
      <w:szCs w:val="22"/>
      <w:lang w:bidi="ar-SA"/>
    </w:rPr>
  </w:style>
  <w:style w:type="paragraph" w:customStyle="1" w:styleId="5GAPreambulaResolution">
    <w:name w:val="5GA Preambula Resolution"/>
    <w:basedOn w:val="Normal"/>
    <w:qFormat/>
    <w:rsid w:val="003E025A"/>
    <w:pPr>
      <w:keepNext/>
      <w:spacing w:after="120"/>
      <w:ind w:left="567"/>
      <w:jc w:val="both"/>
    </w:pPr>
    <w:rPr>
      <w:rFonts w:ascii="Arial" w:hAnsi="Arial" w:cs="Arial"/>
      <w:sz w:val="22"/>
      <w:szCs w:val="22"/>
      <w:lang w:bidi="ar-SA"/>
    </w:rPr>
  </w:style>
  <w:style w:type="character" w:styleId="Accentuation">
    <w:name w:val="Emphasis"/>
    <w:basedOn w:val="Policepardfaut"/>
    <w:uiPriority w:val="20"/>
    <w:qFormat/>
    <w:rsid w:val="006D2E80"/>
    <w:rPr>
      <w:i/>
      <w:iCs/>
    </w:rPr>
  </w:style>
  <w:style w:type="paragraph" w:customStyle="1" w:styleId="5GAparabodytext">
    <w:name w:val="5GA para body text"/>
    <w:qFormat/>
    <w:rsid w:val="007405F8"/>
    <w:pPr>
      <w:keepNext/>
      <w:spacing w:after="120" w:line="360" w:lineRule="auto"/>
      <w:ind w:left="720" w:hanging="360"/>
    </w:pPr>
    <w:rPr>
      <w:rFonts w:ascii="Arial" w:eastAsia="Times New Roman" w:hAnsi="Arial" w:cs="Arial"/>
      <w:snapToGrid w:val="0"/>
      <w:sz w:val="22"/>
      <w:szCs w:val="22"/>
    </w:rPr>
  </w:style>
  <w:style w:type="character" w:customStyle="1" w:styleId="textview">
    <w:name w:val="textview"/>
    <w:basedOn w:val="Policepardfaut"/>
    <w:rsid w:val="00B05171"/>
  </w:style>
  <w:style w:type="table" w:customStyle="1" w:styleId="TableGrid2">
    <w:name w:val="Table Grid2"/>
    <w:basedOn w:val="TableauNormal"/>
    <w:next w:val="Grilledutableau"/>
    <w:uiPriority w:val="59"/>
    <w:rsid w:val="00B05171"/>
    <w:rPr>
      <w:lang w:val="fr-FR" w:eastAsia="fr-F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List Paragraph (numbered (a)) Car,Lapis Bulleted List Car,Dot pt Car,F5 List Paragraph Car,No Spacing1 Car,List Paragraph Char Char Char Car,Indicator Text Car,Numbered Para 1 Car,Bullet 1 Car,List Paragraph12 Car"/>
    <w:basedOn w:val="Policepardfaut"/>
    <w:link w:val="Paragraphedeliste"/>
    <w:uiPriority w:val="34"/>
    <w:qFormat/>
    <w:locked/>
    <w:rsid w:val="00B05171"/>
    <w:rPr>
      <w:rFonts w:ascii="Times New Roman" w:eastAsia="Times New Roman" w:hAnsi="Times New Roman"/>
      <w:sz w:val="24"/>
      <w:szCs w:val="24"/>
    </w:rPr>
  </w:style>
  <w:style w:type="paragraph" w:customStyle="1" w:styleId="Annex">
    <w:name w:val="Annex"/>
    <w:basedOn w:val="Normal"/>
    <w:next w:val="Normal"/>
    <w:rsid w:val="00C224D7"/>
    <w:pPr>
      <w:pageBreakBefore/>
      <w:autoSpaceDE w:val="0"/>
      <w:autoSpaceDN w:val="0"/>
      <w:adjustRightInd w:val="0"/>
      <w:spacing w:before="360" w:after="240"/>
      <w:jc w:val="center"/>
      <w:outlineLvl w:val="0"/>
    </w:pPr>
    <w:rPr>
      <w:rFonts w:ascii="Arial" w:eastAsia="SimSun" w:hAnsi="Arial" w:cs="Arial"/>
      <w:b/>
      <w:bCs/>
      <w:sz w:val="22"/>
      <w:szCs w:val="22"/>
      <w:lang w:eastAsia="zh-CN" w:bidi="ar-SA"/>
    </w:rPr>
  </w:style>
  <w:style w:type="paragraph" w:styleId="Sansinterligne">
    <w:name w:val="No Spacing"/>
    <w:uiPriority w:val="1"/>
    <w:qFormat/>
    <w:rsid w:val="00C224D7"/>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895992"/>
    <w:pPr>
      <w:spacing w:before="100" w:beforeAutospacing="1" w:after="100" w:afterAutospacing="1"/>
    </w:pPr>
    <w:rPr>
      <w:lang w:eastAsia="en-GB" w:bidi="ar-SA"/>
    </w:rPr>
  </w:style>
  <w:style w:type="paragraph" w:customStyle="1" w:styleId="xmsonormal">
    <w:name w:val="x_msonormal"/>
    <w:basedOn w:val="Normal"/>
    <w:rsid w:val="00AC506E"/>
    <w:rPr>
      <w:rFonts w:ascii="Calibri" w:eastAsiaTheme="minorEastAsia" w:hAnsi="Calibri" w:cs="Calibri"/>
      <w:sz w:val="22"/>
      <w:szCs w:val="22"/>
      <w:lang w:val="fr-FR" w:eastAsia="zh-CN" w:bidi="ar-SA"/>
    </w:rPr>
  </w:style>
  <w:style w:type="paragraph" w:customStyle="1" w:styleId="CarCar3">
    <w:name w:val="Car Car3"/>
    <w:aliases w:val=" Car Car3 Char Char"/>
    <w:basedOn w:val="Normal"/>
    <w:link w:val="Lienhypertexte"/>
    <w:rsid w:val="001C01B3"/>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rPr>
  </w:style>
  <w:style w:type="character" w:customStyle="1" w:styleId="UnresolvedMention">
    <w:name w:val="Unresolved Mention"/>
    <w:basedOn w:val="Policepardfaut"/>
    <w:uiPriority w:val="99"/>
    <w:semiHidden/>
    <w:unhideWhenUsed/>
    <w:rsid w:val="001E1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5349">
      <w:bodyDiv w:val="1"/>
      <w:marLeft w:val="0"/>
      <w:marRight w:val="0"/>
      <w:marTop w:val="0"/>
      <w:marBottom w:val="0"/>
      <w:divBdr>
        <w:top w:val="none" w:sz="0" w:space="0" w:color="auto"/>
        <w:left w:val="none" w:sz="0" w:space="0" w:color="auto"/>
        <w:bottom w:val="none" w:sz="0" w:space="0" w:color="auto"/>
        <w:right w:val="none" w:sz="0" w:space="0" w:color="auto"/>
      </w:divBdr>
    </w:div>
    <w:div w:id="245920099">
      <w:bodyDiv w:val="1"/>
      <w:marLeft w:val="0"/>
      <w:marRight w:val="0"/>
      <w:marTop w:val="0"/>
      <w:marBottom w:val="0"/>
      <w:divBdr>
        <w:top w:val="none" w:sz="0" w:space="0" w:color="auto"/>
        <w:left w:val="none" w:sz="0" w:space="0" w:color="auto"/>
        <w:bottom w:val="none" w:sz="0" w:space="0" w:color="auto"/>
        <w:right w:val="none" w:sz="0" w:space="0" w:color="auto"/>
      </w:divBdr>
    </w:div>
    <w:div w:id="246571583">
      <w:bodyDiv w:val="1"/>
      <w:marLeft w:val="0"/>
      <w:marRight w:val="0"/>
      <w:marTop w:val="0"/>
      <w:marBottom w:val="0"/>
      <w:divBdr>
        <w:top w:val="none" w:sz="0" w:space="0" w:color="auto"/>
        <w:left w:val="none" w:sz="0" w:space="0" w:color="auto"/>
        <w:bottom w:val="none" w:sz="0" w:space="0" w:color="auto"/>
        <w:right w:val="none" w:sz="0" w:space="0" w:color="auto"/>
      </w:divBdr>
    </w:div>
    <w:div w:id="304506435">
      <w:bodyDiv w:val="1"/>
      <w:marLeft w:val="0"/>
      <w:marRight w:val="0"/>
      <w:marTop w:val="0"/>
      <w:marBottom w:val="0"/>
      <w:divBdr>
        <w:top w:val="none" w:sz="0" w:space="0" w:color="auto"/>
        <w:left w:val="none" w:sz="0" w:space="0" w:color="auto"/>
        <w:bottom w:val="none" w:sz="0" w:space="0" w:color="auto"/>
        <w:right w:val="none" w:sz="0" w:space="0" w:color="auto"/>
      </w:divBdr>
    </w:div>
    <w:div w:id="422803588">
      <w:bodyDiv w:val="1"/>
      <w:marLeft w:val="0"/>
      <w:marRight w:val="0"/>
      <w:marTop w:val="0"/>
      <w:marBottom w:val="0"/>
      <w:divBdr>
        <w:top w:val="none" w:sz="0" w:space="0" w:color="auto"/>
        <w:left w:val="none" w:sz="0" w:space="0" w:color="auto"/>
        <w:bottom w:val="none" w:sz="0" w:space="0" w:color="auto"/>
        <w:right w:val="none" w:sz="0" w:space="0" w:color="auto"/>
      </w:divBdr>
    </w:div>
    <w:div w:id="426005055">
      <w:bodyDiv w:val="1"/>
      <w:marLeft w:val="0"/>
      <w:marRight w:val="0"/>
      <w:marTop w:val="0"/>
      <w:marBottom w:val="0"/>
      <w:divBdr>
        <w:top w:val="none" w:sz="0" w:space="0" w:color="auto"/>
        <w:left w:val="none" w:sz="0" w:space="0" w:color="auto"/>
        <w:bottom w:val="none" w:sz="0" w:space="0" w:color="auto"/>
        <w:right w:val="none" w:sz="0" w:space="0" w:color="auto"/>
      </w:divBdr>
    </w:div>
    <w:div w:id="750548497">
      <w:bodyDiv w:val="1"/>
      <w:marLeft w:val="0"/>
      <w:marRight w:val="0"/>
      <w:marTop w:val="0"/>
      <w:marBottom w:val="0"/>
      <w:divBdr>
        <w:top w:val="none" w:sz="0" w:space="0" w:color="auto"/>
        <w:left w:val="none" w:sz="0" w:space="0" w:color="auto"/>
        <w:bottom w:val="none" w:sz="0" w:space="0" w:color="auto"/>
        <w:right w:val="none" w:sz="0" w:space="0" w:color="auto"/>
      </w:divBdr>
    </w:div>
    <w:div w:id="763572037">
      <w:bodyDiv w:val="1"/>
      <w:marLeft w:val="0"/>
      <w:marRight w:val="0"/>
      <w:marTop w:val="0"/>
      <w:marBottom w:val="0"/>
      <w:divBdr>
        <w:top w:val="none" w:sz="0" w:space="0" w:color="auto"/>
        <w:left w:val="none" w:sz="0" w:space="0" w:color="auto"/>
        <w:bottom w:val="none" w:sz="0" w:space="0" w:color="auto"/>
        <w:right w:val="none" w:sz="0" w:space="0" w:color="auto"/>
      </w:divBdr>
      <w:divsChild>
        <w:div w:id="1183126150">
          <w:marLeft w:val="0"/>
          <w:marRight w:val="0"/>
          <w:marTop w:val="0"/>
          <w:marBottom w:val="0"/>
          <w:divBdr>
            <w:top w:val="none" w:sz="0" w:space="0" w:color="auto"/>
            <w:left w:val="none" w:sz="0" w:space="0" w:color="auto"/>
            <w:bottom w:val="none" w:sz="0" w:space="0" w:color="auto"/>
            <w:right w:val="none" w:sz="0" w:space="0" w:color="auto"/>
          </w:divBdr>
          <w:divsChild>
            <w:div w:id="2029796535">
              <w:marLeft w:val="0"/>
              <w:marRight w:val="0"/>
              <w:marTop w:val="0"/>
              <w:marBottom w:val="0"/>
              <w:divBdr>
                <w:top w:val="none" w:sz="0" w:space="0" w:color="auto"/>
                <w:left w:val="none" w:sz="0" w:space="0" w:color="auto"/>
                <w:bottom w:val="none" w:sz="0" w:space="0" w:color="auto"/>
                <w:right w:val="none" w:sz="0" w:space="0" w:color="auto"/>
              </w:divBdr>
              <w:divsChild>
                <w:div w:id="500391005">
                  <w:marLeft w:val="0"/>
                  <w:marRight w:val="0"/>
                  <w:marTop w:val="0"/>
                  <w:marBottom w:val="0"/>
                  <w:divBdr>
                    <w:top w:val="none" w:sz="0" w:space="0" w:color="auto"/>
                    <w:left w:val="none" w:sz="0" w:space="0" w:color="auto"/>
                    <w:bottom w:val="none" w:sz="0" w:space="0" w:color="auto"/>
                    <w:right w:val="none" w:sz="0" w:space="0" w:color="auto"/>
                  </w:divBdr>
                  <w:divsChild>
                    <w:div w:id="1215698843">
                      <w:marLeft w:val="0"/>
                      <w:marRight w:val="0"/>
                      <w:marTop w:val="0"/>
                      <w:marBottom w:val="0"/>
                      <w:divBdr>
                        <w:top w:val="none" w:sz="0" w:space="0" w:color="auto"/>
                        <w:left w:val="none" w:sz="0" w:space="0" w:color="auto"/>
                        <w:bottom w:val="none" w:sz="0" w:space="0" w:color="auto"/>
                        <w:right w:val="none" w:sz="0" w:space="0" w:color="auto"/>
                      </w:divBdr>
                      <w:divsChild>
                        <w:div w:id="876628128">
                          <w:marLeft w:val="0"/>
                          <w:marRight w:val="0"/>
                          <w:marTop w:val="45"/>
                          <w:marBottom w:val="0"/>
                          <w:divBdr>
                            <w:top w:val="none" w:sz="0" w:space="0" w:color="auto"/>
                            <w:left w:val="none" w:sz="0" w:space="0" w:color="auto"/>
                            <w:bottom w:val="none" w:sz="0" w:space="0" w:color="auto"/>
                            <w:right w:val="none" w:sz="0" w:space="0" w:color="auto"/>
                          </w:divBdr>
                          <w:divsChild>
                            <w:div w:id="1482238216">
                              <w:marLeft w:val="0"/>
                              <w:marRight w:val="0"/>
                              <w:marTop w:val="0"/>
                              <w:marBottom w:val="0"/>
                              <w:divBdr>
                                <w:top w:val="none" w:sz="0" w:space="0" w:color="auto"/>
                                <w:left w:val="none" w:sz="0" w:space="0" w:color="auto"/>
                                <w:bottom w:val="none" w:sz="0" w:space="0" w:color="auto"/>
                                <w:right w:val="none" w:sz="0" w:space="0" w:color="auto"/>
                              </w:divBdr>
                              <w:divsChild>
                                <w:div w:id="2068602685">
                                  <w:marLeft w:val="2070"/>
                                  <w:marRight w:val="3810"/>
                                  <w:marTop w:val="0"/>
                                  <w:marBottom w:val="0"/>
                                  <w:divBdr>
                                    <w:top w:val="none" w:sz="0" w:space="0" w:color="auto"/>
                                    <w:left w:val="none" w:sz="0" w:space="0" w:color="auto"/>
                                    <w:bottom w:val="none" w:sz="0" w:space="0" w:color="auto"/>
                                    <w:right w:val="none" w:sz="0" w:space="0" w:color="auto"/>
                                  </w:divBdr>
                                  <w:divsChild>
                                    <w:div w:id="6104597">
                                      <w:marLeft w:val="0"/>
                                      <w:marRight w:val="0"/>
                                      <w:marTop w:val="0"/>
                                      <w:marBottom w:val="0"/>
                                      <w:divBdr>
                                        <w:top w:val="none" w:sz="0" w:space="0" w:color="auto"/>
                                        <w:left w:val="none" w:sz="0" w:space="0" w:color="auto"/>
                                        <w:bottom w:val="none" w:sz="0" w:space="0" w:color="auto"/>
                                        <w:right w:val="none" w:sz="0" w:space="0" w:color="auto"/>
                                      </w:divBdr>
                                      <w:divsChild>
                                        <w:div w:id="1561287219">
                                          <w:marLeft w:val="0"/>
                                          <w:marRight w:val="0"/>
                                          <w:marTop w:val="0"/>
                                          <w:marBottom w:val="0"/>
                                          <w:divBdr>
                                            <w:top w:val="none" w:sz="0" w:space="0" w:color="auto"/>
                                            <w:left w:val="none" w:sz="0" w:space="0" w:color="auto"/>
                                            <w:bottom w:val="none" w:sz="0" w:space="0" w:color="auto"/>
                                            <w:right w:val="none" w:sz="0" w:space="0" w:color="auto"/>
                                          </w:divBdr>
                                          <w:divsChild>
                                            <w:div w:id="1324355017">
                                              <w:marLeft w:val="0"/>
                                              <w:marRight w:val="0"/>
                                              <w:marTop w:val="0"/>
                                              <w:marBottom w:val="0"/>
                                              <w:divBdr>
                                                <w:top w:val="none" w:sz="0" w:space="0" w:color="auto"/>
                                                <w:left w:val="none" w:sz="0" w:space="0" w:color="auto"/>
                                                <w:bottom w:val="none" w:sz="0" w:space="0" w:color="auto"/>
                                                <w:right w:val="none" w:sz="0" w:space="0" w:color="auto"/>
                                              </w:divBdr>
                                              <w:divsChild>
                                                <w:div w:id="1688142510">
                                                  <w:marLeft w:val="0"/>
                                                  <w:marRight w:val="0"/>
                                                  <w:marTop w:val="0"/>
                                                  <w:marBottom w:val="0"/>
                                                  <w:divBdr>
                                                    <w:top w:val="none" w:sz="0" w:space="0" w:color="auto"/>
                                                    <w:left w:val="none" w:sz="0" w:space="0" w:color="auto"/>
                                                    <w:bottom w:val="none" w:sz="0" w:space="0" w:color="auto"/>
                                                    <w:right w:val="none" w:sz="0" w:space="0" w:color="auto"/>
                                                  </w:divBdr>
                                                  <w:divsChild>
                                                    <w:div w:id="1111439073">
                                                      <w:marLeft w:val="0"/>
                                                      <w:marRight w:val="0"/>
                                                      <w:marTop w:val="0"/>
                                                      <w:marBottom w:val="0"/>
                                                      <w:divBdr>
                                                        <w:top w:val="none" w:sz="0" w:space="0" w:color="auto"/>
                                                        <w:left w:val="none" w:sz="0" w:space="0" w:color="auto"/>
                                                        <w:bottom w:val="none" w:sz="0" w:space="0" w:color="auto"/>
                                                        <w:right w:val="none" w:sz="0" w:space="0" w:color="auto"/>
                                                      </w:divBdr>
                                                      <w:divsChild>
                                                        <w:div w:id="1673800762">
                                                          <w:marLeft w:val="0"/>
                                                          <w:marRight w:val="0"/>
                                                          <w:marTop w:val="0"/>
                                                          <w:marBottom w:val="345"/>
                                                          <w:divBdr>
                                                            <w:top w:val="none" w:sz="0" w:space="0" w:color="auto"/>
                                                            <w:left w:val="none" w:sz="0" w:space="0" w:color="auto"/>
                                                            <w:bottom w:val="none" w:sz="0" w:space="0" w:color="auto"/>
                                                            <w:right w:val="none" w:sz="0" w:space="0" w:color="auto"/>
                                                          </w:divBdr>
                                                          <w:divsChild>
                                                            <w:div w:id="681250476">
                                                              <w:marLeft w:val="0"/>
                                                              <w:marRight w:val="0"/>
                                                              <w:marTop w:val="0"/>
                                                              <w:marBottom w:val="0"/>
                                                              <w:divBdr>
                                                                <w:top w:val="none" w:sz="0" w:space="0" w:color="auto"/>
                                                                <w:left w:val="none" w:sz="0" w:space="0" w:color="auto"/>
                                                                <w:bottom w:val="none" w:sz="0" w:space="0" w:color="auto"/>
                                                                <w:right w:val="none" w:sz="0" w:space="0" w:color="auto"/>
                                                              </w:divBdr>
                                                              <w:divsChild>
                                                                <w:div w:id="983239592">
                                                                  <w:marLeft w:val="0"/>
                                                                  <w:marRight w:val="0"/>
                                                                  <w:marTop w:val="0"/>
                                                                  <w:marBottom w:val="0"/>
                                                                  <w:divBdr>
                                                                    <w:top w:val="none" w:sz="0" w:space="0" w:color="auto"/>
                                                                    <w:left w:val="none" w:sz="0" w:space="0" w:color="auto"/>
                                                                    <w:bottom w:val="none" w:sz="0" w:space="0" w:color="auto"/>
                                                                    <w:right w:val="none" w:sz="0" w:space="0" w:color="auto"/>
                                                                  </w:divBdr>
                                                                  <w:divsChild>
                                                                    <w:div w:id="1258826406">
                                                                      <w:marLeft w:val="0"/>
                                                                      <w:marRight w:val="0"/>
                                                                      <w:marTop w:val="0"/>
                                                                      <w:marBottom w:val="0"/>
                                                                      <w:divBdr>
                                                                        <w:top w:val="none" w:sz="0" w:space="0" w:color="auto"/>
                                                                        <w:left w:val="none" w:sz="0" w:space="0" w:color="auto"/>
                                                                        <w:bottom w:val="none" w:sz="0" w:space="0" w:color="auto"/>
                                                                        <w:right w:val="none" w:sz="0" w:space="0" w:color="auto"/>
                                                                      </w:divBdr>
                                                                      <w:divsChild>
                                                                        <w:div w:id="326178906">
                                                                          <w:marLeft w:val="0"/>
                                                                          <w:marRight w:val="0"/>
                                                                          <w:marTop w:val="0"/>
                                                                          <w:marBottom w:val="0"/>
                                                                          <w:divBdr>
                                                                            <w:top w:val="none" w:sz="0" w:space="0" w:color="auto"/>
                                                                            <w:left w:val="none" w:sz="0" w:space="0" w:color="auto"/>
                                                                            <w:bottom w:val="none" w:sz="0" w:space="0" w:color="auto"/>
                                                                            <w:right w:val="none" w:sz="0" w:space="0" w:color="auto"/>
                                                                          </w:divBdr>
                                                                          <w:divsChild>
                                                                            <w:div w:id="1322925237">
                                                                              <w:marLeft w:val="0"/>
                                                                              <w:marRight w:val="0"/>
                                                                              <w:marTop w:val="0"/>
                                                                              <w:marBottom w:val="0"/>
                                                                              <w:divBdr>
                                                                                <w:top w:val="none" w:sz="0" w:space="0" w:color="auto"/>
                                                                                <w:left w:val="none" w:sz="0" w:space="0" w:color="auto"/>
                                                                                <w:bottom w:val="none" w:sz="0" w:space="0" w:color="auto"/>
                                                                                <w:right w:val="none" w:sz="0" w:space="0" w:color="auto"/>
                                                                              </w:divBdr>
                                                                              <w:divsChild>
                                                                                <w:div w:id="1663196662">
                                                                                  <w:marLeft w:val="0"/>
                                                                                  <w:marRight w:val="0"/>
                                                                                  <w:marTop w:val="0"/>
                                                                                  <w:marBottom w:val="0"/>
                                                                                  <w:divBdr>
                                                                                    <w:top w:val="none" w:sz="0" w:space="0" w:color="auto"/>
                                                                                    <w:left w:val="none" w:sz="0" w:space="0" w:color="auto"/>
                                                                                    <w:bottom w:val="none" w:sz="0" w:space="0" w:color="auto"/>
                                                                                    <w:right w:val="none" w:sz="0" w:space="0" w:color="auto"/>
                                                                                  </w:divBdr>
                                                                                  <w:divsChild>
                                                                                    <w:div w:id="1698769108">
                                                                                      <w:marLeft w:val="0"/>
                                                                                      <w:marRight w:val="0"/>
                                                                                      <w:marTop w:val="0"/>
                                                                                      <w:marBottom w:val="0"/>
                                                                                      <w:divBdr>
                                                                                        <w:top w:val="none" w:sz="0" w:space="0" w:color="auto"/>
                                                                                        <w:left w:val="none" w:sz="0" w:space="0" w:color="auto"/>
                                                                                        <w:bottom w:val="none" w:sz="0" w:space="0" w:color="auto"/>
                                                                                        <w:right w:val="none" w:sz="0" w:space="0" w:color="auto"/>
                                                                                      </w:divBdr>
                                                                                      <w:divsChild>
                                                                                        <w:div w:id="17559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4560535">
      <w:bodyDiv w:val="1"/>
      <w:marLeft w:val="0"/>
      <w:marRight w:val="0"/>
      <w:marTop w:val="0"/>
      <w:marBottom w:val="0"/>
      <w:divBdr>
        <w:top w:val="none" w:sz="0" w:space="0" w:color="auto"/>
        <w:left w:val="none" w:sz="0" w:space="0" w:color="auto"/>
        <w:bottom w:val="none" w:sz="0" w:space="0" w:color="auto"/>
        <w:right w:val="none" w:sz="0" w:space="0" w:color="auto"/>
      </w:divBdr>
      <w:divsChild>
        <w:div w:id="1309432019">
          <w:marLeft w:val="0"/>
          <w:marRight w:val="0"/>
          <w:marTop w:val="0"/>
          <w:marBottom w:val="0"/>
          <w:divBdr>
            <w:top w:val="none" w:sz="0" w:space="0" w:color="auto"/>
            <w:left w:val="none" w:sz="0" w:space="0" w:color="auto"/>
            <w:bottom w:val="none" w:sz="0" w:space="0" w:color="auto"/>
            <w:right w:val="none" w:sz="0" w:space="0" w:color="auto"/>
          </w:divBdr>
          <w:divsChild>
            <w:div w:id="1245188229">
              <w:marLeft w:val="0"/>
              <w:marRight w:val="0"/>
              <w:marTop w:val="0"/>
              <w:marBottom w:val="0"/>
              <w:divBdr>
                <w:top w:val="none" w:sz="0" w:space="0" w:color="auto"/>
                <w:left w:val="none" w:sz="0" w:space="0" w:color="auto"/>
                <w:bottom w:val="none" w:sz="0" w:space="0" w:color="auto"/>
                <w:right w:val="none" w:sz="0" w:space="0" w:color="auto"/>
              </w:divBdr>
              <w:divsChild>
                <w:div w:id="417605336">
                  <w:marLeft w:val="0"/>
                  <w:marRight w:val="0"/>
                  <w:marTop w:val="0"/>
                  <w:marBottom w:val="0"/>
                  <w:divBdr>
                    <w:top w:val="none" w:sz="0" w:space="0" w:color="auto"/>
                    <w:left w:val="none" w:sz="0" w:space="0" w:color="auto"/>
                    <w:bottom w:val="none" w:sz="0" w:space="0" w:color="auto"/>
                    <w:right w:val="none" w:sz="0" w:space="0" w:color="auto"/>
                  </w:divBdr>
                  <w:divsChild>
                    <w:div w:id="383480394">
                      <w:marLeft w:val="0"/>
                      <w:marRight w:val="0"/>
                      <w:marTop w:val="0"/>
                      <w:marBottom w:val="0"/>
                      <w:divBdr>
                        <w:top w:val="none" w:sz="0" w:space="0" w:color="auto"/>
                        <w:left w:val="none" w:sz="0" w:space="0" w:color="auto"/>
                        <w:bottom w:val="none" w:sz="0" w:space="0" w:color="auto"/>
                        <w:right w:val="none" w:sz="0" w:space="0" w:color="auto"/>
                      </w:divBdr>
                      <w:divsChild>
                        <w:div w:id="1868566216">
                          <w:marLeft w:val="0"/>
                          <w:marRight w:val="0"/>
                          <w:marTop w:val="45"/>
                          <w:marBottom w:val="0"/>
                          <w:divBdr>
                            <w:top w:val="none" w:sz="0" w:space="0" w:color="auto"/>
                            <w:left w:val="none" w:sz="0" w:space="0" w:color="auto"/>
                            <w:bottom w:val="none" w:sz="0" w:space="0" w:color="auto"/>
                            <w:right w:val="none" w:sz="0" w:space="0" w:color="auto"/>
                          </w:divBdr>
                          <w:divsChild>
                            <w:div w:id="1873303157">
                              <w:marLeft w:val="0"/>
                              <w:marRight w:val="0"/>
                              <w:marTop w:val="0"/>
                              <w:marBottom w:val="0"/>
                              <w:divBdr>
                                <w:top w:val="none" w:sz="0" w:space="0" w:color="auto"/>
                                <w:left w:val="none" w:sz="0" w:space="0" w:color="auto"/>
                                <w:bottom w:val="none" w:sz="0" w:space="0" w:color="auto"/>
                                <w:right w:val="none" w:sz="0" w:space="0" w:color="auto"/>
                              </w:divBdr>
                              <w:divsChild>
                                <w:div w:id="92554945">
                                  <w:marLeft w:val="2070"/>
                                  <w:marRight w:val="3810"/>
                                  <w:marTop w:val="0"/>
                                  <w:marBottom w:val="0"/>
                                  <w:divBdr>
                                    <w:top w:val="none" w:sz="0" w:space="0" w:color="auto"/>
                                    <w:left w:val="none" w:sz="0" w:space="0" w:color="auto"/>
                                    <w:bottom w:val="none" w:sz="0" w:space="0" w:color="auto"/>
                                    <w:right w:val="none" w:sz="0" w:space="0" w:color="auto"/>
                                  </w:divBdr>
                                  <w:divsChild>
                                    <w:div w:id="1906573973">
                                      <w:marLeft w:val="0"/>
                                      <w:marRight w:val="0"/>
                                      <w:marTop w:val="0"/>
                                      <w:marBottom w:val="0"/>
                                      <w:divBdr>
                                        <w:top w:val="none" w:sz="0" w:space="0" w:color="auto"/>
                                        <w:left w:val="none" w:sz="0" w:space="0" w:color="auto"/>
                                        <w:bottom w:val="none" w:sz="0" w:space="0" w:color="auto"/>
                                        <w:right w:val="none" w:sz="0" w:space="0" w:color="auto"/>
                                      </w:divBdr>
                                      <w:divsChild>
                                        <w:div w:id="88435259">
                                          <w:marLeft w:val="0"/>
                                          <w:marRight w:val="0"/>
                                          <w:marTop w:val="0"/>
                                          <w:marBottom w:val="0"/>
                                          <w:divBdr>
                                            <w:top w:val="none" w:sz="0" w:space="0" w:color="auto"/>
                                            <w:left w:val="none" w:sz="0" w:space="0" w:color="auto"/>
                                            <w:bottom w:val="none" w:sz="0" w:space="0" w:color="auto"/>
                                            <w:right w:val="none" w:sz="0" w:space="0" w:color="auto"/>
                                          </w:divBdr>
                                          <w:divsChild>
                                            <w:div w:id="2118483847">
                                              <w:marLeft w:val="0"/>
                                              <w:marRight w:val="0"/>
                                              <w:marTop w:val="0"/>
                                              <w:marBottom w:val="0"/>
                                              <w:divBdr>
                                                <w:top w:val="none" w:sz="0" w:space="0" w:color="auto"/>
                                                <w:left w:val="none" w:sz="0" w:space="0" w:color="auto"/>
                                                <w:bottom w:val="none" w:sz="0" w:space="0" w:color="auto"/>
                                                <w:right w:val="none" w:sz="0" w:space="0" w:color="auto"/>
                                              </w:divBdr>
                                              <w:divsChild>
                                                <w:div w:id="1693799213">
                                                  <w:marLeft w:val="0"/>
                                                  <w:marRight w:val="0"/>
                                                  <w:marTop w:val="0"/>
                                                  <w:marBottom w:val="0"/>
                                                  <w:divBdr>
                                                    <w:top w:val="none" w:sz="0" w:space="0" w:color="auto"/>
                                                    <w:left w:val="none" w:sz="0" w:space="0" w:color="auto"/>
                                                    <w:bottom w:val="none" w:sz="0" w:space="0" w:color="auto"/>
                                                    <w:right w:val="none" w:sz="0" w:space="0" w:color="auto"/>
                                                  </w:divBdr>
                                                  <w:divsChild>
                                                    <w:div w:id="1732579809">
                                                      <w:marLeft w:val="0"/>
                                                      <w:marRight w:val="0"/>
                                                      <w:marTop w:val="0"/>
                                                      <w:marBottom w:val="0"/>
                                                      <w:divBdr>
                                                        <w:top w:val="none" w:sz="0" w:space="0" w:color="auto"/>
                                                        <w:left w:val="none" w:sz="0" w:space="0" w:color="auto"/>
                                                        <w:bottom w:val="none" w:sz="0" w:space="0" w:color="auto"/>
                                                        <w:right w:val="none" w:sz="0" w:space="0" w:color="auto"/>
                                                      </w:divBdr>
                                                      <w:divsChild>
                                                        <w:div w:id="1474830848">
                                                          <w:marLeft w:val="0"/>
                                                          <w:marRight w:val="0"/>
                                                          <w:marTop w:val="0"/>
                                                          <w:marBottom w:val="345"/>
                                                          <w:divBdr>
                                                            <w:top w:val="none" w:sz="0" w:space="0" w:color="auto"/>
                                                            <w:left w:val="none" w:sz="0" w:space="0" w:color="auto"/>
                                                            <w:bottom w:val="none" w:sz="0" w:space="0" w:color="auto"/>
                                                            <w:right w:val="none" w:sz="0" w:space="0" w:color="auto"/>
                                                          </w:divBdr>
                                                          <w:divsChild>
                                                            <w:div w:id="1850749351">
                                                              <w:marLeft w:val="0"/>
                                                              <w:marRight w:val="0"/>
                                                              <w:marTop w:val="0"/>
                                                              <w:marBottom w:val="0"/>
                                                              <w:divBdr>
                                                                <w:top w:val="none" w:sz="0" w:space="0" w:color="auto"/>
                                                                <w:left w:val="none" w:sz="0" w:space="0" w:color="auto"/>
                                                                <w:bottom w:val="none" w:sz="0" w:space="0" w:color="auto"/>
                                                                <w:right w:val="none" w:sz="0" w:space="0" w:color="auto"/>
                                                              </w:divBdr>
                                                              <w:divsChild>
                                                                <w:div w:id="1428650516">
                                                                  <w:marLeft w:val="0"/>
                                                                  <w:marRight w:val="0"/>
                                                                  <w:marTop w:val="0"/>
                                                                  <w:marBottom w:val="0"/>
                                                                  <w:divBdr>
                                                                    <w:top w:val="none" w:sz="0" w:space="0" w:color="auto"/>
                                                                    <w:left w:val="none" w:sz="0" w:space="0" w:color="auto"/>
                                                                    <w:bottom w:val="none" w:sz="0" w:space="0" w:color="auto"/>
                                                                    <w:right w:val="none" w:sz="0" w:space="0" w:color="auto"/>
                                                                  </w:divBdr>
                                                                  <w:divsChild>
                                                                    <w:div w:id="1387492726">
                                                                      <w:marLeft w:val="0"/>
                                                                      <w:marRight w:val="0"/>
                                                                      <w:marTop w:val="0"/>
                                                                      <w:marBottom w:val="0"/>
                                                                      <w:divBdr>
                                                                        <w:top w:val="none" w:sz="0" w:space="0" w:color="auto"/>
                                                                        <w:left w:val="none" w:sz="0" w:space="0" w:color="auto"/>
                                                                        <w:bottom w:val="none" w:sz="0" w:space="0" w:color="auto"/>
                                                                        <w:right w:val="none" w:sz="0" w:space="0" w:color="auto"/>
                                                                      </w:divBdr>
                                                                      <w:divsChild>
                                                                        <w:div w:id="1262689411">
                                                                          <w:marLeft w:val="0"/>
                                                                          <w:marRight w:val="0"/>
                                                                          <w:marTop w:val="0"/>
                                                                          <w:marBottom w:val="0"/>
                                                                          <w:divBdr>
                                                                            <w:top w:val="none" w:sz="0" w:space="0" w:color="auto"/>
                                                                            <w:left w:val="none" w:sz="0" w:space="0" w:color="auto"/>
                                                                            <w:bottom w:val="none" w:sz="0" w:space="0" w:color="auto"/>
                                                                            <w:right w:val="none" w:sz="0" w:space="0" w:color="auto"/>
                                                                          </w:divBdr>
                                                                          <w:divsChild>
                                                                            <w:div w:id="1847939820">
                                                                              <w:marLeft w:val="0"/>
                                                                              <w:marRight w:val="0"/>
                                                                              <w:marTop w:val="0"/>
                                                                              <w:marBottom w:val="0"/>
                                                                              <w:divBdr>
                                                                                <w:top w:val="none" w:sz="0" w:space="0" w:color="auto"/>
                                                                                <w:left w:val="none" w:sz="0" w:space="0" w:color="auto"/>
                                                                                <w:bottom w:val="none" w:sz="0" w:space="0" w:color="auto"/>
                                                                                <w:right w:val="none" w:sz="0" w:space="0" w:color="auto"/>
                                                                              </w:divBdr>
                                                                              <w:divsChild>
                                                                                <w:div w:id="389353996">
                                                                                  <w:marLeft w:val="0"/>
                                                                                  <w:marRight w:val="0"/>
                                                                                  <w:marTop w:val="0"/>
                                                                                  <w:marBottom w:val="0"/>
                                                                                  <w:divBdr>
                                                                                    <w:top w:val="none" w:sz="0" w:space="0" w:color="auto"/>
                                                                                    <w:left w:val="none" w:sz="0" w:space="0" w:color="auto"/>
                                                                                    <w:bottom w:val="none" w:sz="0" w:space="0" w:color="auto"/>
                                                                                    <w:right w:val="none" w:sz="0" w:space="0" w:color="auto"/>
                                                                                  </w:divBdr>
                                                                                  <w:divsChild>
                                                                                    <w:div w:id="1130585969">
                                                                                      <w:marLeft w:val="0"/>
                                                                                      <w:marRight w:val="0"/>
                                                                                      <w:marTop w:val="0"/>
                                                                                      <w:marBottom w:val="0"/>
                                                                                      <w:divBdr>
                                                                                        <w:top w:val="none" w:sz="0" w:space="0" w:color="auto"/>
                                                                                        <w:left w:val="none" w:sz="0" w:space="0" w:color="auto"/>
                                                                                        <w:bottom w:val="none" w:sz="0" w:space="0" w:color="auto"/>
                                                                                        <w:right w:val="none" w:sz="0" w:space="0" w:color="auto"/>
                                                                                      </w:divBdr>
                                                                                      <w:divsChild>
                                                                                        <w:div w:id="17433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32656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0254192">
      <w:bodyDiv w:val="1"/>
      <w:marLeft w:val="0"/>
      <w:marRight w:val="0"/>
      <w:marTop w:val="0"/>
      <w:marBottom w:val="0"/>
      <w:divBdr>
        <w:top w:val="none" w:sz="0" w:space="0" w:color="auto"/>
        <w:left w:val="none" w:sz="0" w:space="0" w:color="auto"/>
        <w:bottom w:val="none" w:sz="0" w:space="0" w:color="auto"/>
        <w:right w:val="none" w:sz="0" w:space="0" w:color="auto"/>
      </w:divBdr>
    </w:div>
    <w:div w:id="1090850401">
      <w:bodyDiv w:val="1"/>
      <w:marLeft w:val="0"/>
      <w:marRight w:val="0"/>
      <w:marTop w:val="0"/>
      <w:marBottom w:val="0"/>
      <w:divBdr>
        <w:top w:val="none" w:sz="0" w:space="0" w:color="auto"/>
        <w:left w:val="none" w:sz="0" w:space="0" w:color="auto"/>
        <w:bottom w:val="none" w:sz="0" w:space="0" w:color="auto"/>
        <w:right w:val="none" w:sz="0" w:space="0" w:color="auto"/>
      </w:divBdr>
    </w:div>
    <w:div w:id="1194881669">
      <w:bodyDiv w:val="1"/>
      <w:marLeft w:val="0"/>
      <w:marRight w:val="0"/>
      <w:marTop w:val="0"/>
      <w:marBottom w:val="0"/>
      <w:divBdr>
        <w:top w:val="none" w:sz="0" w:space="0" w:color="auto"/>
        <w:left w:val="none" w:sz="0" w:space="0" w:color="auto"/>
        <w:bottom w:val="none" w:sz="0" w:space="0" w:color="auto"/>
        <w:right w:val="none" w:sz="0" w:space="0" w:color="auto"/>
      </w:divBdr>
    </w:div>
    <w:div w:id="1195463322">
      <w:bodyDiv w:val="1"/>
      <w:marLeft w:val="0"/>
      <w:marRight w:val="0"/>
      <w:marTop w:val="0"/>
      <w:marBottom w:val="0"/>
      <w:divBdr>
        <w:top w:val="none" w:sz="0" w:space="0" w:color="auto"/>
        <w:left w:val="none" w:sz="0" w:space="0" w:color="auto"/>
        <w:bottom w:val="none" w:sz="0" w:space="0" w:color="auto"/>
        <w:right w:val="none" w:sz="0" w:space="0" w:color="auto"/>
      </w:divBdr>
    </w:div>
    <w:div w:id="1215120809">
      <w:bodyDiv w:val="1"/>
      <w:marLeft w:val="0"/>
      <w:marRight w:val="0"/>
      <w:marTop w:val="0"/>
      <w:marBottom w:val="0"/>
      <w:divBdr>
        <w:top w:val="none" w:sz="0" w:space="0" w:color="auto"/>
        <w:left w:val="none" w:sz="0" w:space="0" w:color="auto"/>
        <w:bottom w:val="none" w:sz="0" w:space="0" w:color="auto"/>
        <w:right w:val="none" w:sz="0" w:space="0" w:color="auto"/>
      </w:divBdr>
      <w:divsChild>
        <w:div w:id="1720476537">
          <w:marLeft w:val="0"/>
          <w:marRight w:val="0"/>
          <w:marTop w:val="0"/>
          <w:marBottom w:val="0"/>
          <w:divBdr>
            <w:top w:val="none" w:sz="0" w:space="0" w:color="auto"/>
            <w:left w:val="none" w:sz="0" w:space="0" w:color="auto"/>
            <w:bottom w:val="none" w:sz="0" w:space="0" w:color="auto"/>
            <w:right w:val="none" w:sz="0" w:space="0" w:color="auto"/>
          </w:divBdr>
          <w:divsChild>
            <w:div w:id="229922708">
              <w:marLeft w:val="0"/>
              <w:marRight w:val="0"/>
              <w:marTop w:val="0"/>
              <w:marBottom w:val="0"/>
              <w:divBdr>
                <w:top w:val="none" w:sz="0" w:space="0" w:color="auto"/>
                <w:left w:val="none" w:sz="0" w:space="0" w:color="auto"/>
                <w:bottom w:val="none" w:sz="0" w:space="0" w:color="auto"/>
                <w:right w:val="none" w:sz="0" w:space="0" w:color="auto"/>
              </w:divBdr>
              <w:divsChild>
                <w:div w:id="1366516943">
                  <w:marLeft w:val="0"/>
                  <w:marRight w:val="0"/>
                  <w:marTop w:val="0"/>
                  <w:marBottom w:val="0"/>
                  <w:divBdr>
                    <w:top w:val="none" w:sz="0" w:space="0" w:color="auto"/>
                    <w:left w:val="none" w:sz="0" w:space="0" w:color="auto"/>
                    <w:bottom w:val="none" w:sz="0" w:space="0" w:color="auto"/>
                    <w:right w:val="none" w:sz="0" w:space="0" w:color="auto"/>
                  </w:divBdr>
                  <w:divsChild>
                    <w:div w:id="1646006315">
                      <w:marLeft w:val="0"/>
                      <w:marRight w:val="0"/>
                      <w:marTop w:val="0"/>
                      <w:marBottom w:val="0"/>
                      <w:divBdr>
                        <w:top w:val="none" w:sz="0" w:space="0" w:color="auto"/>
                        <w:left w:val="none" w:sz="0" w:space="0" w:color="auto"/>
                        <w:bottom w:val="none" w:sz="0" w:space="0" w:color="auto"/>
                        <w:right w:val="none" w:sz="0" w:space="0" w:color="auto"/>
                      </w:divBdr>
                      <w:divsChild>
                        <w:div w:id="1297100068">
                          <w:marLeft w:val="0"/>
                          <w:marRight w:val="0"/>
                          <w:marTop w:val="45"/>
                          <w:marBottom w:val="0"/>
                          <w:divBdr>
                            <w:top w:val="none" w:sz="0" w:space="0" w:color="auto"/>
                            <w:left w:val="none" w:sz="0" w:space="0" w:color="auto"/>
                            <w:bottom w:val="none" w:sz="0" w:space="0" w:color="auto"/>
                            <w:right w:val="none" w:sz="0" w:space="0" w:color="auto"/>
                          </w:divBdr>
                          <w:divsChild>
                            <w:div w:id="634991538">
                              <w:marLeft w:val="0"/>
                              <w:marRight w:val="0"/>
                              <w:marTop w:val="0"/>
                              <w:marBottom w:val="0"/>
                              <w:divBdr>
                                <w:top w:val="none" w:sz="0" w:space="0" w:color="auto"/>
                                <w:left w:val="none" w:sz="0" w:space="0" w:color="auto"/>
                                <w:bottom w:val="none" w:sz="0" w:space="0" w:color="auto"/>
                                <w:right w:val="none" w:sz="0" w:space="0" w:color="auto"/>
                              </w:divBdr>
                              <w:divsChild>
                                <w:div w:id="933561592">
                                  <w:marLeft w:val="2070"/>
                                  <w:marRight w:val="3810"/>
                                  <w:marTop w:val="0"/>
                                  <w:marBottom w:val="0"/>
                                  <w:divBdr>
                                    <w:top w:val="none" w:sz="0" w:space="0" w:color="auto"/>
                                    <w:left w:val="none" w:sz="0" w:space="0" w:color="auto"/>
                                    <w:bottom w:val="none" w:sz="0" w:space="0" w:color="auto"/>
                                    <w:right w:val="none" w:sz="0" w:space="0" w:color="auto"/>
                                  </w:divBdr>
                                  <w:divsChild>
                                    <w:div w:id="223417877">
                                      <w:marLeft w:val="0"/>
                                      <w:marRight w:val="0"/>
                                      <w:marTop w:val="0"/>
                                      <w:marBottom w:val="0"/>
                                      <w:divBdr>
                                        <w:top w:val="none" w:sz="0" w:space="0" w:color="auto"/>
                                        <w:left w:val="none" w:sz="0" w:space="0" w:color="auto"/>
                                        <w:bottom w:val="none" w:sz="0" w:space="0" w:color="auto"/>
                                        <w:right w:val="none" w:sz="0" w:space="0" w:color="auto"/>
                                      </w:divBdr>
                                      <w:divsChild>
                                        <w:div w:id="2096320855">
                                          <w:marLeft w:val="0"/>
                                          <w:marRight w:val="0"/>
                                          <w:marTop w:val="0"/>
                                          <w:marBottom w:val="0"/>
                                          <w:divBdr>
                                            <w:top w:val="none" w:sz="0" w:space="0" w:color="auto"/>
                                            <w:left w:val="none" w:sz="0" w:space="0" w:color="auto"/>
                                            <w:bottom w:val="none" w:sz="0" w:space="0" w:color="auto"/>
                                            <w:right w:val="none" w:sz="0" w:space="0" w:color="auto"/>
                                          </w:divBdr>
                                          <w:divsChild>
                                            <w:div w:id="1965116725">
                                              <w:marLeft w:val="0"/>
                                              <w:marRight w:val="0"/>
                                              <w:marTop w:val="0"/>
                                              <w:marBottom w:val="0"/>
                                              <w:divBdr>
                                                <w:top w:val="none" w:sz="0" w:space="0" w:color="auto"/>
                                                <w:left w:val="none" w:sz="0" w:space="0" w:color="auto"/>
                                                <w:bottom w:val="none" w:sz="0" w:space="0" w:color="auto"/>
                                                <w:right w:val="none" w:sz="0" w:space="0" w:color="auto"/>
                                              </w:divBdr>
                                              <w:divsChild>
                                                <w:div w:id="288828819">
                                                  <w:marLeft w:val="0"/>
                                                  <w:marRight w:val="0"/>
                                                  <w:marTop w:val="0"/>
                                                  <w:marBottom w:val="0"/>
                                                  <w:divBdr>
                                                    <w:top w:val="none" w:sz="0" w:space="0" w:color="auto"/>
                                                    <w:left w:val="none" w:sz="0" w:space="0" w:color="auto"/>
                                                    <w:bottom w:val="none" w:sz="0" w:space="0" w:color="auto"/>
                                                    <w:right w:val="none" w:sz="0" w:space="0" w:color="auto"/>
                                                  </w:divBdr>
                                                  <w:divsChild>
                                                    <w:div w:id="1638949135">
                                                      <w:marLeft w:val="0"/>
                                                      <w:marRight w:val="0"/>
                                                      <w:marTop w:val="0"/>
                                                      <w:marBottom w:val="0"/>
                                                      <w:divBdr>
                                                        <w:top w:val="none" w:sz="0" w:space="0" w:color="auto"/>
                                                        <w:left w:val="none" w:sz="0" w:space="0" w:color="auto"/>
                                                        <w:bottom w:val="none" w:sz="0" w:space="0" w:color="auto"/>
                                                        <w:right w:val="none" w:sz="0" w:space="0" w:color="auto"/>
                                                      </w:divBdr>
                                                      <w:divsChild>
                                                        <w:div w:id="1370884826">
                                                          <w:marLeft w:val="0"/>
                                                          <w:marRight w:val="0"/>
                                                          <w:marTop w:val="0"/>
                                                          <w:marBottom w:val="345"/>
                                                          <w:divBdr>
                                                            <w:top w:val="none" w:sz="0" w:space="0" w:color="auto"/>
                                                            <w:left w:val="none" w:sz="0" w:space="0" w:color="auto"/>
                                                            <w:bottom w:val="none" w:sz="0" w:space="0" w:color="auto"/>
                                                            <w:right w:val="none" w:sz="0" w:space="0" w:color="auto"/>
                                                          </w:divBdr>
                                                          <w:divsChild>
                                                            <w:div w:id="1205479429">
                                                              <w:marLeft w:val="0"/>
                                                              <w:marRight w:val="0"/>
                                                              <w:marTop w:val="0"/>
                                                              <w:marBottom w:val="0"/>
                                                              <w:divBdr>
                                                                <w:top w:val="none" w:sz="0" w:space="0" w:color="auto"/>
                                                                <w:left w:val="none" w:sz="0" w:space="0" w:color="auto"/>
                                                                <w:bottom w:val="none" w:sz="0" w:space="0" w:color="auto"/>
                                                                <w:right w:val="none" w:sz="0" w:space="0" w:color="auto"/>
                                                              </w:divBdr>
                                                              <w:divsChild>
                                                                <w:div w:id="226040058">
                                                                  <w:marLeft w:val="0"/>
                                                                  <w:marRight w:val="0"/>
                                                                  <w:marTop w:val="0"/>
                                                                  <w:marBottom w:val="0"/>
                                                                  <w:divBdr>
                                                                    <w:top w:val="none" w:sz="0" w:space="0" w:color="auto"/>
                                                                    <w:left w:val="none" w:sz="0" w:space="0" w:color="auto"/>
                                                                    <w:bottom w:val="none" w:sz="0" w:space="0" w:color="auto"/>
                                                                    <w:right w:val="none" w:sz="0" w:space="0" w:color="auto"/>
                                                                  </w:divBdr>
                                                                  <w:divsChild>
                                                                    <w:div w:id="1315455258">
                                                                      <w:marLeft w:val="0"/>
                                                                      <w:marRight w:val="0"/>
                                                                      <w:marTop w:val="0"/>
                                                                      <w:marBottom w:val="0"/>
                                                                      <w:divBdr>
                                                                        <w:top w:val="none" w:sz="0" w:space="0" w:color="auto"/>
                                                                        <w:left w:val="none" w:sz="0" w:space="0" w:color="auto"/>
                                                                        <w:bottom w:val="none" w:sz="0" w:space="0" w:color="auto"/>
                                                                        <w:right w:val="none" w:sz="0" w:space="0" w:color="auto"/>
                                                                      </w:divBdr>
                                                                      <w:divsChild>
                                                                        <w:div w:id="894659397">
                                                                          <w:marLeft w:val="0"/>
                                                                          <w:marRight w:val="0"/>
                                                                          <w:marTop w:val="0"/>
                                                                          <w:marBottom w:val="0"/>
                                                                          <w:divBdr>
                                                                            <w:top w:val="none" w:sz="0" w:space="0" w:color="auto"/>
                                                                            <w:left w:val="none" w:sz="0" w:space="0" w:color="auto"/>
                                                                            <w:bottom w:val="none" w:sz="0" w:space="0" w:color="auto"/>
                                                                            <w:right w:val="none" w:sz="0" w:space="0" w:color="auto"/>
                                                                          </w:divBdr>
                                                                          <w:divsChild>
                                                                            <w:div w:id="2130583275">
                                                                              <w:marLeft w:val="0"/>
                                                                              <w:marRight w:val="0"/>
                                                                              <w:marTop w:val="0"/>
                                                                              <w:marBottom w:val="0"/>
                                                                              <w:divBdr>
                                                                                <w:top w:val="none" w:sz="0" w:space="0" w:color="auto"/>
                                                                                <w:left w:val="none" w:sz="0" w:space="0" w:color="auto"/>
                                                                                <w:bottom w:val="none" w:sz="0" w:space="0" w:color="auto"/>
                                                                                <w:right w:val="none" w:sz="0" w:space="0" w:color="auto"/>
                                                                              </w:divBdr>
                                                                              <w:divsChild>
                                                                                <w:div w:id="1224680220">
                                                                                  <w:marLeft w:val="0"/>
                                                                                  <w:marRight w:val="0"/>
                                                                                  <w:marTop w:val="0"/>
                                                                                  <w:marBottom w:val="0"/>
                                                                                  <w:divBdr>
                                                                                    <w:top w:val="none" w:sz="0" w:space="0" w:color="auto"/>
                                                                                    <w:left w:val="none" w:sz="0" w:space="0" w:color="auto"/>
                                                                                    <w:bottom w:val="none" w:sz="0" w:space="0" w:color="auto"/>
                                                                                    <w:right w:val="none" w:sz="0" w:space="0" w:color="auto"/>
                                                                                  </w:divBdr>
                                                                                  <w:divsChild>
                                                                                    <w:div w:id="403374439">
                                                                                      <w:marLeft w:val="0"/>
                                                                                      <w:marRight w:val="0"/>
                                                                                      <w:marTop w:val="0"/>
                                                                                      <w:marBottom w:val="0"/>
                                                                                      <w:divBdr>
                                                                                        <w:top w:val="none" w:sz="0" w:space="0" w:color="auto"/>
                                                                                        <w:left w:val="none" w:sz="0" w:space="0" w:color="auto"/>
                                                                                        <w:bottom w:val="none" w:sz="0" w:space="0" w:color="auto"/>
                                                                                        <w:right w:val="none" w:sz="0" w:space="0" w:color="auto"/>
                                                                                      </w:divBdr>
                                                                                      <w:divsChild>
                                                                                        <w:div w:id="16024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383974">
      <w:bodyDiv w:val="1"/>
      <w:marLeft w:val="0"/>
      <w:marRight w:val="0"/>
      <w:marTop w:val="0"/>
      <w:marBottom w:val="0"/>
      <w:divBdr>
        <w:top w:val="none" w:sz="0" w:space="0" w:color="auto"/>
        <w:left w:val="none" w:sz="0" w:space="0" w:color="auto"/>
        <w:bottom w:val="none" w:sz="0" w:space="0" w:color="auto"/>
        <w:right w:val="none" w:sz="0" w:space="0" w:color="auto"/>
      </w:divBdr>
      <w:divsChild>
        <w:div w:id="592936264">
          <w:marLeft w:val="0"/>
          <w:marRight w:val="0"/>
          <w:marTop w:val="0"/>
          <w:marBottom w:val="0"/>
          <w:divBdr>
            <w:top w:val="none" w:sz="0" w:space="0" w:color="auto"/>
            <w:left w:val="none" w:sz="0" w:space="0" w:color="auto"/>
            <w:bottom w:val="none" w:sz="0" w:space="0" w:color="auto"/>
            <w:right w:val="none" w:sz="0" w:space="0" w:color="auto"/>
          </w:divBdr>
          <w:divsChild>
            <w:div w:id="2064982296">
              <w:marLeft w:val="0"/>
              <w:marRight w:val="0"/>
              <w:marTop w:val="0"/>
              <w:marBottom w:val="0"/>
              <w:divBdr>
                <w:top w:val="none" w:sz="0" w:space="0" w:color="auto"/>
                <w:left w:val="none" w:sz="0" w:space="0" w:color="auto"/>
                <w:bottom w:val="none" w:sz="0" w:space="0" w:color="auto"/>
                <w:right w:val="none" w:sz="0" w:space="0" w:color="auto"/>
              </w:divBdr>
              <w:divsChild>
                <w:div w:id="1515724388">
                  <w:marLeft w:val="0"/>
                  <w:marRight w:val="0"/>
                  <w:marTop w:val="0"/>
                  <w:marBottom w:val="0"/>
                  <w:divBdr>
                    <w:top w:val="none" w:sz="0" w:space="0" w:color="auto"/>
                    <w:left w:val="none" w:sz="0" w:space="0" w:color="auto"/>
                    <w:bottom w:val="none" w:sz="0" w:space="0" w:color="auto"/>
                    <w:right w:val="none" w:sz="0" w:space="0" w:color="auto"/>
                  </w:divBdr>
                  <w:divsChild>
                    <w:div w:id="1765758347">
                      <w:marLeft w:val="0"/>
                      <w:marRight w:val="0"/>
                      <w:marTop w:val="0"/>
                      <w:marBottom w:val="0"/>
                      <w:divBdr>
                        <w:top w:val="none" w:sz="0" w:space="0" w:color="auto"/>
                        <w:left w:val="none" w:sz="0" w:space="0" w:color="auto"/>
                        <w:bottom w:val="none" w:sz="0" w:space="0" w:color="auto"/>
                        <w:right w:val="none" w:sz="0" w:space="0" w:color="auto"/>
                      </w:divBdr>
                      <w:divsChild>
                        <w:div w:id="988705065">
                          <w:marLeft w:val="0"/>
                          <w:marRight w:val="0"/>
                          <w:marTop w:val="45"/>
                          <w:marBottom w:val="0"/>
                          <w:divBdr>
                            <w:top w:val="none" w:sz="0" w:space="0" w:color="auto"/>
                            <w:left w:val="none" w:sz="0" w:space="0" w:color="auto"/>
                            <w:bottom w:val="none" w:sz="0" w:space="0" w:color="auto"/>
                            <w:right w:val="none" w:sz="0" w:space="0" w:color="auto"/>
                          </w:divBdr>
                          <w:divsChild>
                            <w:div w:id="1307393210">
                              <w:marLeft w:val="0"/>
                              <w:marRight w:val="0"/>
                              <w:marTop w:val="0"/>
                              <w:marBottom w:val="0"/>
                              <w:divBdr>
                                <w:top w:val="none" w:sz="0" w:space="0" w:color="auto"/>
                                <w:left w:val="none" w:sz="0" w:space="0" w:color="auto"/>
                                <w:bottom w:val="none" w:sz="0" w:space="0" w:color="auto"/>
                                <w:right w:val="none" w:sz="0" w:space="0" w:color="auto"/>
                              </w:divBdr>
                              <w:divsChild>
                                <w:div w:id="490753592">
                                  <w:marLeft w:val="2070"/>
                                  <w:marRight w:val="3810"/>
                                  <w:marTop w:val="0"/>
                                  <w:marBottom w:val="0"/>
                                  <w:divBdr>
                                    <w:top w:val="none" w:sz="0" w:space="0" w:color="auto"/>
                                    <w:left w:val="none" w:sz="0" w:space="0" w:color="auto"/>
                                    <w:bottom w:val="none" w:sz="0" w:space="0" w:color="auto"/>
                                    <w:right w:val="none" w:sz="0" w:space="0" w:color="auto"/>
                                  </w:divBdr>
                                  <w:divsChild>
                                    <w:div w:id="1277323042">
                                      <w:marLeft w:val="0"/>
                                      <w:marRight w:val="0"/>
                                      <w:marTop w:val="0"/>
                                      <w:marBottom w:val="0"/>
                                      <w:divBdr>
                                        <w:top w:val="none" w:sz="0" w:space="0" w:color="auto"/>
                                        <w:left w:val="none" w:sz="0" w:space="0" w:color="auto"/>
                                        <w:bottom w:val="none" w:sz="0" w:space="0" w:color="auto"/>
                                        <w:right w:val="none" w:sz="0" w:space="0" w:color="auto"/>
                                      </w:divBdr>
                                      <w:divsChild>
                                        <w:div w:id="1241451062">
                                          <w:marLeft w:val="0"/>
                                          <w:marRight w:val="0"/>
                                          <w:marTop w:val="0"/>
                                          <w:marBottom w:val="0"/>
                                          <w:divBdr>
                                            <w:top w:val="none" w:sz="0" w:space="0" w:color="auto"/>
                                            <w:left w:val="none" w:sz="0" w:space="0" w:color="auto"/>
                                            <w:bottom w:val="none" w:sz="0" w:space="0" w:color="auto"/>
                                            <w:right w:val="none" w:sz="0" w:space="0" w:color="auto"/>
                                          </w:divBdr>
                                          <w:divsChild>
                                            <w:div w:id="902524677">
                                              <w:marLeft w:val="0"/>
                                              <w:marRight w:val="0"/>
                                              <w:marTop w:val="0"/>
                                              <w:marBottom w:val="0"/>
                                              <w:divBdr>
                                                <w:top w:val="none" w:sz="0" w:space="0" w:color="auto"/>
                                                <w:left w:val="none" w:sz="0" w:space="0" w:color="auto"/>
                                                <w:bottom w:val="none" w:sz="0" w:space="0" w:color="auto"/>
                                                <w:right w:val="none" w:sz="0" w:space="0" w:color="auto"/>
                                              </w:divBdr>
                                              <w:divsChild>
                                                <w:div w:id="1914897109">
                                                  <w:marLeft w:val="0"/>
                                                  <w:marRight w:val="0"/>
                                                  <w:marTop w:val="0"/>
                                                  <w:marBottom w:val="0"/>
                                                  <w:divBdr>
                                                    <w:top w:val="none" w:sz="0" w:space="0" w:color="auto"/>
                                                    <w:left w:val="none" w:sz="0" w:space="0" w:color="auto"/>
                                                    <w:bottom w:val="none" w:sz="0" w:space="0" w:color="auto"/>
                                                    <w:right w:val="none" w:sz="0" w:space="0" w:color="auto"/>
                                                  </w:divBdr>
                                                  <w:divsChild>
                                                    <w:div w:id="1898204839">
                                                      <w:marLeft w:val="0"/>
                                                      <w:marRight w:val="0"/>
                                                      <w:marTop w:val="0"/>
                                                      <w:marBottom w:val="0"/>
                                                      <w:divBdr>
                                                        <w:top w:val="none" w:sz="0" w:space="0" w:color="auto"/>
                                                        <w:left w:val="none" w:sz="0" w:space="0" w:color="auto"/>
                                                        <w:bottom w:val="none" w:sz="0" w:space="0" w:color="auto"/>
                                                        <w:right w:val="none" w:sz="0" w:space="0" w:color="auto"/>
                                                      </w:divBdr>
                                                      <w:divsChild>
                                                        <w:div w:id="999305339">
                                                          <w:marLeft w:val="0"/>
                                                          <w:marRight w:val="0"/>
                                                          <w:marTop w:val="0"/>
                                                          <w:marBottom w:val="345"/>
                                                          <w:divBdr>
                                                            <w:top w:val="none" w:sz="0" w:space="0" w:color="auto"/>
                                                            <w:left w:val="none" w:sz="0" w:space="0" w:color="auto"/>
                                                            <w:bottom w:val="none" w:sz="0" w:space="0" w:color="auto"/>
                                                            <w:right w:val="none" w:sz="0" w:space="0" w:color="auto"/>
                                                          </w:divBdr>
                                                          <w:divsChild>
                                                            <w:div w:id="507332471">
                                                              <w:marLeft w:val="0"/>
                                                              <w:marRight w:val="0"/>
                                                              <w:marTop w:val="0"/>
                                                              <w:marBottom w:val="0"/>
                                                              <w:divBdr>
                                                                <w:top w:val="none" w:sz="0" w:space="0" w:color="auto"/>
                                                                <w:left w:val="none" w:sz="0" w:space="0" w:color="auto"/>
                                                                <w:bottom w:val="none" w:sz="0" w:space="0" w:color="auto"/>
                                                                <w:right w:val="none" w:sz="0" w:space="0" w:color="auto"/>
                                                              </w:divBdr>
                                                              <w:divsChild>
                                                                <w:div w:id="2059355365">
                                                                  <w:marLeft w:val="0"/>
                                                                  <w:marRight w:val="0"/>
                                                                  <w:marTop w:val="0"/>
                                                                  <w:marBottom w:val="0"/>
                                                                  <w:divBdr>
                                                                    <w:top w:val="none" w:sz="0" w:space="0" w:color="auto"/>
                                                                    <w:left w:val="none" w:sz="0" w:space="0" w:color="auto"/>
                                                                    <w:bottom w:val="none" w:sz="0" w:space="0" w:color="auto"/>
                                                                    <w:right w:val="none" w:sz="0" w:space="0" w:color="auto"/>
                                                                  </w:divBdr>
                                                                  <w:divsChild>
                                                                    <w:div w:id="607549185">
                                                                      <w:marLeft w:val="0"/>
                                                                      <w:marRight w:val="0"/>
                                                                      <w:marTop w:val="0"/>
                                                                      <w:marBottom w:val="0"/>
                                                                      <w:divBdr>
                                                                        <w:top w:val="none" w:sz="0" w:space="0" w:color="auto"/>
                                                                        <w:left w:val="none" w:sz="0" w:space="0" w:color="auto"/>
                                                                        <w:bottom w:val="none" w:sz="0" w:space="0" w:color="auto"/>
                                                                        <w:right w:val="none" w:sz="0" w:space="0" w:color="auto"/>
                                                                      </w:divBdr>
                                                                      <w:divsChild>
                                                                        <w:div w:id="1659379321">
                                                                          <w:marLeft w:val="0"/>
                                                                          <w:marRight w:val="0"/>
                                                                          <w:marTop w:val="0"/>
                                                                          <w:marBottom w:val="0"/>
                                                                          <w:divBdr>
                                                                            <w:top w:val="none" w:sz="0" w:space="0" w:color="auto"/>
                                                                            <w:left w:val="none" w:sz="0" w:space="0" w:color="auto"/>
                                                                            <w:bottom w:val="none" w:sz="0" w:space="0" w:color="auto"/>
                                                                            <w:right w:val="none" w:sz="0" w:space="0" w:color="auto"/>
                                                                          </w:divBdr>
                                                                          <w:divsChild>
                                                                            <w:div w:id="1316029102">
                                                                              <w:marLeft w:val="0"/>
                                                                              <w:marRight w:val="0"/>
                                                                              <w:marTop w:val="0"/>
                                                                              <w:marBottom w:val="0"/>
                                                                              <w:divBdr>
                                                                                <w:top w:val="none" w:sz="0" w:space="0" w:color="auto"/>
                                                                                <w:left w:val="none" w:sz="0" w:space="0" w:color="auto"/>
                                                                                <w:bottom w:val="none" w:sz="0" w:space="0" w:color="auto"/>
                                                                                <w:right w:val="none" w:sz="0" w:space="0" w:color="auto"/>
                                                                              </w:divBdr>
                                                                              <w:divsChild>
                                                                                <w:div w:id="1912422333">
                                                                                  <w:marLeft w:val="0"/>
                                                                                  <w:marRight w:val="0"/>
                                                                                  <w:marTop w:val="0"/>
                                                                                  <w:marBottom w:val="0"/>
                                                                                  <w:divBdr>
                                                                                    <w:top w:val="none" w:sz="0" w:space="0" w:color="auto"/>
                                                                                    <w:left w:val="none" w:sz="0" w:space="0" w:color="auto"/>
                                                                                    <w:bottom w:val="none" w:sz="0" w:space="0" w:color="auto"/>
                                                                                    <w:right w:val="none" w:sz="0" w:space="0" w:color="auto"/>
                                                                                  </w:divBdr>
                                                                                  <w:divsChild>
                                                                                    <w:div w:id="1931349636">
                                                                                      <w:marLeft w:val="0"/>
                                                                                      <w:marRight w:val="0"/>
                                                                                      <w:marTop w:val="0"/>
                                                                                      <w:marBottom w:val="0"/>
                                                                                      <w:divBdr>
                                                                                        <w:top w:val="none" w:sz="0" w:space="0" w:color="auto"/>
                                                                                        <w:left w:val="none" w:sz="0" w:space="0" w:color="auto"/>
                                                                                        <w:bottom w:val="none" w:sz="0" w:space="0" w:color="auto"/>
                                                                                        <w:right w:val="none" w:sz="0" w:space="0" w:color="auto"/>
                                                                                      </w:divBdr>
                                                                                      <w:divsChild>
                                                                                        <w:div w:id="13553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69358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50833973">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src/LHE-20-8.GA-9-ES.docx" TargetMode="External"/><Relationship Id="rId21" Type="http://schemas.openxmlformats.org/officeDocument/2006/relationships/hyperlink" Target="https://ich.unesco.org/doc/src/LHE-20-8.GA-INF.7-EN.docx" TargetMode="External"/><Relationship Id="rId42" Type="http://schemas.openxmlformats.org/officeDocument/2006/relationships/hyperlink" Target="https://ich.unesco.org/en/Decisions/12.COM/17" TargetMode="External"/><Relationship Id="rId47" Type="http://schemas.openxmlformats.org/officeDocument/2006/relationships/hyperlink" Target="https://ich.unesco.org/en/Resolutions/7.GA/6" TargetMode="External"/><Relationship Id="rId63" Type="http://schemas.openxmlformats.org/officeDocument/2006/relationships/hyperlink" Target="https://ich.unesco.org/doc/src/42681.pdf" TargetMode="External"/><Relationship Id="rId68" Type="http://schemas.openxmlformats.org/officeDocument/2006/relationships/hyperlink" Target="https://ich.unesco.org/doc/src/45521-EN.pdf" TargetMode="External"/><Relationship Id="rId84" Type="http://schemas.openxmlformats.org/officeDocument/2006/relationships/hyperlink" Target="https://ich.unesco.org/doc/src/45532.pdf" TargetMode="External"/><Relationship Id="rId89" Type="http://schemas.openxmlformats.org/officeDocument/2006/relationships/hyperlink" Target="https://ich.unesco.org/doc/src/LHE-20-8.GA-15-ES.docx" TargetMode="External"/><Relationship Id="rId7" Type="http://schemas.openxmlformats.org/officeDocument/2006/relationships/endnotes" Target="endnotes.xml"/><Relationship Id="rId71" Type="http://schemas.openxmlformats.org/officeDocument/2006/relationships/hyperlink" Target="https://ich.unesco.org/doc/src/45524-FR.pdf" TargetMode="External"/><Relationship Id="rId92" Type="http://schemas.openxmlformats.org/officeDocument/2006/relationships/hyperlink" Target="https://ich.unesco.org/doc/src/LHE-19-14.COM-19-EN.docx"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unesdoc.unesco.org/ark:/48223/pf0000235186_spa" TargetMode="External"/><Relationship Id="rId107" Type="http://schemas.openxmlformats.org/officeDocument/2006/relationships/fontTable" Target="fontTable.xml"/><Relationship Id="rId11" Type="http://schemas.openxmlformats.org/officeDocument/2006/relationships/hyperlink" Target="https://ich.unesco.org/en/r%C3%A9solutions/3.GA/12?dec=resolutions&amp;ref_decision=3.GA" TargetMode="External"/><Relationship Id="rId24" Type="http://schemas.openxmlformats.org/officeDocument/2006/relationships/hyperlink" Target="https://unesdoc.unesco.org/ark:/48223/pf0000260889" TargetMode="External"/><Relationship Id="rId32" Type="http://schemas.openxmlformats.org/officeDocument/2006/relationships/hyperlink" Target="https://ich.unesco.org/doc/src/LHE-20-8.GA-10-ES.docx" TargetMode="External"/><Relationship Id="rId37" Type="http://schemas.openxmlformats.org/officeDocument/2006/relationships/hyperlink" Target="https://ich.unesco.org/en/Decisions/14.COM/14" TargetMode="External"/><Relationship Id="rId40" Type="http://schemas.openxmlformats.org/officeDocument/2006/relationships/hyperlink" Target="https://ich.unesco.org/doc/src/LHE-20-8.GA-12-ES.docx" TargetMode="External"/><Relationship Id="rId45" Type="http://schemas.openxmlformats.org/officeDocument/2006/relationships/hyperlink" Target="https://ich.unesco.org/en/Decisions/14.COM/15" TargetMode="External"/><Relationship Id="rId53" Type="http://schemas.openxmlformats.org/officeDocument/2006/relationships/hyperlink" Target="https://ich.unesco.org/doc/src/45491-EN.pdf" TargetMode="External"/><Relationship Id="rId58" Type="http://schemas.openxmlformats.org/officeDocument/2006/relationships/hyperlink" Target="https://ich.unesco.org/doc/src/45512-FR.pdf" TargetMode="External"/><Relationship Id="rId66" Type="http://schemas.openxmlformats.org/officeDocument/2006/relationships/hyperlink" Target="https://ich.unesco.org/doc/src/45520.pdf" TargetMode="External"/><Relationship Id="rId74" Type="http://schemas.openxmlformats.org/officeDocument/2006/relationships/hyperlink" Target="https://ich.unesco.org/doc/src/42711-EN.pdf" TargetMode="External"/><Relationship Id="rId79" Type="http://schemas.openxmlformats.org/officeDocument/2006/relationships/hyperlink" Target="https://ich.unesco.org/doc/src/45529.pdf" TargetMode="External"/><Relationship Id="rId87" Type="http://schemas.openxmlformats.org/officeDocument/2006/relationships/hyperlink" Target="https://ich.unesco.org/doc/src/LHE-20-8.GA-14-ES.docx" TargetMode="External"/><Relationship Id="rId102" Type="http://schemas.openxmlformats.org/officeDocument/2006/relationships/hyperlink" Target="https://ich.unesco.org/en/Resolutions/6.GA/11" TargetMode="External"/><Relationship Id="rId5" Type="http://schemas.openxmlformats.org/officeDocument/2006/relationships/webSettings" Target="webSettings.xml"/><Relationship Id="rId61" Type="http://schemas.openxmlformats.org/officeDocument/2006/relationships/hyperlink" Target="https://ich.unesco.org/doc/src/45515-EN.pdf" TargetMode="External"/><Relationship Id="rId82" Type="http://schemas.openxmlformats.org/officeDocument/2006/relationships/hyperlink" Target="https://ich.unesco.org/doc/src/45531-EN.pdf" TargetMode="External"/><Relationship Id="rId90" Type="http://schemas.openxmlformats.org/officeDocument/2006/relationships/hyperlink" Target="https://ich.unesco.org/doc/src/LHE-20-8.GA-7_Rev.-ES.docx" TargetMode="External"/><Relationship Id="rId95" Type="http://schemas.openxmlformats.org/officeDocument/2006/relationships/hyperlink" Target="https://ich.unesco.org/doc/src/ITH-18-7.GA-13-EN.docx" TargetMode="External"/><Relationship Id="rId19" Type="http://schemas.openxmlformats.org/officeDocument/2006/relationships/hyperlink" Target="https://ich.unesco.org/doc/src/LHE-20-8.GA-6+Add.-ES.docx" TargetMode="External"/><Relationship Id="rId14" Type="http://schemas.openxmlformats.org/officeDocument/2006/relationships/hyperlink" Target="https://ich.unesco.org/en/Decisions/14.COM/12" TargetMode="External"/><Relationship Id="rId22" Type="http://schemas.openxmlformats.org/officeDocument/2006/relationships/header" Target="header4.xml"/><Relationship Id="rId27" Type="http://schemas.openxmlformats.org/officeDocument/2006/relationships/hyperlink" Target="https://unesdoc.unesco.org/ark:/48223/pf0000243325_spa" TargetMode="External"/><Relationship Id="rId30" Type="http://schemas.openxmlformats.org/officeDocument/2006/relationships/hyperlink" Target="https://unesdoc.unesco.org/ark:/48223/pf0000259805_spa" TargetMode="External"/><Relationship Id="rId35" Type="http://schemas.openxmlformats.org/officeDocument/2006/relationships/hyperlink" Target="https://ich.unesco.org/en/Decisions/13.COM/6" TargetMode="External"/><Relationship Id="rId43" Type="http://schemas.openxmlformats.org/officeDocument/2006/relationships/hyperlink" Target="https://ich.unesco.org/en/Decisions/13.COM/13" TargetMode="External"/><Relationship Id="rId48" Type="http://schemas.openxmlformats.org/officeDocument/2006/relationships/hyperlink" Target="https://ich.unesco.org/en/Decisions/7.GA/11" TargetMode="External"/><Relationship Id="rId56" Type="http://schemas.openxmlformats.org/officeDocument/2006/relationships/hyperlink" Target="https://ich.unesco.org/doc/src/45499.pdf" TargetMode="External"/><Relationship Id="rId64" Type="http://schemas.openxmlformats.org/officeDocument/2006/relationships/hyperlink" Target="https://ich.unesco.org/doc/src/45518.pdf" TargetMode="External"/><Relationship Id="rId69" Type="http://schemas.openxmlformats.org/officeDocument/2006/relationships/hyperlink" Target="https://ich.unesco.org/doc/src/45522-FR.pdf" TargetMode="External"/><Relationship Id="rId77" Type="http://schemas.openxmlformats.org/officeDocument/2006/relationships/hyperlink" Target="https://ich.unesco.org/doc/src/45527.pdf" TargetMode="External"/><Relationship Id="rId100" Type="http://schemas.openxmlformats.org/officeDocument/2006/relationships/hyperlink" Target="https://ich.unesco.org/en/Resolutions/7.GA/12" TargetMode="External"/><Relationship Id="rId105" Type="http://schemas.openxmlformats.org/officeDocument/2006/relationships/hyperlink" Target="https://ich.unesco.org/en/Resolutions/7.GA/13" TargetMode="External"/><Relationship Id="rId8" Type="http://schemas.openxmlformats.org/officeDocument/2006/relationships/hyperlink" Target="https://ich.unesco.org/doc/src/LHE-20-8.GA-2-ES.docx" TargetMode="External"/><Relationship Id="rId51" Type="http://schemas.openxmlformats.org/officeDocument/2006/relationships/hyperlink" Target="https://ich.unesco.org/doc/src/45486.pdf" TargetMode="External"/><Relationship Id="rId72" Type="http://schemas.openxmlformats.org/officeDocument/2006/relationships/hyperlink" Target="https://ich.unesco.org/doc/src/45525.pdf" TargetMode="External"/><Relationship Id="rId80" Type="http://schemas.openxmlformats.org/officeDocument/2006/relationships/hyperlink" Target="https://ich.unesco.org/doc/src/45530.pdf" TargetMode="External"/><Relationship Id="rId85" Type="http://schemas.openxmlformats.org/officeDocument/2006/relationships/hyperlink" Target="https://ich.unesco.org/doc/src/45533-EN.pdf" TargetMode="External"/><Relationship Id="rId93" Type="http://schemas.openxmlformats.org/officeDocument/2006/relationships/hyperlink" Target="https://ich.unesco.org/doc/src/ITH-18-13.COM-17-EN.docx" TargetMode="External"/><Relationship Id="rId98" Type="http://schemas.openxmlformats.org/officeDocument/2006/relationships/hyperlink" Target="https://ich.unesco.org/en/Decisions/13.COM/17" TargetMode="External"/><Relationship Id="rId3" Type="http://schemas.openxmlformats.org/officeDocument/2006/relationships/styles" Target="styles.xml"/><Relationship Id="rId12" Type="http://schemas.openxmlformats.org/officeDocument/2006/relationships/hyperlink" Target="https://ich.unesco.org/doc/src/LHE-20-8.GA-5-ES.docx" TargetMode="External"/><Relationship Id="rId17" Type="http://schemas.openxmlformats.org/officeDocument/2006/relationships/header" Target="header2.xml"/><Relationship Id="rId25" Type="http://schemas.openxmlformats.org/officeDocument/2006/relationships/hyperlink" Target="https://ich.unesco.org/en/Decisions/14.COM/19" TargetMode="External"/><Relationship Id="rId33" Type="http://schemas.openxmlformats.org/officeDocument/2006/relationships/hyperlink" Target="https://ich.unesco.org/doc/src/LHE-20-8.GA-11-ES.docx" TargetMode="External"/><Relationship Id="rId38" Type="http://schemas.openxmlformats.org/officeDocument/2006/relationships/hyperlink" Target="https://ich.unesco.org/en/decisions/13.COM/15" TargetMode="External"/><Relationship Id="rId46" Type="http://schemas.openxmlformats.org/officeDocument/2006/relationships/hyperlink" Target="https://ich.unesco.org/en/Decisions/14.COM/16" TargetMode="External"/><Relationship Id="rId59" Type="http://schemas.openxmlformats.org/officeDocument/2006/relationships/hyperlink" Target="https://ich.unesco.org/doc/src/45513-EN.pdf" TargetMode="External"/><Relationship Id="rId67" Type="http://schemas.openxmlformats.org/officeDocument/2006/relationships/hyperlink" Target="https://ich.unesco.org/doc/src/43083.pdf" TargetMode="External"/><Relationship Id="rId103" Type="http://schemas.openxmlformats.org/officeDocument/2006/relationships/hyperlink" Target="https://en.unesco.org/sites/default/files/39c-res87-governance-eng.pdf" TargetMode="External"/><Relationship Id="rId108" Type="http://schemas.openxmlformats.org/officeDocument/2006/relationships/theme" Target="theme/theme1.xml"/><Relationship Id="rId20" Type="http://schemas.openxmlformats.org/officeDocument/2006/relationships/hyperlink" Target="https://ich.unesco.org/doc/src/LHE-20-8.GA-7_Rev.-ES.docx" TargetMode="External"/><Relationship Id="rId41" Type="http://schemas.openxmlformats.org/officeDocument/2006/relationships/hyperlink" Target="https://ich.unesco.org/en/Decisions/12.COM/13" TargetMode="External"/><Relationship Id="rId54" Type="http://schemas.openxmlformats.org/officeDocument/2006/relationships/hyperlink" Target="https://ich.unesco.org/doc/src/42674-FR.pdf" TargetMode="External"/><Relationship Id="rId62" Type="http://schemas.openxmlformats.org/officeDocument/2006/relationships/hyperlink" Target="https://ich.unesco.org/doc/src/45516-FR.pdf" TargetMode="External"/><Relationship Id="rId70" Type="http://schemas.openxmlformats.org/officeDocument/2006/relationships/hyperlink" Target="https://ich.unesco.org/doc/src/45523-FR.pdf" TargetMode="External"/><Relationship Id="rId75" Type="http://schemas.openxmlformats.org/officeDocument/2006/relationships/hyperlink" Target="https://ich.unesco.org/doc/src/43093.pdf" TargetMode="External"/><Relationship Id="rId83" Type="http://schemas.openxmlformats.org/officeDocument/2006/relationships/hyperlink" Target="https://ich.unesco.org/doc/src/42719-EN.pdf" TargetMode="External"/><Relationship Id="rId88" Type="http://schemas.openxmlformats.org/officeDocument/2006/relationships/hyperlink" Target="https://ich.unesco.org/en/Decisions/8.GA/4" TargetMode="External"/><Relationship Id="rId91" Type="http://schemas.openxmlformats.org/officeDocument/2006/relationships/hyperlink" Target="https://ich.unesco.org/doc/src/LHE-20-8.GA-8-ES.docx" TargetMode="External"/><Relationship Id="rId96" Type="http://schemas.openxmlformats.org/officeDocument/2006/relationships/hyperlink" Target="https://ich.unesco.org/doc/src/ITH-18-7.GA-12-EN.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0-8.GA-6+Add.-ES.docx" TargetMode="External"/><Relationship Id="rId23" Type="http://schemas.openxmlformats.org/officeDocument/2006/relationships/hyperlink" Target="https://ich.unesco.org/doc/src/LHE-20-8.GA-8-ES.docx" TargetMode="External"/><Relationship Id="rId28" Type="http://schemas.openxmlformats.org/officeDocument/2006/relationships/hyperlink" Target="https://unesdoc.unesco.org/ark:/48223/pf0000260889_spa" TargetMode="External"/><Relationship Id="rId36" Type="http://schemas.openxmlformats.org/officeDocument/2006/relationships/hyperlink" Target="https://ich.unesco.org/en/Decisions/13.COM/10" TargetMode="External"/><Relationship Id="rId49" Type="http://schemas.openxmlformats.org/officeDocument/2006/relationships/hyperlink" Target="https://ich.unesco.org/doc/src/LHE-20-8.GA-13-ES.docx" TargetMode="External"/><Relationship Id="rId57" Type="http://schemas.openxmlformats.org/officeDocument/2006/relationships/hyperlink" Target="https://ich.unesco.org/doc/src/45510.pdf" TargetMode="External"/><Relationship Id="rId106" Type="http://schemas.openxmlformats.org/officeDocument/2006/relationships/header" Target="header5.xml"/><Relationship Id="rId10" Type="http://schemas.openxmlformats.org/officeDocument/2006/relationships/hyperlink" Target="https://ich.unesco.org/doc/src/LHE-20-8.GA-4-ES.docx" TargetMode="External"/><Relationship Id="rId31" Type="http://schemas.openxmlformats.org/officeDocument/2006/relationships/hyperlink" Target="https://ich.unesco.org/doc/src/ICH-Operational_Directives-7.GA-PDF-EN.pdf" TargetMode="External"/><Relationship Id="rId44" Type="http://schemas.openxmlformats.org/officeDocument/2006/relationships/hyperlink" Target="https://ich.unesco.org/en/Decisions/13.COM/16" TargetMode="External"/><Relationship Id="rId52" Type="http://schemas.openxmlformats.org/officeDocument/2006/relationships/hyperlink" Target="https://ich.unesco.org/doc/src/45490-FR.pdf" TargetMode="External"/><Relationship Id="rId60" Type="http://schemas.openxmlformats.org/officeDocument/2006/relationships/hyperlink" Target="https://ich.unesco.org/doc/src/45514.pdf" TargetMode="External"/><Relationship Id="rId65" Type="http://schemas.openxmlformats.org/officeDocument/2006/relationships/hyperlink" Target="https://ich.unesco.org/doc/src/45519.pdf" TargetMode="External"/><Relationship Id="rId73" Type="http://schemas.openxmlformats.org/officeDocument/2006/relationships/hyperlink" Target="https://ich.unesco.org/doc/src/45571.pdf" TargetMode="External"/><Relationship Id="rId78" Type="http://schemas.openxmlformats.org/officeDocument/2006/relationships/hyperlink" Target="https://ich.unesco.org/doc/src/45528.pdf" TargetMode="External"/><Relationship Id="rId81" Type="http://schemas.openxmlformats.org/officeDocument/2006/relationships/hyperlink" Target="https://ich.unesco.org/doc/src/42676.pdf" TargetMode="External"/><Relationship Id="rId86" Type="http://schemas.openxmlformats.org/officeDocument/2006/relationships/hyperlink" Target="https://ich.unesco.org/doc/src/45534-EN.pdf" TargetMode="External"/><Relationship Id="rId94" Type="http://schemas.openxmlformats.org/officeDocument/2006/relationships/hyperlink" Target="https://ich.unesco.org/doc/src/ITH-17-12.COM-16-EN.docx" TargetMode="External"/><Relationship Id="rId99" Type="http://schemas.openxmlformats.org/officeDocument/2006/relationships/hyperlink" Target="https://ich.unesco.org/en/Decisions/12.COM/16" TargetMode="External"/><Relationship Id="rId101" Type="http://schemas.openxmlformats.org/officeDocument/2006/relationships/hyperlink" Target="https://ich.unesco.org/en/Resolutions/7.GA/13" TargetMode="External"/><Relationship Id="rId4" Type="http://schemas.openxmlformats.org/officeDocument/2006/relationships/settings" Target="settings.xml"/><Relationship Id="rId9" Type="http://schemas.openxmlformats.org/officeDocument/2006/relationships/hyperlink" Target="https://ich.unesco.org/doc/src/LHE-20-8.GA-3_Rev.-ES.docx" TargetMode="External"/><Relationship Id="rId13" Type="http://schemas.openxmlformats.org/officeDocument/2006/relationships/hyperlink" Target="https://ich.unesco.org/en/Decisions/13.COM/10.b.41" TargetMode="External"/><Relationship Id="rId18" Type="http://schemas.openxmlformats.org/officeDocument/2006/relationships/header" Target="header3.xml"/><Relationship Id="rId39" Type="http://schemas.openxmlformats.org/officeDocument/2006/relationships/hyperlink" Target="https://ich.unesco.org/fr/D%C3%A9cisions/14.COM/14" TargetMode="External"/><Relationship Id="rId34" Type="http://schemas.openxmlformats.org/officeDocument/2006/relationships/hyperlink" Target="https://ich.unesco.org/doc/src/LHE-19-14.COM-14-EN.docx" TargetMode="External"/><Relationship Id="rId50" Type="http://schemas.openxmlformats.org/officeDocument/2006/relationships/hyperlink" Target="https://ich.unesco.org/en/d%C3%A9cisions/14.COM/17?dec=decisions&amp;ref_decision=14.COM" TargetMode="External"/><Relationship Id="rId55" Type="http://schemas.openxmlformats.org/officeDocument/2006/relationships/hyperlink" Target="https://ich.unesco.org/doc/src/45495.pdf" TargetMode="External"/><Relationship Id="rId76" Type="http://schemas.openxmlformats.org/officeDocument/2006/relationships/hyperlink" Target="https://ich.unesco.org/doc/src/48726-EN.pdf" TargetMode="External"/><Relationship Id="rId97" Type="http://schemas.openxmlformats.org/officeDocument/2006/relationships/hyperlink" Target="https://ich.unesco.org/en/Decisions/14.COM/19" TargetMode="External"/><Relationship Id="rId104" Type="http://schemas.openxmlformats.org/officeDocument/2006/relationships/hyperlink" Target="http://www.unesco.org/new/fileadmin/MULTIMEDIA/HQ/GBS/38GC/pdf/101_Resolutio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ICH-Operational_Directives-7.GA-ES.docx" TargetMode="External"/><Relationship Id="rId2" Type="http://schemas.openxmlformats.org/officeDocument/2006/relationships/hyperlink" Target="https://unesdoc.unesco.org/ark:/48223/pf0000259805_spa" TargetMode="External"/><Relationship Id="rId1" Type="http://schemas.openxmlformats.org/officeDocument/2006/relationships/hyperlink" Target="https://unesdoc.unesco.org/ark:/48223/pf0000235186_sp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FC5E-46E8-44C6-9EF4-253F7CF0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792</TotalTime>
  <Pages>22</Pages>
  <Words>9668</Words>
  <Characters>53178</Characters>
  <Application>Microsoft Office Word</Application>
  <DocSecurity>0</DocSecurity>
  <Lines>443</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Ohinata, Fumiko</cp:lastModifiedBy>
  <cp:revision>443</cp:revision>
  <cp:lastPrinted>2011-08-06T09:22:00Z</cp:lastPrinted>
  <dcterms:created xsi:type="dcterms:W3CDTF">2020-09-10T07:52:00Z</dcterms:created>
  <dcterms:modified xsi:type="dcterms:W3CDTF">2020-09-24T11:05:00Z</dcterms:modified>
</cp:coreProperties>
</file>