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3D512A" w14:textId="77777777" w:rsidR="00655736" w:rsidRPr="00015EE8" w:rsidRDefault="00655736" w:rsidP="00655736">
      <w:pPr>
        <w:spacing w:before="1440"/>
        <w:jc w:val="center"/>
        <w:rPr>
          <w:rFonts w:ascii="Arial" w:hAnsi="Arial" w:cs="Arial"/>
          <w:b/>
          <w:sz w:val="22"/>
          <w:szCs w:val="22"/>
          <w:lang w:val="en-GB"/>
        </w:rPr>
      </w:pPr>
      <w:r w:rsidRPr="00015EE8">
        <w:rPr>
          <w:rFonts w:ascii="Arial" w:hAnsi="Arial" w:cs="Arial"/>
          <w:b/>
          <w:sz w:val="22"/>
          <w:szCs w:val="22"/>
          <w:lang w:val="en-GB"/>
        </w:rPr>
        <w:t xml:space="preserve">CONVENTION FOR THE SAFEGUARDING OF THE </w:t>
      </w:r>
      <w:r w:rsidRPr="00015EE8">
        <w:rPr>
          <w:rFonts w:ascii="Arial" w:hAnsi="Arial" w:cs="Arial"/>
          <w:b/>
          <w:sz w:val="22"/>
          <w:szCs w:val="22"/>
          <w:lang w:val="en-GB"/>
        </w:rPr>
        <w:br/>
        <w:t>IN</w:t>
      </w:r>
      <w:bookmarkStart w:id="0" w:name="_GoBack"/>
      <w:bookmarkEnd w:id="0"/>
      <w:r w:rsidRPr="00015EE8">
        <w:rPr>
          <w:rFonts w:ascii="Arial" w:hAnsi="Arial" w:cs="Arial"/>
          <w:b/>
          <w:sz w:val="22"/>
          <w:szCs w:val="22"/>
          <w:lang w:val="en-GB"/>
        </w:rPr>
        <w:t>TANGIBLE CULTURAL HERITAGE</w:t>
      </w:r>
    </w:p>
    <w:p w14:paraId="4E5F911F" w14:textId="77777777" w:rsidR="00655736" w:rsidRPr="00015EE8" w:rsidRDefault="00D95C4C" w:rsidP="00655736">
      <w:pPr>
        <w:spacing w:before="1200"/>
        <w:jc w:val="center"/>
        <w:rPr>
          <w:rFonts w:ascii="Arial" w:hAnsi="Arial" w:cs="Arial"/>
          <w:b/>
          <w:sz w:val="22"/>
          <w:szCs w:val="22"/>
          <w:lang w:val="en-GB"/>
        </w:rPr>
      </w:pPr>
      <w:r w:rsidRPr="00015EE8">
        <w:rPr>
          <w:rFonts w:ascii="Arial" w:hAnsi="Arial" w:cs="Arial"/>
          <w:b/>
          <w:sz w:val="22"/>
          <w:szCs w:val="22"/>
          <w:lang w:val="en-GB"/>
        </w:rPr>
        <w:t>GENERAL ASSEMBLY OF THE S</w:t>
      </w:r>
      <w:r w:rsidR="00C23A97" w:rsidRPr="00015EE8">
        <w:rPr>
          <w:rFonts w:ascii="Arial" w:hAnsi="Arial" w:cs="Arial"/>
          <w:b/>
          <w:sz w:val="22"/>
          <w:szCs w:val="22"/>
          <w:lang w:val="en-GB"/>
        </w:rPr>
        <w:t>TATES PARTIES TO THE CONVENTION</w:t>
      </w:r>
    </w:p>
    <w:p w14:paraId="434F3C6F" w14:textId="77777777" w:rsidR="00D95C4C" w:rsidRPr="00015EE8" w:rsidRDefault="004A3579" w:rsidP="00D95C4C">
      <w:pPr>
        <w:spacing w:before="840"/>
        <w:jc w:val="center"/>
        <w:rPr>
          <w:rFonts w:ascii="Arial" w:hAnsi="Arial" w:cs="Arial"/>
          <w:b/>
          <w:sz w:val="22"/>
          <w:szCs w:val="22"/>
          <w:lang w:val="en-GB"/>
        </w:rPr>
      </w:pPr>
      <w:r w:rsidRPr="00015EE8">
        <w:rPr>
          <w:rFonts w:ascii="Arial" w:hAnsi="Arial" w:cs="Arial"/>
          <w:b/>
          <w:sz w:val="22"/>
          <w:szCs w:val="22"/>
          <w:lang w:val="en-GB"/>
        </w:rPr>
        <w:t>Eighth</w:t>
      </w:r>
      <w:r w:rsidR="00D95C4C" w:rsidRPr="00015EE8">
        <w:rPr>
          <w:rFonts w:ascii="Arial" w:hAnsi="Arial" w:cs="Arial"/>
          <w:b/>
          <w:sz w:val="22"/>
          <w:szCs w:val="22"/>
          <w:lang w:val="en-GB"/>
        </w:rPr>
        <w:t xml:space="preserve"> session</w:t>
      </w:r>
    </w:p>
    <w:p w14:paraId="51CE56EC" w14:textId="77777777" w:rsidR="00D95C4C" w:rsidRPr="00015EE8" w:rsidRDefault="00D95C4C" w:rsidP="00D95C4C">
      <w:pPr>
        <w:jc w:val="center"/>
        <w:rPr>
          <w:rFonts w:ascii="Arial" w:hAnsi="Arial" w:cs="Arial"/>
          <w:b/>
          <w:sz w:val="22"/>
          <w:szCs w:val="22"/>
          <w:lang w:val="en-GB"/>
        </w:rPr>
      </w:pPr>
      <w:r w:rsidRPr="00015EE8">
        <w:rPr>
          <w:rFonts w:ascii="Arial" w:hAnsi="Arial" w:cs="Arial"/>
          <w:b/>
          <w:sz w:val="22"/>
          <w:szCs w:val="22"/>
          <w:lang w:val="en-GB"/>
        </w:rPr>
        <w:t>UNESCO Headquarters, Room I</w:t>
      </w:r>
    </w:p>
    <w:p w14:paraId="73E98B73" w14:textId="77777777" w:rsidR="002F312A" w:rsidRPr="00015EE8" w:rsidRDefault="004A3579" w:rsidP="00E52485">
      <w:pPr>
        <w:spacing w:after="1200"/>
        <w:jc w:val="center"/>
        <w:rPr>
          <w:rFonts w:ascii="Arial" w:hAnsi="Arial" w:cs="Arial"/>
          <w:b/>
          <w:sz w:val="22"/>
          <w:szCs w:val="22"/>
          <w:lang w:val="en-GB"/>
        </w:rPr>
      </w:pPr>
      <w:r w:rsidRPr="00015EE8">
        <w:rPr>
          <w:rFonts w:ascii="Arial" w:hAnsi="Arial" w:cs="Arial"/>
          <w:b/>
          <w:sz w:val="22"/>
          <w:szCs w:val="22"/>
          <w:lang w:val="en-GB"/>
        </w:rPr>
        <w:t>8 – 10 September</w:t>
      </w:r>
      <w:r w:rsidR="00763A0D" w:rsidRPr="00015EE8">
        <w:rPr>
          <w:rFonts w:ascii="Arial" w:hAnsi="Arial" w:cs="Arial"/>
          <w:b/>
          <w:sz w:val="22"/>
          <w:szCs w:val="22"/>
          <w:lang w:val="en-GB"/>
        </w:rPr>
        <w:t xml:space="preserve"> </w:t>
      </w:r>
      <w:r w:rsidRPr="00015EE8">
        <w:rPr>
          <w:rFonts w:ascii="Arial" w:hAnsi="Arial" w:cs="Arial"/>
          <w:b/>
          <w:sz w:val="22"/>
          <w:szCs w:val="22"/>
          <w:lang w:val="en-GB"/>
        </w:rPr>
        <w:t>2020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655736" w:rsidRPr="00015EE8" w14:paraId="13ED2C85" w14:textId="77777777" w:rsidTr="002F312A">
        <w:trPr>
          <w:jc w:val="center"/>
        </w:trPr>
        <w:tc>
          <w:tcPr>
            <w:tcW w:w="5670" w:type="dxa"/>
            <w:vAlign w:val="center"/>
          </w:tcPr>
          <w:p w14:paraId="6197B44F" w14:textId="77777777" w:rsidR="00655736" w:rsidRPr="00015EE8" w:rsidRDefault="00DA4672" w:rsidP="0013022E">
            <w:pPr>
              <w:pStyle w:val="Sansinterligne2"/>
              <w:spacing w:before="240" w:after="240"/>
              <w:jc w:val="center"/>
              <w:rPr>
                <w:rFonts w:ascii="Arial" w:hAnsi="Arial" w:cs="Arial"/>
                <w:b/>
                <w:sz w:val="22"/>
                <w:szCs w:val="22"/>
                <w:lang w:val="en-GB"/>
              </w:rPr>
            </w:pPr>
            <w:r w:rsidRPr="00015EE8">
              <w:rPr>
                <w:rFonts w:ascii="Arial" w:hAnsi="Arial" w:cs="Arial"/>
                <w:b/>
                <w:sz w:val="36"/>
                <w:szCs w:val="36"/>
                <w:lang w:val="en-GB"/>
              </w:rPr>
              <w:t>Resolutions</w:t>
            </w:r>
          </w:p>
        </w:tc>
      </w:tr>
    </w:tbl>
    <w:p w14:paraId="0CD19A6C" w14:textId="77777777" w:rsidR="00176720" w:rsidRPr="00015EE8" w:rsidRDefault="00655736" w:rsidP="00176720">
      <w:pPr>
        <w:pStyle w:val="GAPara"/>
        <w:numPr>
          <w:ilvl w:val="0"/>
          <w:numId w:val="0"/>
        </w:numPr>
        <w:jc w:val="both"/>
      </w:pPr>
      <w:r w:rsidRPr="00015EE8">
        <w:br w:type="page"/>
      </w:r>
    </w:p>
    <w:p w14:paraId="601DEC3C" w14:textId="77777777" w:rsidR="004A3579" w:rsidRPr="00015EE8" w:rsidRDefault="004A3579" w:rsidP="004A3579">
      <w:pPr>
        <w:pStyle w:val="GATitleResolution"/>
        <w:rPr>
          <w:rFonts w:eastAsia="SimSun"/>
        </w:rPr>
      </w:pPr>
      <w:r w:rsidRPr="00015EE8">
        <w:lastRenderedPageBreak/>
        <w:t>RESOLUTION 8.GA 2</w:t>
      </w:r>
    </w:p>
    <w:p w14:paraId="76FCB32D" w14:textId="77777777" w:rsidR="004A3579" w:rsidRPr="00015EE8" w:rsidRDefault="004A3579" w:rsidP="004A3579">
      <w:pPr>
        <w:pStyle w:val="GAPreambulaResolution"/>
        <w:ind w:left="0"/>
        <w:rPr>
          <w:rFonts w:eastAsia="SimSun"/>
        </w:rPr>
      </w:pPr>
      <w:r w:rsidRPr="00015EE8">
        <w:t>The General Assembly,</w:t>
      </w:r>
    </w:p>
    <w:p w14:paraId="5772CF70" w14:textId="77777777" w:rsidR="004A3579" w:rsidRPr="00015EE8" w:rsidRDefault="004A3579" w:rsidP="00BB6BEB">
      <w:pPr>
        <w:numPr>
          <w:ilvl w:val="0"/>
          <w:numId w:val="2"/>
        </w:numPr>
        <w:spacing w:after="120"/>
        <w:ind w:left="567" w:hanging="567"/>
        <w:jc w:val="both"/>
        <w:rPr>
          <w:rFonts w:ascii="Arial" w:eastAsia="SimSun" w:hAnsi="Arial" w:cs="Arial"/>
          <w:sz w:val="22"/>
          <w:szCs w:val="22"/>
          <w:lang w:val="en-GB"/>
        </w:rPr>
      </w:pPr>
      <w:r w:rsidRPr="00015EE8">
        <w:rPr>
          <w:rFonts w:ascii="Arial" w:hAnsi="Arial" w:cs="Arial"/>
          <w:sz w:val="22"/>
          <w:szCs w:val="22"/>
          <w:u w:val="single"/>
          <w:lang w:val="en-GB"/>
        </w:rPr>
        <w:t>Having examined</w:t>
      </w:r>
      <w:r w:rsidRPr="00015EE8">
        <w:rPr>
          <w:rFonts w:ascii="Arial" w:hAnsi="Arial" w:cs="Arial"/>
          <w:sz w:val="22"/>
          <w:szCs w:val="22"/>
          <w:lang w:val="en-GB"/>
        </w:rPr>
        <w:t xml:space="preserve"> document </w:t>
      </w:r>
      <w:hyperlink r:id="rId8" w:history="1">
        <w:r w:rsidRPr="00015EE8">
          <w:rPr>
            <w:rStyle w:val="Hyperlink"/>
            <w:rFonts w:ascii="Arial" w:hAnsi="Arial" w:cs="Arial"/>
            <w:sz w:val="22"/>
            <w:szCs w:val="22"/>
            <w:lang w:val="en-GB"/>
          </w:rPr>
          <w:t>LHE/20/8.GA/2</w:t>
        </w:r>
      </w:hyperlink>
      <w:r w:rsidRPr="00015EE8">
        <w:rPr>
          <w:rFonts w:ascii="Arial" w:hAnsi="Arial" w:cs="Arial"/>
          <w:sz w:val="22"/>
          <w:szCs w:val="22"/>
          <w:lang w:val="en-GB"/>
        </w:rPr>
        <w:t>,</w:t>
      </w:r>
    </w:p>
    <w:p w14:paraId="6A8CF2E5" w14:textId="77777777" w:rsidR="004A3579" w:rsidRPr="00015EE8" w:rsidRDefault="004A3579" w:rsidP="00BB6BEB">
      <w:pPr>
        <w:numPr>
          <w:ilvl w:val="0"/>
          <w:numId w:val="2"/>
        </w:numPr>
        <w:spacing w:after="120"/>
        <w:ind w:left="567" w:hanging="567"/>
        <w:jc w:val="both"/>
        <w:rPr>
          <w:rFonts w:ascii="Arial" w:eastAsia="SimSun" w:hAnsi="Arial" w:cs="Arial"/>
          <w:sz w:val="22"/>
          <w:szCs w:val="22"/>
          <w:lang w:val="en-GB"/>
        </w:rPr>
      </w:pPr>
      <w:r w:rsidRPr="00015EE8">
        <w:rPr>
          <w:rFonts w:ascii="Arial" w:hAnsi="Arial" w:cs="Arial"/>
          <w:sz w:val="22"/>
          <w:szCs w:val="22"/>
          <w:u w:val="single"/>
          <w:lang w:val="en-GB"/>
        </w:rPr>
        <w:t>Recalling</w:t>
      </w:r>
      <w:r w:rsidRPr="00015EE8">
        <w:rPr>
          <w:rFonts w:ascii="Arial" w:hAnsi="Arial" w:cs="Arial"/>
          <w:sz w:val="22"/>
          <w:szCs w:val="22"/>
          <w:lang w:val="en-GB"/>
        </w:rPr>
        <w:t xml:space="preserve"> Rule 3 of its Rules of Procedure,</w:t>
      </w:r>
    </w:p>
    <w:p w14:paraId="3C4F3B05" w14:textId="4A04DB27" w:rsidR="004A3579" w:rsidRPr="00015EE8" w:rsidRDefault="004A3579" w:rsidP="00BB6BEB">
      <w:pPr>
        <w:numPr>
          <w:ilvl w:val="0"/>
          <w:numId w:val="2"/>
        </w:numPr>
        <w:spacing w:after="120"/>
        <w:ind w:left="567" w:hanging="567"/>
        <w:jc w:val="both"/>
        <w:rPr>
          <w:rFonts w:ascii="Arial" w:eastAsia="SimSun" w:hAnsi="Arial" w:cs="Arial"/>
          <w:sz w:val="22"/>
          <w:szCs w:val="22"/>
          <w:lang w:val="en-GB"/>
        </w:rPr>
      </w:pPr>
      <w:r w:rsidRPr="00015EE8">
        <w:rPr>
          <w:rFonts w:ascii="Arial" w:hAnsi="Arial" w:cs="Arial"/>
          <w:sz w:val="22"/>
          <w:szCs w:val="22"/>
          <w:u w:val="single"/>
          <w:lang w:val="en-GB"/>
        </w:rPr>
        <w:t>Elects</w:t>
      </w:r>
      <w:r w:rsidRPr="00015EE8">
        <w:rPr>
          <w:rFonts w:ascii="Arial" w:hAnsi="Arial" w:cs="Arial"/>
          <w:sz w:val="22"/>
          <w:szCs w:val="22"/>
          <w:lang w:val="en-GB"/>
        </w:rPr>
        <w:t xml:space="preserve"> </w:t>
      </w:r>
      <w:r w:rsidR="004D22F9" w:rsidRPr="00015EE8">
        <w:rPr>
          <w:rFonts w:ascii="Arial" w:hAnsi="Arial" w:cs="Arial"/>
          <w:sz w:val="22"/>
          <w:szCs w:val="22"/>
          <w:lang w:val="en-US"/>
        </w:rPr>
        <w:t xml:space="preserve">H.E. </w:t>
      </w:r>
      <w:proofErr w:type="spellStart"/>
      <w:r w:rsidR="004D22F9" w:rsidRPr="00015EE8">
        <w:rPr>
          <w:rFonts w:ascii="Arial" w:hAnsi="Arial" w:cs="Arial"/>
          <w:sz w:val="22"/>
          <w:szCs w:val="22"/>
          <w:lang w:val="en-US"/>
        </w:rPr>
        <w:t>Mr</w:t>
      </w:r>
      <w:proofErr w:type="spellEnd"/>
      <w:r w:rsidR="004D22F9" w:rsidRPr="00015EE8">
        <w:rPr>
          <w:rFonts w:ascii="Arial" w:hAnsi="Arial" w:cs="Arial"/>
          <w:sz w:val="22"/>
          <w:szCs w:val="22"/>
          <w:lang w:val="en-US"/>
        </w:rPr>
        <w:t xml:space="preserve"> Amara Camara (Guinea) </w:t>
      </w:r>
      <w:r w:rsidRPr="00015EE8">
        <w:rPr>
          <w:rFonts w:ascii="Arial" w:hAnsi="Arial" w:cs="Arial"/>
          <w:sz w:val="22"/>
          <w:szCs w:val="22"/>
          <w:lang w:val="en-GB"/>
        </w:rPr>
        <w:t>as Chairperson of the General Assembly;</w:t>
      </w:r>
    </w:p>
    <w:p w14:paraId="46980403" w14:textId="4F7DBE80" w:rsidR="004A3579" w:rsidRPr="00015EE8" w:rsidRDefault="004A3579" w:rsidP="00BB6BEB">
      <w:pPr>
        <w:numPr>
          <w:ilvl w:val="0"/>
          <w:numId w:val="2"/>
        </w:numPr>
        <w:tabs>
          <w:tab w:val="left" w:pos="-737"/>
          <w:tab w:val="left" w:pos="1134"/>
        </w:tabs>
        <w:snapToGrid w:val="0"/>
        <w:spacing w:after="120"/>
        <w:ind w:left="567" w:hanging="567"/>
        <w:jc w:val="both"/>
        <w:rPr>
          <w:rFonts w:ascii="Arial" w:hAnsi="Arial" w:cs="Arial"/>
          <w:snapToGrid w:val="0"/>
          <w:sz w:val="22"/>
          <w:szCs w:val="22"/>
          <w:lang w:val="en-GB" w:eastAsia="en-US"/>
        </w:rPr>
      </w:pPr>
      <w:r w:rsidRPr="00015EE8">
        <w:rPr>
          <w:rFonts w:ascii="Arial" w:hAnsi="Arial" w:cs="Arial"/>
          <w:snapToGrid w:val="0"/>
          <w:sz w:val="22"/>
          <w:szCs w:val="22"/>
          <w:u w:val="single"/>
          <w:lang w:val="en-GB" w:eastAsia="en-US"/>
        </w:rPr>
        <w:t>Elects</w:t>
      </w:r>
      <w:r w:rsidRPr="00015EE8">
        <w:rPr>
          <w:rFonts w:ascii="Arial" w:hAnsi="Arial" w:cs="Arial"/>
          <w:snapToGrid w:val="0"/>
          <w:sz w:val="22"/>
          <w:szCs w:val="22"/>
          <w:lang w:val="en-GB" w:eastAsia="en-US"/>
        </w:rPr>
        <w:t xml:space="preserve"> </w:t>
      </w:r>
      <w:proofErr w:type="spellStart"/>
      <w:r w:rsidR="004D22F9" w:rsidRPr="00015EE8">
        <w:rPr>
          <w:rFonts w:ascii="Arial" w:hAnsi="Arial" w:cs="Arial"/>
          <w:snapToGrid w:val="0"/>
          <w:sz w:val="22"/>
          <w:szCs w:val="22"/>
          <w:lang w:val="en-US" w:eastAsia="en-US"/>
        </w:rPr>
        <w:t>Mr</w:t>
      </w:r>
      <w:proofErr w:type="spellEnd"/>
      <w:r w:rsidR="004D22F9" w:rsidRPr="00015EE8">
        <w:rPr>
          <w:rFonts w:ascii="Arial" w:hAnsi="Arial" w:cs="Arial"/>
          <w:snapToGrid w:val="0"/>
          <w:sz w:val="22"/>
          <w:szCs w:val="22"/>
          <w:lang w:val="en-US" w:eastAsia="en-US"/>
        </w:rPr>
        <w:t xml:space="preserve"> Wael Abdel Wahab (Egypt) </w:t>
      </w:r>
      <w:r w:rsidRPr="00015EE8">
        <w:rPr>
          <w:rFonts w:ascii="Arial" w:hAnsi="Arial" w:cs="Arial"/>
          <w:snapToGrid w:val="0"/>
          <w:sz w:val="22"/>
          <w:szCs w:val="22"/>
          <w:lang w:val="en-GB" w:eastAsia="en-US"/>
        </w:rPr>
        <w:t>as Rapporteur of the General Assembly;</w:t>
      </w:r>
    </w:p>
    <w:p w14:paraId="50DEAEB8" w14:textId="26022412" w:rsidR="004A3579" w:rsidRPr="00015EE8" w:rsidRDefault="004A3579" w:rsidP="00277458">
      <w:pPr>
        <w:numPr>
          <w:ilvl w:val="0"/>
          <w:numId w:val="2"/>
        </w:numPr>
        <w:tabs>
          <w:tab w:val="left" w:pos="-737"/>
          <w:tab w:val="left" w:pos="1134"/>
        </w:tabs>
        <w:snapToGrid w:val="0"/>
        <w:spacing w:after="120"/>
        <w:ind w:left="567" w:hanging="567"/>
        <w:jc w:val="both"/>
        <w:rPr>
          <w:rFonts w:ascii="Arial" w:hAnsi="Arial" w:cs="Arial"/>
          <w:sz w:val="22"/>
          <w:szCs w:val="22"/>
          <w:lang w:val="en-US"/>
        </w:rPr>
      </w:pPr>
      <w:r w:rsidRPr="00015EE8">
        <w:rPr>
          <w:rFonts w:ascii="Arial" w:hAnsi="Arial" w:cs="Arial"/>
          <w:snapToGrid w:val="0"/>
          <w:sz w:val="22"/>
          <w:szCs w:val="22"/>
          <w:u w:val="single"/>
          <w:lang w:val="en-GB" w:eastAsia="en-US"/>
        </w:rPr>
        <w:t>Elects</w:t>
      </w:r>
      <w:r w:rsidRPr="00015EE8">
        <w:rPr>
          <w:rFonts w:ascii="Arial" w:hAnsi="Arial" w:cs="Arial"/>
          <w:snapToGrid w:val="0"/>
          <w:sz w:val="22"/>
          <w:szCs w:val="22"/>
          <w:lang w:val="en-GB" w:eastAsia="en-US"/>
        </w:rPr>
        <w:t xml:space="preserve"> </w:t>
      </w:r>
      <w:r w:rsidR="00643090" w:rsidRPr="00015EE8">
        <w:rPr>
          <w:rFonts w:ascii="Arial" w:hAnsi="Arial" w:cs="Arial"/>
          <w:snapToGrid w:val="0"/>
          <w:sz w:val="22"/>
          <w:szCs w:val="22"/>
          <w:lang w:val="en-GB" w:eastAsia="en-US"/>
        </w:rPr>
        <w:t xml:space="preserve">the </w:t>
      </w:r>
      <w:r w:rsidR="005B338A" w:rsidRPr="00015EE8">
        <w:rPr>
          <w:rFonts w:ascii="Arial" w:hAnsi="Arial" w:cs="Arial"/>
          <w:snapToGrid w:val="0"/>
          <w:sz w:val="22"/>
          <w:szCs w:val="22"/>
          <w:lang w:val="en-US" w:eastAsia="en-US"/>
        </w:rPr>
        <w:t>Netherlands, Armenia, Ecuador, Indonesia and Palestine</w:t>
      </w:r>
      <w:r w:rsidR="005B338A" w:rsidRPr="00015EE8">
        <w:rPr>
          <w:rFonts w:ascii="Arial" w:hAnsi="Arial" w:cs="Arial"/>
          <w:snapToGrid w:val="0"/>
          <w:sz w:val="22"/>
          <w:szCs w:val="22"/>
          <w:lang w:val="en-GB" w:eastAsia="en-US"/>
        </w:rPr>
        <w:t xml:space="preserve"> </w:t>
      </w:r>
      <w:r w:rsidRPr="00015EE8">
        <w:rPr>
          <w:rFonts w:ascii="Arial" w:hAnsi="Arial" w:cs="Arial"/>
          <w:snapToGrid w:val="0"/>
          <w:sz w:val="22"/>
          <w:szCs w:val="22"/>
          <w:lang w:val="en-GB" w:eastAsia="en-US"/>
        </w:rPr>
        <w:t>as Vice-Chairpersons of the General Assembly.</w:t>
      </w:r>
    </w:p>
    <w:p w14:paraId="09E1BB90" w14:textId="77777777" w:rsidR="004A3579" w:rsidRPr="00015EE8" w:rsidRDefault="004A3579" w:rsidP="004A3579">
      <w:pPr>
        <w:pStyle w:val="GATitleResolution"/>
        <w:rPr>
          <w:rFonts w:eastAsia="SimSun"/>
        </w:rPr>
      </w:pPr>
      <w:r w:rsidRPr="00015EE8">
        <w:t>RESOLUTION 8.GA 3</w:t>
      </w:r>
    </w:p>
    <w:p w14:paraId="33E53A50" w14:textId="77777777" w:rsidR="004A3579" w:rsidRPr="00015EE8" w:rsidRDefault="004A3579" w:rsidP="004A3579">
      <w:pPr>
        <w:pStyle w:val="GAPreambulaResolution"/>
        <w:ind w:left="0"/>
        <w:rPr>
          <w:rFonts w:eastAsia="SimSun"/>
        </w:rPr>
      </w:pPr>
      <w:r w:rsidRPr="00015EE8">
        <w:t>The General Assembly,</w:t>
      </w:r>
    </w:p>
    <w:p w14:paraId="7BFACEF9" w14:textId="77777777" w:rsidR="004A3579" w:rsidRPr="00015EE8" w:rsidRDefault="004A3579" w:rsidP="0016075C">
      <w:pPr>
        <w:numPr>
          <w:ilvl w:val="0"/>
          <w:numId w:val="29"/>
        </w:numPr>
        <w:spacing w:after="120"/>
        <w:ind w:left="540" w:hanging="540"/>
        <w:jc w:val="both"/>
        <w:rPr>
          <w:rFonts w:ascii="Arial" w:eastAsia="SimSun" w:hAnsi="Arial" w:cs="Arial"/>
          <w:sz w:val="22"/>
          <w:szCs w:val="22"/>
          <w:lang w:val="en-GB"/>
        </w:rPr>
      </w:pPr>
      <w:r w:rsidRPr="00015EE8">
        <w:rPr>
          <w:rFonts w:ascii="Arial" w:eastAsia="SimSun" w:hAnsi="Arial" w:cs="Arial"/>
          <w:sz w:val="22"/>
          <w:szCs w:val="22"/>
          <w:u w:val="single"/>
          <w:lang w:val="en-GB"/>
        </w:rPr>
        <w:t>Having examined</w:t>
      </w:r>
      <w:r w:rsidRPr="00015EE8">
        <w:rPr>
          <w:rFonts w:ascii="Arial" w:eastAsia="SimSun" w:hAnsi="Arial" w:cs="Arial"/>
          <w:sz w:val="22"/>
          <w:szCs w:val="22"/>
          <w:lang w:val="en-GB"/>
        </w:rPr>
        <w:t xml:space="preserve"> document </w:t>
      </w:r>
      <w:hyperlink r:id="rId9" w:history="1">
        <w:r w:rsidRPr="00015EE8">
          <w:rPr>
            <w:rStyle w:val="Hyperlink"/>
            <w:rFonts w:ascii="Arial" w:eastAsia="SimSun" w:hAnsi="Arial" w:cs="Arial"/>
            <w:sz w:val="22"/>
            <w:szCs w:val="22"/>
            <w:lang w:val="en-GB"/>
          </w:rPr>
          <w:t>LHE/20/8.GA/3 Rev.</w:t>
        </w:r>
      </w:hyperlink>
      <w:r w:rsidRPr="00015EE8">
        <w:rPr>
          <w:rFonts w:ascii="Arial" w:eastAsia="SimSun" w:hAnsi="Arial" w:cs="Arial"/>
          <w:sz w:val="22"/>
          <w:szCs w:val="22"/>
          <w:lang w:val="en-GB"/>
        </w:rPr>
        <w:t>,</w:t>
      </w:r>
    </w:p>
    <w:p w14:paraId="5FE32456" w14:textId="1D178033" w:rsidR="004A3579" w:rsidRPr="00015EE8" w:rsidRDefault="004A3579" w:rsidP="0016075C">
      <w:pPr>
        <w:numPr>
          <w:ilvl w:val="0"/>
          <w:numId w:val="29"/>
        </w:numPr>
        <w:spacing w:after="120"/>
        <w:ind w:left="540" w:hanging="540"/>
        <w:jc w:val="both"/>
        <w:rPr>
          <w:rFonts w:ascii="Arial" w:eastAsia="SimSun" w:hAnsi="Arial" w:cs="Arial"/>
          <w:sz w:val="22"/>
          <w:szCs w:val="22"/>
          <w:lang w:val="en-GB"/>
        </w:rPr>
      </w:pPr>
      <w:r w:rsidRPr="00015EE8">
        <w:rPr>
          <w:rFonts w:ascii="Arial" w:eastAsia="SimSun" w:hAnsi="Arial" w:cs="Arial"/>
          <w:sz w:val="22"/>
          <w:szCs w:val="22"/>
          <w:u w:val="single"/>
          <w:lang w:val="en-GB"/>
        </w:rPr>
        <w:t>Adopts</w:t>
      </w:r>
      <w:r w:rsidRPr="00015EE8">
        <w:rPr>
          <w:rFonts w:ascii="Arial" w:eastAsia="SimSun" w:hAnsi="Arial" w:cs="Arial"/>
          <w:sz w:val="22"/>
          <w:szCs w:val="22"/>
          <w:lang w:val="en-GB"/>
        </w:rPr>
        <w:t xml:space="preserve"> the agenda of its eighth session (Paris, UNESCO Headquarters, 8 to 10</w:t>
      </w:r>
      <w:r w:rsidR="00B45139" w:rsidRPr="00015EE8">
        <w:rPr>
          <w:rFonts w:ascii="Arial" w:eastAsia="SimSun" w:hAnsi="Arial" w:cs="Arial"/>
          <w:sz w:val="22"/>
          <w:szCs w:val="22"/>
          <w:lang w:val="en-GB"/>
        </w:rPr>
        <w:t> </w:t>
      </w:r>
      <w:r w:rsidRPr="00015EE8">
        <w:rPr>
          <w:rFonts w:ascii="Arial" w:eastAsia="SimSun" w:hAnsi="Arial" w:cs="Arial"/>
          <w:sz w:val="22"/>
          <w:szCs w:val="22"/>
          <w:lang w:val="en-GB"/>
        </w:rPr>
        <w:t xml:space="preserve">September 2020) </w:t>
      </w:r>
      <w:r w:rsidRPr="00015EE8">
        <w:rPr>
          <w:rFonts w:ascii="Arial" w:hAnsi="Arial" w:cs="Arial"/>
          <w:sz w:val="22"/>
          <w:szCs w:val="22"/>
          <w:lang w:val="en-GB"/>
        </w:rPr>
        <w:t>as follows:</w:t>
      </w:r>
    </w:p>
    <w:p w14:paraId="27F5D714" w14:textId="77777777" w:rsidR="004A3579" w:rsidRPr="00015EE8" w:rsidRDefault="004A3579" w:rsidP="008D4191">
      <w:pPr>
        <w:spacing w:before="240" w:after="240"/>
        <w:ind w:left="1134" w:hanging="567"/>
        <w:jc w:val="both"/>
        <w:rPr>
          <w:rFonts w:ascii="Arial" w:eastAsia="SimSun" w:hAnsi="Arial" w:cs="Arial"/>
          <w:b/>
          <w:sz w:val="22"/>
          <w:szCs w:val="22"/>
          <w:lang w:val="en-GB"/>
        </w:rPr>
      </w:pPr>
      <w:r w:rsidRPr="00015EE8">
        <w:rPr>
          <w:rFonts w:ascii="Arial" w:eastAsia="SimSun" w:hAnsi="Arial" w:cs="Arial"/>
          <w:b/>
          <w:sz w:val="22"/>
          <w:szCs w:val="22"/>
          <w:lang w:val="en-GB"/>
        </w:rPr>
        <w:t>Agenda</w:t>
      </w:r>
    </w:p>
    <w:p w14:paraId="1D48D9F5" w14:textId="77777777" w:rsidR="004A3579" w:rsidRPr="00015EE8" w:rsidRDefault="004A3579" w:rsidP="004A3579">
      <w:pPr>
        <w:numPr>
          <w:ilvl w:val="0"/>
          <w:numId w:val="1"/>
        </w:numPr>
        <w:spacing w:after="120"/>
        <w:ind w:left="1134" w:hanging="567"/>
        <w:rPr>
          <w:rFonts w:ascii="Arial" w:eastAsia="SimSun" w:hAnsi="Arial" w:cs="Arial"/>
          <w:sz w:val="22"/>
          <w:szCs w:val="22"/>
          <w:lang w:val="en-GB"/>
        </w:rPr>
      </w:pPr>
      <w:r w:rsidRPr="00015EE8">
        <w:rPr>
          <w:rFonts w:ascii="Arial" w:eastAsia="SimSun" w:hAnsi="Arial" w:cs="Arial"/>
          <w:sz w:val="22"/>
          <w:szCs w:val="22"/>
          <w:lang w:val="en-GB"/>
        </w:rPr>
        <w:t>Opening</w:t>
      </w:r>
    </w:p>
    <w:p w14:paraId="0EDE4E9E" w14:textId="77777777" w:rsidR="004A3579" w:rsidRPr="00015EE8" w:rsidRDefault="004A3579" w:rsidP="004A3579">
      <w:pPr>
        <w:numPr>
          <w:ilvl w:val="0"/>
          <w:numId w:val="1"/>
        </w:numPr>
        <w:spacing w:after="120"/>
        <w:ind w:left="1134" w:hanging="567"/>
        <w:rPr>
          <w:rFonts w:ascii="Arial" w:eastAsia="SimSun" w:hAnsi="Arial" w:cs="Arial"/>
          <w:sz w:val="22"/>
          <w:szCs w:val="22"/>
          <w:lang w:val="en-GB"/>
        </w:rPr>
      </w:pPr>
      <w:r w:rsidRPr="00015EE8">
        <w:rPr>
          <w:rFonts w:ascii="Arial" w:eastAsia="SimSun" w:hAnsi="Arial" w:cs="Arial"/>
          <w:sz w:val="22"/>
          <w:szCs w:val="22"/>
          <w:lang w:val="en-GB"/>
        </w:rPr>
        <w:t>Election of the Bureau</w:t>
      </w:r>
    </w:p>
    <w:p w14:paraId="017AC93C" w14:textId="77777777" w:rsidR="004A3579" w:rsidRPr="00015EE8" w:rsidRDefault="004A3579" w:rsidP="004A3579">
      <w:pPr>
        <w:numPr>
          <w:ilvl w:val="0"/>
          <w:numId w:val="1"/>
        </w:numPr>
        <w:spacing w:after="120"/>
        <w:ind w:left="1134" w:hanging="567"/>
        <w:rPr>
          <w:rFonts w:ascii="Arial" w:eastAsia="SimSun" w:hAnsi="Arial" w:cs="Arial"/>
          <w:sz w:val="22"/>
          <w:szCs w:val="22"/>
          <w:lang w:val="en-GB"/>
        </w:rPr>
      </w:pPr>
      <w:r w:rsidRPr="00015EE8">
        <w:rPr>
          <w:rFonts w:ascii="Arial" w:eastAsia="SimSun" w:hAnsi="Arial" w:cs="Arial"/>
          <w:sz w:val="22"/>
          <w:szCs w:val="22"/>
          <w:lang w:val="en-GB"/>
        </w:rPr>
        <w:t>Adoption of the agenda</w:t>
      </w:r>
    </w:p>
    <w:p w14:paraId="5E86C15C"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Distribution of seats in the Committee per electoral group</w:t>
      </w:r>
    </w:p>
    <w:p w14:paraId="72B4D9F6"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Report of the Committee to the General Assembly</w:t>
      </w:r>
    </w:p>
    <w:p w14:paraId="1F1A9B1F"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Report of the Secretariat on its activities (January 2018 to December 2019)</w:t>
      </w:r>
    </w:p>
    <w:p w14:paraId="5ABDA557"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Use of the resources of the Intangible Cultural Heritage Fund</w:t>
      </w:r>
    </w:p>
    <w:p w14:paraId="387CD379"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Contribution to the preparation of the new Medium-Term Strategy 2022-2029 (41 C/4) and draft Programme and Budget 2022-2025 (41 C/5)</w:t>
      </w:r>
    </w:p>
    <w:p w14:paraId="27C98CC5"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Intangible cultural heritage in emergencies</w:t>
      </w:r>
    </w:p>
    <w:p w14:paraId="7A2A23CD"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Revision of the Operational Directives for the implementation of the Convention</w:t>
      </w:r>
    </w:p>
    <w:p w14:paraId="3DAC5F31"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Update on the reflection on the listing mechanisms of the Convention</w:t>
      </w:r>
    </w:p>
    <w:p w14:paraId="18CCAE0D"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Update on the reflection on the participation of non-governmental organizations in the implementation of the Convention</w:t>
      </w:r>
    </w:p>
    <w:p w14:paraId="7F3DD4A1" w14:textId="77777777" w:rsidR="004A3579" w:rsidRPr="00015EE8" w:rsidRDefault="004A3579" w:rsidP="004A3579">
      <w:pPr>
        <w:numPr>
          <w:ilvl w:val="0"/>
          <w:numId w:val="1"/>
        </w:numPr>
        <w:tabs>
          <w:tab w:val="decimal" w:pos="1134"/>
        </w:tabs>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Accreditation of non-governmental organizations to act in an advisory capacity to the Committee</w:t>
      </w:r>
    </w:p>
    <w:p w14:paraId="02130F44"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US"/>
        </w:rPr>
      </w:pPr>
      <w:r w:rsidRPr="00015EE8">
        <w:rPr>
          <w:rFonts w:ascii="Arial" w:eastAsia="SimSun" w:hAnsi="Arial" w:cs="Arial"/>
          <w:sz w:val="22"/>
          <w:szCs w:val="22"/>
          <w:lang w:val="en-US"/>
        </w:rPr>
        <w:t>Election of the members of the Intergovernmental Committee for the Safeguarding of the Intangible Cultural Heritage</w:t>
      </w:r>
    </w:p>
    <w:p w14:paraId="303D5109"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US"/>
        </w:rPr>
      </w:pPr>
      <w:r w:rsidRPr="00015EE8">
        <w:rPr>
          <w:rFonts w:ascii="Arial" w:eastAsia="SimSun" w:hAnsi="Arial" w:cs="Arial"/>
          <w:sz w:val="22"/>
          <w:szCs w:val="22"/>
          <w:lang w:val="en-US"/>
        </w:rPr>
        <w:t>Follow-up to the recommendations of the Open-Ended Working Group on Governance, Procedures and Working Methods of UNESCO</w:t>
      </w:r>
    </w:p>
    <w:p w14:paraId="3B5A9BFE" w14:textId="77777777" w:rsidR="004A3579" w:rsidRPr="00015EE8" w:rsidRDefault="004A3579" w:rsidP="004A3579">
      <w:pPr>
        <w:numPr>
          <w:ilvl w:val="0"/>
          <w:numId w:val="1"/>
        </w:numPr>
        <w:spacing w:after="120"/>
        <w:ind w:left="1134" w:hanging="567"/>
        <w:jc w:val="both"/>
        <w:rPr>
          <w:rFonts w:ascii="Arial" w:eastAsia="SimSun" w:hAnsi="Arial" w:cs="Arial"/>
          <w:sz w:val="22"/>
          <w:szCs w:val="22"/>
          <w:lang w:val="en-GB"/>
        </w:rPr>
      </w:pPr>
      <w:r w:rsidRPr="00015EE8">
        <w:rPr>
          <w:rFonts w:ascii="Arial" w:eastAsia="SimSun" w:hAnsi="Arial" w:cs="Arial"/>
          <w:sz w:val="22"/>
          <w:szCs w:val="22"/>
          <w:lang w:val="en-GB"/>
        </w:rPr>
        <w:t>Other business</w:t>
      </w:r>
    </w:p>
    <w:p w14:paraId="1E1F21F6" w14:textId="77777777" w:rsidR="004A3579" w:rsidRPr="00015EE8" w:rsidRDefault="004A3579" w:rsidP="004A3579">
      <w:pPr>
        <w:numPr>
          <w:ilvl w:val="0"/>
          <w:numId w:val="1"/>
        </w:numPr>
        <w:spacing w:after="120"/>
        <w:ind w:left="1134" w:hanging="567"/>
        <w:rPr>
          <w:rFonts w:ascii="Arial" w:hAnsi="Arial" w:cs="Arial"/>
          <w:sz w:val="22"/>
          <w:szCs w:val="22"/>
          <w:lang w:val="en-GB"/>
        </w:rPr>
      </w:pPr>
      <w:r w:rsidRPr="00015EE8">
        <w:rPr>
          <w:rFonts w:ascii="Arial" w:eastAsia="SimSun" w:hAnsi="Arial" w:cs="Arial"/>
          <w:sz w:val="22"/>
          <w:szCs w:val="22"/>
          <w:lang w:val="en-GB"/>
        </w:rPr>
        <w:t>Closure</w:t>
      </w:r>
    </w:p>
    <w:p w14:paraId="2B66A72C" w14:textId="77777777" w:rsidR="004A3579" w:rsidRPr="00015EE8" w:rsidRDefault="004A3579" w:rsidP="00B45139">
      <w:pPr>
        <w:pStyle w:val="GATitleResolution"/>
        <w:rPr>
          <w:rFonts w:eastAsia="SimSun"/>
        </w:rPr>
      </w:pPr>
      <w:r w:rsidRPr="00015EE8">
        <w:lastRenderedPageBreak/>
        <w:t>RESOLUTION 8.GA 4</w:t>
      </w:r>
    </w:p>
    <w:p w14:paraId="1C27FD6E" w14:textId="77777777" w:rsidR="004A3579" w:rsidRPr="00015EE8" w:rsidRDefault="004A3579" w:rsidP="008D4191">
      <w:pPr>
        <w:keepNext/>
        <w:spacing w:before="240" w:after="120"/>
        <w:jc w:val="both"/>
        <w:rPr>
          <w:rFonts w:ascii="Arial" w:eastAsia="SimSun" w:hAnsi="Arial" w:cs="Arial"/>
          <w:sz w:val="22"/>
          <w:szCs w:val="22"/>
          <w:lang w:val="en-US"/>
        </w:rPr>
      </w:pPr>
      <w:r w:rsidRPr="00015EE8">
        <w:rPr>
          <w:rFonts w:ascii="Arial" w:eastAsia="SimSun" w:hAnsi="Arial" w:cs="Arial"/>
          <w:sz w:val="22"/>
          <w:szCs w:val="22"/>
          <w:lang w:val="en-US"/>
        </w:rPr>
        <w:t>The General Assembly,</w:t>
      </w:r>
    </w:p>
    <w:p w14:paraId="45323283" w14:textId="77777777" w:rsidR="004A3579" w:rsidRPr="00015EE8" w:rsidRDefault="004A3579" w:rsidP="004A3579">
      <w:pPr>
        <w:spacing w:before="120" w:after="120"/>
        <w:ind w:left="567" w:hanging="567"/>
        <w:jc w:val="both"/>
        <w:rPr>
          <w:rFonts w:ascii="Arial" w:eastAsia="SimSun" w:hAnsi="Arial" w:cs="Arial"/>
          <w:sz w:val="22"/>
          <w:szCs w:val="22"/>
          <w:lang w:val="en-US"/>
        </w:rPr>
      </w:pPr>
      <w:r w:rsidRPr="00015EE8">
        <w:rPr>
          <w:rFonts w:ascii="Arial" w:eastAsia="SimSun" w:hAnsi="Arial" w:cs="Arial"/>
          <w:sz w:val="22"/>
          <w:szCs w:val="22"/>
          <w:lang w:val="en-US"/>
        </w:rPr>
        <w:t>1.</w:t>
      </w:r>
      <w:r w:rsidRPr="00015EE8">
        <w:rPr>
          <w:rFonts w:ascii="Arial" w:eastAsia="SimSun" w:hAnsi="Arial" w:cs="Arial"/>
          <w:sz w:val="22"/>
          <w:szCs w:val="22"/>
          <w:lang w:val="en-US"/>
        </w:rPr>
        <w:tab/>
      </w:r>
      <w:r w:rsidRPr="00015EE8">
        <w:rPr>
          <w:rFonts w:ascii="Arial" w:eastAsia="SimSun" w:hAnsi="Arial" w:cs="Arial"/>
          <w:sz w:val="22"/>
          <w:szCs w:val="22"/>
          <w:u w:val="single"/>
          <w:lang w:val="en-US"/>
        </w:rPr>
        <w:t>Having examined</w:t>
      </w:r>
      <w:r w:rsidRPr="00015EE8">
        <w:rPr>
          <w:rFonts w:ascii="Arial" w:eastAsia="SimSun" w:hAnsi="Arial" w:cs="Arial"/>
          <w:sz w:val="22"/>
          <w:szCs w:val="22"/>
          <w:lang w:val="en-US"/>
        </w:rPr>
        <w:t xml:space="preserve"> document </w:t>
      </w:r>
      <w:hyperlink r:id="rId10" w:history="1">
        <w:r w:rsidRPr="00015EE8">
          <w:rPr>
            <w:rStyle w:val="Hyperlink"/>
            <w:rFonts w:ascii="Arial" w:eastAsia="SimSun" w:hAnsi="Arial" w:cs="Arial"/>
            <w:sz w:val="22"/>
            <w:szCs w:val="22"/>
            <w:lang w:val="en-US"/>
          </w:rPr>
          <w:t>LHE/20/8.GA/4</w:t>
        </w:r>
      </w:hyperlink>
      <w:r w:rsidRPr="00015EE8">
        <w:rPr>
          <w:rFonts w:ascii="Arial" w:eastAsia="SimSun" w:hAnsi="Arial" w:cs="Arial"/>
          <w:sz w:val="22"/>
          <w:szCs w:val="22"/>
          <w:lang w:val="en-US"/>
        </w:rPr>
        <w:t>,</w:t>
      </w:r>
    </w:p>
    <w:p w14:paraId="31C8A55B" w14:textId="77777777" w:rsidR="004A3579" w:rsidRPr="00015EE8" w:rsidRDefault="004A3579" w:rsidP="004A3579">
      <w:pPr>
        <w:spacing w:before="120" w:after="120"/>
        <w:ind w:left="567" w:hanging="567"/>
        <w:jc w:val="both"/>
        <w:rPr>
          <w:rFonts w:ascii="Arial" w:eastAsia="SimSun" w:hAnsi="Arial" w:cs="Arial"/>
          <w:sz w:val="22"/>
          <w:szCs w:val="22"/>
          <w:lang w:val="en-US"/>
        </w:rPr>
      </w:pPr>
      <w:r w:rsidRPr="00015EE8">
        <w:rPr>
          <w:rFonts w:ascii="Arial" w:eastAsia="SimSun" w:hAnsi="Arial" w:cs="Arial"/>
          <w:sz w:val="22"/>
          <w:szCs w:val="22"/>
          <w:lang w:val="en-US"/>
        </w:rPr>
        <w:t>2.</w:t>
      </w:r>
      <w:r w:rsidRPr="00015EE8">
        <w:rPr>
          <w:rFonts w:ascii="Arial" w:eastAsia="SimSun" w:hAnsi="Arial" w:cs="Arial"/>
          <w:sz w:val="22"/>
          <w:szCs w:val="22"/>
          <w:lang w:val="en-US"/>
        </w:rPr>
        <w:tab/>
      </w:r>
      <w:r w:rsidRPr="00015EE8">
        <w:rPr>
          <w:rFonts w:ascii="Arial" w:eastAsia="SimSun" w:hAnsi="Arial" w:cs="Arial"/>
          <w:sz w:val="22"/>
          <w:szCs w:val="22"/>
          <w:u w:val="single"/>
          <w:lang w:val="en-US"/>
        </w:rPr>
        <w:t>Recalling</w:t>
      </w:r>
      <w:r w:rsidRPr="00015EE8">
        <w:rPr>
          <w:rFonts w:ascii="Arial" w:eastAsia="SimSun" w:hAnsi="Arial" w:cs="Arial"/>
          <w:sz w:val="22"/>
          <w:szCs w:val="22"/>
          <w:lang w:val="en-US"/>
        </w:rPr>
        <w:t xml:space="preserve"> Article 6 of the Convention,</w:t>
      </w:r>
    </w:p>
    <w:p w14:paraId="797C5EC2" w14:textId="77777777" w:rsidR="004A3579" w:rsidRPr="00015EE8" w:rsidRDefault="004A3579" w:rsidP="004A3579">
      <w:pPr>
        <w:spacing w:before="120" w:after="120"/>
        <w:ind w:left="567" w:hanging="567"/>
        <w:jc w:val="both"/>
        <w:rPr>
          <w:rFonts w:ascii="Arial" w:eastAsia="SimSun" w:hAnsi="Arial" w:cs="Arial"/>
          <w:sz w:val="22"/>
          <w:szCs w:val="22"/>
          <w:lang w:val="en-US"/>
        </w:rPr>
      </w:pPr>
      <w:r w:rsidRPr="00015EE8">
        <w:rPr>
          <w:rFonts w:ascii="Arial" w:eastAsia="SimSun" w:hAnsi="Arial" w:cs="Arial"/>
          <w:sz w:val="22"/>
          <w:szCs w:val="22"/>
          <w:lang w:val="en-US"/>
        </w:rPr>
        <w:t>3.</w:t>
      </w:r>
      <w:r w:rsidRPr="00015EE8">
        <w:rPr>
          <w:rFonts w:ascii="Arial" w:eastAsia="SimSun" w:hAnsi="Arial" w:cs="Arial"/>
          <w:sz w:val="22"/>
          <w:szCs w:val="22"/>
          <w:lang w:val="en-US"/>
        </w:rPr>
        <w:tab/>
      </w:r>
      <w:r w:rsidRPr="00015EE8">
        <w:rPr>
          <w:rFonts w:ascii="Arial" w:eastAsia="SimSun" w:hAnsi="Arial" w:cs="Arial"/>
          <w:sz w:val="22"/>
          <w:szCs w:val="22"/>
          <w:u w:val="single"/>
          <w:lang w:val="en-US"/>
        </w:rPr>
        <w:t>Further recalling</w:t>
      </w:r>
      <w:r w:rsidRPr="00015EE8">
        <w:rPr>
          <w:rFonts w:ascii="Arial" w:eastAsia="SimSun" w:hAnsi="Arial" w:cs="Arial"/>
          <w:sz w:val="22"/>
          <w:szCs w:val="22"/>
          <w:lang w:val="en-US"/>
        </w:rPr>
        <w:t xml:space="preserve"> Rule 13 of its Rules of Procedure, as well as </w:t>
      </w:r>
      <w:hyperlink r:id="rId11" w:history="1">
        <w:r w:rsidRPr="00015EE8">
          <w:rPr>
            <w:rStyle w:val="Hyperlink"/>
            <w:rFonts w:ascii="Arial" w:eastAsia="SimSun" w:hAnsi="Arial" w:cs="Arial"/>
            <w:sz w:val="22"/>
            <w:szCs w:val="22"/>
            <w:lang w:val="en-US"/>
          </w:rPr>
          <w:t>Resolution 3.GA 12</w:t>
        </w:r>
      </w:hyperlink>
      <w:r w:rsidRPr="00015EE8">
        <w:rPr>
          <w:rFonts w:ascii="Arial" w:eastAsia="SimSun" w:hAnsi="Arial" w:cs="Arial"/>
          <w:sz w:val="22"/>
          <w:szCs w:val="22"/>
          <w:lang w:val="en-US"/>
        </w:rPr>
        <w:t>,</w:t>
      </w:r>
    </w:p>
    <w:p w14:paraId="334C3C5A" w14:textId="77777777" w:rsidR="004A3579" w:rsidRPr="00015EE8" w:rsidRDefault="004A3579" w:rsidP="004A3579">
      <w:pPr>
        <w:spacing w:before="120" w:after="120"/>
        <w:ind w:left="567" w:hanging="567"/>
        <w:jc w:val="both"/>
        <w:rPr>
          <w:lang w:val="en-US"/>
        </w:rPr>
      </w:pPr>
      <w:r w:rsidRPr="00015EE8">
        <w:rPr>
          <w:rFonts w:ascii="Arial" w:eastAsia="SimSun" w:hAnsi="Arial" w:cs="Arial"/>
          <w:sz w:val="22"/>
          <w:szCs w:val="22"/>
          <w:lang w:val="en-US"/>
        </w:rPr>
        <w:t>4.</w:t>
      </w:r>
      <w:r w:rsidRPr="00015EE8">
        <w:rPr>
          <w:rFonts w:ascii="Arial" w:eastAsia="SimSun" w:hAnsi="Arial" w:cs="Arial"/>
          <w:sz w:val="22"/>
          <w:szCs w:val="22"/>
          <w:lang w:val="en-US"/>
        </w:rPr>
        <w:tab/>
      </w:r>
      <w:r w:rsidRPr="00015EE8">
        <w:rPr>
          <w:rFonts w:ascii="Arial" w:eastAsia="SimSun" w:hAnsi="Arial" w:cs="Arial"/>
          <w:sz w:val="22"/>
          <w:szCs w:val="22"/>
          <w:u w:val="single"/>
          <w:lang w:val="en-US"/>
        </w:rPr>
        <w:t>Decides</w:t>
      </w:r>
      <w:r w:rsidRPr="00015EE8">
        <w:rPr>
          <w:rFonts w:ascii="Arial" w:eastAsia="SimSun" w:hAnsi="Arial" w:cs="Arial"/>
          <w:sz w:val="22"/>
          <w:szCs w:val="22"/>
          <w:lang w:val="en-US"/>
        </w:rPr>
        <w:t xml:space="preserve"> that for the purpose of the election at its eighth session, the 24 seats of the Committee shall be distributed among electoral groups as follows: Group I, three seats; Group II, three seats; Group III, four seats; Group IV, five seats; Group V(a), six seats; Group V(b), three seats.</w:t>
      </w:r>
    </w:p>
    <w:p w14:paraId="0EB4168D" w14:textId="77777777" w:rsidR="004A3579" w:rsidRPr="00015EE8" w:rsidRDefault="004A3579" w:rsidP="004A3579">
      <w:pPr>
        <w:pStyle w:val="GATitleResolution"/>
      </w:pPr>
      <w:r w:rsidRPr="00015EE8">
        <w:t>RESOLUTION 8.GA 5</w:t>
      </w:r>
    </w:p>
    <w:p w14:paraId="2DD1C823" w14:textId="77777777" w:rsidR="004A3579" w:rsidRPr="00015EE8" w:rsidRDefault="004A3579" w:rsidP="004A3579">
      <w:pPr>
        <w:pStyle w:val="GAPreambulaResolution"/>
        <w:ind w:left="0"/>
        <w:rPr>
          <w:rFonts w:eastAsia="SimSun"/>
        </w:rPr>
      </w:pPr>
      <w:r w:rsidRPr="00015EE8">
        <w:t>The General Assembly,</w:t>
      </w:r>
    </w:p>
    <w:p w14:paraId="63F7A0EF" w14:textId="12D114EA" w:rsidR="004A3579" w:rsidRPr="00015EE8" w:rsidRDefault="004A3579" w:rsidP="00BB6BEB">
      <w:pPr>
        <w:pStyle w:val="COMParaDecision"/>
        <w:numPr>
          <w:ilvl w:val="0"/>
          <w:numId w:val="5"/>
        </w:numPr>
        <w:ind w:left="567" w:hanging="567"/>
      </w:pPr>
      <w:r w:rsidRPr="00015EE8">
        <w:t>Having examined</w:t>
      </w:r>
      <w:r w:rsidRPr="00015EE8">
        <w:rPr>
          <w:u w:val="none"/>
        </w:rPr>
        <w:t xml:space="preserve"> document </w:t>
      </w:r>
      <w:hyperlink r:id="rId12" w:history="1">
        <w:r w:rsidRPr="00015EE8">
          <w:rPr>
            <w:rStyle w:val="Hyperlink"/>
          </w:rPr>
          <w:t>LHE/20/8.GA/5</w:t>
        </w:r>
      </w:hyperlink>
      <w:r w:rsidR="00DD2014" w:rsidRPr="00015EE8">
        <w:rPr>
          <w:u w:val="none"/>
        </w:rPr>
        <w:t xml:space="preserve"> and its </w:t>
      </w:r>
      <w:r w:rsidR="001C5F3E" w:rsidRPr="00015EE8">
        <w:rPr>
          <w:u w:val="none"/>
        </w:rPr>
        <w:t>A</w:t>
      </w:r>
      <w:r w:rsidR="00DD2014" w:rsidRPr="00015EE8">
        <w:rPr>
          <w:u w:val="none"/>
        </w:rPr>
        <w:t>nnex</w:t>
      </w:r>
      <w:r w:rsidRPr="00015EE8">
        <w:rPr>
          <w:u w:val="none"/>
        </w:rPr>
        <w:t>,</w:t>
      </w:r>
    </w:p>
    <w:p w14:paraId="2DE5CFD6" w14:textId="77777777" w:rsidR="004A3579" w:rsidRPr="00015EE8" w:rsidRDefault="004A3579" w:rsidP="00BB6BEB">
      <w:pPr>
        <w:pStyle w:val="COMParaDecision"/>
        <w:numPr>
          <w:ilvl w:val="0"/>
          <w:numId w:val="5"/>
        </w:numPr>
        <w:ind w:left="567" w:hanging="567"/>
      </w:pPr>
      <w:r w:rsidRPr="00015EE8">
        <w:t>Recalling</w:t>
      </w:r>
      <w:r w:rsidRPr="00015EE8">
        <w:rPr>
          <w:u w:val="none"/>
        </w:rPr>
        <w:t xml:space="preserve"> Article 30 of the Convention,</w:t>
      </w:r>
    </w:p>
    <w:p w14:paraId="64630481" w14:textId="77777777" w:rsidR="004A3579" w:rsidRPr="00015EE8" w:rsidRDefault="004A3579" w:rsidP="00BB6BEB">
      <w:pPr>
        <w:pStyle w:val="COMParaDecision"/>
        <w:numPr>
          <w:ilvl w:val="0"/>
          <w:numId w:val="5"/>
        </w:numPr>
        <w:ind w:left="567" w:hanging="567"/>
        <w:rPr>
          <w:u w:val="none"/>
        </w:rPr>
      </w:pPr>
      <w:r w:rsidRPr="00015EE8">
        <w:t>Welcomes</w:t>
      </w:r>
      <w:r w:rsidRPr="00015EE8">
        <w:rPr>
          <w:u w:val="none"/>
        </w:rPr>
        <w:t xml:space="preserve"> Kiribati, Singapore and Solomon Islands, which ratified the Convention during the reporting period and </w:t>
      </w:r>
      <w:r w:rsidRPr="00015EE8">
        <w:t>expresses satisfaction</w:t>
      </w:r>
      <w:r w:rsidRPr="00015EE8">
        <w:rPr>
          <w:u w:val="none"/>
        </w:rPr>
        <w:t xml:space="preserve"> with the high rate of ratification across the regions;</w:t>
      </w:r>
    </w:p>
    <w:p w14:paraId="45B0B8CE" w14:textId="77777777" w:rsidR="004A3579" w:rsidRPr="00015EE8" w:rsidRDefault="004A3579" w:rsidP="00BB6BEB">
      <w:pPr>
        <w:pStyle w:val="COMParaDecision"/>
        <w:numPr>
          <w:ilvl w:val="0"/>
          <w:numId w:val="5"/>
        </w:numPr>
        <w:ind w:left="567" w:hanging="567"/>
      </w:pPr>
      <w:r w:rsidRPr="00015EE8">
        <w:t>Takes note</w:t>
      </w:r>
      <w:r w:rsidRPr="00015EE8">
        <w:rPr>
          <w:u w:val="none"/>
        </w:rPr>
        <w:t xml:space="preserve"> of the report by the Committee to the General Assembly on its activities between January 2018 and December 2019, as annexed to this document, and </w:t>
      </w:r>
      <w:r w:rsidRPr="00015EE8">
        <w:t>thanks</w:t>
      </w:r>
      <w:r w:rsidRPr="00015EE8">
        <w:rPr>
          <w:u w:val="none"/>
        </w:rPr>
        <w:t xml:space="preserve"> the Committee for its productive work;</w:t>
      </w:r>
    </w:p>
    <w:p w14:paraId="27AE9EEA" w14:textId="77777777" w:rsidR="004A3579" w:rsidRPr="00015EE8" w:rsidRDefault="004A3579" w:rsidP="00BB6BEB">
      <w:pPr>
        <w:pStyle w:val="COMParaDecision"/>
        <w:numPr>
          <w:ilvl w:val="0"/>
          <w:numId w:val="5"/>
        </w:numPr>
        <w:ind w:left="567" w:hanging="567"/>
        <w:rPr>
          <w:u w:val="none"/>
        </w:rPr>
      </w:pPr>
      <w:r w:rsidRPr="00015EE8">
        <w:t>Commends</w:t>
      </w:r>
      <w:r w:rsidRPr="00015EE8">
        <w:rPr>
          <w:u w:val="none"/>
        </w:rPr>
        <w:t xml:space="preserve"> the Committee for the progress made in improving the governance of the Convention, notably through the reform of the periodic reporting mechanism that a) aims to improve the low submission rate of reports, b) has been aligned to the overall results framework and c) will follow a regional cycle of reporting, and as such </w:t>
      </w:r>
      <w:r w:rsidRPr="00015EE8">
        <w:t>expresses its hope</w:t>
      </w:r>
      <w:r w:rsidRPr="00015EE8">
        <w:rPr>
          <w:u w:val="none"/>
        </w:rPr>
        <w:t xml:space="preserve"> that the reformed mechanism will serve as a useful tool for monitoring the achievements and impacts of the Convention at various levels in all regions;</w:t>
      </w:r>
    </w:p>
    <w:p w14:paraId="711335F2" w14:textId="77777777" w:rsidR="004A3579" w:rsidRPr="00015EE8" w:rsidRDefault="004A3579" w:rsidP="00BB6BEB">
      <w:pPr>
        <w:pStyle w:val="COMParaDecision"/>
        <w:numPr>
          <w:ilvl w:val="0"/>
          <w:numId w:val="5"/>
        </w:numPr>
        <w:ind w:left="567" w:hanging="567"/>
        <w:rPr>
          <w:u w:val="none"/>
        </w:rPr>
      </w:pPr>
      <w:r w:rsidRPr="00015EE8">
        <w:t>Further commends</w:t>
      </w:r>
      <w:r w:rsidRPr="00015EE8">
        <w:rPr>
          <w:u w:val="none"/>
        </w:rPr>
        <w:t xml:space="preserve"> the Committee for the continued </w:t>
      </w:r>
      <w:r w:rsidRPr="00015EE8">
        <w:rPr>
          <w:rFonts w:eastAsia="Arial"/>
          <w:u w:val="none"/>
        </w:rPr>
        <w:t xml:space="preserve">importance it places on capacity building for the implementation of the Convention </w:t>
      </w:r>
      <w:r w:rsidRPr="00015EE8">
        <w:rPr>
          <w:u w:val="none"/>
        </w:rPr>
        <w:t xml:space="preserve">through the global capacity-building programme, and </w:t>
      </w:r>
      <w:r w:rsidRPr="00015EE8">
        <w:t>notes with satisfaction</w:t>
      </w:r>
      <w:r w:rsidRPr="00015EE8">
        <w:rPr>
          <w:u w:val="none"/>
        </w:rPr>
        <w:t xml:space="preserve"> the initiatives related to safeguarding intangible cultural heritage in formal and non-formal education;</w:t>
      </w:r>
    </w:p>
    <w:p w14:paraId="090974EF" w14:textId="77777777" w:rsidR="004A3579" w:rsidRPr="00015EE8" w:rsidRDefault="004A3579" w:rsidP="00BB6BEB">
      <w:pPr>
        <w:pStyle w:val="COMParaDecision"/>
        <w:numPr>
          <w:ilvl w:val="0"/>
          <w:numId w:val="5"/>
        </w:numPr>
        <w:ind w:left="567" w:hanging="567"/>
        <w:rPr>
          <w:u w:val="none"/>
        </w:rPr>
      </w:pPr>
      <w:r w:rsidRPr="00015EE8">
        <w:t>Emphasizes</w:t>
      </w:r>
      <w:r w:rsidRPr="00015EE8">
        <w:rPr>
          <w:u w:val="none"/>
        </w:rPr>
        <w:t xml:space="preserve"> the significant role that intangible cultural heritage safeguarding can play in supporting peace building and cooperation, notably concerning the decision of the Committee on the joint inscription of an element (</w:t>
      </w:r>
      <w:hyperlink r:id="rId13" w:history="1">
        <w:r w:rsidRPr="00015EE8">
          <w:rPr>
            <w:rStyle w:val="Hyperlink"/>
          </w:rPr>
          <w:t>Decision 13.COM 10.b.41</w:t>
        </w:r>
      </w:hyperlink>
      <w:r w:rsidRPr="00015EE8">
        <w:rPr>
          <w:u w:val="none"/>
        </w:rPr>
        <w:t>);</w:t>
      </w:r>
    </w:p>
    <w:p w14:paraId="4AD7BD94" w14:textId="77777777" w:rsidR="004A3579" w:rsidRPr="00015EE8" w:rsidRDefault="004A3579" w:rsidP="00BB6BEB">
      <w:pPr>
        <w:pStyle w:val="COMParaDecision"/>
        <w:numPr>
          <w:ilvl w:val="0"/>
          <w:numId w:val="5"/>
        </w:numPr>
        <w:ind w:left="567" w:hanging="567"/>
        <w:rPr>
          <w:u w:val="none"/>
        </w:rPr>
      </w:pPr>
      <w:r w:rsidRPr="00015EE8">
        <w:t>Stresses the importance</w:t>
      </w:r>
      <w:r w:rsidRPr="00015EE8">
        <w:rPr>
          <w:u w:val="none"/>
        </w:rPr>
        <w:t xml:space="preserve"> of the reflection launched by the Committee on the nature and purposes of the listing mechanisms under the Convention, including the follow-up on inscribed elements as part of this broader reflection and </w:t>
      </w:r>
      <w:r w:rsidRPr="00015EE8">
        <w:t>welcomes</w:t>
      </w:r>
      <w:r w:rsidRPr="00015EE8">
        <w:rPr>
          <w:u w:val="none"/>
        </w:rPr>
        <w:t xml:space="preserve"> initial steps taken to improve the inscription process through the upstream dialogue process;</w:t>
      </w:r>
    </w:p>
    <w:p w14:paraId="5190BEEA" w14:textId="0F8C3367" w:rsidR="004A3579" w:rsidRPr="00015EE8" w:rsidRDefault="00882E97" w:rsidP="00BB6BEB">
      <w:pPr>
        <w:pStyle w:val="COMParaDecision"/>
        <w:numPr>
          <w:ilvl w:val="0"/>
          <w:numId w:val="5"/>
        </w:numPr>
        <w:ind w:left="567" w:hanging="567"/>
        <w:rPr>
          <w:u w:val="none"/>
        </w:rPr>
      </w:pPr>
      <w:r w:rsidRPr="00015EE8">
        <w:t>Acknowledges</w:t>
      </w:r>
      <w:r w:rsidRPr="00015EE8">
        <w:rPr>
          <w:u w:val="none"/>
        </w:rPr>
        <w:t xml:space="preserve"> the unanimous </w:t>
      </w:r>
      <w:r w:rsidR="004A3579" w:rsidRPr="00015EE8">
        <w:rPr>
          <w:u w:val="none"/>
        </w:rPr>
        <w:t>decision of the Committee to remove an element from one of the Lists of the Convention in keeping with the founding principles of UNESCO and the principles of the Convention of dignity, equality and mutual respect among peoples (</w:t>
      </w:r>
      <w:hyperlink r:id="rId14" w:history="1">
        <w:r w:rsidR="004A3579" w:rsidRPr="00015EE8">
          <w:rPr>
            <w:rStyle w:val="Hyperlink"/>
          </w:rPr>
          <w:t>Decision 14.COM 12</w:t>
        </w:r>
      </w:hyperlink>
      <w:r w:rsidR="004A3579" w:rsidRPr="00015EE8">
        <w:rPr>
          <w:u w:val="none"/>
        </w:rPr>
        <w:t>);</w:t>
      </w:r>
    </w:p>
    <w:p w14:paraId="38F90348" w14:textId="299DF454" w:rsidR="004A3579" w:rsidRPr="00015EE8" w:rsidRDefault="004A3579" w:rsidP="00BB6BEB">
      <w:pPr>
        <w:pStyle w:val="COMParaDecision"/>
        <w:numPr>
          <w:ilvl w:val="0"/>
          <w:numId w:val="5"/>
        </w:numPr>
        <w:ind w:left="567" w:hanging="567"/>
        <w:rPr>
          <w:u w:val="none"/>
        </w:rPr>
      </w:pPr>
      <w:r w:rsidRPr="00015EE8">
        <w:t>Appreciates</w:t>
      </w:r>
      <w:r w:rsidRPr="00015EE8">
        <w:rPr>
          <w:u w:val="none"/>
        </w:rPr>
        <w:t xml:space="preserve"> the reflection that the Committee has undertaken on intangible cultural heritage in emergencies as well as another on the participation of non-governmental organizations in the implementation of the Convention;</w:t>
      </w:r>
    </w:p>
    <w:p w14:paraId="43FFA6B1" w14:textId="77777777" w:rsidR="004A3579" w:rsidRPr="00015EE8" w:rsidRDefault="004A3579" w:rsidP="00BB6BEB">
      <w:pPr>
        <w:pStyle w:val="5GAParaResolution"/>
        <w:numPr>
          <w:ilvl w:val="0"/>
          <w:numId w:val="5"/>
        </w:numPr>
        <w:ind w:left="567" w:hanging="567"/>
      </w:pPr>
      <w:r w:rsidRPr="00015EE8">
        <w:rPr>
          <w:u w:val="single"/>
        </w:rPr>
        <w:t>Requests</w:t>
      </w:r>
      <w:r w:rsidRPr="00015EE8">
        <w:t xml:space="preserve"> that the Director-General bring this report to the attention of the General Conference of UNESCO, in conformity with Article 30, paragraph 2 of the Convention.</w:t>
      </w:r>
    </w:p>
    <w:p w14:paraId="41AA9D5B" w14:textId="77777777" w:rsidR="004A3579" w:rsidRPr="00015EE8" w:rsidRDefault="004A3579" w:rsidP="004A3579">
      <w:pPr>
        <w:pStyle w:val="GATitleResolution"/>
      </w:pPr>
      <w:r w:rsidRPr="00015EE8">
        <w:t>RESOLUTION 8.GA 6</w:t>
      </w:r>
    </w:p>
    <w:p w14:paraId="496389B8" w14:textId="77777777" w:rsidR="004A3579" w:rsidRPr="00015EE8" w:rsidRDefault="004A3579" w:rsidP="004A3579">
      <w:pPr>
        <w:pStyle w:val="GAPreambulaResolution"/>
        <w:ind w:left="0"/>
      </w:pPr>
      <w:r w:rsidRPr="00015EE8">
        <w:t>The General Assembly,</w:t>
      </w:r>
    </w:p>
    <w:p w14:paraId="0AA733A2" w14:textId="3327E494" w:rsidR="004A3579" w:rsidRPr="00015EE8" w:rsidRDefault="004A3579" w:rsidP="00BB6BEB">
      <w:pPr>
        <w:pStyle w:val="GAParaResolution"/>
        <w:numPr>
          <w:ilvl w:val="0"/>
          <w:numId w:val="8"/>
        </w:numPr>
        <w:ind w:left="567" w:hanging="567"/>
      </w:pPr>
      <w:r w:rsidRPr="00015EE8">
        <w:t>Having examined</w:t>
      </w:r>
      <w:r w:rsidRPr="00015EE8">
        <w:rPr>
          <w:u w:val="none"/>
        </w:rPr>
        <w:t xml:space="preserve"> document </w:t>
      </w:r>
      <w:hyperlink r:id="rId15" w:history="1">
        <w:r w:rsidRPr="00015EE8">
          <w:rPr>
            <w:rStyle w:val="Hyperlink"/>
          </w:rPr>
          <w:t>LHE/20/8.GA/6</w:t>
        </w:r>
      </w:hyperlink>
      <w:r w:rsidRPr="00015EE8">
        <w:rPr>
          <w:u w:val="none"/>
        </w:rPr>
        <w:t>,</w:t>
      </w:r>
    </w:p>
    <w:p w14:paraId="4B7494E2" w14:textId="77777777" w:rsidR="004A3579" w:rsidRPr="00015EE8" w:rsidRDefault="004A3579" w:rsidP="00BB6BEB">
      <w:pPr>
        <w:pStyle w:val="COMParaDecision"/>
        <w:numPr>
          <w:ilvl w:val="0"/>
          <w:numId w:val="5"/>
        </w:numPr>
        <w:ind w:left="567" w:hanging="567"/>
        <w:rPr>
          <w:u w:val="none"/>
        </w:rPr>
      </w:pPr>
      <w:r w:rsidRPr="00015EE8">
        <w:t>Commends</w:t>
      </w:r>
      <w:r w:rsidRPr="00015EE8">
        <w:rPr>
          <w:u w:val="none"/>
        </w:rPr>
        <w:t xml:space="preserve"> the Secretariat for the continued and timely support provided for the sound governance of the Convention through the efficient organization of statutory meetings and management of its various mechanisms and </w:t>
      </w:r>
      <w:r w:rsidRPr="00015EE8">
        <w:t>notes with satisfaction</w:t>
      </w:r>
      <w:r w:rsidRPr="00015EE8">
        <w:rPr>
          <w:u w:val="none"/>
        </w:rPr>
        <w:t xml:space="preserve"> the initial roll-out of the periodic reporting reform;</w:t>
      </w:r>
    </w:p>
    <w:p w14:paraId="5280836F" w14:textId="77777777" w:rsidR="004A3579" w:rsidRPr="00015EE8" w:rsidRDefault="004A3579" w:rsidP="00BB6BEB">
      <w:pPr>
        <w:pStyle w:val="COMParaDecision"/>
        <w:numPr>
          <w:ilvl w:val="0"/>
          <w:numId w:val="5"/>
        </w:numPr>
        <w:ind w:left="567" w:hanging="567"/>
        <w:rPr>
          <w:u w:val="none"/>
        </w:rPr>
      </w:pPr>
      <w:r w:rsidRPr="00015EE8">
        <w:t>Further commends</w:t>
      </w:r>
      <w:r w:rsidRPr="00015EE8">
        <w:rPr>
          <w:u w:val="none"/>
        </w:rPr>
        <w:t xml:space="preserve"> the Secretariat for supporting the first steps on the reflection on the listing mechanisms through the follow-up of inscribed elements, and the implementation of the upstream dialogue process;</w:t>
      </w:r>
    </w:p>
    <w:p w14:paraId="273F114B" w14:textId="77777777" w:rsidR="004A3579" w:rsidRPr="00015EE8" w:rsidRDefault="004A3579" w:rsidP="00BB6BEB">
      <w:pPr>
        <w:pStyle w:val="COMParaDecision"/>
        <w:numPr>
          <w:ilvl w:val="0"/>
          <w:numId w:val="5"/>
        </w:numPr>
        <w:ind w:left="567" w:hanging="567"/>
        <w:rPr>
          <w:u w:val="none"/>
        </w:rPr>
      </w:pPr>
      <w:r w:rsidRPr="00015EE8">
        <w:t>Appreciates</w:t>
      </w:r>
      <w:r w:rsidRPr="00015EE8">
        <w:rPr>
          <w:u w:val="none"/>
        </w:rPr>
        <w:t xml:space="preserve"> the efforts of the Secretariat to better operationalize the International Assistance mechanism, which resulted in an improved expenditure of the Intangible Cultural Heritage Fund;</w:t>
      </w:r>
    </w:p>
    <w:p w14:paraId="3987272A" w14:textId="77777777" w:rsidR="004A3579" w:rsidRPr="00015EE8" w:rsidRDefault="004A3579" w:rsidP="00BB6BEB">
      <w:pPr>
        <w:pStyle w:val="COMParaDecision"/>
        <w:numPr>
          <w:ilvl w:val="0"/>
          <w:numId w:val="5"/>
        </w:numPr>
        <w:ind w:left="567" w:hanging="567"/>
        <w:rPr>
          <w:u w:val="none"/>
        </w:rPr>
      </w:pPr>
      <w:r w:rsidRPr="00015EE8">
        <w:t>Expresses satisfaction</w:t>
      </w:r>
      <w:r w:rsidRPr="00015EE8">
        <w:rPr>
          <w:u w:val="none"/>
        </w:rPr>
        <w:t xml:space="preserve"> with the global capacity-building programme, noting the important role of key partners such as category 2 centres in the sustainability of the programme and </w:t>
      </w:r>
      <w:r w:rsidRPr="00015EE8">
        <w:t>welcomes</w:t>
      </w:r>
      <w:r w:rsidRPr="00015EE8">
        <w:rPr>
          <w:u w:val="none"/>
        </w:rPr>
        <w:t xml:space="preserve"> strong progress made on the intersectoral work on safeguarding intangible cultural heritage in formal and non-formal education;</w:t>
      </w:r>
    </w:p>
    <w:p w14:paraId="10F64396" w14:textId="77777777" w:rsidR="004A3579" w:rsidRPr="00015EE8" w:rsidRDefault="004A3579" w:rsidP="00BB6BEB">
      <w:pPr>
        <w:pStyle w:val="COMParaDecision"/>
        <w:numPr>
          <w:ilvl w:val="0"/>
          <w:numId w:val="5"/>
        </w:numPr>
        <w:ind w:left="567" w:hanging="567"/>
        <w:rPr>
          <w:u w:val="none"/>
        </w:rPr>
      </w:pPr>
      <w:r w:rsidRPr="00015EE8">
        <w:t>Takes note</w:t>
      </w:r>
      <w:r w:rsidRPr="00015EE8">
        <w:rPr>
          <w:u w:val="none"/>
        </w:rPr>
        <w:t xml:space="preserve"> of the progress made in selected thematic areas such as on intangible cultural heritage in emergencies as well as on intangible cultural heritage and urban contexts, and </w:t>
      </w:r>
      <w:r w:rsidRPr="00015EE8">
        <w:t>encourages</w:t>
      </w:r>
      <w:r w:rsidRPr="00015EE8">
        <w:rPr>
          <w:u w:val="none"/>
        </w:rPr>
        <w:t xml:space="preserve"> the Secretariat to continue to develop other thematic initiatives;</w:t>
      </w:r>
    </w:p>
    <w:p w14:paraId="528B965A" w14:textId="77777777" w:rsidR="004A3579" w:rsidRPr="00015EE8" w:rsidRDefault="004A3579" w:rsidP="00BB6BEB">
      <w:pPr>
        <w:pStyle w:val="COMParaDecision"/>
        <w:numPr>
          <w:ilvl w:val="0"/>
          <w:numId w:val="5"/>
        </w:numPr>
        <w:ind w:left="567" w:hanging="567"/>
        <w:rPr>
          <w:u w:val="none"/>
        </w:rPr>
      </w:pPr>
      <w:r w:rsidRPr="00015EE8">
        <w:t>Further appreciates</w:t>
      </w:r>
      <w:r w:rsidRPr="00015EE8">
        <w:rPr>
          <w:u w:val="none"/>
        </w:rPr>
        <w:t xml:space="preserve"> the targeted communications and outreach initiatives, which increased the visibility of and awareness about the Convention, and innovative online projects, notably ‘Dive into Intangible Cultural Heritage’, that engaged new audiences with intangible cultural heritage;</w:t>
      </w:r>
    </w:p>
    <w:p w14:paraId="5013D1C3" w14:textId="384C0433" w:rsidR="004A3579" w:rsidRPr="00015EE8" w:rsidRDefault="004A3579" w:rsidP="00BB6BEB">
      <w:pPr>
        <w:pStyle w:val="COMParaDecision"/>
        <w:numPr>
          <w:ilvl w:val="0"/>
          <w:numId w:val="5"/>
        </w:numPr>
        <w:ind w:left="567" w:hanging="567"/>
        <w:rPr>
          <w:u w:val="none"/>
        </w:rPr>
      </w:pPr>
      <w:r w:rsidRPr="00015EE8">
        <w:t>Welcomes</w:t>
      </w:r>
      <w:r w:rsidRPr="00015EE8">
        <w:rPr>
          <w:u w:val="none"/>
        </w:rPr>
        <w:t xml:space="preserve"> the response to the COVID-19 pandemic, including the survey and dedicated web platform as well as the online capacity</w:t>
      </w:r>
      <w:r w:rsidR="00A14914" w:rsidRPr="00015EE8">
        <w:rPr>
          <w:u w:val="none"/>
        </w:rPr>
        <w:t xml:space="preserve"> </w:t>
      </w:r>
      <w:r w:rsidRPr="00015EE8">
        <w:rPr>
          <w:u w:val="none"/>
        </w:rPr>
        <w:t xml:space="preserve">building on periodic reporting in Latin America and the Caribbean, and </w:t>
      </w:r>
      <w:r w:rsidRPr="00015EE8">
        <w:t>encourages</w:t>
      </w:r>
      <w:r w:rsidRPr="00015EE8">
        <w:rPr>
          <w:u w:val="none"/>
        </w:rPr>
        <w:t xml:space="preserve"> the Secretariat to continue its efforts in this regard and communicate widely on the survey results;</w:t>
      </w:r>
    </w:p>
    <w:p w14:paraId="2363023A" w14:textId="77777777" w:rsidR="0069541A" w:rsidRPr="00015EE8" w:rsidRDefault="004A3579" w:rsidP="00BB6BEB">
      <w:pPr>
        <w:pStyle w:val="COMParaDecision"/>
        <w:numPr>
          <w:ilvl w:val="0"/>
          <w:numId w:val="5"/>
        </w:numPr>
        <w:ind w:left="567" w:hanging="567"/>
        <w:rPr>
          <w:u w:val="none"/>
        </w:rPr>
      </w:pPr>
      <w:r w:rsidRPr="00015EE8">
        <w:t>Requests</w:t>
      </w:r>
      <w:r w:rsidRPr="00015EE8">
        <w:rPr>
          <w:u w:val="none"/>
        </w:rPr>
        <w:t xml:space="preserve"> the Secretariat to report on its activities for the period between January 2020 and December 2021 for examination by the General Assembly at its ninth session.</w:t>
      </w:r>
    </w:p>
    <w:p w14:paraId="2859437D" w14:textId="77777777" w:rsidR="00EE2AAE" w:rsidRPr="00015EE8" w:rsidRDefault="00EE2AAE" w:rsidP="00FD07EB">
      <w:pPr>
        <w:pStyle w:val="GATitleResolution"/>
      </w:pPr>
      <w:bookmarkStart w:id="1" w:name="_Hlk42187665"/>
      <w:r w:rsidRPr="00015EE8">
        <w:t>RESOLUTION 8.GA 6 Add.</w:t>
      </w:r>
    </w:p>
    <w:p w14:paraId="037ED2C7" w14:textId="77777777" w:rsidR="00EE2AAE" w:rsidRPr="00015EE8" w:rsidRDefault="00EE2AAE" w:rsidP="00EE2AAE">
      <w:pPr>
        <w:pStyle w:val="GAPreambulaResolution"/>
        <w:ind w:left="0"/>
      </w:pPr>
      <w:r w:rsidRPr="00015EE8">
        <w:t>The General Assembly,</w:t>
      </w:r>
    </w:p>
    <w:p w14:paraId="3368D0E5" w14:textId="77777777" w:rsidR="00EE2AAE" w:rsidRPr="00015EE8" w:rsidRDefault="00EE2AAE" w:rsidP="00EE2AAE">
      <w:pPr>
        <w:pStyle w:val="COMParaDecision"/>
        <w:numPr>
          <w:ilvl w:val="0"/>
          <w:numId w:val="30"/>
        </w:numPr>
        <w:adjustRightInd/>
        <w:ind w:left="567" w:hanging="567"/>
      </w:pPr>
      <w:r w:rsidRPr="00015EE8">
        <w:t>Having examined</w:t>
      </w:r>
      <w:r w:rsidRPr="00015EE8">
        <w:rPr>
          <w:u w:val="none"/>
        </w:rPr>
        <w:t xml:space="preserve"> document </w:t>
      </w:r>
      <w:hyperlink r:id="rId16" w:history="1">
        <w:r w:rsidRPr="00015EE8">
          <w:rPr>
            <w:rStyle w:val="Hyperlink"/>
          </w:rPr>
          <w:t>LHE/20/8.GA/6 Add.</w:t>
        </w:r>
      </w:hyperlink>
      <w:r w:rsidRPr="00015EE8">
        <w:rPr>
          <w:u w:val="none"/>
        </w:rPr>
        <w:t>,</w:t>
      </w:r>
    </w:p>
    <w:p w14:paraId="5722A84C" w14:textId="5749E3D4" w:rsidR="00EE2AAE" w:rsidRPr="00015EE8" w:rsidRDefault="00EE2AAE" w:rsidP="00EE2AAE">
      <w:pPr>
        <w:pStyle w:val="COMParaDecision"/>
        <w:numPr>
          <w:ilvl w:val="0"/>
          <w:numId w:val="30"/>
        </w:numPr>
        <w:adjustRightInd/>
        <w:ind w:left="567" w:hanging="567"/>
      </w:pPr>
      <w:r w:rsidRPr="00015EE8">
        <w:t>Takes note</w:t>
      </w:r>
      <w:r w:rsidRPr="00015EE8">
        <w:rPr>
          <w:u w:val="none"/>
        </w:rPr>
        <w:t xml:space="preserve"> of the adjustments made by the Secretariat in response to the COVID-19 pandemic and </w:t>
      </w:r>
      <w:r w:rsidRPr="00015EE8">
        <w:t>appreciates</w:t>
      </w:r>
      <w:r w:rsidRPr="00015EE8">
        <w:rPr>
          <w:u w:val="none"/>
        </w:rPr>
        <w:t xml:space="preserve"> the promptness and usefulness of this response despite numerous challenges</w:t>
      </w:r>
      <w:r w:rsidR="002D035A" w:rsidRPr="00015EE8">
        <w:rPr>
          <w:u w:val="none"/>
        </w:rPr>
        <w:t>;</w:t>
      </w:r>
    </w:p>
    <w:p w14:paraId="679F53E8" w14:textId="48B62AE9" w:rsidR="00EE2AAE" w:rsidRPr="00015EE8" w:rsidRDefault="00EE2AAE" w:rsidP="00EE2AAE">
      <w:pPr>
        <w:pStyle w:val="COMParaDecision"/>
        <w:numPr>
          <w:ilvl w:val="0"/>
          <w:numId w:val="30"/>
        </w:numPr>
        <w:adjustRightInd/>
        <w:ind w:left="567" w:hanging="567"/>
      </w:pPr>
      <w:r w:rsidRPr="00015EE8">
        <w:t>Acknowledges</w:t>
      </w:r>
      <w:r w:rsidRPr="00015EE8">
        <w:rPr>
          <w:u w:val="none"/>
        </w:rPr>
        <w:t xml:space="preserve"> that the observations made through the survey and dedicated web platform, as well as the other actions undertaken by the Secretariat, offer a pertinent example of the relevance of the Convention in the face of global challenges, and demonstrate that living heritage has the capacity to respond and adapt to such challenges</w:t>
      </w:r>
      <w:r w:rsidR="002D035A" w:rsidRPr="00015EE8">
        <w:rPr>
          <w:u w:val="none"/>
        </w:rPr>
        <w:t>;</w:t>
      </w:r>
    </w:p>
    <w:p w14:paraId="6662E57D" w14:textId="0F98FFE5" w:rsidR="00EE2AAE" w:rsidRPr="00015EE8" w:rsidRDefault="00EE2AAE" w:rsidP="00EE2AAE">
      <w:pPr>
        <w:pStyle w:val="COMParaDecision"/>
        <w:numPr>
          <w:ilvl w:val="0"/>
          <w:numId w:val="30"/>
        </w:numPr>
        <w:adjustRightInd/>
        <w:ind w:left="567" w:hanging="567"/>
      </w:pPr>
      <w:r w:rsidRPr="00015EE8">
        <w:t>Encourages</w:t>
      </w:r>
      <w:r w:rsidRPr="00015EE8">
        <w:rPr>
          <w:u w:val="none"/>
        </w:rPr>
        <w:t xml:space="preserve"> the Secretariat to apply the lessons learned from this response, including those related to capacity</w:t>
      </w:r>
      <w:r w:rsidR="002D035A" w:rsidRPr="00015EE8">
        <w:rPr>
          <w:u w:val="none"/>
        </w:rPr>
        <w:t xml:space="preserve"> </w:t>
      </w:r>
      <w:r w:rsidRPr="00015EE8">
        <w:rPr>
          <w:u w:val="none"/>
        </w:rPr>
        <w:t>building, in its future activities to support the work of the governing bodies of the Convention and national safeguarding efforts.</w:t>
      </w:r>
    </w:p>
    <w:p w14:paraId="7B0AD010" w14:textId="77777777" w:rsidR="00A91486" w:rsidRPr="00015EE8" w:rsidRDefault="00A91486" w:rsidP="00FD07EB">
      <w:pPr>
        <w:pStyle w:val="GATitleResolution"/>
        <w:rPr>
          <w:rFonts w:eastAsia="SimSun"/>
        </w:rPr>
      </w:pPr>
      <w:r w:rsidRPr="00015EE8">
        <w:t>RESOLUTION 8.GA 7</w:t>
      </w:r>
    </w:p>
    <w:p w14:paraId="68DCE5FA" w14:textId="77777777" w:rsidR="00A91486" w:rsidRPr="00015EE8" w:rsidRDefault="00A91486" w:rsidP="00A91486">
      <w:pPr>
        <w:pStyle w:val="COMPreambulaDecisions"/>
        <w:keepLines/>
        <w:ind w:left="0"/>
      </w:pPr>
      <w:r w:rsidRPr="00015EE8">
        <w:t>The General Assembly,</w:t>
      </w:r>
    </w:p>
    <w:p w14:paraId="7D6FA4DF" w14:textId="6913C9DA" w:rsidR="00A91486" w:rsidRPr="00015EE8" w:rsidRDefault="00A91486" w:rsidP="00BB6BEB">
      <w:pPr>
        <w:pStyle w:val="GAParaResolution"/>
        <w:keepNext/>
        <w:keepLines/>
        <w:numPr>
          <w:ilvl w:val="0"/>
          <w:numId w:val="9"/>
        </w:numPr>
        <w:ind w:left="567" w:hanging="567"/>
        <w:rPr>
          <w:u w:val="none"/>
        </w:rPr>
      </w:pPr>
      <w:r w:rsidRPr="00015EE8">
        <w:t>Having examined</w:t>
      </w:r>
      <w:r w:rsidRPr="00015EE8">
        <w:rPr>
          <w:u w:val="none"/>
        </w:rPr>
        <w:t xml:space="preserve"> documents </w:t>
      </w:r>
      <w:hyperlink r:id="rId17" w:history="1">
        <w:r w:rsidRPr="00015EE8">
          <w:rPr>
            <w:rStyle w:val="Hyperlink"/>
          </w:rPr>
          <w:t>LHE/20/8.GA/7 Rev.</w:t>
        </w:r>
      </w:hyperlink>
      <w:r w:rsidR="002B086B" w:rsidRPr="00015EE8">
        <w:rPr>
          <w:u w:val="none"/>
        </w:rPr>
        <w:t xml:space="preserve"> with its </w:t>
      </w:r>
      <w:r w:rsidR="001C5F3E" w:rsidRPr="00015EE8">
        <w:rPr>
          <w:u w:val="none"/>
        </w:rPr>
        <w:t>A</w:t>
      </w:r>
      <w:r w:rsidR="002B086B" w:rsidRPr="00015EE8">
        <w:rPr>
          <w:u w:val="none"/>
        </w:rPr>
        <w:t>nnexes</w:t>
      </w:r>
      <w:r w:rsidRPr="00015EE8">
        <w:rPr>
          <w:u w:val="none"/>
        </w:rPr>
        <w:t xml:space="preserve"> and </w:t>
      </w:r>
      <w:hyperlink r:id="rId18" w:history="1">
        <w:r w:rsidRPr="00015EE8">
          <w:rPr>
            <w:rStyle w:val="Hyperlink"/>
          </w:rPr>
          <w:t>LHE/20/8.GA/INF.7</w:t>
        </w:r>
      </w:hyperlink>
      <w:r w:rsidRPr="00015EE8">
        <w:rPr>
          <w:u w:val="none"/>
        </w:rPr>
        <w:t>,</w:t>
      </w:r>
    </w:p>
    <w:p w14:paraId="3F150549" w14:textId="77777777" w:rsidR="00A91486" w:rsidRPr="00015EE8" w:rsidRDefault="00A91486" w:rsidP="00BB6BEB">
      <w:pPr>
        <w:pStyle w:val="COMParaDecision"/>
        <w:keepLines/>
        <w:numPr>
          <w:ilvl w:val="0"/>
          <w:numId w:val="5"/>
        </w:numPr>
        <w:ind w:left="567" w:hanging="567"/>
        <w:rPr>
          <w:u w:val="none"/>
        </w:rPr>
      </w:pPr>
      <w:r w:rsidRPr="00015EE8">
        <w:t>Recalling</w:t>
      </w:r>
      <w:r w:rsidRPr="00015EE8">
        <w:rPr>
          <w:u w:val="none"/>
        </w:rPr>
        <w:t xml:space="preserve"> Article 7(c) of the Convention and paragraphs 66 and 67 of the Operational Directives,</w:t>
      </w:r>
    </w:p>
    <w:p w14:paraId="2478882E" w14:textId="77777777" w:rsidR="00A91486" w:rsidRPr="00015EE8" w:rsidRDefault="00A91486" w:rsidP="00BB6BEB">
      <w:pPr>
        <w:pStyle w:val="COMParaDecision"/>
        <w:keepLines/>
        <w:numPr>
          <w:ilvl w:val="0"/>
          <w:numId w:val="5"/>
        </w:numPr>
        <w:ind w:left="567" w:hanging="567"/>
      </w:pPr>
      <w:r w:rsidRPr="00015EE8">
        <w:t>Further recalling</w:t>
      </w:r>
      <w:r w:rsidRPr="00015EE8">
        <w:rPr>
          <w:u w:val="none"/>
        </w:rPr>
        <w:t xml:space="preserve"> 200 EX/Decision 19 and 201 EX/Decision 24, as well as the Appropriation Resolution for 2020–2021 adopted by the General Conference at its fortieth session,</w:t>
      </w:r>
    </w:p>
    <w:p w14:paraId="3F0D0B34" w14:textId="77777777" w:rsidR="00A91486" w:rsidRPr="00015EE8" w:rsidRDefault="00A91486" w:rsidP="00A91486">
      <w:pPr>
        <w:pStyle w:val="COMParaDecision"/>
        <w:keepNext/>
        <w:keepLines/>
        <w:ind w:left="0" w:firstLine="0"/>
        <w:rPr>
          <w:b/>
          <w:bCs/>
          <w:u w:val="none"/>
        </w:rPr>
      </w:pPr>
      <w:r w:rsidRPr="00015EE8">
        <w:rPr>
          <w:b/>
          <w:bCs/>
          <w:u w:val="none"/>
        </w:rPr>
        <w:t>Status and trends of the Fund</w:t>
      </w:r>
    </w:p>
    <w:p w14:paraId="72739018" w14:textId="77777777" w:rsidR="00A91486" w:rsidRPr="00015EE8" w:rsidRDefault="00A91486" w:rsidP="00BB6BEB">
      <w:pPr>
        <w:pStyle w:val="COMParaDecision"/>
        <w:keepLines/>
        <w:numPr>
          <w:ilvl w:val="0"/>
          <w:numId w:val="5"/>
        </w:numPr>
        <w:ind w:left="567" w:hanging="567"/>
        <w:rPr>
          <w:u w:val="none"/>
        </w:rPr>
      </w:pPr>
      <w:r w:rsidRPr="00015EE8">
        <w:t>Welcomes</w:t>
      </w:r>
      <w:r w:rsidRPr="00015EE8">
        <w:rPr>
          <w:u w:val="none"/>
        </w:rPr>
        <w:t xml:space="preserve"> the recent positive trends in the implementation of the Fund, </w:t>
      </w:r>
      <w:r w:rsidRPr="00015EE8">
        <w:t>commends</w:t>
      </w:r>
      <w:r w:rsidRPr="00015EE8">
        <w:rPr>
          <w:u w:val="none"/>
        </w:rPr>
        <w:t xml:space="preserve"> the Secretariat for its efforts to intensify the operationalization of the International Assistance mechanisms, </w:t>
      </w:r>
      <w:r w:rsidRPr="00015EE8">
        <w:t>takes note</w:t>
      </w:r>
      <w:r w:rsidRPr="00015EE8">
        <w:rPr>
          <w:u w:val="none"/>
        </w:rPr>
        <w:t xml:space="preserve"> that a dedicated team has been established with three new extra-budgetary fixed-term posts and </w:t>
      </w:r>
      <w:r w:rsidRPr="00015EE8">
        <w:t>looks forward</w:t>
      </w:r>
      <w:r w:rsidRPr="00015EE8">
        <w:rPr>
          <w:u w:val="none"/>
        </w:rPr>
        <w:t xml:space="preserve"> to observing the improved monitoring of the impact of projects supported by the Fund;</w:t>
      </w:r>
    </w:p>
    <w:p w14:paraId="566BF07D" w14:textId="77777777" w:rsidR="00A91486" w:rsidRPr="00015EE8" w:rsidRDefault="00A91486" w:rsidP="00BB6BEB">
      <w:pPr>
        <w:pStyle w:val="COMParaDecision"/>
        <w:keepLines/>
        <w:numPr>
          <w:ilvl w:val="0"/>
          <w:numId w:val="5"/>
        </w:numPr>
        <w:ind w:left="567" w:hanging="567"/>
        <w:rPr>
          <w:u w:val="none"/>
        </w:rPr>
      </w:pPr>
      <w:r w:rsidRPr="00015EE8">
        <w:t>Takes note</w:t>
      </w:r>
      <w:r w:rsidRPr="00015EE8">
        <w:rPr>
          <w:u w:val="none"/>
        </w:rPr>
        <w:t xml:space="preserve"> of the measures taken by the Secretariat, with no impact to the overall biennial Plan, to ensure the continuity of its activities following the postponement of the eighth session of the General Assembly;</w:t>
      </w:r>
    </w:p>
    <w:p w14:paraId="05F5CA59" w14:textId="77777777" w:rsidR="00A91486" w:rsidRPr="00015EE8" w:rsidRDefault="00A91486" w:rsidP="00BB6BEB">
      <w:pPr>
        <w:pStyle w:val="COMParaDecision"/>
        <w:keepLines/>
        <w:numPr>
          <w:ilvl w:val="0"/>
          <w:numId w:val="5"/>
        </w:numPr>
        <w:ind w:left="567" w:hanging="567"/>
      </w:pPr>
      <w:r w:rsidRPr="00015EE8">
        <w:t>Further takes note</w:t>
      </w:r>
      <w:r w:rsidRPr="00015EE8">
        <w:rPr>
          <w:u w:val="none"/>
        </w:rPr>
        <w:t xml:space="preserve"> of the donors that have provided voluntary supplementary contributions to the Fund since its last session, namely the People’s Republic of China, Finland, Japan, Kazakhstan, Monaco, Montenegro, the Netherlands and Sweden, as well as the in-kind support from the People’s Republic of China, Japan and Singapore</w:t>
      </w:r>
      <w:r w:rsidRPr="00015EE8">
        <w:rPr>
          <w:rFonts w:eastAsia="Times New Roman"/>
          <w:u w:val="none"/>
        </w:rPr>
        <w:t>;</w:t>
      </w:r>
    </w:p>
    <w:p w14:paraId="41607121" w14:textId="77777777" w:rsidR="00A91486" w:rsidRPr="00015EE8" w:rsidRDefault="00A91486" w:rsidP="00BB6BEB">
      <w:pPr>
        <w:pStyle w:val="COMParaDecision"/>
        <w:keepLines/>
        <w:numPr>
          <w:ilvl w:val="0"/>
          <w:numId w:val="5"/>
        </w:numPr>
        <w:ind w:left="567" w:hanging="567"/>
        <w:rPr>
          <w:u w:val="none"/>
        </w:rPr>
      </w:pPr>
      <w:r w:rsidRPr="00015EE8">
        <w:t>Thanks</w:t>
      </w:r>
      <w:r w:rsidRPr="00015EE8">
        <w:rPr>
          <w:u w:val="none"/>
        </w:rPr>
        <w:t xml:space="preserve"> all the contributors that have supported the Convention and its Secretariat, since its last session, through different forms of support, financial or in-kind, such as voluntary supplementary contributions to the Intangible Cultural Heritage Fund and the sub-fund for enhancing the human capacities of the Secretariat, Funds-in-Trust, or loaned personnel, and </w:t>
      </w:r>
      <w:r w:rsidRPr="00015EE8">
        <w:t>encourages</w:t>
      </w:r>
      <w:r w:rsidRPr="00015EE8">
        <w:rPr>
          <w:u w:val="none"/>
        </w:rPr>
        <w:t xml:space="preserve"> other States to consider the possibility of supporting the Convention through the modality of their choice;</w:t>
      </w:r>
    </w:p>
    <w:p w14:paraId="2BE0CCB1" w14:textId="77777777" w:rsidR="00A91486" w:rsidRPr="00015EE8" w:rsidRDefault="00A91486" w:rsidP="00A91486">
      <w:pPr>
        <w:pStyle w:val="COMParaDecision"/>
        <w:keepNext/>
        <w:keepLines/>
        <w:ind w:left="0" w:firstLine="0"/>
        <w:rPr>
          <w:b/>
          <w:bCs/>
          <w:u w:val="none"/>
        </w:rPr>
      </w:pPr>
      <w:r w:rsidRPr="00015EE8">
        <w:rPr>
          <w:b/>
          <w:bCs/>
          <w:u w:val="none"/>
        </w:rPr>
        <w:t>Plan for the use of the resources of the Fund</w:t>
      </w:r>
    </w:p>
    <w:p w14:paraId="6A1963A3" w14:textId="77777777" w:rsidR="00A91486" w:rsidRPr="00015EE8" w:rsidRDefault="00A91486" w:rsidP="00BB6BEB">
      <w:pPr>
        <w:pStyle w:val="COMParaDecision"/>
        <w:keepLines/>
        <w:numPr>
          <w:ilvl w:val="0"/>
          <w:numId w:val="5"/>
        </w:numPr>
        <w:ind w:left="567" w:hanging="567"/>
      </w:pPr>
      <w:r w:rsidRPr="00015EE8">
        <w:t>Approves</w:t>
      </w:r>
      <w:r w:rsidRPr="00015EE8">
        <w:rPr>
          <w:u w:val="none"/>
        </w:rPr>
        <w:t xml:space="preserve"> the Plan for the use of the resources of the Fund for the period 1 January 2020 to 31 December 2021 as well as for the period 1 January 2022 to 30 June 2022 in the Annex I to this Resolution;</w:t>
      </w:r>
    </w:p>
    <w:p w14:paraId="6B104D0A" w14:textId="77777777" w:rsidR="00A91486" w:rsidRPr="00015EE8" w:rsidRDefault="00A91486" w:rsidP="00BB6BEB">
      <w:pPr>
        <w:pStyle w:val="COMParaDecision"/>
        <w:keepLines/>
        <w:numPr>
          <w:ilvl w:val="0"/>
          <w:numId w:val="5"/>
        </w:numPr>
        <w:ind w:left="567" w:hanging="567"/>
        <w:rPr>
          <w:u w:val="none"/>
        </w:rPr>
      </w:pPr>
      <w:r w:rsidRPr="00015EE8">
        <w:t>Understands</w:t>
      </w:r>
      <w:r w:rsidRPr="00015EE8">
        <w:rPr>
          <w:u w:val="none"/>
        </w:rPr>
        <w:t xml:space="preserve"> that, at the time of its ninth session in 2022, it may readjust the budget plan from 1 January 2022 to 30 June 2022; if the General Assembly is unable to meet prior to 30 June 2022, the Secretariat is authorized to continue operations until such a time that the General Assembly is able to meet;</w:t>
      </w:r>
    </w:p>
    <w:p w14:paraId="6B6856E4" w14:textId="77777777" w:rsidR="00A91486" w:rsidRPr="00015EE8" w:rsidRDefault="00A91486" w:rsidP="00BB6BEB">
      <w:pPr>
        <w:pStyle w:val="COMParaDecision"/>
        <w:keepLines/>
        <w:numPr>
          <w:ilvl w:val="0"/>
          <w:numId w:val="5"/>
        </w:numPr>
        <w:ind w:left="567" w:hanging="567"/>
        <w:rPr>
          <w:lang w:eastAsia="zh-CN"/>
        </w:rPr>
      </w:pPr>
      <w:r w:rsidRPr="00015EE8">
        <w:t>Also takes note</w:t>
      </w:r>
      <w:r w:rsidRPr="00015EE8">
        <w:rPr>
          <w:u w:val="none"/>
        </w:rPr>
        <w:t xml:space="preserve"> of the authorization granted by the Committee to the Secretariat, when utilizing the funds allocated under budget line 3 of the Plan, to make transfers between activities included under budget line 3 up to a cumulative amount equivalent to 5 per cent of the initial total allocation proposed to the General Assembly for this purpose;</w:t>
      </w:r>
    </w:p>
    <w:p w14:paraId="1CDA5627" w14:textId="77777777" w:rsidR="00A91486" w:rsidRPr="00015EE8" w:rsidRDefault="00A91486" w:rsidP="00BB6BEB">
      <w:pPr>
        <w:pStyle w:val="COMParaDecision"/>
        <w:keepLines/>
        <w:numPr>
          <w:ilvl w:val="0"/>
          <w:numId w:val="5"/>
        </w:numPr>
        <w:ind w:left="567" w:hanging="567"/>
        <w:rPr>
          <w:u w:val="none"/>
        </w:rPr>
      </w:pPr>
      <w:r w:rsidRPr="00015EE8">
        <w:t>Authorizes</w:t>
      </w:r>
      <w:r w:rsidRPr="00015EE8">
        <w:rPr>
          <w:u w:val="none"/>
        </w:rPr>
        <w:t xml:space="preserve"> the Committee to make immediate use of any voluntary supplementary contributions that might be received during these periods, as described in Article 27 of the Convention, in accordance with the percentages laid out in the Plan;</w:t>
      </w:r>
    </w:p>
    <w:p w14:paraId="7F27CA3D" w14:textId="77777777" w:rsidR="00A91486" w:rsidRPr="00015EE8" w:rsidRDefault="00A91486" w:rsidP="00BB6BEB">
      <w:pPr>
        <w:pStyle w:val="COMParaDecision"/>
        <w:keepLines/>
        <w:numPr>
          <w:ilvl w:val="0"/>
          <w:numId w:val="5"/>
        </w:numPr>
        <w:ind w:left="567" w:hanging="567"/>
        <w:rPr>
          <w:u w:val="none"/>
        </w:rPr>
      </w:pPr>
      <w:r w:rsidRPr="00015EE8">
        <w:t>Further authorizes</w:t>
      </w:r>
      <w:r w:rsidRPr="00015EE8">
        <w:rPr>
          <w:u w:val="none"/>
        </w:rPr>
        <w:t xml:space="preserve"> the Committee to make immediate use of any contributions that it might accept, during these periods, for specific purposes relating to specific projects, provided that those projects have been approved by the Committee prior to the receipt of the funds, as described in Article 25.5 of the Convention;</w:t>
      </w:r>
    </w:p>
    <w:p w14:paraId="34868F94" w14:textId="77777777" w:rsidR="00A91486" w:rsidRPr="00015EE8" w:rsidRDefault="00A91486" w:rsidP="00BB6BEB">
      <w:pPr>
        <w:pStyle w:val="COMParaDecision"/>
        <w:keepLines/>
        <w:numPr>
          <w:ilvl w:val="0"/>
          <w:numId w:val="5"/>
        </w:numPr>
        <w:ind w:left="567" w:hanging="567"/>
        <w:rPr>
          <w:u w:val="none"/>
        </w:rPr>
      </w:pPr>
      <w:r w:rsidRPr="00015EE8">
        <w:t>Also authorizes</w:t>
      </w:r>
      <w:r w:rsidRPr="00015EE8">
        <w:rPr>
          <w:u w:val="none"/>
        </w:rPr>
        <w:t xml:space="preserve"> the Secretariat to make transfers between budget lines 4, 5, 6 and 7, up to an equivalent of 30 per cent of their initial total allocation, and </w:t>
      </w:r>
      <w:r w:rsidRPr="00015EE8">
        <w:t>requests</w:t>
      </w:r>
      <w:r w:rsidRPr="00015EE8">
        <w:rPr>
          <w:u w:val="none"/>
        </w:rPr>
        <w:t xml:space="preserve"> that the Secretariat inform the Committee and the General Assembly in writing, at the session following such action, of the details of and reasons for these transfers;</w:t>
      </w:r>
    </w:p>
    <w:p w14:paraId="293EFFB4" w14:textId="77777777" w:rsidR="00A91486" w:rsidRPr="00015EE8" w:rsidRDefault="00A91486" w:rsidP="00A91486">
      <w:pPr>
        <w:pStyle w:val="COMParaDecision"/>
        <w:keepNext/>
        <w:keepLines/>
        <w:ind w:left="0" w:firstLine="0"/>
        <w:rPr>
          <w:b/>
          <w:bCs/>
          <w:u w:val="none"/>
        </w:rPr>
      </w:pPr>
      <w:r w:rsidRPr="00015EE8">
        <w:rPr>
          <w:b/>
          <w:bCs/>
          <w:u w:val="none"/>
        </w:rPr>
        <w:t>Sub-fund for enhancing the human resources of the Secretariat</w:t>
      </w:r>
    </w:p>
    <w:p w14:paraId="70E4552F" w14:textId="77777777" w:rsidR="00A91486" w:rsidRPr="00015EE8" w:rsidRDefault="00A91486" w:rsidP="00BB6BEB">
      <w:pPr>
        <w:pStyle w:val="COMParaDecision"/>
        <w:keepLines/>
        <w:numPr>
          <w:ilvl w:val="0"/>
          <w:numId w:val="5"/>
        </w:numPr>
        <w:ind w:left="567" w:hanging="567"/>
      </w:pPr>
      <w:r w:rsidRPr="00015EE8">
        <w:t>Underlines</w:t>
      </w:r>
      <w:r w:rsidRPr="00015EE8">
        <w:rPr>
          <w:u w:val="none"/>
        </w:rPr>
        <w:t xml:space="preserve"> the need to enhance the human resources of the Secretariat on a lasting basis in order that it may better respond to the wishes and needs of States Parties, </w:t>
      </w:r>
      <w:r w:rsidRPr="00015EE8">
        <w:t>recognizes</w:t>
      </w:r>
      <w:r w:rsidRPr="00015EE8">
        <w:rPr>
          <w:u w:val="none"/>
        </w:rPr>
        <w:t xml:space="preserve"> that funds in the amount of approximately US$950,000 per year are needed for this purpose and </w:t>
      </w:r>
      <w:r w:rsidRPr="00015EE8">
        <w:t>invites</w:t>
      </w:r>
      <w:r w:rsidRPr="00015EE8">
        <w:rPr>
          <w:u w:val="none"/>
        </w:rPr>
        <w:t xml:space="preserve"> States Parties to provide voluntary supplementary contributions to the sub-fund in the corresponding amount per year;</w:t>
      </w:r>
    </w:p>
    <w:p w14:paraId="02A4E024" w14:textId="77777777" w:rsidR="00A91486" w:rsidRPr="00015EE8" w:rsidRDefault="00A91486" w:rsidP="00A91486">
      <w:pPr>
        <w:pStyle w:val="COMParaDecision"/>
        <w:keepNext/>
        <w:keepLines/>
        <w:ind w:left="0" w:firstLine="0"/>
        <w:rPr>
          <w:b/>
          <w:bCs/>
          <w:u w:val="none"/>
        </w:rPr>
      </w:pPr>
      <w:r w:rsidRPr="00015EE8">
        <w:rPr>
          <w:b/>
          <w:bCs/>
          <w:u w:val="none"/>
        </w:rPr>
        <w:t>Management Cost Rate</w:t>
      </w:r>
    </w:p>
    <w:p w14:paraId="0A37867E" w14:textId="77777777" w:rsidR="00A91486" w:rsidRPr="00015EE8" w:rsidRDefault="00A91486" w:rsidP="00BB6BEB">
      <w:pPr>
        <w:pStyle w:val="COMParaDecision"/>
        <w:keepLines/>
        <w:numPr>
          <w:ilvl w:val="0"/>
          <w:numId w:val="5"/>
        </w:numPr>
        <w:ind w:left="567" w:hanging="567"/>
        <w:rPr>
          <w:u w:val="none"/>
        </w:rPr>
      </w:pPr>
      <w:r w:rsidRPr="00015EE8">
        <w:t>Endorses</w:t>
      </w:r>
      <w:r w:rsidRPr="00015EE8">
        <w:rPr>
          <w:u w:val="none"/>
        </w:rPr>
        <w:t xml:space="preserve"> the continued application of a Management Cost rate of 0 per cent for all assessed contributions to the special account of the Intangible Cultural Heritage Fund and apply a Management Cost rate of 7 per cent for all other contributions;</w:t>
      </w:r>
    </w:p>
    <w:p w14:paraId="0F2F5935" w14:textId="77777777" w:rsidR="00A91486" w:rsidRPr="00015EE8" w:rsidRDefault="00A91486" w:rsidP="00A91486">
      <w:pPr>
        <w:pStyle w:val="COMParaDecision"/>
        <w:keepNext/>
        <w:keepLines/>
        <w:ind w:left="0" w:firstLine="0"/>
        <w:rPr>
          <w:b/>
          <w:bCs/>
          <w:u w:val="none"/>
        </w:rPr>
      </w:pPr>
      <w:r w:rsidRPr="00015EE8">
        <w:rPr>
          <w:b/>
          <w:bCs/>
          <w:u w:val="none"/>
        </w:rPr>
        <w:t>Financial Regulations</w:t>
      </w:r>
    </w:p>
    <w:p w14:paraId="267E1106" w14:textId="699FACF7" w:rsidR="00A91486" w:rsidRPr="00015EE8" w:rsidRDefault="00A91486" w:rsidP="00BB6BEB">
      <w:pPr>
        <w:pStyle w:val="COMParaDecision"/>
        <w:keepLines/>
        <w:numPr>
          <w:ilvl w:val="0"/>
          <w:numId w:val="5"/>
        </w:numPr>
        <w:ind w:left="567" w:hanging="567"/>
        <w:rPr>
          <w:u w:val="none"/>
        </w:rPr>
      </w:pPr>
      <w:r w:rsidRPr="00015EE8">
        <w:t>Further approves</w:t>
      </w:r>
      <w:r w:rsidRPr="00015EE8">
        <w:rPr>
          <w:u w:val="none"/>
        </w:rPr>
        <w:t xml:space="preserve"> the revisions to the Financial Regulations of the Special Account for the Fund for the Safeguarding of the Intangible Cultural Heritage as described in Annex</w:t>
      </w:r>
      <w:r w:rsidR="006A7A56" w:rsidRPr="00015EE8">
        <w:rPr>
          <w:u w:val="none"/>
        </w:rPr>
        <w:t> </w:t>
      </w:r>
      <w:r w:rsidRPr="00015EE8">
        <w:rPr>
          <w:u w:val="none"/>
        </w:rPr>
        <w:t>II of the present Resolution in order to align them with UNESCO’s Standard Financial Regulations.</w:t>
      </w:r>
    </w:p>
    <w:bookmarkEnd w:id="1"/>
    <w:p w14:paraId="4D5FE869" w14:textId="6D77C652" w:rsidR="00622067" w:rsidRPr="00015EE8" w:rsidRDefault="00FD07EB" w:rsidP="00622067">
      <w:pPr>
        <w:pStyle w:val="Annex"/>
      </w:pPr>
      <w:r w:rsidRPr="00015EE8">
        <w:t>ANNEX</w:t>
      </w:r>
      <w:r w:rsidR="00622067" w:rsidRPr="00015EE8">
        <w:t xml:space="preserve"> I</w:t>
      </w:r>
    </w:p>
    <w:tbl>
      <w:tblPr>
        <w:tblW w:w="5071" w:type="pct"/>
        <w:tblInd w:w="-147" w:type="dxa"/>
        <w:tblLayout w:type="fixed"/>
        <w:tblCellMar>
          <w:left w:w="170" w:type="dxa"/>
          <w:right w:w="170" w:type="dxa"/>
        </w:tblCellMar>
        <w:tblLook w:val="04A0" w:firstRow="1" w:lastRow="0" w:firstColumn="1" w:lastColumn="0" w:noHBand="0" w:noVBand="1"/>
      </w:tblPr>
      <w:tblGrid>
        <w:gridCol w:w="857"/>
        <w:gridCol w:w="4543"/>
        <w:gridCol w:w="1583"/>
        <w:gridCol w:w="360"/>
        <w:gridCol w:w="991"/>
        <w:gridCol w:w="1436"/>
      </w:tblGrid>
      <w:tr w:rsidR="0089230F" w:rsidRPr="00CB223B" w14:paraId="1EA14A89" w14:textId="77777777" w:rsidTr="007B5887">
        <w:trPr>
          <w:gridAfter w:val="1"/>
          <w:wAfter w:w="735" w:type="pct"/>
          <w:cantSplit/>
        </w:trPr>
        <w:tc>
          <w:tcPr>
            <w:tcW w:w="3574" w:type="pct"/>
            <w:gridSpan w:val="3"/>
            <w:tcBorders>
              <w:top w:val="single" w:sz="4" w:space="0" w:color="auto"/>
              <w:left w:val="single" w:sz="4" w:space="0" w:color="auto"/>
              <w:bottom w:val="single" w:sz="4" w:space="0" w:color="auto"/>
              <w:right w:val="single" w:sz="4" w:space="0" w:color="auto"/>
            </w:tcBorders>
            <w:shd w:val="clear" w:color="000000" w:fill="D8D8D8"/>
          </w:tcPr>
          <w:p w14:paraId="7363E270" w14:textId="38609AEB" w:rsidR="0089230F" w:rsidRPr="00015EE8" w:rsidRDefault="0089230F" w:rsidP="007E54D9">
            <w:pPr>
              <w:spacing w:before="120" w:after="120"/>
              <w:jc w:val="center"/>
              <w:rPr>
                <w:rFonts w:ascii="Arial" w:hAnsi="Arial" w:cs="Arial"/>
                <w:b/>
                <w:bCs/>
                <w:sz w:val="18"/>
                <w:szCs w:val="18"/>
                <w:lang w:val="en-GB"/>
              </w:rPr>
            </w:pPr>
            <w:r w:rsidRPr="00015EE8">
              <w:rPr>
                <w:rFonts w:ascii="Arial" w:hAnsi="Arial" w:cs="Arial"/>
                <w:b/>
                <w:bCs/>
                <w:sz w:val="18"/>
                <w:szCs w:val="18"/>
                <w:lang w:val="en-GB"/>
              </w:rPr>
              <w:t>Plan for the use of the resources of the Fund</w:t>
            </w:r>
          </w:p>
        </w:tc>
        <w:tc>
          <w:tcPr>
            <w:tcW w:w="184" w:type="pct"/>
            <w:tcBorders>
              <w:left w:val="single" w:sz="4" w:space="0" w:color="auto"/>
              <w:bottom w:val="dashed" w:sz="4" w:space="0" w:color="auto"/>
            </w:tcBorders>
          </w:tcPr>
          <w:p w14:paraId="59F2E68F" w14:textId="77777777" w:rsidR="0089230F" w:rsidRPr="00015EE8" w:rsidRDefault="0089230F" w:rsidP="007E54D9">
            <w:pPr>
              <w:spacing w:before="120" w:after="120"/>
              <w:jc w:val="center"/>
              <w:rPr>
                <w:rFonts w:ascii="Arial" w:hAnsi="Arial" w:cs="Arial"/>
                <w:b/>
                <w:bCs/>
                <w:sz w:val="18"/>
                <w:szCs w:val="18"/>
                <w:lang w:val="en-GB"/>
              </w:rPr>
            </w:pPr>
          </w:p>
        </w:tc>
        <w:tc>
          <w:tcPr>
            <w:tcW w:w="507" w:type="pct"/>
            <w:tcBorders>
              <w:bottom w:val="dashed" w:sz="4" w:space="0" w:color="auto"/>
            </w:tcBorders>
            <w:shd w:val="clear" w:color="auto" w:fill="auto"/>
          </w:tcPr>
          <w:p w14:paraId="5683F029" w14:textId="77777777" w:rsidR="0089230F" w:rsidRPr="00015EE8" w:rsidRDefault="0089230F" w:rsidP="007E54D9">
            <w:pPr>
              <w:spacing w:before="120" w:after="120"/>
              <w:jc w:val="center"/>
              <w:rPr>
                <w:rFonts w:ascii="Arial" w:hAnsi="Arial" w:cs="Arial"/>
                <w:b/>
                <w:bCs/>
                <w:sz w:val="18"/>
                <w:szCs w:val="18"/>
                <w:lang w:val="en-GB"/>
              </w:rPr>
            </w:pPr>
          </w:p>
        </w:tc>
      </w:tr>
      <w:tr w:rsidR="0089230F" w:rsidRPr="00015EE8" w14:paraId="02E13F7F" w14:textId="77777777" w:rsidTr="007B5887">
        <w:trPr>
          <w:cantSplit/>
        </w:trPr>
        <w:tc>
          <w:tcPr>
            <w:tcW w:w="27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523FE" w14:textId="77777777" w:rsidR="0089230F" w:rsidRPr="00015EE8" w:rsidRDefault="0089230F" w:rsidP="007E54D9">
            <w:pPr>
              <w:spacing w:before="120" w:after="120"/>
              <w:contextualSpacing/>
              <w:jc w:val="both"/>
              <w:rPr>
                <w:rFonts w:ascii="Arial" w:hAnsi="Arial" w:cs="Arial"/>
                <w:sz w:val="18"/>
                <w:szCs w:val="18"/>
                <w:lang w:val="en-GB"/>
              </w:rPr>
            </w:pPr>
            <w:r w:rsidRPr="00015EE8">
              <w:rPr>
                <w:rFonts w:ascii="Arial" w:hAnsi="Arial" w:cs="Arial"/>
                <w:sz w:val="18"/>
                <w:szCs w:val="18"/>
                <w:lang w:val="en-GB"/>
              </w:rPr>
              <w:t>For the period 1 January 2020 to 31 December 2021, as well as for the period 1 January to 30 June 2022, the resources of the Intangible Cultural Heritage Fund may be used for the following purposes:</w:t>
            </w:r>
          </w:p>
        </w:tc>
        <w:tc>
          <w:tcPr>
            <w:tcW w:w="810" w:type="pct"/>
            <w:tcBorders>
              <w:top w:val="single" w:sz="4" w:space="0" w:color="auto"/>
              <w:left w:val="single" w:sz="4" w:space="0" w:color="auto"/>
              <w:bottom w:val="single" w:sz="4" w:space="0" w:color="auto"/>
              <w:right w:val="single" w:sz="4" w:space="0" w:color="auto"/>
            </w:tcBorders>
            <w:vAlign w:val="center"/>
          </w:tcPr>
          <w:p w14:paraId="3C327FEB" w14:textId="77777777" w:rsidR="0089230F" w:rsidRPr="00015EE8" w:rsidRDefault="0089230F" w:rsidP="007E54D9">
            <w:pPr>
              <w:spacing w:before="120" w:after="120"/>
              <w:contextualSpacing/>
              <w:jc w:val="center"/>
              <w:rPr>
                <w:sz w:val="18"/>
                <w:szCs w:val="18"/>
                <w:lang w:val="en-GB"/>
              </w:rPr>
            </w:pPr>
            <w:r w:rsidRPr="00015EE8">
              <w:rPr>
                <w:rFonts w:ascii="Arial" w:hAnsi="Arial" w:cs="Arial"/>
                <w:sz w:val="18"/>
                <w:szCs w:val="18"/>
                <w:lang w:val="en-GB"/>
              </w:rPr>
              <w:t>% of the total amount proposed 2020–2021</w:t>
            </w:r>
            <w:r w:rsidRPr="00015EE8">
              <w:rPr>
                <w:rStyle w:val="FootnoteReference"/>
                <w:rFonts w:ascii="Arial" w:hAnsi="Arial" w:cs="Arial"/>
                <w:sz w:val="18"/>
                <w:szCs w:val="18"/>
                <w:lang w:val="en-GB"/>
              </w:rPr>
              <w:footnoteReference w:id="1"/>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7862407F" w14:textId="77777777" w:rsidR="0089230F" w:rsidRPr="00015EE8" w:rsidRDefault="0089230F" w:rsidP="007E54D9">
            <w:pPr>
              <w:spacing w:before="120" w:after="120"/>
              <w:contextualSpacing/>
              <w:jc w:val="center"/>
              <w:rPr>
                <w:rFonts w:ascii="Arial" w:hAnsi="Arial" w:cs="Arial"/>
                <w:sz w:val="18"/>
                <w:szCs w:val="18"/>
                <w:lang w:val="en-GB"/>
              </w:rPr>
            </w:pPr>
            <w:r w:rsidRPr="00015EE8">
              <w:rPr>
                <w:rFonts w:ascii="Arial" w:hAnsi="Arial" w:cs="Arial"/>
                <w:sz w:val="18"/>
                <w:szCs w:val="18"/>
                <w:lang w:val="en-GB"/>
              </w:rPr>
              <w:t>Indicative amounts</w:t>
            </w:r>
            <w:r w:rsidRPr="00015EE8">
              <w:rPr>
                <w:rFonts w:ascii="Arial" w:hAnsi="Arial" w:cs="Arial"/>
                <w:sz w:val="18"/>
                <w:szCs w:val="18"/>
                <w:lang w:val="en-GB"/>
              </w:rPr>
              <w:br/>
              <w:t>2020–2021</w:t>
            </w:r>
          </w:p>
        </w:tc>
        <w:tc>
          <w:tcPr>
            <w:tcW w:w="735" w:type="pct"/>
            <w:tcBorders>
              <w:top w:val="dashed" w:sz="4" w:space="0" w:color="auto"/>
              <w:left w:val="dashed" w:sz="4" w:space="0" w:color="auto"/>
              <w:bottom w:val="dashed" w:sz="4" w:space="0" w:color="auto"/>
              <w:right w:val="dashed" w:sz="4" w:space="0" w:color="auto"/>
            </w:tcBorders>
            <w:vAlign w:val="center"/>
          </w:tcPr>
          <w:p w14:paraId="6C513814" w14:textId="77777777" w:rsidR="0089230F" w:rsidRPr="00015EE8" w:rsidRDefault="0089230F" w:rsidP="007E54D9">
            <w:pPr>
              <w:spacing w:before="120" w:after="120"/>
              <w:contextualSpacing/>
              <w:jc w:val="center"/>
              <w:rPr>
                <w:rFonts w:ascii="Arial" w:hAnsi="Arial" w:cs="Arial"/>
                <w:sz w:val="18"/>
                <w:szCs w:val="18"/>
                <w:lang w:val="en-GB"/>
              </w:rPr>
            </w:pPr>
            <w:r w:rsidRPr="00015EE8">
              <w:rPr>
                <w:rFonts w:ascii="Arial" w:hAnsi="Arial" w:cs="Arial"/>
                <w:sz w:val="18"/>
                <w:szCs w:val="18"/>
                <w:lang w:val="en-GB"/>
              </w:rPr>
              <w:t>Indicative amounts</w:t>
            </w:r>
            <w:r w:rsidRPr="00015EE8">
              <w:rPr>
                <w:rFonts w:ascii="Arial" w:hAnsi="Arial" w:cs="Arial"/>
                <w:sz w:val="18"/>
                <w:szCs w:val="18"/>
                <w:lang w:val="en-GB"/>
              </w:rPr>
              <w:br/>
              <w:t>Jan–June 2022</w:t>
            </w:r>
          </w:p>
        </w:tc>
      </w:tr>
      <w:tr w:rsidR="0089230F" w:rsidRPr="00015EE8" w14:paraId="7F3B3290"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D91BA"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1.</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38DC54F4"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International Assistance, comprising the safeguarding of the heritage inscribed on the List of Intangible Cultural Heritage in Need of Urgent Safeguarding, the preparation of inventories and support for other safeguarding programmes, projects and activities;</w:t>
            </w:r>
          </w:p>
        </w:tc>
        <w:tc>
          <w:tcPr>
            <w:tcW w:w="810" w:type="pct"/>
            <w:tcBorders>
              <w:top w:val="single" w:sz="4" w:space="0" w:color="auto"/>
              <w:left w:val="single" w:sz="4" w:space="0" w:color="auto"/>
              <w:bottom w:val="single" w:sz="4" w:space="0" w:color="auto"/>
              <w:right w:val="single" w:sz="4" w:space="0" w:color="auto"/>
            </w:tcBorders>
            <w:vAlign w:val="center"/>
          </w:tcPr>
          <w:p w14:paraId="77B3F0F3"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51.96%</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4D2F9216"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$4,073,861</w:t>
            </w:r>
          </w:p>
        </w:tc>
        <w:tc>
          <w:tcPr>
            <w:tcW w:w="735" w:type="pct"/>
            <w:tcBorders>
              <w:top w:val="dashed" w:sz="4" w:space="0" w:color="auto"/>
              <w:left w:val="dashed" w:sz="4" w:space="0" w:color="auto"/>
              <w:bottom w:val="dashed" w:sz="4" w:space="0" w:color="auto"/>
              <w:right w:val="dashed" w:sz="4" w:space="0" w:color="auto"/>
            </w:tcBorders>
            <w:vAlign w:val="center"/>
          </w:tcPr>
          <w:p w14:paraId="350440EA"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$1,018,465</w:t>
            </w:r>
          </w:p>
        </w:tc>
      </w:tr>
      <w:tr w:rsidR="0089230F" w:rsidRPr="00015EE8" w14:paraId="6621AEB7"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0FAB30"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1.1</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7D270110" w14:textId="77777777" w:rsidR="0089230F" w:rsidRPr="00015EE8" w:rsidRDefault="0089230F" w:rsidP="007E54D9">
            <w:pPr>
              <w:spacing w:before="120" w:after="120"/>
              <w:ind w:right="-1"/>
              <w:contextualSpacing/>
              <w:rPr>
                <w:rFonts w:ascii="Arial" w:hAnsi="Arial" w:cs="Arial"/>
                <w:sz w:val="18"/>
                <w:szCs w:val="18"/>
                <w:lang w:val="en-GB"/>
              </w:rPr>
            </w:pPr>
            <w:r w:rsidRPr="00015EE8">
              <w:rPr>
                <w:rFonts w:ascii="Arial" w:hAnsi="Arial" w:cs="Arial"/>
                <w:sz w:val="18"/>
                <w:szCs w:val="18"/>
                <w:lang w:val="en-GB"/>
              </w:rPr>
              <w:t>Enhancing human resources to improve the implementation of the International Assistance mechanisms through three extra-budgetary fixed-term posts (one P3, one P2 and one G5);</w:t>
            </w:r>
          </w:p>
        </w:tc>
        <w:tc>
          <w:tcPr>
            <w:tcW w:w="810" w:type="pct"/>
            <w:tcBorders>
              <w:top w:val="single" w:sz="4" w:space="0" w:color="auto"/>
              <w:left w:val="single" w:sz="4" w:space="0" w:color="auto"/>
              <w:bottom w:val="single" w:sz="4" w:space="0" w:color="auto"/>
              <w:right w:val="single" w:sz="4" w:space="0" w:color="auto"/>
            </w:tcBorders>
            <w:vAlign w:val="center"/>
          </w:tcPr>
          <w:p w14:paraId="5C60BE98"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10.79%</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067CA9C2"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$845,977</w:t>
            </w:r>
          </w:p>
        </w:tc>
        <w:tc>
          <w:tcPr>
            <w:tcW w:w="735" w:type="pct"/>
            <w:tcBorders>
              <w:top w:val="dashed" w:sz="4" w:space="0" w:color="auto"/>
              <w:left w:val="dashed" w:sz="4" w:space="0" w:color="auto"/>
              <w:bottom w:val="dashed" w:sz="4" w:space="0" w:color="auto"/>
              <w:right w:val="dashed" w:sz="4" w:space="0" w:color="auto"/>
            </w:tcBorders>
            <w:vAlign w:val="center"/>
          </w:tcPr>
          <w:p w14:paraId="77893776"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$211,494</w:t>
            </w:r>
          </w:p>
        </w:tc>
      </w:tr>
      <w:tr w:rsidR="0089230F" w:rsidRPr="00015EE8" w14:paraId="4A12107C"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87E45"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2.</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5350E419"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Preparatory assistance for International Assistance requests, as well as for nomination files for the Urgent Safeguarding List and for proposals for the Register of Good Safeguarding Practices;</w:t>
            </w:r>
          </w:p>
        </w:tc>
        <w:tc>
          <w:tcPr>
            <w:tcW w:w="810" w:type="pct"/>
            <w:tcBorders>
              <w:top w:val="single" w:sz="4" w:space="0" w:color="auto"/>
              <w:left w:val="single" w:sz="4" w:space="0" w:color="auto"/>
              <w:bottom w:val="single" w:sz="4" w:space="0" w:color="auto"/>
              <w:right w:val="single" w:sz="4" w:space="0" w:color="auto"/>
            </w:tcBorders>
            <w:vAlign w:val="center"/>
          </w:tcPr>
          <w:p w14:paraId="614B746A"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2.00%</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26BDDE7A"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$156,808</w:t>
            </w:r>
          </w:p>
        </w:tc>
        <w:tc>
          <w:tcPr>
            <w:tcW w:w="735" w:type="pct"/>
            <w:tcBorders>
              <w:top w:val="dashed" w:sz="4" w:space="0" w:color="auto"/>
              <w:left w:val="dashed" w:sz="4" w:space="0" w:color="auto"/>
              <w:bottom w:val="dashed" w:sz="4" w:space="0" w:color="auto"/>
              <w:right w:val="dashed" w:sz="4" w:space="0" w:color="auto"/>
            </w:tcBorders>
            <w:vAlign w:val="center"/>
          </w:tcPr>
          <w:p w14:paraId="5D0CAB3C"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$39,202</w:t>
            </w:r>
          </w:p>
        </w:tc>
      </w:tr>
      <w:tr w:rsidR="0089230F" w:rsidRPr="00015EE8" w14:paraId="659E8373"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0F5045"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3.</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10873E23"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 xml:space="preserve">Other functions of the Committee, as described in Article 7 of the Convention, aimed at promoting the objectives of the Convention and encouraging and monitoring its implementation, in particular by strengthening capacities to effectively safeguard intangible cultural heritage, raising awareness of the importance of such heritage, providing guidance on good safeguarding practices and updating and publishing the Lists and the Register of Good Safeguarding Practices: </w:t>
            </w:r>
          </w:p>
        </w:tc>
        <w:tc>
          <w:tcPr>
            <w:tcW w:w="810" w:type="pct"/>
            <w:tcBorders>
              <w:top w:val="single" w:sz="4" w:space="0" w:color="auto"/>
              <w:left w:val="single" w:sz="4" w:space="0" w:color="auto"/>
              <w:bottom w:val="single" w:sz="4" w:space="0" w:color="auto"/>
              <w:right w:val="single" w:sz="4" w:space="0" w:color="auto"/>
            </w:tcBorders>
            <w:vAlign w:val="center"/>
          </w:tcPr>
          <w:p w14:paraId="2F677ABD"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20.00%</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2FDC7D14"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$1,568,076</w:t>
            </w:r>
          </w:p>
        </w:tc>
        <w:tc>
          <w:tcPr>
            <w:tcW w:w="735" w:type="pct"/>
            <w:tcBorders>
              <w:top w:val="dashed" w:sz="4" w:space="0" w:color="auto"/>
              <w:left w:val="dashed" w:sz="4" w:space="0" w:color="auto"/>
              <w:bottom w:val="dashed" w:sz="4" w:space="0" w:color="auto"/>
              <w:right w:val="dashed" w:sz="4" w:space="0" w:color="auto"/>
            </w:tcBorders>
            <w:vAlign w:val="center"/>
          </w:tcPr>
          <w:p w14:paraId="38B728A1"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$392,019</w:t>
            </w:r>
          </w:p>
        </w:tc>
      </w:tr>
      <w:tr w:rsidR="0089230F" w:rsidRPr="00015EE8" w14:paraId="21603C6C"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D25C040" w14:textId="77777777" w:rsidR="0089230F" w:rsidRPr="00015EE8" w:rsidRDefault="0089230F" w:rsidP="007E54D9">
            <w:pPr>
              <w:spacing w:before="120" w:after="120"/>
              <w:contextualSpacing/>
              <w:rPr>
                <w:rFonts w:ascii="Arial" w:hAnsi="Arial" w:cs="Arial"/>
                <w:i/>
                <w:iCs/>
                <w:sz w:val="18"/>
                <w:szCs w:val="18"/>
                <w:lang w:val="en-GB"/>
              </w:rPr>
            </w:pPr>
          </w:p>
        </w:tc>
        <w:tc>
          <w:tcPr>
            <w:tcW w:w="23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C4D192F" w14:textId="77777777" w:rsidR="0089230F" w:rsidRPr="00015EE8" w:rsidRDefault="0089230F" w:rsidP="007E54D9">
            <w:pPr>
              <w:spacing w:before="120" w:after="120"/>
              <w:ind w:left="250"/>
              <w:contextualSpacing/>
              <w:rPr>
                <w:rFonts w:ascii="Arial" w:hAnsi="Arial" w:cs="Arial"/>
                <w:i/>
                <w:iCs/>
                <w:sz w:val="16"/>
                <w:szCs w:val="16"/>
                <w:lang w:val="en-GB"/>
              </w:rPr>
            </w:pPr>
            <w:r w:rsidRPr="00015EE8">
              <w:rPr>
                <w:rFonts w:ascii="Arial" w:hAnsi="Arial" w:cs="Arial"/>
                <w:b/>
                <w:bCs/>
                <w:i/>
                <w:iCs/>
                <w:sz w:val="16"/>
                <w:szCs w:val="16"/>
                <w:lang w:val="en-GB"/>
              </w:rPr>
              <w:t>ER 1:</w:t>
            </w:r>
            <w:r w:rsidRPr="00015EE8">
              <w:rPr>
                <w:rFonts w:ascii="Arial" w:hAnsi="Arial" w:cs="Arial"/>
                <w:i/>
                <w:iCs/>
                <w:sz w:val="16"/>
                <w:szCs w:val="16"/>
                <w:lang w:val="en-GB"/>
              </w:rPr>
              <w:t xml:space="preserve"> Sound governance of the 2003 Convention facilitated by enhanced monitoring and knowledge management services;</w:t>
            </w:r>
          </w:p>
        </w:tc>
        <w:tc>
          <w:tcPr>
            <w:tcW w:w="8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4CC1A49"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5.4%</w:t>
            </w:r>
          </w:p>
          <w:p w14:paraId="15191FE4"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(27% of line 3)</w:t>
            </w:r>
          </w:p>
        </w:tc>
        <w:tc>
          <w:tcPr>
            <w:tcW w:w="691"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7FE9183C"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$423,380</w:t>
            </w:r>
          </w:p>
        </w:tc>
        <w:tc>
          <w:tcPr>
            <w:tcW w:w="73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2C53AEA8"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$105,845</w:t>
            </w:r>
          </w:p>
        </w:tc>
      </w:tr>
      <w:tr w:rsidR="0089230F" w:rsidRPr="00015EE8" w14:paraId="2DBFEF29"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03FAC977" w14:textId="77777777" w:rsidR="0089230F" w:rsidRPr="00015EE8" w:rsidRDefault="0089230F" w:rsidP="007E54D9">
            <w:pPr>
              <w:spacing w:before="120" w:after="120"/>
              <w:contextualSpacing/>
              <w:rPr>
                <w:rFonts w:ascii="Arial" w:hAnsi="Arial" w:cs="Arial"/>
                <w:i/>
                <w:iCs/>
                <w:sz w:val="18"/>
                <w:szCs w:val="18"/>
                <w:lang w:val="en-GB"/>
              </w:rPr>
            </w:pPr>
          </w:p>
        </w:tc>
        <w:tc>
          <w:tcPr>
            <w:tcW w:w="23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70F7F9F" w14:textId="77777777" w:rsidR="0089230F" w:rsidRPr="00015EE8" w:rsidRDefault="0089230F" w:rsidP="007E54D9">
            <w:pPr>
              <w:spacing w:before="120" w:after="120"/>
              <w:ind w:left="250"/>
              <w:contextualSpacing/>
              <w:rPr>
                <w:rFonts w:ascii="Arial" w:hAnsi="Arial" w:cs="Arial"/>
                <w:i/>
                <w:iCs/>
                <w:sz w:val="16"/>
                <w:szCs w:val="16"/>
                <w:lang w:val="en-GB"/>
              </w:rPr>
            </w:pPr>
            <w:r w:rsidRPr="00015EE8">
              <w:rPr>
                <w:rFonts w:ascii="Arial" w:hAnsi="Arial" w:cs="Arial"/>
                <w:b/>
                <w:bCs/>
                <w:i/>
                <w:iCs/>
                <w:sz w:val="16"/>
                <w:szCs w:val="16"/>
                <w:lang w:val="en-GB"/>
              </w:rPr>
              <w:t>ER 2:</w:t>
            </w:r>
            <w:r w:rsidRPr="00015EE8">
              <w:rPr>
                <w:rFonts w:ascii="Arial" w:hAnsi="Arial" w:cs="Arial"/>
                <w:i/>
                <w:iCs/>
                <w:sz w:val="16"/>
                <w:szCs w:val="16"/>
                <w:lang w:val="en-GB"/>
              </w:rPr>
              <w:t xml:space="preserve"> Implementation of the Convention in Member States encouraged through a strengthened capacity-building programme;</w:t>
            </w:r>
          </w:p>
        </w:tc>
        <w:tc>
          <w:tcPr>
            <w:tcW w:w="8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89FC2BD"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6.6%</w:t>
            </w:r>
          </w:p>
          <w:p w14:paraId="63FEAD8A"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(33% of line 3)</w:t>
            </w:r>
          </w:p>
        </w:tc>
        <w:tc>
          <w:tcPr>
            <w:tcW w:w="691"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3C548204"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$517,465</w:t>
            </w:r>
          </w:p>
        </w:tc>
        <w:tc>
          <w:tcPr>
            <w:tcW w:w="73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110CA919"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$129,366</w:t>
            </w:r>
          </w:p>
        </w:tc>
      </w:tr>
      <w:tr w:rsidR="0089230F" w:rsidRPr="00015EE8" w14:paraId="58FEA3C9"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746D1E2" w14:textId="77777777" w:rsidR="0089230F" w:rsidRPr="00015EE8" w:rsidRDefault="0089230F" w:rsidP="007E54D9">
            <w:pPr>
              <w:spacing w:before="120" w:after="120"/>
              <w:contextualSpacing/>
              <w:rPr>
                <w:rFonts w:ascii="Arial" w:hAnsi="Arial" w:cs="Arial"/>
                <w:i/>
                <w:iCs/>
                <w:sz w:val="18"/>
                <w:szCs w:val="18"/>
                <w:lang w:val="en-GB"/>
              </w:rPr>
            </w:pPr>
          </w:p>
        </w:tc>
        <w:tc>
          <w:tcPr>
            <w:tcW w:w="23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2EEAAB6" w14:textId="77777777" w:rsidR="0089230F" w:rsidRPr="00015EE8" w:rsidRDefault="0089230F" w:rsidP="007E54D9">
            <w:pPr>
              <w:spacing w:before="120" w:after="120"/>
              <w:ind w:left="250"/>
              <w:contextualSpacing/>
              <w:rPr>
                <w:rFonts w:ascii="Arial" w:hAnsi="Arial" w:cs="Arial"/>
                <w:i/>
                <w:iCs/>
                <w:sz w:val="16"/>
                <w:szCs w:val="16"/>
                <w:lang w:val="en-GB"/>
              </w:rPr>
            </w:pPr>
            <w:r w:rsidRPr="00015EE8">
              <w:rPr>
                <w:rFonts w:ascii="Arial" w:hAnsi="Arial" w:cs="Arial"/>
                <w:b/>
                <w:bCs/>
                <w:i/>
                <w:iCs/>
                <w:sz w:val="16"/>
                <w:szCs w:val="16"/>
                <w:lang w:val="en-GB"/>
              </w:rPr>
              <w:t>ER 3:</w:t>
            </w:r>
            <w:r w:rsidRPr="00015EE8">
              <w:rPr>
                <w:rFonts w:ascii="Arial" w:hAnsi="Arial" w:cs="Arial"/>
                <w:i/>
                <w:iCs/>
                <w:sz w:val="16"/>
                <w:szCs w:val="16"/>
                <w:lang w:val="en-GB"/>
              </w:rPr>
              <w:t xml:space="preserve"> Integration of intangible cultural heritage into development plans, policies and programmes supported;</w:t>
            </w:r>
          </w:p>
        </w:tc>
        <w:tc>
          <w:tcPr>
            <w:tcW w:w="8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917D945"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2.6%</w:t>
            </w:r>
          </w:p>
          <w:p w14:paraId="72F6D4AD"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(13% of line 3)</w:t>
            </w:r>
          </w:p>
        </w:tc>
        <w:tc>
          <w:tcPr>
            <w:tcW w:w="691"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0249DBED"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$203,850</w:t>
            </w:r>
          </w:p>
        </w:tc>
        <w:tc>
          <w:tcPr>
            <w:tcW w:w="73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686B5F0"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$50,962</w:t>
            </w:r>
          </w:p>
        </w:tc>
      </w:tr>
      <w:tr w:rsidR="0089230F" w:rsidRPr="00015EE8" w14:paraId="5E0E4110"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3BDE4091" w14:textId="77777777" w:rsidR="0089230F" w:rsidRPr="00015EE8" w:rsidRDefault="0089230F" w:rsidP="007E54D9">
            <w:pPr>
              <w:spacing w:before="120" w:after="120"/>
              <w:contextualSpacing/>
              <w:rPr>
                <w:rFonts w:ascii="Arial" w:hAnsi="Arial" w:cs="Arial"/>
                <w:i/>
                <w:iCs/>
                <w:sz w:val="18"/>
                <w:szCs w:val="18"/>
                <w:lang w:val="en-GB"/>
              </w:rPr>
            </w:pPr>
          </w:p>
        </w:tc>
        <w:tc>
          <w:tcPr>
            <w:tcW w:w="2325"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85FDFC1" w14:textId="77777777" w:rsidR="0089230F" w:rsidRPr="00015EE8" w:rsidRDefault="0089230F" w:rsidP="007E54D9">
            <w:pPr>
              <w:spacing w:before="120" w:after="120"/>
              <w:ind w:left="250"/>
              <w:contextualSpacing/>
              <w:rPr>
                <w:rFonts w:ascii="Arial" w:hAnsi="Arial" w:cs="Arial"/>
                <w:i/>
                <w:iCs/>
                <w:sz w:val="16"/>
                <w:szCs w:val="16"/>
                <w:lang w:val="en-GB"/>
              </w:rPr>
            </w:pPr>
            <w:r w:rsidRPr="00015EE8">
              <w:rPr>
                <w:rFonts w:ascii="Arial" w:hAnsi="Arial" w:cs="Arial"/>
                <w:b/>
                <w:bCs/>
                <w:i/>
                <w:iCs/>
                <w:sz w:val="16"/>
                <w:szCs w:val="16"/>
                <w:lang w:val="en-GB"/>
              </w:rPr>
              <w:t>ER 4:</w:t>
            </w:r>
            <w:r w:rsidRPr="00015EE8">
              <w:rPr>
                <w:rFonts w:ascii="Arial" w:hAnsi="Arial" w:cs="Arial"/>
                <w:i/>
                <w:iCs/>
                <w:sz w:val="16"/>
                <w:szCs w:val="16"/>
                <w:lang w:val="en-GB"/>
              </w:rPr>
              <w:t xml:space="preserve"> Objectives of the Convention promoted through awareness-raising and outreach;</w:t>
            </w:r>
          </w:p>
        </w:tc>
        <w:tc>
          <w:tcPr>
            <w:tcW w:w="810" w:type="pct"/>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17CA39"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5.4%</w:t>
            </w:r>
          </w:p>
          <w:p w14:paraId="38B5E81D"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(27% of line 3)</w:t>
            </w:r>
          </w:p>
        </w:tc>
        <w:tc>
          <w:tcPr>
            <w:tcW w:w="691" w:type="pct"/>
            <w:gridSpan w:val="2"/>
            <w:tcBorders>
              <w:top w:val="dashed" w:sz="4" w:space="0" w:color="auto"/>
              <w:left w:val="single" w:sz="4" w:space="0" w:color="auto"/>
              <w:bottom w:val="dashed" w:sz="4" w:space="0" w:color="auto"/>
              <w:right w:val="dashed" w:sz="4" w:space="0" w:color="auto"/>
            </w:tcBorders>
            <w:shd w:val="clear" w:color="auto" w:fill="E7E6E6" w:themeFill="background2"/>
            <w:vAlign w:val="center"/>
          </w:tcPr>
          <w:p w14:paraId="359680AB"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$423,381</w:t>
            </w:r>
          </w:p>
        </w:tc>
        <w:tc>
          <w:tcPr>
            <w:tcW w:w="735" w:type="pct"/>
            <w:tcBorders>
              <w:top w:val="dashed" w:sz="4" w:space="0" w:color="auto"/>
              <w:left w:val="dashed" w:sz="4" w:space="0" w:color="auto"/>
              <w:bottom w:val="dashed" w:sz="4" w:space="0" w:color="auto"/>
              <w:right w:val="dashed" w:sz="4" w:space="0" w:color="auto"/>
            </w:tcBorders>
            <w:shd w:val="clear" w:color="auto" w:fill="E7E6E6" w:themeFill="background2"/>
            <w:vAlign w:val="center"/>
          </w:tcPr>
          <w:p w14:paraId="69D2FBAE" w14:textId="77777777" w:rsidR="0089230F" w:rsidRPr="00015EE8" w:rsidRDefault="0089230F" w:rsidP="007E54D9">
            <w:pPr>
              <w:spacing w:before="60" w:after="60"/>
              <w:contextualSpacing/>
              <w:jc w:val="center"/>
              <w:rPr>
                <w:rFonts w:ascii="Arial" w:hAnsi="Arial" w:cs="Arial"/>
                <w:i/>
                <w:iCs/>
                <w:sz w:val="16"/>
                <w:szCs w:val="16"/>
                <w:lang w:val="en-GB"/>
              </w:rPr>
            </w:pPr>
            <w:r w:rsidRPr="00015EE8">
              <w:rPr>
                <w:rFonts w:ascii="Arial" w:hAnsi="Arial" w:cs="Arial"/>
                <w:i/>
                <w:iCs/>
                <w:sz w:val="16"/>
                <w:szCs w:val="16"/>
                <w:lang w:val="en-GB"/>
              </w:rPr>
              <w:t>$105,846</w:t>
            </w:r>
          </w:p>
        </w:tc>
      </w:tr>
      <w:tr w:rsidR="0089230F" w:rsidRPr="00015EE8" w14:paraId="42CA21D1"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2F081"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4.</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14318212"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Participation in the sessions of the Committee, its Bureau and subsidiary bodies of experts in intangible cultural heritage representing developing States that are Members of the Committee;</w:t>
            </w:r>
          </w:p>
        </w:tc>
        <w:tc>
          <w:tcPr>
            <w:tcW w:w="810" w:type="pct"/>
            <w:tcBorders>
              <w:top w:val="single" w:sz="4" w:space="0" w:color="auto"/>
              <w:left w:val="single" w:sz="4" w:space="0" w:color="auto"/>
              <w:bottom w:val="single" w:sz="4" w:space="0" w:color="auto"/>
              <w:right w:val="single" w:sz="4" w:space="0" w:color="auto"/>
            </w:tcBorders>
            <w:vAlign w:val="center"/>
          </w:tcPr>
          <w:p w14:paraId="4A57B405"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2.63%</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21A20899"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$206,202</w:t>
            </w:r>
          </w:p>
        </w:tc>
        <w:tc>
          <w:tcPr>
            <w:tcW w:w="735" w:type="pct"/>
            <w:tcBorders>
              <w:top w:val="dashed" w:sz="4" w:space="0" w:color="auto"/>
              <w:left w:val="dashed" w:sz="4" w:space="0" w:color="auto"/>
              <w:bottom w:val="dashed" w:sz="4" w:space="0" w:color="auto"/>
              <w:right w:val="dashed" w:sz="4" w:space="0" w:color="auto"/>
            </w:tcBorders>
            <w:vAlign w:val="center"/>
          </w:tcPr>
          <w:p w14:paraId="603094D2"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$51,550</w:t>
            </w:r>
          </w:p>
        </w:tc>
      </w:tr>
      <w:tr w:rsidR="0089230F" w:rsidRPr="00015EE8" w14:paraId="2F5419B7"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802D7C"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5.</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535DD0BA"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Participation in the sessions of the Committee and its consultative bodies of experts in intangible cultural heritage representing developing States that are Parties to the Convention but not Members of the Committee;</w:t>
            </w:r>
          </w:p>
        </w:tc>
        <w:tc>
          <w:tcPr>
            <w:tcW w:w="810" w:type="pct"/>
            <w:tcBorders>
              <w:top w:val="single" w:sz="4" w:space="0" w:color="auto"/>
              <w:left w:val="single" w:sz="4" w:space="0" w:color="auto"/>
              <w:bottom w:val="single" w:sz="4" w:space="0" w:color="auto"/>
              <w:right w:val="single" w:sz="4" w:space="0" w:color="auto"/>
            </w:tcBorders>
            <w:vAlign w:val="center"/>
          </w:tcPr>
          <w:p w14:paraId="511D51E0"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3.31%</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6CDAE433"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$259,516</w:t>
            </w:r>
          </w:p>
        </w:tc>
        <w:tc>
          <w:tcPr>
            <w:tcW w:w="735" w:type="pct"/>
            <w:tcBorders>
              <w:top w:val="dashed" w:sz="4" w:space="0" w:color="auto"/>
              <w:left w:val="dashed" w:sz="4" w:space="0" w:color="auto"/>
              <w:bottom w:val="dashed" w:sz="4" w:space="0" w:color="auto"/>
              <w:right w:val="dashed" w:sz="4" w:space="0" w:color="auto"/>
            </w:tcBorders>
            <w:vAlign w:val="center"/>
          </w:tcPr>
          <w:p w14:paraId="247172F6"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$64,879</w:t>
            </w:r>
          </w:p>
        </w:tc>
      </w:tr>
      <w:tr w:rsidR="0089230F" w:rsidRPr="00015EE8" w14:paraId="0E7346FB"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B4CDC"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6.</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5770636B"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Participation in the sessions of the Committee, its Bureau and consultative bodies of public or private bodies, private persons, notably members of communities and groups, that have been invited by the Committee to advise it on specific matters, as well as experts in intangible cultural heritage representing accredited NGOs from developing countries;</w:t>
            </w:r>
          </w:p>
        </w:tc>
        <w:tc>
          <w:tcPr>
            <w:tcW w:w="810" w:type="pct"/>
            <w:tcBorders>
              <w:top w:val="single" w:sz="4" w:space="0" w:color="auto"/>
              <w:left w:val="single" w:sz="4" w:space="0" w:color="auto"/>
              <w:bottom w:val="single" w:sz="4" w:space="0" w:color="auto"/>
              <w:right w:val="single" w:sz="4" w:space="0" w:color="auto"/>
            </w:tcBorders>
            <w:vAlign w:val="center"/>
          </w:tcPr>
          <w:p w14:paraId="0DA2F55D"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3.31%</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3FAB9D11"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$259,516</w:t>
            </w:r>
          </w:p>
        </w:tc>
        <w:tc>
          <w:tcPr>
            <w:tcW w:w="735" w:type="pct"/>
            <w:tcBorders>
              <w:top w:val="dashed" w:sz="4" w:space="0" w:color="auto"/>
              <w:left w:val="dashed" w:sz="4" w:space="0" w:color="auto"/>
              <w:bottom w:val="dashed" w:sz="4" w:space="0" w:color="auto"/>
              <w:right w:val="dashed" w:sz="4" w:space="0" w:color="auto"/>
            </w:tcBorders>
            <w:vAlign w:val="center"/>
          </w:tcPr>
          <w:p w14:paraId="35B57C6E"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$64,879</w:t>
            </w:r>
          </w:p>
        </w:tc>
      </w:tr>
      <w:tr w:rsidR="0089230F" w:rsidRPr="00015EE8" w14:paraId="6456BE3F"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76B571" w14:textId="77777777"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7.</w:t>
            </w: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201B9AFA" w14:textId="6D23FC04" w:rsidR="0089230F" w:rsidRPr="00015EE8" w:rsidRDefault="0089230F" w:rsidP="007E54D9">
            <w:pPr>
              <w:spacing w:before="120" w:after="120"/>
              <w:contextualSpacing/>
              <w:rPr>
                <w:rFonts w:ascii="Arial" w:hAnsi="Arial" w:cs="Arial"/>
                <w:sz w:val="18"/>
                <w:szCs w:val="18"/>
                <w:lang w:val="en-GB"/>
              </w:rPr>
            </w:pPr>
            <w:r w:rsidRPr="00015EE8">
              <w:rPr>
                <w:rFonts w:ascii="Arial" w:hAnsi="Arial" w:cs="Arial"/>
                <w:sz w:val="18"/>
                <w:szCs w:val="18"/>
                <w:lang w:val="en-GB"/>
              </w:rPr>
              <w:t>The costs of advisory services to be provided at the request of the Committee, including support to developing States whose representatives have been appointed to the Evaluation Body</w:t>
            </w:r>
            <w:r w:rsidR="00605D0F" w:rsidRPr="00015EE8">
              <w:rPr>
                <w:rFonts w:ascii="Arial" w:hAnsi="Arial" w:cs="Arial"/>
                <w:sz w:val="18"/>
                <w:szCs w:val="18"/>
                <w:lang w:val="en-GB"/>
              </w:rPr>
              <w:t>.</w:t>
            </w:r>
          </w:p>
        </w:tc>
        <w:tc>
          <w:tcPr>
            <w:tcW w:w="810" w:type="pct"/>
            <w:tcBorders>
              <w:top w:val="single" w:sz="4" w:space="0" w:color="auto"/>
              <w:left w:val="single" w:sz="4" w:space="0" w:color="auto"/>
              <w:bottom w:val="single" w:sz="4" w:space="0" w:color="auto"/>
              <w:right w:val="single" w:sz="4" w:space="0" w:color="auto"/>
            </w:tcBorders>
            <w:vAlign w:val="center"/>
          </w:tcPr>
          <w:p w14:paraId="5E152416"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6.00%</w:t>
            </w:r>
          </w:p>
        </w:tc>
        <w:tc>
          <w:tcPr>
            <w:tcW w:w="691" w:type="pct"/>
            <w:gridSpan w:val="2"/>
            <w:tcBorders>
              <w:top w:val="dashed" w:sz="4" w:space="0" w:color="auto"/>
              <w:left w:val="single" w:sz="4" w:space="0" w:color="auto"/>
              <w:bottom w:val="dashed" w:sz="4" w:space="0" w:color="auto"/>
              <w:right w:val="dashed" w:sz="4" w:space="0" w:color="auto"/>
            </w:tcBorders>
            <w:vAlign w:val="center"/>
          </w:tcPr>
          <w:p w14:paraId="6C1653D4"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$470,423</w:t>
            </w:r>
          </w:p>
        </w:tc>
        <w:tc>
          <w:tcPr>
            <w:tcW w:w="735" w:type="pct"/>
            <w:tcBorders>
              <w:top w:val="dashed" w:sz="4" w:space="0" w:color="auto"/>
              <w:left w:val="dashed" w:sz="4" w:space="0" w:color="auto"/>
              <w:bottom w:val="dashed" w:sz="4" w:space="0" w:color="auto"/>
              <w:right w:val="dashed" w:sz="4" w:space="0" w:color="auto"/>
            </w:tcBorders>
            <w:vAlign w:val="center"/>
          </w:tcPr>
          <w:p w14:paraId="2F9AE52D" w14:textId="77777777" w:rsidR="0089230F" w:rsidRPr="00015EE8" w:rsidRDefault="0089230F" w:rsidP="007E54D9">
            <w:pPr>
              <w:spacing w:before="60" w:after="60"/>
              <w:contextualSpacing/>
              <w:jc w:val="center"/>
              <w:rPr>
                <w:rFonts w:ascii="Arial" w:hAnsi="Arial" w:cs="Arial"/>
                <w:sz w:val="18"/>
                <w:szCs w:val="18"/>
                <w:lang w:val="en-GB"/>
              </w:rPr>
            </w:pPr>
            <w:r w:rsidRPr="00015EE8">
              <w:rPr>
                <w:rFonts w:ascii="Arial" w:hAnsi="Arial" w:cs="Arial"/>
                <w:sz w:val="18"/>
                <w:szCs w:val="18"/>
                <w:lang w:val="en-GB"/>
              </w:rPr>
              <w:t>$117,606</w:t>
            </w:r>
          </w:p>
        </w:tc>
      </w:tr>
      <w:tr w:rsidR="0089230F" w:rsidRPr="00015EE8" w14:paraId="132A67AA" w14:textId="77777777" w:rsidTr="007B5887">
        <w:trPr>
          <w:cantSplit/>
        </w:trPr>
        <w:tc>
          <w:tcPr>
            <w:tcW w:w="4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D5AFD" w14:textId="77777777" w:rsidR="0089230F" w:rsidRPr="00015EE8" w:rsidRDefault="0089230F" w:rsidP="007E54D9">
            <w:pPr>
              <w:spacing w:before="120" w:after="120"/>
              <w:contextualSpacing/>
              <w:rPr>
                <w:rFonts w:ascii="Arial" w:hAnsi="Arial" w:cs="Arial"/>
                <w:b/>
                <w:bCs/>
                <w:sz w:val="20"/>
                <w:szCs w:val="20"/>
                <w:lang w:val="en-GB"/>
              </w:rPr>
            </w:pPr>
          </w:p>
        </w:tc>
        <w:tc>
          <w:tcPr>
            <w:tcW w:w="2325" w:type="pct"/>
            <w:tcBorders>
              <w:top w:val="single" w:sz="4" w:space="0" w:color="auto"/>
              <w:left w:val="single" w:sz="4" w:space="0" w:color="auto"/>
              <w:bottom w:val="single" w:sz="4" w:space="0" w:color="auto"/>
              <w:right w:val="single" w:sz="4" w:space="0" w:color="auto"/>
            </w:tcBorders>
            <w:shd w:val="clear" w:color="auto" w:fill="auto"/>
            <w:vAlign w:val="center"/>
          </w:tcPr>
          <w:p w14:paraId="57288F86" w14:textId="77777777" w:rsidR="0089230F" w:rsidRPr="00015EE8" w:rsidRDefault="0089230F" w:rsidP="007E54D9">
            <w:pPr>
              <w:spacing w:before="120" w:after="120"/>
              <w:contextualSpacing/>
              <w:jc w:val="both"/>
              <w:rPr>
                <w:rFonts w:ascii="Arial" w:hAnsi="Arial" w:cs="Arial"/>
                <w:b/>
                <w:bCs/>
                <w:sz w:val="18"/>
                <w:szCs w:val="18"/>
                <w:lang w:val="en-GB"/>
              </w:rPr>
            </w:pPr>
            <w:r w:rsidRPr="00015EE8">
              <w:rPr>
                <w:rFonts w:ascii="Arial" w:hAnsi="Arial" w:cs="Arial"/>
                <w:b/>
                <w:bCs/>
                <w:sz w:val="18"/>
                <w:szCs w:val="18"/>
                <w:lang w:val="en-GB"/>
              </w:rPr>
              <w:t>TOTAL</w:t>
            </w:r>
          </w:p>
        </w:tc>
        <w:tc>
          <w:tcPr>
            <w:tcW w:w="810" w:type="pct"/>
            <w:tcBorders>
              <w:top w:val="single" w:sz="4" w:space="0" w:color="auto"/>
              <w:left w:val="single" w:sz="4" w:space="0" w:color="auto"/>
              <w:bottom w:val="single" w:sz="4" w:space="0" w:color="auto"/>
              <w:right w:val="single" w:sz="4" w:space="0" w:color="auto"/>
            </w:tcBorders>
            <w:vAlign w:val="center"/>
          </w:tcPr>
          <w:p w14:paraId="4A16EC02" w14:textId="77777777" w:rsidR="0089230F" w:rsidRPr="00015EE8" w:rsidRDefault="0089230F" w:rsidP="007E54D9">
            <w:pPr>
              <w:spacing w:before="60" w:after="60"/>
              <w:contextualSpacing/>
              <w:jc w:val="center"/>
              <w:rPr>
                <w:rFonts w:ascii="Arial" w:hAnsi="Arial" w:cs="Arial"/>
                <w:b/>
                <w:bCs/>
                <w:sz w:val="18"/>
                <w:szCs w:val="18"/>
                <w:lang w:val="en-GB"/>
              </w:rPr>
            </w:pPr>
            <w:r w:rsidRPr="00015EE8">
              <w:rPr>
                <w:rFonts w:ascii="Arial" w:hAnsi="Arial" w:cs="Arial"/>
                <w:b/>
                <w:bCs/>
                <w:sz w:val="18"/>
                <w:szCs w:val="18"/>
                <w:lang w:val="en-GB"/>
              </w:rPr>
              <w:t>100.00%</w:t>
            </w:r>
          </w:p>
        </w:tc>
        <w:tc>
          <w:tcPr>
            <w:tcW w:w="691" w:type="pct"/>
            <w:gridSpan w:val="2"/>
            <w:tcBorders>
              <w:top w:val="dashed" w:sz="4" w:space="0" w:color="auto"/>
              <w:left w:val="single" w:sz="4" w:space="0" w:color="auto"/>
              <w:bottom w:val="single" w:sz="4" w:space="0" w:color="auto"/>
              <w:right w:val="dashed" w:sz="4" w:space="0" w:color="auto"/>
            </w:tcBorders>
          </w:tcPr>
          <w:p w14:paraId="6C68EAE1" w14:textId="77777777" w:rsidR="0089230F" w:rsidRPr="00015EE8" w:rsidRDefault="0089230F" w:rsidP="007E54D9">
            <w:pPr>
              <w:spacing w:before="60" w:after="60"/>
              <w:contextualSpacing/>
              <w:jc w:val="center"/>
              <w:rPr>
                <w:rFonts w:ascii="Arial" w:hAnsi="Arial" w:cs="Arial"/>
                <w:b/>
                <w:bCs/>
                <w:sz w:val="18"/>
                <w:szCs w:val="18"/>
                <w:lang w:val="en-GB"/>
              </w:rPr>
            </w:pPr>
            <w:r w:rsidRPr="00015EE8">
              <w:rPr>
                <w:rFonts w:ascii="Arial" w:hAnsi="Arial" w:cs="Arial"/>
                <w:b/>
                <w:bCs/>
                <w:sz w:val="18"/>
                <w:szCs w:val="18"/>
                <w:lang w:val="en-GB"/>
              </w:rPr>
              <w:t>$7,840,379</w:t>
            </w:r>
          </w:p>
        </w:tc>
        <w:tc>
          <w:tcPr>
            <w:tcW w:w="735" w:type="pct"/>
            <w:tcBorders>
              <w:top w:val="dashed" w:sz="4" w:space="0" w:color="auto"/>
              <w:left w:val="dashed" w:sz="4" w:space="0" w:color="auto"/>
              <w:bottom w:val="single" w:sz="4" w:space="0" w:color="auto"/>
              <w:right w:val="dashed" w:sz="4" w:space="0" w:color="auto"/>
            </w:tcBorders>
          </w:tcPr>
          <w:p w14:paraId="1007B7FF" w14:textId="77777777" w:rsidR="0089230F" w:rsidRPr="00015EE8" w:rsidRDefault="0089230F" w:rsidP="007E54D9">
            <w:pPr>
              <w:spacing w:before="60" w:after="60"/>
              <w:contextualSpacing/>
              <w:jc w:val="center"/>
              <w:rPr>
                <w:rFonts w:ascii="Arial" w:hAnsi="Arial" w:cs="Arial"/>
                <w:b/>
                <w:bCs/>
                <w:sz w:val="18"/>
                <w:szCs w:val="18"/>
                <w:lang w:val="en-GB"/>
              </w:rPr>
            </w:pPr>
            <w:r w:rsidRPr="00015EE8">
              <w:rPr>
                <w:rFonts w:ascii="Arial" w:hAnsi="Arial" w:cs="Arial"/>
                <w:b/>
                <w:bCs/>
                <w:sz w:val="18"/>
                <w:szCs w:val="18"/>
                <w:lang w:val="en-GB"/>
              </w:rPr>
              <w:t>$1,960,095</w:t>
            </w:r>
          </w:p>
        </w:tc>
      </w:tr>
      <w:tr w:rsidR="007B5887" w:rsidRPr="00CB223B" w14:paraId="55C169ED" w14:textId="77777777" w:rsidTr="007B5887">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CD796CF" w14:textId="77777777" w:rsidR="007B5887" w:rsidRPr="00015EE8" w:rsidRDefault="007B5887" w:rsidP="007B5887">
            <w:pPr>
              <w:spacing w:before="60" w:after="60"/>
              <w:contextualSpacing/>
              <w:rPr>
                <w:rFonts w:ascii="Arial" w:hAnsi="Arial" w:cs="Arial"/>
                <w:b/>
                <w:bCs/>
                <w:sz w:val="18"/>
                <w:szCs w:val="18"/>
                <w:lang w:val="en-GB"/>
              </w:rPr>
            </w:pPr>
            <w:r w:rsidRPr="00015EE8">
              <w:rPr>
                <w:rFonts w:ascii="Arial" w:hAnsi="Arial" w:cs="Arial"/>
                <w:sz w:val="18"/>
                <w:szCs w:val="18"/>
                <w:lang w:val="en-GB"/>
              </w:rPr>
              <w:t>Funds that have not been committed at the end of the period of this Plan are carried over to the next financial period and shall be allocated in accordance with the Plan approved by the General Assembly at that time.</w:t>
            </w:r>
          </w:p>
        </w:tc>
      </w:tr>
      <w:tr w:rsidR="007B5887" w:rsidRPr="00CB223B" w14:paraId="201C20EC" w14:textId="77777777" w:rsidTr="007B5887">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809840F" w14:textId="77777777" w:rsidR="007B5887" w:rsidRPr="00015EE8" w:rsidRDefault="007B5887" w:rsidP="007B5887">
            <w:pPr>
              <w:spacing w:before="60" w:after="60"/>
              <w:contextualSpacing/>
              <w:rPr>
                <w:rFonts w:ascii="Arial" w:hAnsi="Arial" w:cs="Arial"/>
                <w:b/>
                <w:bCs/>
                <w:sz w:val="18"/>
                <w:szCs w:val="18"/>
                <w:lang w:val="en-GB"/>
              </w:rPr>
            </w:pPr>
            <w:r w:rsidRPr="00015EE8">
              <w:rPr>
                <w:rFonts w:ascii="Arial" w:hAnsi="Arial" w:cs="Arial"/>
                <w:sz w:val="18"/>
                <w:szCs w:val="18"/>
                <w:lang w:val="en-GB"/>
              </w:rPr>
              <w:t>For the period 1 January 2022 to 30 June 2022, one-fourth of the amount established for the twenty-four months of the financial period 2020–2021 shall be allocated on a provisional basis, except for the Reserve Fund, whose amount was set by the Committee at US$1 million (Decision 10.COM 8).</w:t>
            </w:r>
          </w:p>
        </w:tc>
      </w:tr>
    </w:tbl>
    <w:p w14:paraId="7227BFBE" w14:textId="77777777" w:rsidR="00622067" w:rsidRPr="00015EE8" w:rsidRDefault="00622067" w:rsidP="00622067">
      <w:pPr>
        <w:rPr>
          <w:lang w:val="en-GB"/>
        </w:rPr>
      </w:pPr>
    </w:p>
    <w:p w14:paraId="79F3DD32" w14:textId="7CDA33B5" w:rsidR="00622067" w:rsidRPr="00015EE8" w:rsidRDefault="00FD07EB" w:rsidP="00FD07EB">
      <w:pPr>
        <w:pStyle w:val="NoSpacing"/>
        <w:spacing w:before="360" w:after="240"/>
        <w:jc w:val="center"/>
        <w:rPr>
          <w:rFonts w:ascii="Arial" w:hAnsi="Arial" w:cs="Arial"/>
          <w:b/>
          <w:lang w:val="en-US"/>
        </w:rPr>
      </w:pPr>
      <w:r w:rsidRPr="00015EE8">
        <w:rPr>
          <w:rFonts w:ascii="Arial" w:hAnsi="Arial" w:cs="Arial"/>
          <w:b/>
          <w:lang w:val="en-US"/>
        </w:rPr>
        <w:t>ANNEX</w:t>
      </w:r>
      <w:r w:rsidR="00622067" w:rsidRPr="00015EE8">
        <w:rPr>
          <w:rFonts w:ascii="Arial" w:hAnsi="Arial" w:cs="Arial"/>
          <w:b/>
          <w:lang w:val="en-US"/>
        </w:rPr>
        <w:t xml:space="preserve"> II</w:t>
      </w:r>
    </w:p>
    <w:p w14:paraId="1B79CD10" w14:textId="77777777" w:rsidR="00622067" w:rsidRPr="00015EE8" w:rsidRDefault="00622067" w:rsidP="00622067">
      <w:pPr>
        <w:pStyle w:val="NoSpacing"/>
        <w:jc w:val="center"/>
        <w:rPr>
          <w:rFonts w:ascii="Arial" w:hAnsi="Arial" w:cs="Arial"/>
          <w:b/>
          <w:lang w:val="en-US"/>
        </w:rPr>
      </w:pPr>
    </w:p>
    <w:p w14:paraId="2ABCA911" w14:textId="18880CB5" w:rsidR="00622067" w:rsidRPr="00015EE8" w:rsidRDefault="006A7A56" w:rsidP="00622067">
      <w:pPr>
        <w:pStyle w:val="NoSpacing"/>
        <w:jc w:val="center"/>
        <w:rPr>
          <w:rFonts w:ascii="Arial" w:hAnsi="Arial" w:cs="Arial"/>
          <w:b/>
          <w:lang w:val="en-US"/>
        </w:rPr>
      </w:pPr>
      <w:r w:rsidRPr="00015EE8">
        <w:rPr>
          <w:rFonts w:ascii="Arial" w:hAnsi="Arial" w:cs="Arial"/>
          <w:b/>
          <w:lang w:val="en-US"/>
        </w:rPr>
        <w:t>R</w:t>
      </w:r>
      <w:r w:rsidR="00622067" w:rsidRPr="00015EE8">
        <w:rPr>
          <w:rFonts w:ascii="Arial" w:hAnsi="Arial" w:cs="Arial"/>
          <w:b/>
          <w:lang w:val="en-US"/>
        </w:rPr>
        <w:t>evised Financial Regulations of the Special Account for</w:t>
      </w:r>
    </w:p>
    <w:p w14:paraId="22AECB3E" w14:textId="77777777" w:rsidR="00622067" w:rsidRPr="00015EE8" w:rsidRDefault="00622067" w:rsidP="00622067">
      <w:pPr>
        <w:pStyle w:val="NoSpacing"/>
        <w:spacing w:after="480"/>
        <w:jc w:val="center"/>
        <w:rPr>
          <w:rFonts w:ascii="Arial" w:hAnsi="Arial" w:cs="Arial"/>
          <w:b/>
          <w:lang w:val="en-US"/>
        </w:rPr>
      </w:pPr>
      <w:r w:rsidRPr="00015EE8">
        <w:rPr>
          <w:rFonts w:ascii="Arial" w:hAnsi="Arial" w:cs="Arial"/>
          <w:b/>
          <w:lang w:val="en-US"/>
        </w:rPr>
        <w:t xml:space="preserve"> the Fund for the Safeguarding of the Intangible Cultural Heritage in line with the Model Financial Regulations for Special Account related to Conventions endorsed by the UNESCO Executive Board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622067" w:rsidRPr="00CB223B" w14:paraId="2063434A" w14:textId="77777777" w:rsidTr="008D4191">
        <w:tc>
          <w:tcPr>
            <w:tcW w:w="1413" w:type="dxa"/>
          </w:tcPr>
          <w:p w14:paraId="26B7C9BD" w14:textId="77777777" w:rsidR="00622067" w:rsidRPr="00015EE8" w:rsidRDefault="00622067" w:rsidP="007E54D9">
            <w:pPr>
              <w:pStyle w:val="NoSpacing"/>
              <w:spacing w:before="240" w:after="240"/>
              <w:jc w:val="right"/>
              <w:rPr>
                <w:rFonts w:ascii="Arial" w:hAnsi="Arial" w:cs="Arial"/>
                <w:b/>
                <w:bCs/>
                <w:lang w:val="en-US"/>
              </w:rPr>
            </w:pPr>
            <w:r w:rsidRPr="00015EE8">
              <w:rPr>
                <w:rFonts w:ascii="Arial" w:hAnsi="Arial" w:cs="Arial"/>
                <w:b/>
                <w:bCs/>
                <w:lang w:val="en-GB"/>
              </w:rPr>
              <w:t>Article 1</w:t>
            </w:r>
          </w:p>
        </w:tc>
        <w:tc>
          <w:tcPr>
            <w:tcW w:w="8215" w:type="dxa"/>
          </w:tcPr>
          <w:p w14:paraId="73C324AF" w14:textId="77777777" w:rsidR="00622067" w:rsidRPr="00015EE8" w:rsidRDefault="00622067" w:rsidP="008D4191">
            <w:pPr>
              <w:pStyle w:val="NoSpacing"/>
              <w:spacing w:before="240" w:after="240"/>
              <w:jc w:val="both"/>
              <w:rPr>
                <w:rFonts w:ascii="Arial" w:hAnsi="Arial" w:cs="Arial"/>
                <w:b/>
                <w:bCs/>
                <w:lang w:val="en-US"/>
              </w:rPr>
            </w:pPr>
            <w:r w:rsidRPr="00015EE8">
              <w:rPr>
                <w:rFonts w:ascii="Arial" w:hAnsi="Arial" w:cs="Arial"/>
                <w:b/>
                <w:bCs/>
                <w:lang w:val="en-US"/>
              </w:rPr>
              <w:t>Creation of a Special Account</w:t>
            </w:r>
          </w:p>
        </w:tc>
      </w:tr>
      <w:tr w:rsidR="00622067" w:rsidRPr="00CB223B" w14:paraId="1C70C5FE" w14:textId="77777777" w:rsidTr="008D4191">
        <w:tc>
          <w:tcPr>
            <w:tcW w:w="1413" w:type="dxa"/>
          </w:tcPr>
          <w:p w14:paraId="1B192F26" w14:textId="77777777" w:rsidR="00622067" w:rsidRPr="00015EE8" w:rsidRDefault="00622067" w:rsidP="007E54D9">
            <w:pPr>
              <w:pStyle w:val="NoSpacing"/>
              <w:spacing w:after="240"/>
              <w:jc w:val="right"/>
              <w:rPr>
                <w:rFonts w:ascii="Arial" w:hAnsi="Arial" w:cs="Arial"/>
                <w:bCs/>
                <w:lang w:val="en-US"/>
              </w:rPr>
            </w:pPr>
            <w:r w:rsidRPr="00015EE8">
              <w:rPr>
                <w:rFonts w:ascii="Arial" w:hAnsi="Arial" w:cs="Arial"/>
                <w:bCs/>
                <w:lang w:val="en-US"/>
              </w:rPr>
              <w:t>1.1</w:t>
            </w:r>
          </w:p>
        </w:tc>
        <w:tc>
          <w:tcPr>
            <w:tcW w:w="8215" w:type="dxa"/>
          </w:tcPr>
          <w:p w14:paraId="3032804D"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lang w:val="en-US"/>
              </w:rPr>
              <w:t xml:space="preserve">Article 25 of the Convention for the Safeguarding of the Intangible Cultural Heritage (hereinafter referred to as the ‘Convention’) establishes a Fund called the Fund for the Safeguarding of the Intangible Cultural Heritage (hereinafter referred to as the ‘Fund’). </w:t>
            </w:r>
          </w:p>
        </w:tc>
      </w:tr>
      <w:tr w:rsidR="00622067" w:rsidRPr="00CB223B" w14:paraId="7A277DF5" w14:textId="77777777" w:rsidTr="008D4191">
        <w:tc>
          <w:tcPr>
            <w:tcW w:w="1413" w:type="dxa"/>
          </w:tcPr>
          <w:p w14:paraId="2D6867B5" w14:textId="77777777" w:rsidR="00622067" w:rsidRPr="00015EE8" w:rsidRDefault="00622067" w:rsidP="007E54D9">
            <w:pPr>
              <w:pStyle w:val="NoSpacing"/>
              <w:spacing w:after="240"/>
              <w:jc w:val="right"/>
              <w:rPr>
                <w:rFonts w:ascii="Arial" w:hAnsi="Arial" w:cs="Arial"/>
                <w:b/>
                <w:lang w:val="en-US"/>
              </w:rPr>
            </w:pPr>
            <w:r w:rsidRPr="00015EE8">
              <w:rPr>
                <w:rFonts w:ascii="Arial" w:hAnsi="Arial" w:cs="Arial"/>
                <w:spacing w:val="-3"/>
                <w:lang w:val="en-US" w:eastAsia="en-GB"/>
              </w:rPr>
              <w:t>1.2</w:t>
            </w:r>
          </w:p>
        </w:tc>
        <w:tc>
          <w:tcPr>
            <w:tcW w:w="8215" w:type="dxa"/>
          </w:tcPr>
          <w:p w14:paraId="195F5AB5"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 xml:space="preserve">In accordance with Article 25 of the Convention and Article 6, paragraphs 5 and 6, of the Financial Regulations of UNESCO, there is hereby created a Special Account for </w:t>
            </w:r>
            <w:r w:rsidRPr="00015EE8">
              <w:rPr>
                <w:rFonts w:ascii="Arial" w:hAnsi="Arial" w:cs="Arial"/>
                <w:lang w:val="en-US"/>
              </w:rPr>
              <w:t>the Fund for the Safeguarding of the Intangible Cultural Heritage (hereinafter referred to as the ‘Special Account’).</w:t>
            </w:r>
          </w:p>
        </w:tc>
      </w:tr>
      <w:tr w:rsidR="00622067" w:rsidRPr="00CB223B" w14:paraId="6CC269F4" w14:textId="77777777" w:rsidTr="008D4191">
        <w:tc>
          <w:tcPr>
            <w:tcW w:w="1413" w:type="dxa"/>
          </w:tcPr>
          <w:p w14:paraId="581826A6" w14:textId="77777777" w:rsidR="00622067" w:rsidRPr="00015EE8" w:rsidRDefault="00622067" w:rsidP="007E54D9">
            <w:pPr>
              <w:pStyle w:val="NoSpacing"/>
              <w:spacing w:after="240"/>
              <w:jc w:val="right"/>
              <w:rPr>
                <w:rFonts w:ascii="Arial" w:hAnsi="Arial" w:cs="Arial"/>
                <w:b/>
                <w:lang w:val="en-US"/>
              </w:rPr>
            </w:pPr>
            <w:r w:rsidRPr="00015EE8">
              <w:rPr>
                <w:rFonts w:ascii="Arial" w:hAnsi="Arial" w:cs="Arial"/>
                <w:spacing w:val="-3"/>
                <w:lang w:val="en-US" w:eastAsia="en-GB"/>
              </w:rPr>
              <w:t>1.3</w:t>
            </w:r>
          </w:p>
        </w:tc>
        <w:tc>
          <w:tcPr>
            <w:tcW w:w="8215" w:type="dxa"/>
          </w:tcPr>
          <w:p w14:paraId="318F97E1"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The following regulations shall govern the operation of the Special Account.</w:t>
            </w:r>
          </w:p>
        </w:tc>
      </w:tr>
      <w:tr w:rsidR="00622067" w:rsidRPr="00015EE8" w14:paraId="555CE357" w14:textId="77777777" w:rsidTr="008D4191">
        <w:tc>
          <w:tcPr>
            <w:tcW w:w="1413" w:type="dxa"/>
          </w:tcPr>
          <w:p w14:paraId="79679FF6" w14:textId="77777777" w:rsidR="00622067" w:rsidRPr="00015EE8" w:rsidRDefault="00622067" w:rsidP="007E54D9">
            <w:pPr>
              <w:pStyle w:val="NoSpacing"/>
              <w:spacing w:before="240" w:after="240"/>
              <w:jc w:val="right"/>
              <w:rPr>
                <w:rFonts w:ascii="Arial" w:hAnsi="Arial" w:cs="Arial"/>
                <w:b/>
                <w:lang w:val="en-US"/>
              </w:rPr>
            </w:pPr>
            <w:r w:rsidRPr="00015EE8">
              <w:rPr>
                <w:rFonts w:ascii="Arial" w:hAnsi="Arial" w:cs="Arial"/>
                <w:b/>
                <w:bCs/>
                <w:spacing w:val="-3"/>
                <w:lang w:eastAsia="en-GB"/>
              </w:rPr>
              <w:t>Article 2</w:t>
            </w:r>
          </w:p>
        </w:tc>
        <w:tc>
          <w:tcPr>
            <w:tcW w:w="8215" w:type="dxa"/>
          </w:tcPr>
          <w:p w14:paraId="177096FB" w14:textId="77777777" w:rsidR="00622067" w:rsidRPr="00015EE8" w:rsidRDefault="00622067" w:rsidP="008D4191">
            <w:pPr>
              <w:pStyle w:val="NoSpacing"/>
              <w:spacing w:before="240"/>
              <w:jc w:val="both"/>
              <w:rPr>
                <w:rFonts w:ascii="Arial" w:hAnsi="Arial" w:cs="Arial"/>
                <w:b/>
                <w:lang w:val="en-US"/>
              </w:rPr>
            </w:pPr>
            <w:r w:rsidRPr="00015EE8">
              <w:rPr>
                <w:rFonts w:ascii="Arial" w:hAnsi="Arial" w:cs="Arial"/>
                <w:b/>
                <w:bCs/>
                <w:lang w:val="en-GB"/>
              </w:rPr>
              <w:t>Financial</w:t>
            </w:r>
            <w:r w:rsidRPr="00015EE8">
              <w:rPr>
                <w:rFonts w:ascii="Arial" w:hAnsi="Arial" w:cs="Arial"/>
                <w:b/>
                <w:lang w:val="en-US"/>
              </w:rPr>
              <w:t xml:space="preserve"> period</w:t>
            </w:r>
          </w:p>
        </w:tc>
      </w:tr>
      <w:tr w:rsidR="00622067" w:rsidRPr="00CB223B" w14:paraId="5202C4DD" w14:textId="77777777" w:rsidTr="008D4191">
        <w:tc>
          <w:tcPr>
            <w:tcW w:w="1413" w:type="dxa"/>
          </w:tcPr>
          <w:p w14:paraId="678A575F"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spacing w:val="-3"/>
                <w:lang w:val="en-US" w:eastAsia="en-GB"/>
              </w:rPr>
              <w:t>2.1</w:t>
            </w:r>
          </w:p>
        </w:tc>
        <w:tc>
          <w:tcPr>
            <w:tcW w:w="8215" w:type="dxa"/>
          </w:tcPr>
          <w:p w14:paraId="4146BE63"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The financial period for budget estimates shall be two consecutive calendar years beginning with an even-numbered year.</w:t>
            </w:r>
          </w:p>
        </w:tc>
      </w:tr>
      <w:tr w:rsidR="00622067" w:rsidRPr="00CB223B" w14:paraId="25F8B162" w14:textId="77777777" w:rsidTr="008D4191">
        <w:tc>
          <w:tcPr>
            <w:tcW w:w="1413" w:type="dxa"/>
          </w:tcPr>
          <w:p w14:paraId="4F473783"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spacing w:val="-3"/>
                <w:lang w:val="en-US" w:eastAsia="en-GB"/>
              </w:rPr>
              <w:t>2.2</w:t>
            </w:r>
          </w:p>
        </w:tc>
        <w:tc>
          <w:tcPr>
            <w:tcW w:w="8215" w:type="dxa"/>
          </w:tcPr>
          <w:p w14:paraId="7A2985A3"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spacing w:val="-3"/>
                <w:lang w:val="en-US" w:eastAsia="en-GB"/>
              </w:rPr>
              <w:t>The financial period for accounting shall be an annual calendar year.</w:t>
            </w:r>
          </w:p>
        </w:tc>
      </w:tr>
      <w:tr w:rsidR="00622067" w:rsidRPr="00015EE8" w14:paraId="0F65724D" w14:textId="77777777" w:rsidTr="008D4191">
        <w:tc>
          <w:tcPr>
            <w:tcW w:w="1413" w:type="dxa"/>
          </w:tcPr>
          <w:p w14:paraId="50B9B71F" w14:textId="77777777" w:rsidR="00622067" w:rsidRPr="00015EE8" w:rsidRDefault="00622067" w:rsidP="007E54D9">
            <w:pPr>
              <w:pStyle w:val="NoSpacing"/>
              <w:spacing w:before="240" w:after="240"/>
              <w:jc w:val="right"/>
              <w:rPr>
                <w:rFonts w:ascii="Arial" w:hAnsi="Arial" w:cs="Arial"/>
                <w:b/>
                <w:lang w:val="en-US"/>
              </w:rPr>
            </w:pPr>
            <w:r w:rsidRPr="00015EE8">
              <w:rPr>
                <w:rFonts w:ascii="Arial" w:hAnsi="Arial" w:cs="Arial"/>
                <w:b/>
                <w:bCs/>
                <w:spacing w:val="-3"/>
                <w:lang w:eastAsia="en-GB"/>
              </w:rPr>
              <w:t>Article 3</w:t>
            </w:r>
          </w:p>
        </w:tc>
        <w:tc>
          <w:tcPr>
            <w:tcW w:w="8215" w:type="dxa"/>
          </w:tcPr>
          <w:p w14:paraId="7FB2F4C7" w14:textId="77777777" w:rsidR="00622067" w:rsidRPr="00015EE8" w:rsidRDefault="00622067" w:rsidP="008D4191">
            <w:pPr>
              <w:pStyle w:val="NoSpacing"/>
              <w:spacing w:before="240" w:after="240"/>
              <w:jc w:val="both"/>
              <w:rPr>
                <w:rFonts w:ascii="Arial" w:hAnsi="Arial" w:cs="Arial"/>
                <w:b/>
                <w:lang w:val="en-US"/>
              </w:rPr>
            </w:pPr>
            <w:r w:rsidRPr="00015EE8">
              <w:rPr>
                <w:rFonts w:ascii="Arial" w:hAnsi="Arial" w:cs="Arial"/>
                <w:b/>
                <w:lang w:val="en-US"/>
              </w:rPr>
              <w:t>Purpose</w:t>
            </w:r>
          </w:p>
        </w:tc>
      </w:tr>
      <w:tr w:rsidR="00622067" w:rsidRPr="00CB223B" w14:paraId="3BFDA29E" w14:textId="77777777" w:rsidTr="008D4191">
        <w:tc>
          <w:tcPr>
            <w:tcW w:w="1413" w:type="dxa"/>
          </w:tcPr>
          <w:p w14:paraId="41DEBF20" w14:textId="77777777" w:rsidR="00622067" w:rsidRPr="00015EE8" w:rsidRDefault="00622067" w:rsidP="007E54D9">
            <w:pPr>
              <w:pStyle w:val="NoSpacing"/>
              <w:spacing w:after="240"/>
              <w:jc w:val="right"/>
              <w:rPr>
                <w:rFonts w:ascii="Arial" w:hAnsi="Arial" w:cs="Arial"/>
                <w:b/>
                <w:lang w:val="en-US"/>
              </w:rPr>
            </w:pPr>
          </w:p>
        </w:tc>
        <w:tc>
          <w:tcPr>
            <w:tcW w:w="8215" w:type="dxa"/>
          </w:tcPr>
          <w:p w14:paraId="19570F96"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lang w:val="en-US"/>
              </w:rPr>
              <w:t>In accordance with Article 25 of the Convention, the purpose of this Special Account shall be to receive contributions from the sources indicated in Article 5.1 below and to make payments therefrom, to assist in the safeguarding of intangible cultural heritage in accordance with the terms of the Convention and the present Regulations.</w:t>
            </w:r>
          </w:p>
        </w:tc>
      </w:tr>
      <w:tr w:rsidR="00622067" w:rsidRPr="00015EE8" w14:paraId="3CDA04E8" w14:textId="77777777" w:rsidTr="008D4191">
        <w:tc>
          <w:tcPr>
            <w:tcW w:w="1413" w:type="dxa"/>
          </w:tcPr>
          <w:p w14:paraId="0C5458ED" w14:textId="77777777" w:rsidR="00622067" w:rsidRPr="00015EE8" w:rsidRDefault="00622067" w:rsidP="007E54D9">
            <w:pPr>
              <w:pStyle w:val="NoSpacing"/>
              <w:spacing w:before="240" w:after="240"/>
              <w:jc w:val="right"/>
              <w:rPr>
                <w:rFonts w:ascii="Arial" w:hAnsi="Arial" w:cs="Arial"/>
                <w:b/>
                <w:bCs/>
                <w:lang w:val="en-US"/>
              </w:rPr>
            </w:pPr>
            <w:r w:rsidRPr="00015EE8">
              <w:rPr>
                <w:rFonts w:ascii="Arial" w:hAnsi="Arial" w:cs="Arial"/>
                <w:b/>
                <w:bCs/>
                <w:spacing w:val="-3"/>
                <w:lang w:eastAsia="en-GB"/>
              </w:rPr>
              <w:t>Article 4</w:t>
            </w:r>
          </w:p>
        </w:tc>
        <w:tc>
          <w:tcPr>
            <w:tcW w:w="8215" w:type="dxa"/>
          </w:tcPr>
          <w:p w14:paraId="1AE42131" w14:textId="77777777" w:rsidR="00622067" w:rsidRPr="00015EE8" w:rsidRDefault="00622067" w:rsidP="008D4191">
            <w:pPr>
              <w:pStyle w:val="NoSpacing"/>
              <w:spacing w:before="240" w:after="240"/>
              <w:jc w:val="both"/>
              <w:rPr>
                <w:rFonts w:ascii="Arial" w:hAnsi="Arial" w:cs="Arial"/>
                <w:b/>
                <w:lang w:val="en-GB"/>
              </w:rPr>
            </w:pPr>
            <w:r w:rsidRPr="00015EE8">
              <w:rPr>
                <w:rFonts w:ascii="Arial" w:hAnsi="Arial" w:cs="Arial"/>
                <w:b/>
                <w:bCs/>
                <w:spacing w:val="-3"/>
                <w:lang w:val="en-GB" w:eastAsia="en-GB"/>
              </w:rPr>
              <w:t>Governance</w:t>
            </w:r>
          </w:p>
        </w:tc>
      </w:tr>
      <w:tr w:rsidR="00622067" w:rsidRPr="00CB223B" w14:paraId="6F01C3DC" w14:textId="77777777" w:rsidTr="008D4191">
        <w:tc>
          <w:tcPr>
            <w:tcW w:w="1413" w:type="dxa"/>
          </w:tcPr>
          <w:p w14:paraId="12FB034A"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spacing w:val="-3"/>
                <w:lang w:val="en-US" w:eastAsia="en-GB"/>
              </w:rPr>
              <w:t>4.1</w:t>
            </w:r>
          </w:p>
        </w:tc>
        <w:tc>
          <w:tcPr>
            <w:tcW w:w="8215" w:type="dxa"/>
          </w:tcPr>
          <w:p w14:paraId="42B9DA8A"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lang w:val="en-US" w:eastAsia="en-GB"/>
              </w:rPr>
              <w:t xml:space="preserve">The General Assembly of the States Parties </w:t>
            </w:r>
            <w:r w:rsidRPr="00015EE8">
              <w:rPr>
                <w:rFonts w:ascii="Arial" w:hAnsi="Arial" w:cs="Arial"/>
                <w:lang w:val="en-US"/>
              </w:rPr>
              <w:t xml:space="preserve">(hereinafter referred to as the </w:t>
            </w:r>
            <w:r w:rsidRPr="00015EE8">
              <w:rPr>
                <w:rFonts w:ascii="Arial" w:hAnsi="Arial" w:cs="Arial"/>
                <w:lang w:val="en-US" w:eastAsia="en-GB"/>
              </w:rPr>
              <w:t>‘General Assembly’) has authority over the appropriation of the resources under this Special Account.</w:t>
            </w:r>
          </w:p>
        </w:tc>
      </w:tr>
      <w:tr w:rsidR="00622067" w:rsidRPr="00CB223B" w14:paraId="021A7FF9" w14:textId="77777777" w:rsidTr="008D4191">
        <w:tc>
          <w:tcPr>
            <w:tcW w:w="1413" w:type="dxa"/>
          </w:tcPr>
          <w:p w14:paraId="31C3C60F" w14:textId="77777777" w:rsidR="00622067" w:rsidRPr="00015EE8" w:rsidRDefault="00622067" w:rsidP="007E54D9">
            <w:pPr>
              <w:pStyle w:val="NoSpacing"/>
              <w:spacing w:after="240"/>
              <w:jc w:val="right"/>
              <w:rPr>
                <w:rFonts w:ascii="Arial" w:hAnsi="Arial" w:cs="Arial"/>
                <w:spacing w:val="-3"/>
                <w:lang w:val="en-US" w:eastAsia="en-GB"/>
              </w:rPr>
            </w:pPr>
            <w:r w:rsidRPr="00015EE8">
              <w:rPr>
                <w:rFonts w:ascii="Arial" w:hAnsi="Arial" w:cs="Arial"/>
                <w:spacing w:val="-3"/>
                <w:lang w:val="en-US" w:eastAsia="en-GB"/>
              </w:rPr>
              <w:t>4.2</w:t>
            </w:r>
          </w:p>
        </w:tc>
        <w:tc>
          <w:tcPr>
            <w:tcW w:w="8215" w:type="dxa"/>
          </w:tcPr>
          <w:p w14:paraId="3E920018" w14:textId="77777777" w:rsidR="00622067" w:rsidRPr="00015EE8" w:rsidRDefault="00622067" w:rsidP="008D4191">
            <w:pPr>
              <w:pStyle w:val="NoSpacing"/>
              <w:spacing w:after="240"/>
              <w:jc w:val="both"/>
              <w:rPr>
                <w:rFonts w:ascii="Arial" w:hAnsi="Arial" w:cs="Arial"/>
                <w:lang w:val="en-US" w:eastAsia="en-GB"/>
              </w:rPr>
            </w:pPr>
            <w:r w:rsidRPr="00015EE8">
              <w:rPr>
                <w:rFonts w:ascii="Arial" w:hAnsi="Arial" w:cs="Arial"/>
                <w:lang w:val="en-US" w:eastAsia="en-GB"/>
              </w:rPr>
              <w:t>In accordance with Article 7 of the Convention, the Intergovernmental Committee for the Safeguarding of the Intangible Cultural Heritage (hereinafter referred to as the ‘Committee’) shall prepare and submit to the General Assembly for approval a draft plan for the use of the resources of the Fund, in accordance with Article 25 of the Convention.</w:t>
            </w:r>
          </w:p>
        </w:tc>
      </w:tr>
      <w:tr w:rsidR="00622067" w:rsidRPr="00CB223B" w14:paraId="786A5BB0" w14:textId="77777777" w:rsidTr="008D4191">
        <w:tc>
          <w:tcPr>
            <w:tcW w:w="1413" w:type="dxa"/>
          </w:tcPr>
          <w:p w14:paraId="4DAC3279"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spacing w:val="-3"/>
                <w:lang w:val="en-US" w:eastAsia="en-GB"/>
              </w:rPr>
              <w:t>4.3</w:t>
            </w:r>
          </w:p>
        </w:tc>
        <w:tc>
          <w:tcPr>
            <w:tcW w:w="8215" w:type="dxa"/>
          </w:tcPr>
          <w:p w14:paraId="62191C95"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lang w:val="en-US" w:eastAsia="en-GB"/>
              </w:rPr>
              <w:t>The Director-General shall manage and administer the funds of the Special Account in accordance with the text of the Convention</w:t>
            </w:r>
            <w:r w:rsidRPr="00015EE8">
              <w:rPr>
                <w:rFonts w:ascii="Arial" w:hAnsi="Arial" w:cs="Arial"/>
                <w:spacing w:val="-3"/>
                <w:lang w:val="en-US" w:eastAsia="en-GB"/>
              </w:rPr>
              <w:t>,</w:t>
            </w:r>
            <w:r w:rsidRPr="00015EE8">
              <w:rPr>
                <w:rFonts w:ascii="Arial" w:hAnsi="Arial" w:cs="Arial"/>
                <w:lang w:val="en-US" w:eastAsia="en-GB"/>
              </w:rPr>
              <w:t xml:space="preserve"> the Operational Directives, the decisions approved by the General Assembly and </w:t>
            </w:r>
            <w:r w:rsidRPr="00015EE8">
              <w:rPr>
                <w:rFonts w:ascii="Arial" w:hAnsi="Arial" w:cs="Arial"/>
                <w:lang w:val="en-US"/>
              </w:rPr>
              <w:t>the Committee</w:t>
            </w:r>
            <w:r w:rsidRPr="00015EE8">
              <w:rPr>
                <w:rFonts w:ascii="Arial" w:hAnsi="Arial" w:cs="Arial"/>
                <w:lang w:val="en-US" w:eastAsia="en-GB"/>
              </w:rPr>
              <w:t>, and the present Financial Regulations.</w:t>
            </w:r>
          </w:p>
        </w:tc>
      </w:tr>
      <w:tr w:rsidR="00622067" w:rsidRPr="00CB223B" w14:paraId="59D0D1FA" w14:textId="77777777" w:rsidTr="008D4191">
        <w:tc>
          <w:tcPr>
            <w:tcW w:w="1413" w:type="dxa"/>
          </w:tcPr>
          <w:p w14:paraId="234C6DCB"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spacing w:val="-3"/>
                <w:lang w:val="en-US" w:eastAsia="en-GB"/>
              </w:rPr>
              <w:t>4.4</w:t>
            </w:r>
          </w:p>
        </w:tc>
        <w:tc>
          <w:tcPr>
            <w:tcW w:w="8215" w:type="dxa"/>
          </w:tcPr>
          <w:p w14:paraId="461CCC27" w14:textId="77777777" w:rsidR="00622067" w:rsidRPr="00015EE8" w:rsidRDefault="00622067" w:rsidP="008D4191">
            <w:pPr>
              <w:spacing w:after="120"/>
              <w:ind w:left="-1" w:firstLine="2"/>
              <w:jc w:val="both"/>
              <w:rPr>
                <w:rFonts w:ascii="Arial" w:hAnsi="Arial" w:cs="Arial"/>
                <w:sz w:val="22"/>
                <w:szCs w:val="22"/>
                <w:lang w:val="en-US" w:eastAsia="en-GB"/>
              </w:rPr>
            </w:pPr>
            <w:r w:rsidRPr="00015EE8">
              <w:rPr>
                <w:rFonts w:ascii="Arial" w:hAnsi="Arial" w:cs="Arial"/>
                <w:sz w:val="22"/>
                <w:szCs w:val="22"/>
                <w:lang w:val="en-US" w:eastAsia="en-GB"/>
              </w:rPr>
              <w:t>The Director-General shall, every two years, submit to the</w:t>
            </w:r>
            <w:r w:rsidRPr="00015EE8">
              <w:rPr>
                <w:rFonts w:ascii="Arial" w:hAnsi="Arial" w:cs="Arial"/>
                <w:spacing w:val="-3"/>
                <w:sz w:val="22"/>
                <w:szCs w:val="22"/>
                <w:lang w:val="en-US" w:eastAsia="en-GB"/>
              </w:rPr>
              <w:t xml:space="preserve"> General Assembly and the Committee </w:t>
            </w:r>
            <w:r w:rsidRPr="00015EE8">
              <w:rPr>
                <w:rFonts w:ascii="Arial" w:hAnsi="Arial" w:cs="Arial"/>
                <w:sz w:val="22"/>
                <w:szCs w:val="22"/>
                <w:lang w:val="en-US"/>
              </w:rPr>
              <w:t xml:space="preserve">narrative and financial reports </w:t>
            </w:r>
            <w:r w:rsidRPr="00015EE8">
              <w:rPr>
                <w:rFonts w:ascii="Arial" w:hAnsi="Arial" w:cs="Arial"/>
                <w:sz w:val="22"/>
                <w:szCs w:val="22"/>
                <w:lang w:val="en-US" w:eastAsia="en-GB"/>
              </w:rPr>
              <w:t>as indicated under Article 10 below.</w:t>
            </w:r>
          </w:p>
        </w:tc>
      </w:tr>
      <w:tr w:rsidR="00622067" w:rsidRPr="00015EE8" w14:paraId="4AA56C63" w14:textId="77777777" w:rsidTr="008D4191">
        <w:tc>
          <w:tcPr>
            <w:tcW w:w="1413" w:type="dxa"/>
          </w:tcPr>
          <w:p w14:paraId="3B144D8B" w14:textId="77777777" w:rsidR="00622067" w:rsidRPr="00015EE8" w:rsidRDefault="00622067" w:rsidP="007E54D9">
            <w:pPr>
              <w:pStyle w:val="NoSpacing"/>
              <w:keepNext/>
              <w:spacing w:before="240" w:after="240"/>
              <w:jc w:val="right"/>
              <w:rPr>
                <w:rFonts w:ascii="Arial" w:hAnsi="Arial" w:cs="Arial"/>
                <w:b/>
                <w:bCs/>
                <w:lang w:val="en-US"/>
              </w:rPr>
            </w:pPr>
            <w:r w:rsidRPr="00015EE8">
              <w:rPr>
                <w:rFonts w:ascii="Arial" w:hAnsi="Arial" w:cs="Arial"/>
                <w:b/>
                <w:bCs/>
                <w:spacing w:val="-3"/>
                <w:lang w:eastAsia="en-GB"/>
              </w:rPr>
              <w:t>Article 5</w:t>
            </w:r>
          </w:p>
        </w:tc>
        <w:tc>
          <w:tcPr>
            <w:tcW w:w="8215" w:type="dxa"/>
          </w:tcPr>
          <w:p w14:paraId="14EFB2A7" w14:textId="77777777" w:rsidR="00622067" w:rsidRPr="00015EE8" w:rsidRDefault="00622067" w:rsidP="008D4191">
            <w:pPr>
              <w:pStyle w:val="NoSpacing"/>
              <w:keepNext/>
              <w:spacing w:before="240" w:after="240"/>
              <w:jc w:val="both"/>
              <w:rPr>
                <w:rFonts w:ascii="Arial" w:hAnsi="Arial" w:cs="Arial"/>
                <w:b/>
                <w:bCs/>
                <w:lang w:val="en-US"/>
              </w:rPr>
            </w:pPr>
            <w:r w:rsidRPr="00015EE8">
              <w:rPr>
                <w:rFonts w:ascii="Arial" w:hAnsi="Arial" w:cs="Arial"/>
                <w:b/>
                <w:bCs/>
                <w:lang w:val="en-US"/>
              </w:rPr>
              <w:t>Income</w:t>
            </w:r>
          </w:p>
        </w:tc>
      </w:tr>
      <w:tr w:rsidR="00622067" w:rsidRPr="00CB223B" w14:paraId="55C64C5D" w14:textId="77777777" w:rsidTr="008D4191">
        <w:tc>
          <w:tcPr>
            <w:tcW w:w="1413" w:type="dxa"/>
          </w:tcPr>
          <w:p w14:paraId="473BE2E3"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5.1</w:t>
            </w:r>
          </w:p>
        </w:tc>
        <w:tc>
          <w:tcPr>
            <w:tcW w:w="8215" w:type="dxa"/>
          </w:tcPr>
          <w:p w14:paraId="5F7BFEE5" w14:textId="77777777" w:rsidR="00622067" w:rsidRPr="00015EE8" w:rsidRDefault="00622067" w:rsidP="008D4191">
            <w:pPr>
              <w:spacing w:after="120"/>
              <w:jc w:val="both"/>
              <w:rPr>
                <w:rFonts w:ascii="Arial" w:hAnsi="Arial" w:cs="Arial"/>
                <w:sz w:val="22"/>
                <w:szCs w:val="22"/>
                <w:lang w:val="en-US"/>
              </w:rPr>
            </w:pPr>
            <w:r w:rsidRPr="00015EE8">
              <w:rPr>
                <w:rFonts w:ascii="Arial" w:hAnsi="Arial" w:cs="Arial"/>
                <w:sz w:val="22"/>
                <w:szCs w:val="22"/>
                <w:lang w:val="en-US"/>
              </w:rPr>
              <w:t>In accordance with Article 25.3 of the Convention, the income of the Special Account shall consist of:</w:t>
            </w:r>
          </w:p>
          <w:p w14:paraId="32EE8EA1"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iCs/>
                <w:spacing w:val="-3"/>
                <w:sz w:val="22"/>
                <w:szCs w:val="22"/>
                <w:lang w:val="en-GB" w:eastAsia="en-GB"/>
              </w:rPr>
            </w:pPr>
            <w:r w:rsidRPr="00015EE8">
              <w:rPr>
                <w:rFonts w:ascii="Arial" w:hAnsi="Arial" w:cs="Arial"/>
                <w:iCs/>
                <w:spacing w:val="-3"/>
                <w:sz w:val="22"/>
                <w:szCs w:val="22"/>
                <w:lang w:val="en-GB" w:eastAsia="en-GB"/>
              </w:rPr>
              <w:t>contributions made by States Parties;</w:t>
            </w:r>
          </w:p>
          <w:p w14:paraId="04E27E80"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iCs/>
                <w:spacing w:val="-3"/>
                <w:sz w:val="22"/>
                <w:szCs w:val="22"/>
                <w:lang w:val="en-GB" w:eastAsia="en-GB"/>
              </w:rPr>
            </w:pPr>
            <w:r w:rsidRPr="00015EE8">
              <w:rPr>
                <w:rFonts w:ascii="Arial" w:hAnsi="Arial" w:cs="Arial"/>
                <w:iCs/>
                <w:spacing w:val="-3"/>
                <w:sz w:val="22"/>
                <w:szCs w:val="22"/>
                <w:lang w:val="en-GB" w:eastAsia="en-GB"/>
              </w:rPr>
              <w:t>funds appropriated for this purpose by the General Conference of UNESCO;</w:t>
            </w:r>
          </w:p>
          <w:p w14:paraId="001B96F9"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iCs/>
                <w:spacing w:val="-3"/>
                <w:sz w:val="22"/>
                <w:szCs w:val="22"/>
                <w:lang w:val="en-GB" w:eastAsia="en-GB"/>
              </w:rPr>
            </w:pPr>
            <w:r w:rsidRPr="00015EE8">
              <w:rPr>
                <w:rFonts w:ascii="Arial" w:hAnsi="Arial" w:cs="Arial"/>
                <w:iCs/>
                <w:spacing w:val="-3"/>
                <w:sz w:val="22"/>
                <w:szCs w:val="22"/>
                <w:lang w:val="en-GB" w:eastAsia="en-GB"/>
              </w:rPr>
              <w:t>contributions, gifts or bequests, which may be made by:</w:t>
            </w:r>
          </w:p>
          <w:p w14:paraId="3D7B70D9" w14:textId="77777777" w:rsidR="00622067" w:rsidRPr="00015EE8" w:rsidRDefault="00622067" w:rsidP="008D4191">
            <w:pPr>
              <w:pStyle w:val="ListParagraph"/>
              <w:numPr>
                <w:ilvl w:val="0"/>
                <w:numId w:val="11"/>
              </w:numPr>
              <w:tabs>
                <w:tab w:val="left" w:pos="746"/>
              </w:tabs>
              <w:snapToGrid w:val="0"/>
              <w:spacing w:after="60"/>
              <w:contextualSpacing w:val="0"/>
              <w:jc w:val="both"/>
              <w:rPr>
                <w:rFonts w:ascii="Arial" w:hAnsi="Arial" w:cs="Arial"/>
                <w:sz w:val="22"/>
                <w:szCs w:val="22"/>
                <w:lang w:val="en-US"/>
              </w:rPr>
            </w:pPr>
            <w:r w:rsidRPr="00015EE8">
              <w:rPr>
                <w:rFonts w:ascii="Arial" w:hAnsi="Arial" w:cs="Arial"/>
                <w:sz w:val="22"/>
                <w:szCs w:val="22"/>
                <w:lang w:val="en-US"/>
              </w:rPr>
              <w:t>other States;</w:t>
            </w:r>
          </w:p>
          <w:p w14:paraId="43A51CFC" w14:textId="77777777" w:rsidR="00622067" w:rsidRPr="00015EE8" w:rsidRDefault="00622067" w:rsidP="008D4191">
            <w:pPr>
              <w:pStyle w:val="ListParagraph"/>
              <w:numPr>
                <w:ilvl w:val="0"/>
                <w:numId w:val="11"/>
              </w:numPr>
              <w:tabs>
                <w:tab w:val="left" w:pos="746"/>
              </w:tabs>
              <w:snapToGrid w:val="0"/>
              <w:spacing w:after="60"/>
              <w:ind w:left="746" w:hanging="425"/>
              <w:contextualSpacing w:val="0"/>
              <w:jc w:val="both"/>
              <w:rPr>
                <w:rFonts w:ascii="Arial" w:hAnsi="Arial" w:cs="Arial"/>
                <w:sz w:val="22"/>
                <w:szCs w:val="22"/>
                <w:lang w:val="en-US"/>
              </w:rPr>
            </w:pPr>
            <w:r w:rsidRPr="00015EE8">
              <w:rPr>
                <w:rFonts w:ascii="Arial" w:hAnsi="Arial" w:cs="Arial"/>
                <w:sz w:val="22"/>
                <w:szCs w:val="22"/>
                <w:lang w:val="en-US"/>
              </w:rPr>
              <w:t xml:space="preserve">organizations and </w:t>
            </w:r>
            <w:proofErr w:type="spellStart"/>
            <w:r w:rsidRPr="00015EE8">
              <w:rPr>
                <w:rFonts w:ascii="Arial" w:hAnsi="Arial" w:cs="Arial"/>
                <w:sz w:val="22"/>
                <w:szCs w:val="22"/>
                <w:lang w:val="en-US"/>
              </w:rPr>
              <w:t>programmes</w:t>
            </w:r>
            <w:proofErr w:type="spellEnd"/>
            <w:r w:rsidRPr="00015EE8">
              <w:rPr>
                <w:rFonts w:ascii="Arial" w:hAnsi="Arial" w:cs="Arial"/>
                <w:sz w:val="22"/>
                <w:szCs w:val="22"/>
                <w:lang w:val="en-US"/>
              </w:rPr>
              <w:t xml:space="preserve"> of the United Nations system, particularly the United Nations Development </w:t>
            </w:r>
            <w:proofErr w:type="spellStart"/>
            <w:r w:rsidRPr="00015EE8">
              <w:rPr>
                <w:rFonts w:ascii="Arial" w:hAnsi="Arial" w:cs="Arial"/>
                <w:sz w:val="22"/>
                <w:szCs w:val="22"/>
                <w:lang w:val="en-US"/>
              </w:rPr>
              <w:t>Programme</w:t>
            </w:r>
            <w:proofErr w:type="spellEnd"/>
            <w:r w:rsidRPr="00015EE8">
              <w:rPr>
                <w:rFonts w:ascii="Arial" w:hAnsi="Arial" w:cs="Arial"/>
                <w:sz w:val="22"/>
                <w:szCs w:val="22"/>
                <w:lang w:val="en-US"/>
              </w:rPr>
              <w:t>, as well as other international organizations;</w:t>
            </w:r>
          </w:p>
          <w:p w14:paraId="3055C3D8" w14:textId="77777777" w:rsidR="00622067" w:rsidRPr="00015EE8" w:rsidRDefault="00622067" w:rsidP="008D4191">
            <w:pPr>
              <w:pStyle w:val="ListParagraph"/>
              <w:numPr>
                <w:ilvl w:val="0"/>
                <w:numId w:val="11"/>
              </w:numPr>
              <w:tabs>
                <w:tab w:val="left" w:pos="746"/>
              </w:tabs>
              <w:snapToGrid w:val="0"/>
              <w:spacing w:after="60"/>
              <w:ind w:left="746" w:hanging="425"/>
              <w:contextualSpacing w:val="0"/>
              <w:jc w:val="both"/>
              <w:rPr>
                <w:rFonts w:ascii="Arial" w:hAnsi="Arial" w:cs="Arial"/>
                <w:sz w:val="22"/>
                <w:szCs w:val="22"/>
                <w:lang w:val="en-US"/>
              </w:rPr>
            </w:pPr>
            <w:r w:rsidRPr="00015EE8">
              <w:rPr>
                <w:rFonts w:ascii="Arial" w:hAnsi="Arial" w:cs="Arial"/>
                <w:sz w:val="22"/>
                <w:szCs w:val="22"/>
                <w:lang w:val="en-US"/>
              </w:rPr>
              <w:t>public or private bodies or individuals;</w:t>
            </w:r>
          </w:p>
          <w:p w14:paraId="6546F634"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iCs/>
                <w:spacing w:val="-3"/>
                <w:sz w:val="22"/>
                <w:szCs w:val="22"/>
                <w:lang w:val="en-GB" w:eastAsia="en-GB"/>
              </w:rPr>
            </w:pPr>
            <w:r w:rsidRPr="00015EE8">
              <w:rPr>
                <w:rFonts w:ascii="Arial" w:hAnsi="Arial" w:cs="Arial"/>
                <w:iCs/>
                <w:spacing w:val="-3"/>
                <w:sz w:val="22"/>
                <w:szCs w:val="22"/>
                <w:lang w:val="en-GB" w:eastAsia="en-GB"/>
              </w:rPr>
              <w:t>any interest due on the resources of the Special Account;</w:t>
            </w:r>
          </w:p>
          <w:p w14:paraId="6E6026B1"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iCs/>
                <w:spacing w:val="-3"/>
                <w:sz w:val="22"/>
                <w:szCs w:val="22"/>
                <w:lang w:val="en-GB" w:eastAsia="en-GB"/>
              </w:rPr>
            </w:pPr>
            <w:r w:rsidRPr="00015EE8">
              <w:rPr>
                <w:rFonts w:ascii="Arial" w:hAnsi="Arial" w:cs="Arial"/>
                <w:iCs/>
                <w:spacing w:val="-3"/>
                <w:sz w:val="22"/>
                <w:szCs w:val="22"/>
                <w:lang w:val="en-GB" w:eastAsia="en-GB"/>
              </w:rPr>
              <w:t>funds raised through collections, and receipts from events organized for the benefit of the Special Account;</w:t>
            </w:r>
          </w:p>
          <w:p w14:paraId="79B95387" w14:textId="77777777" w:rsidR="00622067" w:rsidRPr="00015EE8" w:rsidRDefault="00622067" w:rsidP="008D4191">
            <w:pPr>
              <w:pStyle w:val="ListParagraph"/>
              <w:numPr>
                <w:ilvl w:val="0"/>
                <w:numId w:val="10"/>
              </w:numPr>
              <w:tabs>
                <w:tab w:val="left" w:pos="567"/>
              </w:tabs>
              <w:suppressAutoHyphens/>
              <w:snapToGrid w:val="0"/>
              <w:spacing w:after="60"/>
              <w:ind w:left="321"/>
              <w:contextualSpacing w:val="0"/>
              <w:jc w:val="both"/>
              <w:rPr>
                <w:rFonts w:ascii="Arial" w:hAnsi="Arial" w:cs="Arial"/>
                <w:sz w:val="22"/>
                <w:szCs w:val="22"/>
                <w:lang w:val="en-US"/>
              </w:rPr>
            </w:pPr>
            <w:r w:rsidRPr="00015EE8">
              <w:rPr>
                <w:rFonts w:ascii="Arial" w:hAnsi="Arial" w:cs="Arial"/>
                <w:iCs/>
                <w:spacing w:val="-3"/>
                <w:sz w:val="22"/>
                <w:szCs w:val="22"/>
                <w:lang w:val="en-GB" w:eastAsia="en-GB"/>
              </w:rPr>
              <w:t>any other resources authorized by the Committee.</w:t>
            </w:r>
          </w:p>
        </w:tc>
      </w:tr>
      <w:tr w:rsidR="00622067" w:rsidRPr="00CB223B" w14:paraId="18F64D84" w14:textId="77777777" w:rsidTr="008D4191">
        <w:tc>
          <w:tcPr>
            <w:tcW w:w="1413" w:type="dxa"/>
          </w:tcPr>
          <w:p w14:paraId="336C8266"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5.2</w:t>
            </w:r>
          </w:p>
        </w:tc>
        <w:tc>
          <w:tcPr>
            <w:tcW w:w="8215" w:type="dxa"/>
          </w:tcPr>
          <w:p w14:paraId="64D34B22" w14:textId="47CA7491" w:rsidR="00622067" w:rsidRPr="00015EE8" w:rsidRDefault="00622067" w:rsidP="008D4191">
            <w:pPr>
              <w:pStyle w:val="NoSpacing"/>
              <w:spacing w:after="240"/>
              <w:jc w:val="both"/>
              <w:rPr>
                <w:rFonts w:ascii="Arial" w:hAnsi="Arial" w:cs="Arial"/>
                <w:b/>
                <w:lang w:val="en-US"/>
              </w:rPr>
            </w:pPr>
            <w:r w:rsidRPr="00015EE8">
              <w:rPr>
                <w:rFonts w:ascii="Arial" w:hAnsi="Arial" w:cs="Arial"/>
                <w:lang w:val="en-US"/>
              </w:rPr>
              <w:t>As stipulated in Article 26.1 of the Convention, the contributions of States Parties which have not made the declaration referred to in Article 26.2 of the Convention shall be made according to the uniform percentage determined by the General Assembly.</w:t>
            </w:r>
          </w:p>
        </w:tc>
      </w:tr>
      <w:tr w:rsidR="00622067" w:rsidRPr="00015EE8" w14:paraId="5F7BE634" w14:textId="77777777" w:rsidTr="008D4191">
        <w:tc>
          <w:tcPr>
            <w:tcW w:w="1413" w:type="dxa"/>
          </w:tcPr>
          <w:p w14:paraId="3C088597" w14:textId="77777777" w:rsidR="00622067" w:rsidRPr="00015EE8" w:rsidRDefault="00622067" w:rsidP="007E54D9">
            <w:pPr>
              <w:pStyle w:val="NoSpacing"/>
              <w:spacing w:before="240" w:after="240"/>
              <w:jc w:val="right"/>
              <w:rPr>
                <w:rFonts w:ascii="Arial" w:hAnsi="Arial" w:cs="Arial"/>
                <w:b/>
                <w:bCs/>
                <w:lang w:val="en-US"/>
              </w:rPr>
            </w:pPr>
            <w:r w:rsidRPr="00015EE8">
              <w:rPr>
                <w:rFonts w:ascii="Arial" w:hAnsi="Arial" w:cs="Arial"/>
                <w:b/>
                <w:bCs/>
                <w:spacing w:val="-3"/>
                <w:lang w:eastAsia="en-GB"/>
              </w:rPr>
              <w:t>Article 6</w:t>
            </w:r>
          </w:p>
        </w:tc>
        <w:tc>
          <w:tcPr>
            <w:tcW w:w="8215" w:type="dxa"/>
          </w:tcPr>
          <w:p w14:paraId="2DF9B405" w14:textId="77777777" w:rsidR="00622067" w:rsidRPr="00015EE8" w:rsidRDefault="00622067" w:rsidP="008D4191">
            <w:pPr>
              <w:pStyle w:val="NoSpacing"/>
              <w:spacing w:before="240" w:after="240"/>
              <w:jc w:val="both"/>
              <w:rPr>
                <w:rFonts w:ascii="Arial" w:hAnsi="Arial" w:cs="Arial"/>
                <w:b/>
                <w:bCs/>
                <w:lang w:val="en-US"/>
              </w:rPr>
            </w:pPr>
            <w:r w:rsidRPr="00015EE8">
              <w:rPr>
                <w:rFonts w:ascii="Arial" w:hAnsi="Arial" w:cs="Arial"/>
                <w:b/>
                <w:bCs/>
                <w:lang w:val="en-US"/>
              </w:rPr>
              <w:t>Expenditure</w:t>
            </w:r>
          </w:p>
        </w:tc>
      </w:tr>
      <w:tr w:rsidR="00622067" w:rsidRPr="00CB223B" w14:paraId="7AEE606A" w14:textId="77777777" w:rsidTr="008D4191">
        <w:tc>
          <w:tcPr>
            <w:tcW w:w="1413" w:type="dxa"/>
          </w:tcPr>
          <w:p w14:paraId="2F3B302F"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6.1</w:t>
            </w:r>
          </w:p>
        </w:tc>
        <w:tc>
          <w:tcPr>
            <w:tcW w:w="8215" w:type="dxa"/>
          </w:tcPr>
          <w:p w14:paraId="0CB44602"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spacing w:val="-3"/>
                <w:lang w:val="en-GB" w:eastAsia="en-GB"/>
              </w:rPr>
              <w:t>The use of the resources of the Special Account shall be approved by the General Assembly on a biennial basis.</w:t>
            </w:r>
          </w:p>
        </w:tc>
      </w:tr>
      <w:tr w:rsidR="00622067" w:rsidRPr="00CB223B" w14:paraId="68F61D0C" w14:textId="77777777" w:rsidTr="008D4191">
        <w:tc>
          <w:tcPr>
            <w:tcW w:w="1413" w:type="dxa"/>
          </w:tcPr>
          <w:p w14:paraId="25F5AA5C"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6.2</w:t>
            </w:r>
          </w:p>
        </w:tc>
        <w:tc>
          <w:tcPr>
            <w:tcW w:w="8215" w:type="dxa"/>
          </w:tcPr>
          <w:p w14:paraId="5C955BF8"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spacing w:val="-3"/>
                <w:lang w:val="en-GB" w:eastAsia="en-GB"/>
              </w:rPr>
              <w:t>The Special Account shall be debited with the expenditure relating to its purpose as described in Article 3 above, including administrative expenses specifically relating to it and management costs applicable.</w:t>
            </w:r>
          </w:p>
        </w:tc>
      </w:tr>
      <w:tr w:rsidR="00622067" w:rsidRPr="00CB223B" w14:paraId="2E019DA5" w14:textId="77777777" w:rsidTr="008D4191">
        <w:tc>
          <w:tcPr>
            <w:tcW w:w="1413" w:type="dxa"/>
          </w:tcPr>
          <w:p w14:paraId="44C53B09"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6.3</w:t>
            </w:r>
          </w:p>
        </w:tc>
        <w:tc>
          <w:tcPr>
            <w:tcW w:w="8215" w:type="dxa"/>
          </w:tcPr>
          <w:p w14:paraId="5D76B4C4"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lang w:val="en-US"/>
              </w:rPr>
              <w:t>Expenditure shall be made within the limits of funds available.</w:t>
            </w:r>
          </w:p>
        </w:tc>
      </w:tr>
      <w:tr w:rsidR="00622067" w:rsidRPr="00015EE8" w14:paraId="0D596671" w14:textId="77777777" w:rsidTr="008D4191">
        <w:tc>
          <w:tcPr>
            <w:tcW w:w="1413" w:type="dxa"/>
          </w:tcPr>
          <w:p w14:paraId="0F097FA3" w14:textId="77777777" w:rsidR="00622067" w:rsidRPr="00015EE8" w:rsidRDefault="00622067" w:rsidP="007E54D9">
            <w:pPr>
              <w:pStyle w:val="NoSpacing"/>
              <w:spacing w:before="240" w:after="240"/>
              <w:jc w:val="right"/>
              <w:rPr>
                <w:rFonts w:ascii="Arial" w:hAnsi="Arial" w:cs="Arial"/>
                <w:b/>
                <w:lang w:val="en-US"/>
              </w:rPr>
            </w:pPr>
            <w:r w:rsidRPr="00015EE8">
              <w:rPr>
                <w:rFonts w:ascii="Arial" w:hAnsi="Arial" w:cs="Arial"/>
                <w:b/>
                <w:lang w:val="en-US"/>
              </w:rPr>
              <w:t>Article 7</w:t>
            </w:r>
          </w:p>
        </w:tc>
        <w:tc>
          <w:tcPr>
            <w:tcW w:w="8215" w:type="dxa"/>
          </w:tcPr>
          <w:p w14:paraId="7A7248A2" w14:textId="77777777" w:rsidR="00622067" w:rsidRPr="00015EE8" w:rsidRDefault="00622067" w:rsidP="008D4191">
            <w:pPr>
              <w:pStyle w:val="NoSpacing"/>
              <w:spacing w:before="240" w:after="240"/>
              <w:jc w:val="both"/>
              <w:rPr>
                <w:rFonts w:ascii="Arial" w:hAnsi="Arial" w:cs="Arial"/>
                <w:b/>
                <w:lang w:val="en-US"/>
              </w:rPr>
            </w:pPr>
            <w:r w:rsidRPr="00015EE8">
              <w:rPr>
                <w:rFonts w:ascii="Arial" w:hAnsi="Arial" w:cs="Arial"/>
                <w:b/>
                <w:lang w:val="en-US"/>
              </w:rPr>
              <w:t>Reserve Fund</w:t>
            </w:r>
          </w:p>
        </w:tc>
      </w:tr>
      <w:tr w:rsidR="00622067" w:rsidRPr="00CB223B" w14:paraId="2CF14F8F" w14:textId="77777777" w:rsidTr="008D4191">
        <w:tc>
          <w:tcPr>
            <w:tcW w:w="1413" w:type="dxa"/>
          </w:tcPr>
          <w:p w14:paraId="39BBACA2" w14:textId="77777777" w:rsidR="00622067" w:rsidRPr="00015EE8" w:rsidRDefault="00622067" w:rsidP="007E54D9">
            <w:pPr>
              <w:pStyle w:val="NoSpacing"/>
              <w:spacing w:after="240"/>
              <w:jc w:val="right"/>
              <w:rPr>
                <w:rFonts w:ascii="Arial" w:hAnsi="Arial" w:cs="Arial"/>
                <w:bCs/>
                <w:lang w:val="en-US"/>
              </w:rPr>
            </w:pPr>
          </w:p>
        </w:tc>
        <w:tc>
          <w:tcPr>
            <w:tcW w:w="8215" w:type="dxa"/>
          </w:tcPr>
          <w:p w14:paraId="6FDA8370"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lang w:val="en-US"/>
              </w:rPr>
              <w:t>Within the Special Account there shall be established a reserve fund to meet requests for assistance in cases of extreme urgency, as foreseen in Article 17.3 and 22.2 of the Convention. The amount of the reserve shall be determined by the Committee.</w:t>
            </w:r>
          </w:p>
        </w:tc>
      </w:tr>
      <w:tr w:rsidR="00622067" w:rsidRPr="00015EE8" w14:paraId="220458BE" w14:textId="77777777" w:rsidTr="008D4191">
        <w:tc>
          <w:tcPr>
            <w:tcW w:w="1413" w:type="dxa"/>
          </w:tcPr>
          <w:p w14:paraId="4085DBC5" w14:textId="77777777" w:rsidR="00622067" w:rsidRPr="00015EE8" w:rsidRDefault="00622067" w:rsidP="007E54D9">
            <w:pPr>
              <w:pStyle w:val="NoSpacing"/>
              <w:spacing w:before="240" w:after="240"/>
              <w:jc w:val="right"/>
              <w:rPr>
                <w:rFonts w:ascii="Arial" w:hAnsi="Arial" w:cs="Arial"/>
                <w:b/>
                <w:lang w:val="en-US"/>
              </w:rPr>
            </w:pPr>
            <w:r w:rsidRPr="00015EE8">
              <w:rPr>
                <w:rFonts w:ascii="Arial" w:hAnsi="Arial" w:cs="Arial"/>
                <w:b/>
                <w:bCs/>
                <w:spacing w:val="-3"/>
                <w:lang w:eastAsia="en-GB"/>
              </w:rPr>
              <w:t>Article 8</w:t>
            </w:r>
          </w:p>
        </w:tc>
        <w:tc>
          <w:tcPr>
            <w:tcW w:w="8215" w:type="dxa"/>
          </w:tcPr>
          <w:p w14:paraId="6A4CDE98" w14:textId="77777777" w:rsidR="00622067" w:rsidRPr="00015EE8" w:rsidRDefault="00622067" w:rsidP="008D4191">
            <w:pPr>
              <w:pStyle w:val="NoSpacing"/>
              <w:spacing w:before="240" w:after="240"/>
              <w:jc w:val="both"/>
              <w:rPr>
                <w:rFonts w:ascii="Arial" w:hAnsi="Arial" w:cs="Arial"/>
                <w:b/>
                <w:lang w:val="en-US"/>
              </w:rPr>
            </w:pPr>
            <w:r w:rsidRPr="00015EE8">
              <w:rPr>
                <w:rFonts w:ascii="Arial" w:hAnsi="Arial" w:cs="Arial"/>
                <w:b/>
                <w:lang w:val="en-US"/>
              </w:rPr>
              <w:t>Accounts</w:t>
            </w:r>
          </w:p>
        </w:tc>
      </w:tr>
      <w:tr w:rsidR="00622067" w:rsidRPr="00CB223B" w14:paraId="277D46BF" w14:textId="77777777" w:rsidTr="008D4191">
        <w:tc>
          <w:tcPr>
            <w:tcW w:w="1413" w:type="dxa"/>
          </w:tcPr>
          <w:p w14:paraId="1BCD3D9A"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rPr>
              <w:t>8.1</w:t>
            </w:r>
          </w:p>
        </w:tc>
        <w:tc>
          <w:tcPr>
            <w:tcW w:w="8215" w:type="dxa"/>
          </w:tcPr>
          <w:p w14:paraId="2BC108D9" w14:textId="77777777" w:rsidR="00622067" w:rsidRPr="00015EE8" w:rsidRDefault="00622067" w:rsidP="008D4191">
            <w:pPr>
              <w:pStyle w:val="NoSpacing"/>
              <w:spacing w:after="240"/>
              <w:jc w:val="both"/>
              <w:rPr>
                <w:rFonts w:ascii="Arial" w:hAnsi="Arial" w:cs="Arial"/>
                <w:b/>
                <w:lang w:val="en-US"/>
              </w:rPr>
            </w:pPr>
            <w:r w:rsidRPr="00015EE8">
              <w:rPr>
                <w:rFonts w:ascii="Arial" w:eastAsiaTheme="minorEastAsia" w:hAnsi="Arial" w:cs="Arial"/>
                <w:lang w:val="en-US"/>
              </w:rPr>
              <w:t>Subsidiary Accounts may be established by the General Assembly and the Committee.</w:t>
            </w:r>
          </w:p>
        </w:tc>
      </w:tr>
      <w:tr w:rsidR="00622067" w:rsidRPr="00CB223B" w14:paraId="4DE64D29" w14:textId="77777777" w:rsidTr="008D4191">
        <w:tc>
          <w:tcPr>
            <w:tcW w:w="1413" w:type="dxa"/>
          </w:tcPr>
          <w:p w14:paraId="0C0FE608"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8.2</w:t>
            </w:r>
          </w:p>
        </w:tc>
        <w:tc>
          <w:tcPr>
            <w:tcW w:w="8215" w:type="dxa"/>
          </w:tcPr>
          <w:p w14:paraId="58F86FCF"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The Chief Financial Officer of UNESCO shall maintain such accounting records as are necessary.</w:t>
            </w:r>
          </w:p>
        </w:tc>
      </w:tr>
      <w:tr w:rsidR="00622067" w:rsidRPr="00CB223B" w14:paraId="12EB6F33" w14:textId="77777777" w:rsidTr="008D4191">
        <w:tc>
          <w:tcPr>
            <w:tcW w:w="1413" w:type="dxa"/>
          </w:tcPr>
          <w:p w14:paraId="172B0C7E"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8.3</w:t>
            </w:r>
          </w:p>
        </w:tc>
        <w:tc>
          <w:tcPr>
            <w:tcW w:w="8215" w:type="dxa"/>
          </w:tcPr>
          <w:p w14:paraId="698AF525"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lang w:val="en-US"/>
              </w:rPr>
              <w:t>Any unused balance at the end of a financial period shall be carried forward to the following financial period.</w:t>
            </w:r>
          </w:p>
        </w:tc>
      </w:tr>
      <w:tr w:rsidR="00622067" w:rsidRPr="00CB223B" w14:paraId="527FC323" w14:textId="77777777" w:rsidTr="008D4191">
        <w:tc>
          <w:tcPr>
            <w:tcW w:w="1413" w:type="dxa"/>
          </w:tcPr>
          <w:p w14:paraId="6D15BA70"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8.4</w:t>
            </w:r>
          </w:p>
        </w:tc>
        <w:tc>
          <w:tcPr>
            <w:tcW w:w="8215" w:type="dxa"/>
          </w:tcPr>
          <w:p w14:paraId="759E3C64"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The accounts of the Special Account shall be part of the consolidated financial statements presented for audit to the External Auditor of UNESCO.</w:t>
            </w:r>
          </w:p>
        </w:tc>
      </w:tr>
      <w:tr w:rsidR="00622067" w:rsidRPr="00CB223B" w14:paraId="703E418C" w14:textId="77777777" w:rsidTr="008D4191">
        <w:tc>
          <w:tcPr>
            <w:tcW w:w="1413" w:type="dxa"/>
          </w:tcPr>
          <w:p w14:paraId="0A6DE478"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8.5</w:t>
            </w:r>
          </w:p>
        </w:tc>
        <w:tc>
          <w:tcPr>
            <w:tcW w:w="8215" w:type="dxa"/>
          </w:tcPr>
          <w:p w14:paraId="34E27F66" w14:textId="77777777" w:rsidR="00622067" w:rsidRPr="00015EE8" w:rsidRDefault="00622067" w:rsidP="008D4191">
            <w:pPr>
              <w:pStyle w:val="NoSpacing"/>
              <w:spacing w:after="240"/>
              <w:jc w:val="both"/>
              <w:rPr>
                <w:rFonts w:ascii="Arial" w:hAnsi="Arial" w:cs="Arial"/>
                <w:b/>
                <w:lang w:val="en-US"/>
              </w:rPr>
            </w:pPr>
            <w:r w:rsidRPr="00015EE8">
              <w:rPr>
                <w:rFonts w:ascii="Arial" w:hAnsi="Arial" w:cs="Arial"/>
                <w:spacing w:val="-3"/>
                <w:lang w:val="en-US" w:eastAsia="en-GB"/>
              </w:rPr>
              <w:t>Contributions in kind shall be recorded outside the Special Account.</w:t>
            </w:r>
          </w:p>
        </w:tc>
      </w:tr>
      <w:tr w:rsidR="00622067" w:rsidRPr="00015EE8" w14:paraId="46745550" w14:textId="77777777" w:rsidTr="008D4191">
        <w:tc>
          <w:tcPr>
            <w:tcW w:w="1413" w:type="dxa"/>
          </w:tcPr>
          <w:p w14:paraId="1F657B5E" w14:textId="77777777" w:rsidR="00622067" w:rsidRPr="00015EE8" w:rsidRDefault="00622067" w:rsidP="007E54D9">
            <w:pPr>
              <w:pStyle w:val="NoSpacing"/>
              <w:spacing w:before="240" w:after="240"/>
              <w:jc w:val="right"/>
              <w:rPr>
                <w:rFonts w:ascii="Arial" w:hAnsi="Arial" w:cs="Arial"/>
                <w:b/>
                <w:bCs/>
                <w:lang w:val="en-US"/>
              </w:rPr>
            </w:pPr>
            <w:r w:rsidRPr="00015EE8">
              <w:rPr>
                <w:rFonts w:ascii="Arial" w:hAnsi="Arial" w:cs="Arial"/>
                <w:b/>
                <w:bCs/>
                <w:spacing w:val="-3"/>
                <w:lang w:eastAsia="en-GB"/>
              </w:rPr>
              <w:t>Article 9</w:t>
            </w:r>
          </w:p>
        </w:tc>
        <w:tc>
          <w:tcPr>
            <w:tcW w:w="8215" w:type="dxa"/>
          </w:tcPr>
          <w:p w14:paraId="133A8105" w14:textId="77777777" w:rsidR="00622067" w:rsidRPr="00015EE8" w:rsidRDefault="00622067" w:rsidP="008D4191">
            <w:pPr>
              <w:pStyle w:val="NoSpacing"/>
              <w:spacing w:before="240" w:after="240"/>
              <w:jc w:val="both"/>
              <w:rPr>
                <w:rFonts w:ascii="Arial" w:hAnsi="Arial" w:cs="Arial"/>
                <w:b/>
                <w:bCs/>
                <w:lang w:val="en-US"/>
              </w:rPr>
            </w:pPr>
            <w:r w:rsidRPr="00015EE8">
              <w:rPr>
                <w:rFonts w:ascii="Arial" w:hAnsi="Arial" w:cs="Arial"/>
                <w:b/>
                <w:bCs/>
                <w:lang w:val="en-US"/>
              </w:rPr>
              <w:t>Investments</w:t>
            </w:r>
          </w:p>
        </w:tc>
      </w:tr>
      <w:tr w:rsidR="00622067" w:rsidRPr="00CB223B" w14:paraId="23F762A7" w14:textId="77777777" w:rsidTr="008D4191">
        <w:tc>
          <w:tcPr>
            <w:tcW w:w="1413" w:type="dxa"/>
          </w:tcPr>
          <w:p w14:paraId="77F9B640" w14:textId="77777777" w:rsidR="00622067" w:rsidRPr="00015EE8" w:rsidRDefault="00622067" w:rsidP="007E54D9">
            <w:pPr>
              <w:pStyle w:val="NoSpacing"/>
              <w:spacing w:after="240"/>
              <w:jc w:val="right"/>
              <w:rPr>
                <w:rFonts w:ascii="Arial" w:hAnsi="Arial" w:cs="Arial"/>
                <w:lang w:val="en-US"/>
              </w:rPr>
            </w:pPr>
            <w:r w:rsidRPr="00015EE8">
              <w:rPr>
                <w:rFonts w:ascii="Arial" w:hAnsi="Arial" w:cs="Arial"/>
                <w:lang w:val="en-US" w:eastAsia="en-GB"/>
              </w:rPr>
              <w:t>9.1</w:t>
            </w:r>
          </w:p>
        </w:tc>
        <w:tc>
          <w:tcPr>
            <w:tcW w:w="8215" w:type="dxa"/>
          </w:tcPr>
          <w:p w14:paraId="41D1AD6F" w14:textId="77777777" w:rsidR="00622067" w:rsidRPr="00015EE8" w:rsidRDefault="00622067" w:rsidP="008D4191">
            <w:pPr>
              <w:pStyle w:val="NoSpacing"/>
              <w:spacing w:after="240"/>
              <w:jc w:val="both"/>
              <w:rPr>
                <w:rFonts w:ascii="Arial" w:hAnsi="Arial" w:cs="Arial"/>
                <w:lang w:val="en-US"/>
              </w:rPr>
            </w:pPr>
            <w:r w:rsidRPr="00015EE8">
              <w:rPr>
                <w:rFonts w:ascii="Arial" w:hAnsi="Arial" w:cs="Arial"/>
                <w:spacing w:val="-3"/>
                <w:lang w:val="en-US" w:eastAsia="en-GB"/>
              </w:rPr>
              <w:t>The Director-General may make short-term or long-term investments of sums standing to the credit of the Special Account.</w:t>
            </w:r>
          </w:p>
        </w:tc>
      </w:tr>
      <w:tr w:rsidR="00622067" w:rsidRPr="00CB223B" w14:paraId="3FD119EB" w14:textId="77777777" w:rsidTr="008D4191">
        <w:tc>
          <w:tcPr>
            <w:tcW w:w="1413" w:type="dxa"/>
          </w:tcPr>
          <w:p w14:paraId="649066A6" w14:textId="77777777" w:rsidR="00622067" w:rsidRPr="00015EE8" w:rsidRDefault="00622067" w:rsidP="007E54D9">
            <w:pPr>
              <w:pStyle w:val="NoSpacing"/>
              <w:spacing w:after="240"/>
              <w:jc w:val="right"/>
              <w:rPr>
                <w:rFonts w:ascii="Arial" w:hAnsi="Arial" w:cs="Arial"/>
                <w:lang w:val="en-US" w:eastAsia="en-GB"/>
              </w:rPr>
            </w:pPr>
            <w:r w:rsidRPr="00015EE8">
              <w:rPr>
                <w:rFonts w:ascii="Arial" w:hAnsi="Arial" w:cs="Arial"/>
                <w:lang w:val="en-US" w:eastAsia="en-GB"/>
              </w:rPr>
              <w:t>9.2</w:t>
            </w:r>
          </w:p>
        </w:tc>
        <w:tc>
          <w:tcPr>
            <w:tcW w:w="8215" w:type="dxa"/>
          </w:tcPr>
          <w:p w14:paraId="12BEE12C"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pacing w:val="-3"/>
                <w:lang w:val="en-US" w:eastAsia="en-GB"/>
              </w:rPr>
              <w:t>Revenue from these investments shall be credited to the Special Account in line with UNESCO’s Financial Rules.</w:t>
            </w:r>
          </w:p>
        </w:tc>
      </w:tr>
      <w:tr w:rsidR="00622067" w:rsidRPr="00015EE8" w14:paraId="65959526" w14:textId="77777777" w:rsidTr="008D4191">
        <w:tc>
          <w:tcPr>
            <w:tcW w:w="1413" w:type="dxa"/>
          </w:tcPr>
          <w:p w14:paraId="53DC2A68" w14:textId="77777777" w:rsidR="00622067" w:rsidRPr="00015EE8" w:rsidRDefault="00622067" w:rsidP="007E54D9">
            <w:pPr>
              <w:pStyle w:val="NoSpacing"/>
              <w:spacing w:before="240" w:after="240"/>
              <w:jc w:val="right"/>
              <w:rPr>
                <w:rFonts w:ascii="Arial" w:hAnsi="Arial" w:cs="Arial"/>
                <w:b/>
                <w:bCs/>
                <w:lang w:val="en-US" w:eastAsia="en-GB"/>
              </w:rPr>
            </w:pPr>
            <w:r w:rsidRPr="00015EE8">
              <w:rPr>
                <w:rFonts w:ascii="Arial" w:hAnsi="Arial" w:cs="Arial"/>
                <w:b/>
                <w:bCs/>
                <w:spacing w:val="-3"/>
                <w:lang w:eastAsia="en-GB"/>
              </w:rPr>
              <w:t>Article 10</w:t>
            </w:r>
          </w:p>
        </w:tc>
        <w:tc>
          <w:tcPr>
            <w:tcW w:w="8215" w:type="dxa"/>
          </w:tcPr>
          <w:p w14:paraId="4053B00C" w14:textId="77777777" w:rsidR="00622067" w:rsidRPr="00015EE8" w:rsidRDefault="00622067" w:rsidP="008D4191">
            <w:pPr>
              <w:pStyle w:val="NoSpacing"/>
              <w:spacing w:before="240" w:after="240"/>
              <w:jc w:val="both"/>
              <w:rPr>
                <w:rFonts w:ascii="Arial" w:hAnsi="Arial" w:cs="Arial"/>
                <w:spacing w:val="-3"/>
                <w:lang w:val="en-GB" w:eastAsia="en-GB"/>
              </w:rPr>
            </w:pPr>
            <w:r w:rsidRPr="00015EE8">
              <w:rPr>
                <w:rFonts w:ascii="Arial" w:hAnsi="Arial" w:cs="Arial"/>
                <w:b/>
                <w:bCs/>
                <w:spacing w:val="-3"/>
                <w:lang w:val="en-GB" w:eastAsia="en-GB"/>
              </w:rPr>
              <w:t>Reporting</w:t>
            </w:r>
          </w:p>
        </w:tc>
      </w:tr>
      <w:tr w:rsidR="00622067" w:rsidRPr="00CB223B" w14:paraId="314D9FC2" w14:textId="77777777" w:rsidTr="008D4191">
        <w:tc>
          <w:tcPr>
            <w:tcW w:w="1413" w:type="dxa"/>
          </w:tcPr>
          <w:p w14:paraId="3687B603"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10.1</w:t>
            </w:r>
          </w:p>
        </w:tc>
        <w:tc>
          <w:tcPr>
            <w:tcW w:w="8215" w:type="dxa"/>
          </w:tcPr>
          <w:p w14:paraId="0F5E5773"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napToGrid w:val="0"/>
                <w:lang w:val="en-US"/>
              </w:rPr>
              <w:t xml:space="preserve">A biennial financial report showing the income and expenditure under the Special Account shall be prepared and submitted to the Committee and the General Assembly. </w:t>
            </w:r>
          </w:p>
        </w:tc>
      </w:tr>
      <w:tr w:rsidR="00622067" w:rsidRPr="00CB223B" w14:paraId="12D4A111" w14:textId="77777777" w:rsidTr="008D4191">
        <w:tc>
          <w:tcPr>
            <w:tcW w:w="1413" w:type="dxa"/>
          </w:tcPr>
          <w:p w14:paraId="09F6AC2C"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10.2</w:t>
            </w:r>
          </w:p>
        </w:tc>
        <w:tc>
          <w:tcPr>
            <w:tcW w:w="8215" w:type="dxa"/>
          </w:tcPr>
          <w:p w14:paraId="5737CD87" w14:textId="77777777" w:rsidR="00622067" w:rsidRPr="00015EE8" w:rsidRDefault="00622067" w:rsidP="008D4191">
            <w:pPr>
              <w:suppressAutoHyphens/>
              <w:spacing w:after="120"/>
              <w:jc w:val="both"/>
              <w:rPr>
                <w:rFonts w:ascii="Arial" w:hAnsi="Arial" w:cs="Arial"/>
                <w:spacing w:val="-3"/>
                <w:sz w:val="22"/>
                <w:szCs w:val="22"/>
                <w:lang w:val="en-US" w:eastAsia="en-GB"/>
              </w:rPr>
            </w:pPr>
            <w:r w:rsidRPr="00015EE8">
              <w:rPr>
                <w:rFonts w:ascii="Arial" w:hAnsi="Arial" w:cs="Arial"/>
                <w:spacing w:val="-3"/>
                <w:sz w:val="22"/>
                <w:szCs w:val="22"/>
                <w:lang w:val="en-US" w:eastAsia="en-GB"/>
              </w:rPr>
              <w:t xml:space="preserve">A biennial narrative report shall be submitted to the Committee and the General Assembly. </w:t>
            </w:r>
          </w:p>
        </w:tc>
      </w:tr>
      <w:tr w:rsidR="00622067" w:rsidRPr="00CB223B" w14:paraId="18C2C4ED" w14:textId="77777777" w:rsidTr="008D4191">
        <w:tc>
          <w:tcPr>
            <w:tcW w:w="1413" w:type="dxa"/>
          </w:tcPr>
          <w:p w14:paraId="0233C7AC" w14:textId="77777777" w:rsidR="00622067" w:rsidRPr="00015EE8" w:rsidRDefault="00622067" w:rsidP="007E54D9">
            <w:pPr>
              <w:pStyle w:val="NoSpacing"/>
              <w:spacing w:before="240" w:after="240"/>
              <w:jc w:val="right"/>
              <w:rPr>
                <w:rFonts w:ascii="Arial" w:hAnsi="Arial" w:cs="Arial"/>
                <w:b/>
                <w:bCs/>
                <w:lang w:val="en-US" w:eastAsia="en-GB"/>
              </w:rPr>
            </w:pPr>
            <w:r w:rsidRPr="00015EE8">
              <w:rPr>
                <w:rFonts w:ascii="Arial" w:hAnsi="Arial" w:cs="Arial"/>
                <w:b/>
                <w:bCs/>
                <w:spacing w:val="-3"/>
                <w:lang w:val="en-US" w:eastAsia="en-GB"/>
              </w:rPr>
              <w:t>Article 11</w:t>
            </w:r>
          </w:p>
        </w:tc>
        <w:tc>
          <w:tcPr>
            <w:tcW w:w="8215" w:type="dxa"/>
          </w:tcPr>
          <w:p w14:paraId="177FB155" w14:textId="77777777" w:rsidR="00622067" w:rsidRPr="00015EE8" w:rsidRDefault="00622067" w:rsidP="008D4191">
            <w:pPr>
              <w:pStyle w:val="NoSpacing"/>
              <w:spacing w:before="240" w:after="240"/>
              <w:jc w:val="both"/>
              <w:rPr>
                <w:rFonts w:ascii="Arial" w:hAnsi="Arial" w:cs="Arial"/>
                <w:spacing w:val="-3"/>
                <w:lang w:val="en-US" w:eastAsia="en-GB"/>
              </w:rPr>
            </w:pPr>
            <w:r w:rsidRPr="00015EE8">
              <w:rPr>
                <w:rFonts w:ascii="Arial" w:hAnsi="Arial" w:cs="Arial"/>
                <w:b/>
                <w:bCs/>
                <w:spacing w:val="-3"/>
                <w:lang w:val="en-US" w:eastAsia="en-GB"/>
              </w:rPr>
              <w:t>Closure of the Special Account</w:t>
            </w:r>
          </w:p>
        </w:tc>
      </w:tr>
      <w:tr w:rsidR="00622067" w:rsidRPr="00CB223B" w14:paraId="5777A74B" w14:textId="77777777" w:rsidTr="008D4191">
        <w:tc>
          <w:tcPr>
            <w:tcW w:w="1413" w:type="dxa"/>
          </w:tcPr>
          <w:p w14:paraId="030987AD"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11.1</w:t>
            </w:r>
          </w:p>
        </w:tc>
        <w:tc>
          <w:tcPr>
            <w:tcW w:w="8215" w:type="dxa"/>
          </w:tcPr>
          <w:p w14:paraId="1FA6A794"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pacing w:val="-3"/>
                <w:lang w:val="en-US" w:eastAsia="en-GB"/>
              </w:rPr>
              <w:t xml:space="preserve">The Director-General shall consult the </w:t>
            </w:r>
            <w:r w:rsidRPr="00015EE8">
              <w:rPr>
                <w:rFonts w:ascii="Arial" w:hAnsi="Arial" w:cs="Arial"/>
                <w:lang w:val="en-US" w:eastAsia="en-GB"/>
              </w:rPr>
              <w:t xml:space="preserve">General Assembly </w:t>
            </w:r>
            <w:r w:rsidRPr="00015EE8">
              <w:rPr>
                <w:rFonts w:ascii="Arial" w:hAnsi="Arial" w:cs="Arial"/>
                <w:spacing w:val="-3"/>
                <w:lang w:val="en-US" w:eastAsia="en-GB"/>
              </w:rPr>
              <w:t>at such time as he/she deems that the operation of the Special Account is no longer necessary. Such consultation shall cover the decision on the use of any unspent balance.</w:t>
            </w:r>
          </w:p>
        </w:tc>
      </w:tr>
      <w:tr w:rsidR="00622067" w:rsidRPr="00CB223B" w14:paraId="553B7E71" w14:textId="77777777" w:rsidTr="008D4191">
        <w:tc>
          <w:tcPr>
            <w:tcW w:w="1413" w:type="dxa"/>
          </w:tcPr>
          <w:p w14:paraId="2459C083"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11.2</w:t>
            </w:r>
          </w:p>
        </w:tc>
        <w:tc>
          <w:tcPr>
            <w:tcW w:w="8215" w:type="dxa"/>
          </w:tcPr>
          <w:p w14:paraId="223B3A62"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pacing w:val="-3"/>
                <w:lang w:val="en-US" w:eastAsia="en-GB"/>
              </w:rPr>
              <w:t xml:space="preserve">The decision of the </w:t>
            </w:r>
            <w:r w:rsidRPr="00015EE8">
              <w:rPr>
                <w:rFonts w:ascii="Arial" w:hAnsi="Arial" w:cs="Arial"/>
                <w:lang w:val="en-US" w:eastAsia="en-GB"/>
              </w:rPr>
              <w:t xml:space="preserve">General Assembly </w:t>
            </w:r>
            <w:r w:rsidRPr="00015EE8">
              <w:rPr>
                <w:rFonts w:ascii="Arial" w:hAnsi="Arial" w:cs="Arial"/>
                <w:spacing w:val="-3"/>
                <w:lang w:val="en-US" w:eastAsia="en-GB"/>
              </w:rPr>
              <w:t>shall be transmitted to the Executive Board prior to the effective closure of the Special Account.</w:t>
            </w:r>
          </w:p>
        </w:tc>
      </w:tr>
      <w:tr w:rsidR="00622067" w:rsidRPr="00015EE8" w14:paraId="7F8D4E55" w14:textId="77777777" w:rsidTr="008D4191">
        <w:tc>
          <w:tcPr>
            <w:tcW w:w="1413" w:type="dxa"/>
          </w:tcPr>
          <w:p w14:paraId="666EA1C5" w14:textId="77777777" w:rsidR="00622067" w:rsidRPr="00015EE8" w:rsidRDefault="00622067" w:rsidP="007E54D9">
            <w:pPr>
              <w:pStyle w:val="NoSpacing"/>
              <w:spacing w:before="240" w:after="240"/>
              <w:jc w:val="right"/>
              <w:rPr>
                <w:rFonts w:ascii="Arial" w:hAnsi="Arial" w:cs="Arial"/>
                <w:b/>
                <w:bCs/>
                <w:u w:val="single"/>
                <w:lang w:val="en-US" w:eastAsia="en-GB"/>
              </w:rPr>
            </w:pPr>
            <w:r w:rsidRPr="00015EE8">
              <w:rPr>
                <w:rFonts w:ascii="Arial" w:hAnsi="Arial" w:cs="Arial"/>
                <w:b/>
                <w:bCs/>
                <w:spacing w:val="-3"/>
                <w:lang w:eastAsia="en-GB"/>
              </w:rPr>
              <w:t>Article 12</w:t>
            </w:r>
          </w:p>
        </w:tc>
        <w:tc>
          <w:tcPr>
            <w:tcW w:w="8215" w:type="dxa"/>
          </w:tcPr>
          <w:p w14:paraId="3D40F1E9" w14:textId="7054EA7B" w:rsidR="00622067" w:rsidRPr="00015EE8" w:rsidRDefault="00622067" w:rsidP="008D4191">
            <w:pPr>
              <w:pStyle w:val="NoSpacing"/>
              <w:spacing w:before="240" w:after="240"/>
              <w:jc w:val="both"/>
              <w:rPr>
                <w:rFonts w:ascii="Arial" w:hAnsi="Arial" w:cs="Arial"/>
                <w:spacing w:val="-3"/>
                <w:lang w:val="en-US" w:eastAsia="en-GB"/>
              </w:rPr>
            </w:pPr>
            <w:r w:rsidRPr="00015EE8">
              <w:rPr>
                <w:rFonts w:ascii="Arial" w:hAnsi="Arial" w:cs="Arial"/>
                <w:b/>
              </w:rPr>
              <w:t>General provision</w:t>
            </w:r>
            <w:r w:rsidR="00FD07EB" w:rsidRPr="00015EE8">
              <w:rPr>
                <w:rFonts w:ascii="Arial" w:hAnsi="Arial" w:cs="Arial"/>
                <w:b/>
              </w:rPr>
              <w:t>s</w:t>
            </w:r>
          </w:p>
        </w:tc>
      </w:tr>
      <w:tr w:rsidR="00622067" w:rsidRPr="00CB223B" w14:paraId="2A478A95" w14:textId="77777777" w:rsidTr="008D4191">
        <w:tc>
          <w:tcPr>
            <w:tcW w:w="1413" w:type="dxa"/>
          </w:tcPr>
          <w:p w14:paraId="6B031926"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12.1</w:t>
            </w:r>
          </w:p>
        </w:tc>
        <w:tc>
          <w:tcPr>
            <w:tcW w:w="8215" w:type="dxa"/>
          </w:tcPr>
          <w:p w14:paraId="70E8B3D3"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pacing w:val="-3"/>
                <w:lang w:val="en-US" w:eastAsia="en-GB"/>
              </w:rPr>
              <w:t xml:space="preserve">Any amendment to these Financial Regulations shall be approved by the </w:t>
            </w:r>
            <w:r w:rsidRPr="00015EE8">
              <w:rPr>
                <w:rFonts w:ascii="Arial" w:hAnsi="Arial" w:cs="Arial"/>
                <w:lang w:val="en-US" w:eastAsia="en-GB"/>
              </w:rPr>
              <w:t>General Assembly</w:t>
            </w:r>
            <w:r w:rsidRPr="00015EE8">
              <w:rPr>
                <w:rFonts w:ascii="Arial" w:hAnsi="Arial" w:cs="Arial"/>
                <w:spacing w:val="-3"/>
                <w:lang w:val="en-US" w:eastAsia="en-GB"/>
              </w:rPr>
              <w:t>. The Executive Board shall be informed accordingly of any such amendments.</w:t>
            </w:r>
          </w:p>
        </w:tc>
      </w:tr>
      <w:tr w:rsidR="00622067" w:rsidRPr="00CB223B" w14:paraId="586BF0F6" w14:textId="77777777" w:rsidTr="008D4191">
        <w:tc>
          <w:tcPr>
            <w:tcW w:w="1413" w:type="dxa"/>
          </w:tcPr>
          <w:p w14:paraId="159C4362" w14:textId="77777777" w:rsidR="00622067" w:rsidRPr="00015EE8" w:rsidRDefault="00622067" w:rsidP="007E54D9">
            <w:pPr>
              <w:pStyle w:val="NoSpacing"/>
              <w:spacing w:after="240"/>
              <w:jc w:val="right"/>
              <w:rPr>
                <w:rFonts w:ascii="Arial" w:hAnsi="Arial" w:cs="Arial"/>
                <w:b/>
                <w:bCs/>
                <w:u w:val="single"/>
                <w:lang w:val="en-US" w:eastAsia="en-GB"/>
              </w:rPr>
            </w:pPr>
            <w:r w:rsidRPr="00015EE8">
              <w:rPr>
                <w:rFonts w:ascii="Arial" w:hAnsi="Arial" w:cs="Arial"/>
                <w:spacing w:val="-3"/>
                <w:lang w:val="en-US" w:eastAsia="en-GB"/>
              </w:rPr>
              <w:t>12.2</w:t>
            </w:r>
          </w:p>
        </w:tc>
        <w:tc>
          <w:tcPr>
            <w:tcW w:w="8215" w:type="dxa"/>
          </w:tcPr>
          <w:p w14:paraId="26D1C47F" w14:textId="77777777" w:rsidR="00622067" w:rsidRPr="00015EE8" w:rsidRDefault="00622067" w:rsidP="008D4191">
            <w:pPr>
              <w:pStyle w:val="NoSpacing"/>
              <w:spacing w:after="240"/>
              <w:jc w:val="both"/>
              <w:rPr>
                <w:rFonts w:ascii="Arial" w:hAnsi="Arial" w:cs="Arial"/>
                <w:spacing w:val="-3"/>
                <w:lang w:val="en-US" w:eastAsia="en-GB"/>
              </w:rPr>
            </w:pPr>
            <w:r w:rsidRPr="00015EE8">
              <w:rPr>
                <w:rFonts w:ascii="Arial" w:hAnsi="Arial" w:cs="Arial"/>
                <w:spacing w:val="-3"/>
                <w:lang w:val="en-US" w:eastAsia="en-GB"/>
              </w:rPr>
              <w:t>Unless otherwise provided in these Regulations, the Special Account shall be administered in accordance with the Financial Regulations of UNESCO.</w:t>
            </w:r>
          </w:p>
        </w:tc>
      </w:tr>
    </w:tbl>
    <w:p w14:paraId="753D497E" w14:textId="77777777" w:rsidR="007E54D9" w:rsidRPr="00015EE8" w:rsidRDefault="007E54D9" w:rsidP="00FD07EB">
      <w:pPr>
        <w:pStyle w:val="GATitleResolution"/>
      </w:pPr>
      <w:r w:rsidRPr="00015EE8">
        <w:t>RESOLUTION 8.GA 8</w:t>
      </w:r>
    </w:p>
    <w:p w14:paraId="4B395C7C" w14:textId="77777777" w:rsidR="007E54D9" w:rsidRPr="00015EE8" w:rsidRDefault="007E54D9" w:rsidP="007E54D9">
      <w:pPr>
        <w:pStyle w:val="GAPreambulaResolution"/>
        <w:ind w:left="0"/>
        <w:rPr>
          <w:rFonts w:eastAsia="SimSun"/>
        </w:rPr>
      </w:pPr>
      <w:r w:rsidRPr="00015EE8">
        <w:t>The General Assembly,</w:t>
      </w:r>
    </w:p>
    <w:p w14:paraId="729DE8AC" w14:textId="77777777" w:rsidR="007E54D9" w:rsidRPr="00015EE8" w:rsidRDefault="007E54D9" w:rsidP="00BB6BEB">
      <w:pPr>
        <w:pStyle w:val="GAParaResolution"/>
        <w:numPr>
          <w:ilvl w:val="0"/>
          <w:numId w:val="17"/>
        </w:numPr>
        <w:ind w:left="567" w:hanging="567"/>
      </w:pPr>
      <w:r w:rsidRPr="00015EE8">
        <w:t>Having examined</w:t>
      </w:r>
      <w:r w:rsidRPr="00015EE8">
        <w:rPr>
          <w:u w:val="none"/>
        </w:rPr>
        <w:t xml:space="preserve"> document </w:t>
      </w:r>
      <w:hyperlink r:id="rId19" w:history="1">
        <w:r w:rsidRPr="00015EE8">
          <w:rPr>
            <w:rStyle w:val="Hyperlink"/>
          </w:rPr>
          <w:t>LHE/20/8.GA/8</w:t>
        </w:r>
      </w:hyperlink>
      <w:r w:rsidRPr="00015EE8">
        <w:rPr>
          <w:u w:val="none"/>
        </w:rPr>
        <w:t>,</w:t>
      </w:r>
    </w:p>
    <w:p w14:paraId="2EF3F058" w14:textId="160B8863" w:rsidR="007E54D9" w:rsidRPr="00015EE8" w:rsidRDefault="007E54D9" w:rsidP="00BB6BEB">
      <w:pPr>
        <w:pStyle w:val="COMParaDecision"/>
        <w:numPr>
          <w:ilvl w:val="0"/>
          <w:numId w:val="5"/>
        </w:numPr>
        <w:ind w:left="567" w:hanging="567"/>
      </w:pPr>
      <w:r w:rsidRPr="00015EE8">
        <w:t>Recalling</w:t>
      </w:r>
      <w:r w:rsidRPr="00015EE8">
        <w:rPr>
          <w:u w:val="none"/>
        </w:rPr>
        <w:t xml:space="preserve"> the </w:t>
      </w:r>
      <w:hyperlink r:id="rId20" w:history="1">
        <w:r w:rsidRPr="00015EE8">
          <w:rPr>
            <w:rStyle w:val="Hyperlink"/>
          </w:rPr>
          <w:t>39</w:t>
        </w:r>
        <w:r w:rsidR="00146A38" w:rsidRPr="00015EE8">
          <w:rPr>
            <w:rStyle w:val="Hyperlink"/>
          </w:rPr>
          <w:t> </w:t>
        </w:r>
        <w:r w:rsidRPr="00015EE8">
          <w:rPr>
            <w:rStyle w:val="Hyperlink"/>
          </w:rPr>
          <w:t>C/</w:t>
        </w:r>
        <w:r w:rsidR="00146A38" w:rsidRPr="00015EE8">
          <w:rPr>
            <w:rStyle w:val="Hyperlink"/>
          </w:rPr>
          <w:t>Resolution </w:t>
        </w:r>
        <w:r w:rsidRPr="00015EE8">
          <w:rPr>
            <w:rStyle w:val="Hyperlink"/>
          </w:rPr>
          <w:t>87</w:t>
        </w:r>
      </w:hyperlink>
      <w:r w:rsidRPr="00015EE8">
        <w:rPr>
          <w:bCs/>
          <w:u w:val="none"/>
          <w:lang w:val="en-US"/>
        </w:rPr>
        <w:t xml:space="preserve"> </w:t>
      </w:r>
      <w:r w:rsidRPr="00015EE8">
        <w:rPr>
          <w:u w:val="none"/>
        </w:rPr>
        <w:t xml:space="preserve">of UNESCO’s General Conference (2017), which invites the Executive Board, the Director-General, and the governing bodies of UNESCO to implement the recommendations of the Open-Ended Working Group on Governance, in particular Recommendation 74, as well as </w:t>
      </w:r>
      <w:hyperlink r:id="rId21" w:history="1">
        <w:r w:rsidRPr="00015EE8">
          <w:rPr>
            <w:rStyle w:val="Hyperlink"/>
            <w:bCs/>
            <w:lang w:val="en-US"/>
          </w:rPr>
          <w:t>Decision 14.COM 19</w:t>
        </w:r>
      </w:hyperlink>
      <w:r w:rsidRPr="00015EE8">
        <w:rPr>
          <w:bCs/>
          <w:u w:val="none"/>
          <w:lang w:val="en-US"/>
        </w:rPr>
        <w:t>,</w:t>
      </w:r>
    </w:p>
    <w:p w14:paraId="5F581C22" w14:textId="77777777" w:rsidR="007E54D9" w:rsidRPr="00015EE8" w:rsidRDefault="007E54D9" w:rsidP="00BB6BEB">
      <w:pPr>
        <w:pStyle w:val="COMParaDecision"/>
        <w:numPr>
          <w:ilvl w:val="0"/>
          <w:numId w:val="5"/>
        </w:numPr>
        <w:ind w:left="567" w:hanging="567"/>
      </w:pPr>
      <w:r w:rsidRPr="00015EE8">
        <w:rPr>
          <w:lang w:val="en-US"/>
        </w:rPr>
        <w:t>Thanks</w:t>
      </w:r>
      <w:r w:rsidRPr="00015EE8">
        <w:rPr>
          <w:u w:val="none"/>
          <w:lang w:val="en-US"/>
        </w:rPr>
        <w:t xml:space="preserve"> the States Parties that have participated in the electronic consultation for the p</w:t>
      </w:r>
      <w:r w:rsidRPr="00015EE8">
        <w:rPr>
          <w:u w:val="none"/>
        </w:rPr>
        <w:t xml:space="preserve">reparation of the draft Medium-Term Strategy 2022–2029 (41 C/4) and draft Programme and Budget 2022–2025 (41 C/5) and </w:t>
      </w:r>
      <w:r w:rsidRPr="00015EE8">
        <w:t>appreciates</w:t>
      </w:r>
      <w:r w:rsidRPr="00015EE8">
        <w:rPr>
          <w:u w:val="none"/>
        </w:rPr>
        <w:t xml:space="preserve"> the efforts of the Secretariat for rolling out the consultation in a timely manner and for conducting the analysis of the results;</w:t>
      </w:r>
    </w:p>
    <w:p w14:paraId="523C3F15" w14:textId="27E97057" w:rsidR="007E54D9" w:rsidRPr="00015EE8" w:rsidRDefault="007E54D9" w:rsidP="00BB6BEB">
      <w:pPr>
        <w:pStyle w:val="COMParaDecision"/>
        <w:numPr>
          <w:ilvl w:val="0"/>
          <w:numId w:val="5"/>
        </w:numPr>
        <w:ind w:left="567" w:hanging="567"/>
        <w:rPr>
          <w:u w:val="none"/>
        </w:rPr>
      </w:pPr>
      <w:r w:rsidRPr="00015EE8">
        <w:t>Takes note</w:t>
      </w:r>
      <w:r w:rsidRPr="00015EE8">
        <w:rPr>
          <w:u w:val="none"/>
        </w:rPr>
        <w:t xml:space="preserve"> of the outcomes of the consultation and </w:t>
      </w:r>
      <w:r w:rsidRPr="00015EE8">
        <w:t>welcomes</w:t>
      </w:r>
      <w:r w:rsidRPr="00015EE8">
        <w:rPr>
          <w:u w:val="none"/>
        </w:rPr>
        <w:t xml:space="preserve"> the strategic views, programmatic orientations and concrete recommendations gained through this analysis, which could guide the future work of the 2003 Convention</w:t>
      </w:r>
      <w:r w:rsidR="00EB233E" w:rsidRPr="00015EE8">
        <w:rPr>
          <w:u w:val="none"/>
        </w:rPr>
        <w:t>;</w:t>
      </w:r>
    </w:p>
    <w:p w14:paraId="6C4CF6B2" w14:textId="77777777" w:rsidR="00EB233E" w:rsidRPr="00015EE8" w:rsidRDefault="00EB233E" w:rsidP="00EB233E">
      <w:pPr>
        <w:pStyle w:val="COMParaDecision"/>
        <w:numPr>
          <w:ilvl w:val="0"/>
          <w:numId w:val="5"/>
        </w:numPr>
        <w:ind w:left="567" w:hanging="567"/>
        <w:rPr>
          <w:u w:val="none"/>
        </w:rPr>
      </w:pPr>
      <w:r w:rsidRPr="00015EE8">
        <w:t>Stresses</w:t>
      </w:r>
      <w:r w:rsidRPr="00015EE8">
        <w:rPr>
          <w:u w:val="none"/>
        </w:rPr>
        <w:t xml:space="preserve"> the importance of further strengthening linkages, collaboration and synergies with other UNESCO Conventions in the field of culture, </w:t>
      </w:r>
      <w:proofErr w:type="gramStart"/>
      <w:r w:rsidRPr="00015EE8">
        <w:rPr>
          <w:u w:val="none"/>
        </w:rPr>
        <w:t>in particular in</w:t>
      </w:r>
      <w:proofErr w:type="gramEnd"/>
      <w:r w:rsidRPr="00015EE8">
        <w:rPr>
          <w:u w:val="none"/>
        </w:rPr>
        <w:t xml:space="preserve"> the area of capacity building and awareness raising</w:t>
      </w:r>
      <w:r w:rsidR="00203C40" w:rsidRPr="00015EE8">
        <w:rPr>
          <w:u w:val="none"/>
        </w:rPr>
        <w:t>;</w:t>
      </w:r>
    </w:p>
    <w:p w14:paraId="5FA10459" w14:textId="418779D2" w:rsidR="00EB233E" w:rsidRPr="00015EE8" w:rsidRDefault="00EB233E" w:rsidP="00EB233E">
      <w:pPr>
        <w:pStyle w:val="COMParaDecision"/>
        <w:numPr>
          <w:ilvl w:val="0"/>
          <w:numId w:val="5"/>
        </w:numPr>
        <w:ind w:left="567" w:hanging="567"/>
        <w:rPr>
          <w:u w:val="none"/>
        </w:rPr>
      </w:pPr>
      <w:r w:rsidRPr="00015EE8">
        <w:t>Invites</w:t>
      </w:r>
      <w:r w:rsidRPr="00015EE8">
        <w:rPr>
          <w:u w:val="none"/>
        </w:rPr>
        <w:t xml:space="preserve"> the Secretariat of UNESCO to consider the possibility of convening a brainstorming meeting, either in </w:t>
      </w:r>
      <w:proofErr w:type="spellStart"/>
      <w:r w:rsidRPr="00015EE8">
        <w:rPr>
          <w:u w:val="none"/>
        </w:rPr>
        <w:t>presentia</w:t>
      </w:r>
      <w:proofErr w:type="spellEnd"/>
      <w:r w:rsidRPr="00015EE8">
        <w:rPr>
          <w:u w:val="none"/>
        </w:rPr>
        <w:t xml:space="preserve"> or online, with national focal points of all </w:t>
      </w:r>
      <w:r w:rsidR="00216546" w:rsidRPr="00015EE8">
        <w:rPr>
          <w:u w:val="none"/>
        </w:rPr>
        <w:t>UNESCO Conventions in the field of culture</w:t>
      </w:r>
      <w:r w:rsidRPr="00015EE8">
        <w:rPr>
          <w:u w:val="none"/>
        </w:rPr>
        <w:t>, if extrabudgetary funding is available</w:t>
      </w:r>
      <w:r w:rsidR="00203C40" w:rsidRPr="00015EE8">
        <w:rPr>
          <w:u w:val="none"/>
        </w:rPr>
        <w:t>;</w:t>
      </w:r>
    </w:p>
    <w:p w14:paraId="3F30A392" w14:textId="77777777" w:rsidR="00EB233E" w:rsidRPr="00015EE8" w:rsidRDefault="00EB233E" w:rsidP="00B83C29">
      <w:pPr>
        <w:pStyle w:val="COMParaDecision"/>
        <w:numPr>
          <w:ilvl w:val="0"/>
          <w:numId w:val="5"/>
        </w:numPr>
        <w:ind w:left="567" w:hanging="567"/>
        <w:rPr>
          <w:u w:val="none"/>
        </w:rPr>
      </w:pPr>
      <w:r w:rsidRPr="00015EE8">
        <w:t>Requests</w:t>
      </w:r>
      <w:r w:rsidRPr="00015EE8">
        <w:rPr>
          <w:u w:val="none"/>
        </w:rPr>
        <w:t xml:space="preserve"> the Secretariat to report back on the implementation of this Resolution to the next session of the General Assembly.</w:t>
      </w:r>
    </w:p>
    <w:p w14:paraId="47FFFEB1" w14:textId="77777777" w:rsidR="007E54D9" w:rsidRPr="00015EE8" w:rsidRDefault="007E54D9" w:rsidP="00FD07EB">
      <w:pPr>
        <w:pStyle w:val="GATitleResolution"/>
      </w:pPr>
      <w:r w:rsidRPr="00015EE8">
        <w:t>RESOLUTION 8.GA 9</w:t>
      </w:r>
    </w:p>
    <w:p w14:paraId="42DAA04C" w14:textId="77777777" w:rsidR="007E54D9" w:rsidRPr="00015EE8" w:rsidRDefault="007E54D9" w:rsidP="007E54D9">
      <w:pPr>
        <w:pStyle w:val="GAPreambulaResolution"/>
        <w:ind w:left="0"/>
      </w:pPr>
      <w:r w:rsidRPr="00015EE8">
        <w:t>The General Assembly,</w:t>
      </w:r>
    </w:p>
    <w:p w14:paraId="58444ED6" w14:textId="46E3F601" w:rsidR="007E54D9" w:rsidRPr="00015EE8" w:rsidRDefault="007E54D9" w:rsidP="00BB6BEB">
      <w:pPr>
        <w:pStyle w:val="ListParagraph"/>
        <w:numPr>
          <w:ilvl w:val="0"/>
          <w:numId w:val="18"/>
        </w:numPr>
        <w:spacing w:after="120"/>
        <w:ind w:left="567" w:hanging="567"/>
        <w:contextualSpacing w:val="0"/>
        <w:jc w:val="both"/>
        <w:rPr>
          <w:rFonts w:ascii="Arial" w:hAnsi="Arial" w:cs="Arial"/>
          <w:sz w:val="22"/>
          <w:szCs w:val="22"/>
          <w:shd w:val="clear" w:color="auto" w:fill="FFFFFF"/>
          <w:lang w:val="en-US" w:eastAsia="en-GB"/>
        </w:rPr>
      </w:pPr>
      <w:r w:rsidRPr="00015EE8">
        <w:rPr>
          <w:rFonts w:ascii="Arial" w:hAnsi="Arial" w:cs="Arial"/>
          <w:sz w:val="22"/>
          <w:szCs w:val="22"/>
          <w:u w:val="single"/>
          <w:shd w:val="clear" w:color="auto" w:fill="FFFFFF"/>
          <w:lang w:val="en-US" w:eastAsia="en-GB"/>
        </w:rPr>
        <w:t>Having examined</w:t>
      </w:r>
      <w:r w:rsidRPr="00015EE8">
        <w:rPr>
          <w:rFonts w:ascii="Arial" w:hAnsi="Arial" w:cs="Arial"/>
          <w:sz w:val="22"/>
          <w:szCs w:val="22"/>
          <w:shd w:val="clear" w:color="auto" w:fill="FFFFFF"/>
          <w:lang w:val="en-US" w:eastAsia="en-GB"/>
        </w:rPr>
        <w:t xml:space="preserve"> document </w:t>
      </w:r>
      <w:hyperlink r:id="rId22" w:history="1">
        <w:r w:rsidRPr="00015EE8">
          <w:rPr>
            <w:rStyle w:val="Hyperlink"/>
            <w:rFonts w:ascii="Arial" w:hAnsi="Arial" w:cs="Arial"/>
            <w:sz w:val="22"/>
            <w:szCs w:val="22"/>
            <w:shd w:val="clear" w:color="auto" w:fill="FFFFFF"/>
            <w:lang w:val="en-US" w:eastAsia="en-GB"/>
          </w:rPr>
          <w:t>LHE/20/8.GA/9</w:t>
        </w:r>
      </w:hyperlink>
      <w:r w:rsidRPr="00015EE8">
        <w:rPr>
          <w:rFonts w:ascii="Arial" w:hAnsi="Arial" w:cs="Arial"/>
          <w:sz w:val="22"/>
          <w:szCs w:val="22"/>
          <w:shd w:val="clear" w:color="auto" w:fill="FFFFFF"/>
          <w:lang w:val="en-US" w:eastAsia="en-GB"/>
        </w:rPr>
        <w:t xml:space="preserve"> and its </w:t>
      </w:r>
      <w:r w:rsidR="001C5F3E" w:rsidRPr="00015EE8">
        <w:rPr>
          <w:rFonts w:ascii="Arial" w:hAnsi="Arial" w:cs="Arial"/>
          <w:sz w:val="22"/>
          <w:szCs w:val="22"/>
          <w:shd w:val="clear" w:color="auto" w:fill="FFFFFF"/>
          <w:lang w:val="en-US" w:eastAsia="en-GB"/>
        </w:rPr>
        <w:t>Annex</w:t>
      </w:r>
      <w:r w:rsidRPr="00015EE8">
        <w:rPr>
          <w:rFonts w:ascii="Arial" w:hAnsi="Arial" w:cs="Arial"/>
          <w:sz w:val="22"/>
          <w:szCs w:val="22"/>
          <w:shd w:val="clear" w:color="auto" w:fill="FFFFFF"/>
          <w:lang w:val="en-US" w:eastAsia="en-GB"/>
        </w:rPr>
        <w:t>,</w:t>
      </w:r>
    </w:p>
    <w:p w14:paraId="4F914FAB" w14:textId="1A4F4538"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sz w:val="22"/>
          <w:szCs w:val="22"/>
          <w:u w:val="single"/>
          <w:shd w:val="clear" w:color="auto" w:fill="FFFFFF"/>
          <w:lang w:val="en-US" w:eastAsia="en-GB"/>
        </w:rPr>
        <w:t>Recalling</w:t>
      </w:r>
      <w:r w:rsidRPr="00015EE8">
        <w:rPr>
          <w:rFonts w:ascii="Arial" w:hAnsi="Arial" w:cs="Arial"/>
          <w:sz w:val="22"/>
          <w:szCs w:val="22"/>
          <w:shd w:val="clear" w:color="auto" w:fill="FFFFFF"/>
          <w:lang w:val="en-US" w:eastAsia="en-GB"/>
        </w:rPr>
        <w:t xml:space="preserve"> Article 11 of the Convention, Chapters VI.3 and VI.4 of the Operational Directives, the fifth point of the Ethical Principles for Safeguarding Intangible Cultural Heritage, along with </w:t>
      </w:r>
      <w:hyperlink r:id="rId23" w:history="1">
        <w:r w:rsidRPr="00015EE8">
          <w:rPr>
            <w:rStyle w:val="Hyperlink"/>
            <w:rFonts w:ascii="Arial" w:hAnsi="Arial" w:cs="Arial"/>
            <w:sz w:val="22"/>
            <w:szCs w:val="22"/>
            <w:shd w:val="clear" w:color="auto" w:fill="FFFFFF"/>
            <w:lang w:val="en-US" w:eastAsia="en-GB"/>
          </w:rPr>
          <w:t>38</w:t>
        </w:r>
        <w:r w:rsidR="00916ED8" w:rsidRPr="00015EE8">
          <w:rPr>
            <w:rStyle w:val="Hyperlink"/>
            <w:rFonts w:ascii="Arial" w:hAnsi="Arial" w:cs="Arial"/>
            <w:sz w:val="22"/>
            <w:szCs w:val="22"/>
            <w:shd w:val="clear" w:color="auto" w:fill="FFFFFF"/>
            <w:lang w:val="en-US" w:eastAsia="en-GB"/>
          </w:rPr>
          <w:t> </w:t>
        </w:r>
        <w:r w:rsidRPr="00015EE8">
          <w:rPr>
            <w:rStyle w:val="Hyperlink"/>
            <w:rFonts w:ascii="Arial" w:hAnsi="Arial" w:cs="Arial"/>
            <w:sz w:val="22"/>
            <w:szCs w:val="22"/>
            <w:shd w:val="clear" w:color="auto" w:fill="FFFFFF"/>
            <w:lang w:val="en-US" w:eastAsia="en-GB"/>
          </w:rPr>
          <w:t>C/</w:t>
        </w:r>
        <w:r w:rsidR="00146A38" w:rsidRPr="00015EE8">
          <w:rPr>
            <w:rStyle w:val="Hyperlink"/>
            <w:rFonts w:ascii="Arial" w:hAnsi="Arial" w:cs="Arial"/>
            <w:sz w:val="22"/>
            <w:szCs w:val="22"/>
            <w:shd w:val="clear" w:color="auto" w:fill="FFFFFF"/>
            <w:lang w:val="en-US" w:eastAsia="en-GB"/>
          </w:rPr>
          <w:t>Resolution </w:t>
        </w:r>
        <w:r w:rsidRPr="00015EE8">
          <w:rPr>
            <w:rStyle w:val="Hyperlink"/>
            <w:rFonts w:ascii="Arial" w:hAnsi="Arial" w:cs="Arial"/>
            <w:sz w:val="22"/>
            <w:szCs w:val="22"/>
            <w:shd w:val="clear" w:color="auto" w:fill="FFFFFF"/>
            <w:lang w:val="en-US" w:eastAsia="en-GB"/>
          </w:rPr>
          <w:t>48</w:t>
        </w:r>
      </w:hyperlink>
      <w:r w:rsidRPr="00015EE8">
        <w:rPr>
          <w:rFonts w:ascii="Arial" w:hAnsi="Arial" w:cs="Arial"/>
          <w:sz w:val="22"/>
          <w:szCs w:val="22"/>
          <w:shd w:val="clear" w:color="auto" w:fill="FFFFFF"/>
          <w:lang w:val="en-US" w:eastAsia="en-GB"/>
        </w:rPr>
        <w:t xml:space="preserve"> and </w:t>
      </w:r>
      <w:hyperlink r:id="rId24" w:history="1">
        <w:r w:rsidRPr="00015EE8">
          <w:rPr>
            <w:rStyle w:val="Hyperlink"/>
            <w:rFonts w:ascii="Arial" w:hAnsi="Arial" w:cs="Arial"/>
            <w:sz w:val="22"/>
            <w:szCs w:val="22"/>
            <w:shd w:val="clear" w:color="auto" w:fill="FFFFFF"/>
            <w:lang w:val="en-US" w:eastAsia="en-GB"/>
          </w:rPr>
          <w:t>39</w:t>
        </w:r>
        <w:r w:rsidR="00916ED8" w:rsidRPr="00015EE8">
          <w:rPr>
            <w:rStyle w:val="Hyperlink"/>
            <w:rFonts w:ascii="Arial" w:hAnsi="Arial" w:cs="Arial"/>
            <w:sz w:val="22"/>
            <w:szCs w:val="22"/>
            <w:shd w:val="clear" w:color="auto" w:fill="FFFFFF"/>
            <w:lang w:val="en-US" w:eastAsia="en-GB"/>
          </w:rPr>
          <w:t> </w:t>
        </w:r>
        <w:r w:rsidRPr="00015EE8">
          <w:rPr>
            <w:rStyle w:val="Hyperlink"/>
            <w:rFonts w:ascii="Arial" w:hAnsi="Arial" w:cs="Arial"/>
            <w:sz w:val="22"/>
            <w:szCs w:val="22"/>
            <w:shd w:val="clear" w:color="auto" w:fill="FFFFFF"/>
            <w:lang w:val="en-US" w:eastAsia="en-GB"/>
          </w:rPr>
          <w:t>C/</w:t>
        </w:r>
        <w:r w:rsidR="00146A38" w:rsidRPr="00015EE8">
          <w:rPr>
            <w:rStyle w:val="Hyperlink"/>
            <w:rFonts w:ascii="Arial" w:hAnsi="Arial" w:cs="Arial"/>
            <w:sz w:val="22"/>
            <w:szCs w:val="22"/>
            <w:shd w:val="clear" w:color="auto" w:fill="FFFFFF"/>
            <w:lang w:val="en-US" w:eastAsia="en-GB"/>
          </w:rPr>
          <w:t>Resolution </w:t>
        </w:r>
        <w:r w:rsidRPr="00015EE8">
          <w:rPr>
            <w:rStyle w:val="Hyperlink"/>
            <w:rFonts w:ascii="Arial" w:hAnsi="Arial" w:cs="Arial"/>
            <w:sz w:val="22"/>
            <w:szCs w:val="22"/>
            <w:shd w:val="clear" w:color="auto" w:fill="FFFFFF"/>
            <w:lang w:val="en-US" w:eastAsia="en-GB"/>
          </w:rPr>
          <w:t>35</w:t>
        </w:r>
      </w:hyperlink>
      <w:r w:rsidRPr="00015EE8">
        <w:rPr>
          <w:rFonts w:ascii="Arial" w:hAnsi="Arial" w:cs="Arial"/>
          <w:sz w:val="22"/>
          <w:szCs w:val="22"/>
          <w:shd w:val="clear" w:color="auto" w:fill="FFFFFF"/>
          <w:lang w:val="en-US" w:eastAsia="en-GB"/>
        </w:rPr>
        <w:t xml:space="preserve"> of the General Conference on the Strategy for the reinforcement of UNESCO’s action for the protection of culture and the </w:t>
      </w:r>
      <w:r w:rsidRPr="00015EE8">
        <w:rPr>
          <w:rFonts w:ascii="Arial" w:hAnsi="Arial" w:cs="Arial"/>
          <w:color w:val="000000" w:themeColor="text1"/>
          <w:sz w:val="22"/>
          <w:szCs w:val="22"/>
          <w:shd w:val="clear" w:color="auto" w:fill="FFFFFF"/>
          <w:lang w:val="en-US" w:eastAsia="en-GB"/>
        </w:rPr>
        <w:t>promotion of cultural pluralism in the event of armed conflict, its Action Plan and its Addendum concerning emergencies associated with disasters caused by natural and human-induced hazards, as well as United Nations Security Council Resolution 2347 (2017), and all relevant rules of International Humanitarian Law and International Human Rights Law, both as treaty and customary law,</w:t>
      </w:r>
    </w:p>
    <w:p w14:paraId="14AA2A7E" w14:textId="77777777" w:rsidR="00EB233E" w:rsidRPr="00015EE8" w:rsidRDefault="00EB233E" w:rsidP="00203C40">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lang w:val="en-US" w:eastAsia="en-GB"/>
        </w:rPr>
        <w:t>Expresses</w:t>
      </w:r>
      <w:r w:rsidRPr="00015EE8">
        <w:rPr>
          <w:rFonts w:ascii="Arial" w:hAnsi="Arial" w:cs="Arial"/>
          <w:color w:val="000000" w:themeColor="text1"/>
          <w:sz w:val="22"/>
          <w:szCs w:val="22"/>
          <w:lang w:val="en-US" w:eastAsia="en-GB"/>
        </w:rPr>
        <w:t xml:space="preserve"> its concern that the COVID-19 pandemic is adversely affecting the safeguarding and promotion of intangible cultural heritage worldwide;</w:t>
      </w:r>
    </w:p>
    <w:p w14:paraId="5F2CCF4E" w14:textId="6E1F26A5" w:rsidR="007E54D9" w:rsidRPr="00015EE8" w:rsidRDefault="005F6F69" w:rsidP="00BB6BEB">
      <w:pPr>
        <w:numPr>
          <w:ilvl w:val="0"/>
          <w:numId w:val="18"/>
        </w:numPr>
        <w:shd w:val="clear" w:color="auto" w:fill="FFFFFF"/>
        <w:spacing w:before="100" w:beforeAutospacing="1" w:after="120"/>
        <w:ind w:left="567" w:hanging="567"/>
        <w:jc w:val="both"/>
        <w:rPr>
          <w:rFonts w:ascii="Arial" w:hAnsi="Arial" w:cs="Arial"/>
          <w:color w:val="000000" w:themeColor="text1"/>
          <w:sz w:val="22"/>
          <w:szCs w:val="22"/>
          <w:lang w:val="en-US"/>
        </w:rPr>
      </w:pPr>
      <w:r w:rsidRPr="00015EE8">
        <w:rPr>
          <w:rFonts w:ascii="Arial" w:hAnsi="Arial" w:cs="Arial"/>
          <w:color w:val="000000" w:themeColor="text1"/>
          <w:sz w:val="22"/>
          <w:szCs w:val="22"/>
          <w:u w:val="single"/>
          <w:lang w:val="en-US"/>
        </w:rPr>
        <w:t>Further e</w:t>
      </w:r>
      <w:r w:rsidR="007E54D9" w:rsidRPr="00015EE8">
        <w:rPr>
          <w:rFonts w:ascii="Arial" w:hAnsi="Arial" w:cs="Arial"/>
          <w:color w:val="000000" w:themeColor="text1"/>
          <w:sz w:val="22"/>
          <w:szCs w:val="22"/>
          <w:u w:val="single"/>
          <w:lang w:val="en-US"/>
        </w:rPr>
        <w:t>xpresses</w:t>
      </w:r>
      <w:r w:rsidR="007E54D9" w:rsidRPr="00015EE8">
        <w:rPr>
          <w:rFonts w:ascii="Arial" w:hAnsi="Arial" w:cs="Arial"/>
          <w:color w:val="000000" w:themeColor="text1"/>
          <w:sz w:val="22"/>
          <w:szCs w:val="22"/>
          <w:lang w:val="en-US"/>
        </w:rPr>
        <w:t xml:space="preserve"> its </w:t>
      </w:r>
      <w:r w:rsidR="00EB233E" w:rsidRPr="00015EE8">
        <w:rPr>
          <w:rFonts w:ascii="Arial" w:hAnsi="Arial" w:cs="Arial"/>
          <w:color w:val="000000" w:themeColor="text1"/>
          <w:sz w:val="22"/>
          <w:szCs w:val="22"/>
          <w:lang w:val="en-US"/>
        </w:rPr>
        <w:t xml:space="preserve">solidarity and </w:t>
      </w:r>
      <w:r w:rsidR="007E54D9" w:rsidRPr="00015EE8">
        <w:rPr>
          <w:rFonts w:ascii="Arial" w:hAnsi="Arial" w:cs="Arial"/>
          <w:color w:val="000000" w:themeColor="text1"/>
          <w:sz w:val="22"/>
          <w:szCs w:val="22"/>
          <w:lang w:val="en-US"/>
        </w:rPr>
        <w:t xml:space="preserve">full support to individuals, groups and communities </w:t>
      </w:r>
      <w:r w:rsidR="00EB233E" w:rsidRPr="00015EE8">
        <w:rPr>
          <w:rFonts w:ascii="Arial" w:hAnsi="Arial" w:cs="Arial"/>
          <w:color w:val="000000" w:themeColor="text1"/>
          <w:sz w:val="22"/>
          <w:szCs w:val="22"/>
          <w:lang w:val="en-US"/>
        </w:rPr>
        <w:t xml:space="preserve">during the COVID-19 crisis and </w:t>
      </w:r>
      <w:r w:rsidR="007E54D9" w:rsidRPr="00015EE8">
        <w:rPr>
          <w:rFonts w:ascii="Arial" w:hAnsi="Arial" w:cs="Arial"/>
          <w:color w:val="000000" w:themeColor="text1"/>
          <w:sz w:val="22"/>
          <w:szCs w:val="22"/>
          <w:lang w:val="en-US"/>
        </w:rPr>
        <w:t xml:space="preserve">in situations of emergency and </w:t>
      </w:r>
      <w:r w:rsidR="007E54D9" w:rsidRPr="00015EE8">
        <w:rPr>
          <w:rFonts w:ascii="Arial" w:hAnsi="Arial" w:cs="Arial"/>
          <w:color w:val="000000" w:themeColor="text1"/>
          <w:sz w:val="22"/>
          <w:szCs w:val="22"/>
          <w:u w:val="single"/>
          <w:lang w:val="en-US"/>
        </w:rPr>
        <w:t>acknowledges</w:t>
      </w:r>
      <w:r w:rsidR="007E54D9" w:rsidRPr="00015EE8">
        <w:rPr>
          <w:rFonts w:ascii="Arial" w:hAnsi="Arial" w:cs="Arial"/>
          <w:color w:val="000000" w:themeColor="text1"/>
          <w:sz w:val="22"/>
          <w:szCs w:val="22"/>
          <w:lang w:val="en-US"/>
        </w:rPr>
        <w:t xml:space="preserve"> their extraordinary courage and bravery in exploring creative ways of maintaining the practice and transmission of their living heritage despite the challenging contexts they face;</w:t>
      </w:r>
    </w:p>
    <w:p w14:paraId="5519D1A1" w14:textId="77777777" w:rsidR="00EB233E" w:rsidRPr="00015EE8" w:rsidRDefault="00EB233E" w:rsidP="00BB6BEB">
      <w:pPr>
        <w:numPr>
          <w:ilvl w:val="0"/>
          <w:numId w:val="18"/>
        </w:numPr>
        <w:shd w:val="clear" w:color="auto" w:fill="FFFFFF"/>
        <w:spacing w:before="100" w:beforeAutospacing="1" w:after="120"/>
        <w:ind w:left="567" w:hanging="567"/>
        <w:jc w:val="both"/>
        <w:rPr>
          <w:rFonts w:ascii="Arial" w:hAnsi="Arial" w:cs="Arial"/>
          <w:color w:val="000000" w:themeColor="text1"/>
          <w:sz w:val="22"/>
          <w:szCs w:val="22"/>
          <w:lang w:val="en-US"/>
        </w:rPr>
      </w:pPr>
      <w:r w:rsidRPr="00015EE8">
        <w:rPr>
          <w:rFonts w:ascii="Arial" w:hAnsi="Arial" w:cs="Arial"/>
          <w:color w:val="000000" w:themeColor="text1"/>
          <w:sz w:val="22"/>
          <w:szCs w:val="22"/>
          <w:u w:val="single"/>
          <w:lang w:val="en-US"/>
        </w:rPr>
        <w:t>Also expresses</w:t>
      </w:r>
      <w:r w:rsidRPr="00015EE8">
        <w:rPr>
          <w:rFonts w:ascii="Arial" w:hAnsi="Arial" w:cs="Arial"/>
          <w:color w:val="000000" w:themeColor="text1"/>
          <w:sz w:val="22"/>
          <w:szCs w:val="22"/>
          <w:lang w:val="en-US"/>
        </w:rPr>
        <w:t xml:space="preserve"> its solidarity with Lebanon and its people, following the tragic explosions in Beirut, August 2020, recognizing the vibrant cultural life of the city and </w:t>
      </w:r>
      <w:r w:rsidRPr="00015EE8">
        <w:rPr>
          <w:rFonts w:ascii="Arial" w:hAnsi="Arial" w:cs="Arial"/>
          <w:color w:val="000000" w:themeColor="text1"/>
          <w:sz w:val="22"/>
          <w:szCs w:val="22"/>
          <w:u w:val="single"/>
          <w:lang w:val="en-US"/>
        </w:rPr>
        <w:t>encourages</w:t>
      </w:r>
      <w:r w:rsidRPr="00015EE8">
        <w:rPr>
          <w:rFonts w:ascii="Arial" w:hAnsi="Arial" w:cs="Arial"/>
          <w:color w:val="000000" w:themeColor="text1"/>
          <w:sz w:val="22"/>
          <w:szCs w:val="22"/>
          <w:lang w:val="en-US"/>
        </w:rPr>
        <w:t xml:space="preserve"> all efforts to support the recovery process in the sense of the operational principles and modalities for safeguarding intangible cultural heritage in emergencies;</w:t>
      </w:r>
    </w:p>
    <w:p w14:paraId="5A8BF5B6" w14:textId="77777777" w:rsidR="007E54D9" w:rsidRPr="00015EE8" w:rsidRDefault="007E54D9" w:rsidP="00BB6BEB">
      <w:pPr>
        <w:numPr>
          <w:ilvl w:val="0"/>
          <w:numId w:val="18"/>
        </w:numPr>
        <w:shd w:val="clear" w:color="auto" w:fill="FFFFFF"/>
        <w:spacing w:before="100" w:beforeAutospacing="1" w:after="120"/>
        <w:ind w:left="567" w:hanging="567"/>
        <w:jc w:val="both"/>
        <w:rPr>
          <w:rFonts w:ascii="Arial" w:hAnsi="Arial" w:cs="Arial"/>
          <w:color w:val="000000" w:themeColor="text1"/>
          <w:sz w:val="22"/>
          <w:szCs w:val="22"/>
          <w:lang w:val="en-US"/>
        </w:rPr>
      </w:pPr>
      <w:r w:rsidRPr="00015EE8">
        <w:rPr>
          <w:rFonts w:ascii="Arial" w:hAnsi="Arial" w:cs="Arial"/>
          <w:color w:val="000000" w:themeColor="text1"/>
          <w:sz w:val="22"/>
          <w:szCs w:val="22"/>
          <w:u w:val="single"/>
          <w:lang w:val="en-US"/>
        </w:rPr>
        <w:t>Reaffirms</w:t>
      </w:r>
      <w:r w:rsidRPr="00015EE8">
        <w:rPr>
          <w:rFonts w:ascii="Arial" w:hAnsi="Arial" w:cs="Arial"/>
          <w:color w:val="000000" w:themeColor="text1"/>
          <w:sz w:val="22"/>
          <w:szCs w:val="22"/>
          <w:lang w:val="en-US"/>
        </w:rPr>
        <w:t xml:space="preserve"> the dual role that safeguarding intangible cultural heritage in emergencies can play, both to mitigate threats to the intangible cultural heritage itself and as a powerful tool to help communities prepare for, respond to and recover from emergencies, including the effects of climate change;</w:t>
      </w:r>
    </w:p>
    <w:p w14:paraId="465E3A5B" w14:textId="77777777"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shd w:val="clear" w:color="auto" w:fill="FFFFFF"/>
          <w:lang w:val="en-US" w:eastAsia="en-GB"/>
        </w:rPr>
        <w:t>Appreciates</w:t>
      </w:r>
      <w:r w:rsidRPr="00015EE8">
        <w:rPr>
          <w:rFonts w:ascii="Arial" w:hAnsi="Arial" w:cs="Arial"/>
          <w:color w:val="000000" w:themeColor="text1"/>
          <w:sz w:val="22"/>
          <w:szCs w:val="22"/>
          <w:shd w:val="clear" w:color="auto" w:fill="FFFFFF"/>
          <w:lang w:val="en-US" w:eastAsia="en-GB"/>
        </w:rPr>
        <w:t xml:space="preserve"> the in-depth reflection carried out by the Committee</w:t>
      </w:r>
      <w:r w:rsidRPr="00015EE8">
        <w:rPr>
          <w:rFonts w:ascii="Arial" w:hAnsi="Arial" w:cs="Arial"/>
          <w:bCs/>
          <w:sz w:val="22"/>
          <w:szCs w:val="22"/>
          <w:lang w:val="en-US"/>
        </w:rPr>
        <w:t xml:space="preserve"> on the role of intangible cultural heritage in emergencies, as well as the accompanying work undertaken by the Secretariat to collect case studies, conduct pilot activities and develop a capacity-building approach for building a suitable methodological framework on the topic;</w:t>
      </w:r>
    </w:p>
    <w:p w14:paraId="27F19CD6" w14:textId="77777777"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shd w:val="clear" w:color="auto" w:fill="FFFFFF"/>
          <w:lang w:val="en-US" w:eastAsia="en-GB"/>
        </w:rPr>
        <w:t>Thanks</w:t>
      </w:r>
      <w:r w:rsidRPr="00015EE8">
        <w:rPr>
          <w:rFonts w:ascii="Arial" w:hAnsi="Arial" w:cs="Arial"/>
          <w:color w:val="000000" w:themeColor="text1"/>
          <w:sz w:val="22"/>
          <w:szCs w:val="22"/>
          <w:shd w:val="clear" w:color="auto" w:fill="FFFFFF"/>
          <w:lang w:val="en-US" w:eastAsia="en-GB"/>
        </w:rPr>
        <w:t xml:space="preserve"> the People’s Republic of China for their generous contribution to the expert meeting on intangible cultural heritage and emergencies held at UNESCO Headquarters in May 2019;</w:t>
      </w:r>
    </w:p>
    <w:p w14:paraId="7B1A872B" w14:textId="592E9DEC"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shd w:val="clear" w:color="auto" w:fill="FFFFFF"/>
          <w:lang w:val="en-US" w:eastAsia="en-GB"/>
        </w:rPr>
        <w:t>Approves</w:t>
      </w:r>
      <w:r w:rsidRPr="00015EE8">
        <w:rPr>
          <w:rFonts w:ascii="Arial" w:hAnsi="Arial" w:cs="Arial"/>
          <w:color w:val="000000" w:themeColor="text1"/>
          <w:sz w:val="22"/>
          <w:szCs w:val="22"/>
          <w:shd w:val="clear" w:color="auto" w:fill="FFFFFF"/>
          <w:lang w:val="en-US" w:eastAsia="en-GB"/>
        </w:rPr>
        <w:t xml:space="preserve"> the operational principles and modalities for safeguarding intangible cultural heritage in emergencies, as annexed to this </w:t>
      </w:r>
      <w:r w:rsidR="00146A38" w:rsidRPr="00015EE8">
        <w:rPr>
          <w:rFonts w:ascii="Arial" w:hAnsi="Arial" w:cs="Arial"/>
          <w:color w:val="000000" w:themeColor="text1"/>
          <w:sz w:val="22"/>
          <w:szCs w:val="22"/>
          <w:shd w:val="clear" w:color="auto" w:fill="FFFFFF"/>
          <w:lang w:val="en-US" w:eastAsia="en-GB"/>
        </w:rPr>
        <w:t>Resolution</w:t>
      </w:r>
      <w:r w:rsidRPr="00015EE8">
        <w:rPr>
          <w:rFonts w:ascii="Arial" w:hAnsi="Arial" w:cs="Arial"/>
          <w:color w:val="000000" w:themeColor="text1"/>
          <w:sz w:val="22"/>
          <w:szCs w:val="22"/>
          <w:shd w:val="clear" w:color="auto" w:fill="FFFFFF"/>
          <w:lang w:val="en-US" w:eastAsia="en-GB"/>
        </w:rPr>
        <w:t>;</w:t>
      </w:r>
    </w:p>
    <w:p w14:paraId="43C07D20" w14:textId="77777777"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shd w:val="clear" w:color="auto" w:fill="FFFFFF"/>
          <w:lang w:val="en-US" w:eastAsia="en-GB"/>
        </w:rPr>
        <w:t>Encourages</w:t>
      </w:r>
      <w:r w:rsidRPr="00015EE8">
        <w:rPr>
          <w:rFonts w:ascii="Arial" w:hAnsi="Arial" w:cs="Arial"/>
          <w:color w:val="000000" w:themeColor="text1"/>
          <w:sz w:val="22"/>
          <w:szCs w:val="22"/>
          <w:shd w:val="clear" w:color="auto" w:fill="FFFFFF"/>
          <w:lang w:val="en-US" w:eastAsia="en-GB"/>
        </w:rPr>
        <w:t xml:space="preserve"> States Parties, and any other relevant national or international stakeholders, to initiate steps to implement and adapt the operational principles and modalities to their specific contexts and to implement a range of practical projects, which will contribute to the ongoing safeguarding of intangible cultural heritage in emergencies</w:t>
      </w:r>
      <w:r w:rsidR="00EB233E" w:rsidRPr="00015EE8">
        <w:rPr>
          <w:rFonts w:ascii="Arial" w:hAnsi="Arial" w:cs="Arial"/>
          <w:color w:val="000000" w:themeColor="text1"/>
          <w:sz w:val="22"/>
          <w:szCs w:val="22"/>
          <w:shd w:val="clear" w:color="auto" w:fill="FFFFFF"/>
          <w:lang w:val="en-US" w:eastAsia="en-GB"/>
        </w:rPr>
        <w:t>, including in the context of the COVID-19 response and recovery</w:t>
      </w:r>
      <w:r w:rsidRPr="00015EE8">
        <w:rPr>
          <w:rFonts w:ascii="Arial" w:hAnsi="Arial" w:cs="Arial"/>
          <w:color w:val="000000" w:themeColor="text1"/>
          <w:sz w:val="22"/>
          <w:szCs w:val="22"/>
          <w:shd w:val="clear" w:color="auto" w:fill="FFFFFF"/>
          <w:lang w:val="en-US" w:eastAsia="en-GB"/>
        </w:rPr>
        <w:t>;</w:t>
      </w:r>
    </w:p>
    <w:p w14:paraId="4A8CFBE2" w14:textId="6C6D49DD" w:rsidR="00EB233E" w:rsidRPr="00015EE8" w:rsidRDefault="00EB233E" w:rsidP="00BB6BEB">
      <w:pPr>
        <w:pStyle w:val="ListParagraph"/>
        <w:numPr>
          <w:ilvl w:val="0"/>
          <w:numId w:val="18"/>
        </w:numPr>
        <w:spacing w:after="120"/>
        <w:ind w:left="567" w:hanging="567"/>
        <w:contextualSpacing w:val="0"/>
        <w:jc w:val="both"/>
        <w:rPr>
          <w:rFonts w:ascii="Arial" w:hAnsi="Arial" w:cs="Arial"/>
          <w:color w:val="000000" w:themeColor="text1"/>
          <w:sz w:val="22"/>
          <w:szCs w:val="22"/>
          <w:lang w:val="en-US" w:eastAsia="en-GB"/>
        </w:rPr>
      </w:pPr>
      <w:r w:rsidRPr="00015EE8">
        <w:rPr>
          <w:rFonts w:ascii="Arial" w:hAnsi="Arial" w:cs="Arial"/>
          <w:color w:val="000000" w:themeColor="text1"/>
          <w:sz w:val="22"/>
          <w:szCs w:val="22"/>
          <w:u w:val="single"/>
          <w:shd w:val="clear" w:color="auto" w:fill="FFFFFF"/>
          <w:lang w:val="en-US" w:eastAsia="en-GB"/>
        </w:rPr>
        <w:t>Requests</w:t>
      </w:r>
      <w:r w:rsidRPr="00015EE8">
        <w:rPr>
          <w:rFonts w:ascii="Arial" w:hAnsi="Arial" w:cs="Arial"/>
          <w:color w:val="000000" w:themeColor="text1"/>
          <w:sz w:val="22"/>
          <w:szCs w:val="22"/>
          <w:shd w:val="clear" w:color="auto" w:fill="FFFFFF"/>
          <w:lang w:val="en-US" w:eastAsia="en-GB"/>
        </w:rPr>
        <w:t xml:space="preserve"> that the Secretariat continue its efforts in monitoring the effects of COVID-19 on the safeguarding of intangible cultural heritage and collect lessons learned focused on how to best operationalize the principles and modalities in times of pandemics, and report to the Committee and the ninth session of the General Assembly;</w:t>
      </w:r>
    </w:p>
    <w:p w14:paraId="1DA7DCFA" w14:textId="04E7EF5C" w:rsidR="007E54D9" w:rsidRPr="00015EE8" w:rsidRDefault="00055C79" w:rsidP="00BB6BEB">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lang w:val="en-US" w:eastAsia="en-GB"/>
        </w:rPr>
      </w:pPr>
      <w:r w:rsidRPr="00015EE8">
        <w:rPr>
          <w:rFonts w:ascii="Arial" w:hAnsi="Arial" w:cs="Arial"/>
          <w:color w:val="000000" w:themeColor="text1"/>
          <w:sz w:val="22"/>
          <w:szCs w:val="22"/>
          <w:u w:val="single"/>
          <w:shd w:val="clear" w:color="auto" w:fill="FFFFFF"/>
          <w:lang w:val="en-US" w:eastAsia="en-GB"/>
        </w:rPr>
        <w:t xml:space="preserve">Further </w:t>
      </w:r>
      <w:r w:rsidR="005E19E5" w:rsidRPr="00015EE8">
        <w:rPr>
          <w:rFonts w:ascii="Arial" w:hAnsi="Arial" w:cs="Arial"/>
          <w:color w:val="000000" w:themeColor="text1"/>
          <w:sz w:val="22"/>
          <w:szCs w:val="22"/>
          <w:u w:val="single"/>
          <w:shd w:val="clear" w:color="auto" w:fill="FFFFFF"/>
          <w:lang w:val="en-US" w:eastAsia="en-GB"/>
        </w:rPr>
        <w:t>r</w:t>
      </w:r>
      <w:r w:rsidR="007E54D9" w:rsidRPr="00015EE8">
        <w:rPr>
          <w:rFonts w:ascii="Arial" w:hAnsi="Arial" w:cs="Arial"/>
          <w:color w:val="000000" w:themeColor="text1"/>
          <w:sz w:val="22"/>
          <w:szCs w:val="22"/>
          <w:u w:val="single"/>
          <w:shd w:val="clear" w:color="auto" w:fill="FFFFFF"/>
          <w:lang w:val="en-US" w:eastAsia="en-GB"/>
        </w:rPr>
        <w:t>equests</w:t>
      </w:r>
      <w:r w:rsidR="007E54D9" w:rsidRPr="00015EE8">
        <w:rPr>
          <w:rFonts w:ascii="Arial" w:hAnsi="Arial" w:cs="Arial"/>
          <w:color w:val="000000" w:themeColor="text1"/>
          <w:sz w:val="22"/>
          <w:szCs w:val="22"/>
          <w:shd w:val="clear" w:color="auto" w:fill="FFFFFF"/>
          <w:lang w:val="en-US" w:eastAsia="en-GB"/>
        </w:rPr>
        <w:t xml:space="preserve"> that the Secretariat continue its efforts to develop a capacity-building approach to operationalize the principles and modalities and build awareness of their importance among relevant stakeholders, as well as to explore linkages and cooperation with other Conventions and </w:t>
      </w:r>
      <w:proofErr w:type="spellStart"/>
      <w:r w:rsidR="007E54D9" w:rsidRPr="00015EE8">
        <w:rPr>
          <w:rFonts w:ascii="Arial" w:hAnsi="Arial" w:cs="Arial"/>
          <w:color w:val="000000" w:themeColor="text1"/>
          <w:sz w:val="22"/>
          <w:szCs w:val="22"/>
          <w:shd w:val="clear" w:color="auto" w:fill="FFFFFF"/>
          <w:lang w:val="en-US" w:eastAsia="en-GB"/>
        </w:rPr>
        <w:t>programmes</w:t>
      </w:r>
      <w:proofErr w:type="spellEnd"/>
      <w:r w:rsidR="007E54D9" w:rsidRPr="00015EE8">
        <w:rPr>
          <w:rFonts w:ascii="Arial" w:hAnsi="Arial" w:cs="Arial"/>
          <w:color w:val="000000" w:themeColor="text1"/>
          <w:sz w:val="22"/>
          <w:szCs w:val="22"/>
          <w:shd w:val="clear" w:color="auto" w:fill="FFFFFF"/>
          <w:lang w:val="en-US" w:eastAsia="en-GB"/>
        </w:rPr>
        <w:t xml:space="preserve"> in the field of culture, along with UN organizations and international bodies in related areas;</w:t>
      </w:r>
    </w:p>
    <w:p w14:paraId="4BD52E6C" w14:textId="50D6513F" w:rsidR="004024DB" w:rsidRPr="00015EE8" w:rsidRDefault="00055C79" w:rsidP="00BB6BEB">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lang w:val="en-US" w:eastAsia="en-GB"/>
        </w:rPr>
      </w:pPr>
      <w:r w:rsidRPr="00015EE8">
        <w:rPr>
          <w:rFonts w:ascii="Arial" w:hAnsi="Arial" w:cs="Arial"/>
          <w:color w:val="000000" w:themeColor="text1"/>
          <w:sz w:val="22"/>
          <w:szCs w:val="22"/>
          <w:u w:val="single"/>
          <w:shd w:val="clear" w:color="auto" w:fill="FFFFFF"/>
          <w:lang w:val="en-US" w:eastAsia="en-GB"/>
        </w:rPr>
        <w:t>Also</w:t>
      </w:r>
      <w:r w:rsidR="004024DB" w:rsidRPr="00015EE8">
        <w:rPr>
          <w:rFonts w:ascii="Arial" w:hAnsi="Arial" w:cs="Arial"/>
          <w:color w:val="000000" w:themeColor="text1"/>
          <w:sz w:val="22"/>
          <w:szCs w:val="22"/>
          <w:u w:val="single"/>
          <w:shd w:val="clear" w:color="auto" w:fill="FFFFFF"/>
          <w:lang w:val="en-US" w:eastAsia="en-GB"/>
        </w:rPr>
        <w:t xml:space="preserve"> requests</w:t>
      </w:r>
      <w:r w:rsidR="004024DB" w:rsidRPr="00015EE8">
        <w:rPr>
          <w:rFonts w:ascii="Arial" w:hAnsi="Arial" w:cs="Arial"/>
          <w:color w:val="000000" w:themeColor="text1"/>
          <w:sz w:val="22"/>
          <w:szCs w:val="22"/>
          <w:shd w:val="clear" w:color="auto" w:fill="FFFFFF"/>
          <w:lang w:val="en-US" w:eastAsia="en-GB"/>
        </w:rPr>
        <w:t xml:space="preserve"> the Secretariat to </w:t>
      </w:r>
      <w:r w:rsidR="004024DB" w:rsidRPr="00015EE8">
        <w:rPr>
          <w:rFonts w:ascii="Arial" w:hAnsi="Arial" w:cs="Arial"/>
          <w:sz w:val="22"/>
          <w:szCs w:val="22"/>
          <w:shd w:val="clear" w:color="auto" w:fill="FFFFFF"/>
          <w:lang w:val="en-US" w:eastAsia="en-GB"/>
        </w:rPr>
        <w:t>bring the operational principles and modalities to the attention of other intergovernmental bodies charged with the implementation of these Conventions, in particular the bodies of the 1954 </w:t>
      </w:r>
      <w:r w:rsidR="00203C40" w:rsidRPr="00015EE8">
        <w:rPr>
          <w:rFonts w:ascii="Arial" w:hAnsi="Arial" w:cs="Arial"/>
          <w:sz w:val="22"/>
          <w:szCs w:val="22"/>
          <w:shd w:val="clear" w:color="auto" w:fill="FFFFFF"/>
          <w:lang w:val="en-US"/>
        </w:rPr>
        <w:t>Hague Convention for the Protection of Cultural Property in the Event of Armed Conflict</w:t>
      </w:r>
      <w:r w:rsidR="004024DB" w:rsidRPr="00015EE8">
        <w:rPr>
          <w:rFonts w:ascii="Arial" w:hAnsi="Arial" w:cs="Arial"/>
          <w:sz w:val="22"/>
          <w:szCs w:val="22"/>
          <w:shd w:val="clear" w:color="auto" w:fill="FFFFFF"/>
          <w:lang w:val="en-US" w:eastAsia="en-GB"/>
        </w:rPr>
        <w:t xml:space="preserve"> and its two </w:t>
      </w:r>
      <w:r w:rsidR="002748B9" w:rsidRPr="00015EE8">
        <w:rPr>
          <w:rFonts w:ascii="Arial" w:hAnsi="Arial" w:cs="Arial"/>
          <w:sz w:val="22"/>
          <w:szCs w:val="22"/>
          <w:shd w:val="clear" w:color="auto" w:fill="FFFFFF"/>
          <w:lang w:val="en-US" w:eastAsia="en-GB"/>
        </w:rPr>
        <w:t>p</w:t>
      </w:r>
      <w:r w:rsidR="004024DB" w:rsidRPr="00015EE8">
        <w:rPr>
          <w:rFonts w:ascii="Arial" w:hAnsi="Arial" w:cs="Arial"/>
          <w:sz w:val="22"/>
          <w:szCs w:val="22"/>
          <w:shd w:val="clear" w:color="auto" w:fill="FFFFFF"/>
          <w:lang w:val="en-US" w:eastAsia="en-GB"/>
        </w:rPr>
        <w:t>rotocols;</w:t>
      </w:r>
    </w:p>
    <w:p w14:paraId="4C62C9A3" w14:textId="77777777" w:rsidR="007E54D9" w:rsidRPr="00015EE8" w:rsidRDefault="007E54D9" w:rsidP="00BB6BEB">
      <w:pPr>
        <w:pStyle w:val="ListParagraph"/>
        <w:numPr>
          <w:ilvl w:val="0"/>
          <w:numId w:val="18"/>
        </w:numPr>
        <w:spacing w:after="120"/>
        <w:ind w:left="567" w:hanging="567"/>
        <w:contextualSpacing w:val="0"/>
        <w:jc w:val="both"/>
        <w:rPr>
          <w:rFonts w:ascii="Arial" w:hAnsi="Arial" w:cs="Arial"/>
          <w:color w:val="000000" w:themeColor="text1"/>
          <w:sz w:val="22"/>
          <w:szCs w:val="22"/>
          <w:shd w:val="clear" w:color="auto" w:fill="FFFFFF"/>
          <w:lang w:val="en-US" w:eastAsia="en-GB"/>
        </w:rPr>
      </w:pPr>
      <w:r w:rsidRPr="00015EE8">
        <w:rPr>
          <w:rFonts w:ascii="Arial" w:hAnsi="Arial" w:cs="Arial"/>
          <w:color w:val="000000" w:themeColor="text1"/>
          <w:sz w:val="22"/>
          <w:szCs w:val="22"/>
          <w:u w:val="single"/>
          <w:shd w:val="clear" w:color="auto" w:fill="FFFFFF"/>
          <w:lang w:val="en-US" w:eastAsia="en-GB"/>
        </w:rPr>
        <w:t>Further encourages</w:t>
      </w:r>
      <w:r w:rsidRPr="00015EE8">
        <w:rPr>
          <w:rFonts w:ascii="Arial" w:hAnsi="Arial" w:cs="Arial"/>
          <w:color w:val="000000" w:themeColor="text1"/>
          <w:sz w:val="22"/>
          <w:szCs w:val="22"/>
          <w:shd w:val="clear" w:color="auto" w:fill="FFFFFF"/>
          <w:lang w:val="en-US" w:eastAsia="en-GB"/>
        </w:rPr>
        <w:t xml:space="preserve"> States Parties to consider the possibility of financially supporting future work on intangible cultural heritage in emergencies through the modality of their choice.</w:t>
      </w:r>
    </w:p>
    <w:p w14:paraId="6162EC60" w14:textId="77777777" w:rsidR="007E54D9" w:rsidRPr="00015EE8" w:rsidRDefault="007E54D9" w:rsidP="00FD07EB">
      <w:pPr>
        <w:shd w:val="clear" w:color="auto" w:fill="FFFFFF"/>
        <w:spacing w:before="360" w:after="240"/>
        <w:jc w:val="center"/>
        <w:rPr>
          <w:rFonts w:ascii="Arial" w:hAnsi="Arial" w:cs="Arial"/>
          <w:color w:val="000000" w:themeColor="text1"/>
          <w:sz w:val="22"/>
          <w:szCs w:val="22"/>
          <w:lang w:val="en-US"/>
        </w:rPr>
      </w:pPr>
      <w:r w:rsidRPr="00015EE8">
        <w:rPr>
          <w:rFonts w:ascii="Arial" w:hAnsi="Arial" w:cs="Arial"/>
          <w:b/>
          <w:bCs/>
          <w:color w:val="000000" w:themeColor="text1"/>
          <w:sz w:val="22"/>
          <w:szCs w:val="22"/>
          <w:lang w:val="en-US"/>
        </w:rPr>
        <w:t>ANNEX</w:t>
      </w:r>
    </w:p>
    <w:p w14:paraId="2B12FB90" w14:textId="77777777" w:rsidR="007E54D9" w:rsidRPr="00015EE8" w:rsidRDefault="007E54D9" w:rsidP="007E54D9">
      <w:pPr>
        <w:shd w:val="clear" w:color="auto" w:fill="FFFFFF"/>
        <w:spacing w:after="120"/>
        <w:jc w:val="center"/>
        <w:rPr>
          <w:rFonts w:ascii="Arial" w:hAnsi="Arial" w:cs="Arial"/>
          <w:color w:val="000000" w:themeColor="text1"/>
          <w:sz w:val="22"/>
          <w:szCs w:val="22"/>
          <w:lang w:val="en-US"/>
        </w:rPr>
      </w:pPr>
      <w:r w:rsidRPr="00015EE8">
        <w:rPr>
          <w:rFonts w:ascii="Arial" w:hAnsi="Arial" w:cs="Arial"/>
          <w:b/>
          <w:bCs/>
          <w:color w:val="000000" w:themeColor="text1"/>
          <w:sz w:val="22"/>
          <w:szCs w:val="22"/>
          <w:lang w:val="en-US"/>
        </w:rPr>
        <w:t>Operational principles and modalities for</w:t>
      </w:r>
      <w:r w:rsidRPr="00015EE8">
        <w:rPr>
          <w:rFonts w:ascii="Arial" w:hAnsi="Arial" w:cs="Arial"/>
          <w:b/>
          <w:bCs/>
          <w:color w:val="000000" w:themeColor="text1"/>
          <w:sz w:val="22"/>
          <w:szCs w:val="22"/>
          <w:lang w:val="en-US"/>
        </w:rPr>
        <w:br/>
        <w:t>safeguarding intangible cultural heritage in emergencies</w:t>
      </w:r>
    </w:p>
    <w:p w14:paraId="1249913E"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color w:val="000000" w:themeColor="text1"/>
          <w:sz w:val="22"/>
          <w:szCs w:val="22"/>
        </w:rPr>
        <w:t>Cultural heritage throughout the world is increasingly affected by emergency situations, including conflicts and disasters caused by natural and human-induced hazards (‘natural disasters’). These situations include threats to the transmission and viability of intangible cultural heritage, which provide a foundation for the identity and well-being of communities, groups and individuals [hereafter ‘communities’]. The safeguarding of intangible cultural heritage has a dual role to play in the context of emergencies: on the one hand, intangible cultural heritage can be directly threatened by emergencies, and on the other hand, it can effectively help communities to prepare for, respond to and recover from emergencies.</w:t>
      </w:r>
    </w:p>
    <w:p w14:paraId="2B55A767"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color w:val="000000" w:themeColor="text1"/>
          <w:sz w:val="22"/>
          <w:szCs w:val="22"/>
        </w:rPr>
        <w:t>Emergencies present a complex field of operation due to the variety in nature and scale of armed conflicts and natural disasters and the range of stakeholders involved. The following operational principles and modalities offer guidance to States Parties and other relevant national or international stakeholders on how best to ensure that intangible cultural heritage is most effectively engaged and safeguarded in the context of various types of emergencies.</w:t>
      </w:r>
    </w:p>
    <w:p w14:paraId="1003F6E2" w14:textId="77777777" w:rsidR="007E54D9" w:rsidRPr="00015EE8" w:rsidRDefault="007E54D9" w:rsidP="007E54D9">
      <w:pPr>
        <w:spacing w:after="240"/>
        <w:jc w:val="both"/>
        <w:rPr>
          <w:rFonts w:ascii="Arial" w:hAnsi="Arial" w:cs="Arial"/>
          <w:sz w:val="22"/>
          <w:szCs w:val="22"/>
          <w:lang w:val="en-GB"/>
        </w:rPr>
      </w:pPr>
      <w:r w:rsidRPr="00015EE8">
        <w:rPr>
          <w:rFonts w:ascii="Arial" w:hAnsi="Arial" w:cs="Arial"/>
          <w:sz w:val="22"/>
          <w:szCs w:val="22"/>
          <w:lang w:val="en-GB"/>
        </w:rPr>
        <w:t xml:space="preserve">The operational principles and modalities below are in line with the </w:t>
      </w:r>
      <w:hyperlink r:id="rId25" w:history="1">
        <w:r w:rsidRPr="00015EE8">
          <w:rPr>
            <w:rFonts w:ascii="Arial" w:hAnsi="Arial" w:cs="Arial"/>
            <w:sz w:val="22"/>
            <w:szCs w:val="22"/>
            <w:lang w:val="en-GB"/>
          </w:rPr>
          <w:t>Strategy for the reinforcement of UNESCO’s action for the protection of culture and the promotion of cultural pluralism in the event of armed conflict</w:t>
        </w:r>
      </w:hyperlink>
      <w:r w:rsidRPr="00015EE8">
        <w:rPr>
          <w:rStyle w:val="FootnoteReference"/>
          <w:rFonts w:ascii="Arial" w:eastAsia="MS Mincho" w:hAnsi="Arial" w:cs="Arial"/>
          <w:sz w:val="22"/>
          <w:szCs w:val="22"/>
          <w:lang w:val="en-GB"/>
        </w:rPr>
        <w:footnoteReference w:id="2"/>
      </w:r>
      <w:r w:rsidRPr="00015EE8">
        <w:rPr>
          <w:rFonts w:ascii="Arial" w:hAnsi="Arial" w:cs="Arial"/>
          <w:sz w:val="22"/>
          <w:szCs w:val="22"/>
          <w:lang w:val="en-GB"/>
        </w:rPr>
        <w:t xml:space="preserve"> and its </w:t>
      </w:r>
      <w:hyperlink r:id="rId26" w:history="1">
        <w:r w:rsidRPr="00015EE8">
          <w:rPr>
            <w:rFonts w:ascii="Arial" w:hAnsi="Arial" w:cs="Arial"/>
            <w:sz w:val="22"/>
            <w:szCs w:val="22"/>
            <w:lang w:val="en-GB"/>
          </w:rPr>
          <w:t>Addendum concerning emergencies associated with disasters caused by natural and human-induced hazards</w:t>
        </w:r>
      </w:hyperlink>
      <w:r w:rsidRPr="00015EE8">
        <w:rPr>
          <w:rFonts w:ascii="Arial" w:hAnsi="Arial" w:cs="Arial"/>
          <w:sz w:val="22"/>
          <w:szCs w:val="22"/>
          <w:lang w:val="en-GB"/>
        </w:rPr>
        <w:t>,</w:t>
      </w:r>
      <w:r w:rsidRPr="00015EE8">
        <w:rPr>
          <w:rStyle w:val="FootnoteReference"/>
          <w:rFonts w:ascii="Arial" w:eastAsia="MS Mincho" w:hAnsi="Arial" w:cs="Arial"/>
          <w:sz w:val="22"/>
          <w:szCs w:val="22"/>
          <w:lang w:val="en-GB"/>
        </w:rPr>
        <w:footnoteReference w:id="3"/>
      </w:r>
      <w:r w:rsidRPr="00015EE8">
        <w:rPr>
          <w:rFonts w:ascii="Arial" w:hAnsi="Arial" w:cs="Arial"/>
          <w:sz w:val="22"/>
          <w:szCs w:val="22"/>
          <w:lang w:val="en-GB"/>
        </w:rPr>
        <w:t xml:space="preserve"> as well as United Nations Security Council Resolution 2347 (2017). They should also be considered in tandem with the relevant provisions of the 2003 Convention for the Safeguarding of the Intangible Cultural Heritage and its Operational Directives, notably </w:t>
      </w:r>
      <w:hyperlink r:id="rId27" w:history="1">
        <w:r w:rsidRPr="00015EE8">
          <w:rPr>
            <w:rFonts w:ascii="Arial" w:hAnsi="Arial" w:cs="Arial"/>
            <w:sz w:val="22"/>
            <w:szCs w:val="22"/>
            <w:lang w:val="en-GB"/>
          </w:rPr>
          <w:t>Chapter VI</w:t>
        </w:r>
        <w:r w:rsidRPr="00015EE8">
          <w:rPr>
            <w:rStyle w:val="FootnoteReference"/>
            <w:rFonts w:ascii="Arial" w:eastAsia="MS Mincho" w:hAnsi="Arial" w:cs="Arial"/>
            <w:sz w:val="22"/>
            <w:szCs w:val="22"/>
            <w:lang w:val="en-GB"/>
          </w:rPr>
          <w:footnoteReference w:id="4"/>
        </w:r>
        <w:r w:rsidRPr="00015EE8">
          <w:rPr>
            <w:rFonts w:ascii="Arial" w:hAnsi="Arial" w:cs="Arial"/>
            <w:sz w:val="22"/>
            <w:szCs w:val="22"/>
            <w:lang w:val="en-GB"/>
          </w:rPr>
          <w:t xml:space="preserve"> on safeguarding intangible cultural heritage and sustainable development at the national level</w:t>
        </w:r>
      </w:hyperlink>
      <w:r w:rsidRPr="00015EE8">
        <w:rPr>
          <w:rFonts w:ascii="Arial" w:hAnsi="Arial" w:cs="Arial"/>
          <w:sz w:val="22"/>
          <w:szCs w:val="22"/>
          <w:lang w:val="en-GB"/>
        </w:rPr>
        <w:t>, as well as the Ethical Principles for Safeguarding Intangible Cultural Heritage.</w:t>
      </w:r>
    </w:p>
    <w:p w14:paraId="0322F520"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u w:val="single"/>
        </w:rPr>
        <w:t>Principles</w:t>
      </w:r>
    </w:p>
    <w:p w14:paraId="6F2288DD"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color w:val="000000" w:themeColor="text1"/>
          <w:sz w:val="22"/>
          <w:szCs w:val="22"/>
        </w:rPr>
        <w:t>The following principles shall underpin all interventions aimed at safeguarding and/or engaging intangible cultural heritage in emergencies:</w:t>
      </w:r>
    </w:p>
    <w:p w14:paraId="1AE987FE" w14:textId="77777777" w:rsidR="007E54D9" w:rsidRPr="00015EE8" w:rsidRDefault="007E54D9" w:rsidP="00BB6BEB">
      <w:pPr>
        <w:numPr>
          <w:ilvl w:val="0"/>
          <w:numId w:val="19"/>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Intangible cultural heritage exists only in its enactment by the communities who practise and transmit it, and is inseparable from their social, cultural and economic life. Its safeguarding is therefore indivisible from the protection of the lives and well-being of its bearers.</w:t>
      </w:r>
    </w:p>
    <w:p w14:paraId="0C12CF81" w14:textId="77777777" w:rsidR="007E54D9" w:rsidRPr="00015EE8" w:rsidRDefault="007E54D9" w:rsidP="00BB6BEB">
      <w:pPr>
        <w:numPr>
          <w:ilvl w:val="0"/>
          <w:numId w:val="19"/>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Communities whose intangible cultural heritage may be affected by an emergency include people in the natural disaster or armed conflict area, displaced persons and their host communities, as well as other people and groups connected with this intangible cultural heritage.</w:t>
      </w:r>
    </w:p>
    <w:p w14:paraId="48AF2C21" w14:textId="77777777" w:rsidR="007E54D9" w:rsidRPr="00015EE8" w:rsidRDefault="007E54D9" w:rsidP="00BB6BEB">
      <w:pPr>
        <w:numPr>
          <w:ilvl w:val="0"/>
          <w:numId w:val="19"/>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In all phases of emergency, the communities shall play a primary role in identifying their intangible cultural heritage. This requires the direct inclusion of the communities in identifying how their intangible cultural heritage might have been affected by the emergency and what measures are needed to safeguard it, as well as how they might draw on it as a resource for enhancing their resilience, facilitating recovery and re-establishing trust and peaceful coexistence within and between communities.</w:t>
      </w:r>
    </w:p>
    <w:p w14:paraId="033CC489" w14:textId="77777777" w:rsidR="007E54D9" w:rsidRPr="00015EE8" w:rsidRDefault="007E54D9" w:rsidP="00BB6BEB">
      <w:pPr>
        <w:numPr>
          <w:ilvl w:val="0"/>
          <w:numId w:val="19"/>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 xml:space="preserve">With reference to Article 11 of the Convention, States Parties shall take the necessary measures to ensure the safeguarding of the intangible cultural heritage present in their territory. This provision applies in all contexts, including when intangible cultural heritage is affected by an emergency. In so doing, States Parties shall </w:t>
      </w:r>
      <w:proofErr w:type="spellStart"/>
      <w:r w:rsidRPr="00015EE8">
        <w:rPr>
          <w:rFonts w:ascii="Arial" w:hAnsi="Arial" w:cs="Arial"/>
          <w:color w:val="000000" w:themeColor="text1"/>
          <w:sz w:val="22"/>
          <w:szCs w:val="22"/>
          <w:lang w:val="en-US"/>
        </w:rPr>
        <w:t>endeavour</w:t>
      </w:r>
      <w:proofErr w:type="spellEnd"/>
      <w:r w:rsidRPr="00015EE8">
        <w:rPr>
          <w:rFonts w:ascii="Arial" w:hAnsi="Arial" w:cs="Arial"/>
          <w:color w:val="000000" w:themeColor="text1"/>
          <w:sz w:val="22"/>
          <w:szCs w:val="22"/>
          <w:lang w:val="en-US"/>
        </w:rPr>
        <w:t xml:space="preserve"> to ensure the widest possible participation of communities in safeguarding actions, including refugees, internally displaced persons and migrants present in their territories.</w:t>
      </w:r>
    </w:p>
    <w:p w14:paraId="4D4C6761" w14:textId="77777777" w:rsidR="007E54D9" w:rsidRPr="00015EE8" w:rsidRDefault="007E54D9" w:rsidP="00BB6BEB">
      <w:pPr>
        <w:numPr>
          <w:ilvl w:val="0"/>
          <w:numId w:val="19"/>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National and international stakeholders involved in emergency management – including disaster preparedness and relief specialists, humanitarian actors, non-governmental organizations and armed forces – have an important role to play in safeguarding affected intangible cultural heritage and supporting concerned communities to draw on this heritage in preparing for and responding to emergencies.</w:t>
      </w:r>
    </w:p>
    <w:p w14:paraId="0726C325" w14:textId="77777777" w:rsidR="007E54D9" w:rsidRPr="00015EE8" w:rsidRDefault="007E54D9" w:rsidP="00BB6BEB">
      <w:pPr>
        <w:numPr>
          <w:ilvl w:val="0"/>
          <w:numId w:val="19"/>
        </w:numPr>
        <w:shd w:val="clear" w:color="auto" w:fill="FFFFFF"/>
        <w:spacing w:before="100" w:beforeAutospacing="1" w:after="240"/>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 xml:space="preserve">Intangible cultural heritage is dynamic and adaptive in nature, constantly being recreated by communities in response to their environment, their interaction with nature and their history, including emergencies. In all situations, efforts to safeguard or engage intangible cultural heritage should </w:t>
      </w:r>
      <w:proofErr w:type="gramStart"/>
      <w:r w:rsidRPr="00015EE8">
        <w:rPr>
          <w:rFonts w:ascii="Arial" w:hAnsi="Arial" w:cs="Arial"/>
          <w:color w:val="000000" w:themeColor="text1"/>
          <w:sz w:val="22"/>
          <w:szCs w:val="22"/>
          <w:lang w:val="en-US"/>
        </w:rPr>
        <w:t>take into account</w:t>
      </w:r>
      <w:proofErr w:type="gramEnd"/>
      <w:r w:rsidRPr="00015EE8">
        <w:rPr>
          <w:rFonts w:ascii="Arial" w:hAnsi="Arial" w:cs="Arial"/>
          <w:color w:val="000000" w:themeColor="text1"/>
          <w:sz w:val="22"/>
          <w:szCs w:val="22"/>
          <w:lang w:val="en-US"/>
        </w:rPr>
        <w:t xml:space="preserve"> and respect this dynamic and adaptive nature.</w:t>
      </w:r>
    </w:p>
    <w:p w14:paraId="751910D2"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u w:val="single"/>
        </w:rPr>
        <w:t>Modalities</w:t>
      </w:r>
    </w:p>
    <w:p w14:paraId="5DA732D6" w14:textId="77777777" w:rsidR="007E54D9" w:rsidRPr="00015EE8" w:rsidRDefault="007E54D9" w:rsidP="007E54D9">
      <w:pPr>
        <w:pStyle w:val="NormalWeb"/>
        <w:shd w:val="clear" w:color="auto" w:fill="FFFFFF"/>
        <w:spacing w:before="0" w:beforeAutospacing="0" w:after="240" w:afterAutospacing="0"/>
        <w:jc w:val="both"/>
        <w:rPr>
          <w:rFonts w:ascii="Arial" w:hAnsi="Arial" w:cs="Arial"/>
          <w:color w:val="000000" w:themeColor="text1"/>
          <w:sz w:val="22"/>
          <w:szCs w:val="22"/>
        </w:rPr>
      </w:pPr>
      <w:r w:rsidRPr="00015EE8">
        <w:rPr>
          <w:rFonts w:ascii="Arial" w:hAnsi="Arial" w:cs="Arial"/>
          <w:color w:val="000000" w:themeColor="text1"/>
          <w:sz w:val="22"/>
          <w:szCs w:val="22"/>
        </w:rPr>
        <w:t xml:space="preserve">The following modalities integrate the above principles and identify actions appropriate to the three main phases in an emergency management cycle of preparedness, response and recovery, acknowledging that each phase can vary in duration and may overlap with other phases. Local circumstances and conditions will determine which of these actions would be most relevant and appropriate to a </w:t>
      </w:r>
      <w:proofErr w:type="gramStart"/>
      <w:r w:rsidRPr="00015EE8">
        <w:rPr>
          <w:rFonts w:ascii="Arial" w:hAnsi="Arial" w:cs="Arial"/>
          <w:color w:val="000000" w:themeColor="text1"/>
          <w:sz w:val="22"/>
          <w:szCs w:val="22"/>
        </w:rPr>
        <w:t>particular intangible</w:t>
      </w:r>
      <w:proofErr w:type="gramEnd"/>
      <w:r w:rsidRPr="00015EE8">
        <w:rPr>
          <w:rFonts w:ascii="Arial" w:hAnsi="Arial" w:cs="Arial"/>
          <w:color w:val="000000" w:themeColor="text1"/>
          <w:sz w:val="22"/>
          <w:szCs w:val="22"/>
        </w:rPr>
        <w:t xml:space="preserve"> cultural heritage element or situation.</w:t>
      </w:r>
    </w:p>
    <w:p w14:paraId="725620F8" w14:textId="77777777" w:rsidR="007E54D9" w:rsidRPr="00015EE8" w:rsidRDefault="007E54D9" w:rsidP="008D4191">
      <w:pPr>
        <w:pStyle w:val="NormalWeb"/>
        <w:keepNext/>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rPr>
        <w:t>Preparedness</w:t>
      </w:r>
    </w:p>
    <w:p w14:paraId="6D3BB324" w14:textId="77777777" w:rsidR="007E54D9" w:rsidRPr="00015EE8" w:rsidRDefault="007E54D9" w:rsidP="00BB6BEB">
      <w:pPr>
        <w:numPr>
          <w:ilvl w:val="0"/>
          <w:numId w:val="20"/>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Raise the awareness and build the capacities of relevant stakeholders regarding the dual nature of intangible cultural heritage in emergencies and the present principles and modalities.</w:t>
      </w:r>
    </w:p>
    <w:p w14:paraId="26545F65" w14:textId="77777777" w:rsidR="007E54D9" w:rsidRPr="00015EE8" w:rsidRDefault="007E54D9" w:rsidP="00BB6BEB">
      <w:pPr>
        <w:numPr>
          <w:ilvl w:val="0"/>
          <w:numId w:val="20"/>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Provide resources and support for the capacity of communities to engage in all aspects of risk reduction and emergency preparedness in consultation with other stakeholders, especially in regions and countries prone to emergencies.</w:t>
      </w:r>
    </w:p>
    <w:p w14:paraId="0DDC6E27" w14:textId="77777777" w:rsidR="007E54D9" w:rsidRPr="00015EE8" w:rsidRDefault="007E54D9" w:rsidP="00BB6BEB">
      <w:pPr>
        <w:numPr>
          <w:ilvl w:val="0"/>
          <w:numId w:val="20"/>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Integrate into inventories of intangible cultural heritage, as provided for in the 2003 Convention, information on the vulnerability of elements to potential emergencies. This should include the mitigation capacity of these elements, as well as details of the concerned locations and communities to facilitate identification and access during emergency response.</w:t>
      </w:r>
    </w:p>
    <w:p w14:paraId="5C7A7415" w14:textId="77777777" w:rsidR="007E54D9" w:rsidRPr="00015EE8" w:rsidRDefault="007E54D9" w:rsidP="00BB6BEB">
      <w:pPr>
        <w:numPr>
          <w:ilvl w:val="0"/>
          <w:numId w:val="20"/>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Include emergency preparedness in the safeguarding plans of specific elements. This can include preventive measures to address their potential vulnerability during an emergency, preparatory measures to enhance and engage their mitigation capacity, and a methodology to evaluate the situation of the element during the emergency response phase.</w:t>
      </w:r>
    </w:p>
    <w:p w14:paraId="60C42005" w14:textId="77777777" w:rsidR="007E54D9" w:rsidRPr="00015EE8" w:rsidRDefault="007E54D9" w:rsidP="00BB6BEB">
      <w:pPr>
        <w:numPr>
          <w:ilvl w:val="0"/>
          <w:numId w:val="20"/>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Incorporate relevant intangible cultural heritage in local, national, sub-regional and regional risk reduction and emergency preparedness.</w:t>
      </w:r>
    </w:p>
    <w:p w14:paraId="5F0D4A37" w14:textId="77777777" w:rsidR="007E54D9" w:rsidRPr="00015EE8" w:rsidRDefault="007E54D9" w:rsidP="00BB6BEB">
      <w:pPr>
        <w:numPr>
          <w:ilvl w:val="0"/>
          <w:numId w:val="20"/>
        </w:numPr>
        <w:shd w:val="clear" w:color="auto" w:fill="FFFFFF"/>
        <w:spacing w:before="100" w:beforeAutospacing="1" w:after="240"/>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Establish links between bodies safeguarding the intangible cultural heritage and those in charge of emergency preparedness.</w:t>
      </w:r>
    </w:p>
    <w:p w14:paraId="1BE4F720"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rPr>
        <w:t>Response</w:t>
      </w:r>
    </w:p>
    <w:p w14:paraId="39E9439E" w14:textId="77777777" w:rsidR="007E54D9" w:rsidRPr="00015EE8" w:rsidRDefault="007E54D9" w:rsidP="00BB6BEB">
      <w:pPr>
        <w:numPr>
          <w:ilvl w:val="0"/>
          <w:numId w:val="21"/>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Identify, locate and reach out to communities whose intangible cultural heritage is known or likely to have been affected by the emergency, as early as possible.</w:t>
      </w:r>
    </w:p>
    <w:p w14:paraId="44D3D8B1" w14:textId="77777777" w:rsidR="007E54D9" w:rsidRPr="00015EE8" w:rsidRDefault="007E54D9" w:rsidP="00BB6BEB">
      <w:pPr>
        <w:numPr>
          <w:ilvl w:val="0"/>
          <w:numId w:val="21"/>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Prioritize resourcing and supporting the capacity of concerned communities to identify and address, through a community-based approach, their immediate safeguarding needs and to draw upon their intangible cultural heritage in mitigating the immediate effects of the emergency (community-based needs identification). In some contexts, it will only be possible to implement this set of actions during the recovery phase.</w:t>
      </w:r>
    </w:p>
    <w:p w14:paraId="0E2CE568" w14:textId="77777777" w:rsidR="007E54D9" w:rsidRPr="00015EE8" w:rsidRDefault="007E54D9" w:rsidP="00BB6BEB">
      <w:pPr>
        <w:numPr>
          <w:ilvl w:val="0"/>
          <w:numId w:val="21"/>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Share information within and between affected States Parties and other stakeholders, particularly humanitarian actors, relevant non-governmental organizations and/or armed forces, to determine the nature and extent of the disruption to intangible cultural heritage and the scope for engaging it in mitigation. This is also to ensure that relief operations take full account of the existing intangible cultural heritage and contribute to its safeguarding.</w:t>
      </w:r>
    </w:p>
    <w:p w14:paraId="6B6977DB" w14:textId="77777777" w:rsidR="007E54D9" w:rsidRPr="00015EE8" w:rsidRDefault="007E54D9" w:rsidP="00BB6BEB">
      <w:pPr>
        <w:numPr>
          <w:ilvl w:val="0"/>
          <w:numId w:val="21"/>
        </w:numPr>
        <w:shd w:val="clear" w:color="auto" w:fill="FFFFFF"/>
        <w:spacing w:before="100" w:beforeAutospacing="1" w:after="240"/>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Whenever a post-disaster or post-conflict needs assessment is undertaken, notably in the framework of multiparty international crisis response mechanisms, ensure that intangible cultural heritage is incorporated. Involve communities in the assessment of the effects of the natural disaster and/or armed conflict on their intangible cultural heritage as well as of related economic damage and losses, and human development impacts.</w:t>
      </w:r>
    </w:p>
    <w:p w14:paraId="48280BC9"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rPr>
        <w:t>Recovery</w:t>
      </w:r>
    </w:p>
    <w:p w14:paraId="43590858" w14:textId="77777777" w:rsidR="007E54D9" w:rsidRPr="00015EE8" w:rsidRDefault="007E54D9" w:rsidP="00BB6BEB">
      <w:pPr>
        <w:numPr>
          <w:ilvl w:val="0"/>
          <w:numId w:val="22"/>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Carry out the community-based needs identification if this could not be performed earlier.</w:t>
      </w:r>
    </w:p>
    <w:p w14:paraId="49A1E824" w14:textId="77777777" w:rsidR="007E54D9" w:rsidRPr="00015EE8" w:rsidRDefault="007E54D9" w:rsidP="00BB6BEB">
      <w:pPr>
        <w:numPr>
          <w:ilvl w:val="0"/>
          <w:numId w:val="22"/>
        </w:numPr>
        <w:shd w:val="clear" w:color="auto" w:fill="FFFFFF"/>
        <w:spacing w:before="100" w:beforeAutospacing="1" w:after="75"/>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 xml:space="preserve">Based on the outcomes of the </w:t>
      </w:r>
      <w:proofErr w:type="gramStart"/>
      <w:r w:rsidRPr="00015EE8">
        <w:rPr>
          <w:rFonts w:ascii="Arial" w:hAnsi="Arial" w:cs="Arial"/>
          <w:color w:val="000000" w:themeColor="text1"/>
          <w:sz w:val="22"/>
          <w:szCs w:val="22"/>
          <w:lang w:val="en-US"/>
        </w:rPr>
        <w:t>needs</w:t>
      </w:r>
      <w:proofErr w:type="gramEnd"/>
      <w:r w:rsidRPr="00015EE8">
        <w:rPr>
          <w:rFonts w:ascii="Arial" w:hAnsi="Arial" w:cs="Arial"/>
          <w:color w:val="000000" w:themeColor="text1"/>
          <w:sz w:val="22"/>
          <w:szCs w:val="22"/>
          <w:lang w:val="en-US"/>
        </w:rPr>
        <w:t xml:space="preserve"> identification process, provide resources and support for communities to develop and undertake safeguarding measures or plans to enhance the mitigation capacity of their intangible cultural heritage. This engagement should be sustained throughout the recovery phase and into the following preparedness phase, as well as in the transition from dependence on humanitarian assistance towards development.</w:t>
      </w:r>
    </w:p>
    <w:p w14:paraId="6353948D" w14:textId="77777777" w:rsidR="007E54D9" w:rsidRPr="00015EE8" w:rsidRDefault="007E54D9" w:rsidP="00BB6BEB">
      <w:pPr>
        <w:numPr>
          <w:ilvl w:val="0"/>
          <w:numId w:val="22"/>
        </w:numPr>
        <w:shd w:val="clear" w:color="auto" w:fill="FFFFFF"/>
        <w:spacing w:before="100" w:beforeAutospacing="1" w:after="240"/>
        <w:jc w:val="both"/>
        <w:rPr>
          <w:rFonts w:ascii="Arial" w:hAnsi="Arial" w:cs="Arial"/>
          <w:color w:val="000000" w:themeColor="text1"/>
          <w:sz w:val="22"/>
          <w:szCs w:val="22"/>
          <w:lang w:val="en-US"/>
        </w:rPr>
      </w:pPr>
      <w:r w:rsidRPr="00015EE8">
        <w:rPr>
          <w:rFonts w:ascii="Arial" w:hAnsi="Arial" w:cs="Arial"/>
          <w:color w:val="000000" w:themeColor="text1"/>
          <w:sz w:val="22"/>
          <w:szCs w:val="22"/>
          <w:lang w:val="en-US"/>
        </w:rPr>
        <w:t>Engage intangible cultural heritage in fostering dialogue, mutual understanding and reconciliation between and within communities, including between displaced populations and host communities.</w:t>
      </w:r>
    </w:p>
    <w:p w14:paraId="1876DF82" w14:textId="77777777" w:rsidR="007E54D9" w:rsidRPr="00015EE8" w:rsidRDefault="007E54D9" w:rsidP="007E54D9">
      <w:pPr>
        <w:pStyle w:val="NormalWeb"/>
        <w:shd w:val="clear" w:color="auto" w:fill="FFFFFF"/>
        <w:spacing w:before="0" w:beforeAutospacing="0" w:after="150" w:afterAutospacing="0"/>
        <w:jc w:val="both"/>
        <w:rPr>
          <w:rFonts w:ascii="Arial" w:hAnsi="Arial" w:cs="Arial"/>
          <w:color w:val="000000" w:themeColor="text1"/>
          <w:sz w:val="22"/>
          <w:szCs w:val="22"/>
        </w:rPr>
      </w:pPr>
      <w:r w:rsidRPr="00015EE8">
        <w:rPr>
          <w:rFonts w:ascii="Arial" w:hAnsi="Arial" w:cs="Arial"/>
          <w:b/>
          <w:bCs/>
          <w:color w:val="000000" w:themeColor="text1"/>
          <w:sz w:val="22"/>
          <w:szCs w:val="22"/>
        </w:rPr>
        <w:t>Note</w:t>
      </w:r>
      <w:r w:rsidRPr="00015EE8">
        <w:rPr>
          <w:rFonts w:ascii="Arial" w:hAnsi="Arial" w:cs="Arial"/>
          <w:color w:val="000000" w:themeColor="text1"/>
          <w:sz w:val="22"/>
          <w:szCs w:val="22"/>
        </w:rPr>
        <w:t>: Resources and financial support shall be sought under the various emergency-related funds, including the UNESCO Heritage Emergency Fund and the Intangible Cultural Heritage Fund (emergency International Assistance). The listing mechanisms under the 2003 Convention may provide an opportunity for promoting and enhancing the visibility of elements that contribute to preparing for, responding to and recovering from the effects of natural disasters and/or armed conflicts (the Representative List of the Intangible Cultural Heritage of Humanity, the List of Intangible Cultural Heritage in Need of Urgent Safeguarding, as well as the Register of Good Safeguarding Practices), and/or to draw the attention of the international community to elements particularly threatened by a natural disaster and/or armed conflict (for the possibility of the accelerated procedure for a nomination to the List of Intangible Cultural Heritage in Need of Urgent Safeguarding, see criterion U.6 under Chapter I.1 of the Operational Directives of the 2003 Convention).</w:t>
      </w:r>
    </w:p>
    <w:p w14:paraId="2369427D" w14:textId="77777777" w:rsidR="007E54D9" w:rsidRPr="00015EE8" w:rsidRDefault="007E54D9" w:rsidP="00FD07EB">
      <w:pPr>
        <w:pStyle w:val="GATitleResolution"/>
      </w:pPr>
      <w:r w:rsidRPr="00015EE8">
        <w:t>RESOLUTION 8.GA 10</w:t>
      </w:r>
    </w:p>
    <w:p w14:paraId="18287B19" w14:textId="77777777" w:rsidR="007E54D9" w:rsidRPr="00015EE8" w:rsidRDefault="007E54D9" w:rsidP="007E54D9">
      <w:pPr>
        <w:pStyle w:val="GAPreambulaResolution"/>
        <w:ind w:left="0"/>
        <w:rPr>
          <w:rFonts w:eastAsia="SimSun"/>
        </w:rPr>
      </w:pPr>
      <w:r w:rsidRPr="00015EE8">
        <w:t>The General Assembly,</w:t>
      </w:r>
    </w:p>
    <w:p w14:paraId="64071EB5" w14:textId="49B356A7" w:rsidR="007E54D9" w:rsidRPr="00015EE8" w:rsidRDefault="007E54D9" w:rsidP="00BB6BEB">
      <w:pPr>
        <w:pStyle w:val="GAParaResolution"/>
        <w:numPr>
          <w:ilvl w:val="0"/>
          <w:numId w:val="23"/>
        </w:numPr>
        <w:ind w:left="567" w:hanging="567"/>
        <w:rPr>
          <w:color w:val="000000" w:themeColor="text1"/>
        </w:rPr>
      </w:pPr>
      <w:r w:rsidRPr="00015EE8">
        <w:rPr>
          <w:color w:val="000000" w:themeColor="text1"/>
        </w:rPr>
        <w:t>Having examined</w:t>
      </w:r>
      <w:r w:rsidRPr="00015EE8">
        <w:rPr>
          <w:color w:val="000000" w:themeColor="text1"/>
          <w:u w:val="none"/>
        </w:rPr>
        <w:t xml:space="preserve"> document </w:t>
      </w:r>
      <w:hyperlink r:id="rId28" w:history="1">
        <w:r w:rsidRPr="00015EE8">
          <w:rPr>
            <w:rStyle w:val="Hyperlink"/>
          </w:rPr>
          <w:t>LHE/20/8.GA/10</w:t>
        </w:r>
      </w:hyperlink>
      <w:r w:rsidR="0091465D" w:rsidRPr="00015EE8">
        <w:rPr>
          <w:color w:val="000000" w:themeColor="text1"/>
          <w:u w:val="none"/>
        </w:rPr>
        <w:t xml:space="preserve"> and its </w:t>
      </w:r>
      <w:r w:rsidR="001C5F3E" w:rsidRPr="00015EE8">
        <w:rPr>
          <w:color w:val="000000" w:themeColor="text1"/>
          <w:u w:val="none"/>
        </w:rPr>
        <w:t>A</w:t>
      </w:r>
      <w:r w:rsidR="0091465D" w:rsidRPr="00015EE8">
        <w:rPr>
          <w:color w:val="000000" w:themeColor="text1"/>
          <w:u w:val="none"/>
        </w:rPr>
        <w:t>nnex</w:t>
      </w:r>
      <w:r w:rsidRPr="00015EE8">
        <w:rPr>
          <w:color w:val="000000" w:themeColor="text1"/>
          <w:u w:val="none"/>
        </w:rPr>
        <w:t>,</w:t>
      </w:r>
    </w:p>
    <w:p w14:paraId="0032018A" w14:textId="77777777" w:rsidR="007E54D9" w:rsidRPr="00015EE8" w:rsidRDefault="007E54D9" w:rsidP="00BB6BEB">
      <w:pPr>
        <w:pStyle w:val="COMParaDecision"/>
        <w:numPr>
          <w:ilvl w:val="0"/>
          <w:numId w:val="5"/>
        </w:numPr>
        <w:ind w:left="567" w:hanging="567"/>
        <w:rPr>
          <w:color w:val="000000" w:themeColor="text1"/>
          <w:u w:val="none"/>
        </w:rPr>
      </w:pPr>
      <w:r w:rsidRPr="00015EE8">
        <w:rPr>
          <w:color w:val="000000" w:themeColor="text1"/>
        </w:rPr>
        <w:t>Acknowledges</w:t>
      </w:r>
      <w:r w:rsidRPr="00015EE8">
        <w:rPr>
          <w:color w:val="000000" w:themeColor="text1"/>
          <w:u w:val="none"/>
        </w:rPr>
        <w:t xml:space="preserve"> the positive experience that the ‘provisional upstream dialogue’ process of the 2019 cycle brought to the evaluation and inscription process and </w:t>
      </w:r>
      <w:r w:rsidRPr="00015EE8">
        <w:rPr>
          <w:color w:val="000000" w:themeColor="text1"/>
        </w:rPr>
        <w:t>endorses</w:t>
      </w:r>
      <w:r w:rsidRPr="00015EE8">
        <w:rPr>
          <w:color w:val="000000" w:themeColor="text1"/>
          <w:u w:val="none"/>
        </w:rPr>
        <w:t xml:space="preserve"> the proposal to include an additional intermediary dialogue process in the nomination cycle;</w:t>
      </w:r>
    </w:p>
    <w:p w14:paraId="1971C14F" w14:textId="77777777" w:rsidR="007E54D9" w:rsidRPr="00015EE8" w:rsidRDefault="007E54D9" w:rsidP="00BB6BEB">
      <w:pPr>
        <w:pStyle w:val="COMParaDecision"/>
        <w:numPr>
          <w:ilvl w:val="0"/>
          <w:numId w:val="5"/>
        </w:numPr>
        <w:ind w:left="567" w:hanging="567"/>
        <w:rPr>
          <w:color w:val="000000" w:themeColor="text1"/>
        </w:rPr>
      </w:pPr>
      <w:r w:rsidRPr="00015EE8">
        <w:rPr>
          <w:color w:val="000000" w:themeColor="text1"/>
        </w:rPr>
        <w:t>Approves</w:t>
      </w:r>
      <w:r w:rsidRPr="00015EE8">
        <w:rPr>
          <w:color w:val="000000" w:themeColor="text1"/>
          <w:u w:val="none"/>
        </w:rPr>
        <w:t xml:space="preserve"> the amendments to the Operational Directives as annexed to this Resolution.</w:t>
      </w:r>
    </w:p>
    <w:p w14:paraId="0E2753CB" w14:textId="77777777" w:rsidR="00FA59E3" w:rsidRPr="00015EE8" w:rsidRDefault="00FA59E3" w:rsidP="00687EAD">
      <w:pPr>
        <w:pStyle w:val="COMParaDecision"/>
        <w:spacing w:before="360" w:after="240"/>
        <w:ind w:left="0" w:firstLine="0"/>
        <w:jc w:val="center"/>
        <w:rPr>
          <w:b/>
          <w:bCs/>
          <w:color w:val="000000" w:themeColor="text1"/>
          <w:u w:val="none"/>
        </w:rPr>
      </w:pPr>
      <w:r w:rsidRPr="00015EE8">
        <w:rPr>
          <w:b/>
          <w:bCs/>
          <w:color w:val="000000" w:themeColor="text1"/>
          <w:u w:val="none"/>
        </w:rPr>
        <w:t>ANNEX</w:t>
      </w:r>
    </w:p>
    <w:tbl>
      <w:tblPr>
        <w:tblStyle w:val="TableGrid"/>
        <w:tblW w:w="4706" w:type="pct"/>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
        <w:gridCol w:w="2886"/>
        <w:gridCol w:w="5377"/>
      </w:tblGrid>
      <w:tr w:rsidR="00AB7E1F" w:rsidRPr="00015EE8" w14:paraId="1090D02D" w14:textId="77777777" w:rsidTr="008D4191">
        <w:tc>
          <w:tcPr>
            <w:tcW w:w="445" w:type="pct"/>
          </w:tcPr>
          <w:p w14:paraId="15C64B2C" w14:textId="77777777" w:rsidR="00AB7E1F" w:rsidRPr="00015EE8" w:rsidRDefault="00AB7E1F" w:rsidP="00AB7E1F">
            <w:pPr>
              <w:pStyle w:val="BODYTEXT"/>
            </w:pPr>
            <w:r w:rsidRPr="00015EE8">
              <w:t>55.</w:t>
            </w:r>
          </w:p>
        </w:tc>
        <w:tc>
          <w:tcPr>
            <w:tcW w:w="1591" w:type="pct"/>
          </w:tcPr>
          <w:p w14:paraId="733E81D7" w14:textId="77777777" w:rsidR="00AB7E1F" w:rsidRPr="00015EE8" w:rsidRDefault="00AB7E1F" w:rsidP="00AB7E1F">
            <w:pPr>
              <w:pStyle w:val="BODYTEXT"/>
              <w:jc w:val="right"/>
            </w:pPr>
            <w:r w:rsidRPr="00015EE8">
              <w:t>Phase 2:</w:t>
            </w:r>
          </w:p>
        </w:tc>
        <w:tc>
          <w:tcPr>
            <w:tcW w:w="2964" w:type="pct"/>
          </w:tcPr>
          <w:p w14:paraId="40081169" w14:textId="77777777" w:rsidR="00AB7E1F" w:rsidRPr="00015EE8" w:rsidRDefault="00AB7E1F" w:rsidP="00AB7E1F">
            <w:pPr>
              <w:pStyle w:val="BODYTEXT"/>
            </w:pPr>
            <w:r w:rsidRPr="00015EE8">
              <w:t>Evaluation</w:t>
            </w:r>
          </w:p>
        </w:tc>
      </w:tr>
      <w:tr w:rsidR="00AB7E1F" w:rsidRPr="00CB223B" w14:paraId="710AF35F" w14:textId="77777777" w:rsidTr="008D4191">
        <w:tc>
          <w:tcPr>
            <w:tcW w:w="445" w:type="pct"/>
          </w:tcPr>
          <w:p w14:paraId="1E8EF876" w14:textId="77777777" w:rsidR="00AB7E1F" w:rsidRPr="00015EE8" w:rsidRDefault="00AB7E1F" w:rsidP="00AB7E1F">
            <w:pPr>
              <w:pStyle w:val="BODYTEXT"/>
            </w:pPr>
          </w:p>
        </w:tc>
        <w:tc>
          <w:tcPr>
            <w:tcW w:w="1591" w:type="pct"/>
          </w:tcPr>
          <w:p w14:paraId="6DDE7D7D" w14:textId="77777777" w:rsidR="00AB7E1F" w:rsidRPr="00015EE8" w:rsidRDefault="00AB7E1F" w:rsidP="00AB7E1F">
            <w:pPr>
              <w:pStyle w:val="BODYTEXT"/>
              <w:jc w:val="right"/>
            </w:pPr>
            <w:r w:rsidRPr="00015EE8">
              <w:t>December Year 1</w:t>
            </w:r>
            <w:r w:rsidRPr="00015EE8">
              <w:br/>
              <w:t>to May Year 2</w:t>
            </w:r>
          </w:p>
        </w:tc>
        <w:tc>
          <w:tcPr>
            <w:tcW w:w="2964" w:type="pct"/>
          </w:tcPr>
          <w:p w14:paraId="0B810E36" w14:textId="77777777" w:rsidR="00AB7E1F" w:rsidRPr="00015EE8" w:rsidRDefault="00AB7E1F" w:rsidP="00AB7E1F">
            <w:pPr>
              <w:pStyle w:val="BODYTEXT"/>
            </w:pPr>
            <w:r w:rsidRPr="00015EE8">
              <w:t>Individual evaluation of the files by the Evaluation Body members.</w:t>
            </w:r>
          </w:p>
        </w:tc>
      </w:tr>
      <w:tr w:rsidR="00AB7E1F" w:rsidRPr="00CB223B" w14:paraId="201C5DCD" w14:textId="77777777" w:rsidTr="008D4191">
        <w:tc>
          <w:tcPr>
            <w:tcW w:w="445" w:type="pct"/>
          </w:tcPr>
          <w:p w14:paraId="4C2787D6" w14:textId="77777777" w:rsidR="00AB7E1F" w:rsidRPr="00015EE8" w:rsidRDefault="00AB7E1F" w:rsidP="00AB7E1F">
            <w:pPr>
              <w:pStyle w:val="BODYTEXT"/>
            </w:pPr>
          </w:p>
        </w:tc>
        <w:tc>
          <w:tcPr>
            <w:tcW w:w="1591" w:type="pct"/>
          </w:tcPr>
          <w:p w14:paraId="2392EE31" w14:textId="77777777" w:rsidR="00AB7E1F" w:rsidRPr="00015EE8" w:rsidRDefault="00AB7E1F" w:rsidP="00AB7E1F">
            <w:pPr>
              <w:pStyle w:val="BODYTEXT"/>
              <w:jc w:val="right"/>
            </w:pPr>
            <w:r w:rsidRPr="00015EE8">
              <w:t>June</w:t>
            </w:r>
            <w:r w:rsidRPr="00015EE8">
              <w:br/>
              <w:t>Year 2</w:t>
            </w:r>
          </w:p>
        </w:tc>
        <w:tc>
          <w:tcPr>
            <w:tcW w:w="2964" w:type="pct"/>
          </w:tcPr>
          <w:p w14:paraId="56C89249" w14:textId="77777777" w:rsidR="00AB7E1F" w:rsidRPr="00015EE8" w:rsidRDefault="00AB7E1F" w:rsidP="00AB7E1F">
            <w:pPr>
              <w:pStyle w:val="BODYTEXT"/>
            </w:pPr>
            <w:r w:rsidRPr="00015EE8">
              <w:t>Meeting at which the Evaluation Body collectively finalizes its evaluation of the files and decides which files will be included in the dialogue process. Only the evaluation of those files included in the dialogue process will still be pending until the final meeting of the Evaluation Body.</w:t>
            </w:r>
          </w:p>
          <w:p w14:paraId="67A0D51B" w14:textId="77777777" w:rsidR="00AB7E1F" w:rsidRPr="00015EE8" w:rsidRDefault="00AB7E1F" w:rsidP="00AB7E1F">
            <w:pPr>
              <w:pStyle w:val="BODYTEXT"/>
            </w:pPr>
            <w:r w:rsidRPr="00015EE8">
              <w:t>The dialogue process is initiated when the Evaluation Body considers that a short question and answer process with the submitting State(s), conducted in writing through the Secretariat, could influence the result of its evaluation.</w:t>
            </w:r>
          </w:p>
        </w:tc>
      </w:tr>
      <w:tr w:rsidR="00AB7E1F" w:rsidRPr="00CB223B" w14:paraId="6FC07B0E" w14:textId="77777777" w:rsidTr="008D4191">
        <w:tc>
          <w:tcPr>
            <w:tcW w:w="445" w:type="pct"/>
          </w:tcPr>
          <w:p w14:paraId="7B475803" w14:textId="77777777" w:rsidR="00AB7E1F" w:rsidRPr="00015EE8" w:rsidRDefault="00AB7E1F" w:rsidP="00AB7E1F">
            <w:pPr>
              <w:pStyle w:val="BODYTEXT"/>
            </w:pPr>
          </w:p>
        </w:tc>
        <w:tc>
          <w:tcPr>
            <w:tcW w:w="1591" w:type="pct"/>
          </w:tcPr>
          <w:p w14:paraId="7B08636C" w14:textId="77777777" w:rsidR="00AB7E1F" w:rsidRPr="00015EE8" w:rsidRDefault="00AB7E1F" w:rsidP="00AB7E1F">
            <w:pPr>
              <w:pStyle w:val="BODYTEXT"/>
              <w:jc w:val="right"/>
            </w:pPr>
            <w:r w:rsidRPr="00015EE8">
              <w:t xml:space="preserve">Two weeks after the June meeting </w:t>
            </w:r>
            <w:r w:rsidRPr="00015EE8">
              <w:br/>
              <w:t>Year 2</w:t>
            </w:r>
          </w:p>
        </w:tc>
        <w:tc>
          <w:tcPr>
            <w:tcW w:w="2964" w:type="pct"/>
          </w:tcPr>
          <w:p w14:paraId="0BDB1BA7" w14:textId="77777777" w:rsidR="00AB7E1F" w:rsidRPr="00015EE8" w:rsidRDefault="00AB7E1F" w:rsidP="00AB7E1F">
            <w:pPr>
              <w:pStyle w:val="BODYTEXT"/>
            </w:pPr>
            <w:r w:rsidRPr="00015EE8">
              <w:t>Deadline by which the Evaluation Body shall transmit, through the Secretariat, its questions to the States Parties concerned by the dialogue process, in one of the two working languages of the Convention.</w:t>
            </w:r>
          </w:p>
        </w:tc>
      </w:tr>
      <w:tr w:rsidR="00AB7E1F" w:rsidRPr="00CB223B" w14:paraId="0140D352" w14:textId="77777777" w:rsidTr="008D4191">
        <w:tc>
          <w:tcPr>
            <w:tcW w:w="445" w:type="pct"/>
          </w:tcPr>
          <w:p w14:paraId="463DBA6D" w14:textId="77777777" w:rsidR="00AB7E1F" w:rsidRPr="00015EE8" w:rsidRDefault="00AB7E1F" w:rsidP="00AB7E1F">
            <w:pPr>
              <w:pStyle w:val="BODYTEXT"/>
            </w:pPr>
          </w:p>
        </w:tc>
        <w:tc>
          <w:tcPr>
            <w:tcW w:w="1591" w:type="pct"/>
          </w:tcPr>
          <w:p w14:paraId="4925C8A1" w14:textId="77777777" w:rsidR="00AB7E1F" w:rsidRPr="00015EE8" w:rsidRDefault="00AB7E1F" w:rsidP="00AB7E1F">
            <w:pPr>
              <w:pStyle w:val="BODYTEXT"/>
              <w:jc w:val="right"/>
            </w:pPr>
          </w:p>
        </w:tc>
        <w:tc>
          <w:tcPr>
            <w:tcW w:w="2964" w:type="pct"/>
          </w:tcPr>
          <w:p w14:paraId="498EAAF2" w14:textId="77777777" w:rsidR="00AB7E1F" w:rsidRPr="00015EE8" w:rsidRDefault="00AB7E1F" w:rsidP="00AB7E1F">
            <w:pPr>
              <w:pStyle w:val="BODYTEXT"/>
            </w:pPr>
            <w:r w:rsidRPr="00015EE8">
              <w:t>States Parties shall respond to the requests of the Evaluation Body, through the Secretariat, within four weeks following the receipt of the letter, in the two working languages of the Convention.</w:t>
            </w:r>
          </w:p>
        </w:tc>
      </w:tr>
      <w:tr w:rsidR="00AB7E1F" w:rsidRPr="00CB223B" w14:paraId="665F3732" w14:textId="77777777" w:rsidTr="008D4191">
        <w:tc>
          <w:tcPr>
            <w:tcW w:w="445" w:type="pct"/>
          </w:tcPr>
          <w:p w14:paraId="2EF79641" w14:textId="77777777" w:rsidR="00AB7E1F" w:rsidRPr="00015EE8" w:rsidRDefault="00AB7E1F" w:rsidP="00AB7E1F">
            <w:pPr>
              <w:pStyle w:val="BODYTEXT"/>
            </w:pPr>
          </w:p>
        </w:tc>
        <w:tc>
          <w:tcPr>
            <w:tcW w:w="1591" w:type="pct"/>
          </w:tcPr>
          <w:p w14:paraId="6B4C0E8F" w14:textId="77777777" w:rsidR="00AB7E1F" w:rsidRPr="00015EE8" w:rsidRDefault="00AB7E1F" w:rsidP="00AB7E1F">
            <w:pPr>
              <w:pStyle w:val="BODYTEXT"/>
              <w:jc w:val="right"/>
            </w:pPr>
            <w:r w:rsidRPr="00015EE8">
              <w:t>Latest by September Year</w:t>
            </w:r>
            <w:r w:rsidR="00687EAD" w:rsidRPr="00015EE8">
              <w:t> </w:t>
            </w:r>
            <w:r w:rsidRPr="00015EE8">
              <w:t>2</w:t>
            </w:r>
          </w:p>
        </w:tc>
        <w:tc>
          <w:tcPr>
            <w:tcW w:w="2964" w:type="pct"/>
          </w:tcPr>
          <w:p w14:paraId="5FD76C36" w14:textId="77777777" w:rsidR="00AB7E1F" w:rsidRPr="00015EE8" w:rsidRDefault="00AB7E1F" w:rsidP="00AB7E1F">
            <w:pPr>
              <w:pStyle w:val="BODYTEXT"/>
            </w:pPr>
            <w:r w:rsidRPr="00015EE8">
              <w:t>Meeting at which the Evaluation Body finalizes its evaluation of the files concerned by the dialogue process and its report on the evaluation of all files.</w:t>
            </w:r>
          </w:p>
        </w:tc>
      </w:tr>
      <w:tr w:rsidR="00AB7E1F" w:rsidRPr="00CB223B" w14:paraId="3E22BC0F" w14:textId="77777777" w:rsidTr="008D4191">
        <w:tc>
          <w:tcPr>
            <w:tcW w:w="445" w:type="pct"/>
          </w:tcPr>
          <w:p w14:paraId="6DD5625C" w14:textId="77777777" w:rsidR="00AB7E1F" w:rsidRPr="00015EE8" w:rsidRDefault="00AB7E1F" w:rsidP="00AB7E1F">
            <w:pPr>
              <w:pStyle w:val="BODYTEXT"/>
            </w:pPr>
          </w:p>
        </w:tc>
        <w:tc>
          <w:tcPr>
            <w:tcW w:w="1591" w:type="pct"/>
          </w:tcPr>
          <w:p w14:paraId="2E2B6486" w14:textId="77777777" w:rsidR="00AB7E1F" w:rsidRPr="00015EE8" w:rsidRDefault="00AB7E1F" w:rsidP="00AB7E1F">
            <w:pPr>
              <w:pStyle w:val="BODYTEXT"/>
              <w:jc w:val="right"/>
            </w:pPr>
            <w:r w:rsidRPr="00015EE8">
              <w:t>Four weeks prior to the session of the Committee</w:t>
            </w:r>
          </w:p>
        </w:tc>
        <w:tc>
          <w:tcPr>
            <w:tcW w:w="2964" w:type="pct"/>
          </w:tcPr>
          <w:p w14:paraId="51BC4152" w14:textId="77777777" w:rsidR="00AB7E1F" w:rsidRPr="00015EE8" w:rsidRDefault="00AB7E1F" w:rsidP="00AB7E1F">
            <w:pPr>
              <w:pStyle w:val="BODYTEXT"/>
            </w:pPr>
            <w:r w:rsidRPr="00015EE8">
              <w:t>The Secretariat transmits the evaluation reports to the members of the Committee and makes them available online for consultation.</w:t>
            </w:r>
          </w:p>
        </w:tc>
      </w:tr>
    </w:tbl>
    <w:p w14:paraId="55955A0C" w14:textId="77777777" w:rsidR="007E54D9" w:rsidRPr="00015EE8" w:rsidRDefault="007E54D9" w:rsidP="007E54D9">
      <w:pPr>
        <w:pStyle w:val="GATitleResolution"/>
      </w:pPr>
      <w:r w:rsidRPr="00015EE8">
        <w:t>RESOLUTION 8.GA 11</w:t>
      </w:r>
    </w:p>
    <w:p w14:paraId="5DAC6CF4" w14:textId="77777777" w:rsidR="007E54D9" w:rsidRPr="00015EE8" w:rsidRDefault="007E54D9" w:rsidP="007E54D9">
      <w:pPr>
        <w:pStyle w:val="GAPreambulaResolution"/>
        <w:ind w:left="0"/>
        <w:rPr>
          <w:rFonts w:eastAsia="SimSun"/>
        </w:rPr>
      </w:pPr>
      <w:r w:rsidRPr="00015EE8">
        <w:t>The General Assembly,</w:t>
      </w:r>
    </w:p>
    <w:p w14:paraId="3ADCAA60" w14:textId="561CD0FA" w:rsidR="007E54D9" w:rsidRPr="00015EE8" w:rsidRDefault="007E54D9" w:rsidP="00E35EDA">
      <w:pPr>
        <w:pStyle w:val="GAParaResolution"/>
        <w:numPr>
          <w:ilvl w:val="0"/>
          <w:numId w:val="24"/>
        </w:numPr>
        <w:ind w:left="567" w:hanging="567"/>
      </w:pPr>
      <w:r w:rsidRPr="00015EE8">
        <w:t>Having examined</w:t>
      </w:r>
      <w:r w:rsidRPr="00015EE8">
        <w:rPr>
          <w:u w:val="none"/>
        </w:rPr>
        <w:t xml:space="preserve"> document </w:t>
      </w:r>
      <w:hyperlink r:id="rId29" w:history="1">
        <w:r w:rsidRPr="00015EE8">
          <w:rPr>
            <w:rStyle w:val="Hyperlink"/>
          </w:rPr>
          <w:t>LHE/20/8.GA/11</w:t>
        </w:r>
      </w:hyperlink>
      <w:r w:rsidR="0091465D" w:rsidRPr="00015EE8">
        <w:rPr>
          <w:u w:val="none"/>
        </w:rPr>
        <w:t xml:space="preserve"> with its </w:t>
      </w:r>
      <w:r w:rsidR="001C5F3E" w:rsidRPr="00015EE8">
        <w:rPr>
          <w:u w:val="none"/>
        </w:rPr>
        <w:t>A</w:t>
      </w:r>
      <w:r w:rsidR="0091465D" w:rsidRPr="00015EE8">
        <w:rPr>
          <w:u w:val="none"/>
        </w:rPr>
        <w:t>nnex,</w:t>
      </w:r>
      <w:r w:rsidRPr="00015EE8">
        <w:rPr>
          <w:u w:val="none"/>
        </w:rPr>
        <w:t xml:space="preserve"> as well as document </w:t>
      </w:r>
      <w:hyperlink r:id="rId30" w:history="1">
        <w:r w:rsidRPr="00015EE8">
          <w:rPr>
            <w:rStyle w:val="Hyperlink"/>
          </w:rPr>
          <w:t>LHE/19/14.COM/14</w:t>
        </w:r>
      </w:hyperlink>
      <w:r w:rsidRPr="00015EE8">
        <w:rPr>
          <w:u w:val="none"/>
        </w:rPr>
        <w:t>,</w:t>
      </w:r>
    </w:p>
    <w:p w14:paraId="3E8107A2" w14:textId="77777777" w:rsidR="007E54D9" w:rsidRPr="00015EE8" w:rsidRDefault="007E54D9" w:rsidP="00E35EDA">
      <w:pPr>
        <w:pStyle w:val="COMParaDecision"/>
        <w:numPr>
          <w:ilvl w:val="0"/>
          <w:numId w:val="5"/>
        </w:numPr>
        <w:ind w:left="567" w:hanging="567"/>
      </w:pPr>
      <w:r w:rsidRPr="00015EE8">
        <w:t>Recalling</w:t>
      </w:r>
      <w:r w:rsidRPr="00015EE8">
        <w:rPr>
          <w:u w:val="none"/>
        </w:rPr>
        <w:t xml:space="preserve"> Decisions </w:t>
      </w:r>
      <w:hyperlink r:id="rId31" w:history="1">
        <w:r w:rsidRPr="00015EE8">
          <w:rPr>
            <w:rStyle w:val="Hyperlink"/>
          </w:rPr>
          <w:t>13.COM 6</w:t>
        </w:r>
      </w:hyperlink>
      <w:r w:rsidRPr="00015EE8">
        <w:rPr>
          <w:u w:val="none"/>
        </w:rPr>
        <w:t xml:space="preserve">, </w:t>
      </w:r>
      <w:hyperlink r:id="rId32" w:history="1">
        <w:r w:rsidRPr="00015EE8">
          <w:rPr>
            <w:rStyle w:val="Hyperlink"/>
          </w:rPr>
          <w:t>13.COM 10</w:t>
        </w:r>
      </w:hyperlink>
      <w:r w:rsidRPr="00015EE8">
        <w:rPr>
          <w:u w:val="none"/>
        </w:rPr>
        <w:t xml:space="preserve"> and </w:t>
      </w:r>
      <w:hyperlink r:id="rId33" w:history="1">
        <w:r w:rsidRPr="00015EE8">
          <w:rPr>
            <w:rStyle w:val="Hyperlink"/>
          </w:rPr>
          <w:t>14.COM 14</w:t>
        </w:r>
      </w:hyperlink>
      <w:r w:rsidRPr="00015EE8">
        <w:rPr>
          <w:u w:val="none"/>
        </w:rPr>
        <w:t>,</w:t>
      </w:r>
    </w:p>
    <w:p w14:paraId="770E94C2" w14:textId="77777777" w:rsidR="007E54D9" w:rsidRPr="00015EE8" w:rsidRDefault="007E54D9" w:rsidP="00E35EDA">
      <w:pPr>
        <w:pStyle w:val="COMParaDecision"/>
        <w:numPr>
          <w:ilvl w:val="0"/>
          <w:numId w:val="5"/>
        </w:numPr>
        <w:ind w:left="567" w:hanging="567"/>
      </w:pPr>
      <w:r w:rsidRPr="00015EE8">
        <w:t>Reaffirms</w:t>
      </w:r>
      <w:r w:rsidRPr="00015EE8">
        <w:rPr>
          <w:u w:val="none"/>
        </w:rPr>
        <w:t xml:space="preserve"> the need for a global reflection on the listing </w:t>
      </w:r>
      <w:r w:rsidR="00F33C47" w:rsidRPr="00015EE8">
        <w:rPr>
          <w:u w:val="none"/>
        </w:rPr>
        <w:t xml:space="preserve">and follow-up </w:t>
      </w:r>
      <w:r w:rsidRPr="00015EE8">
        <w:rPr>
          <w:u w:val="none"/>
        </w:rPr>
        <w:t>mechanisms of the 2003</w:t>
      </w:r>
      <w:r w:rsidR="00AD111A" w:rsidRPr="00015EE8">
        <w:rPr>
          <w:u w:val="none"/>
        </w:rPr>
        <w:t> </w:t>
      </w:r>
      <w:r w:rsidRPr="00015EE8">
        <w:rPr>
          <w:u w:val="none"/>
        </w:rPr>
        <w:t>Convention;</w:t>
      </w:r>
    </w:p>
    <w:p w14:paraId="056DDE8D" w14:textId="2A89E049" w:rsidR="00F33C47" w:rsidRPr="00015EE8" w:rsidRDefault="00AD111A" w:rsidP="00E35EDA">
      <w:pPr>
        <w:pStyle w:val="COMParaDecision"/>
        <w:numPr>
          <w:ilvl w:val="0"/>
          <w:numId w:val="5"/>
        </w:numPr>
        <w:ind w:left="567" w:hanging="567"/>
        <w:rPr>
          <w:u w:val="none"/>
        </w:rPr>
      </w:pPr>
      <w:r w:rsidRPr="00015EE8">
        <w:t>Further r</w:t>
      </w:r>
      <w:r w:rsidR="00F33C47" w:rsidRPr="00015EE8">
        <w:t>eaffirms</w:t>
      </w:r>
      <w:r w:rsidR="00F33C47" w:rsidRPr="00015EE8">
        <w:rPr>
          <w:u w:val="none"/>
        </w:rPr>
        <w:t xml:space="preserve"> the need for further increasing efforts in order to reach geographically more representative, balanced and </w:t>
      </w:r>
      <w:r w:rsidR="006F6FF4" w:rsidRPr="00015EE8">
        <w:rPr>
          <w:u w:val="none"/>
        </w:rPr>
        <w:t xml:space="preserve">culturally </w:t>
      </w:r>
      <w:r w:rsidR="00F33C47" w:rsidRPr="00015EE8">
        <w:rPr>
          <w:u w:val="none"/>
        </w:rPr>
        <w:t>diversified lists;</w:t>
      </w:r>
    </w:p>
    <w:p w14:paraId="62FF754D" w14:textId="77777777" w:rsidR="007E54D9" w:rsidRPr="00015EE8" w:rsidRDefault="007E54D9" w:rsidP="00E35EDA">
      <w:pPr>
        <w:pStyle w:val="COMParaDecision"/>
        <w:numPr>
          <w:ilvl w:val="0"/>
          <w:numId w:val="5"/>
        </w:numPr>
        <w:ind w:left="567" w:hanging="567"/>
        <w:rPr>
          <w:u w:val="none"/>
        </w:rPr>
      </w:pPr>
      <w:r w:rsidRPr="00015EE8">
        <w:t>Renews</w:t>
      </w:r>
      <w:r w:rsidRPr="00015EE8">
        <w:rPr>
          <w:u w:val="none"/>
        </w:rPr>
        <w:t xml:space="preserve"> its gratitude to the Government of Japan for its contribution to support the global reflection on the listing mechanisms of the 2003 Convention;</w:t>
      </w:r>
    </w:p>
    <w:p w14:paraId="7D440002" w14:textId="77777777" w:rsidR="007E54D9" w:rsidRPr="00015EE8" w:rsidRDefault="007E54D9" w:rsidP="00BB6BEB">
      <w:pPr>
        <w:pStyle w:val="COMParaDecision"/>
        <w:numPr>
          <w:ilvl w:val="0"/>
          <w:numId w:val="5"/>
        </w:numPr>
        <w:ind w:left="567" w:hanging="567"/>
        <w:rPr>
          <w:u w:val="none"/>
        </w:rPr>
      </w:pPr>
      <w:r w:rsidRPr="00015EE8">
        <w:t>Takes note</w:t>
      </w:r>
      <w:r w:rsidRPr="00015EE8">
        <w:rPr>
          <w:u w:val="none"/>
        </w:rPr>
        <w:t xml:space="preserve"> of the alternative modality for conducting the category VI preliminary experts’ meeting and the intention to update the fifteenth session of the Committee on these changes;</w:t>
      </w:r>
    </w:p>
    <w:p w14:paraId="34C1424A" w14:textId="77777777" w:rsidR="00F33C47" w:rsidRPr="00015EE8" w:rsidRDefault="00F33C47" w:rsidP="00BB6BEB">
      <w:pPr>
        <w:pStyle w:val="COMParaDecision"/>
        <w:numPr>
          <w:ilvl w:val="0"/>
          <w:numId w:val="5"/>
        </w:numPr>
        <w:ind w:left="567" w:hanging="567"/>
        <w:rPr>
          <w:u w:val="none"/>
        </w:rPr>
      </w:pPr>
      <w:r w:rsidRPr="00015EE8">
        <w:t>Further takes note</w:t>
      </w:r>
      <w:r w:rsidRPr="00015EE8">
        <w:rPr>
          <w:u w:val="none"/>
        </w:rPr>
        <w:t xml:space="preserve"> of </w:t>
      </w:r>
      <w:hyperlink r:id="rId34" w:history="1">
        <w:r w:rsidRPr="00015EE8">
          <w:rPr>
            <w:rStyle w:val="Hyperlink"/>
            <w:rFonts w:asciiTheme="minorBidi" w:hAnsiTheme="minorBidi" w:cstheme="minorBidi"/>
            <w:lang w:val="en-US"/>
          </w:rPr>
          <w:t>Decision 13.COM.15</w:t>
        </w:r>
      </w:hyperlink>
      <w:r w:rsidRPr="00015EE8">
        <w:rPr>
          <w:rFonts w:asciiTheme="minorBidi" w:hAnsiTheme="minorBidi" w:cstheme="minorBidi"/>
          <w:color w:val="201F1E"/>
          <w:u w:val="none"/>
          <w:lang w:val="en-US"/>
        </w:rPr>
        <w:t xml:space="preserve"> of the Committee to determine the number of files that can be treated in the course of the 2020 and 2021 cycles by 50 files per cycle and </w:t>
      </w:r>
      <w:r w:rsidRPr="00015EE8">
        <w:rPr>
          <w:rFonts w:asciiTheme="minorBidi" w:hAnsiTheme="minorBidi" w:cstheme="minorBidi"/>
          <w:color w:val="201F1E"/>
          <w:lang w:val="en-US"/>
        </w:rPr>
        <w:t>welcomes</w:t>
      </w:r>
      <w:r w:rsidRPr="00015EE8">
        <w:rPr>
          <w:rFonts w:asciiTheme="minorBidi" w:hAnsiTheme="minorBidi" w:cstheme="minorBidi"/>
          <w:color w:val="201F1E"/>
          <w:u w:val="none"/>
          <w:lang w:val="en-US"/>
        </w:rPr>
        <w:t xml:space="preserve"> the efforts of the Secretariat to increase this number to 60 for the 2021 cycle;</w:t>
      </w:r>
    </w:p>
    <w:p w14:paraId="7518EA92" w14:textId="77777777" w:rsidR="00F33C47" w:rsidRPr="00015EE8" w:rsidRDefault="00F33C47" w:rsidP="00BB6BEB">
      <w:pPr>
        <w:pStyle w:val="COMParaDecision"/>
        <w:numPr>
          <w:ilvl w:val="0"/>
          <w:numId w:val="5"/>
        </w:numPr>
        <w:ind w:left="567" w:hanging="567"/>
        <w:rPr>
          <w:u w:val="none"/>
        </w:rPr>
      </w:pPr>
      <w:r w:rsidRPr="00015EE8">
        <w:t>Recommends</w:t>
      </w:r>
      <w:r w:rsidRPr="00015EE8">
        <w:rPr>
          <w:u w:val="none"/>
        </w:rPr>
        <w:t xml:space="preserve"> to the Committee</w:t>
      </w:r>
      <w:r w:rsidR="00AD111A" w:rsidRPr="00015EE8">
        <w:rPr>
          <w:u w:val="none"/>
        </w:rPr>
        <w:t>,</w:t>
      </w:r>
      <w:r w:rsidRPr="00015EE8">
        <w:rPr>
          <w:u w:val="none"/>
        </w:rPr>
        <w:t xml:space="preserve"> in line with the reflection process on the listing mechanism</w:t>
      </w:r>
      <w:r w:rsidR="00AD111A" w:rsidRPr="00015EE8">
        <w:rPr>
          <w:u w:val="none"/>
        </w:rPr>
        <w:t>s,</w:t>
      </w:r>
      <w:r w:rsidRPr="00015EE8">
        <w:rPr>
          <w:u w:val="none"/>
        </w:rPr>
        <w:t xml:space="preserve"> to consider the possibility of increasing this number to include all files submitted by State</w:t>
      </w:r>
      <w:r w:rsidR="00AD111A" w:rsidRPr="00015EE8">
        <w:rPr>
          <w:u w:val="none"/>
        </w:rPr>
        <w:t>s</w:t>
      </w:r>
      <w:r w:rsidRPr="00015EE8">
        <w:rPr>
          <w:u w:val="none"/>
        </w:rPr>
        <w:t xml:space="preserve"> Parties for the 2022-2023 cycles;</w:t>
      </w:r>
    </w:p>
    <w:p w14:paraId="57EBCD23" w14:textId="066E25B8" w:rsidR="007E54D9" w:rsidRPr="00015EE8" w:rsidRDefault="00AD111A" w:rsidP="00BB6BEB">
      <w:pPr>
        <w:pStyle w:val="COMParaDecision"/>
        <w:numPr>
          <w:ilvl w:val="0"/>
          <w:numId w:val="5"/>
        </w:numPr>
        <w:ind w:left="567" w:hanging="567"/>
        <w:rPr>
          <w:u w:val="none"/>
        </w:rPr>
      </w:pPr>
      <w:r w:rsidRPr="00015EE8">
        <w:t xml:space="preserve">Also </w:t>
      </w:r>
      <w:r w:rsidR="007E54D9" w:rsidRPr="00015EE8">
        <w:t>takes note</w:t>
      </w:r>
      <w:r w:rsidR="007E54D9" w:rsidRPr="00015EE8">
        <w:rPr>
          <w:u w:val="none"/>
        </w:rPr>
        <w:t xml:space="preserve"> of the revised provisional timeline for the reflection on the listing mechanisms of the 2003 Convention, as contained in the Annex to </w:t>
      </w:r>
      <w:hyperlink r:id="rId35" w:history="1"/>
      <w:r w:rsidR="007E54D9" w:rsidRPr="00015EE8">
        <w:rPr>
          <w:u w:val="none"/>
        </w:rPr>
        <w:t>this Resolution, including the open-ended intergovernmental working group scheduled for June 2021;</w:t>
      </w:r>
    </w:p>
    <w:p w14:paraId="0C29995A" w14:textId="77777777" w:rsidR="00F33C47" w:rsidRPr="00015EE8" w:rsidRDefault="00F33C47" w:rsidP="00BB6BEB">
      <w:pPr>
        <w:pStyle w:val="COMParaDecision"/>
        <w:numPr>
          <w:ilvl w:val="0"/>
          <w:numId w:val="5"/>
        </w:numPr>
        <w:ind w:left="567" w:hanging="567"/>
        <w:rPr>
          <w:u w:val="none"/>
        </w:rPr>
      </w:pPr>
      <w:r w:rsidRPr="00015EE8">
        <w:t>Requests</w:t>
      </w:r>
      <w:r w:rsidRPr="00015EE8">
        <w:rPr>
          <w:u w:val="none"/>
        </w:rPr>
        <w:t xml:space="preserve"> the Secretariat to take full advantage of online consultations enabling more experts to participate in order to collect as widely as possible comments and suggestions;</w:t>
      </w:r>
    </w:p>
    <w:p w14:paraId="32ECB8CF" w14:textId="77777777" w:rsidR="00F33C47" w:rsidRPr="00015EE8" w:rsidRDefault="00F33C47" w:rsidP="00BB6BEB">
      <w:pPr>
        <w:pStyle w:val="COMParaDecision"/>
        <w:numPr>
          <w:ilvl w:val="0"/>
          <w:numId w:val="5"/>
        </w:numPr>
        <w:ind w:left="567" w:hanging="567"/>
        <w:rPr>
          <w:u w:val="none"/>
        </w:rPr>
      </w:pPr>
      <w:r w:rsidRPr="00015EE8">
        <w:t>Recalls</w:t>
      </w:r>
      <w:r w:rsidRPr="00015EE8">
        <w:rPr>
          <w:u w:val="none"/>
        </w:rPr>
        <w:t xml:space="preserve"> paragraph 11 of </w:t>
      </w:r>
      <w:hyperlink r:id="rId36" w:history="1">
        <w:r w:rsidRPr="00015EE8">
          <w:rPr>
            <w:rStyle w:val="Hyperlink"/>
          </w:rPr>
          <w:t>Decision 14.COM</w:t>
        </w:r>
        <w:r w:rsidR="00AD111A" w:rsidRPr="00015EE8">
          <w:rPr>
            <w:rStyle w:val="Hyperlink"/>
          </w:rPr>
          <w:t> </w:t>
        </w:r>
        <w:r w:rsidRPr="00015EE8">
          <w:rPr>
            <w:rStyle w:val="Hyperlink"/>
          </w:rPr>
          <w:t>14</w:t>
        </w:r>
      </w:hyperlink>
      <w:r w:rsidRPr="00015EE8">
        <w:rPr>
          <w:u w:val="none"/>
        </w:rPr>
        <w:t xml:space="preserve"> which emphasizes that a revision of the Operational Directives is necessary in order to establish clear and specific procedures and criteria for the removal of an element from a list and the transfer of an element from one list to another;</w:t>
      </w:r>
    </w:p>
    <w:p w14:paraId="3E7AAFFF" w14:textId="4AA9A51D" w:rsidR="007E54D9" w:rsidRPr="00015EE8" w:rsidRDefault="00327EFF" w:rsidP="00BB6BEB">
      <w:pPr>
        <w:pStyle w:val="COMParaDecision"/>
        <w:numPr>
          <w:ilvl w:val="0"/>
          <w:numId w:val="5"/>
        </w:numPr>
        <w:ind w:left="567" w:hanging="567"/>
        <w:rPr>
          <w:u w:val="none"/>
        </w:rPr>
      </w:pPr>
      <w:r w:rsidRPr="00015EE8">
        <w:t>Further r</w:t>
      </w:r>
      <w:r w:rsidR="007E54D9" w:rsidRPr="00015EE8">
        <w:t>equests</w:t>
      </w:r>
      <w:r w:rsidR="007E54D9" w:rsidRPr="00015EE8">
        <w:rPr>
          <w:u w:val="none"/>
        </w:rPr>
        <w:t xml:space="preserve"> that the Secretariat report to the sixteenth session of the Committee on the progress achieved in the reflection process, </w:t>
      </w:r>
      <w:proofErr w:type="gramStart"/>
      <w:r w:rsidR="007E54D9" w:rsidRPr="00015EE8">
        <w:rPr>
          <w:u w:val="none"/>
        </w:rPr>
        <w:t>in particular on</w:t>
      </w:r>
      <w:proofErr w:type="gramEnd"/>
      <w:r w:rsidR="007E54D9" w:rsidRPr="00015EE8">
        <w:rPr>
          <w:u w:val="none"/>
        </w:rPr>
        <w:t xml:space="preserve"> the results of the aforementioned working group.</w:t>
      </w:r>
    </w:p>
    <w:p w14:paraId="1443F45D" w14:textId="77777777" w:rsidR="00045E93" w:rsidRPr="00015EE8" w:rsidRDefault="00045E93">
      <w:pPr>
        <w:rPr>
          <w:rFonts w:ascii="Arial" w:eastAsia="SimSun" w:hAnsi="Arial" w:cs="Arial"/>
          <w:b/>
          <w:sz w:val="22"/>
          <w:szCs w:val="22"/>
          <w:lang w:val="en-GB"/>
        </w:rPr>
      </w:pPr>
      <w:r w:rsidRPr="00015EE8">
        <w:rPr>
          <w:b/>
          <w:lang w:val="en-GB"/>
        </w:rPr>
        <w:br w:type="page"/>
      </w:r>
    </w:p>
    <w:p w14:paraId="03BE9877" w14:textId="70700385" w:rsidR="003E0C17" w:rsidRPr="00015EE8" w:rsidRDefault="001C5F3E" w:rsidP="00FD07EB">
      <w:pPr>
        <w:pStyle w:val="GAParaResolution"/>
        <w:numPr>
          <w:ilvl w:val="0"/>
          <w:numId w:val="0"/>
        </w:numPr>
        <w:spacing w:before="360" w:after="240"/>
        <w:jc w:val="center"/>
        <w:rPr>
          <w:rFonts w:eastAsia="Times New Roman"/>
          <w:b/>
          <w:u w:val="none"/>
        </w:rPr>
      </w:pPr>
      <w:r w:rsidRPr="00015EE8">
        <w:rPr>
          <w:b/>
          <w:u w:val="none"/>
        </w:rPr>
        <w:t>ANNEX</w:t>
      </w:r>
    </w:p>
    <w:p w14:paraId="41EBC401" w14:textId="77777777" w:rsidR="003E0C17" w:rsidRPr="00015EE8" w:rsidRDefault="003E0C17" w:rsidP="003E0C17">
      <w:pPr>
        <w:tabs>
          <w:tab w:val="center" w:pos="4819"/>
          <w:tab w:val="left" w:pos="8775"/>
        </w:tabs>
        <w:spacing w:before="120" w:after="240"/>
        <w:jc w:val="center"/>
        <w:rPr>
          <w:rFonts w:ascii="Arial" w:hAnsi="Arial" w:cs="Arial"/>
          <w:b/>
          <w:sz w:val="22"/>
          <w:szCs w:val="22"/>
          <w:lang w:val="en-GB"/>
        </w:rPr>
      </w:pPr>
      <w:r w:rsidRPr="00015EE8">
        <w:rPr>
          <w:rFonts w:ascii="Arial" w:hAnsi="Arial" w:cs="Arial"/>
          <w:b/>
          <w:sz w:val="22"/>
          <w:szCs w:val="22"/>
          <w:lang w:val="en-GB"/>
        </w:rPr>
        <w:t>Timeline for the reflection on listing mechanisms under the 2003 Convention for the Safeguarding of the Intangible Cultural Heritage</w:t>
      </w:r>
    </w:p>
    <w:tbl>
      <w:tblPr>
        <w:tblW w:w="9639" w:type="dxa"/>
        <w:jc w:val="center"/>
        <w:tblLook w:val="04A0" w:firstRow="1" w:lastRow="0" w:firstColumn="1" w:lastColumn="0" w:noHBand="0" w:noVBand="1"/>
      </w:tblPr>
      <w:tblGrid>
        <w:gridCol w:w="2969"/>
        <w:gridCol w:w="6670"/>
      </w:tblGrid>
      <w:tr w:rsidR="003E0C17" w:rsidRPr="00CB223B" w14:paraId="30A2300F" w14:textId="77777777" w:rsidTr="00380822">
        <w:trPr>
          <w:cantSplit/>
          <w:jc w:val="center"/>
        </w:trPr>
        <w:tc>
          <w:tcPr>
            <w:tcW w:w="1540" w:type="pct"/>
          </w:tcPr>
          <w:p w14:paraId="0CCB2BBD" w14:textId="77777777" w:rsidR="003E0C17" w:rsidRPr="00015EE8" w:rsidDel="00B13292"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November 2020</w:t>
            </w:r>
          </w:p>
        </w:tc>
        <w:tc>
          <w:tcPr>
            <w:tcW w:w="3460" w:type="pct"/>
          </w:tcPr>
          <w:p w14:paraId="6959AF2D" w14:textId="77777777" w:rsidR="003E0C17" w:rsidRPr="00015EE8" w:rsidRDefault="003E0C17" w:rsidP="00380822">
            <w:pPr>
              <w:spacing w:before="120" w:after="120"/>
              <w:rPr>
                <w:rFonts w:ascii="Arial" w:hAnsi="Arial" w:cs="Arial"/>
                <w:sz w:val="22"/>
                <w:szCs w:val="22"/>
                <w:lang w:val="en-US"/>
              </w:rPr>
            </w:pPr>
            <w:r w:rsidRPr="00015EE8">
              <w:rPr>
                <w:rFonts w:ascii="Arial" w:hAnsi="Arial" w:cs="Arial"/>
                <w:sz w:val="22"/>
                <w:szCs w:val="22"/>
                <w:lang w:val="en-US"/>
              </w:rPr>
              <w:t>Launch of the online survey</w:t>
            </w:r>
          </w:p>
        </w:tc>
      </w:tr>
      <w:tr w:rsidR="003E0C17" w:rsidRPr="00CB223B" w14:paraId="2A05F0B8" w14:textId="77777777" w:rsidTr="00380822">
        <w:trPr>
          <w:cantSplit/>
          <w:jc w:val="center"/>
        </w:trPr>
        <w:tc>
          <w:tcPr>
            <w:tcW w:w="1540" w:type="pct"/>
          </w:tcPr>
          <w:p w14:paraId="591A79B4" w14:textId="77777777" w:rsidR="003E0C17" w:rsidRPr="00015EE8" w:rsidDel="00631872" w:rsidRDefault="003E0C17" w:rsidP="00380822">
            <w:pPr>
              <w:spacing w:before="120" w:after="120"/>
              <w:jc w:val="center"/>
              <w:rPr>
                <w:rFonts w:ascii="Arial" w:hAnsi="Arial" w:cs="Arial"/>
                <w:sz w:val="22"/>
                <w:szCs w:val="22"/>
                <w:lang w:val="en-GB"/>
              </w:rPr>
            </w:pPr>
            <w:r w:rsidRPr="00015EE8">
              <w:rPr>
                <w:rFonts w:ascii="Arial" w:hAnsi="Arial" w:cs="Arial"/>
                <w:b/>
                <w:sz w:val="22"/>
                <w:szCs w:val="22"/>
                <w:lang w:val="en-GB"/>
              </w:rPr>
              <w:t>14 to 19 December 2020</w:t>
            </w:r>
          </w:p>
        </w:tc>
        <w:tc>
          <w:tcPr>
            <w:tcW w:w="3460" w:type="pct"/>
          </w:tcPr>
          <w:p w14:paraId="67BBC874"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b/>
                <w:sz w:val="22"/>
                <w:szCs w:val="22"/>
                <w:lang w:val="en-US"/>
              </w:rPr>
              <w:t>Fifteenth session of the Intergovernmental Committee</w:t>
            </w:r>
          </w:p>
        </w:tc>
      </w:tr>
      <w:tr w:rsidR="003E0C17" w:rsidRPr="00CB223B" w14:paraId="1EF509FA" w14:textId="77777777" w:rsidTr="00380822">
        <w:trPr>
          <w:cantSplit/>
          <w:jc w:val="center"/>
        </w:trPr>
        <w:tc>
          <w:tcPr>
            <w:tcW w:w="1540" w:type="pct"/>
          </w:tcPr>
          <w:p w14:paraId="40F08FDF"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January 2021</w:t>
            </w:r>
          </w:p>
        </w:tc>
        <w:tc>
          <w:tcPr>
            <w:tcW w:w="3460" w:type="pct"/>
          </w:tcPr>
          <w:p w14:paraId="67CC2D5C" w14:textId="77777777" w:rsidR="003E0C17" w:rsidRPr="00015EE8" w:rsidRDefault="003E0C17" w:rsidP="00380822">
            <w:pPr>
              <w:spacing w:before="120" w:after="120"/>
              <w:rPr>
                <w:rFonts w:ascii="Arial" w:eastAsia="SimSun" w:hAnsi="Arial" w:cs="Arial"/>
                <w:sz w:val="22"/>
                <w:szCs w:val="22"/>
                <w:lang w:val="en-GB" w:eastAsia="zh-CN"/>
              </w:rPr>
            </w:pPr>
            <w:r w:rsidRPr="00015EE8">
              <w:rPr>
                <w:rFonts w:ascii="Arial" w:eastAsia="SimSun" w:hAnsi="Arial" w:cs="Arial"/>
                <w:sz w:val="22"/>
                <w:szCs w:val="22"/>
                <w:lang w:val="en-GB" w:eastAsia="zh-CN"/>
              </w:rPr>
              <w:t>D</w:t>
            </w:r>
            <w:r w:rsidRPr="00015EE8">
              <w:rPr>
                <w:rFonts w:ascii="Arial" w:hAnsi="Arial" w:cs="Arial"/>
                <w:sz w:val="22"/>
                <w:szCs w:val="22"/>
                <w:lang w:val="en-GB"/>
              </w:rPr>
              <w:t xml:space="preserve">eadline for experts </w:t>
            </w:r>
            <w:r w:rsidRPr="00015EE8">
              <w:rPr>
                <w:rFonts w:ascii="Arial" w:eastAsia="SimSun" w:hAnsi="Arial" w:cs="Arial"/>
                <w:sz w:val="22"/>
                <w:szCs w:val="22"/>
                <w:lang w:val="en-GB" w:eastAsia="zh-CN"/>
              </w:rPr>
              <w:t>to complete the survey</w:t>
            </w:r>
          </w:p>
        </w:tc>
      </w:tr>
      <w:tr w:rsidR="003E0C17" w:rsidRPr="00CB223B" w14:paraId="40D0D604" w14:textId="77777777" w:rsidTr="00380822">
        <w:trPr>
          <w:cantSplit/>
          <w:jc w:val="center"/>
        </w:trPr>
        <w:tc>
          <w:tcPr>
            <w:tcW w:w="1540" w:type="pct"/>
          </w:tcPr>
          <w:p w14:paraId="398C7059"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February 2021</w:t>
            </w:r>
          </w:p>
        </w:tc>
        <w:tc>
          <w:tcPr>
            <w:tcW w:w="3460" w:type="pct"/>
          </w:tcPr>
          <w:p w14:paraId="5BBEC678" w14:textId="77777777" w:rsidR="003E0C17" w:rsidRPr="00015EE8" w:rsidRDefault="003E0C17" w:rsidP="00380822">
            <w:pPr>
              <w:spacing w:before="120" w:after="120"/>
              <w:rPr>
                <w:rFonts w:ascii="Arial" w:eastAsiaTheme="minorEastAsia" w:hAnsi="Arial" w:cs="Arial"/>
                <w:sz w:val="22"/>
                <w:szCs w:val="22"/>
                <w:lang w:val="en-GB" w:eastAsia="ko-KR"/>
              </w:rPr>
            </w:pPr>
            <w:r w:rsidRPr="00015EE8">
              <w:rPr>
                <w:rFonts w:ascii="Arial" w:hAnsi="Arial" w:cs="Arial"/>
                <w:sz w:val="22"/>
                <w:szCs w:val="22"/>
                <w:lang w:val="en-GB"/>
              </w:rPr>
              <w:t>First online plenary meeting of experts and creation of breakout groups</w:t>
            </w:r>
          </w:p>
        </w:tc>
      </w:tr>
      <w:tr w:rsidR="003E0C17" w:rsidRPr="00CB223B" w14:paraId="2D5A770E" w14:textId="77777777" w:rsidTr="00380822">
        <w:trPr>
          <w:cantSplit/>
          <w:jc w:val="center"/>
        </w:trPr>
        <w:tc>
          <w:tcPr>
            <w:tcW w:w="1540" w:type="pct"/>
          </w:tcPr>
          <w:p w14:paraId="26AF2AED"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February/March 2021</w:t>
            </w:r>
          </w:p>
        </w:tc>
        <w:tc>
          <w:tcPr>
            <w:tcW w:w="3460" w:type="pct"/>
          </w:tcPr>
          <w:p w14:paraId="290E86EA"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sz w:val="22"/>
                <w:szCs w:val="22"/>
                <w:lang w:val="en-GB"/>
              </w:rPr>
              <w:t>Analysis of the survey results through online breakout group meetings</w:t>
            </w:r>
          </w:p>
        </w:tc>
      </w:tr>
      <w:tr w:rsidR="003E0C17" w:rsidRPr="00CB223B" w14:paraId="57C57464" w14:textId="77777777" w:rsidTr="00380822">
        <w:trPr>
          <w:cantSplit/>
          <w:jc w:val="center"/>
        </w:trPr>
        <w:tc>
          <w:tcPr>
            <w:tcW w:w="1540" w:type="pct"/>
          </w:tcPr>
          <w:p w14:paraId="029628D5"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 xml:space="preserve">March 2021 </w:t>
            </w:r>
          </w:p>
        </w:tc>
        <w:tc>
          <w:tcPr>
            <w:tcW w:w="3460" w:type="pct"/>
          </w:tcPr>
          <w:p w14:paraId="55A93790"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sz w:val="22"/>
                <w:szCs w:val="22"/>
                <w:lang w:val="en-GB"/>
              </w:rPr>
              <w:t>Second online plenary meeting of experts (Day 1): Presentations of recommendations by breakout groups</w:t>
            </w:r>
          </w:p>
        </w:tc>
      </w:tr>
      <w:tr w:rsidR="003E0C17" w:rsidRPr="00CB223B" w14:paraId="737BBC35" w14:textId="77777777" w:rsidTr="00380822">
        <w:trPr>
          <w:cantSplit/>
          <w:jc w:val="center"/>
        </w:trPr>
        <w:tc>
          <w:tcPr>
            <w:tcW w:w="1540" w:type="pct"/>
          </w:tcPr>
          <w:p w14:paraId="4D0F1272"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March 2021</w:t>
            </w:r>
          </w:p>
        </w:tc>
        <w:tc>
          <w:tcPr>
            <w:tcW w:w="3460" w:type="pct"/>
          </w:tcPr>
          <w:p w14:paraId="56436B64"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sz w:val="22"/>
                <w:szCs w:val="22"/>
                <w:lang w:val="en-GB"/>
              </w:rPr>
              <w:t>Second online plenary meeting of experts (Day 2): Harmonization of recommendations and conclusions</w:t>
            </w:r>
          </w:p>
        </w:tc>
      </w:tr>
      <w:tr w:rsidR="003E0C17" w:rsidRPr="00CB223B" w14:paraId="4997D093" w14:textId="77777777" w:rsidTr="00380822">
        <w:trPr>
          <w:cantSplit/>
          <w:jc w:val="center"/>
        </w:trPr>
        <w:tc>
          <w:tcPr>
            <w:tcW w:w="1540" w:type="pct"/>
          </w:tcPr>
          <w:p w14:paraId="6CF03822"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May 2021</w:t>
            </w:r>
          </w:p>
        </w:tc>
        <w:tc>
          <w:tcPr>
            <w:tcW w:w="3460" w:type="pct"/>
          </w:tcPr>
          <w:p w14:paraId="56A66C5B"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sz w:val="22"/>
                <w:szCs w:val="22"/>
                <w:lang w:val="en-GB"/>
              </w:rPr>
              <w:t>Online publication of the working documents for the open-ended intergovernmental working group</w:t>
            </w:r>
            <w:r w:rsidRPr="00015EE8" w:rsidDel="00480A9D">
              <w:rPr>
                <w:rFonts w:ascii="Arial" w:hAnsi="Arial" w:cs="Arial"/>
                <w:sz w:val="22"/>
                <w:szCs w:val="22"/>
                <w:lang w:val="en-GB"/>
              </w:rPr>
              <w:t xml:space="preserve"> </w:t>
            </w:r>
          </w:p>
        </w:tc>
      </w:tr>
      <w:tr w:rsidR="003E0C17" w:rsidRPr="00CB223B" w14:paraId="0E5C882B" w14:textId="77777777" w:rsidTr="00380822">
        <w:trPr>
          <w:cantSplit/>
          <w:jc w:val="center"/>
        </w:trPr>
        <w:tc>
          <w:tcPr>
            <w:tcW w:w="1540" w:type="pct"/>
          </w:tcPr>
          <w:p w14:paraId="6029785C" w14:textId="77777777" w:rsidR="003E0C17" w:rsidRPr="00015EE8" w:rsidRDefault="003E0C17" w:rsidP="00380822">
            <w:pPr>
              <w:spacing w:before="120" w:after="120"/>
              <w:jc w:val="center"/>
              <w:rPr>
                <w:rFonts w:ascii="Arial" w:hAnsi="Arial" w:cs="Arial"/>
                <w:sz w:val="22"/>
                <w:szCs w:val="22"/>
                <w:lang w:val="en-GB"/>
              </w:rPr>
            </w:pPr>
            <w:r w:rsidRPr="00015EE8">
              <w:rPr>
                <w:rFonts w:ascii="Arial" w:hAnsi="Arial" w:cs="Arial"/>
                <w:sz w:val="22"/>
                <w:szCs w:val="22"/>
                <w:lang w:val="en-GB"/>
              </w:rPr>
              <w:t>June 2021</w:t>
            </w:r>
          </w:p>
        </w:tc>
        <w:tc>
          <w:tcPr>
            <w:tcW w:w="3460" w:type="pct"/>
          </w:tcPr>
          <w:p w14:paraId="31FB3CE9" w14:textId="77777777" w:rsidR="003E0C17" w:rsidRPr="00015EE8" w:rsidRDefault="003E0C17" w:rsidP="00380822">
            <w:pPr>
              <w:spacing w:before="120" w:after="120"/>
              <w:rPr>
                <w:rFonts w:ascii="Arial" w:hAnsi="Arial" w:cs="Arial"/>
                <w:sz w:val="22"/>
                <w:szCs w:val="22"/>
                <w:lang w:val="en-GB"/>
              </w:rPr>
            </w:pPr>
            <w:r w:rsidRPr="00015EE8">
              <w:rPr>
                <w:rFonts w:ascii="Arial" w:hAnsi="Arial" w:cs="Arial"/>
                <w:sz w:val="22"/>
                <w:szCs w:val="22"/>
                <w:lang w:val="en-GB"/>
              </w:rPr>
              <w:t>Meeting of the open-ended intergovernmental working group</w:t>
            </w:r>
          </w:p>
        </w:tc>
      </w:tr>
      <w:tr w:rsidR="003E0C17" w:rsidRPr="00CB223B" w14:paraId="66FA2783" w14:textId="77777777" w:rsidTr="00380822">
        <w:trPr>
          <w:cantSplit/>
          <w:jc w:val="center"/>
        </w:trPr>
        <w:tc>
          <w:tcPr>
            <w:tcW w:w="1540" w:type="pct"/>
          </w:tcPr>
          <w:p w14:paraId="0EE0A514" w14:textId="77777777" w:rsidR="003E0C17" w:rsidRPr="00015EE8" w:rsidRDefault="003E0C17" w:rsidP="00380822">
            <w:pPr>
              <w:spacing w:before="120" w:after="120"/>
              <w:jc w:val="center"/>
              <w:rPr>
                <w:rFonts w:ascii="Arial" w:hAnsi="Arial" w:cs="Arial"/>
                <w:b/>
                <w:sz w:val="22"/>
                <w:szCs w:val="22"/>
                <w:lang w:val="en-GB"/>
              </w:rPr>
            </w:pPr>
            <w:r w:rsidRPr="00015EE8">
              <w:rPr>
                <w:rFonts w:ascii="Arial" w:hAnsi="Arial" w:cs="Arial"/>
                <w:b/>
                <w:sz w:val="22"/>
                <w:szCs w:val="22"/>
                <w:lang w:val="en-GB"/>
              </w:rPr>
              <w:t>November/December 2021</w:t>
            </w:r>
          </w:p>
        </w:tc>
        <w:tc>
          <w:tcPr>
            <w:tcW w:w="3460" w:type="pct"/>
          </w:tcPr>
          <w:p w14:paraId="5B29A05E" w14:textId="77777777" w:rsidR="003E0C17" w:rsidRPr="00015EE8" w:rsidRDefault="003E0C17" w:rsidP="00380822">
            <w:pPr>
              <w:spacing w:before="120" w:after="120"/>
              <w:rPr>
                <w:rFonts w:ascii="Arial" w:hAnsi="Arial" w:cs="Arial"/>
                <w:b/>
                <w:sz w:val="22"/>
                <w:szCs w:val="22"/>
                <w:lang w:val="en-US"/>
              </w:rPr>
            </w:pPr>
            <w:r w:rsidRPr="00015EE8">
              <w:rPr>
                <w:rFonts w:ascii="Arial" w:hAnsi="Arial" w:cs="Arial"/>
                <w:b/>
                <w:sz w:val="22"/>
                <w:szCs w:val="22"/>
                <w:lang w:val="en-US"/>
              </w:rPr>
              <w:t>Sixteenth session of the Intergovernmental Committee</w:t>
            </w:r>
          </w:p>
        </w:tc>
      </w:tr>
    </w:tbl>
    <w:p w14:paraId="25CAC5FA" w14:textId="77777777" w:rsidR="007E54D9" w:rsidRPr="00015EE8" w:rsidRDefault="007E54D9" w:rsidP="007E54D9">
      <w:pPr>
        <w:pStyle w:val="GATitleResolution"/>
      </w:pPr>
      <w:r w:rsidRPr="00015EE8">
        <w:t>RESOLUTION 8.GA 12</w:t>
      </w:r>
    </w:p>
    <w:p w14:paraId="6F19C52F" w14:textId="77777777" w:rsidR="007E54D9" w:rsidRPr="00015EE8" w:rsidRDefault="007E54D9" w:rsidP="007E54D9">
      <w:pPr>
        <w:pStyle w:val="GAPreambulaResolution"/>
        <w:ind w:left="0"/>
        <w:rPr>
          <w:rFonts w:eastAsia="SimSun"/>
        </w:rPr>
      </w:pPr>
      <w:r w:rsidRPr="00015EE8">
        <w:t>The General Assembly,</w:t>
      </w:r>
    </w:p>
    <w:p w14:paraId="4AAE9336" w14:textId="77777777" w:rsidR="007E54D9" w:rsidRPr="00015EE8" w:rsidRDefault="007E54D9" w:rsidP="00BB6BEB">
      <w:pPr>
        <w:pStyle w:val="GAParaResolution"/>
        <w:numPr>
          <w:ilvl w:val="0"/>
          <w:numId w:val="25"/>
        </w:numPr>
        <w:ind w:left="567" w:hanging="567"/>
        <w:jc w:val="left"/>
      </w:pPr>
      <w:r w:rsidRPr="00015EE8">
        <w:t>Having examined</w:t>
      </w:r>
      <w:r w:rsidRPr="00015EE8">
        <w:rPr>
          <w:u w:val="none"/>
        </w:rPr>
        <w:t xml:space="preserve"> document </w:t>
      </w:r>
      <w:hyperlink r:id="rId37" w:history="1">
        <w:r w:rsidRPr="00015EE8">
          <w:rPr>
            <w:rStyle w:val="Hyperlink"/>
          </w:rPr>
          <w:t>LHE/20/8.GA/12</w:t>
        </w:r>
      </w:hyperlink>
      <w:r w:rsidRPr="00015EE8">
        <w:rPr>
          <w:u w:val="none"/>
        </w:rPr>
        <w:t>,</w:t>
      </w:r>
    </w:p>
    <w:p w14:paraId="26525144" w14:textId="77777777" w:rsidR="007E54D9" w:rsidRPr="00015EE8" w:rsidRDefault="007E54D9" w:rsidP="00BB6BEB">
      <w:pPr>
        <w:pStyle w:val="COMParaDecision"/>
        <w:numPr>
          <w:ilvl w:val="0"/>
          <w:numId w:val="5"/>
        </w:numPr>
        <w:ind w:left="567" w:hanging="567"/>
      </w:pPr>
      <w:r w:rsidRPr="00015EE8">
        <w:t>Recalling</w:t>
      </w:r>
      <w:r w:rsidRPr="00015EE8">
        <w:rPr>
          <w:u w:val="none"/>
        </w:rPr>
        <w:t xml:space="preserve"> Article 9 of the Convention and chapter III.2 of the Operational Directives,</w:t>
      </w:r>
    </w:p>
    <w:p w14:paraId="3F045E97" w14:textId="5C44AA8C" w:rsidR="007E54D9" w:rsidRPr="00015EE8" w:rsidRDefault="007E54D9" w:rsidP="00BB6BEB">
      <w:pPr>
        <w:pStyle w:val="COMParaDecision"/>
        <w:numPr>
          <w:ilvl w:val="0"/>
          <w:numId w:val="5"/>
        </w:numPr>
        <w:ind w:left="567" w:hanging="567"/>
      </w:pPr>
      <w:r w:rsidRPr="00015EE8">
        <w:t>Further recalling</w:t>
      </w:r>
      <w:r w:rsidR="0075084F" w:rsidRPr="00015EE8">
        <w:rPr>
          <w:u w:val="none"/>
        </w:rPr>
        <w:t xml:space="preserve"> Decisions</w:t>
      </w:r>
      <w:r w:rsidRPr="00015EE8">
        <w:rPr>
          <w:u w:val="none"/>
        </w:rPr>
        <w:t xml:space="preserve"> </w:t>
      </w:r>
      <w:hyperlink r:id="rId38" w:history="1">
        <w:r w:rsidRPr="00015EE8">
          <w:rPr>
            <w:rStyle w:val="Hyperlink"/>
          </w:rPr>
          <w:t>12.COM 13</w:t>
        </w:r>
      </w:hyperlink>
      <w:r w:rsidRPr="00015EE8">
        <w:rPr>
          <w:u w:val="none"/>
        </w:rPr>
        <w:t xml:space="preserve">, </w:t>
      </w:r>
      <w:hyperlink r:id="rId39" w:history="1">
        <w:r w:rsidRPr="00015EE8">
          <w:rPr>
            <w:rStyle w:val="Hyperlink"/>
          </w:rPr>
          <w:t>12.COM 17</w:t>
        </w:r>
      </w:hyperlink>
      <w:r w:rsidRPr="00015EE8">
        <w:rPr>
          <w:u w:val="none"/>
        </w:rPr>
        <w:t xml:space="preserve">, </w:t>
      </w:r>
      <w:hyperlink r:id="rId40" w:history="1">
        <w:r w:rsidRPr="00015EE8">
          <w:rPr>
            <w:rStyle w:val="Hyperlink"/>
          </w:rPr>
          <w:t>13.COM 13</w:t>
        </w:r>
      </w:hyperlink>
      <w:r w:rsidRPr="00015EE8">
        <w:rPr>
          <w:u w:val="none"/>
        </w:rPr>
        <w:t xml:space="preserve">, </w:t>
      </w:r>
      <w:hyperlink r:id="rId41" w:history="1">
        <w:r w:rsidRPr="00015EE8">
          <w:rPr>
            <w:rStyle w:val="Hyperlink"/>
          </w:rPr>
          <w:t>13.COM 16</w:t>
        </w:r>
      </w:hyperlink>
      <w:r w:rsidRPr="00015EE8">
        <w:rPr>
          <w:u w:val="none"/>
        </w:rPr>
        <w:t xml:space="preserve">, </w:t>
      </w:r>
      <w:hyperlink r:id="rId42" w:history="1">
        <w:r w:rsidRPr="00015EE8">
          <w:rPr>
            <w:rStyle w:val="Hyperlink"/>
          </w:rPr>
          <w:t>14.COM 15</w:t>
        </w:r>
      </w:hyperlink>
      <w:r w:rsidRPr="00015EE8">
        <w:rPr>
          <w:u w:val="none"/>
        </w:rPr>
        <w:t xml:space="preserve">, and </w:t>
      </w:r>
      <w:hyperlink r:id="rId43" w:history="1">
        <w:r w:rsidRPr="00015EE8">
          <w:rPr>
            <w:rStyle w:val="Hyperlink"/>
          </w:rPr>
          <w:t>14.COM 16</w:t>
        </w:r>
      </w:hyperlink>
      <w:r w:rsidR="00C0778A" w:rsidRPr="00015EE8">
        <w:rPr>
          <w:u w:val="none"/>
        </w:rPr>
        <w:t xml:space="preserve">, </w:t>
      </w:r>
      <w:r w:rsidRPr="00015EE8">
        <w:rPr>
          <w:u w:val="none"/>
        </w:rPr>
        <w:t xml:space="preserve">as well as </w:t>
      </w:r>
      <w:r w:rsidR="000F70AF" w:rsidRPr="00015EE8">
        <w:rPr>
          <w:u w:val="none"/>
        </w:rPr>
        <w:t xml:space="preserve">Resolutions </w:t>
      </w:r>
      <w:hyperlink r:id="rId44" w:history="1">
        <w:r w:rsidRPr="00015EE8">
          <w:rPr>
            <w:rStyle w:val="Hyperlink"/>
          </w:rPr>
          <w:t>7.GA 6</w:t>
        </w:r>
      </w:hyperlink>
      <w:r w:rsidRPr="00015EE8">
        <w:rPr>
          <w:u w:val="none"/>
        </w:rPr>
        <w:t xml:space="preserve"> and </w:t>
      </w:r>
      <w:hyperlink r:id="rId45" w:history="1">
        <w:r w:rsidRPr="00015EE8">
          <w:rPr>
            <w:rStyle w:val="Hyperlink"/>
          </w:rPr>
          <w:t>7.GA 11</w:t>
        </w:r>
      </w:hyperlink>
      <w:r w:rsidRPr="00015EE8">
        <w:rPr>
          <w:u w:val="none"/>
        </w:rPr>
        <w:t>,</w:t>
      </w:r>
    </w:p>
    <w:p w14:paraId="25ADAC3C" w14:textId="77777777" w:rsidR="007E54D9" w:rsidRPr="00015EE8" w:rsidRDefault="007E54D9" w:rsidP="007E54D9">
      <w:pPr>
        <w:pStyle w:val="GAParaResolution"/>
        <w:ind w:left="567" w:hanging="567"/>
        <w:rPr>
          <w:u w:val="none"/>
        </w:rPr>
      </w:pPr>
      <w:r w:rsidRPr="00015EE8">
        <w:t>Commends</w:t>
      </w:r>
      <w:r w:rsidRPr="00015EE8">
        <w:rPr>
          <w:u w:val="none"/>
        </w:rPr>
        <w:t xml:space="preserve"> the Secretariat, accredited non-governmental organizations, the ICH NGO Forum, the informal ad hoc open-ended working group and States Parties for carrying out the reflection on the participation of non-governmental organizations in the implementation of the Convention;</w:t>
      </w:r>
    </w:p>
    <w:p w14:paraId="12B54A6C" w14:textId="77777777" w:rsidR="007E54D9" w:rsidRPr="00015EE8" w:rsidRDefault="007E54D9" w:rsidP="00BB6BEB">
      <w:pPr>
        <w:pStyle w:val="COMParaDecision"/>
        <w:numPr>
          <w:ilvl w:val="0"/>
          <w:numId w:val="5"/>
        </w:numPr>
        <w:ind w:left="567" w:hanging="567"/>
      </w:pPr>
      <w:r w:rsidRPr="00015EE8">
        <w:t>Acknowledges</w:t>
      </w:r>
      <w:r w:rsidRPr="00015EE8">
        <w:rPr>
          <w:u w:val="none"/>
        </w:rPr>
        <w:t xml:space="preserve"> the important role and untapped potential of accredited non-governmental organizations and the ICH NGO Forum in providing support for the implementation of the Convention;</w:t>
      </w:r>
    </w:p>
    <w:p w14:paraId="4FF4D5CB" w14:textId="77777777" w:rsidR="007E54D9" w:rsidRPr="00015EE8" w:rsidRDefault="007E54D9" w:rsidP="00BB6BEB">
      <w:pPr>
        <w:pStyle w:val="COMParaDecision"/>
        <w:numPr>
          <w:ilvl w:val="0"/>
          <w:numId w:val="5"/>
        </w:numPr>
        <w:ind w:left="567" w:hanging="567"/>
        <w:rPr>
          <w:snapToGrid w:val="0"/>
          <w:lang w:eastAsia="en-US"/>
        </w:rPr>
      </w:pPr>
      <w:r w:rsidRPr="00015EE8">
        <w:t>Welcomes</w:t>
      </w:r>
      <w:r w:rsidRPr="00015EE8">
        <w:rPr>
          <w:u w:val="none"/>
        </w:rPr>
        <w:t xml:space="preserve"> the specific item </w:t>
      </w:r>
      <w:r w:rsidRPr="00015EE8">
        <w:rPr>
          <w:u w:val="none"/>
          <w:lang w:val="en-US"/>
        </w:rPr>
        <w:t xml:space="preserve">‘Report of the Non-Governmental Organizations Forum’ </w:t>
      </w:r>
      <w:r w:rsidRPr="00015EE8">
        <w:rPr>
          <w:u w:val="none"/>
        </w:rPr>
        <w:t xml:space="preserve">to be inscribed, </w:t>
      </w:r>
      <w:r w:rsidRPr="00015EE8">
        <w:rPr>
          <w:u w:val="none"/>
          <w:lang w:val="en-US"/>
        </w:rPr>
        <w:t>on an experimental basis,</w:t>
      </w:r>
      <w:r w:rsidRPr="00015EE8">
        <w:rPr>
          <w:u w:val="none"/>
        </w:rPr>
        <w:t xml:space="preserve"> on the provisional agenda of the fifteenth session of the Committee;</w:t>
      </w:r>
    </w:p>
    <w:p w14:paraId="7EBAAE4D" w14:textId="77777777" w:rsidR="007E54D9" w:rsidRPr="00015EE8" w:rsidRDefault="007E54D9" w:rsidP="00BB6BEB">
      <w:pPr>
        <w:pStyle w:val="COMParaDecision"/>
        <w:numPr>
          <w:ilvl w:val="0"/>
          <w:numId w:val="5"/>
        </w:numPr>
        <w:ind w:left="567" w:hanging="567"/>
        <w:rPr>
          <w:snapToGrid w:val="0"/>
          <w:lang w:eastAsia="en-US"/>
        </w:rPr>
      </w:pPr>
      <w:r w:rsidRPr="00015EE8">
        <w:t>Takes note</w:t>
      </w:r>
      <w:r w:rsidRPr="00015EE8">
        <w:rPr>
          <w:u w:val="none"/>
        </w:rPr>
        <w:t xml:space="preserve"> of the outcomes of the reflection process and </w:t>
      </w:r>
      <w:r w:rsidRPr="00015EE8">
        <w:t>requests</w:t>
      </w:r>
      <w:r w:rsidRPr="00015EE8">
        <w:rPr>
          <w:u w:val="none"/>
        </w:rPr>
        <w:t xml:space="preserve"> that the Secretariat implement, as appropriate, the relevant decisions of the Committee in consultation and collaboration with the ICH NGO Forum.</w:t>
      </w:r>
    </w:p>
    <w:p w14:paraId="5ABDACD8" w14:textId="77777777" w:rsidR="00FA7166" w:rsidRPr="00015EE8" w:rsidRDefault="00FA7166" w:rsidP="00FA7166">
      <w:pPr>
        <w:pStyle w:val="GATitleResolution"/>
      </w:pPr>
      <w:r w:rsidRPr="00015EE8">
        <w:t>RESOLUTION 8.GA 13</w:t>
      </w:r>
    </w:p>
    <w:p w14:paraId="399CB176" w14:textId="77777777" w:rsidR="00FA7166" w:rsidRPr="00015EE8" w:rsidRDefault="00FA7166" w:rsidP="00FA7166">
      <w:pPr>
        <w:pStyle w:val="GAPreambulaResolution"/>
        <w:ind w:left="0"/>
        <w:rPr>
          <w:rFonts w:eastAsia="SimSun"/>
        </w:rPr>
      </w:pPr>
      <w:r w:rsidRPr="00015EE8">
        <w:t>The General Assembly,</w:t>
      </w:r>
    </w:p>
    <w:p w14:paraId="4B50D149" w14:textId="043A0E92" w:rsidR="00FA7166" w:rsidRPr="00015EE8" w:rsidRDefault="00FA7166" w:rsidP="00BB6BEB">
      <w:pPr>
        <w:pStyle w:val="GAParaResolution"/>
        <w:numPr>
          <w:ilvl w:val="0"/>
          <w:numId w:val="26"/>
        </w:numPr>
        <w:ind w:left="567" w:hanging="567"/>
        <w:jc w:val="left"/>
      </w:pPr>
      <w:r w:rsidRPr="00015EE8">
        <w:t>Having examined</w:t>
      </w:r>
      <w:r w:rsidRPr="00015EE8">
        <w:rPr>
          <w:u w:val="none"/>
        </w:rPr>
        <w:t xml:space="preserve"> document </w:t>
      </w:r>
      <w:hyperlink r:id="rId46" w:history="1">
        <w:r w:rsidRPr="00015EE8">
          <w:rPr>
            <w:rStyle w:val="Hyperlink"/>
          </w:rPr>
          <w:t>LHE/20/8.GA/13</w:t>
        </w:r>
      </w:hyperlink>
      <w:r w:rsidR="0091465D" w:rsidRPr="00015EE8">
        <w:rPr>
          <w:u w:val="none"/>
        </w:rPr>
        <w:t xml:space="preserve"> and its </w:t>
      </w:r>
      <w:r w:rsidR="001C5F3E" w:rsidRPr="00015EE8">
        <w:rPr>
          <w:u w:val="none"/>
        </w:rPr>
        <w:t>A</w:t>
      </w:r>
      <w:r w:rsidR="0091465D" w:rsidRPr="00015EE8">
        <w:rPr>
          <w:u w:val="none"/>
        </w:rPr>
        <w:t>nnex</w:t>
      </w:r>
      <w:r w:rsidRPr="00015EE8">
        <w:rPr>
          <w:u w:val="none"/>
        </w:rPr>
        <w:t>,</w:t>
      </w:r>
    </w:p>
    <w:p w14:paraId="7679BA0E" w14:textId="77777777" w:rsidR="00FA7166" w:rsidRPr="00015EE8" w:rsidRDefault="00FA7166" w:rsidP="00BB6BEB">
      <w:pPr>
        <w:pStyle w:val="COMParaDecision"/>
        <w:numPr>
          <w:ilvl w:val="0"/>
          <w:numId w:val="5"/>
        </w:numPr>
        <w:ind w:left="567" w:hanging="567"/>
      </w:pPr>
      <w:r w:rsidRPr="00015EE8">
        <w:t>Recalling</w:t>
      </w:r>
      <w:r w:rsidRPr="00015EE8">
        <w:rPr>
          <w:u w:val="none"/>
        </w:rPr>
        <w:t xml:space="preserve"> Article 9 of the Convention and paragraphs 91–99 of the Operational Directives,</w:t>
      </w:r>
    </w:p>
    <w:p w14:paraId="36E39170" w14:textId="77777777" w:rsidR="00FA7166" w:rsidRPr="00015EE8" w:rsidRDefault="00FA7166" w:rsidP="00BB6BEB">
      <w:pPr>
        <w:pStyle w:val="COMParaDecision"/>
        <w:numPr>
          <w:ilvl w:val="0"/>
          <w:numId w:val="5"/>
        </w:numPr>
        <w:ind w:left="567" w:hanging="567"/>
      </w:pPr>
      <w:r w:rsidRPr="00015EE8">
        <w:t>Further recalling</w:t>
      </w:r>
      <w:r w:rsidRPr="00015EE8">
        <w:rPr>
          <w:u w:val="none"/>
        </w:rPr>
        <w:t xml:space="preserve"> </w:t>
      </w:r>
      <w:hyperlink r:id="rId47" w:history="1">
        <w:r w:rsidRPr="00015EE8">
          <w:rPr>
            <w:rStyle w:val="Hyperlink"/>
          </w:rPr>
          <w:t>Decision 14.COM 17</w:t>
        </w:r>
      </w:hyperlink>
      <w:r w:rsidRPr="00015EE8">
        <w:rPr>
          <w:u w:val="none"/>
        </w:rPr>
        <w:t>,</w:t>
      </w:r>
    </w:p>
    <w:p w14:paraId="534F5452" w14:textId="424DAC17" w:rsidR="00FA7166" w:rsidRPr="00015EE8" w:rsidRDefault="00FA7166" w:rsidP="00BB6BEB">
      <w:pPr>
        <w:pStyle w:val="COMParaDecision"/>
        <w:numPr>
          <w:ilvl w:val="0"/>
          <w:numId w:val="5"/>
        </w:numPr>
        <w:ind w:left="567" w:hanging="567"/>
      </w:pPr>
      <w:r w:rsidRPr="00015EE8">
        <w:t>Accredits</w:t>
      </w:r>
      <w:r w:rsidRPr="00015EE8">
        <w:rPr>
          <w:u w:val="none"/>
        </w:rPr>
        <w:t xml:space="preserve"> the thirty-six NGOs listed in the Annex to this </w:t>
      </w:r>
      <w:r w:rsidR="00146A38" w:rsidRPr="00015EE8">
        <w:rPr>
          <w:u w:val="none"/>
        </w:rPr>
        <w:t xml:space="preserve">Resolution </w:t>
      </w:r>
      <w:r w:rsidRPr="00015EE8">
        <w:rPr>
          <w:u w:val="none"/>
        </w:rPr>
        <w:t>to act in an advisory capacity to the Committee;</w:t>
      </w:r>
    </w:p>
    <w:p w14:paraId="2562B771" w14:textId="737E87D7" w:rsidR="00FA7166" w:rsidRPr="00015EE8" w:rsidRDefault="00FA7166" w:rsidP="00BB6BEB">
      <w:pPr>
        <w:pStyle w:val="COMParaDecision"/>
        <w:numPr>
          <w:ilvl w:val="0"/>
          <w:numId w:val="5"/>
        </w:numPr>
        <w:ind w:left="567" w:hanging="567"/>
      </w:pPr>
      <w:r w:rsidRPr="00015EE8">
        <w:t>Encourages</w:t>
      </w:r>
      <w:r w:rsidRPr="00015EE8">
        <w:rPr>
          <w:u w:val="none"/>
        </w:rPr>
        <w:t xml:space="preserve"> NGOs from under-represented Electoral Groups that meet the criteria for accreditation to submit their requests for accreditation at the earliest opportunity so as to improve the geographical distribution of accredited NGOs </w:t>
      </w:r>
      <w:bookmarkStart w:id="2" w:name="_Hlk47615881"/>
      <w:r w:rsidRPr="00015EE8">
        <w:rPr>
          <w:u w:val="none"/>
        </w:rPr>
        <w:t xml:space="preserve">and </w:t>
      </w:r>
      <w:r w:rsidRPr="00015EE8">
        <w:t>invites</w:t>
      </w:r>
      <w:r w:rsidRPr="00015EE8">
        <w:rPr>
          <w:u w:val="none"/>
        </w:rPr>
        <w:t xml:space="preserve"> States Parties from those Electoral Groups to </w:t>
      </w:r>
      <w:r w:rsidR="00F33C47" w:rsidRPr="00015EE8">
        <w:rPr>
          <w:u w:val="none"/>
        </w:rPr>
        <w:t xml:space="preserve">ensure broad dissemination of </w:t>
      </w:r>
      <w:r w:rsidRPr="00015EE8">
        <w:rPr>
          <w:u w:val="none"/>
        </w:rPr>
        <w:t>this call among NGOs operating within their territories;</w:t>
      </w:r>
    </w:p>
    <w:p w14:paraId="572421DF" w14:textId="0EC1893A" w:rsidR="00F33C47" w:rsidRPr="00015EE8" w:rsidRDefault="00F33C47" w:rsidP="00BB6BEB">
      <w:pPr>
        <w:pStyle w:val="COMParaDecision"/>
        <w:numPr>
          <w:ilvl w:val="0"/>
          <w:numId w:val="5"/>
        </w:numPr>
        <w:ind w:left="567" w:hanging="567"/>
        <w:rPr>
          <w:u w:val="none"/>
        </w:rPr>
      </w:pPr>
      <w:r w:rsidRPr="00015EE8">
        <w:t>Invites</w:t>
      </w:r>
      <w:r w:rsidRPr="00015EE8">
        <w:rPr>
          <w:u w:val="none"/>
        </w:rPr>
        <w:t xml:space="preserve"> States Parties to reflect on the question of accreditation of NGOs from States </w:t>
      </w:r>
      <w:proofErr w:type="spellStart"/>
      <w:r w:rsidR="00EE4653" w:rsidRPr="00015EE8">
        <w:rPr>
          <w:u w:val="none"/>
        </w:rPr>
        <w:t>non p</w:t>
      </w:r>
      <w:r w:rsidRPr="00015EE8">
        <w:rPr>
          <w:u w:val="none"/>
        </w:rPr>
        <w:t>art</w:t>
      </w:r>
      <w:r w:rsidR="00EE4653" w:rsidRPr="00015EE8">
        <w:rPr>
          <w:u w:val="none"/>
        </w:rPr>
        <w:t>y</w:t>
      </w:r>
      <w:proofErr w:type="spellEnd"/>
      <w:r w:rsidRPr="00015EE8">
        <w:rPr>
          <w:u w:val="none"/>
        </w:rPr>
        <w:t xml:space="preserve"> with view of a discussion on this matter at its next session;</w:t>
      </w:r>
    </w:p>
    <w:bookmarkEnd w:id="2"/>
    <w:p w14:paraId="20344E37" w14:textId="35F64450" w:rsidR="00FA7166" w:rsidRPr="00015EE8" w:rsidRDefault="00E35EDA" w:rsidP="00BB6BEB">
      <w:pPr>
        <w:pStyle w:val="COMParaDecision"/>
        <w:numPr>
          <w:ilvl w:val="0"/>
          <w:numId w:val="5"/>
        </w:numPr>
        <w:ind w:left="567" w:hanging="567"/>
      </w:pPr>
      <w:r w:rsidRPr="00015EE8">
        <w:t>Further i</w:t>
      </w:r>
      <w:r w:rsidR="00FA7166" w:rsidRPr="00015EE8">
        <w:t>nvites</w:t>
      </w:r>
      <w:r w:rsidR="00FA7166" w:rsidRPr="00015EE8">
        <w:rPr>
          <w:u w:val="none"/>
        </w:rPr>
        <w:t xml:space="preserve"> the NGOs accredited in 2012 and 2016 to submit to the Secretariat their quadrennial report for the deadline of 15 February 2021 so that the Committee can review at its sixteenth session the contribution and commitment of each advisory organization.</w:t>
      </w:r>
    </w:p>
    <w:p w14:paraId="2A827300" w14:textId="02441441" w:rsidR="00FA7166" w:rsidRPr="00015EE8" w:rsidRDefault="00FA7166" w:rsidP="005F13FE">
      <w:pPr>
        <w:pStyle w:val="5GAparabodytext"/>
        <w:spacing w:before="360" w:after="240" w:line="240" w:lineRule="auto"/>
        <w:ind w:left="0" w:firstLine="0"/>
        <w:jc w:val="center"/>
        <w:rPr>
          <w:lang w:val="en-US"/>
        </w:rPr>
      </w:pPr>
      <w:r w:rsidRPr="00015EE8">
        <w:rPr>
          <w:b/>
        </w:rPr>
        <w:t>ANNEX</w:t>
      </w:r>
    </w:p>
    <w:tbl>
      <w:tblPr>
        <w:tblW w:w="9639" w:type="dxa"/>
        <w:tblCellMar>
          <w:left w:w="70" w:type="dxa"/>
          <w:right w:w="70" w:type="dxa"/>
        </w:tblCellMar>
        <w:tblLook w:val="04A0" w:firstRow="1" w:lastRow="0" w:firstColumn="1" w:lastColumn="0" w:noHBand="0" w:noVBand="1"/>
      </w:tblPr>
      <w:tblGrid>
        <w:gridCol w:w="5815"/>
        <w:gridCol w:w="2124"/>
        <w:gridCol w:w="1700"/>
      </w:tblGrid>
      <w:tr w:rsidR="00FA7166" w:rsidRPr="00015EE8" w14:paraId="09107006" w14:textId="77777777" w:rsidTr="00045E93">
        <w:trPr>
          <w:trHeight w:val="164"/>
        </w:trPr>
        <w:tc>
          <w:tcPr>
            <w:tcW w:w="3015" w:type="pct"/>
            <w:shd w:val="clear" w:color="auto" w:fill="808080" w:themeFill="background1" w:themeFillShade="80"/>
            <w:vAlign w:val="center"/>
            <w:hideMark/>
          </w:tcPr>
          <w:p w14:paraId="69828650" w14:textId="77777777" w:rsidR="00FA7166" w:rsidRPr="00015EE8" w:rsidRDefault="00FA7166" w:rsidP="00F77D87">
            <w:pPr>
              <w:keepNext/>
              <w:jc w:val="center"/>
              <w:rPr>
                <w:rFonts w:ascii="Arial" w:hAnsi="Arial" w:cs="Arial"/>
                <w:b/>
                <w:bCs/>
                <w:color w:val="000000"/>
                <w:sz w:val="22"/>
                <w:szCs w:val="22"/>
                <w:lang w:val="en-US"/>
              </w:rPr>
            </w:pPr>
            <w:r w:rsidRPr="00015EE8">
              <w:rPr>
                <w:rFonts w:ascii="Arial" w:hAnsi="Arial" w:cs="Arial"/>
                <w:b/>
                <w:bCs/>
                <w:color w:val="000000"/>
                <w:sz w:val="22"/>
                <w:szCs w:val="22"/>
                <w:lang w:val="en-US"/>
              </w:rPr>
              <w:t>Name of organization</w:t>
            </w:r>
          </w:p>
        </w:tc>
        <w:tc>
          <w:tcPr>
            <w:tcW w:w="1102" w:type="pct"/>
            <w:shd w:val="clear" w:color="auto" w:fill="808080" w:themeFill="background1" w:themeFillShade="80"/>
            <w:vAlign w:val="center"/>
            <w:hideMark/>
          </w:tcPr>
          <w:p w14:paraId="4F67978F" w14:textId="77777777" w:rsidR="00FA7166" w:rsidRPr="00015EE8" w:rsidRDefault="00FA7166" w:rsidP="00F77D87">
            <w:pPr>
              <w:jc w:val="center"/>
              <w:rPr>
                <w:rFonts w:ascii="Arial" w:hAnsi="Arial" w:cs="Arial"/>
                <w:b/>
                <w:bCs/>
                <w:color w:val="000000"/>
                <w:sz w:val="22"/>
                <w:szCs w:val="22"/>
                <w:lang w:val="en-US"/>
              </w:rPr>
            </w:pPr>
            <w:r w:rsidRPr="00015EE8">
              <w:rPr>
                <w:rFonts w:ascii="Arial" w:hAnsi="Arial" w:cs="Arial"/>
                <w:b/>
                <w:bCs/>
                <w:color w:val="000000"/>
                <w:sz w:val="22"/>
                <w:szCs w:val="22"/>
                <w:lang w:val="en-US"/>
              </w:rPr>
              <w:t>Country of headquarters</w:t>
            </w:r>
          </w:p>
        </w:tc>
        <w:tc>
          <w:tcPr>
            <w:tcW w:w="882" w:type="pct"/>
            <w:shd w:val="clear" w:color="auto" w:fill="808080" w:themeFill="background1" w:themeFillShade="80"/>
            <w:vAlign w:val="center"/>
            <w:hideMark/>
          </w:tcPr>
          <w:p w14:paraId="542E2363" w14:textId="77777777" w:rsidR="00FA7166" w:rsidRPr="00015EE8" w:rsidRDefault="00FA7166" w:rsidP="00F77D87">
            <w:pPr>
              <w:spacing w:before="120" w:after="120"/>
              <w:jc w:val="center"/>
              <w:rPr>
                <w:rFonts w:ascii="Arial" w:hAnsi="Arial" w:cs="Arial"/>
                <w:b/>
                <w:bCs/>
                <w:color w:val="000000"/>
                <w:sz w:val="22"/>
                <w:szCs w:val="22"/>
                <w:lang w:val="en-US"/>
              </w:rPr>
            </w:pPr>
            <w:r w:rsidRPr="00015EE8">
              <w:rPr>
                <w:rFonts w:ascii="Arial" w:hAnsi="Arial" w:cs="Arial"/>
                <w:b/>
                <w:bCs/>
                <w:color w:val="000000"/>
                <w:sz w:val="22"/>
                <w:szCs w:val="22"/>
                <w:lang w:val="en-US"/>
              </w:rPr>
              <w:t>Request number</w:t>
            </w:r>
          </w:p>
        </w:tc>
      </w:tr>
      <w:tr w:rsidR="00FA7166" w:rsidRPr="00015EE8" w14:paraId="601C9943" w14:textId="77777777" w:rsidTr="00045E93">
        <w:trPr>
          <w:trHeight w:val="164"/>
        </w:trPr>
        <w:tc>
          <w:tcPr>
            <w:tcW w:w="3015" w:type="pct"/>
            <w:tcBorders>
              <w:top w:val="single" w:sz="4" w:space="0" w:color="auto"/>
              <w:bottom w:val="single" w:sz="4" w:space="0" w:color="auto"/>
            </w:tcBorders>
            <w:shd w:val="clear" w:color="auto" w:fill="auto"/>
            <w:hideMark/>
          </w:tcPr>
          <w:p w14:paraId="56A64E9A"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ABAIM</w:t>
            </w:r>
          </w:p>
        </w:tc>
        <w:tc>
          <w:tcPr>
            <w:tcW w:w="1102" w:type="pct"/>
            <w:tcBorders>
              <w:top w:val="single" w:sz="4" w:space="0" w:color="auto"/>
              <w:bottom w:val="single" w:sz="4" w:space="0" w:color="auto"/>
            </w:tcBorders>
            <w:shd w:val="clear" w:color="auto" w:fill="auto"/>
            <w:hideMark/>
          </w:tcPr>
          <w:p w14:paraId="45223B2B"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Mauritius</w:t>
            </w:r>
          </w:p>
        </w:tc>
        <w:tc>
          <w:tcPr>
            <w:tcW w:w="882" w:type="pct"/>
            <w:tcBorders>
              <w:top w:val="single" w:sz="4" w:space="0" w:color="auto"/>
              <w:bottom w:val="single" w:sz="4" w:space="0" w:color="auto"/>
            </w:tcBorders>
            <w:shd w:val="clear" w:color="auto" w:fill="auto"/>
            <w:hideMark/>
          </w:tcPr>
          <w:p w14:paraId="4D44B690" w14:textId="77777777" w:rsidR="00FA7166" w:rsidRPr="00015EE8" w:rsidRDefault="00CB223B" w:rsidP="00F77D87">
            <w:pPr>
              <w:jc w:val="center"/>
              <w:rPr>
                <w:rFonts w:ascii="Arial" w:hAnsi="Arial" w:cs="Arial"/>
                <w:color w:val="000000"/>
                <w:sz w:val="22"/>
                <w:szCs w:val="22"/>
              </w:rPr>
            </w:pPr>
            <w:hyperlink r:id="rId48" w:history="1">
              <w:r w:rsidR="00FA7166" w:rsidRPr="00015EE8">
                <w:rPr>
                  <w:rStyle w:val="Hyperlink"/>
                  <w:rFonts w:ascii="Arial" w:hAnsi="Arial"/>
                  <w:sz w:val="22"/>
                  <w:szCs w:val="22"/>
                  <w:lang w:val="en-US"/>
                </w:rPr>
                <w:t>NGO-90443</w:t>
              </w:r>
            </w:hyperlink>
          </w:p>
        </w:tc>
      </w:tr>
      <w:tr w:rsidR="00FA7166" w:rsidRPr="00015EE8" w14:paraId="5C59A51C" w14:textId="77777777" w:rsidTr="00045E93">
        <w:trPr>
          <w:trHeight w:val="164"/>
        </w:trPr>
        <w:tc>
          <w:tcPr>
            <w:tcW w:w="3015" w:type="pct"/>
            <w:tcBorders>
              <w:top w:val="single" w:sz="4" w:space="0" w:color="auto"/>
              <w:bottom w:val="single" w:sz="4" w:space="0" w:color="auto"/>
            </w:tcBorders>
            <w:shd w:val="clear" w:color="auto" w:fill="auto"/>
          </w:tcPr>
          <w:p w14:paraId="44308F35"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 xml:space="preserve">Association Culturelle </w:t>
            </w:r>
            <w:proofErr w:type="spellStart"/>
            <w:r w:rsidRPr="00015EE8">
              <w:rPr>
                <w:rFonts w:ascii="Arial" w:hAnsi="Arial" w:cs="Arial"/>
                <w:color w:val="000000"/>
                <w:sz w:val="22"/>
                <w:szCs w:val="22"/>
              </w:rPr>
              <w:t>Passate</w:t>
            </w:r>
            <w:proofErr w:type="spellEnd"/>
          </w:p>
        </w:tc>
        <w:tc>
          <w:tcPr>
            <w:tcW w:w="1102" w:type="pct"/>
            <w:tcBorders>
              <w:top w:val="single" w:sz="4" w:space="0" w:color="auto"/>
              <w:bottom w:val="single" w:sz="4" w:space="0" w:color="auto"/>
            </w:tcBorders>
            <w:shd w:val="clear" w:color="auto" w:fill="auto"/>
          </w:tcPr>
          <w:p w14:paraId="15F2C55D"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Burkina Faso</w:t>
            </w:r>
          </w:p>
        </w:tc>
        <w:tc>
          <w:tcPr>
            <w:tcW w:w="882" w:type="pct"/>
            <w:tcBorders>
              <w:top w:val="single" w:sz="4" w:space="0" w:color="auto"/>
              <w:bottom w:val="single" w:sz="4" w:space="0" w:color="auto"/>
            </w:tcBorders>
            <w:shd w:val="clear" w:color="auto" w:fill="auto"/>
          </w:tcPr>
          <w:p w14:paraId="1D8A43D9" w14:textId="77777777" w:rsidR="00FA7166" w:rsidRPr="00015EE8" w:rsidRDefault="00CB223B" w:rsidP="00F77D87">
            <w:pPr>
              <w:jc w:val="center"/>
              <w:rPr>
                <w:rFonts w:ascii="Arial" w:hAnsi="Arial" w:cs="Arial"/>
                <w:color w:val="000000"/>
                <w:sz w:val="22"/>
                <w:szCs w:val="22"/>
              </w:rPr>
            </w:pPr>
            <w:hyperlink r:id="rId49" w:history="1">
              <w:r w:rsidR="00FA7166" w:rsidRPr="00015EE8">
                <w:rPr>
                  <w:rStyle w:val="Hyperlink"/>
                  <w:rFonts w:ascii="Arial" w:hAnsi="Arial"/>
                  <w:sz w:val="22"/>
                  <w:szCs w:val="22"/>
                  <w:lang w:val="en-US"/>
                </w:rPr>
                <w:t>NGO-90450</w:t>
              </w:r>
            </w:hyperlink>
          </w:p>
        </w:tc>
      </w:tr>
      <w:tr w:rsidR="00FA7166" w:rsidRPr="00015EE8" w14:paraId="104FE793" w14:textId="77777777" w:rsidTr="00045E93">
        <w:trPr>
          <w:trHeight w:val="164"/>
        </w:trPr>
        <w:tc>
          <w:tcPr>
            <w:tcW w:w="3015" w:type="pct"/>
            <w:tcBorders>
              <w:top w:val="single" w:sz="4" w:space="0" w:color="auto"/>
              <w:bottom w:val="single" w:sz="4" w:space="0" w:color="auto"/>
            </w:tcBorders>
            <w:shd w:val="clear" w:color="auto" w:fill="auto"/>
          </w:tcPr>
          <w:p w14:paraId="762015BC"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 xml:space="preserve">Association House of </w:t>
            </w:r>
            <w:proofErr w:type="spellStart"/>
            <w:r w:rsidRPr="00015EE8">
              <w:rPr>
                <w:rFonts w:ascii="Arial" w:hAnsi="Arial" w:cs="Arial"/>
                <w:color w:val="000000"/>
                <w:sz w:val="22"/>
                <w:szCs w:val="22"/>
              </w:rPr>
              <w:t>Batana</w:t>
            </w:r>
            <w:proofErr w:type="spellEnd"/>
          </w:p>
        </w:tc>
        <w:tc>
          <w:tcPr>
            <w:tcW w:w="1102" w:type="pct"/>
            <w:tcBorders>
              <w:top w:val="single" w:sz="4" w:space="0" w:color="auto"/>
              <w:bottom w:val="single" w:sz="4" w:space="0" w:color="auto"/>
            </w:tcBorders>
            <w:shd w:val="clear" w:color="auto" w:fill="auto"/>
          </w:tcPr>
          <w:p w14:paraId="47EEC316" w14:textId="77777777" w:rsidR="00FA7166" w:rsidRPr="00015EE8" w:rsidRDefault="00FA7166" w:rsidP="00F77D87">
            <w:pPr>
              <w:jc w:val="center"/>
              <w:rPr>
                <w:rFonts w:ascii="Arial" w:hAnsi="Arial" w:cs="Arial"/>
                <w:color w:val="000000"/>
                <w:sz w:val="22"/>
                <w:szCs w:val="22"/>
              </w:rPr>
            </w:pPr>
            <w:proofErr w:type="spellStart"/>
            <w:r w:rsidRPr="00015EE8">
              <w:rPr>
                <w:rFonts w:ascii="Arial" w:hAnsi="Arial" w:cs="Arial"/>
                <w:color w:val="000000"/>
                <w:sz w:val="22"/>
                <w:szCs w:val="22"/>
              </w:rPr>
              <w:t>Croatia</w:t>
            </w:r>
            <w:proofErr w:type="spellEnd"/>
          </w:p>
        </w:tc>
        <w:tc>
          <w:tcPr>
            <w:tcW w:w="882" w:type="pct"/>
            <w:tcBorders>
              <w:top w:val="single" w:sz="4" w:space="0" w:color="auto"/>
              <w:bottom w:val="single" w:sz="4" w:space="0" w:color="auto"/>
            </w:tcBorders>
            <w:shd w:val="clear" w:color="auto" w:fill="auto"/>
          </w:tcPr>
          <w:p w14:paraId="2DBEEB26" w14:textId="77777777" w:rsidR="00FA7166" w:rsidRPr="00015EE8" w:rsidRDefault="00CB223B" w:rsidP="00F77D87">
            <w:pPr>
              <w:jc w:val="center"/>
              <w:rPr>
                <w:rFonts w:ascii="Arial" w:hAnsi="Arial" w:cs="Arial"/>
                <w:color w:val="000000"/>
                <w:sz w:val="22"/>
                <w:szCs w:val="22"/>
              </w:rPr>
            </w:pPr>
            <w:hyperlink r:id="rId50" w:history="1">
              <w:r w:rsidR="00FA7166" w:rsidRPr="00015EE8">
                <w:rPr>
                  <w:rStyle w:val="Hyperlink"/>
                  <w:rFonts w:ascii="Arial" w:hAnsi="Arial"/>
                  <w:sz w:val="22"/>
                  <w:szCs w:val="22"/>
                  <w:lang w:val="en-US"/>
                </w:rPr>
                <w:t>NGO-90457</w:t>
              </w:r>
            </w:hyperlink>
          </w:p>
        </w:tc>
      </w:tr>
      <w:tr w:rsidR="00FA7166" w:rsidRPr="00015EE8" w14:paraId="2858C447" w14:textId="77777777" w:rsidTr="00045E93">
        <w:trPr>
          <w:trHeight w:val="164"/>
        </w:trPr>
        <w:tc>
          <w:tcPr>
            <w:tcW w:w="3015" w:type="pct"/>
            <w:tcBorders>
              <w:top w:val="single" w:sz="4" w:space="0" w:color="auto"/>
              <w:bottom w:val="single" w:sz="4" w:space="0" w:color="auto"/>
            </w:tcBorders>
            <w:shd w:val="clear" w:color="auto" w:fill="auto"/>
          </w:tcPr>
          <w:p w14:paraId="6473B2EA"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 xml:space="preserve">Association </w:t>
            </w:r>
            <w:proofErr w:type="spellStart"/>
            <w:r w:rsidRPr="00015EE8">
              <w:rPr>
                <w:rFonts w:ascii="Arial" w:hAnsi="Arial" w:cs="Arial"/>
                <w:color w:val="000000"/>
                <w:sz w:val="22"/>
                <w:szCs w:val="22"/>
              </w:rPr>
              <w:t>Mamelomaso</w:t>
            </w:r>
            <w:proofErr w:type="spellEnd"/>
            <w:r w:rsidRPr="00015EE8">
              <w:rPr>
                <w:rFonts w:ascii="Arial" w:hAnsi="Arial" w:cs="Arial"/>
                <w:color w:val="000000"/>
                <w:sz w:val="22"/>
                <w:szCs w:val="22"/>
              </w:rPr>
              <w:t xml:space="preserve"> (MM)</w:t>
            </w:r>
          </w:p>
        </w:tc>
        <w:tc>
          <w:tcPr>
            <w:tcW w:w="1102" w:type="pct"/>
            <w:tcBorders>
              <w:top w:val="single" w:sz="4" w:space="0" w:color="auto"/>
              <w:bottom w:val="single" w:sz="4" w:space="0" w:color="auto"/>
            </w:tcBorders>
            <w:shd w:val="clear" w:color="auto" w:fill="auto"/>
          </w:tcPr>
          <w:p w14:paraId="45A3A3E8"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Madagascar</w:t>
            </w:r>
          </w:p>
        </w:tc>
        <w:tc>
          <w:tcPr>
            <w:tcW w:w="882" w:type="pct"/>
            <w:tcBorders>
              <w:top w:val="single" w:sz="4" w:space="0" w:color="auto"/>
              <w:bottom w:val="single" w:sz="4" w:space="0" w:color="auto"/>
            </w:tcBorders>
            <w:shd w:val="clear" w:color="auto" w:fill="auto"/>
          </w:tcPr>
          <w:p w14:paraId="31D3E083" w14:textId="77777777" w:rsidR="00FA7166" w:rsidRPr="00015EE8" w:rsidRDefault="00CB223B" w:rsidP="00F77D87">
            <w:pPr>
              <w:jc w:val="center"/>
              <w:rPr>
                <w:rFonts w:ascii="Arial" w:hAnsi="Arial" w:cs="Arial"/>
                <w:color w:val="000000"/>
                <w:sz w:val="22"/>
                <w:szCs w:val="22"/>
              </w:rPr>
            </w:pPr>
            <w:hyperlink r:id="rId51" w:history="1">
              <w:r w:rsidR="00FA7166" w:rsidRPr="00015EE8">
                <w:rPr>
                  <w:rStyle w:val="Hyperlink"/>
                  <w:rFonts w:ascii="Arial" w:hAnsi="Arial"/>
                  <w:sz w:val="22"/>
                  <w:szCs w:val="22"/>
                  <w:lang w:val="en-US"/>
                </w:rPr>
                <w:t>NGO-90419</w:t>
              </w:r>
            </w:hyperlink>
          </w:p>
        </w:tc>
      </w:tr>
      <w:tr w:rsidR="00FA7166" w:rsidRPr="00015EE8" w14:paraId="45C4C07C" w14:textId="77777777" w:rsidTr="00045E93">
        <w:trPr>
          <w:trHeight w:val="164"/>
        </w:trPr>
        <w:tc>
          <w:tcPr>
            <w:tcW w:w="3015" w:type="pct"/>
            <w:tcBorders>
              <w:top w:val="single" w:sz="4" w:space="0" w:color="auto"/>
              <w:bottom w:val="single" w:sz="4" w:space="0" w:color="auto"/>
            </w:tcBorders>
            <w:shd w:val="clear" w:color="auto" w:fill="auto"/>
          </w:tcPr>
          <w:p w14:paraId="706EA498"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Association Recherche Histoire et Patrimoine de l’Oriental Marocain (ARHPOM)</w:t>
            </w:r>
          </w:p>
        </w:tc>
        <w:tc>
          <w:tcPr>
            <w:tcW w:w="1102" w:type="pct"/>
            <w:tcBorders>
              <w:top w:val="single" w:sz="4" w:space="0" w:color="auto"/>
              <w:bottom w:val="single" w:sz="4" w:space="0" w:color="auto"/>
            </w:tcBorders>
            <w:shd w:val="clear" w:color="auto" w:fill="auto"/>
          </w:tcPr>
          <w:p w14:paraId="5FAD3C06"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Morocco</w:t>
            </w:r>
          </w:p>
        </w:tc>
        <w:tc>
          <w:tcPr>
            <w:tcW w:w="882" w:type="pct"/>
            <w:tcBorders>
              <w:top w:val="single" w:sz="4" w:space="0" w:color="auto"/>
              <w:bottom w:val="single" w:sz="4" w:space="0" w:color="auto"/>
            </w:tcBorders>
            <w:shd w:val="clear" w:color="auto" w:fill="auto"/>
          </w:tcPr>
          <w:p w14:paraId="13E4A619" w14:textId="77777777" w:rsidR="00FA7166" w:rsidRPr="00015EE8" w:rsidRDefault="00CB223B" w:rsidP="00F77D87">
            <w:pPr>
              <w:jc w:val="center"/>
              <w:rPr>
                <w:rFonts w:ascii="Arial" w:hAnsi="Arial" w:cs="Arial"/>
                <w:color w:val="000000"/>
                <w:sz w:val="22"/>
                <w:szCs w:val="22"/>
              </w:rPr>
            </w:pPr>
            <w:hyperlink r:id="rId52" w:history="1">
              <w:r w:rsidR="00FA7166" w:rsidRPr="00015EE8">
                <w:rPr>
                  <w:rStyle w:val="Hyperlink"/>
                  <w:rFonts w:ascii="Arial" w:hAnsi="Arial"/>
                  <w:sz w:val="22"/>
                  <w:szCs w:val="22"/>
                  <w:lang w:val="en-US"/>
                </w:rPr>
                <w:t>NGO-90470</w:t>
              </w:r>
            </w:hyperlink>
          </w:p>
        </w:tc>
      </w:tr>
      <w:tr w:rsidR="00FA7166" w:rsidRPr="00015EE8" w14:paraId="7A2E3512" w14:textId="77777777" w:rsidTr="00045E93">
        <w:trPr>
          <w:trHeight w:val="164"/>
        </w:trPr>
        <w:tc>
          <w:tcPr>
            <w:tcW w:w="3015" w:type="pct"/>
            <w:tcBorders>
              <w:top w:val="single" w:sz="4" w:space="0" w:color="auto"/>
              <w:bottom w:val="single" w:sz="4" w:space="0" w:color="auto"/>
            </w:tcBorders>
            <w:shd w:val="clear" w:color="auto" w:fill="auto"/>
          </w:tcPr>
          <w:p w14:paraId="28191FC1"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Bavarian association for cultural heritage</w:t>
            </w:r>
          </w:p>
        </w:tc>
        <w:tc>
          <w:tcPr>
            <w:tcW w:w="1102" w:type="pct"/>
            <w:tcBorders>
              <w:top w:val="single" w:sz="4" w:space="0" w:color="auto"/>
              <w:bottom w:val="single" w:sz="4" w:space="0" w:color="auto"/>
            </w:tcBorders>
            <w:shd w:val="clear" w:color="auto" w:fill="auto"/>
          </w:tcPr>
          <w:p w14:paraId="66E3E642"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Germany</w:t>
            </w:r>
          </w:p>
        </w:tc>
        <w:tc>
          <w:tcPr>
            <w:tcW w:w="882" w:type="pct"/>
            <w:tcBorders>
              <w:top w:val="single" w:sz="4" w:space="0" w:color="auto"/>
              <w:bottom w:val="single" w:sz="4" w:space="0" w:color="auto"/>
            </w:tcBorders>
            <w:shd w:val="clear" w:color="auto" w:fill="auto"/>
          </w:tcPr>
          <w:p w14:paraId="50056631" w14:textId="77777777" w:rsidR="00FA7166" w:rsidRPr="00015EE8" w:rsidRDefault="00CB223B" w:rsidP="00F77D87">
            <w:pPr>
              <w:jc w:val="center"/>
              <w:rPr>
                <w:rFonts w:ascii="Arial" w:hAnsi="Arial" w:cs="Arial"/>
                <w:color w:val="000000"/>
                <w:sz w:val="22"/>
                <w:szCs w:val="22"/>
                <w:lang w:val="en-US"/>
              </w:rPr>
            </w:pPr>
            <w:hyperlink r:id="rId53" w:history="1">
              <w:r w:rsidR="00FA7166" w:rsidRPr="00015EE8">
                <w:rPr>
                  <w:rStyle w:val="Hyperlink"/>
                  <w:rFonts w:ascii="Arial" w:hAnsi="Arial"/>
                  <w:sz w:val="22"/>
                  <w:szCs w:val="22"/>
                  <w:lang w:val="en-US"/>
                </w:rPr>
                <w:t>NGO-90438</w:t>
              </w:r>
            </w:hyperlink>
          </w:p>
        </w:tc>
      </w:tr>
      <w:tr w:rsidR="00FA7166" w:rsidRPr="00015EE8" w14:paraId="795AC639" w14:textId="77777777" w:rsidTr="00045E93">
        <w:trPr>
          <w:trHeight w:val="164"/>
        </w:trPr>
        <w:tc>
          <w:tcPr>
            <w:tcW w:w="3015" w:type="pct"/>
            <w:tcBorders>
              <w:top w:val="single" w:sz="4" w:space="0" w:color="auto"/>
              <w:bottom w:val="single" w:sz="4" w:space="0" w:color="auto"/>
            </w:tcBorders>
            <w:shd w:val="clear" w:color="auto" w:fill="auto"/>
          </w:tcPr>
          <w:p w14:paraId="59B6FA7C" w14:textId="77777777" w:rsidR="00FA7166" w:rsidRPr="00015EE8" w:rsidRDefault="00FA7166" w:rsidP="00F77D87">
            <w:pPr>
              <w:rPr>
                <w:rFonts w:ascii="Arial" w:hAnsi="Arial" w:cs="Arial"/>
                <w:color w:val="000000"/>
                <w:sz w:val="22"/>
                <w:szCs w:val="22"/>
                <w:lang w:val="en-US"/>
              </w:rPr>
            </w:pPr>
            <w:proofErr w:type="spellStart"/>
            <w:r w:rsidRPr="00015EE8">
              <w:rPr>
                <w:rFonts w:ascii="Arial" w:hAnsi="Arial" w:cs="Arial"/>
                <w:color w:val="000000"/>
                <w:sz w:val="22"/>
                <w:szCs w:val="22"/>
                <w:lang w:val="en-US"/>
              </w:rPr>
              <w:t>Bonairean</w:t>
            </w:r>
            <w:proofErr w:type="spellEnd"/>
            <w:r w:rsidRPr="00015EE8">
              <w:rPr>
                <w:rFonts w:ascii="Arial" w:hAnsi="Arial" w:cs="Arial"/>
                <w:color w:val="000000"/>
                <w:sz w:val="22"/>
                <w:szCs w:val="22"/>
                <w:lang w:val="en-US"/>
              </w:rPr>
              <w:t xml:space="preserve"> Historical Cultural Foundation FUHIKUBO</w:t>
            </w:r>
          </w:p>
        </w:tc>
        <w:tc>
          <w:tcPr>
            <w:tcW w:w="1102" w:type="pct"/>
            <w:tcBorders>
              <w:top w:val="single" w:sz="4" w:space="0" w:color="auto"/>
              <w:bottom w:val="single" w:sz="4" w:space="0" w:color="auto"/>
            </w:tcBorders>
            <w:shd w:val="clear" w:color="auto" w:fill="auto"/>
          </w:tcPr>
          <w:p w14:paraId="5BB44621"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Netherlands</w:t>
            </w:r>
          </w:p>
          <w:p w14:paraId="2DF34D16"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(Bonaire)</w:t>
            </w:r>
          </w:p>
        </w:tc>
        <w:tc>
          <w:tcPr>
            <w:tcW w:w="882" w:type="pct"/>
            <w:tcBorders>
              <w:top w:val="single" w:sz="4" w:space="0" w:color="auto"/>
              <w:bottom w:val="single" w:sz="4" w:space="0" w:color="auto"/>
            </w:tcBorders>
            <w:shd w:val="clear" w:color="auto" w:fill="auto"/>
          </w:tcPr>
          <w:p w14:paraId="69E10A73" w14:textId="77777777" w:rsidR="00FA7166" w:rsidRPr="00015EE8" w:rsidRDefault="00CB223B" w:rsidP="00F77D87">
            <w:pPr>
              <w:jc w:val="center"/>
              <w:rPr>
                <w:rFonts w:ascii="Arial" w:hAnsi="Arial" w:cs="Arial"/>
                <w:color w:val="000000"/>
                <w:sz w:val="22"/>
                <w:szCs w:val="22"/>
                <w:lang w:val="en-US"/>
              </w:rPr>
            </w:pPr>
            <w:hyperlink r:id="rId54" w:history="1">
              <w:r w:rsidR="00FA7166" w:rsidRPr="00015EE8">
                <w:rPr>
                  <w:rStyle w:val="Hyperlink"/>
                  <w:rFonts w:ascii="Arial" w:hAnsi="Arial"/>
                  <w:sz w:val="22"/>
                  <w:szCs w:val="22"/>
                  <w:lang w:val="en-US"/>
                </w:rPr>
                <w:t>NGO-90466</w:t>
              </w:r>
            </w:hyperlink>
          </w:p>
        </w:tc>
      </w:tr>
      <w:tr w:rsidR="00FA7166" w:rsidRPr="00015EE8" w14:paraId="40CF3F89" w14:textId="77777777" w:rsidTr="00045E93">
        <w:trPr>
          <w:trHeight w:val="164"/>
        </w:trPr>
        <w:tc>
          <w:tcPr>
            <w:tcW w:w="3015" w:type="pct"/>
            <w:tcBorders>
              <w:top w:val="single" w:sz="4" w:space="0" w:color="auto"/>
              <w:bottom w:val="single" w:sz="4" w:space="0" w:color="auto"/>
            </w:tcBorders>
            <w:shd w:val="clear" w:color="auto" w:fill="auto"/>
          </w:tcPr>
          <w:p w14:paraId="2A7380DA"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 xml:space="preserve">Carrefour </w:t>
            </w:r>
            <w:proofErr w:type="spellStart"/>
            <w:r w:rsidRPr="00015EE8">
              <w:rPr>
                <w:rFonts w:ascii="Arial" w:hAnsi="Arial" w:cs="Arial"/>
                <w:color w:val="000000"/>
                <w:sz w:val="22"/>
                <w:szCs w:val="22"/>
                <w:lang w:val="en-US"/>
              </w:rPr>
              <w:t>mondial</w:t>
            </w:r>
            <w:proofErr w:type="spellEnd"/>
            <w:r w:rsidRPr="00015EE8">
              <w:rPr>
                <w:rFonts w:ascii="Arial" w:hAnsi="Arial" w:cs="Arial"/>
                <w:color w:val="000000"/>
                <w:sz w:val="22"/>
                <w:szCs w:val="22"/>
                <w:lang w:val="en-US"/>
              </w:rPr>
              <w:t xml:space="preserve"> de </w:t>
            </w:r>
            <w:proofErr w:type="spellStart"/>
            <w:r w:rsidRPr="00015EE8">
              <w:rPr>
                <w:rFonts w:ascii="Arial" w:hAnsi="Arial" w:cs="Arial"/>
                <w:color w:val="000000"/>
                <w:sz w:val="22"/>
                <w:szCs w:val="22"/>
                <w:lang w:val="en-US"/>
              </w:rPr>
              <w:t>l’accordéon</w:t>
            </w:r>
            <w:proofErr w:type="spellEnd"/>
          </w:p>
        </w:tc>
        <w:tc>
          <w:tcPr>
            <w:tcW w:w="1102" w:type="pct"/>
            <w:tcBorders>
              <w:top w:val="single" w:sz="4" w:space="0" w:color="auto"/>
              <w:bottom w:val="single" w:sz="4" w:space="0" w:color="auto"/>
            </w:tcBorders>
            <w:shd w:val="clear" w:color="auto" w:fill="auto"/>
          </w:tcPr>
          <w:p w14:paraId="2C2306AF"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Canada</w:t>
            </w:r>
          </w:p>
        </w:tc>
        <w:tc>
          <w:tcPr>
            <w:tcW w:w="882" w:type="pct"/>
            <w:tcBorders>
              <w:top w:val="single" w:sz="4" w:space="0" w:color="auto"/>
              <w:bottom w:val="single" w:sz="4" w:space="0" w:color="auto"/>
            </w:tcBorders>
            <w:shd w:val="clear" w:color="auto" w:fill="auto"/>
          </w:tcPr>
          <w:p w14:paraId="56C43918" w14:textId="77777777" w:rsidR="00FA7166" w:rsidRPr="00015EE8" w:rsidRDefault="00CB223B" w:rsidP="00F77D87">
            <w:pPr>
              <w:jc w:val="center"/>
              <w:rPr>
                <w:rFonts w:ascii="Arial" w:hAnsi="Arial" w:cs="Arial"/>
                <w:color w:val="000000"/>
                <w:sz w:val="22"/>
                <w:szCs w:val="22"/>
                <w:lang w:val="en-US"/>
              </w:rPr>
            </w:pPr>
            <w:hyperlink r:id="rId55" w:history="1">
              <w:r w:rsidR="00FA7166" w:rsidRPr="00015EE8">
                <w:rPr>
                  <w:rStyle w:val="Hyperlink"/>
                  <w:rFonts w:ascii="Arial" w:hAnsi="Arial"/>
                  <w:sz w:val="22"/>
                  <w:szCs w:val="22"/>
                  <w:lang w:val="en-US"/>
                </w:rPr>
                <w:t>NGO-90439</w:t>
              </w:r>
            </w:hyperlink>
          </w:p>
        </w:tc>
      </w:tr>
      <w:tr w:rsidR="00FA7166" w:rsidRPr="00015EE8" w14:paraId="4CCB5986" w14:textId="77777777" w:rsidTr="00045E93">
        <w:trPr>
          <w:trHeight w:val="164"/>
        </w:trPr>
        <w:tc>
          <w:tcPr>
            <w:tcW w:w="3015" w:type="pct"/>
            <w:tcBorders>
              <w:top w:val="single" w:sz="4" w:space="0" w:color="auto"/>
              <w:bottom w:val="single" w:sz="4" w:space="0" w:color="auto"/>
            </w:tcBorders>
            <w:shd w:val="clear" w:color="auto" w:fill="auto"/>
          </w:tcPr>
          <w:p w14:paraId="69C5413C"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Centre for Black Culture and International Understanding, Osogbo</w:t>
            </w:r>
          </w:p>
        </w:tc>
        <w:tc>
          <w:tcPr>
            <w:tcW w:w="1102" w:type="pct"/>
            <w:tcBorders>
              <w:top w:val="single" w:sz="4" w:space="0" w:color="auto"/>
              <w:bottom w:val="single" w:sz="4" w:space="0" w:color="auto"/>
            </w:tcBorders>
            <w:shd w:val="clear" w:color="auto" w:fill="auto"/>
          </w:tcPr>
          <w:p w14:paraId="4F648C2A"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Nigeria</w:t>
            </w:r>
          </w:p>
        </w:tc>
        <w:tc>
          <w:tcPr>
            <w:tcW w:w="882" w:type="pct"/>
            <w:tcBorders>
              <w:top w:val="single" w:sz="4" w:space="0" w:color="auto"/>
              <w:bottom w:val="single" w:sz="4" w:space="0" w:color="auto"/>
            </w:tcBorders>
            <w:shd w:val="clear" w:color="auto" w:fill="auto"/>
          </w:tcPr>
          <w:p w14:paraId="5F61FA47" w14:textId="77777777" w:rsidR="00FA7166" w:rsidRPr="00015EE8" w:rsidRDefault="00CB223B" w:rsidP="00F77D87">
            <w:pPr>
              <w:jc w:val="center"/>
              <w:rPr>
                <w:rFonts w:ascii="Arial" w:hAnsi="Arial" w:cs="Arial"/>
                <w:color w:val="000000"/>
                <w:sz w:val="22"/>
                <w:szCs w:val="22"/>
                <w:lang w:val="en-US"/>
              </w:rPr>
            </w:pPr>
            <w:hyperlink r:id="rId56" w:history="1">
              <w:r w:rsidR="00FA7166" w:rsidRPr="00015EE8">
                <w:rPr>
                  <w:rStyle w:val="Hyperlink"/>
                  <w:rFonts w:ascii="Arial" w:hAnsi="Arial"/>
                  <w:sz w:val="22"/>
                  <w:szCs w:val="22"/>
                  <w:lang w:val="en-US"/>
                </w:rPr>
                <w:t>NGO-90423</w:t>
              </w:r>
            </w:hyperlink>
          </w:p>
        </w:tc>
      </w:tr>
      <w:tr w:rsidR="00FA7166" w:rsidRPr="00015EE8" w14:paraId="7F898CA9" w14:textId="77777777" w:rsidTr="00045E93">
        <w:trPr>
          <w:trHeight w:val="164"/>
        </w:trPr>
        <w:tc>
          <w:tcPr>
            <w:tcW w:w="3015" w:type="pct"/>
            <w:tcBorders>
              <w:top w:val="single" w:sz="4" w:space="0" w:color="auto"/>
              <w:bottom w:val="single" w:sz="4" w:space="0" w:color="auto"/>
            </w:tcBorders>
            <w:shd w:val="clear" w:color="auto" w:fill="auto"/>
          </w:tcPr>
          <w:p w14:paraId="30363A74"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Crafts of Chile Foundation</w:t>
            </w:r>
          </w:p>
        </w:tc>
        <w:tc>
          <w:tcPr>
            <w:tcW w:w="1102" w:type="pct"/>
            <w:tcBorders>
              <w:top w:val="single" w:sz="4" w:space="0" w:color="auto"/>
              <w:bottom w:val="single" w:sz="4" w:space="0" w:color="auto"/>
            </w:tcBorders>
            <w:shd w:val="clear" w:color="auto" w:fill="auto"/>
          </w:tcPr>
          <w:p w14:paraId="2B6D46A3"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Chile</w:t>
            </w:r>
          </w:p>
        </w:tc>
        <w:tc>
          <w:tcPr>
            <w:tcW w:w="882" w:type="pct"/>
            <w:tcBorders>
              <w:top w:val="single" w:sz="4" w:space="0" w:color="auto"/>
              <w:bottom w:val="single" w:sz="4" w:space="0" w:color="auto"/>
            </w:tcBorders>
            <w:shd w:val="clear" w:color="auto" w:fill="auto"/>
          </w:tcPr>
          <w:p w14:paraId="1A3BB488" w14:textId="77777777" w:rsidR="00FA7166" w:rsidRPr="00015EE8" w:rsidRDefault="00CB223B" w:rsidP="00F77D87">
            <w:pPr>
              <w:jc w:val="center"/>
              <w:rPr>
                <w:rFonts w:ascii="Arial" w:hAnsi="Arial" w:cs="Arial"/>
                <w:color w:val="000000"/>
                <w:sz w:val="22"/>
                <w:szCs w:val="22"/>
                <w:lang w:val="en-US"/>
              </w:rPr>
            </w:pPr>
            <w:hyperlink r:id="rId57" w:history="1">
              <w:r w:rsidR="00FA7166" w:rsidRPr="00015EE8">
                <w:rPr>
                  <w:rStyle w:val="Hyperlink"/>
                  <w:rFonts w:ascii="Arial" w:hAnsi="Arial"/>
                  <w:sz w:val="22"/>
                  <w:szCs w:val="22"/>
                  <w:lang w:val="en-US"/>
                </w:rPr>
                <w:t>NGO-90458</w:t>
              </w:r>
            </w:hyperlink>
          </w:p>
        </w:tc>
      </w:tr>
      <w:tr w:rsidR="00FA7166" w:rsidRPr="00015EE8" w14:paraId="7EDDDA66" w14:textId="77777777" w:rsidTr="00045E93">
        <w:trPr>
          <w:trHeight w:val="164"/>
        </w:trPr>
        <w:tc>
          <w:tcPr>
            <w:tcW w:w="3015" w:type="pct"/>
            <w:tcBorders>
              <w:top w:val="single" w:sz="4" w:space="0" w:color="auto"/>
              <w:bottom w:val="single" w:sz="4" w:space="0" w:color="auto"/>
            </w:tcBorders>
            <w:shd w:val="clear" w:color="auto" w:fill="auto"/>
          </w:tcPr>
          <w:p w14:paraId="5AE625A1"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Cultural and Community Organization NAKS</w:t>
            </w:r>
          </w:p>
        </w:tc>
        <w:tc>
          <w:tcPr>
            <w:tcW w:w="1102" w:type="pct"/>
            <w:tcBorders>
              <w:top w:val="single" w:sz="4" w:space="0" w:color="auto"/>
              <w:bottom w:val="single" w:sz="4" w:space="0" w:color="auto"/>
            </w:tcBorders>
            <w:shd w:val="clear" w:color="auto" w:fill="auto"/>
          </w:tcPr>
          <w:p w14:paraId="4A3E839B"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Suriname</w:t>
            </w:r>
          </w:p>
        </w:tc>
        <w:tc>
          <w:tcPr>
            <w:tcW w:w="882" w:type="pct"/>
            <w:tcBorders>
              <w:top w:val="single" w:sz="4" w:space="0" w:color="auto"/>
              <w:bottom w:val="single" w:sz="4" w:space="0" w:color="auto"/>
            </w:tcBorders>
            <w:shd w:val="clear" w:color="auto" w:fill="auto"/>
          </w:tcPr>
          <w:p w14:paraId="5B4B9D49" w14:textId="77777777" w:rsidR="00FA7166" w:rsidRPr="00015EE8" w:rsidRDefault="00CB223B" w:rsidP="00F77D87">
            <w:pPr>
              <w:jc w:val="center"/>
              <w:rPr>
                <w:rFonts w:ascii="Arial" w:hAnsi="Arial" w:cs="Arial"/>
                <w:color w:val="000000"/>
                <w:sz w:val="22"/>
                <w:szCs w:val="22"/>
                <w:lang w:val="en-US"/>
              </w:rPr>
            </w:pPr>
            <w:hyperlink r:id="rId58" w:history="1">
              <w:r w:rsidR="00FA7166" w:rsidRPr="00015EE8">
                <w:rPr>
                  <w:rStyle w:val="Hyperlink"/>
                  <w:rFonts w:ascii="Arial" w:hAnsi="Arial"/>
                  <w:sz w:val="22"/>
                  <w:szCs w:val="22"/>
                  <w:lang w:val="en-US"/>
                </w:rPr>
                <w:t>NGO-90444</w:t>
              </w:r>
            </w:hyperlink>
          </w:p>
        </w:tc>
      </w:tr>
      <w:tr w:rsidR="00FA7166" w:rsidRPr="00015EE8" w14:paraId="1C06F57F" w14:textId="77777777" w:rsidTr="00045E93">
        <w:trPr>
          <w:trHeight w:val="164"/>
        </w:trPr>
        <w:tc>
          <w:tcPr>
            <w:tcW w:w="3015" w:type="pct"/>
            <w:tcBorders>
              <w:top w:val="single" w:sz="4" w:space="0" w:color="auto"/>
              <w:bottom w:val="single" w:sz="4" w:space="0" w:color="auto"/>
            </w:tcBorders>
            <w:shd w:val="clear" w:color="auto" w:fill="auto"/>
          </w:tcPr>
          <w:p w14:paraId="201075F0"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 xml:space="preserve">Culture – </w:t>
            </w:r>
            <w:proofErr w:type="spellStart"/>
            <w:r w:rsidRPr="00015EE8">
              <w:rPr>
                <w:rFonts w:ascii="Arial" w:hAnsi="Arial" w:cs="Arial"/>
                <w:color w:val="000000"/>
                <w:sz w:val="22"/>
                <w:szCs w:val="22"/>
                <w:lang w:val="en-US"/>
              </w:rPr>
              <w:t>Développement</w:t>
            </w:r>
            <w:proofErr w:type="spellEnd"/>
            <w:r w:rsidRPr="00015EE8">
              <w:rPr>
                <w:rFonts w:ascii="Arial" w:hAnsi="Arial" w:cs="Arial"/>
                <w:color w:val="000000"/>
                <w:sz w:val="22"/>
                <w:szCs w:val="22"/>
                <w:lang w:val="en-US"/>
              </w:rPr>
              <w:t xml:space="preserve"> (CUL.DEV)</w:t>
            </w:r>
          </w:p>
        </w:tc>
        <w:tc>
          <w:tcPr>
            <w:tcW w:w="1102" w:type="pct"/>
            <w:tcBorders>
              <w:top w:val="single" w:sz="4" w:space="0" w:color="auto"/>
              <w:bottom w:val="single" w:sz="4" w:space="0" w:color="auto"/>
            </w:tcBorders>
            <w:shd w:val="clear" w:color="auto" w:fill="auto"/>
          </w:tcPr>
          <w:p w14:paraId="32894DD5"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Togo</w:t>
            </w:r>
          </w:p>
        </w:tc>
        <w:tc>
          <w:tcPr>
            <w:tcW w:w="882" w:type="pct"/>
            <w:tcBorders>
              <w:top w:val="single" w:sz="4" w:space="0" w:color="auto"/>
              <w:bottom w:val="single" w:sz="4" w:space="0" w:color="auto"/>
            </w:tcBorders>
            <w:shd w:val="clear" w:color="auto" w:fill="auto"/>
          </w:tcPr>
          <w:p w14:paraId="587BAF75" w14:textId="77777777" w:rsidR="00FA7166" w:rsidRPr="00015EE8" w:rsidRDefault="00CB223B" w:rsidP="00F77D87">
            <w:pPr>
              <w:jc w:val="center"/>
              <w:rPr>
                <w:rFonts w:ascii="Arial" w:hAnsi="Arial" w:cs="Arial"/>
                <w:color w:val="000000"/>
                <w:sz w:val="22"/>
                <w:szCs w:val="22"/>
                <w:lang w:val="en-US"/>
              </w:rPr>
            </w:pPr>
            <w:hyperlink r:id="rId59" w:history="1">
              <w:r w:rsidR="00FA7166" w:rsidRPr="00015EE8">
                <w:rPr>
                  <w:rStyle w:val="Hyperlink"/>
                  <w:rFonts w:ascii="Arial" w:hAnsi="Arial"/>
                  <w:sz w:val="22"/>
                  <w:szCs w:val="22"/>
                  <w:lang w:val="en-US"/>
                </w:rPr>
                <w:t>NGO-90454</w:t>
              </w:r>
            </w:hyperlink>
          </w:p>
        </w:tc>
      </w:tr>
      <w:tr w:rsidR="00FA7166" w:rsidRPr="00015EE8" w14:paraId="72FAB247" w14:textId="77777777" w:rsidTr="00045E93">
        <w:trPr>
          <w:trHeight w:val="164"/>
        </w:trPr>
        <w:tc>
          <w:tcPr>
            <w:tcW w:w="3015" w:type="pct"/>
            <w:tcBorders>
              <w:top w:val="single" w:sz="4" w:space="0" w:color="auto"/>
              <w:bottom w:val="single" w:sz="4" w:space="0" w:color="auto"/>
            </w:tcBorders>
            <w:shd w:val="clear" w:color="auto" w:fill="auto"/>
          </w:tcPr>
          <w:p w14:paraId="5204C262"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Development Centre ‘Democracy through culture’</w:t>
            </w:r>
          </w:p>
        </w:tc>
        <w:tc>
          <w:tcPr>
            <w:tcW w:w="1102" w:type="pct"/>
            <w:tcBorders>
              <w:top w:val="single" w:sz="4" w:space="0" w:color="auto"/>
              <w:bottom w:val="single" w:sz="4" w:space="0" w:color="auto"/>
            </w:tcBorders>
            <w:shd w:val="clear" w:color="auto" w:fill="auto"/>
          </w:tcPr>
          <w:p w14:paraId="1BA1FAC0"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Ukraine</w:t>
            </w:r>
          </w:p>
        </w:tc>
        <w:tc>
          <w:tcPr>
            <w:tcW w:w="882" w:type="pct"/>
            <w:tcBorders>
              <w:top w:val="single" w:sz="4" w:space="0" w:color="auto"/>
              <w:bottom w:val="single" w:sz="4" w:space="0" w:color="auto"/>
            </w:tcBorders>
            <w:shd w:val="clear" w:color="auto" w:fill="auto"/>
          </w:tcPr>
          <w:p w14:paraId="301D66BA" w14:textId="77777777" w:rsidR="00FA7166" w:rsidRPr="00015EE8" w:rsidRDefault="00CB223B" w:rsidP="00F77D87">
            <w:pPr>
              <w:jc w:val="center"/>
              <w:rPr>
                <w:rFonts w:ascii="Arial" w:hAnsi="Arial" w:cs="Arial"/>
                <w:color w:val="000000"/>
                <w:sz w:val="22"/>
                <w:szCs w:val="22"/>
                <w:lang w:val="en-US"/>
              </w:rPr>
            </w:pPr>
            <w:hyperlink r:id="rId60" w:history="1">
              <w:r w:rsidR="00FA7166" w:rsidRPr="00015EE8">
                <w:rPr>
                  <w:rStyle w:val="Hyperlink"/>
                  <w:rFonts w:ascii="Arial" w:hAnsi="Arial"/>
                  <w:sz w:val="22"/>
                  <w:szCs w:val="22"/>
                  <w:lang w:val="en-US"/>
                </w:rPr>
                <w:t>NGO-90421</w:t>
              </w:r>
            </w:hyperlink>
          </w:p>
        </w:tc>
      </w:tr>
      <w:tr w:rsidR="00FA7166" w:rsidRPr="00015EE8" w14:paraId="11BF1C5E" w14:textId="77777777" w:rsidTr="00045E93">
        <w:trPr>
          <w:trHeight w:val="164"/>
        </w:trPr>
        <w:tc>
          <w:tcPr>
            <w:tcW w:w="3015" w:type="pct"/>
            <w:tcBorders>
              <w:top w:val="single" w:sz="4" w:space="0" w:color="auto"/>
              <w:bottom w:val="single" w:sz="4" w:space="0" w:color="auto"/>
            </w:tcBorders>
            <w:shd w:val="clear" w:color="auto" w:fill="auto"/>
          </w:tcPr>
          <w:p w14:paraId="16963D4A"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 xml:space="preserve">Ethnographic Centre of the </w:t>
            </w:r>
            <w:proofErr w:type="spellStart"/>
            <w:r w:rsidRPr="00015EE8">
              <w:rPr>
                <w:rFonts w:ascii="Arial" w:hAnsi="Arial" w:cs="Arial"/>
                <w:color w:val="000000"/>
                <w:sz w:val="22"/>
                <w:szCs w:val="22"/>
                <w:lang w:val="en-US"/>
              </w:rPr>
              <w:t>Campane</w:t>
            </w:r>
            <w:proofErr w:type="spellEnd"/>
            <w:r w:rsidRPr="00015EE8">
              <w:rPr>
                <w:rFonts w:ascii="Arial" w:hAnsi="Arial" w:cs="Arial"/>
                <w:color w:val="000000"/>
                <w:sz w:val="22"/>
                <w:szCs w:val="22"/>
                <w:lang w:val="en-US"/>
              </w:rPr>
              <w:t xml:space="preserve"> Islands</w:t>
            </w:r>
          </w:p>
        </w:tc>
        <w:tc>
          <w:tcPr>
            <w:tcW w:w="1102" w:type="pct"/>
            <w:tcBorders>
              <w:top w:val="single" w:sz="4" w:space="0" w:color="auto"/>
              <w:bottom w:val="single" w:sz="4" w:space="0" w:color="auto"/>
            </w:tcBorders>
            <w:shd w:val="clear" w:color="auto" w:fill="auto"/>
          </w:tcPr>
          <w:p w14:paraId="1CB9FE27"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Italy</w:t>
            </w:r>
          </w:p>
        </w:tc>
        <w:tc>
          <w:tcPr>
            <w:tcW w:w="882" w:type="pct"/>
            <w:tcBorders>
              <w:top w:val="single" w:sz="4" w:space="0" w:color="auto"/>
              <w:bottom w:val="single" w:sz="4" w:space="0" w:color="auto"/>
            </w:tcBorders>
            <w:shd w:val="clear" w:color="auto" w:fill="auto"/>
          </w:tcPr>
          <w:p w14:paraId="2657CF79" w14:textId="77777777" w:rsidR="00FA7166" w:rsidRPr="00015EE8" w:rsidRDefault="00CB223B" w:rsidP="00F77D87">
            <w:pPr>
              <w:jc w:val="center"/>
              <w:rPr>
                <w:rFonts w:ascii="Arial" w:hAnsi="Arial" w:cs="Arial"/>
                <w:color w:val="000000"/>
                <w:sz w:val="22"/>
                <w:szCs w:val="22"/>
                <w:lang w:val="en-US"/>
              </w:rPr>
            </w:pPr>
            <w:hyperlink r:id="rId61" w:history="1">
              <w:r w:rsidR="00FA7166" w:rsidRPr="00015EE8">
                <w:rPr>
                  <w:rStyle w:val="Hyperlink"/>
                  <w:rFonts w:ascii="Arial" w:hAnsi="Arial"/>
                  <w:sz w:val="22"/>
                  <w:szCs w:val="22"/>
                  <w:lang w:val="en-US"/>
                </w:rPr>
                <w:t>NGO-90462</w:t>
              </w:r>
            </w:hyperlink>
          </w:p>
        </w:tc>
      </w:tr>
      <w:tr w:rsidR="00FA7166" w:rsidRPr="00015EE8" w14:paraId="0A318259" w14:textId="77777777" w:rsidTr="00045E93">
        <w:trPr>
          <w:trHeight w:val="164"/>
        </w:trPr>
        <w:tc>
          <w:tcPr>
            <w:tcW w:w="3015" w:type="pct"/>
            <w:tcBorders>
              <w:top w:val="single" w:sz="4" w:space="0" w:color="auto"/>
              <w:bottom w:val="single" w:sz="4" w:space="0" w:color="auto"/>
            </w:tcBorders>
            <w:shd w:val="clear" w:color="auto" w:fill="auto"/>
          </w:tcPr>
          <w:p w14:paraId="6BAFF998"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Finnish Crafts Organization Taito</w:t>
            </w:r>
          </w:p>
        </w:tc>
        <w:tc>
          <w:tcPr>
            <w:tcW w:w="1102" w:type="pct"/>
            <w:tcBorders>
              <w:top w:val="single" w:sz="4" w:space="0" w:color="auto"/>
              <w:bottom w:val="single" w:sz="4" w:space="0" w:color="auto"/>
            </w:tcBorders>
            <w:shd w:val="clear" w:color="auto" w:fill="auto"/>
          </w:tcPr>
          <w:p w14:paraId="590725F1"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Finland</w:t>
            </w:r>
          </w:p>
        </w:tc>
        <w:tc>
          <w:tcPr>
            <w:tcW w:w="882" w:type="pct"/>
            <w:tcBorders>
              <w:top w:val="single" w:sz="4" w:space="0" w:color="auto"/>
              <w:bottom w:val="single" w:sz="4" w:space="0" w:color="auto"/>
            </w:tcBorders>
            <w:shd w:val="clear" w:color="auto" w:fill="auto"/>
          </w:tcPr>
          <w:p w14:paraId="024773C8" w14:textId="77777777" w:rsidR="00FA7166" w:rsidRPr="00015EE8" w:rsidRDefault="00CB223B" w:rsidP="00F77D87">
            <w:pPr>
              <w:jc w:val="center"/>
              <w:rPr>
                <w:rFonts w:ascii="Arial" w:hAnsi="Arial" w:cs="Arial"/>
                <w:color w:val="000000"/>
                <w:sz w:val="22"/>
                <w:szCs w:val="22"/>
                <w:lang w:val="en-US"/>
              </w:rPr>
            </w:pPr>
            <w:hyperlink r:id="rId62" w:history="1">
              <w:r w:rsidR="00FA7166" w:rsidRPr="00015EE8">
                <w:rPr>
                  <w:rStyle w:val="Hyperlink"/>
                  <w:rFonts w:ascii="Arial" w:hAnsi="Arial"/>
                  <w:sz w:val="22"/>
                  <w:szCs w:val="22"/>
                  <w:lang w:val="en-US"/>
                </w:rPr>
                <w:t>NGO-90436</w:t>
              </w:r>
            </w:hyperlink>
          </w:p>
        </w:tc>
      </w:tr>
      <w:tr w:rsidR="00FA7166" w:rsidRPr="00015EE8" w14:paraId="6F794E94" w14:textId="77777777" w:rsidTr="00045E93">
        <w:trPr>
          <w:trHeight w:val="164"/>
        </w:trPr>
        <w:tc>
          <w:tcPr>
            <w:tcW w:w="3015" w:type="pct"/>
            <w:tcBorders>
              <w:top w:val="single" w:sz="4" w:space="0" w:color="auto"/>
              <w:bottom w:val="single" w:sz="4" w:space="0" w:color="auto"/>
            </w:tcBorders>
            <w:shd w:val="clear" w:color="auto" w:fill="auto"/>
          </w:tcPr>
          <w:p w14:paraId="286236C6"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Foundation Museum Tula</w:t>
            </w:r>
          </w:p>
        </w:tc>
        <w:tc>
          <w:tcPr>
            <w:tcW w:w="1102" w:type="pct"/>
            <w:tcBorders>
              <w:top w:val="single" w:sz="4" w:space="0" w:color="auto"/>
              <w:bottom w:val="single" w:sz="4" w:space="0" w:color="auto"/>
            </w:tcBorders>
            <w:shd w:val="clear" w:color="auto" w:fill="auto"/>
          </w:tcPr>
          <w:p w14:paraId="5ADC1B5E"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Curaçao</w:t>
            </w:r>
          </w:p>
        </w:tc>
        <w:tc>
          <w:tcPr>
            <w:tcW w:w="882" w:type="pct"/>
            <w:tcBorders>
              <w:top w:val="single" w:sz="4" w:space="0" w:color="auto"/>
              <w:bottom w:val="single" w:sz="4" w:space="0" w:color="auto"/>
            </w:tcBorders>
            <w:shd w:val="clear" w:color="auto" w:fill="auto"/>
          </w:tcPr>
          <w:p w14:paraId="4912C0C0" w14:textId="77777777" w:rsidR="00FA7166" w:rsidRPr="00015EE8" w:rsidRDefault="00CB223B" w:rsidP="00F77D87">
            <w:pPr>
              <w:jc w:val="center"/>
              <w:rPr>
                <w:rFonts w:ascii="Arial" w:hAnsi="Arial" w:cs="Arial"/>
                <w:color w:val="000000"/>
                <w:sz w:val="22"/>
                <w:szCs w:val="22"/>
                <w:lang w:val="en-US"/>
              </w:rPr>
            </w:pPr>
            <w:hyperlink r:id="rId63" w:history="1">
              <w:r w:rsidR="00FA7166" w:rsidRPr="00015EE8">
                <w:rPr>
                  <w:rStyle w:val="Hyperlink"/>
                  <w:rFonts w:ascii="Arial" w:hAnsi="Arial"/>
                  <w:sz w:val="22"/>
                  <w:szCs w:val="22"/>
                  <w:lang w:val="en-US"/>
                </w:rPr>
                <w:t>NGO-90460</w:t>
              </w:r>
            </w:hyperlink>
          </w:p>
        </w:tc>
      </w:tr>
      <w:tr w:rsidR="00FA7166" w:rsidRPr="00015EE8" w14:paraId="6BE88B40" w14:textId="77777777" w:rsidTr="00045E93">
        <w:trPr>
          <w:trHeight w:val="164"/>
        </w:trPr>
        <w:tc>
          <w:tcPr>
            <w:tcW w:w="3015" w:type="pct"/>
            <w:tcBorders>
              <w:top w:val="single" w:sz="4" w:space="0" w:color="auto"/>
              <w:bottom w:val="single" w:sz="4" w:space="0" w:color="auto"/>
            </w:tcBorders>
            <w:shd w:val="clear" w:color="auto" w:fill="auto"/>
          </w:tcPr>
          <w:p w14:paraId="1BC872E3" w14:textId="5BC2F544" w:rsidR="00FA7166" w:rsidRPr="00015EE8" w:rsidRDefault="00FD07EB" w:rsidP="00F77D87">
            <w:pPr>
              <w:rPr>
                <w:rFonts w:ascii="Arial" w:hAnsi="Arial" w:cs="Arial"/>
                <w:color w:val="000000"/>
                <w:sz w:val="22"/>
                <w:szCs w:val="22"/>
                <w:lang w:val="en-US"/>
              </w:rPr>
            </w:pPr>
            <w:r w:rsidRPr="00015EE8">
              <w:rPr>
                <w:rFonts w:ascii="Arial" w:hAnsi="Arial" w:cs="Arial"/>
                <w:color w:val="000000"/>
                <w:sz w:val="22"/>
                <w:szCs w:val="22"/>
                <w:lang w:val="en-US"/>
              </w:rPr>
              <w:t>‘</w:t>
            </w:r>
            <w:proofErr w:type="spellStart"/>
            <w:r w:rsidR="00FA7166" w:rsidRPr="00015EE8">
              <w:rPr>
                <w:rFonts w:ascii="Arial" w:hAnsi="Arial" w:cs="Arial"/>
                <w:color w:val="000000"/>
                <w:sz w:val="22"/>
                <w:szCs w:val="22"/>
                <w:lang w:val="en-US"/>
              </w:rPr>
              <w:t>Hazarashen</w:t>
            </w:r>
            <w:proofErr w:type="spellEnd"/>
            <w:r w:rsidRPr="00015EE8">
              <w:rPr>
                <w:rFonts w:ascii="Arial" w:hAnsi="Arial" w:cs="Arial"/>
                <w:color w:val="000000"/>
                <w:sz w:val="22"/>
                <w:szCs w:val="22"/>
                <w:lang w:val="en-US"/>
              </w:rPr>
              <w:t>’</w:t>
            </w:r>
            <w:r w:rsidR="00FA7166" w:rsidRPr="00015EE8">
              <w:rPr>
                <w:rFonts w:ascii="Arial" w:hAnsi="Arial" w:cs="Arial"/>
                <w:color w:val="000000"/>
                <w:sz w:val="22"/>
                <w:szCs w:val="22"/>
                <w:lang w:val="en-US"/>
              </w:rPr>
              <w:t xml:space="preserve"> Armenian Centre for Ethnological Studies</w:t>
            </w:r>
          </w:p>
        </w:tc>
        <w:tc>
          <w:tcPr>
            <w:tcW w:w="1102" w:type="pct"/>
            <w:tcBorders>
              <w:top w:val="single" w:sz="4" w:space="0" w:color="auto"/>
              <w:bottom w:val="single" w:sz="4" w:space="0" w:color="auto"/>
            </w:tcBorders>
            <w:shd w:val="clear" w:color="auto" w:fill="auto"/>
          </w:tcPr>
          <w:p w14:paraId="73EC3053"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Armenia</w:t>
            </w:r>
          </w:p>
        </w:tc>
        <w:tc>
          <w:tcPr>
            <w:tcW w:w="882" w:type="pct"/>
            <w:tcBorders>
              <w:top w:val="single" w:sz="4" w:space="0" w:color="auto"/>
              <w:bottom w:val="single" w:sz="4" w:space="0" w:color="auto"/>
            </w:tcBorders>
            <w:shd w:val="clear" w:color="auto" w:fill="auto"/>
          </w:tcPr>
          <w:p w14:paraId="4706D364" w14:textId="77777777" w:rsidR="00FA7166" w:rsidRPr="00015EE8" w:rsidRDefault="00CB223B" w:rsidP="00F77D87">
            <w:pPr>
              <w:jc w:val="center"/>
              <w:rPr>
                <w:rFonts w:ascii="Arial" w:hAnsi="Arial" w:cs="Arial"/>
                <w:color w:val="000000"/>
                <w:sz w:val="22"/>
                <w:szCs w:val="22"/>
                <w:lang w:val="en-US"/>
              </w:rPr>
            </w:pPr>
            <w:hyperlink r:id="rId64" w:history="1">
              <w:r w:rsidR="00FA7166" w:rsidRPr="00015EE8">
                <w:rPr>
                  <w:rStyle w:val="Hyperlink"/>
                  <w:rFonts w:ascii="Arial" w:hAnsi="Arial"/>
                  <w:sz w:val="22"/>
                  <w:szCs w:val="22"/>
                  <w:lang w:val="en-US"/>
                </w:rPr>
                <w:t>NGO-90431</w:t>
              </w:r>
            </w:hyperlink>
          </w:p>
        </w:tc>
      </w:tr>
      <w:tr w:rsidR="00FA7166" w:rsidRPr="00015EE8" w14:paraId="4109C8F5" w14:textId="77777777" w:rsidTr="00045E93">
        <w:trPr>
          <w:trHeight w:val="164"/>
        </w:trPr>
        <w:tc>
          <w:tcPr>
            <w:tcW w:w="3015" w:type="pct"/>
            <w:tcBorders>
              <w:top w:val="single" w:sz="4" w:space="0" w:color="auto"/>
              <w:bottom w:val="single" w:sz="4" w:space="0" w:color="auto"/>
            </w:tcBorders>
            <w:shd w:val="clear" w:color="auto" w:fill="auto"/>
          </w:tcPr>
          <w:p w14:paraId="533313FB"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Heritage Saskatchewan Alliance Inc.</w:t>
            </w:r>
          </w:p>
        </w:tc>
        <w:tc>
          <w:tcPr>
            <w:tcW w:w="1102" w:type="pct"/>
            <w:tcBorders>
              <w:top w:val="single" w:sz="4" w:space="0" w:color="auto"/>
              <w:bottom w:val="single" w:sz="4" w:space="0" w:color="auto"/>
            </w:tcBorders>
            <w:shd w:val="clear" w:color="auto" w:fill="auto"/>
          </w:tcPr>
          <w:p w14:paraId="6992563A"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Canada</w:t>
            </w:r>
          </w:p>
        </w:tc>
        <w:tc>
          <w:tcPr>
            <w:tcW w:w="882" w:type="pct"/>
            <w:tcBorders>
              <w:top w:val="single" w:sz="4" w:space="0" w:color="auto"/>
              <w:bottom w:val="single" w:sz="4" w:space="0" w:color="auto"/>
            </w:tcBorders>
            <w:shd w:val="clear" w:color="auto" w:fill="auto"/>
          </w:tcPr>
          <w:p w14:paraId="2E02EB4E" w14:textId="77777777" w:rsidR="00FA7166" w:rsidRPr="00015EE8" w:rsidRDefault="00CB223B" w:rsidP="00F77D87">
            <w:pPr>
              <w:jc w:val="center"/>
              <w:rPr>
                <w:rFonts w:ascii="Arial" w:hAnsi="Arial" w:cs="Arial"/>
                <w:color w:val="000000"/>
                <w:sz w:val="22"/>
                <w:szCs w:val="22"/>
                <w:lang w:val="en-US"/>
              </w:rPr>
            </w:pPr>
            <w:hyperlink r:id="rId65" w:history="1">
              <w:r w:rsidR="00FA7166" w:rsidRPr="00015EE8">
                <w:rPr>
                  <w:rStyle w:val="Hyperlink"/>
                  <w:rFonts w:ascii="Arial" w:hAnsi="Arial"/>
                  <w:sz w:val="22"/>
                  <w:szCs w:val="22"/>
                  <w:lang w:val="en-US"/>
                </w:rPr>
                <w:t>NGO-90437</w:t>
              </w:r>
            </w:hyperlink>
          </w:p>
        </w:tc>
      </w:tr>
      <w:tr w:rsidR="00FA7166" w:rsidRPr="00015EE8" w14:paraId="083306C6" w14:textId="77777777" w:rsidTr="00045E93">
        <w:trPr>
          <w:trHeight w:val="164"/>
        </w:trPr>
        <w:tc>
          <w:tcPr>
            <w:tcW w:w="3015" w:type="pct"/>
            <w:tcBorders>
              <w:top w:val="single" w:sz="4" w:space="0" w:color="auto"/>
              <w:bottom w:val="single" w:sz="4" w:space="0" w:color="auto"/>
            </w:tcBorders>
            <w:shd w:val="clear" w:color="auto" w:fill="auto"/>
          </w:tcPr>
          <w:p w14:paraId="2F6F2CA2" w14:textId="77777777" w:rsidR="00FA7166" w:rsidRPr="00015EE8" w:rsidRDefault="00FA7166" w:rsidP="00F77D87">
            <w:pPr>
              <w:rPr>
                <w:rFonts w:ascii="Arial" w:hAnsi="Arial" w:cs="Arial"/>
                <w:color w:val="000000"/>
                <w:sz w:val="22"/>
                <w:szCs w:val="22"/>
                <w:lang w:val="en-US"/>
              </w:rPr>
            </w:pPr>
            <w:proofErr w:type="spellStart"/>
            <w:r w:rsidRPr="00015EE8">
              <w:rPr>
                <w:rFonts w:ascii="Arial" w:hAnsi="Arial" w:cs="Arial"/>
                <w:color w:val="000000"/>
                <w:sz w:val="22"/>
                <w:szCs w:val="22"/>
                <w:lang w:val="en-US"/>
              </w:rPr>
              <w:t>Institut</w:t>
            </w:r>
            <w:proofErr w:type="spellEnd"/>
            <w:r w:rsidRPr="00015EE8">
              <w:rPr>
                <w:rFonts w:ascii="Arial" w:hAnsi="Arial" w:cs="Arial"/>
                <w:color w:val="000000"/>
                <w:sz w:val="22"/>
                <w:szCs w:val="22"/>
                <w:lang w:val="en-US"/>
              </w:rPr>
              <w:t xml:space="preserve"> </w:t>
            </w:r>
            <w:proofErr w:type="spellStart"/>
            <w:r w:rsidRPr="00015EE8">
              <w:rPr>
                <w:rFonts w:ascii="Arial" w:hAnsi="Arial" w:cs="Arial"/>
                <w:color w:val="000000"/>
                <w:sz w:val="22"/>
                <w:szCs w:val="22"/>
                <w:lang w:val="en-US"/>
              </w:rPr>
              <w:t>Tshakapesh</w:t>
            </w:r>
            <w:proofErr w:type="spellEnd"/>
          </w:p>
        </w:tc>
        <w:tc>
          <w:tcPr>
            <w:tcW w:w="1102" w:type="pct"/>
            <w:tcBorders>
              <w:top w:val="single" w:sz="4" w:space="0" w:color="auto"/>
              <w:bottom w:val="single" w:sz="4" w:space="0" w:color="auto"/>
            </w:tcBorders>
            <w:shd w:val="clear" w:color="auto" w:fill="auto"/>
          </w:tcPr>
          <w:p w14:paraId="570FFD38"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Canada</w:t>
            </w:r>
          </w:p>
        </w:tc>
        <w:tc>
          <w:tcPr>
            <w:tcW w:w="882" w:type="pct"/>
            <w:tcBorders>
              <w:top w:val="single" w:sz="4" w:space="0" w:color="auto"/>
              <w:bottom w:val="single" w:sz="4" w:space="0" w:color="auto"/>
            </w:tcBorders>
            <w:shd w:val="clear" w:color="auto" w:fill="auto"/>
          </w:tcPr>
          <w:p w14:paraId="1B723A4B" w14:textId="77777777" w:rsidR="00FA7166" w:rsidRPr="00015EE8" w:rsidRDefault="00CB223B" w:rsidP="00F77D87">
            <w:pPr>
              <w:jc w:val="center"/>
              <w:rPr>
                <w:rFonts w:ascii="Arial" w:hAnsi="Arial" w:cs="Arial"/>
                <w:color w:val="000000"/>
                <w:sz w:val="22"/>
                <w:szCs w:val="22"/>
                <w:lang w:val="en-US"/>
              </w:rPr>
            </w:pPr>
            <w:hyperlink r:id="rId66" w:history="1">
              <w:r w:rsidR="00FA7166" w:rsidRPr="00015EE8">
                <w:rPr>
                  <w:rStyle w:val="Hyperlink"/>
                  <w:rFonts w:ascii="Arial" w:hAnsi="Arial"/>
                  <w:sz w:val="22"/>
                  <w:szCs w:val="22"/>
                  <w:lang w:val="en-US"/>
                </w:rPr>
                <w:t>NGO-90474</w:t>
              </w:r>
            </w:hyperlink>
          </w:p>
        </w:tc>
      </w:tr>
      <w:tr w:rsidR="00FA7166" w:rsidRPr="00015EE8" w14:paraId="499F64A9" w14:textId="77777777" w:rsidTr="00045E93">
        <w:trPr>
          <w:trHeight w:val="164"/>
        </w:trPr>
        <w:tc>
          <w:tcPr>
            <w:tcW w:w="3015" w:type="pct"/>
            <w:tcBorders>
              <w:top w:val="single" w:sz="4" w:space="0" w:color="auto"/>
              <w:bottom w:val="single" w:sz="4" w:space="0" w:color="auto"/>
            </w:tcBorders>
            <w:shd w:val="clear" w:color="auto" w:fill="auto"/>
          </w:tcPr>
          <w:p w14:paraId="28977DE6"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Les Forges de Montréal</w:t>
            </w:r>
          </w:p>
        </w:tc>
        <w:tc>
          <w:tcPr>
            <w:tcW w:w="1102" w:type="pct"/>
            <w:tcBorders>
              <w:top w:val="single" w:sz="4" w:space="0" w:color="auto"/>
              <w:bottom w:val="single" w:sz="4" w:space="0" w:color="auto"/>
            </w:tcBorders>
            <w:shd w:val="clear" w:color="auto" w:fill="auto"/>
          </w:tcPr>
          <w:p w14:paraId="56C59B39"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Canada</w:t>
            </w:r>
          </w:p>
        </w:tc>
        <w:tc>
          <w:tcPr>
            <w:tcW w:w="882" w:type="pct"/>
            <w:tcBorders>
              <w:top w:val="single" w:sz="4" w:space="0" w:color="auto"/>
              <w:bottom w:val="single" w:sz="4" w:space="0" w:color="auto"/>
            </w:tcBorders>
            <w:shd w:val="clear" w:color="auto" w:fill="auto"/>
          </w:tcPr>
          <w:p w14:paraId="75E0BC29" w14:textId="77777777" w:rsidR="00FA7166" w:rsidRPr="00015EE8" w:rsidRDefault="00CB223B" w:rsidP="00F77D87">
            <w:pPr>
              <w:jc w:val="center"/>
              <w:rPr>
                <w:rFonts w:ascii="Arial" w:hAnsi="Arial" w:cs="Arial"/>
                <w:color w:val="000000"/>
                <w:sz w:val="22"/>
                <w:szCs w:val="22"/>
                <w:lang w:val="en-US"/>
              </w:rPr>
            </w:pPr>
            <w:hyperlink r:id="rId67" w:history="1">
              <w:r w:rsidR="00FA7166" w:rsidRPr="00015EE8">
                <w:rPr>
                  <w:rStyle w:val="Hyperlink"/>
                  <w:rFonts w:ascii="Arial" w:hAnsi="Arial"/>
                  <w:sz w:val="22"/>
                  <w:szCs w:val="22"/>
                  <w:lang w:val="en-US"/>
                </w:rPr>
                <w:t>NGO-90472</w:t>
              </w:r>
            </w:hyperlink>
          </w:p>
        </w:tc>
      </w:tr>
      <w:tr w:rsidR="00FA7166" w:rsidRPr="00015EE8" w14:paraId="20A17310" w14:textId="77777777" w:rsidTr="00045E93">
        <w:trPr>
          <w:trHeight w:val="164"/>
        </w:trPr>
        <w:tc>
          <w:tcPr>
            <w:tcW w:w="3015" w:type="pct"/>
            <w:tcBorders>
              <w:top w:val="single" w:sz="4" w:space="0" w:color="auto"/>
              <w:bottom w:val="single" w:sz="4" w:space="0" w:color="auto"/>
            </w:tcBorders>
            <w:shd w:val="clear" w:color="auto" w:fill="auto"/>
          </w:tcPr>
          <w:p w14:paraId="02E5734D"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Maison de la Culture Yiddish – Bibliothèque MEDEM</w:t>
            </w:r>
          </w:p>
        </w:tc>
        <w:tc>
          <w:tcPr>
            <w:tcW w:w="1102" w:type="pct"/>
            <w:tcBorders>
              <w:top w:val="single" w:sz="4" w:space="0" w:color="auto"/>
              <w:bottom w:val="single" w:sz="4" w:space="0" w:color="auto"/>
            </w:tcBorders>
            <w:shd w:val="clear" w:color="auto" w:fill="auto"/>
          </w:tcPr>
          <w:p w14:paraId="37850486"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France</w:t>
            </w:r>
          </w:p>
        </w:tc>
        <w:tc>
          <w:tcPr>
            <w:tcW w:w="882" w:type="pct"/>
            <w:tcBorders>
              <w:top w:val="single" w:sz="4" w:space="0" w:color="auto"/>
              <w:bottom w:val="single" w:sz="4" w:space="0" w:color="auto"/>
            </w:tcBorders>
            <w:shd w:val="clear" w:color="auto" w:fill="auto"/>
          </w:tcPr>
          <w:p w14:paraId="050B6153" w14:textId="77777777" w:rsidR="00FA7166" w:rsidRPr="00015EE8" w:rsidRDefault="00CB223B" w:rsidP="00F77D87">
            <w:pPr>
              <w:jc w:val="center"/>
              <w:rPr>
                <w:rFonts w:ascii="Arial" w:hAnsi="Arial" w:cs="Arial"/>
                <w:color w:val="000000"/>
                <w:sz w:val="22"/>
                <w:szCs w:val="22"/>
              </w:rPr>
            </w:pPr>
            <w:hyperlink r:id="rId68" w:history="1">
              <w:r w:rsidR="00FA7166" w:rsidRPr="00015EE8">
                <w:rPr>
                  <w:rStyle w:val="Hyperlink"/>
                  <w:rFonts w:ascii="Arial" w:hAnsi="Arial"/>
                  <w:sz w:val="22"/>
                  <w:szCs w:val="22"/>
                  <w:lang w:val="en-US"/>
                </w:rPr>
                <w:t>NGO-90451</w:t>
              </w:r>
            </w:hyperlink>
          </w:p>
        </w:tc>
      </w:tr>
      <w:tr w:rsidR="00FA7166" w:rsidRPr="00015EE8" w14:paraId="0D26CDC9" w14:textId="77777777" w:rsidTr="00045E93">
        <w:trPr>
          <w:trHeight w:val="164"/>
        </w:trPr>
        <w:tc>
          <w:tcPr>
            <w:tcW w:w="3015" w:type="pct"/>
            <w:tcBorders>
              <w:top w:val="single" w:sz="4" w:space="0" w:color="auto"/>
              <w:bottom w:val="single" w:sz="4" w:space="0" w:color="auto"/>
            </w:tcBorders>
            <w:shd w:val="clear" w:color="auto" w:fill="auto"/>
          </w:tcPr>
          <w:p w14:paraId="6CC7F258" w14:textId="77777777" w:rsidR="00FA7166" w:rsidRPr="00015EE8" w:rsidRDefault="00FA7166" w:rsidP="00F77D87">
            <w:pPr>
              <w:rPr>
                <w:rFonts w:ascii="Arial" w:hAnsi="Arial" w:cs="Arial"/>
                <w:color w:val="000000"/>
                <w:sz w:val="22"/>
                <w:szCs w:val="22"/>
              </w:rPr>
            </w:pPr>
            <w:proofErr w:type="spellStart"/>
            <w:r w:rsidRPr="00015EE8">
              <w:rPr>
                <w:rFonts w:ascii="Arial" w:hAnsi="Arial" w:cs="Arial"/>
                <w:color w:val="000000"/>
                <w:sz w:val="22"/>
                <w:szCs w:val="22"/>
              </w:rPr>
              <w:t>Norwegian</w:t>
            </w:r>
            <w:proofErr w:type="spellEnd"/>
            <w:r w:rsidRPr="00015EE8">
              <w:rPr>
                <w:rFonts w:ascii="Arial" w:hAnsi="Arial" w:cs="Arial"/>
                <w:color w:val="000000"/>
                <w:sz w:val="22"/>
                <w:szCs w:val="22"/>
              </w:rPr>
              <w:t xml:space="preserve"> </w:t>
            </w:r>
            <w:proofErr w:type="spellStart"/>
            <w:r w:rsidRPr="00015EE8">
              <w:rPr>
                <w:rFonts w:ascii="Arial" w:hAnsi="Arial" w:cs="Arial"/>
                <w:color w:val="000000"/>
                <w:sz w:val="22"/>
                <w:szCs w:val="22"/>
              </w:rPr>
              <w:t>Ship</w:t>
            </w:r>
            <w:proofErr w:type="spellEnd"/>
            <w:r w:rsidRPr="00015EE8">
              <w:rPr>
                <w:rFonts w:ascii="Arial" w:hAnsi="Arial" w:cs="Arial"/>
                <w:color w:val="000000"/>
                <w:sz w:val="22"/>
                <w:szCs w:val="22"/>
              </w:rPr>
              <w:t xml:space="preserve"> </w:t>
            </w:r>
            <w:proofErr w:type="spellStart"/>
            <w:r w:rsidRPr="00015EE8">
              <w:rPr>
                <w:rFonts w:ascii="Arial" w:hAnsi="Arial" w:cs="Arial"/>
                <w:color w:val="000000"/>
                <w:sz w:val="22"/>
                <w:szCs w:val="22"/>
              </w:rPr>
              <w:t>Preservation</w:t>
            </w:r>
            <w:proofErr w:type="spellEnd"/>
            <w:r w:rsidRPr="00015EE8">
              <w:rPr>
                <w:rFonts w:ascii="Arial" w:hAnsi="Arial" w:cs="Arial"/>
                <w:color w:val="000000"/>
                <w:sz w:val="22"/>
                <w:szCs w:val="22"/>
              </w:rPr>
              <w:t xml:space="preserve"> Association</w:t>
            </w:r>
          </w:p>
        </w:tc>
        <w:tc>
          <w:tcPr>
            <w:tcW w:w="1102" w:type="pct"/>
            <w:tcBorders>
              <w:top w:val="single" w:sz="4" w:space="0" w:color="auto"/>
              <w:bottom w:val="single" w:sz="4" w:space="0" w:color="auto"/>
            </w:tcBorders>
            <w:shd w:val="clear" w:color="auto" w:fill="auto"/>
          </w:tcPr>
          <w:p w14:paraId="4DA90963" w14:textId="77777777" w:rsidR="00FA7166" w:rsidRPr="00015EE8" w:rsidRDefault="00FA7166" w:rsidP="00F77D87">
            <w:pPr>
              <w:jc w:val="center"/>
              <w:rPr>
                <w:rFonts w:ascii="Arial" w:hAnsi="Arial" w:cs="Arial"/>
                <w:color w:val="000000"/>
                <w:sz w:val="22"/>
                <w:szCs w:val="22"/>
              </w:rPr>
            </w:pPr>
            <w:proofErr w:type="spellStart"/>
            <w:r w:rsidRPr="00015EE8">
              <w:rPr>
                <w:rFonts w:ascii="Arial" w:hAnsi="Arial" w:cs="Arial"/>
                <w:color w:val="000000"/>
                <w:sz w:val="22"/>
                <w:szCs w:val="22"/>
              </w:rPr>
              <w:t>Norway</w:t>
            </w:r>
            <w:proofErr w:type="spellEnd"/>
          </w:p>
        </w:tc>
        <w:tc>
          <w:tcPr>
            <w:tcW w:w="882" w:type="pct"/>
            <w:tcBorders>
              <w:top w:val="single" w:sz="4" w:space="0" w:color="auto"/>
              <w:bottom w:val="single" w:sz="4" w:space="0" w:color="auto"/>
            </w:tcBorders>
            <w:shd w:val="clear" w:color="auto" w:fill="auto"/>
          </w:tcPr>
          <w:p w14:paraId="68D9F8B3" w14:textId="77777777" w:rsidR="00FA7166" w:rsidRPr="00015EE8" w:rsidRDefault="00CB223B" w:rsidP="00F77D87">
            <w:pPr>
              <w:jc w:val="center"/>
              <w:rPr>
                <w:rFonts w:ascii="Arial" w:hAnsi="Arial" w:cs="Arial"/>
                <w:color w:val="000000"/>
                <w:sz w:val="22"/>
                <w:szCs w:val="22"/>
              </w:rPr>
            </w:pPr>
            <w:hyperlink r:id="rId69" w:history="1">
              <w:r w:rsidR="00FA7166" w:rsidRPr="00015EE8">
                <w:rPr>
                  <w:rStyle w:val="Hyperlink"/>
                  <w:rFonts w:ascii="Arial" w:hAnsi="Arial"/>
                  <w:sz w:val="22"/>
                  <w:szCs w:val="22"/>
                  <w:lang w:val="en-US"/>
                </w:rPr>
                <w:t>NGO-90448</w:t>
              </w:r>
            </w:hyperlink>
          </w:p>
        </w:tc>
      </w:tr>
      <w:tr w:rsidR="00FA7166" w:rsidRPr="00015EE8" w14:paraId="65B476D9" w14:textId="77777777" w:rsidTr="00045E93">
        <w:trPr>
          <w:trHeight w:val="164"/>
        </w:trPr>
        <w:tc>
          <w:tcPr>
            <w:tcW w:w="3015" w:type="pct"/>
            <w:tcBorders>
              <w:top w:val="single" w:sz="4" w:space="0" w:color="auto"/>
              <w:bottom w:val="single" w:sz="4" w:space="0" w:color="auto"/>
            </w:tcBorders>
            <w:shd w:val="clear" w:color="auto" w:fill="auto"/>
          </w:tcPr>
          <w:p w14:paraId="24B15AEF" w14:textId="77777777" w:rsidR="00FA7166" w:rsidRPr="00015EE8" w:rsidRDefault="00FA7166" w:rsidP="00F77D87">
            <w:pPr>
              <w:rPr>
                <w:rFonts w:ascii="Arial" w:hAnsi="Arial" w:cs="Arial"/>
                <w:color w:val="000000"/>
                <w:sz w:val="22"/>
                <w:szCs w:val="22"/>
              </w:rPr>
            </w:pPr>
            <w:proofErr w:type="spellStart"/>
            <w:r w:rsidRPr="00015EE8">
              <w:rPr>
                <w:rFonts w:ascii="Arial" w:hAnsi="Arial" w:cs="Arial"/>
                <w:color w:val="000000"/>
                <w:sz w:val="22"/>
                <w:szCs w:val="22"/>
              </w:rPr>
              <w:t>Nubian</w:t>
            </w:r>
            <w:proofErr w:type="spellEnd"/>
            <w:r w:rsidRPr="00015EE8">
              <w:rPr>
                <w:rFonts w:ascii="Arial" w:hAnsi="Arial" w:cs="Arial"/>
                <w:color w:val="000000"/>
                <w:sz w:val="22"/>
                <w:szCs w:val="22"/>
              </w:rPr>
              <w:t xml:space="preserve"> Heritage Society</w:t>
            </w:r>
          </w:p>
        </w:tc>
        <w:tc>
          <w:tcPr>
            <w:tcW w:w="1102" w:type="pct"/>
            <w:tcBorders>
              <w:top w:val="single" w:sz="4" w:space="0" w:color="auto"/>
              <w:bottom w:val="single" w:sz="4" w:space="0" w:color="auto"/>
            </w:tcBorders>
            <w:shd w:val="clear" w:color="auto" w:fill="auto"/>
          </w:tcPr>
          <w:p w14:paraId="42FA3E2B" w14:textId="77777777" w:rsidR="00FA7166" w:rsidRPr="00015EE8" w:rsidRDefault="00FA7166" w:rsidP="00F77D87">
            <w:pPr>
              <w:jc w:val="center"/>
              <w:rPr>
                <w:rFonts w:ascii="Arial" w:hAnsi="Arial" w:cs="Arial"/>
                <w:color w:val="000000"/>
                <w:sz w:val="22"/>
                <w:szCs w:val="22"/>
              </w:rPr>
            </w:pPr>
            <w:proofErr w:type="spellStart"/>
            <w:r w:rsidRPr="00015EE8">
              <w:rPr>
                <w:rFonts w:ascii="Arial" w:hAnsi="Arial" w:cs="Arial"/>
                <w:color w:val="000000"/>
                <w:sz w:val="22"/>
                <w:szCs w:val="22"/>
              </w:rPr>
              <w:t>Egypt</w:t>
            </w:r>
            <w:proofErr w:type="spellEnd"/>
          </w:p>
        </w:tc>
        <w:tc>
          <w:tcPr>
            <w:tcW w:w="882" w:type="pct"/>
            <w:tcBorders>
              <w:top w:val="single" w:sz="4" w:space="0" w:color="auto"/>
              <w:bottom w:val="single" w:sz="4" w:space="0" w:color="auto"/>
            </w:tcBorders>
            <w:shd w:val="clear" w:color="auto" w:fill="auto"/>
          </w:tcPr>
          <w:p w14:paraId="152FCC11" w14:textId="77777777" w:rsidR="00FA7166" w:rsidRPr="00015EE8" w:rsidRDefault="00CB223B" w:rsidP="00F77D87">
            <w:pPr>
              <w:jc w:val="center"/>
              <w:rPr>
                <w:rFonts w:ascii="Arial" w:hAnsi="Arial" w:cs="Arial"/>
                <w:color w:val="000000"/>
                <w:sz w:val="22"/>
                <w:szCs w:val="22"/>
              </w:rPr>
            </w:pPr>
            <w:hyperlink r:id="rId70" w:history="1">
              <w:r w:rsidR="00FA7166" w:rsidRPr="00015EE8">
                <w:rPr>
                  <w:rStyle w:val="Hyperlink"/>
                  <w:rFonts w:ascii="Arial" w:hAnsi="Arial"/>
                  <w:sz w:val="22"/>
                  <w:szCs w:val="22"/>
                  <w:lang w:val="en-US"/>
                </w:rPr>
                <w:t>NGO-90446</w:t>
              </w:r>
            </w:hyperlink>
          </w:p>
        </w:tc>
      </w:tr>
      <w:tr w:rsidR="00FA7166" w:rsidRPr="00015EE8" w14:paraId="0FE4B5FD" w14:textId="77777777" w:rsidTr="00045E93">
        <w:trPr>
          <w:trHeight w:val="164"/>
        </w:trPr>
        <w:tc>
          <w:tcPr>
            <w:tcW w:w="3015" w:type="pct"/>
            <w:tcBorders>
              <w:top w:val="single" w:sz="4" w:space="0" w:color="auto"/>
              <w:bottom w:val="single" w:sz="4" w:space="0" w:color="auto"/>
            </w:tcBorders>
            <w:shd w:val="clear" w:color="auto" w:fill="auto"/>
          </w:tcPr>
          <w:p w14:paraId="57405865" w14:textId="77777777" w:rsidR="00FA7166" w:rsidRPr="00015EE8" w:rsidRDefault="00FA7166" w:rsidP="00F77D87">
            <w:pPr>
              <w:rPr>
                <w:rFonts w:ascii="Arial" w:hAnsi="Arial" w:cs="Arial"/>
                <w:color w:val="000000"/>
                <w:sz w:val="22"/>
                <w:szCs w:val="22"/>
              </w:rPr>
            </w:pPr>
            <w:r w:rsidRPr="00015EE8">
              <w:rPr>
                <w:rFonts w:ascii="Arial" w:hAnsi="Arial" w:cs="Arial"/>
                <w:color w:val="000000"/>
                <w:sz w:val="22"/>
                <w:szCs w:val="22"/>
              </w:rPr>
              <w:t>Pacific Traditions Society</w:t>
            </w:r>
          </w:p>
        </w:tc>
        <w:tc>
          <w:tcPr>
            <w:tcW w:w="1102" w:type="pct"/>
            <w:tcBorders>
              <w:top w:val="single" w:sz="4" w:space="0" w:color="auto"/>
              <w:bottom w:val="single" w:sz="4" w:space="0" w:color="auto"/>
            </w:tcBorders>
            <w:shd w:val="clear" w:color="auto" w:fill="auto"/>
          </w:tcPr>
          <w:p w14:paraId="5A8BF44E" w14:textId="77777777" w:rsidR="00FA7166" w:rsidRPr="00015EE8" w:rsidRDefault="00FA7166" w:rsidP="00F77D87">
            <w:pPr>
              <w:jc w:val="center"/>
              <w:rPr>
                <w:rFonts w:ascii="Arial" w:hAnsi="Arial" w:cs="Arial"/>
                <w:color w:val="000000"/>
                <w:sz w:val="22"/>
                <w:szCs w:val="22"/>
              </w:rPr>
            </w:pPr>
            <w:r w:rsidRPr="00015EE8">
              <w:rPr>
                <w:rFonts w:ascii="Arial" w:hAnsi="Arial" w:cs="Arial"/>
                <w:color w:val="000000"/>
                <w:sz w:val="22"/>
                <w:szCs w:val="22"/>
              </w:rPr>
              <w:t>United States of America</w:t>
            </w:r>
          </w:p>
        </w:tc>
        <w:tc>
          <w:tcPr>
            <w:tcW w:w="882" w:type="pct"/>
            <w:tcBorders>
              <w:top w:val="single" w:sz="4" w:space="0" w:color="auto"/>
              <w:bottom w:val="single" w:sz="4" w:space="0" w:color="auto"/>
            </w:tcBorders>
            <w:shd w:val="clear" w:color="auto" w:fill="auto"/>
          </w:tcPr>
          <w:p w14:paraId="46283777" w14:textId="77777777" w:rsidR="00FA7166" w:rsidRPr="00015EE8" w:rsidRDefault="00CB223B" w:rsidP="00F77D87">
            <w:pPr>
              <w:jc w:val="center"/>
              <w:rPr>
                <w:rFonts w:ascii="Arial" w:hAnsi="Arial" w:cs="Arial"/>
                <w:color w:val="000000"/>
                <w:sz w:val="22"/>
                <w:szCs w:val="22"/>
              </w:rPr>
            </w:pPr>
            <w:hyperlink r:id="rId71" w:history="1">
              <w:r w:rsidR="00FA7166" w:rsidRPr="00015EE8">
                <w:rPr>
                  <w:rStyle w:val="Hyperlink"/>
                  <w:rFonts w:ascii="Arial" w:hAnsi="Arial"/>
                  <w:sz w:val="22"/>
                  <w:szCs w:val="22"/>
                  <w:lang w:val="en-US"/>
                </w:rPr>
                <w:t>NGO-90425</w:t>
              </w:r>
            </w:hyperlink>
          </w:p>
        </w:tc>
      </w:tr>
      <w:tr w:rsidR="00FA7166" w:rsidRPr="00015EE8" w14:paraId="33962911" w14:textId="77777777" w:rsidTr="00045E93">
        <w:trPr>
          <w:trHeight w:val="164"/>
        </w:trPr>
        <w:tc>
          <w:tcPr>
            <w:tcW w:w="3015" w:type="pct"/>
            <w:tcBorders>
              <w:top w:val="single" w:sz="4" w:space="0" w:color="auto"/>
              <w:bottom w:val="single" w:sz="4" w:space="0" w:color="auto"/>
            </w:tcBorders>
            <w:shd w:val="clear" w:color="auto" w:fill="auto"/>
          </w:tcPr>
          <w:p w14:paraId="542651A6"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Persian Garden Institute for Living Heritage (PGILH)</w:t>
            </w:r>
          </w:p>
        </w:tc>
        <w:tc>
          <w:tcPr>
            <w:tcW w:w="1102" w:type="pct"/>
            <w:tcBorders>
              <w:top w:val="single" w:sz="4" w:space="0" w:color="auto"/>
              <w:bottom w:val="single" w:sz="4" w:space="0" w:color="auto"/>
            </w:tcBorders>
            <w:shd w:val="clear" w:color="auto" w:fill="auto"/>
          </w:tcPr>
          <w:p w14:paraId="5D17239F"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Islamic Republic of Iran</w:t>
            </w:r>
          </w:p>
        </w:tc>
        <w:tc>
          <w:tcPr>
            <w:tcW w:w="882" w:type="pct"/>
            <w:tcBorders>
              <w:top w:val="single" w:sz="4" w:space="0" w:color="auto"/>
              <w:bottom w:val="single" w:sz="4" w:space="0" w:color="auto"/>
            </w:tcBorders>
            <w:shd w:val="clear" w:color="auto" w:fill="auto"/>
          </w:tcPr>
          <w:p w14:paraId="5BBE6E31" w14:textId="77777777" w:rsidR="00FA7166" w:rsidRPr="00015EE8" w:rsidRDefault="00CB223B" w:rsidP="00F77D87">
            <w:pPr>
              <w:jc w:val="center"/>
              <w:rPr>
                <w:rFonts w:ascii="Arial" w:hAnsi="Arial" w:cs="Arial"/>
                <w:color w:val="000000"/>
                <w:sz w:val="22"/>
                <w:szCs w:val="22"/>
                <w:lang w:val="en-US"/>
              </w:rPr>
            </w:pPr>
            <w:hyperlink r:id="rId72" w:history="1">
              <w:r w:rsidR="00FA7166" w:rsidRPr="00015EE8">
                <w:rPr>
                  <w:rStyle w:val="Hyperlink"/>
                  <w:rFonts w:ascii="Arial" w:hAnsi="Arial"/>
                  <w:sz w:val="22"/>
                  <w:szCs w:val="22"/>
                  <w:lang w:val="en-US"/>
                </w:rPr>
                <w:t>NGO-90433</w:t>
              </w:r>
            </w:hyperlink>
          </w:p>
        </w:tc>
      </w:tr>
      <w:tr w:rsidR="00FA7166" w:rsidRPr="00015EE8" w14:paraId="4C4DA399" w14:textId="77777777" w:rsidTr="00045E93">
        <w:trPr>
          <w:trHeight w:val="164"/>
        </w:trPr>
        <w:tc>
          <w:tcPr>
            <w:tcW w:w="3015" w:type="pct"/>
            <w:tcBorders>
              <w:top w:val="single" w:sz="4" w:space="0" w:color="auto"/>
              <w:bottom w:val="single" w:sz="4" w:space="0" w:color="auto"/>
            </w:tcBorders>
            <w:shd w:val="clear" w:color="auto" w:fill="auto"/>
          </w:tcPr>
          <w:p w14:paraId="22B22DCB"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GB"/>
              </w:rPr>
              <w:t>Piraeus Bank Group Cultural Foundation (PIOP)</w:t>
            </w:r>
          </w:p>
        </w:tc>
        <w:tc>
          <w:tcPr>
            <w:tcW w:w="1102" w:type="pct"/>
            <w:tcBorders>
              <w:top w:val="single" w:sz="4" w:space="0" w:color="auto"/>
              <w:bottom w:val="single" w:sz="4" w:space="0" w:color="auto"/>
            </w:tcBorders>
            <w:shd w:val="clear" w:color="auto" w:fill="auto"/>
          </w:tcPr>
          <w:p w14:paraId="28939C90" w14:textId="77777777" w:rsidR="00FA7166" w:rsidRPr="00015EE8" w:rsidRDefault="00FA7166" w:rsidP="00F77D87">
            <w:pPr>
              <w:jc w:val="center"/>
              <w:rPr>
                <w:rFonts w:ascii="Arial" w:hAnsi="Arial" w:cs="Arial"/>
                <w:color w:val="000000"/>
                <w:sz w:val="22"/>
                <w:szCs w:val="22"/>
                <w:lang w:val="en-US"/>
              </w:rPr>
            </w:pPr>
            <w:proofErr w:type="spellStart"/>
            <w:r w:rsidRPr="00015EE8">
              <w:rPr>
                <w:rFonts w:ascii="Arial" w:hAnsi="Arial" w:cs="Arial"/>
                <w:color w:val="000000"/>
                <w:sz w:val="22"/>
                <w:szCs w:val="22"/>
              </w:rPr>
              <w:t>Greece</w:t>
            </w:r>
            <w:proofErr w:type="spellEnd"/>
          </w:p>
        </w:tc>
        <w:tc>
          <w:tcPr>
            <w:tcW w:w="882" w:type="pct"/>
            <w:tcBorders>
              <w:top w:val="single" w:sz="4" w:space="0" w:color="auto"/>
              <w:bottom w:val="single" w:sz="4" w:space="0" w:color="auto"/>
            </w:tcBorders>
            <w:shd w:val="clear" w:color="auto" w:fill="auto"/>
          </w:tcPr>
          <w:p w14:paraId="41EA15A8" w14:textId="77777777" w:rsidR="00FA7166" w:rsidRPr="00015EE8" w:rsidRDefault="00CB223B" w:rsidP="00F77D87">
            <w:pPr>
              <w:jc w:val="center"/>
              <w:rPr>
                <w:rFonts w:ascii="Arial" w:hAnsi="Arial" w:cs="Arial"/>
                <w:color w:val="000000"/>
                <w:sz w:val="22"/>
                <w:szCs w:val="22"/>
                <w:lang w:val="en-US"/>
              </w:rPr>
            </w:pPr>
            <w:hyperlink r:id="rId73" w:history="1">
              <w:r w:rsidR="00FA7166" w:rsidRPr="00015EE8">
                <w:rPr>
                  <w:rStyle w:val="Hyperlink"/>
                  <w:rFonts w:ascii="Arial" w:hAnsi="Arial" w:cs="Arial"/>
                  <w:sz w:val="22"/>
                  <w:szCs w:val="22"/>
                </w:rPr>
                <w:t>NGO-90287</w:t>
              </w:r>
            </w:hyperlink>
          </w:p>
        </w:tc>
      </w:tr>
      <w:tr w:rsidR="00FA7166" w:rsidRPr="00015EE8" w14:paraId="03D520BA" w14:textId="77777777" w:rsidTr="00045E93">
        <w:trPr>
          <w:trHeight w:val="164"/>
        </w:trPr>
        <w:tc>
          <w:tcPr>
            <w:tcW w:w="3015" w:type="pct"/>
            <w:tcBorders>
              <w:top w:val="single" w:sz="4" w:space="0" w:color="auto"/>
              <w:bottom w:val="single" w:sz="4" w:space="0" w:color="auto"/>
            </w:tcBorders>
            <w:shd w:val="clear" w:color="auto" w:fill="auto"/>
          </w:tcPr>
          <w:p w14:paraId="598A0F0E"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Portuguese Folklore Federation</w:t>
            </w:r>
          </w:p>
        </w:tc>
        <w:tc>
          <w:tcPr>
            <w:tcW w:w="1102" w:type="pct"/>
            <w:tcBorders>
              <w:top w:val="single" w:sz="4" w:space="0" w:color="auto"/>
              <w:bottom w:val="single" w:sz="4" w:space="0" w:color="auto"/>
            </w:tcBorders>
            <w:shd w:val="clear" w:color="auto" w:fill="auto"/>
          </w:tcPr>
          <w:p w14:paraId="20706A33"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Portugal</w:t>
            </w:r>
          </w:p>
        </w:tc>
        <w:tc>
          <w:tcPr>
            <w:tcW w:w="882" w:type="pct"/>
            <w:tcBorders>
              <w:top w:val="single" w:sz="4" w:space="0" w:color="auto"/>
              <w:bottom w:val="single" w:sz="4" w:space="0" w:color="auto"/>
            </w:tcBorders>
            <w:shd w:val="clear" w:color="auto" w:fill="auto"/>
          </w:tcPr>
          <w:p w14:paraId="13A6DF67" w14:textId="77777777" w:rsidR="00FA7166" w:rsidRPr="00015EE8" w:rsidRDefault="00CB223B" w:rsidP="00F77D87">
            <w:pPr>
              <w:jc w:val="center"/>
              <w:rPr>
                <w:rFonts w:ascii="Arial" w:hAnsi="Arial" w:cs="Arial"/>
                <w:color w:val="000000"/>
                <w:sz w:val="22"/>
                <w:szCs w:val="22"/>
                <w:lang w:val="en-US"/>
              </w:rPr>
            </w:pPr>
            <w:hyperlink r:id="rId74" w:history="1">
              <w:r w:rsidR="00FA7166" w:rsidRPr="00015EE8">
                <w:rPr>
                  <w:rStyle w:val="Hyperlink"/>
                  <w:rFonts w:ascii="Arial" w:hAnsi="Arial"/>
                  <w:sz w:val="22"/>
                  <w:szCs w:val="22"/>
                  <w:lang w:val="en-US"/>
                </w:rPr>
                <w:t>NGO-90447</w:t>
              </w:r>
            </w:hyperlink>
          </w:p>
        </w:tc>
      </w:tr>
      <w:tr w:rsidR="00FA7166" w:rsidRPr="00015EE8" w14:paraId="615D5531" w14:textId="77777777" w:rsidTr="00045E93">
        <w:trPr>
          <w:trHeight w:val="164"/>
        </w:trPr>
        <w:tc>
          <w:tcPr>
            <w:tcW w:w="3015" w:type="pct"/>
            <w:tcBorders>
              <w:top w:val="single" w:sz="4" w:space="0" w:color="auto"/>
              <w:bottom w:val="single" w:sz="4" w:space="0" w:color="auto"/>
            </w:tcBorders>
            <w:shd w:val="clear" w:color="auto" w:fill="auto"/>
          </w:tcPr>
          <w:p w14:paraId="22553CCA" w14:textId="3D74422F"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Public Fund ‘Rural Development Fund’ (RDF)</w:t>
            </w:r>
          </w:p>
        </w:tc>
        <w:tc>
          <w:tcPr>
            <w:tcW w:w="1102" w:type="pct"/>
            <w:tcBorders>
              <w:top w:val="single" w:sz="4" w:space="0" w:color="auto"/>
              <w:bottom w:val="single" w:sz="4" w:space="0" w:color="auto"/>
            </w:tcBorders>
            <w:shd w:val="clear" w:color="auto" w:fill="auto"/>
          </w:tcPr>
          <w:p w14:paraId="3B09D438"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Kyrgyzstan</w:t>
            </w:r>
          </w:p>
        </w:tc>
        <w:tc>
          <w:tcPr>
            <w:tcW w:w="882" w:type="pct"/>
            <w:tcBorders>
              <w:top w:val="single" w:sz="4" w:space="0" w:color="auto"/>
              <w:bottom w:val="single" w:sz="4" w:space="0" w:color="auto"/>
            </w:tcBorders>
            <w:shd w:val="clear" w:color="auto" w:fill="auto"/>
          </w:tcPr>
          <w:p w14:paraId="031F4316" w14:textId="77777777" w:rsidR="00FA7166" w:rsidRPr="00015EE8" w:rsidRDefault="00CB223B" w:rsidP="00F77D87">
            <w:pPr>
              <w:jc w:val="center"/>
              <w:rPr>
                <w:rFonts w:ascii="Arial" w:hAnsi="Arial" w:cs="Arial"/>
                <w:color w:val="000000"/>
                <w:sz w:val="22"/>
                <w:szCs w:val="22"/>
                <w:lang w:val="en-US"/>
              </w:rPr>
            </w:pPr>
            <w:hyperlink r:id="rId75" w:history="1">
              <w:r w:rsidR="00FA7166" w:rsidRPr="00015EE8">
                <w:rPr>
                  <w:rStyle w:val="Hyperlink"/>
                  <w:rFonts w:ascii="Arial" w:hAnsi="Arial"/>
                  <w:sz w:val="22"/>
                  <w:szCs w:val="22"/>
                  <w:lang w:val="en-US"/>
                </w:rPr>
                <w:t>NGO-90441</w:t>
              </w:r>
            </w:hyperlink>
          </w:p>
        </w:tc>
      </w:tr>
      <w:tr w:rsidR="00FA7166" w:rsidRPr="00015EE8" w14:paraId="4414DDD4" w14:textId="77777777" w:rsidTr="00045E93">
        <w:trPr>
          <w:trHeight w:val="164"/>
        </w:trPr>
        <w:tc>
          <w:tcPr>
            <w:tcW w:w="3015" w:type="pct"/>
            <w:tcBorders>
              <w:top w:val="single" w:sz="4" w:space="0" w:color="auto"/>
              <w:bottom w:val="single" w:sz="4" w:space="0" w:color="auto"/>
            </w:tcBorders>
            <w:shd w:val="clear" w:color="auto" w:fill="auto"/>
          </w:tcPr>
          <w:p w14:paraId="549A2D77" w14:textId="77777777" w:rsidR="00FA7166" w:rsidRPr="00015EE8" w:rsidRDefault="00FA7166" w:rsidP="00F77D87">
            <w:pPr>
              <w:rPr>
                <w:rFonts w:ascii="Arial" w:hAnsi="Arial" w:cs="Arial"/>
                <w:color w:val="000000"/>
                <w:sz w:val="22"/>
                <w:szCs w:val="22"/>
                <w:lang w:val="en-US"/>
              </w:rPr>
            </w:pPr>
            <w:proofErr w:type="spellStart"/>
            <w:r w:rsidRPr="00015EE8">
              <w:rPr>
                <w:rFonts w:ascii="Arial" w:hAnsi="Arial" w:cs="Arial"/>
                <w:color w:val="000000"/>
                <w:sz w:val="22"/>
                <w:szCs w:val="22"/>
                <w:lang w:val="en-US"/>
              </w:rPr>
              <w:t>Rupayan</w:t>
            </w:r>
            <w:proofErr w:type="spellEnd"/>
            <w:r w:rsidRPr="00015EE8">
              <w:rPr>
                <w:rFonts w:ascii="Arial" w:hAnsi="Arial" w:cs="Arial"/>
                <w:color w:val="000000"/>
                <w:sz w:val="22"/>
                <w:szCs w:val="22"/>
                <w:lang w:val="en-US"/>
              </w:rPr>
              <w:t xml:space="preserve"> </w:t>
            </w:r>
            <w:proofErr w:type="spellStart"/>
            <w:r w:rsidRPr="00015EE8">
              <w:rPr>
                <w:rFonts w:ascii="Arial" w:hAnsi="Arial" w:cs="Arial"/>
                <w:color w:val="000000"/>
                <w:sz w:val="22"/>
                <w:szCs w:val="22"/>
                <w:lang w:val="en-US"/>
              </w:rPr>
              <w:t>Sansthan</w:t>
            </w:r>
            <w:proofErr w:type="spellEnd"/>
            <w:r w:rsidRPr="00015EE8">
              <w:rPr>
                <w:rFonts w:ascii="Arial" w:hAnsi="Arial" w:cs="Arial"/>
                <w:color w:val="000000"/>
                <w:sz w:val="22"/>
                <w:szCs w:val="22"/>
                <w:lang w:val="en-US"/>
              </w:rPr>
              <w:t xml:space="preserve"> (Rajasthan Institute of Folklore)</w:t>
            </w:r>
          </w:p>
        </w:tc>
        <w:tc>
          <w:tcPr>
            <w:tcW w:w="1102" w:type="pct"/>
            <w:tcBorders>
              <w:top w:val="single" w:sz="4" w:space="0" w:color="auto"/>
              <w:bottom w:val="single" w:sz="4" w:space="0" w:color="auto"/>
            </w:tcBorders>
            <w:shd w:val="clear" w:color="auto" w:fill="auto"/>
          </w:tcPr>
          <w:p w14:paraId="39CF17F4"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India</w:t>
            </w:r>
          </w:p>
        </w:tc>
        <w:tc>
          <w:tcPr>
            <w:tcW w:w="882" w:type="pct"/>
            <w:tcBorders>
              <w:top w:val="single" w:sz="4" w:space="0" w:color="auto"/>
              <w:bottom w:val="single" w:sz="4" w:space="0" w:color="auto"/>
            </w:tcBorders>
            <w:shd w:val="clear" w:color="auto" w:fill="auto"/>
          </w:tcPr>
          <w:p w14:paraId="58D6D0CB" w14:textId="77777777" w:rsidR="00FA7166" w:rsidRPr="00015EE8" w:rsidRDefault="00CB223B" w:rsidP="00F77D87">
            <w:pPr>
              <w:jc w:val="center"/>
              <w:rPr>
                <w:rFonts w:ascii="Arial" w:hAnsi="Arial" w:cs="Arial"/>
                <w:color w:val="000000"/>
                <w:sz w:val="22"/>
                <w:szCs w:val="22"/>
                <w:lang w:val="en-US"/>
              </w:rPr>
            </w:pPr>
            <w:hyperlink r:id="rId76" w:history="1">
              <w:r w:rsidR="00FA7166" w:rsidRPr="00015EE8">
                <w:rPr>
                  <w:rStyle w:val="Hyperlink"/>
                  <w:rFonts w:ascii="Arial" w:hAnsi="Arial"/>
                  <w:sz w:val="22"/>
                  <w:szCs w:val="22"/>
                  <w:lang w:val="en-US"/>
                </w:rPr>
                <w:t>NGO-90459</w:t>
              </w:r>
            </w:hyperlink>
          </w:p>
        </w:tc>
      </w:tr>
      <w:tr w:rsidR="00FA7166" w:rsidRPr="00015EE8" w14:paraId="7E25729E" w14:textId="77777777" w:rsidTr="00045E93">
        <w:trPr>
          <w:trHeight w:val="164"/>
        </w:trPr>
        <w:tc>
          <w:tcPr>
            <w:tcW w:w="3015" w:type="pct"/>
            <w:tcBorders>
              <w:top w:val="single" w:sz="4" w:space="0" w:color="auto"/>
              <w:bottom w:val="single" w:sz="4" w:space="0" w:color="auto"/>
            </w:tcBorders>
            <w:shd w:val="clear" w:color="auto" w:fill="auto"/>
          </w:tcPr>
          <w:p w14:paraId="6F8EDEF0"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Saudi Heritage Preservation Society (SHPS)</w:t>
            </w:r>
          </w:p>
        </w:tc>
        <w:tc>
          <w:tcPr>
            <w:tcW w:w="1102" w:type="pct"/>
            <w:tcBorders>
              <w:top w:val="single" w:sz="4" w:space="0" w:color="auto"/>
              <w:bottom w:val="single" w:sz="4" w:space="0" w:color="auto"/>
            </w:tcBorders>
            <w:shd w:val="clear" w:color="auto" w:fill="auto"/>
          </w:tcPr>
          <w:p w14:paraId="570B7D9E"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Saudi Arabia</w:t>
            </w:r>
          </w:p>
        </w:tc>
        <w:tc>
          <w:tcPr>
            <w:tcW w:w="882" w:type="pct"/>
            <w:tcBorders>
              <w:top w:val="single" w:sz="4" w:space="0" w:color="auto"/>
              <w:bottom w:val="single" w:sz="4" w:space="0" w:color="auto"/>
            </w:tcBorders>
            <w:shd w:val="clear" w:color="auto" w:fill="auto"/>
          </w:tcPr>
          <w:p w14:paraId="6EDF0DE8" w14:textId="77777777" w:rsidR="00FA7166" w:rsidRPr="00015EE8" w:rsidRDefault="00CB223B" w:rsidP="00F77D87">
            <w:pPr>
              <w:jc w:val="center"/>
              <w:rPr>
                <w:rFonts w:ascii="Arial" w:hAnsi="Arial" w:cs="Arial"/>
                <w:color w:val="000000"/>
                <w:sz w:val="22"/>
                <w:szCs w:val="22"/>
                <w:lang w:val="en-US"/>
              </w:rPr>
            </w:pPr>
            <w:hyperlink r:id="rId77" w:history="1">
              <w:r w:rsidR="00FA7166" w:rsidRPr="00015EE8">
                <w:rPr>
                  <w:rStyle w:val="Hyperlink"/>
                  <w:rFonts w:ascii="Arial" w:hAnsi="Arial"/>
                  <w:sz w:val="22"/>
                  <w:szCs w:val="22"/>
                  <w:lang w:val="en-US"/>
                </w:rPr>
                <w:t>NGO-90473</w:t>
              </w:r>
            </w:hyperlink>
          </w:p>
        </w:tc>
      </w:tr>
      <w:tr w:rsidR="00FA7166" w:rsidRPr="00015EE8" w14:paraId="73B49298" w14:textId="77777777" w:rsidTr="00045E93">
        <w:trPr>
          <w:trHeight w:val="164"/>
        </w:trPr>
        <w:tc>
          <w:tcPr>
            <w:tcW w:w="3015" w:type="pct"/>
            <w:tcBorders>
              <w:top w:val="single" w:sz="4" w:space="0" w:color="auto"/>
              <w:bottom w:val="single" w:sz="4" w:space="0" w:color="auto"/>
            </w:tcBorders>
            <w:shd w:val="clear" w:color="auto" w:fill="auto"/>
          </w:tcPr>
          <w:p w14:paraId="7DAB029E" w14:textId="77777777" w:rsidR="00FA7166" w:rsidRPr="00015EE8" w:rsidRDefault="00FA7166" w:rsidP="00F77D87">
            <w:pPr>
              <w:rPr>
                <w:rFonts w:ascii="Arial" w:hAnsi="Arial" w:cs="Arial"/>
                <w:color w:val="000000"/>
                <w:sz w:val="22"/>
                <w:szCs w:val="22"/>
                <w:lang w:val="en-US"/>
              </w:rPr>
            </w:pPr>
            <w:proofErr w:type="spellStart"/>
            <w:r w:rsidRPr="00015EE8">
              <w:rPr>
                <w:rFonts w:ascii="Arial" w:hAnsi="Arial" w:cs="Arial"/>
                <w:color w:val="000000"/>
                <w:sz w:val="22"/>
                <w:szCs w:val="22"/>
                <w:lang w:val="en-US"/>
              </w:rPr>
              <w:t>Sadhona</w:t>
            </w:r>
            <w:proofErr w:type="spellEnd"/>
            <w:r w:rsidRPr="00015EE8">
              <w:rPr>
                <w:rFonts w:ascii="Arial" w:hAnsi="Arial" w:cs="Arial"/>
                <w:color w:val="000000"/>
                <w:sz w:val="22"/>
                <w:szCs w:val="22"/>
                <w:lang w:val="en-US"/>
              </w:rPr>
              <w:t xml:space="preserve"> – Center for Advancement of </w:t>
            </w:r>
            <w:proofErr w:type="spellStart"/>
            <w:r w:rsidRPr="00015EE8">
              <w:rPr>
                <w:rFonts w:ascii="Arial" w:hAnsi="Arial" w:cs="Arial"/>
                <w:color w:val="000000"/>
                <w:sz w:val="22"/>
                <w:szCs w:val="22"/>
                <w:lang w:val="en-US"/>
              </w:rPr>
              <w:t>Southasian</w:t>
            </w:r>
            <w:proofErr w:type="spellEnd"/>
            <w:r w:rsidRPr="00015EE8">
              <w:rPr>
                <w:rFonts w:ascii="Arial" w:hAnsi="Arial" w:cs="Arial"/>
                <w:color w:val="000000"/>
                <w:sz w:val="22"/>
                <w:szCs w:val="22"/>
                <w:lang w:val="en-US"/>
              </w:rPr>
              <w:t xml:space="preserve"> Culture</w:t>
            </w:r>
          </w:p>
        </w:tc>
        <w:tc>
          <w:tcPr>
            <w:tcW w:w="1102" w:type="pct"/>
            <w:tcBorders>
              <w:top w:val="single" w:sz="4" w:space="0" w:color="auto"/>
              <w:bottom w:val="single" w:sz="4" w:space="0" w:color="auto"/>
            </w:tcBorders>
            <w:shd w:val="clear" w:color="auto" w:fill="auto"/>
          </w:tcPr>
          <w:p w14:paraId="249064E8"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Bangladesh</w:t>
            </w:r>
          </w:p>
        </w:tc>
        <w:tc>
          <w:tcPr>
            <w:tcW w:w="882" w:type="pct"/>
            <w:tcBorders>
              <w:top w:val="single" w:sz="4" w:space="0" w:color="auto"/>
              <w:bottom w:val="single" w:sz="4" w:space="0" w:color="auto"/>
            </w:tcBorders>
            <w:shd w:val="clear" w:color="auto" w:fill="auto"/>
          </w:tcPr>
          <w:p w14:paraId="527BD559" w14:textId="77777777" w:rsidR="00FA7166" w:rsidRPr="00015EE8" w:rsidRDefault="00CB223B" w:rsidP="00F77D87">
            <w:pPr>
              <w:jc w:val="center"/>
              <w:rPr>
                <w:rFonts w:ascii="Arial" w:hAnsi="Arial" w:cs="Arial"/>
                <w:color w:val="000000"/>
                <w:sz w:val="22"/>
                <w:szCs w:val="22"/>
                <w:lang w:val="en-US"/>
              </w:rPr>
            </w:pPr>
            <w:hyperlink r:id="rId78" w:history="1">
              <w:r w:rsidR="00FA7166" w:rsidRPr="00015EE8">
                <w:rPr>
                  <w:rStyle w:val="Hyperlink"/>
                  <w:rFonts w:ascii="Arial" w:hAnsi="Arial"/>
                  <w:sz w:val="22"/>
                  <w:szCs w:val="22"/>
                  <w:lang w:val="en-US"/>
                </w:rPr>
                <w:t>NGO-90420</w:t>
              </w:r>
            </w:hyperlink>
          </w:p>
        </w:tc>
      </w:tr>
      <w:tr w:rsidR="00FA7166" w:rsidRPr="00015EE8" w14:paraId="04E0CD65" w14:textId="77777777" w:rsidTr="00045E93">
        <w:trPr>
          <w:trHeight w:val="164"/>
        </w:trPr>
        <w:tc>
          <w:tcPr>
            <w:tcW w:w="3015" w:type="pct"/>
            <w:tcBorders>
              <w:top w:val="single" w:sz="4" w:space="0" w:color="auto"/>
              <w:bottom w:val="single" w:sz="4" w:space="0" w:color="auto"/>
            </w:tcBorders>
            <w:shd w:val="clear" w:color="auto" w:fill="auto"/>
          </w:tcPr>
          <w:p w14:paraId="7168B432"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The Association for Cultural Equity</w:t>
            </w:r>
          </w:p>
        </w:tc>
        <w:tc>
          <w:tcPr>
            <w:tcW w:w="1102" w:type="pct"/>
            <w:tcBorders>
              <w:top w:val="single" w:sz="4" w:space="0" w:color="auto"/>
              <w:bottom w:val="single" w:sz="4" w:space="0" w:color="auto"/>
            </w:tcBorders>
            <w:shd w:val="clear" w:color="auto" w:fill="auto"/>
          </w:tcPr>
          <w:p w14:paraId="58D5E06B"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United States of America</w:t>
            </w:r>
          </w:p>
        </w:tc>
        <w:tc>
          <w:tcPr>
            <w:tcW w:w="882" w:type="pct"/>
            <w:tcBorders>
              <w:top w:val="single" w:sz="4" w:space="0" w:color="auto"/>
              <w:bottom w:val="single" w:sz="4" w:space="0" w:color="auto"/>
            </w:tcBorders>
            <w:shd w:val="clear" w:color="auto" w:fill="auto"/>
          </w:tcPr>
          <w:p w14:paraId="200F4543" w14:textId="77777777" w:rsidR="00FA7166" w:rsidRPr="00015EE8" w:rsidRDefault="00CB223B" w:rsidP="00F77D87">
            <w:pPr>
              <w:jc w:val="center"/>
              <w:rPr>
                <w:rFonts w:ascii="Arial" w:hAnsi="Arial" w:cs="Arial"/>
                <w:color w:val="000000"/>
                <w:sz w:val="22"/>
                <w:szCs w:val="22"/>
                <w:lang w:val="en-US"/>
              </w:rPr>
            </w:pPr>
            <w:hyperlink r:id="rId79" w:history="1">
              <w:r w:rsidR="00FA7166" w:rsidRPr="00015EE8">
                <w:rPr>
                  <w:rStyle w:val="Hyperlink"/>
                  <w:rFonts w:ascii="Arial" w:hAnsi="Arial"/>
                  <w:sz w:val="22"/>
                  <w:szCs w:val="22"/>
                  <w:lang w:val="en-US"/>
                </w:rPr>
                <w:t>NGO-90455</w:t>
              </w:r>
            </w:hyperlink>
          </w:p>
        </w:tc>
      </w:tr>
      <w:tr w:rsidR="00FA7166" w:rsidRPr="00015EE8" w14:paraId="6BC34250" w14:textId="77777777" w:rsidTr="00045E93">
        <w:trPr>
          <w:trHeight w:val="164"/>
        </w:trPr>
        <w:tc>
          <w:tcPr>
            <w:tcW w:w="3015" w:type="pct"/>
            <w:tcBorders>
              <w:top w:val="single" w:sz="4" w:space="0" w:color="auto"/>
              <w:bottom w:val="single" w:sz="4" w:space="0" w:color="auto"/>
            </w:tcBorders>
            <w:shd w:val="clear" w:color="auto" w:fill="auto"/>
          </w:tcPr>
          <w:p w14:paraId="3F345C0E"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The Eel Coast Cultural Heritage NGO</w:t>
            </w:r>
          </w:p>
        </w:tc>
        <w:tc>
          <w:tcPr>
            <w:tcW w:w="1102" w:type="pct"/>
            <w:tcBorders>
              <w:top w:val="single" w:sz="4" w:space="0" w:color="auto"/>
              <w:bottom w:val="single" w:sz="4" w:space="0" w:color="auto"/>
            </w:tcBorders>
            <w:shd w:val="clear" w:color="auto" w:fill="auto"/>
          </w:tcPr>
          <w:p w14:paraId="56BC600C"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Sweden</w:t>
            </w:r>
          </w:p>
        </w:tc>
        <w:tc>
          <w:tcPr>
            <w:tcW w:w="882" w:type="pct"/>
            <w:tcBorders>
              <w:top w:val="single" w:sz="4" w:space="0" w:color="auto"/>
              <w:bottom w:val="single" w:sz="4" w:space="0" w:color="auto"/>
            </w:tcBorders>
            <w:shd w:val="clear" w:color="auto" w:fill="auto"/>
          </w:tcPr>
          <w:p w14:paraId="13BD99D5" w14:textId="77777777" w:rsidR="00FA7166" w:rsidRPr="00015EE8" w:rsidRDefault="00CB223B" w:rsidP="00F77D87">
            <w:pPr>
              <w:jc w:val="center"/>
              <w:rPr>
                <w:rFonts w:ascii="Arial" w:hAnsi="Arial" w:cs="Arial"/>
                <w:color w:val="000000"/>
                <w:sz w:val="22"/>
                <w:szCs w:val="22"/>
                <w:lang w:val="en-US"/>
              </w:rPr>
            </w:pPr>
            <w:hyperlink r:id="rId80" w:history="1">
              <w:r w:rsidR="00FA7166" w:rsidRPr="00015EE8">
                <w:rPr>
                  <w:rStyle w:val="Hyperlink"/>
                  <w:rFonts w:ascii="Arial" w:hAnsi="Arial"/>
                  <w:sz w:val="22"/>
                  <w:szCs w:val="22"/>
                  <w:lang w:val="en-US"/>
                </w:rPr>
                <w:t>NGO-90428</w:t>
              </w:r>
            </w:hyperlink>
          </w:p>
        </w:tc>
      </w:tr>
      <w:tr w:rsidR="00FA7166" w:rsidRPr="00015EE8" w14:paraId="02F7899A" w14:textId="77777777" w:rsidTr="00045E93">
        <w:trPr>
          <w:trHeight w:val="164"/>
        </w:trPr>
        <w:tc>
          <w:tcPr>
            <w:tcW w:w="3015" w:type="pct"/>
            <w:tcBorders>
              <w:top w:val="single" w:sz="4" w:space="0" w:color="auto"/>
              <w:bottom w:val="single" w:sz="4" w:space="0" w:color="auto"/>
            </w:tcBorders>
            <w:shd w:val="clear" w:color="auto" w:fill="auto"/>
          </w:tcPr>
          <w:p w14:paraId="3CD3F145" w14:textId="77777777" w:rsidR="00FA7166" w:rsidRPr="00015EE8" w:rsidRDefault="00FA7166" w:rsidP="00F77D87">
            <w:pPr>
              <w:rPr>
                <w:rFonts w:ascii="Arial" w:hAnsi="Arial" w:cs="Arial"/>
                <w:color w:val="000000"/>
                <w:sz w:val="22"/>
                <w:szCs w:val="22"/>
                <w:lang w:val="en-US"/>
              </w:rPr>
            </w:pPr>
            <w:proofErr w:type="spellStart"/>
            <w:r w:rsidRPr="00015EE8">
              <w:rPr>
                <w:rFonts w:ascii="Arial" w:hAnsi="Arial" w:cs="Arial"/>
                <w:color w:val="000000"/>
                <w:sz w:val="22"/>
                <w:szCs w:val="22"/>
                <w:lang w:val="en-US"/>
              </w:rPr>
              <w:t>Uly</w:t>
            </w:r>
            <w:proofErr w:type="spellEnd"/>
            <w:r w:rsidRPr="00015EE8">
              <w:rPr>
                <w:rFonts w:ascii="Arial" w:hAnsi="Arial" w:cs="Arial"/>
                <w:color w:val="000000"/>
                <w:sz w:val="22"/>
                <w:szCs w:val="22"/>
                <w:lang w:val="en-US"/>
              </w:rPr>
              <w:t xml:space="preserve"> </w:t>
            </w:r>
            <w:proofErr w:type="spellStart"/>
            <w:r w:rsidRPr="00015EE8">
              <w:rPr>
                <w:rFonts w:ascii="Arial" w:hAnsi="Arial" w:cs="Arial"/>
                <w:color w:val="000000"/>
                <w:sz w:val="22"/>
                <w:szCs w:val="22"/>
                <w:lang w:val="en-US"/>
              </w:rPr>
              <w:t>Taghzym</w:t>
            </w:r>
            <w:proofErr w:type="spellEnd"/>
            <w:r w:rsidRPr="00015EE8">
              <w:rPr>
                <w:rFonts w:ascii="Arial" w:hAnsi="Arial" w:cs="Arial"/>
                <w:color w:val="000000"/>
                <w:sz w:val="22"/>
                <w:szCs w:val="22"/>
                <w:lang w:val="en-US"/>
              </w:rPr>
              <w:t xml:space="preserve"> Public Fund</w:t>
            </w:r>
          </w:p>
        </w:tc>
        <w:tc>
          <w:tcPr>
            <w:tcW w:w="1102" w:type="pct"/>
            <w:tcBorders>
              <w:top w:val="single" w:sz="4" w:space="0" w:color="auto"/>
              <w:bottom w:val="single" w:sz="4" w:space="0" w:color="auto"/>
            </w:tcBorders>
            <w:shd w:val="clear" w:color="auto" w:fill="auto"/>
          </w:tcPr>
          <w:p w14:paraId="29DBC7CC"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Kazakhstan</w:t>
            </w:r>
          </w:p>
        </w:tc>
        <w:tc>
          <w:tcPr>
            <w:tcW w:w="882" w:type="pct"/>
            <w:tcBorders>
              <w:top w:val="single" w:sz="4" w:space="0" w:color="auto"/>
              <w:bottom w:val="single" w:sz="4" w:space="0" w:color="auto"/>
            </w:tcBorders>
            <w:shd w:val="clear" w:color="auto" w:fill="auto"/>
          </w:tcPr>
          <w:p w14:paraId="6F8CADE1" w14:textId="77777777" w:rsidR="00FA7166" w:rsidRPr="00015EE8" w:rsidRDefault="00CB223B" w:rsidP="00F77D87">
            <w:pPr>
              <w:jc w:val="center"/>
              <w:rPr>
                <w:rFonts w:ascii="Arial" w:hAnsi="Arial" w:cs="Arial"/>
                <w:color w:val="000000"/>
                <w:sz w:val="22"/>
                <w:szCs w:val="22"/>
                <w:lang w:val="en-US"/>
              </w:rPr>
            </w:pPr>
            <w:hyperlink r:id="rId81" w:history="1">
              <w:r w:rsidR="00FA7166" w:rsidRPr="00015EE8">
                <w:rPr>
                  <w:rStyle w:val="Hyperlink"/>
                  <w:rFonts w:ascii="Arial" w:hAnsi="Arial"/>
                  <w:sz w:val="22"/>
                  <w:szCs w:val="22"/>
                  <w:lang w:val="en-US"/>
                </w:rPr>
                <w:t>NGO-90434</w:t>
              </w:r>
            </w:hyperlink>
          </w:p>
        </w:tc>
      </w:tr>
      <w:tr w:rsidR="00FA7166" w:rsidRPr="00015EE8" w14:paraId="5391D0A9" w14:textId="77777777" w:rsidTr="00045E93">
        <w:trPr>
          <w:trHeight w:val="164"/>
        </w:trPr>
        <w:tc>
          <w:tcPr>
            <w:tcW w:w="3015" w:type="pct"/>
            <w:tcBorders>
              <w:top w:val="single" w:sz="4" w:space="0" w:color="auto"/>
              <w:bottom w:val="single" w:sz="4" w:space="0" w:color="auto"/>
            </w:tcBorders>
            <w:shd w:val="clear" w:color="auto" w:fill="auto"/>
          </w:tcPr>
          <w:p w14:paraId="6D668BF8"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World Crafts Council AISBL</w:t>
            </w:r>
          </w:p>
        </w:tc>
        <w:tc>
          <w:tcPr>
            <w:tcW w:w="1102" w:type="pct"/>
            <w:tcBorders>
              <w:top w:val="single" w:sz="4" w:space="0" w:color="auto"/>
              <w:bottom w:val="single" w:sz="4" w:space="0" w:color="auto"/>
            </w:tcBorders>
            <w:shd w:val="clear" w:color="auto" w:fill="auto"/>
          </w:tcPr>
          <w:p w14:paraId="12149DB0"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United Kingdom of Great Britain and Northern Ireland</w:t>
            </w:r>
          </w:p>
        </w:tc>
        <w:tc>
          <w:tcPr>
            <w:tcW w:w="882" w:type="pct"/>
            <w:tcBorders>
              <w:top w:val="single" w:sz="4" w:space="0" w:color="auto"/>
              <w:bottom w:val="single" w:sz="4" w:space="0" w:color="auto"/>
            </w:tcBorders>
            <w:shd w:val="clear" w:color="auto" w:fill="auto"/>
          </w:tcPr>
          <w:p w14:paraId="3BF22568" w14:textId="77777777" w:rsidR="00FA7166" w:rsidRPr="00015EE8" w:rsidRDefault="00CB223B" w:rsidP="00F77D87">
            <w:pPr>
              <w:jc w:val="center"/>
              <w:rPr>
                <w:rFonts w:ascii="Arial" w:hAnsi="Arial" w:cs="Arial"/>
                <w:color w:val="000000"/>
                <w:sz w:val="22"/>
                <w:szCs w:val="22"/>
                <w:lang w:val="en-US"/>
              </w:rPr>
            </w:pPr>
            <w:hyperlink r:id="rId82" w:history="1">
              <w:r w:rsidR="00FA7166" w:rsidRPr="00015EE8">
                <w:rPr>
                  <w:rStyle w:val="Hyperlink"/>
                  <w:rFonts w:ascii="Arial" w:hAnsi="Arial"/>
                  <w:sz w:val="22"/>
                  <w:szCs w:val="22"/>
                  <w:lang w:val="en-US"/>
                </w:rPr>
                <w:t>NGO-90435</w:t>
              </w:r>
            </w:hyperlink>
          </w:p>
        </w:tc>
      </w:tr>
      <w:tr w:rsidR="00FA7166" w:rsidRPr="00015EE8" w14:paraId="535977E9" w14:textId="77777777" w:rsidTr="00045E93">
        <w:trPr>
          <w:trHeight w:val="164"/>
        </w:trPr>
        <w:tc>
          <w:tcPr>
            <w:tcW w:w="3015" w:type="pct"/>
            <w:tcBorders>
              <w:top w:val="single" w:sz="4" w:space="0" w:color="auto"/>
              <w:bottom w:val="single" w:sz="4" w:space="0" w:color="auto"/>
            </w:tcBorders>
            <w:shd w:val="clear" w:color="auto" w:fill="auto"/>
          </w:tcPr>
          <w:p w14:paraId="1BFEC0FC" w14:textId="77777777" w:rsidR="00FA7166" w:rsidRPr="00015EE8" w:rsidRDefault="00FA7166" w:rsidP="00F77D87">
            <w:pPr>
              <w:rPr>
                <w:rFonts w:ascii="Arial" w:hAnsi="Arial" w:cs="Arial"/>
                <w:color w:val="000000"/>
                <w:sz w:val="22"/>
                <w:szCs w:val="22"/>
                <w:lang w:val="en-US"/>
              </w:rPr>
            </w:pPr>
            <w:r w:rsidRPr="00015EE8">
              <w:rPr>
                <w:rFonts w:ascii="Arial" w:hAnsi="Arial" w:cs="Arial"/>
                <w:color w:val="000000"/>
                <w:sz w:val="22"/>
                <w:szCs w:val="22"/>
                <w:lang w:val="en-US"/>
              </w:rPr>
              <w:t xml:space="preserve">World </w:t>
            </w:r>
            <w:proofErr w:type="spellStart"/>
            <w:r w:rsidRPr="00015EE8">
              <w:rPr>
                <w:rFonts w:ascii="Arial" w:hAnsi="Arial" w:cs="Arial"/>
                <w:color w:val="000000"/>
                <w:sz w:val="22"/>
                <w:szCs w:val="22"/>
                <w:lang w:val="en-US"/>
              </w:rPr>
              <w:t>Ethnosport</w:t>
            </w:r>
            <w:proofErr w:type="spellEnd"/>
            <w:r w:rsidRPr="00015EE8">
              <w:rPr>
                <w:rFonts w:ascii="Arial" w:hAnsi="Arial" w:cs="Arial"/>
                <w:color w:val="000000"/>
                <w:sz w:val="22"/>
                <w:szCs w:val="22"/>
                <w:lang w:val="en-US"/>
              </w:rPr>
              <w:t xml:space="preserve"> Society</w:t>
            </w:r>
          </w:p>
        </w:tc>
        <w:tc>
          <w:tcPr>
            <w:tcW w:w="1102" w:type="pct"/>
            <w:tcBorders>
              <w:top w:val="single" w:sz="4" w:space="0" w:color="auto"/>
              <w:bottom w:val="single" w:sz="4" w:space="0" w:color="auto"/>
            </w:tcBorders>
            <w:shd w:val="clear" w:color="auto" w:fill="auto"/>
          </w:tcPr>
          <w:p w14:paraId="173E3201" w14:textId="77777777" w:rsidR="00FA7166" w:rsidRPr="00015EE8" w:rsidRDefault="00FA7166" w:rsidP="00F77D87">
            <w:pPr>
              <w:jc w:val="center"/>
              <w:rPr>
                <w:rFonts w:ascii="Arial" w:hAnsi="Arial" w:cs="Arial"/>
                <w:color w:val="000000"/>
                <w:sz w:val="22"/>
                <w:szCs w:val="22"/>
                <w:lang w:val="en-US"/>
              </w:rPr>
            </w:pPr>
            <w:r w:rsidRPr="00015EE8">
              <w:rPr>
                <w:rFonts w:ascii="Arial" w:hAnsi="Arial" w:cs="Arial"/>
                <w:color w:val="000000"/>
                <w:sz w:val="22"/>
                <w:szCs w:val="22"/>
                <w:lang w:val="en-US"/>
              </w:rPr>
              <w:t>Latvia</w:t>
            </w:r>
          </w:p>
        </w:tc>
        <w:tc>
          <w:tcPr>
            <w:tcW w:w="882" w:type="pct"/>
            <w:tcBorders>
              <w:top w:val="single" w:sz="4" w:space="0" w:color="auto"/>
              <w:bottom w:val="single" w:sz="4" w:space="0" w:color="auto"/>
            </w:tcBorders>
            <w:shd w:val="clear" w:color="auto" w:fill="auto"/>
          </w:tcPr>
          <w:p w14:paraId="48111B84" w14:textId="77777777" w:rsidR="00FA7166" w:rsidRPr="00015EE8" w:rsidRDefault="00CB223B" w:rsidP="00F77D87">
            <w:pPr>
              <w:jc w:val="center"/>
              <w:rPr>
                <w:rFonts w:ascii="Arial" w:hAnsi="Arial" w:cs="Arial"/>
                <w:color w:val="000000"/>
                <w:sz w:val="22"/>
                <w:szCs w:val="22"/>
                <w:lang w:val="en-US"/>
              </w:rPr>
            </w:pPr>
            <w:hyperlink r:id="rId83" w:history="1">
              <w:r w:rsidR="00FA7166" w:rsidRPr="00015EE8">
                <w:rPr>
                  <w:rStyle w:val="Hyperlink"/>
                  <w:rFonts w:ascii="Arial" w:hAnsi="Arial"/>
                  <w:sz w:val="22"/>
                  <w:szCs w:val="22"/>
                  <w:lang w:val="en-US"/>
                </w:rPr>
                <w:t>NGO-90478</w:t>
              </w:r>
            </w:hyperlink>
          </w:p>
        </w:tc>
      </w:tr>
    </w:tbl>
    <w:p w14:paraId="59EA46DF" w14:textId="77777777" w:rsidR="00D577BE" w:rsidRPr="00015EE8" w:rsidRDefault="00D577BE" w:rsidP="00D577BE">
      <w:pPr>
        <w:pStyle w:val="GATitleResolution"/>
      </w:pPr>
      <w:r w:rsidRPr="00015EE8">
        <w:t>RESOLUTION 8.GA 14</w:t>
      </w:r>
    </w:p>
    <w:p w14:paraId="0BADCAD5" w14:textId="77777777" w:rsidR="00D577BE" w:rsidRPr="00015EE8" w:rsidRDefault="00D577BE" w:rsidP="00D577BE">
      <w:pPr>
        <w:pStyle w:val="GAPreambulaResolution"/>
        <w:ind w:left="0"/>
        <w:rPr>
          <w:rFonts w:eastAsia="SimSun"/>
        </w:rPr>
      </w:pPr>
      <w:r w:rsidRPr="00015EE8">
        <w:t>The General Assembly,</w:t>
      </w:r>
    </w:p>
    <w:p w14:paraId="254AFD7C" w14:textId="77777777" w:rsidR="00D577BE" w:rsidRPr="00015EE8" w:rsidRDefault="00D577BE" w:rsidP="00BB6BEB">
      <w:pPr>
        <w:pStyle w:val="GAParaResolution"/>
        <w:numPr>
          <w:ilvl w:val="0"/>
          <w:numId w:val="27"/>
        </w:numPr>
        <w:ind w:left="567" w:hanging="567"/>
      </w:pPr>
      <w:r w:rsidRPr="00015EE8">
        <w:t>Having examined</w:t>
      </w:r>
      <w:r w:rsidRPr="00015EE8">
        <w:rPr>
          <w:u w:val="none"/>
        </w:rPr>
        <w:t xml:space="preserve"> document </w:t>
      </w:r>
      <w:hyperlink r:id="rId84" w:history="1">
        <w:r w:rsidRPr="00015EE8">
          <w:rPr>
            <w:rStyle w:val="Hyperlink"/>
          </w:rPr>
          <w:t>LHE/20/8.GA/14</w:t>
        </w:r>
      </w:hyperlink>
      <w:r w:rsidRPr="00015EE8">
        <w:rPr>
          <w:u w:val="none"/>
        </w:rPr>
        <w:t>,</w:t>
      </w:r>
    </w:p>
    <w:p w14:paraId="48EB490D" w14:textId="77777777" w:rsidR="00D577BE" w:rsidRPr="00015EE8" w:rsidRDefault="00D577BE" w:rsidP="00BB6BEB">
      <w:pPr>
        <w:pStyle w:val="COMParaDecision"/>
        <w:numPr>
          <w:ilvl w:val="0"/>
          <w:numId w:val="5"/>
        </w:numPr>
        <w:ind w:left="567" w:hanging="567"/>
        <w:rPr>
          <w:u w:val="none"/>
        </w:rPr>
      </w:pPr>
      <w:r w:rsidRPr="00015EE8">
        <w:t>Recalling</w:t>
      </w:r>
      <w:r w:rsidRPr="00015EE8">
        <w:rPr>
          <w:u w:val="none"/>
        </w:rPr>
        <w:t xml:space="preserve"> Articles 5, 6 and 26.5 of the Convention and Rules 13, 14 and 15 of its Rules of Procedure,</w:t>
      </w:r>
    </w:p>
    <w:p w14:paraId="055E4ABF" w14:textId="77777777" w:rsidR="00D577BE" w:rsidRPr="00015EE8" w:rsidRDefault="00D577BE" w:rsidP="00BB6BEB">
      <w:pPr>
        <w:pStyle w:val="COMParaDecision"/>
        <w:numPr>
          <w:ilvl w:val="0"/>
          <w:numId w:val="5"/>
        </w:numPr>
        <w:ind w:left="567" w:hanging="567"/>
      </w:pPr>
      <w:r w:rsidRPr="00015EE8">
        <w:t>Further recalling</w:t>
      </w:r>
      <w:r w:rsidRPr="00015EE8">
        <w:rPr>
          <w:u w:val="none"/>
        </w:rPr>
        <w:t xml:space="preserve"> </w:t>
      </w:r>
      <w:hyperlink r:id="rId85" w:history="1">
        <w:r w:rsidRPr="00015EE8">
          <w:rPr>
            <w:rStyle w:val="Hyperlink"/>
          </w:rPr>
          <w:t>Resolution 8.GA 4</w:t>
        </w:r>
      </w:hyperlink>
      <w:r w:rsidRPr="00015EE8">
        <w:rPr>
          <w:u w:val="none"/>
        </w:rPr>
        <w:t>,</w:t>
      </w:r>
    </w:p>
    <w:p w14:paraId="0D663EC2" w14:textId="77777777" w:rsidR="00D577BE" w:rsidRPr="00015EE8" w:rsidRDefault="00D577BE" w:rsidP="00BB6BEB">
      <w:pPr>
        <w:pStyle w:val="COMParaDecision"/>
        <w:numPr>
          <w:ilvl w:val="0"/>
          <w:numId w:val="5"/>
        </w:numPr>
        <w:ind w:left="567" w:hanging="567"/>
      </w:pPr>
      <w:r w:rsidRPr="00015EE8">
        <w:t>Elects</w:t>
      </w:r>
      <w:r w:rsidRPr="00015EE8">
        <w:rPr>
          <w:u w:val="none"/>
        </w:rPr>
        <w:t xml:space="preserve"> the following twelve States Parties to the Intergovernmental Committee for the Safeguarding of the Intangible Cultural Heritage for a term of four years from the date of election:</w:t>
      </w:r>
    </w:p>
    <w:p w14:paraId="268242E3" w14:textId="77777777" w:rsidR="00D577BE" w:rsidRPr="00015EE8" w:rsidRDefault="00D577BE" w:rsidP="00F24669">
      <w:pPr>
        <w:pStyle w:val="GAParaResolution"/>
        <w:numPr>
          <w:ilvl w:val="0"/>
          <w:numId w:val="0"/>
        </w:numPr>
        <w:ind w:left="567"/>
        <w:rPr>
          <w:u w:val="none"/>
        </w:rPr>
      </w:pPr>
      <w:r w:rsidRPr="00015EE8">
        <w:rPr>
          <w:u w:val="none"/>
        </w:rPr>
        <w:t>Group I:</w:t>
      </w:r>
      <w:r w:rsidR="00F537F4" w:rsidRPr="00015EE8">
        <w:rPr>
          <w:u w:val="none"/>
        </w:rPr>
        <w:t xml:space="preserve"> Sweden and Switzerland</w:t>
      </w:r>
    </w:p>
    <w:p w14:paraId="6E4CD0F5" w14:textId="77777777" w:rsidR="00D577BE" w:rsidRPr="00015EE8" w:rsidRDefault="00D577BE" w:rsidP="00F24669">
      <w:pPr>
        <w:pStyle w:val="GAParaResolution"/>
        <w:numPr>
          <w:ilvl w:val="0"/>
          <w:numId w:val="0"/>
        </w:numPr>
        <w:ind w:left="567"/>
        <w:rPr>
          <w:u w:val="none"/>
        </w:rPr>
      </w:pPr>
      <w:r w:rsidRPr="00015EE8">
        <w:rPr>
          <w:u w:val="none"/>
        </w:rPr>
        <w:t>Group II:</w:t>
      </w:r>
      <w:r w:rsidR="00F537F4" w:rsidRPr="00015EE8">
        <w:rPr>
          <w:u w:val="none"/>
        </w:rPr>
        <w:t xml:space="preserve"> Czechia</w:t>
      </w:r>
    </w:p>
    <w:p w14:paraId="13F946AF" w14:textId="77777777" w:rsidR="00D577BE" w:rsidRPr="00015EE8" w:rsidRDefault="00D577BE" w:rsidP="00F24669">
      <w:pPr>
        <w:pStyle w:val="GAParaResolution"/>
        <w:numPr>
          <w:ilvl w:val="0"/>
          <w:numId w:val="0"/>
        </w:numPr>
        <w:ind w:left="567"/>
        <w:rPr>
          <w:u w:val="none"/>
          <w:lang w:val="en-US"/>
        </w:rPr>
      </w:pPr>
      <w:r w:rsidRPr="00015EE8">
        <w:rPr>
          <w:u w:val="none"/>
          <w:lang w:val="en-US"/>
        </w:rPr>
        <w:t>Group III:</w:t>
      </w:r>
      <w:r w:rsidR="00F537F4" w:rsidRPr="00015EE8">
        <w:rPr>
          <w:u w:val="none"/>
          <w:lang w:val="en-US"/>
        </w:rPr>
        <w:t xml:space="preserve"> Brazil, Panama and Peru</w:t>
      </w:r>
    </w:p>
    <w:p w14:paraId="5D196ED4" w14:textId="77777777" w:rsidR="00D577BE" w:rsidRPr="00015EE8" w:rsidRDefault="00D577BE" w:rsidP="00F24669">
      <w:pPr>
        <w:pStyle w:val="GAParaResolution"/>
        <w:numPr>
          <w:ilvl w:val="0"/>
          <w:numId w:val="0"/>
        </w:numPr>
        <w:ind w:left="567"/>
        <w:rPr>
          <w:u w:val="none"/>
        </w:rPr>
      </w:pPr>
      <w:r w:rsidRPr="00015EE8">
        <w:rPr>
          <w:u w:val="none"/>
        </w:rPr>
        <w:t>Group IV:</w:t>
      </w:r>
      <w:r w:rsidR="00F537F4" w:rsidRPr="00015EE8">
        <w:rPr>
          <w:u w:val="none"/>
        </w:rPr>
        <w:t xml:space="preserve"> Republic of Korea</w:t>
      </w:r>
    </w:p>
    <w:p w14:paraId="33BDB141" w14:textId="77777777" w:rsidR="00D577BE" w:rsidRPr="00015EE8" w:rsidRDefault="00D577BE" w:rsidP="00F24669">
      <w:pPr>
        <w:pStyle w:val="GAParaResolution"/>
        <w:numPr>
          <w:ilvl w:val="0"/>
          <w:numId w:val="0"/>
        </w:numPr>
        <w:ind w:left="567"/>
        <w:rPr>
          <w:u w:val="none"/>
        </w:rPr>
      </w:pPr>
      <w:r w:rsidRPr="00015EE8">
        <w:rPr>
          <w:u w:val="none"/>
        </w:rPr>
        <w:t>Group V(a):</w:t>
      </w:r>
      <w:r w:rsidR="00F537F4" w:rsidRPr="00015EE8">
        <w:rPr>
          <w:u w:val="none"/>
        </w:rPr>
        <w:t xml:space="preserve"> Botswana, Côte d’Ivoire and Rwanda</w:t>
      </w:r>
    </w:p>
    <w:p w14:paraId="0F45D638" w14:textId="77777777" w:rsidR="00D577BE" w:rsidRPr="00015EE8" w:rsidRDefault="00D577BE" w:rsidP="00F24669">
      <w:pPr>
        <w:pStyle w:val="GAParaResolution"/>
        <w:numPr>
          <w:ilvl w:val="0"/>
          <w:numId w:val="0"/>
        </w:numPr>
        <w:ind w:left="567"/>
        <w:rPr>
          <w:u w:val="none"/>
        </w:rPr>
      </w:pPr>
      <w:r w:rsidRPr="00015EE8">
        <w:rPr>
          <w:u w:val="none"/>
        </w:rPr>
        <w:t>Group V(b):</w:t>
      </w:r>
      <w:r w:rsidR="00F537F4" w:rsidRPr="00015EE8">
        <w:rPr>
          <w:u w:val="none"/>
        </w:rPr>
        <w:t xml:space="preserve"> Morocco and Saudi Arabia</w:t>
      </w:r>
    </w:p>
    <w:p w14:paraId="0537E063" w14:textId="77777777" w:rsidR="00F24669" w:rsidRPr="00015EE8" w:rsidRDefault="00F24669" w:rsidP="0015601E">
      <w:pPr>
        <w:pStyle w:val="GATitleResolution"/>
      </w:pPr>
      <w:r w:rsidRPr="00015EE8">
        <w:t>RESOLUTION 8.GA 15</w:t>
      </w:r>
    </w:p>
    <w:p w14:paraId="4BA7F8BA" w14:textId="77777777" w:rsidR="00F24669" w:rsidRPr="00015EE8" w:rsidRDefault="00F24669" w:rsidP="0015601E">
      <w:pPr>
        <w:pStyle w:val="GAPreambulaResolution"/>
        <w:ind w:left="0"/>
        <w:rPr>
          <w:rFonts w:eastAsia="SimSun"/>
        </w:rPr>
      </w:pPr>
      <w:r w:rsidRPr="00015EE8">
        <w:t>The General Assembly,</w:t>
      </w:r>
    </w:p>
    <w:p w14:paraId="05FDCB58" w14:textId="77777777" w:rsidR="00F24669" w:rsidRPr="00015EE8" w:rsidRDefault="00F24669" w:rsidP="0015601E">
      <w:pPr>
        <w:pStyle w:val="GAParaResolution"/>
        <w:keepNext/>
        <w:numPr>
          <w:ilvl w:val="0"/>
          <w:numId w:val="28"/>
        </w:numPr>
        <w:ind w:left="567" w:hanging="567"/>
        <w:rPr>
          <w:u w:val="none"/>
        </w:rPr>
      </w:pPr>
      <w:r w:rsidRPr="00015EE8">
        <w:t>Having examined</w:t>
      </w:r>
      <w:r w:rsidRPr="00015EE8">
        <w:rPr>
          <w:u w:val="none"/>
        </w:rPr>
        <w:t xml:space="preserve"> document </w:t>
      </w:r>
      <w:hyperlink r:id="rId86" w:history="1">
        <w:r w:rsidRPr="00015EE8">
          <w:rPr>
            <w:rStyle w:val="Hyperlink"/>
          </w:rPr>
          <w:t>LHE/20/8.GA/15</w:t>
        </w:r>
      </w:hyperlink>
      <w:r w:rsidRPr="00015EE8">
        <w:rPr>
          <w:u w:val="none"/>
          <w:lang w:val="en-US"/>
        </w:rPr>
        <w:t>,</w:t>
      </w:r>
    </w:p>
    <w:p w14:paraId="746EA54A" w14:textId="77777777" w:rsidR="00F24669" w:rsidRPr="00015EE8" w:rsidRDefault="00F24669" w:rsidP="00BB6BEB">
      <w:pPr>
        <w:pStyle w:val="COMParaDecision"/>
        <w:numPr>
          <w:ilvl w:val="0"/>
          <w:numId w:val="5"/>
        </w:numPr>
        <w:ind w:left="567" w:hanging="567"/>
      </w:pPr>
      <w:r w:rsidRPr="00015EE8">
        <w:t>Recalling</w:t>
      </w:r>
      <w:r w:rsidRPr="00015EE8">
        <w:rPr>
          <w:u w:val="none"/>
        </w:rPr>
        <w:t xml:space="preserve"> documents </w:t>
      </w:r>
      <w:hyperlink r:id="rId87" w:history="1">
        <w:r w:rsidRPr="00015EE8">
          <w:rPr>
            <w:rStyle w:val="Hyperlink"/>
          </w:rPr>
          <w:t>LHE/20/8.GA/7 Rev</w:t>
        </w:r>
      </w:hyperlink>
      <w:r w:rsidRPr="00015EE8">
        <w:rPr>
          <w:u w:val="none"/>
        </w:rPr>
        <w:t xml:space="preserve">., </w:t>
      </w:r>
      <w:hyperlink r:id="rId88" w:history="1">
        <w:r w:rsidRPr="00015EE8">
          <w:rPr>
            <w:rStyle w:val="Hyperlink"/>
            <w:lang w:val="en-US"/>
          </w:rPr>
          <w:t>LHE/20/8.GA/8</w:t>
        </w:r>
      </w:hyperlink>
      <w:r w:rsidRPr="00015EE8">
        <w:rPr>
          <w:u w:val="none"/>
          <w:lang w:val="en-US"/>
        </w:rPr>
        <w:t xml:space="preserve">, </w:t>
      </w:r>
      <w:hyperlink r:id="rId89" w:history="1">
        <w:r w:rsidRPr="00015EE8">
          <w:rPr>
            <w:rStyle w:val="Hyperlink"/>
          </w:rPr>
          <w:t>LHE/19/14.COM/19</w:t>
        </w:r>
      </w:hyperlink>
      <w:r w:rsidRPr="00015EE8">
        <w:rPr>
          <w:rStyle w:val="Hyperlink"/>
        </w:rPr>
        <w:t xml:space="preserve">, </w:t>
      </w:r>
      <w:hyperlink r:id="rId90" w:history="1">
        <w:r w:rsidRPr="00015EE8">
          <w:rPr>
            <w:rStyle w:val="Hyperlink"/>
          </w:rPr>
          <w:t>ITH/18/13.COM/17</w:t>
        </w:r>
      </w:hyperlink>
      <w:r w:rsidRPr="00015EE8">
        <w:rPr>
          <w:u w:val="none"/>
        </w:rPr>
        <w:t xml:space="preserve">, </w:t>
      </w:r>
      <w:hyperlink r:id="rId91" w:history="1">
        <w:r w:rsidRPr="00015EE8">
          <w:rPr>
            <w:rStyle w:val="Hyperlink"/>
          </w:rPr>
          <w:t>ITH/17/12.COM/16</w:t>
        </w:r>
      </w:hyperlink>
      <w:r w:rsidRPr="00015EE8">
        <w:rPr>
          <w:u w:val="none"/>
        </w:rPr>
        <w:t xml:space="preserve">, </w:t>
      </w:r>
      <w:hyperlink r:id="rId92" w:history="1">
        <w:r w:rsidRPr="00015EE8">
          <w:rPr>
            <w:rStyle w:val="Hyperlink"/>
          </w:rPr>
          <w:t>ITH/18/7.GA/13</w:t>
        </w:r>
      </w:hyperlink>
      <w:r w:rsidRPr="00015EE8">
        <w:rPr>
          <w:u w:val="none"/>
        </w:rPr>
        <w:t xml:space="preserve"> and </w:t>
      </w:r>
      <w:hyperlink r:id="rId93" w:history="1">
        <w:r w:rsidRPr="00015EE8">
          <w:rPr>
            <w:rStyle w:val="Hyperlink"/>
          </w:rPr>
          <w:t>ITH/18/7.GA/12</w:t>
        </w:r>
      </w:hyperlink>
      <w:r w:rsidRPr="00015EE8">
        <w:rPr>
          <w:u w:val="none"/>
        </w:rPr>
        <w:t xml:space="preserve">, Decisions </w:t>
      </w:r>
      <w:hyperlink r:id="rId94" w:history="1">
        <w:r w:rsidRPr="00015EE8">
          <w:rPr>
            <w:rStyle w:val="Hyperlink"/>
          </w:rPr>
          <w:t>14.COM 19</w:t>
        </w:r>
      </w:hyperlink>
      <w:r w:rsidRPr="00015EE8">
        <w:rPr>
          <w:rStyle w:val="Hyperlink"/>
          <w:color w:val="auto"/>
          <w:u w:val="none"/>
        </w:rPr>
        <w:t>,</w:t>
      </w:r>
      <w:r w:rsidRPr="00015EE8">
        <w:rPr>
          <w:rStyle w:val="Hyperlink"/>
          <w:u w:val="none"/>
        </w:rPr>
        <w:t xml:space="preserve"> </w:t>
      </w:r>
      <w:hyperlink r:id="rId95" w:history="1">
        <w:r w:rsidRPr="00015EE8">
          <w:rPr>
            <w:rStyle w:val="Hyperlink"/>
          </w:rPr>
          <w:t>13.COM 17</w:t>
        </w:r>
      </w:hyperlink>
      <w:r w:rsidRPr="00015EE8">
        <w:rPr>
          <w:u w:val="none"/>
        </w:rPr>
        <w:t xml:space="preserve">, </w:t>
      </w:r>
      <w:hyperlink r:id="rId96" w:history="1">
        <w:r w:rsidRPr="00015EE8">
          <w:rPr>
            <w:rStyle w:val="Hyperlink"/>
          </w:rPr>
          <w:t>12.COM 16</w:t>
        </w:r>
      </w:hyperlink>
      <w:r w:rsidRPr="00015EE8">
        <w:rPr>
          <w:rStyle w:val="Hyperlink"/>
          <w:u w:val="none"/>
        </w:rPr>
        <w:t xml:space="preserve"> </w:t>
      </w:r>
      <w:r w:rsidRPr="00015EE8">
        <w:rPr>
          <w:u w:val="none"/>
        </w:rPr>
        <w:t xml:space="preserve">and Resolutions </w:t>
      </w:r>
      <w:hyperlink r:id="rId97" w:history="1">
        <w:r w:rsidRPr="00015EE8">
          <w:rPr>
            <w:rStyle w:val="Hyperlink"/>
            <w:lang w:val="en-US"/>
          </w:rPr>
          <w:t>7.GA 12</w:t>
        </w:r>
      </w:hyperlink>
      <w:r w:rsidRPr="00015EE8">
        <w:rPr>
          <w:u w:val="none"/>
        </w:rPr>
        <w:t xml:space="preserve">, </w:t>
      </w:r>
      <w:hyperlink r:id="rId98" w:history="1">
        <w:r w:rsidRPr="00015EE8">
          <w:rPr>
            <w:rStyle w:val="Hyperlink"/>
            <w:lang w:val="en-US"/>
          </w:rPr>
          <w:t>7.GA 13</w:t>
        </w:r>
      </w:hyperlink>
      <w:r w:rsidRPr="00015EE8">
        <w:rPr>
          <w:u w:val="none"/>
        </w:rPr>
        <w:t xml:space="preserve"> and </w:t>
      </w:r>
      <w:hyperlink r:id="rId99" w:history="1">
        <w:r w:rsidRPr="00015EE8">
          <w:rPr>
            <w:rStyle w:val="Hyperlink"/>
            <w:lang w:val="en-US"/>
          </w:rPr>
          <w:t>6.GA 11</w:t>
        </w:r>
      </w:hyperlink>
      <w:r w:rsidRPr="00015EE8">
        <w:rPr>
          <w:u w:val="none"/>
        </w:rPr>
        <w:t>,</w:t>
      </w:r>
    </w:p>
    <w:p w14:paraId="53C7FC2C" w14:textId="0835782E" w:rsidR="00F24669" w:rsidRPr="00015EE8" w:rsidRDefault="00F24669" w:rsidP="00BB6BEB">
      <w:pPr>
        <w:pStyle w:val="COMParaDecision"/>
        <w:numPr>
          <w:ilvl w:val="0"/>
          <w:numId w:val="5"/>
        </w:numPr>
        <w:ind w:left="567" w:hanging="567"/>
      </w:pPr>
      <w:r w:rsidRPr="00015EE8">
        <w:t>Further recalling</w:t>
      </w:r>
      <w:r w:rsidRPr="00015EE8">
        <w:rPr>
          <w:u w:val="none"/>
        </w:rPr>
        <w:t xml:space="preserve"> </w:t>
      </w:r>
      <w:hyperlink r:id="rId100" w:history="1">
        <w:r w:rsidRPr="00015EE8">
          <w:rPr>
            <w:rStyle w:val="Hyperlink"/>
          </w:rPr>
          <w:t>39 C/Resolution</w:t>
        </w:r>
        <w:r w:rsidRPr="00015EE8">
          <w:rPr>
            <w:rStyle w:val="Hyperlink"/>
            <w:lang w:val="en-US"/>
          </w:rPr>
          <w:t> 87</w:t>
        </w:r>
      </w:hyperlink>
      <w:r w:rsidR="0091465D" w:rsidRPr="00015EE8">
        <w:rPr>
          <w:u w:val="none"/>
        </w:rPr>
        <w:t xml:space="preserve"> and </w:t>
      </w:r>
      <w:hyperlink r:id="rId101" w:history="1">
        <w:r w:rsidR="0091465D" w:rsidRPr="00015EE8">
          <w:rPr>
            <w:rStyle w:val="Hyperlink"/>
            <w:lang w:val="en-US"/>
          </w:rPr>
          <w:t>38 C/Resolution</w:t>
        </w:r>
        <w:r w:rsidR="00146A38" w:rsidRPr="00015EE8">
          <w:rPr>
            <w:rStyle w:val="Hyperlink"/>
            <w:lang w:val="en-US"/>
          </w:rPr>
          <w:t> </w:t>
        </w:r>
        <w:r w:rsidR="0091465D" w:rsidRPr="00015EE8">
          <w:rPr>
            <w:rStyle w:val="Hyperlink"/>
            <w:lang w:val="en-US"/>
          </w:rPr>
          <w:t>101</w:t>
        </w:r>
      </w:hyperlink>
      <w:r w:rsidRPr="00015EE8">
        <w:rPr>
          <w:u w:val="none"/>
        </w:rPr>
        <w:t>,</w:t>
      </w:r>
    </w:p>
    <w:p w14:paraId="3A21FA3A" w14:textId="6E27A5BF" w:rsidR="00F24669" w:rsidRPr="00015EE8" w:rsidRDefault="00F24669" w:rsidP="00BB6BEB">
      <w:pPr>
        <w:pStyle w:val="COMParaDecision"/>
        <w:numPr>
          <w:ilvl w:val="0"/>
          <w:numId w:val="5"/>
        </w:numPr>
        <w:ind w:left="567" w:hanging="567"/>
      </w:pPr>
      <w:r w:rsidRPr="00015EE8">
        <w:t>Encourages</w:t>
      </w:r>
      <w:r w:rsidRPr="00015EE8">
        <w:rPr>
          <w:u w:val="none"/>
        </w:rPr>
        <w:t xml:space="preserve"> the Culture Sector to continue its efforts, wherever appropriate, to harmonize the </w:t>
      </w:r>
      <w:r w:rsidR="001C5F3E" w:rsidRPr="00015EE8">
        <w:rPr>
          <w:u w:val="none"/>
        </w:rPr>
        <w:t xml:space="preserve">Rules </w:t>
      </w:r>
      <w:r w:rsidRPr="00015EE8">
        <w:rPr>
          <w:u w:val="none"/>
        </w:rPr>
        <w:t xml:space="preserve">of </w:t>
      </w:r>
      <w:r w:rsidR="001C5F3E" w:rsidRPr="00015EE8">
        <w:rPr>
          <w:u w:val="none"/>
        </w:rPr>
        <w:t xml:space="preserve">Procedure </w:t>
      </w:r>
      <w:r w:rsidRPr="00015EE8">
        <w:rPr>
          <w:u w:val="none"/>
        </w:rPr>
        <w:t xml:space="preserve">of the governing bodies of the </w:t>
      </w:r>
      <w:r w:rsidR="0091465D" w:rsidRPr="00015EE8">
        <w:rPr>
          <w:u w:val="none"/>
        </w:rPr>
        <w:t>UNESCO C</w:t>
      </w:r>
      <w:r w:rsidRPr="00015EE8">
        <w:rPr>
          <w:u w:val="none"/>
        </w:rPr>
        <w:t>onventions</w:t>
      </w:r>
      <w:r w:rsidR="0091465D" w:rsidRPr="00015EE8">
        <w:rPr>
          <w:u w:val="none"/>
        </w:rPr>
        <w:t xml:space="preserve"> in the field of culture</w:t>
      </w:r>
      <w:r w:rsidRPr="00015EE8">
        <w:rPr>
          <w:u w:val="none"/>
        </w:rPr>
        <w:t xml:space="preserve"> in conformity with </w:t>
      </w:r>
      <w:hyperlink r:id="rId102" w:history="1">
        <w:r w:rsidRPr="00015EE8">
          <w:rPr>
            <w:rStyle w:val="Hyperlink"/>
          </w:rPr>
          <w:t>Resolution 7.GA 13</w:t>
        </w:r>
      </w:hyperlink>
      <w:r w:rsidRPr="00015EE8">
        <w:rPr>
          <w:u w:val="none"/>
        </w:rPr>
        <w:t>;</w:t>
      </w:r>
    </w:p>
    <w:p w14:paraId="44895F88" w14:textId="71B4A9B2" w:rsidR="006B09B9" w:rsidRPr="00015EE8" w:rsidRDefault="00F24669" w:rsidP="00BB6BEB">
      <w:pPr>
        <w:pStyle w:val="COMParaDecision"/>
        <w:numPr>
          <w:ilvl w:val="0"/>
          <w:numId w:val="5"/>
        </w:numPr>
        <w:ind w:left="567" w:hanging="567"/>
      </w:pPr>
      <w:r w:rsidRPr="00015EE8">
        <w:t>Considers</w:t>
      </w:r>
      <w:r w:rsidRPr="00015EE8">
        <w:rPr>
          <w:u w:val="none"/>
        </w:rPr>
        <w:t xml:space="preserve"> that sufficient progress has been made with the follow-up to the implementation of the relevant recommendations of the Open-Ended Working Group on the Governance, Procedures and Working Methods of the Governing Bodies of UNESCO that require the attention of the General Assembly and </w:t>
      </w:r>
      <w:r w:rsidRPr="00015EE8">
        <w:t>requests</w:t>
      </w:r>
      <w:r w:rsidRPr="00015EE8">
        <w:rPr>
          <w:u w:val="none"/>
        </w:rPr>
        <w:t xml:space="preserve"> that the Secretariat continue reporting as and when necessary on further progress regarding the status of recommendations</w:t>
      </w:r>
      <w:r w:rsidR="00F537F4" w:rsidRPr="00015EE8">
        <w:rPr>
          <w:u w:val="none"/>
        </w:rPr>
        <w:t>;</w:t>
      </w:r>
    </w:p>
    <w:p w14:paraId="6522C3CA" w14:textId="3ADF01E8" w:rsidR="00F537F4" w:rsidRPr="00015EE8" w:rsidRDefault="00F537F4" w:rsidP="00BB6BEB">
      <w:pPr>
        <w:pStyle w:val="COMParaDecision"/>
        <w:numPr>
          <w:ilvl w:val="0"/>
          <w:numId w:val="5"/>
        </w:numPr>
        <w:ind w:left="567" w:hanging="567"/>
        <w:rPr>
          <w:u w:val="none"/>
        </w:rPr>
      </w:pPr>
      <w:r w:rsidRPr="00015EE8">
        <w:t>Invites</w:t>
      </w:r>
      <w:r w:rsidRPr="00015EE8">
        <w:rPr>
          <w:u w:val="none"/>
        </w:rPr>
        <w:t xml:space="preserve"> the Secretariat to submit a new draft consolidated version of the Rules of Procedure at its next session, taking into consideration the need to harmonize the terminology and the technical provisions of the Rules of Procedure of the General Assembly of the 2003</w:t>
      </w:r>
      <w:r w:rsidR="00EE4653" w:rsidRPr="00015EE8">
        <w:rPr>
          <w:u w:val="none"/>
        </w:rPr>
        <w:t> </w:t>
      </w:r>
      <w:r w:rsidRPr="00015EE8">
        <w:rPr>
          <w:u w:val="none"/>
        </w:rPr>
        <w:t>Convention, with the respective Rules of Procedure of the other UNESCO Conventions</w:t>
      </w:r>
      <w:r w:rsidR="0091465D" w:rsidRPr="00015EE8">
        <w:rPr>
          <w:u w:val="none"/>
        </w:rPr>
        <w:t xml:space="preserve"> in the field of culture</w:t>
      </w:r>
      <w:r w:rsidRPr="00015EE8">
        <w:rPr>
          <w:u w:val="none"/>
        </w:rPr>
        <w:t>.</w:t>
      </w:r>
    </w:p>
    <w:p w14:paraId="56E1AFB9" w14:textId="77777777" w:rsidR="001952ED" w:rsidRPr="00015EE8" w:rsidRDefault="001952ED">
      <w:pPr>
        <w:rPr>
          <w:rFonts w:ascii="Arial" w:hAnsi="Arial" w:cs="Arial"/>
          <w:b/>
          <w:bCs/>
          <w:sz w:val="22"/>
          <w:szCs w:val="22"/>
          <w:lang w:val="en-GB"/>
        </w:rPr>
      </w:pPr>
      <w:r w:rsidRPr="00015EE8">
        <w:rPr>
          <w:rFonts w:ascii="Arial" w:hAnsi="Arial" w:cs="Arial"/>
          <w:b/>
          <w:bCs/>
          <w:sz w:val="22"/>
          <w:szCs w:val="22"/>
          <w:lang w:val="en-GB"/>
        </w:rPr>
        <w:br w:type="page"/>
      </w:r>
    </w:p>
    <w:p w14:paraId="70EC0B3F" w14:textId="43956F75" w:rsidR="006359DF" w:rsidRPr="00015EE8" w:rsidRDefault="006359DF" w:rsidP="00045E93">
      <w:pPr>
        <w:spacing w:before="1200" w:after="240"/>
        <w:jc w:val="both"/>
        <w:rPr>
          <w:rFonts w:ascii="Arial" w:hAnsi="Arial" w:cs="Arial"/>
          <w:b/>
          <w:bCs/>
          <w:sz w:val="22"/>
          <w:szCs w:val="22"/>
          <w:lang w:val="en-GB"/>
        </w:rPr>
      </w:pPr>
      <w:r w:rsidRPr="00015EE8">
        <w:rPr>
          <w:rFonts w:ascii="Arial" w:hAnsi="Arial" w:cs="Arial"/>
          <w:b/>
          <w:bCs/>
          <w:sz w:val="22"/>
          <w:szCs w:val="22"/>
          <w:lang w:val="en-GB"/>
        </w:rPr>
        <w:t xml:space="preserve">DECLARATION ON BEIRUT BY THE EIGHTH SESSION OF THE GENERAL ASSEMBLY OF THE STATES PARTIES TO THE CONVENTION </w:t>
      </w:r>
      <w:r w:rsidR="0091465D" w:rsidRPr="00015EE8">
        <w:rPr>
          <w:rFonts w:ascii="Arial" w:hAnsi="Arial" w:cs="Arial"/>
          <w:b/>
          <w:bCs/>
          <w:sz w:val="22"/>
          <w:szCs w:val="22"/>
          <w:lang w:val="en-GB"/>
        </w:rPr>
        <w:t>FOR</w:t>
      </w:r>
      <w:r w:rsidRPr="00015EE8">
        <w:rPr>
          <w:rFonts w:ascii="Arial" w:hAnsi="Arial" w:cs="Arial"/>
          <w:b/>
          <w:bCs/>
          <w:sz w:val="22"/>
          <w:szCs w:val="22"/>
          <w:lang w:val="en-GB"/>
        </w:rPr>
        <w:t xml:space="preserve"> THE SAFEGUARDING OF THE INTANGIBLE CULTURAL HERITAGE</w:t>
      </w:r>
    </w:p>
    <w:p w14:paraId="2A7859D7" w14:textId="77777777" w:rsidR="006359DF" w:rsidRPr="00015EE8" w:rsidRDefault="006359DF" w:rsidP="00146A38">
      <w:pPr>
        <w:pStyle w:val="ListParagraph"/>
        <w:numPr>
          <w:ilvl w:val="0"/>
          <w:numId w:val="32"/>
        </w:numPr>
        <w:spacing w:after="120" w:line="252" w:lineRule="auto"/>
        <w:ind w:left="567" w:hanging="567"/>
        <w:contextualSpacing w:val="0"/>
        <w:jc w:val="both"/>
        <w:rPr>
          <w:rFonts w:ascii="Arial" w:hAnsi="Arial" w:cs="Arial"/>
          <w:sz w:val="22"/>
          <w:szCs w:val="22"/>
          <w:lang w:val="en-GB"/>
        </w:rPr>
      </w:pPr>
      <w:r w:rsidRPr="00015EE8">
        <w:rPr>
          <w:rFonts w:ascii="Arial" w:hAnsi="Arial" w:cs="Arial"/>
          <w:sz w:val="22"/>
          <w:szCs w:val="22"/>
          <w:lang w:val="en-GB"/>
        </w:rPr>
        <w:t xml:space="preserve">Following the tragic explosions that occurred in Beirut in August of this year, the eighth session of the General Assembly of the 2003 Convention for the Safeguarding of the Intangible Cultural Heritage (8-10 September 2020, Paris, UNESCO Headquarters) expresses our deepest solidarity with Lebanon, its </w:t>
      </w:r>
      <w:r w:rsidRPr="00015EE8">
        <w:rPr>
          <w:rFonts w:ascii="Arial" w:hAnsi="Arial" w:cs="Arial"/>
          <w:bCs/>
          <w:snapToGrid w:val="0"/>
          <w:sz w:val="22"/>
          <w:szCs w:val="22"/>
          <w:lang w:val="en-GB"/>
        </w:rPr>
        <w:t>people</w:t>
      </w:r>
      <w:r w:rsidRPr="00015EE8">
        <w:rPr>
          <w:rFonts w:ascii="Arial" w:hAnsi="Arial" w:cs="Arial"/>
          <w:sz w:val="22"/>
          <w:szCs w:val="22"/>
          <w:lang w:val="en-GB"/>
        </w:rPr>
        <w:t xml:space="preserve"> and especially with bearers of cultural traditions, individuals and institutions who are today at the forefront of the cultural reconstruction of Beirut.</w:t>
      </w:r>
    </w:p>
    <w:p w14:paraId="661B5183" w14:textId="065020C1" w:rsidR="006359DF" w:rsidRPr="00015EE8" w:rsidRDefault="006359DF" w:rsidP="00146A38">
      <w:pPr>
        <w:pStyle w:val="ListParagraph"/>
        <w:numPr>
          <w:ilvl w:val="0"/>
          <w:numId w:val="32"/>
        </w:numPr>
        <w:spacing w:before="100" w:beforeAutospacing="1" w:after="120" w:line="252" w:lineRule="auto"/>
        <w:ind w:left="567" w:hanging="567"/>
        <w:contextualSpacing w:val="0"/>
        <w:jc w:val="both"/>
        <w:rPr>
          <w:rFonts w:ascii="Arial" w:hAnsi="Arial" w:cs="Arial"/>
          <w:sz w:val="22"/>
          <w:szCs w:val="22"/>
          <w:lang w:val="en-GB"/>
        </w:rPr>
      </w:pPr>
      <w:r w:rsidRPr="00015EE8">
        <w:rPr>
          <w:rFonts w:ascii="Arial" w:hAnsi="Arial" w:cs="Arial"/>
          <w:sz w:val="22"/>
          <w:szCs w:val="22"/>
          <w:lang w:val="en-GB"/>
        </w:rPr>
        <w:t>We recognize the enormous wealth of Beirut’s intangible cultural heritage, which makes this city a vibrant cultural centre where the diversity of knowledge, traditions, crafts, gastronomy, artisan techniques, traditional architectural and artistic expressions enrich all of humanity.</w:t>
      </w:r>
    </w:p>
    <w:p w14:paraId="41130893" w14:textId="77777777" w:rsidR="006359DF" w:rsidRPr="00015EE8" w:rsidRDefault="006359DF" w:rsidP="00146A38">
      <w:pPr>
        <w:pStyle w:val="ListParagraph"/>
        <w:numPr>
          <w:ilvl w:val="0"/>
          <w:numId w:val="32"/>
        </w:numPr>
        <w:spacing w:before="100" w:beforeAutospacing="1" w:after="120" w:line="252" w:lineRule="auto"/>
        <w:ind w:left="567" w:hanging="567"/>
        <w:contextualSpacing w:val="0"/>
        <w:jc w:val="both"/>
        <w:rPr>
          <w:rFonts w:ascii="Arial" w:hAnsi="Arial" w:cs="Arial"/>
          <w:sz w:val="22"/>
          <w:szCs w:val="22"/>
          <w:lang w:val="en-GB"/>
        </w:rPr>
      </w:pPr>
      <w:r w:rsidRPr="00015EE8">
        <w:rPr>
          <w:rFonts w:ascii="Arial" w:hAnsi="Arial" w:cs="Arial"/>
          <w:sz w:val="22"/>
          <w:szCs w:val="22"/>
          <w:lang w:val="en-GB"/>
        </w:rPr>
        <w:t xml:space="preserve">We fully support the ‘Li-Beirut’ initiative in the framework of the 2003 Convention </w:t>
      </w:r>
      <w:proofErr w:type="gramStart"/>
      <w:r w:rsidRPr="00015EE8">
        <w:rPr>
          <w:rFonts w:ascii="Arial" w:hAnsi="Arial" w:cs="Arial"/>
          <w:sz w:val="22"/>
          <w:szCs w:val="22"/>
          <w:lang w:val="en-GB"/>
        </w:rPr>
        <w:t>in order for</w:t>
      </w:r>
      <w:proofErr w:type="gramEnd"/>
      <w:r w:rsidRPr="00015EE8">
        <w:rPr>
          <w:rFonts w:ascii="Arial" w:hAnsi="Arial" w:cs="Arial"/>
          <w:sz w:val="22"/>
          <w:szCs w:val="22"/>
          <w:lang w:val="en-GB"/>
        </w:rPr>
        <w:t xml:space="preserve"> it to receive attention from its mechanisms and programs, especially those aimed at safeguarding intangible cultural heritage in emergency situations.</w:t>
      </w:r>
    </w:p>
    <w:p w14:paraId="123CBE28" w14:textId="77777777" w:rsidR="006359DF" w:rsidRPr="00015EE8" w:rsidRDefault="006359DF" w:rsidP="00146A38">
      <w:pPr>
        <w:pStyle w:val="ListParagraph"/>
        <w:numPr>
          <w:ilvl w:val="0"/>
          <w:numId w:val="32"/>
        </w:numPr>
        <w:spacing w:before="100" w:beforeAutospacing="1" w:after="120" w:line="252" w:lineRule="auto"/>
        <w:ind w:left="567" w:hanging="567"/>
        <w:contextualSpacing w:val="0"/>
        <w:jc w:val="both"/>
        <w:rPr>
          <w:rFonts w:ascii="Arial" w:hAnsi="Arial" w:cs="Arial"/>
          <w:sz w:val="22"/>
          <w:szCs w:val="22"/>
          <w:lang w:val="en-US"/>
        </w:rPr>
      </w:pPr>
      <w:r w:rsidRPr="00015EE8">
        <w:rPr>
          <w:rFonts w:ascii="Arial" w:hAnsi="Arial" w:cs="Arial"/>
          <w:sz w:val="22"/>
          <w:szCs w:val="22"/>
          <w:lang w:val="en-GB"/>
        </w:rPr>
        <w:t>With the solidarity and cooperation convened by our Convention and all of us, Beirut will be proof of how the strength of living heritage is an unlimited source of resilience that contributes to rebuilding our societies.</w:t>
      </w:r>
    </w:p>
    <w:sectPr w:rsidR="006359DF" w:rsidRPr="00015EE8" w:rsidSect="008D4191">
      <w:headerReference w:type="even" r:id="rId103"/>
      <w:headerReference w:type="default" r:id="rId104"/>
      <w:headerReference w:type="first" r:id="rId10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1F1D2" w14:textId="77777777" w:rsidR="00B45139" w:rsidRDefault="00B45139" w:rsidP="00655736">
      <w:r>
        <w:separator/>
      </w:r>
    </w:p>
  </w:endnote>
  <w:endnote w:type="continuationSeparator" w:id="0">
    <w:p w14:paraId="1C05921B" w14:textId="77777777" w:rsidR="00B45139" w:rsidRDefault="00B45139"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3375F" w14:textId="77777777" w:rsidR="00B45139" w:rsidRDefault="00B45139" w:rsidP="00655736">
      <w:r>
        <w:separator/>
      </w:r>
    </w:p>
  </w:footnote>
  <w:footnote w:type="continuationSeparator" w:id="0">
    <w:p w14:paraId="7CA1849E" w14:textId="77777777" w:rsidR="00B45139" w:rsidRDefault="00B45139" w:rsidP="00655736">
      <w:r>
        <w:continuationSeparator/>
      </w:r>
    </w:p>
  </w:footnote>
  <w:footnote w:id="1">
    <w:p w14:paraId="02BEC61B" w14:textId="77777777" w:rsidR="00B45139" w:rsidRPr="0023115D" w:rsidRDefault="00B45139" w:rsidP="00622067">
      <w:pPr>
        <w:pStyle w:val="FootnoteText"/>
        <w:tabs>
          <w:tab w:val="left" w:pos="475"/>
          <w:tab w:val="left" w:pos="540"/>
        </w:tabs>
        <w:ind w:left="450" w:hanging="450"/>
        <w:rPr>
          <w:rFonts w:ascii="Arial" w:hAnsi="Arial" w:cs="Arial"/>
          <w:sz w:val="18"/>
          <w:szCs w:val="18"/>
        </w:rPr>
      </w:pPr>
      <w:r w:rsidRPr="0023115D">
        <w:rPr>
          <w:rFonts w:ascii="Arial" w:hAnsi="Arial" w:cs="Arial"/>
          <w:sz w:val="18"/>
          <w:szCs w:val="18"/>
        </w:rPr>
        <w:footnoteRef/>
      </w:r>
      <w:r w:rsidRPr="0023115D">
        <w:rPr>
          <w:rFonts w:ascii="Arial" w:hAnsi="Arial" w:cs="Arial"/>
          <w:sz w:val="18"/>
          <w:szCs w:val="18"/>
        </w:rPr>
        <w:t>.</w:t>
      </w:r>
      <w:r w:rsidRPr="0023115D">
        <w:rPr>
          <w:rFonts w:ascii="Arial" w:hAnsi="Arial" w:cs="Arial"/>
          <w:sz w:val="18"/>
          <w:szCs w:val="18"/>
        </w:rPr>
        <w:tab/>
        <w:t>Percentages are applied to the balance of the Fund as of 31 December 2019. This balance does not include the Reserve Fund (US$1,000,000).</w:t>
      </w:r>
    </w:p>
  </w:footnote>
  <w:footnote w:id="2">
    <w:p w14:paraId="6BC2ABA2" w14:textId="77777777" w:rsidR="00B45139" w:rsidRPr="0015601E" w:rsidRDefault="00B45139" w:rsidP="007E54D9">
      <w:pPr>
        <w:pStyle w:val="FootnoteText"/>
        <w:tabs>
          <w:tab w:val="left" w:pos="567"/>
        </w:tabs>
        <w:rPr>
          <w:rFonts w:ascii="Arial" w:hAnsi="Arial" w:cs="Arial"/>
          <w:sz w:val="18"/>
          <w:szCs w:val="18"/>
          <w:lang w:val="en-US"/>
        </w:rPr>
      </w:pPr>
      <w:r w:rsidRPr="0015601E">
        <w:rPr>
          <w:rStyle w:val="FootnoteReference"/>
          <w:rFonts w:ascii="Arial" w:eastAsia="MS Mincho" w:hAnsi="Arial" w:cs="Arial"/>
          <w:sz w:val="18"/>
          <w:szCs w:val="18"/>
          <w:vertAlign w:val="baseline"/>
        </w:rPr>
        <w:footnoteRef/>
      </w:r>
      <w:r w:rsidRPr="0015601E">
        <w:rPr>
          <w:rFonts w:ascii="Arial" w:hAnsi="Arial" w:cs="Arial"/>
          <w:sz w:val="18"/>
          <w:szCs w:val="18"/>
          <w:lang w:val="en-US"/>
        </w:rPr>
        <w:t>.</w:t>
      </w:r>
      <w:r w:rsidRPr="0015601E">
        <w:rPr>
          <w:rFonts w:ascii="Arial" w:hAnsi="Arial" w:cs="Arial"/>
          <w:sz w:val="18"/>
          <w:szCs w:val="18"/>
          <w:lang w:val="en-US"/>
        </w:rPr>
        <w:tab/>
      </w:r>
      <w:hyperlink r:id="rId1" w:history="1">
        <w:r w:rsidRPr="0015601E">
          <w:rPr>
            <w:rStyle w:val="Hyperlink"/>
            <w:rFonts w:ascii="Arial" w:hAnsi="Arial" w:cs="Arial"/>
            <w:sz w:val="18"/>
            <w:szCs w:val="18"/>
            <w:lang w:val="en-US"/>
          </w:rPr>
          <w:t>https://unesdoc.unesco.org/ark:/48223/pf0000235186</w:t>
        </w:r>
      </w:hyperlink>
    </w:p>
  </w:footnote>
  <w:footnote w:id="3">
    <w:p w14:paraId="263F5E0A" w14:textId="77777777" w:rsidR="00B45139" w:rsidRPr="0015601E" w:rsidRDefault="00B45139" w:rsidP="007E54D9">
      <w:pPr>
        <w:pStyle w:val="FootnoteText"/>
        <w:tabs>
          <w:tab w:val="left" w:pos="567"/>
        </w:tabs>
        <w:rPr>
          <w:rFonts w:ascii="Arial" w:hAnsi="Arial" w:cs="Arial"/>
          <w:sz w:val="18"/>
          <w:szCs w:val="18"/>
          <w:lang w:val="en-US"/>
        </w:rPr>
      </w:pPr>
      <w:r w:rsidRPr="0015601E">
        <w:rPr>
          <w:rStyle w:val="FootnoteReference"/>
          <w:rFonts w:ascii="Arial" w:eastAsia="MS Mincho" w:hAnsi="Arial" w:cs="Arial"/>
          <w:sz w:val="18"/>
          <w:szCs w:val="18"/>
          <w:vertAlign w:val="baseline"/>
        </w:rPr>
        <w:footnoteRef/>
      </w:r>
      <w:r w:rsidRPr="0015601E">
        <w:rPr>
          <w:rFonts w:ascii="Arial" w:hAnsi="Arial" w:cs="Arial"/>
          <w:sz w:val="18"/>
          <w:szCs w:val="18"/>
          <w:lang w:val="en-US"/>
        </w:rPr>
        <w:t>.</w:t>
      </w:r>
      <w:r w:rsidRPr="0015601E">
        <w:rPr>
          <w:rFonts w:ascii="Arial" w:hAnsi="Arial" w:cs="Arial"/>
          <w:sz w:val="18"/>
          <w:szCs w:val="18"/>
          <w:lang w:val="en-US"/>
        </w:rPr>
        <w:tab/>
      </w:r>
      <w:hyperlink r:id="rId2" w:history="1">
        <w:r w:rsidRPr="0015601E">
          <w:rPr>
            <w:rStyle w:val="Hyperlink"/>
            <w:rFonts w:ascii="Arial" w:hAnsi="Arial" w:cs="Arial"/>
            <w:sz w:val="18"/>
            <w:szCs w:val="18"/>
            <w:lang w:val="en-US"/>
          </w:rPr>
          <w:t>https://unesdoc.unesco.org/ark:/48223/pf0000259805</w:t>
        </w:r>
      </w:hyperlink>
    </w:p>
  </w:footnote>
  <w:footnote w:id="4">
    <w:p w14:paraId="68077DAC" w14:textId="77777777" w:rsidR="00B45139" w:rsidRPr="001A62E2" w:rsidRDefault="00B45139" w:rsidP="007E54D9">
      <w:pPr>
        <w:pStyle w:val="FootnoteText"/>
        <w:tabs>
          <w:tab w:val="left" w:pos="567"/>
        </w:tabs>
        <w:rPr>
          <w:rFonts w:ascii="Arial" w:hAnsi="Arial" w:cs="Arial"/>
          <w:sz w:val="18"/>
          <w:szCs w:val="18"/>
          <w:lang w:val="en-US"/>
        </w:rPr>
      </w:pPr>
      <w:r w:rsidRPr="0015601E">
        <w:rPr>
          <w:rStyle w:val="FootnoteReference"/>
          <w:rFonts w:ascii="Arial" w:eastAsia="MS Mincho" w:hAnsi="Arial" w:cs="Arial"/>
          <w:sz w:val="18"/>
          <w:szCs w:val="18"/>
          <w:vertAlign w:val="baseline"/>
        </w:rPr>
        <w:footnoteRef/>
      </w:r>
      <w:r w:rsidRPr="0015601E">
        <w:rPr>
          <w:rFonts w:ascii="Arial" w:hAnsi="Arial" w:cs="Arial"/>
          <w:sz w:val="18"/>
          <w:szCs w:val="18"/>
          <w:lang w:val="en-US"/>
        </w:rPr>
        <w:t>.</w:t>
      </w:r>
      <w:r>
        <w:rPr>
          <w:rFonts w:ascii="Arial" w:hAnsi="Arial" w:cs="Arial"/>
          <w:sz w:val="18"/>
          <w:szCs w:val="18"/>
          <w:lang w:val="en-US"/>
        </w:rPr>
        <w:tab/>
      </w:r>
      <w:hyperlink r:id="rId3" w:history="1">
        <w:r w:rsidRPr="001A62E2">
          <w:rPr>
            <w:rStyle w:val="Hyperlink"/>
            <w:rFonts w:ascii="Arial" w:hAnsi="Arial" w:cs="Arial"/>
            <w:sz w:val="18"/>
            <w:szCs w:val="18"/>
            <w:lang w:val="en-US"/>
          </w:rPr>
          <w:t>https://ich.unesco.org/doc/src/ICH-Operational_Directives-7.GA-PDF-EN.pdf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9B15" w14:textId="7452E155" w:rsidR="005F25DB" w:rsidRPr="005F25DB" w:rsidRDefault="005F25DB" w:rsidP="005F25DB">
    <w:pPr>
      <w:pStyle w:val="Header"/>
    </w:pPr>
    <w:r w:rsidRPr="005F25DB">
      <w:rPr>
        <w:rFonts w:ascii="Arial" w:hAnsi="Arial" w:cs="Arial"/>
        <w:sz w:val="20"/>
        <w:szCs w:val="20"/>
      </w:rPr>
      <w:t>LHE/20/8.GA/</w:t>
    </w:r>
    <w:proofErr w:type="spellStart"/>
    <w:r w:rsidRPr="005F25DB">
      <w:rPr>
        <w:rFonts w:ascii="Arial" w:hAnsi="Arial" w:cs="Arial"/>
        <w:sz w:val="20"/>
        <w:szCs w:val="20"/>
      </w:rPr>
      <w:t>Resolutions</w:t>
    </w:r>
    <w:proofErr w:type="spellEnd"/>
    <w:r w:rsidRPr="005F25DB">
      <w:rPr>
        <w:rFonts w:ascii="Arial" w:hAnsi="Arial" w:cs="Arial"/>
        <w:sz w:val="20"/>
        <w:szCs w:val="20"/>
      </w:rPr>
      <w:t xml:space="preserve"> – page </w:t>
    </w:r>
    <w:r w:rsidR="00B35D86" w:rsidRPr="00C23A97">
      <w:rPr>
        <w:rStyle w:val="PageNumber"/>
        <w:rFonts w:ascii="Arial" w:hAnsi="Arial" w:cs="Arial"/>
        <w:sz w:val="20"/>
        <w:szCs w:val="20"/>
        <w:lang w:val="en-GB"/>
      </w:rPr>
      <w:fldChar w:fldCharType="begin"/>
    </w:r>
    <w:r w:rsidR="00B35D86" w:rsidRPr="00C23A97">
      <w:rPr>
        <w:rStyle w:val="PageNumber"/>
        <w:rFonts w:ascii="Arial" w:hAnsi="Arial" w:cs="Arial"/>
        <w:sz w:val="20"/>
        <w:szCs w:val="20"/>
        <w:lang w:val="en-GB"/>
      </w:rPr>
      <w:instrText xml:space="preserve"> PAGE </w:instrText>
    </w:r>
    <w:r w:rsidR="00B35D86" w:rsidRPr="00C23A97">
      <w:rPr>
        <w:rStyle w:val="PageNumber"/>
        <w:rFonts w:ascii="Arial" w:hAnsi="Arial" w:cs="Arial"/>
        <w:sz w:val="20"/>
        <w:szCs w:val="20"/>
        <w:lang w:val="en-GB"/>
      </w:rPr>
      <w:fldChar w:fldCharType="separate"/>
    </w:r>
    <w:r w:rsidR="00B35D86">
      <w:rPr>
        <w:rStyle w:val="PageNumber"/>
        <w:rFonts w:ascii="Arial" w:hAnsi="Arial" w:cs="Arial"/>
        <w:sz w:val="20"/>
        <w:szCs w:val="20"/>
        <w:lang w:val="en-GB"/>
      </w:rPr>
      <w:t>4</w:t>
    </w:r>
    <w:r w:rsidR="00B35D86"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82C0" w14:textId="2930F6BC" w:rsidR="005F25DB" w:rsidRPr="005F25DB" w:rsidRDefault="005F25DB" w:rsidP="005F25DB">
    <w:pPr>
      <w:pStyle w:val="Header"/>
      <w:jc w:val="right"/>
    </w:pPr>
    <w:r w:rsidRPr="005F25DB">
      <w:rPr>
        <w:rFonts w:ascii="Arial" w:hAnsi="Arial" w:cs="Arial"/>
        <w:sz w:val="20"/>
        <w:szCs w:val="20"/>
      </w:rPr>
      <w:t>LHE/20/8.GA/</w:t>
    </w:r>
    <w:proofErr w:type="spellStart"/>
    <w:r w:rsidRPr="005F25DB">
      <w:rPr>
        <w:rFonts w:ascii="Arial" w:hAnsi="Arial" w:cs="Arial"/>
        <w:sz w:val="20"/>
        <w:szCs w:val="20"/>
      </w:rPr>
      <w:t>Resolutions</w:t>
    </w:r>
    <w:proofErr w:type="spellEnd"/>
    <w:r w:rsidRPr="005F25DB">
      <w:rPr>
        <w:rFonts w:ascii="Arial" w:hAnsi="Arial" w:cs="Arial"/>
        <w:sz w:val="20"/>
        <w:szCs w:val="20"/>
      </w:rPr>
      <w:t xml:space="preserve"> –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sz w:val="20"/>
        <w:szCs w:val="20"/>
        <w:lang w:val="en-GB"/>
      </w:rPr>
      <w:t>4</w:t>
    </w:r>
    <w:r w:rsidRPr="00C23A97">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3E6A8" w14:textId="77777777" w:rsidR="00B45139" w:rsidRPr="008724E5" w:rsidRDefault="00B45139">
    <w:pPr>
      <w:pStyle w:val="Header"/>
    </w:pPr>
    <w:r>
      <w:rPr>
        <w:noProof/>
      </w:rPr>
      <w:drawing>
        <wp:anchor distT="0" distB="0" distL="114300" distR="114300" simplePos="0" relativeHeight="251661824" behindDoc="0" locked="0" layoutInCell="1" allowOverlap="1" wp14:anchorId="391302D7" wp14:editId="2960D457">
          <wp:simplePos x="0" y="0"/>
          <wp:positionH relativeFrom="column">
            <wp:posOffset>-567690</wp:posOffset>
          </wp:positionH>
          <wp:positionV relativeFrom="paragraph">
            <wp:posOffset>3810</wp:posOffset>
          </wp:positionV>
          <wp:extent cx="2228215" cy="1367790"/>
          <wp:effectExtent l="0" t="0" r="635" b="3810"/>
          <wp:wrapNone/>
          <wp:docPr id="4" name="Picture 4"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C49518" w14:textId="77777777" w:rsidR="00B45139" w:rsidRPr="00C23A97" w:rsidRDefault="00B45139" w:rsidP="00655736">
    <w:pPr>
      <w:pStyle w:val="Header"/>
      <w:spacing w:after="520"/>
      <w:jc w:val="right"/>
      <w:rPr>
        <w:rFonts w:ascii="Arial" w:hAnsi="Arial" w:cs="Arial"/>
        <w:b/>
        <w:sz w:val="44"/>
        <w:szCs w:val="44"/>
        <w:lang w:val="en-GB"/>
      </w:rPr>
    </w:pPr>
    <w:r>
      <w:rPr>
        <w:rFonts w:ascii="Arial" w:hAnsi="Arial" w:cs="Arial"/>
        <w:b/>
        <w:sz w:val="44"/>
        <w:szCs w:val="44"/>
        <w:lang w:val="en-GB"/>
      </w:rPr>
      <w:t>8</w:t>
    </w:r>
    <w:r w:rsidRPr="00C23A97">
      <w:rPr>
        <w:rFonts w:ascii="Arial" w:hAnsi="Arial" w:cs="Arial"/>
        <w:b/>
        <w:sz w:val="44"/>
        <w:szCs w:val="44"/>
        <w:lang w:val="en-GB"/>
      </w:rPr>
      <w:t xml:space="preserve"> GA</w:t>
    </w:r>
  </w:p>
  <w:p w14:paraId="1698A04C" w14:textId="77777777" w:rsidR="00B45139" w:rsidRPr="00F77D87" w:rsidRDefault="00B45139" w:rsidP="004A3579">
    <w:pPr>
      <w:jc w:val="right"/>
      <w:rPr>
        <w:rFonts w:ascii="Arial" w:hAnsi="Arial" w:cs="Arial"/>
        <w:b/>
        <w:lang w:val="en-US"/>
      </w:rPr>
    </w:pPr>
    <w:r w:rsidRPr="00F77D87">
      <w:rPr>
        <w:rFonts w:ascii="Arial" w:hAnsi="Arial"/>
        <w:b/>
        <w:lang w:val="en-US"/>
      </w:rPr>
      <w:t>LHE/20/8.GA/Resolutions</w:t>
    </w:r>
  </w:p>
  <w:p w14:paraId="784A50A2" w14:textId="5222115B" w:rsidR="00B45139" w:rsidRPr="00C23A97" w:rsidRDefault="00B45139" w:rsidP="00655736">
    <w:pPr>
      <w:jc w:val="right"/>
      <w:rPr>
        <w:rFonts w:ascii="Arial" w:hAnsi="Arial" w:cs="Arial"/>
        <w:b/>
        <w:sz w:val="22"/>
        <w:szCs w:val="22"/>
        <w:lang w:val="en-GB"/>
      </w:rPr>
    </w:pPr>
    <w:r w:rsidRPr="00C23A97">
      <w:rPr>
        <w:rFonts w:ascii="Arial" w:hAnsi="Arial" w:cs="Arial"/>
        <w:b/>
        <w:sz w:val="22"/>
        <w:szCs w:val="22"/>
        <w:lang w:val="en-GB"/>
      </w:rPr>
      <w:t xml:space="preserve">Paris, </w:t>
    </w:r>
    <w:r w:rsidR="00CB223B">
      <w:rPr>
        <w:rFonts w:ascii="Arial" w:hAnsi="Arial" w:cs="Arial"/>
        <w:b/>
        <w:sz w:val="22"/>
        <w:szCs w:val="22"/>
        <w:lang w:val="en-GB"/>
      </w:rPr>
      <w:t>23</w:t>
    </w:r>
    <w:r w:rsidRPr="00DF397B">
      <w:rPr>
        <w:rFonts w:ascii="Arial" w:hAnsi="Arial" w:cs="Arial"/>
        <w:b/>
        <w:sz w:val="22"/>
        <w:szCs w:val="22"/>
        <w:lang w:val="en-GB"/>
      </w:rPr>
      <w:t xml:space="preserve"> </w:t>
    </w:r>
    <w:r>
      <w:rPr>
        <w:rFonts w:ascii="Arial" w:hAnsi="Arial" w:cs="Arial"/>
        <w:b/>
        <w:sz w:val="22"/>
        <w:szCs w:val="22"/>
        <w:lang w:val="en-GB"/>
      </w:rPr>
      <w:t>September</w:t>
    </w:r>
    <w:r w:rsidRPr="00DF397B">
      <w:rPr>
        <w:rFonts w:ascii="Arial" w:hAnsi="Arial" w:cs="Arial"/>
        <w:b/>
        <w:sz w:val="22"/>
        <w:szCs w:val="22"/>
        <w:lang w:val="en-GB"/>
      </w:rPr>
      <w:t xml:space="preserve"> </w:t>
    </w:r>
    <w:r>
      <w:rPr>
        <w:rFonts w:ascii="Arial" w:hAnsi="Arial" w:cs="Arial"/>
        <w:b/>
        <w:sz w:val="22"/>
        <w:szCs w:val="22"/>
        <w:lang w:val="en-GB"/>
      </w:rPr>
      <w:t>2020</w:t>
    </w:r>
  </w:p>
  <w:p w14:paraId="56044C90" w14:textId="77777777" w:rsidR="00B45139" w:rsidRPr="00C23A97" w:rsidRDefault="00B45139" w:rsidP="000048ED">
    <w:pPr>
      <w:jc w:val="right"/>
      <w:rPr>
        <w:rFonts w:ascii="Arial" w:hAnsi="Arial" w:cs="Arial"/>
        <w:b/>
        <w:sz w:val="22"/>
        <w:szCs w:val="22"/>
        <w:lang w:val="en-GB"/>
      </w:rPr>
    </w:pPr>
    <w:r w:rsidRPr="00C23A97">
      <w:rPr>
        <w:rFonts w:ascii="Arial" w:hAnsi="Arial" w:cs="Arial"/>
        <w:b/>
        <w:sz w:val="22"/>
        <w:szCs w:val="22"/>
        <w:lang w:val="en-GB"/>
      </w:rPr>
      <w:t xml:space="preserve">Original: </w:t>
    </w:r>
    <w:r>
      <w:rPr>
        <w:rFonts w:ascii="Arial" w:hAnsi="Arial" w:cs="Arial"/>
        <w:b/>
        <w:sz w:val="22"/>
        <w:szCs w:val="22"/>
        <w:lang w:val="en-GB"/>
      </w:rPr>
      <w:t>English/French</w:t>
    </w:r>
  </w:p>
  <w:p w14:paraId="7DFA17EF" w14:textId="77777777" w:rsidR="00B45139" w:rsidRPr="00C23A97" w:rsidRDefault="00B45139">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54C14"/>
    <w:multiLevelType w:val="hybridMultilevel"/>
    <w:tmpl w:val="68B8CC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50353E"/>
    <w:multiLevelType w:val="multilevel"/>
    <w:tmpl w:val="9C3E8BB2"/>
    <w:lvl w:ilvl="0">
      <w:start w:val="1"/>
      <w:numFmt w:val="decimal"/>
      <w:lvlText w:val="%1"/>
      <w:lvlJc w:val="left"/>
      <w:pPr>
        <w:ind w:left="570" w:hanging="570"/>
      </w:pPr>
      <w:rPr>
        <w:rFonts w:cs="Arial" w:hint="default"/>
      </w:rPr>
    </w:lvl>
    <w:lvl w:ilvl="1">
      <w:start w:val="1"/>
      <w:numFmt w:val="decimal"/>
      <w:lvlText w:val="%1.%2"/>
      <w:lvlJc w:val="left"/>
      <w:pPr>
        <w:ind w:left="570" w:hanging="57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 w15:restartNumberingAfterBreak="0">
    <w:nsid w:val="0C595C4F"/>
    <w:multiLevelType w:val="multilevel"/>
    <w:tmpl w:val="FE165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A0730"/>
    <w:multiLevelType w:val="hybridMultilevel"/>
    <w:tmpl w:val="8EA25E1C"/>
    <w:lvl w:ilvl="0" w:tplc="DA1610B8">
      <w:start w:val="1"/>
      <w:numFmt w:val="decimal"/>
      <w:lvlText w:val="%1."/>
      <w:lvlJc w:val="left"/>
      <w:pPr>
        <w:ind w:left="720" w:hanging="360"/>
      </w:pPr>
      <w:rPr>
        <w:rFonts w:asciiTheme="minorBidi" w:hAnsiTheme="minorBidi" w:cstheme="minorBid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21376431"/>
    <w:multiLevelType w:val="multilevel"/>
    <w:tmpl w:val="F0A69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8301C3"/>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7" w15:restartNumberingAfterBreak="0">
    <w:nsid w:val="35F07BFE"/>
    <w:multiLevelType w:val="hybridMultilevel"/>
    <w:tmpl w:val="E24AD55A"/>
    <w:lvl w:ilvl="0" w:tplc="76CAC304">
      <w:start w:val="1"/>
      <w:numFmt w:val="decimal"/>
      <w:pStyle w:val="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429835A6"/>
    <w:lvl w:ilvl="0" w:tplc="AFDC04B8">
      <w:start w:val="1"/>
      <w:numFmt w:val="decimal"/>
      <w:pStyle w:val="GAParaResolution"/>
      <w:lvlText w:val="%1."/>
      <w:lvlJc w:val="left"/>
      <w:pPr>
        <w:ind w:left="1353" w:hanging="360"/>
      </w:pPr>
      <w:rPr>
        <w:rFonts w:ascii="Arial" w:hAnsi="Arial" w:cs="Arial" w:hint="default"/>
        <w:sz w:val="22"/>
        <w:szCs w:val="22"/>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63070DB"/>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3E6874"/>
    <w:multiLevelType w:val="multilevel"/>
    <w:tmpl w:val="14F41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220EE6"/>
    <w:multiLevelType w:val="hybridMultilevel"/>
    <w:tmpl w:val="FA9E3966"/>
    <w:lvl w:ilvl="0" w:tplc="84181FB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5C76A3"/>
    <w:multiLevelType w:val="hybridMultilevel"/>
    <w:tmpl w:val="4926AA42"/>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4" w15:restartNumberingAfterBreak="0">
    <w:nsid w:val="5ECD35B7"/>
    <w:multiLevelType w:val="hybridMultilevel"/>
    <w:tmpl w:val="001440C0"/>
    <w:lvl w:ilvl="0" w:tplc="040C000F">
      <w:start w:val="1"/>
      <w:numFmt w:val="decimal"/>
      <w:lvlText w:val="%1."/>
      <w:lvlJc w:val="left"/>
      <w:pPr>
        <w:ind w:left="1778"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5" w15:restartNumberingAfterBreak="0">
    <w:nsid w:val="626A3822"/>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abstractNum w:abstractNumId="16" w15:restartNumberingAfterBreak="0">
    <w:nsid w:val="632673D5"/>
    <w:multiLevelType w:val="hybridMultilevel"/>
    <w:tmpl w:val="4D38AE3C"/>
    <w:lvl w:ilvl="0" w:tplc="7FB2384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3838AA"/>
    <w:multiLevelType w:val="multilevel"/>
    <w:tmpl w:val="15189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20" w15:restartNumberingAfterBreak="0">
    <w:nsid w:val="7D585C35"/>
    <w:multiLevelType w:val="hybridMultilevel"/>
    <w:tmpl w:val="08E21D18"/>
    <w:lvl w:ilvl="0" w:tplc="DFDA30F2">
      <w:start w:val="1"/>
      <w:numFmt w:val="lowerRoman"/>
      <w:lvlText w:val="(%1)"/>
      <w:lvlJc w:val="left"/>
      <w:pPr>
        <w:ind w:left="1041" w:hanging="720"/>
      </w:pPr>
      <w:rPr>
        <w:rFonts w:hint="default"/>
      </w:rPr>
    </w:lvl>
    <w:lvl w:ilvl="1" w:tplc="040C0019" w:tentative="1">
      <w:start w:val="1"/>
      <w:numFmt w:val="lowerLetter"/>
      <w:lvlText w:val="%2."/>
      <w:lvlJc w:val="left"/>
      <w:pPr>
        <w:ind w:left="1401" w:hanging="360"/>
      </w:pPr>
    </w:lvl>
    <w:lvl w:ilvl="2" w:tplc="040C001B" w:tentative="1">
      <w:start w:val="1"/>
      <w:numFmt w:val="lowerRoman"/>
      <w:lvlText w:val="%3."/>
      <w:lvlJc w:val="right"/>
      <w:pPr>
        <w:ind w:left="2121" w:hanging="180"/>
      </w:pPr>
    </w:lvl>
    <w:lvl w:ilvl="3" w:tplc="040C000F" w:tentative="1">
      <w:start w:val="1"/>
      <w:numFmt w:val="decimal"/>
      <w:lvlText w:val="%4."/>
      <w:lvlJc w:val="left"/>
      <w:pPr>
        <w:ind w:left="2841" w:hanging="360"/>
      </w:pPr>
    </w:lvl>
    <w:lvl w:ilvl="4" w:tplc="040C0019" w:tentative="1">
      <w:start w:val="1"/>
      <w:numFmt w:val="lowerLetter"/>
      <w:lvlText w:val="%5."/>
      <w:lvlJc w:val="left"/>
      <w:pPr>
        <w:ind w:left="3561" w:hanging="360"/>
      </w:pPr>
    </w:lvl>
    <w:lvl w:ilvl="5" w:tplc="040C001B" w:tentative="1">
      <w:start w:val="1"/>
      <w:numFmt w:val="lowerRoman"/>
      <w:lvlText w:val="%6."/>
      <w:lvlJc w:val="right"/>
      <w:pPr>
        <w:ind w:left="4281" w:hanging="180"/>
      </w:pPr>
    </w:lvl>
    <w:lvl w:ilvl="6" w:tplc="040C000F" w:tentative="1">
      <w:start w:val="1"/>
      <w:numFmt w:val="decimal"/>
      <w:lvlText w:val="%7."/>
      <w:lvlJc w:val="left"/>
      <w:pPr>
        <w:ind w:left="5001" w:hanging="360"/>
      </w:pPr>
    </w:lvl>
    <w:lvl w:ilvl="7" w:tplc="040C0019" w:tentative="1">
      <w:start w:val="1"/>
      <w:numFmt w:val="lowerLetter"/>
      <w:lvlText w:val="%8."/>
      <w:lvlJc w:val="left"/>
      <w:pPr>
        <w:ind w:left="5721" w:hanging="360"/>
      </w:pPr>
    </w:lvl>
    <w:lvl w:ilvl="8" w:tplc="040C001B" w:tentative="1">
      <w:start w:val="1"/>
      <w:numFmt w:val="lowerRoman"/>
      <w:lvlText w:val="%9."/>
      <w:lvlJc w:val="right"/>
      <w:pPr>
        <w:ind w:left="6441" w:hanging="180"/>
      </w:pPr>
    </w:lvl>
  </w:abstractNum>
  <w:num w:numId="1">
    <w:abstractNumId w:val="14"/>
  </w:num>
  <w:num w:numId="2">
    <w:abstractNumId w:val="18"/>
  </w:num>
  <w:num w:numId="3">
    <w:abstractNumId w:val="4"/>
  </w:num>
  <w:num w:numId="4">
    <w:abstractNumId w:val="7"/>
  </w:num>
  <w:num w:numId="5">
    <w:abstractNumId w:val="8"/>
  </w:num>
  <w:num w:numId="6">
    <w:abstractNumId w:val="9"/>
  </w:num>
  <w:num w:numId="7">
    <w:abstractNumId w:val="19"/>
  </w:num>
  <w:num w:numId="8">
    <w:abstractNumId w:val="8"/>
    <w:lvlOverride w:ilvl="0">
      <w:startOverride w:val="1"/>
    </w:lvlOverride>
  </w:num>
  <w:num w:numId="9">
    <w:abstractNumId w:val="8"/>
    <w:lvlOverride w:ilvl="0">
      <w:startOverride w:val="1"/>
    </w:lvlOverride>
  </w:num>
  <w:num w:numId="10">
    <w:abstractNumId w:val="16"/>
  </w:num>
  <w:num w:numId="11">
    <w:abstractNumId w:val="20"/>
  </w:num>
  <w:num w:numId="12">
    <w:abstractNumId w:val="1"/>
  </w:num>
  <w:num w:numId="13">
    <w:abstractNumId w:val="10"/>
  </w:num>
  <w:num w:numId="14">
    <w:abstractNumId w:val="15"/>
  </w:num>
  <w:num w:numId="15">
    <w:abstractNumId w:val="12"/>
  </w:num>
  <w:num w:numId="16">
    <w:abstractNumId w:val="6"/>
  </w:num>
  <w:num w:numId="17">
    <w:abstractNumId w:val="8"/>
    <w:lvlOverride w:ilvl="0">
      <w:startOverride w:val="1"/>
    </w:lvlOverride>
  </w:num>
  <w:num w:numId="18">
    <w:abstractNumId w:val="13"/>
  </w:num>
  <w:num w:numId="19">
    <w:abstractNumId w:val="17"/>
  </w:num>
  <w:num w:numId="20">
    <w:abstractNumId w:val="5"/>
  </w:num>
  <w:num w:numId="21">
    <w:abstractNumId w:val="11"/>
  </w:num>
  <w:num w:numId="22">
    <w:abstractNumId w:val="2"/>
  </w:num>
  <w:num w:numId="23">
    <w:abstractNumId w:val="8"/>
    <w:lvlOverride w:ilvl="0">
      <w:startOverride w:val="1"/>
    </w:lvlOverride>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0"/>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866"/>
    <w:rsid w:val="000048ED"/>
    <w:rsid w:val="00015EE8"/>
    <w:rsid w:val="000178CB"/>
    <w:rsid w:val="00024F0E"/>
    <w:rsid w:val="00041A66"/>
    <w:rsid w:val="00045E93"/>
    <w:rsid w:val="0005176E"/>
    <w:rsid w:val="00054254"/>
    <w:rsid w:val="00055C79"/>
    <w:rsid w:val="000765F7"/>
    <w:rsid w:val="00077AB7"/>
    <w:rsid w:val="00081CD8"/>
    <w:rsid w:val="000A0780"/>
    <w:rsid w:val="000A7F0E"/>
    <w:rsid w:val="000C0D61"/>
    <w:rsid w:val="000F3A3F"/>
    <w:rsid w:val="000F70AF"/>
    <w:rsid w:val="0010138F"/>
    <w:rsid w:val="00102557"/>
    <w:rsid w:val="0013022E"/>
    <w:rsid w:val="00141005"/>
    <w:rsid w:val="00146250"/>
    <w:rsid w:val="00146A38"/>
    <w:rsid w:val="00150A6D"/>
    <w:rsid w:val="0015601E"/>
    <w:rsid w:val="0016075C"/>
    <w:rsid w:val="00164D56"/>
    <w:rsid w:val="00167B10"/>
    <w:rsid w:val="0017402F"/>
    <w:rsid w:val="00176720"/>
    <w:rsid w:val="001930AD"/>
    <w:rsid w:val="001952ED"/>
    <w:rsid w:val="00196C1B"/>
    <w:rsid w:val="001B0F73"/>
    <w:rsid w:val="001B7D04"/>
    <w:rsid w:val="001C1811"/>
    <w:rsid w:val="001C3F32"/>
    <w:rsid w:val="001C5CA9"/>
    <w:rsid w:val="001C5F3E"/>
    <w:rsid w:val="001D5C04"/>
    <w:rsid w:val="00203C40"/>
    <w:rsid w:val="00216546"/>
    <w:rsid w:val="00217A08"/>
    <w:rsid w:val="00222A2D"/>
    <w:rsid w:val="00223029"/>
    <w:rsid w:val="0023115D"/>
    <w:rsid w:val="00234745"/>
    <w:rsid w:val="002407AF"/>
    <w:rsid w:val="002748B9"/>
    <w:rsid w:val="00277458"/>
    <w:rsid w:val="002A75F9"/>
    <w:rsid w:val="002B086B"/>
    <w:rsid w:val="002B28E0"/>
    <w:rsid w:val="002C09E3"/>
    <w:rsid w:val="002D035A"/>
    <w:rsid w:val="002F0057"/>
    <w:rsid w:val="002F312A"/>
    <w:rsid w:val="002F424F"/>
    <w:rsid w:val="00316D73"/>
    <w:rsid w:val="00327EFF"/>
    <w:rsid w:val="003313C0"/>
    <w:rsid w:val="00345CB4"/>
    <w:rsid w:val="003549B8"/>
    <w:rsid w:val="00380822"/>
    <w:rsid w:val="00380BB1"/>
    <w:rsid w:val="003C3775"/>
    <w:rsid w:val="003D069C"/>
    <w:rsid w:val="003D4D07"/>
    <w:rsid w:val="003D6324"/>
    <w:rsid w:val="003D6FCE"/>
    <w:rsid w:val="003D7646"/>
    <w:rsid w:val="003E0C17"/>
    <w:rsid w:val="003F113A"/>
    <w:rsid w:val="003F1808"/>
    <w:rsid w:val="00400D8C"/>
    <w:rsid w:val="004016D5"/>
    <w:rsid w:val="004024DB"/>
    <w:rsid w:val="00414643"/>
    <w:rsid w:val="00415E72"/>
    <w:rsid w:val="00427F74"/>
    <w:rsid w:val="004421E5"/>
    <w:rsid w:val="004460E5"/>
    <w:rsid w:val="00452284"/>
    <w:rsid w:val="00460B7B"/>
    <w:rsid w:val="0046114A"/>
    <w:rsid w:val="0047295A"/>
    <w:rsid w:val="00476DED"/>
    <w:rsid w:val="004856CA"/>
    <w:rsid w:val="00492114"/>
    <w:rsid w:val="004935FF"/>
    <w:rsid w:val="0049705E"/>
    <w:rsid w:val="004A34A0"/>
    <w:rsid w:val="004A3579"/>
    <w:rsid w:val="004C1B01"/>
    <w:rsid w:val="004D1983"/>
    <w:rsid w:val="004D1AB0"/>
    <w:rsid w:val="004D22F9"/>
    <w:rsid w:val="004E2910"/>
    <w:rsid w:val="00526B7B"/>
    <w:rsid w:val="005308CE"/>
    <w:rsid w:val="0057439C"/>
    <w:rsid w:val="00583C2D"/>
    <w:rsid w:val="005856E2"/>
    <w:rsid w:val="005908CE"/>
    <w:rsid w:val="005A7471"/>
    <w:rsid w:val="005B0127"/>
    <w:rsid w:val="005B338A"/>
    <w:rsid w:val="005B7A35"/>
    <w:rsid w:val="005C2FE3"/>
    <w:rsid w:val="005C4B73"/>
    <w:rsid w:val="005E19E5"/>
    <w:rsid w:val="005E1D2B"/>
    <w:rsid w:val="005F13FE"/>
    <w:rsid w:val="005F25DB"/>
    <w:rsid w:val="005F6F69"/>
    <w:rsid w:val="00600745"/>
    <w:rsid w:val="00600D93"/>
    <w:rsid w:val="00605D0F"/>
    <w:rsid w:val="00622067"/>
    <w:rsid w:val="0062283E"/>
    <w:rsid w:val="0063065A"/>
    <w:rsid w:val="0063300C"/>
    <w:rsid w:val="006359DF"/>
    <w:rsid w:val="00643090"/>
    <w:rsid w:val="0064646B"/>
    <w:rsid w:val="00655736"/>
    <w:rsid w:val="00663B8D"/>
    <w:rsid w:val="00665F59"/>
    <w:rsid w:val="0068469E"/>
    <w:rsid w:val="00687EAD"/>
    <w:rsid w:val="0069541A"/>
    <w:rsid w:val="00696C8D"/>
    <w:rsid w:val="006A2AC2"/>
    <w:rsid w:val="006A3617"/>
    <w:rsid w:val="006A7A56"/>
    <w:rsid w:val="006B09B9"/>
    <w:rsid w:val="006B5E02"/>
    <w:rsid w:val="006C3B8C"/>
    <w:rsid w:val="006C5C1C"/>
    <w:rsid w:val="006C7B36"/>
    <w:rsid w:val="006E0A45"/>
    <w:rsid w:val="006E46E4"/>
    <w:rsid w:val="006E5316"/>
    <w:rsid w:val="006F6FF4"/>
    <w:rsid w:val="007035FF"/>
    <w:rsid w:val="00715E86"/>
    <w:rsid w:val="00717DA5"/>
    <w:rsid w:val="00730268"/>
    <w:rsid w:val="00744484"/>
    <w:rsid w:val="0075084F"/>
    <w:rsid w:val="00752F2B"/>
    <w:rsid w:val="00755520"/>
    <w:rsid w:val="00763A0D"/>
    <w:rsid w:val="00773188"/>
    <w:rsid w:val="00776659"/>
    <w:rsid w:val="007774A5"/>
    <w:rsid w:val="00783782"/>
    <w:rsid w:val="00784B8C"/>
    <w:rsid w:val="00793BED"/>
    <w:rsid w:val="007B5887"/>
    <w:rsid w:val="007E1035"/>
    <w:rsid w:val="007E54D9"/>
    <w:rsid w:val="007F13B2"/>
    <w:rsid w:val="008065E7"/>
    <w:rsid w:val="00807D5B"/>
    <w:rsid w:val="00823A11"/>
    <w:rsid w:val="00826DFC"/>
    <w:rsid w:val="00835382"/>
    <w:rsid w:val="00835C89"/>
    <w:rsid w:val="00843D7F"/>
    <w:rsid w:val="008441EA"/>
    <w:rsid w:val="00852866"/>
    <w:rsid w:val="0085414A"/>
    <w:rsid w:val="0086269D"/>
    <w:rsid w:val="0086543A"/>
    <w:rsid w:val="008724E5"/>
    <w:rsid w:val="00882E97"/>
    <w:rsid w:val="00884A9D"/>
    <w:rsid w:val="0088512B"/>
    <w:rsid w:val="0089230F"/>
    <w:rsid w:val="008A2B2D"/>
    <w:rsid w:val="008A4E1E"/>
    <w:rsid w:val="008B7340"/>
    <w:rsid w:val="008C1917"/>
    <w:rsid w:val="008C296C"/>
    <w:rsid w:val="008D0C04"/>
    <w:rsid w:val="008D4191"/>
    <w:rsid w:val="008D4305"/>
    <w:rsid w:val="008F0288"/>
    <w:rsid w:val="008F039E"/>
    <w:rsid w:val="008F690A"/>
    <w:rsid w:val="008F7166"/>
    <w:rsid w:val="009004E5"/>
    <w:rsid w:val="0091465D"/>
    <w:rsid w:val="009163A7"/>
    <w:rsid w:val="00916ED8"/>
    <w:rsid w:val="009219B1"/>
    <w:rsid w:val="00940108"/>
    <w:rsid w:val="009434D5"/>
    <w:rsid w:val="00945FE9"/>
    <w:rsid w:val="00946D0B"/>
    <w:rsid w:val="00960A7C"/>
    <w:rsid w:val="0097030A"/>
    <w:rsid w:val="009A18CD"/>
    <w:rsid w:val="009C0307"/>
    <w:rsid w:val="00A12558"/>
    <w:rsid w:val="00A13903"/>
    <w:rsid w:val="00A13AE9"/>
    <w:rsid w:val="00A14914"/>
    <w:rsid w:val="00A17EF2"/>
    <w:rsid w:val="00A34ED5"/>
    <w:rsid w:val="00A45DBF"/>
    <w:rsid w:val="00A52F22"/>
    <w:rsid w:val="00A53407"/>
    <w:rsid w:val="00A645DF"/>
    <w:rsid w:val="00A74714"/>
    <w:rsid w:val="00A755A2"/>
    <w:rsid w:val="00A86770"/>
    <w:rsid w:val="00A91486"/>
    <w:rsid w:val="00A921DC"/>
    <w:rsid w:val="00AA6660"/>
    <w:rsid w:val="00AB2C36"/>
    <w:rsid w:val="00AB70B6"/>
    <w:rsid w:val="00AB7E1F"/>
    <w:rsid w:val="00AD111A"/>
    <w:rsid w:val="00AD1A86"/>
    <w:rsid w:val="00AE103E"/>
    <w:rsid w:val="00AF0A07"/>
    <w:rsid w:val="00AF4AEC"/>
    <w:rsid w:val="00AF625E"/>
    <w:rsid w:val="00B06467"/>
    <w:rsid w:val="00B218BB"/>
    <w:rsid w:val="00B3497A"/>
    <w:rsid w:val="00B35D86"/>
    <w:rsid w:val="00B43C6F"/>
    <w:rsid w:val="00B45139"/>
    <w:rsid w:val="00B50004"/>
    <w:rsid w:val="00B5665A"/>
    <w:rsid w:val="00B568F6"/>
    <w:rsid w:val="00B6539A"/>
    <w:rsid w:val="00B83C29"/>
    <w:rsid w:val="00B84559"/>
    <w:rsid w:val="00B964DC"/>
    <w:rsid w:val="00B96B09"/>
    <w:rsid w:val="00BB04AF"/>
    <w:rsid w:val="00BB6BEB"/>
    <w:rsid w:val="00BD4276"/>
    <w:rsid w:val="00BD52C9"/>
    <w:rsid w:val="00BE6354"/>
    <w:rsid w:val="00BF7904"/>
    <w:rsid w:val="00C03EF6"/>
    <w:rsid w:val="00C0778A"/>
    <w:rsid w:val="00C157A0"/>
    <w:rsid w:val="00C23A97"/>
    <w:rsid w:val="00C46C61"/>
    <w:rsid w:val="00C53CE0"/>
    <w:rsid w:val="00C605F1"/>
    <w:rsid w:val="00C6574E"/>
    <w:rsid w:val="00C70EA7"/>
    <w:rsid w:val="00C7516E"/>
    <w:rsid w:val="00C75770"/>
    <w:rsid w:val="00CA1A55"/>
    <w:rsid w:val="00CA67D4"/>
    <w:rsid w:val="00CB0D71"/>
    <w:rsid w:val="00CB223B"/>
    <w:rsid w:val="00CD1380"/>
    <w:rsid w:val="00CF2D18"/>
    <w:rsid w:val="00CF79BA"/>
    <w:rsid w:val="00D00B2B"/>
    <w:rsid w:val="00D0757A"/>
    <w:rsid w:val="00D1245E"/>
    <w:rsid w:val="00D24877"/>
    <w:rsid w:val="00D509C6"/>
    <w:rsid w:val="00D50BE9"/>
    <w:rsid w:val="00D577BE"/>
    <w:rsid w:val="00D63147"/>
    <w:rsid w:val="00D82A00"/>
    <w:rsid w:val="00D8711B"/>
    <w:rsid w:val="00D876F7"/>
    <w:rsid w:val="00D92D05"/>
    <w:rsid w:val="00D95C4C"/>
    <w:rsid w:val="00DA36ED"/>
    <w:rsid w:val="00DA404A"/>
    <w:rsid w:val="00DA4672"/>
    <w:rsid w:val="00DB027F"/>
    <w:rsid w:val="00DD0438"/>
    <w:rsid w:val="00DD2014"/>
    <w:rsid w:val="00DD6AAC"/>
    <w:rsid w:val="00DE34F1"/>
    <w:rsid w:val="00DF04E2"/>
    <w:rsid w:val="00DF0967"/>
    <w:rsid w:val="00DF0C76"/>
    <w:rsid w:val="00DF397B"/>
    <w:rsid w:val="00DF4942"/>
    <w:rsid w:val="00E15725"/>
    <w:rsid w:val="00E206E4"/>
    <w:rsid w:val="00E32FA6"/>
    <w:rsid w:val="00E35EDA"/>
    <w:rsid w:val="00E42C85"/>
    <w:rsid w:val="00E52485"/>
    <w:rsid w:val="00E627B1"/>
    <w:rsid w:val="00E9376C"/>
    <w:rsid w:val="00EA1476"/>
    <w:rsid w:val="00EA335E"/>
    <w:rsid w:val="00EA528C"/>
    <w:rsid w:val="00EB0E66"/>
    <w:rsid w:val="00EB233E"/>
    <w:rsid w:val="00EB687F"/>
    <w:rsid w:val="00EC1261"/>
    <w:rsid w:val="00EE2AAE"/>
    <w:rsid w:val="00EE4653"/>
    <w:rsid w:val="00EE4C26"/>
    <w:rsid w:val="00EF34E2"/>
    <w:rsid w:val="00EF4F1F"/>
    <w:rsid w:val="00EF6E63"/>
    <w:rsid w:val="00F15A4B"/>
    <w:rsid w:val="00F24669"/>
    <w:rsid w:val="00F279AD"/>
    <w:rsid w:val="00F33C47"/>
    <w:rsid w:val="00F408D4"/>
    <w:rsid w:val="00F43D52"/>
    <w:rsid w:val="00F477F0"/>
    <w:rsid w:val="00F537F4"/>
    <w:rsid w:val="00F53DE9"/>
    <w:rsid w:val="00F576CB"/>
    <w:rsid w:val="00F71A02"/>
    <w:rsid w:val="00F77D87"/>
    <w:rsid w:val="00F85083"/>
    <w:rsid w:val="00FA20D2"/>
    <w:rsid w:val="00FA59E3"/>
    <w:rsid w:val="00FA7166"/>
    <w:rsid w:val="00FB6630"/>
    <w:rsid w:val="00FC033F"/>
    <w:rsid w:val="00FC076B"/>
    <w:rsid w:val="00FD07EB"/>
    <w:rsid w:val="00FD1226"/>
    <w:rsid w:val="00FD3ED2"/>
    <w:rsid w:val="00FE0F49"/>
    <w:rsid w:val="00FF45EA"/>
    <w:rsid w:val="00FF48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EB66AF4"/>
  <w15:docId w15:val="{4E64178C-3778-41F6-A258-D0207964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lang w:val="fr-FR" w:eastAsia="fr-FR"/>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71A02"/>
    <w:pPr>
      <w:keepNext/>
      <w:keepLines/>
      <w:numPr>
        <w:numId w:val="6"/>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3"/>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lang w:val="fr-FR" w:eastAsia="fr-FR"/>
    </w:rPr>
  </w:style>
  <w:style w:type="paragraph" w:customStyle="1" w:styleId="GAPara">
    <w:name w:val="GA Para"/>
    <w:qFormat/>
    <w:rsid w:val="00345CB4"/>
    <w:pPr>
      <w:numPr>
        <w:numId w:val="4"/>
      </w:numPr>
      <w:spacing w:after="120"/>
      <w:ind w:left="567" w:hanging="567"/>
    </w:pPr>
    <w:rPr>
      <w:rFonts w:ascii="Arial" w:eastAsia="Times New Roman" w:hAnsi="Arial" w:cs="Arial"/>
      <w:snapToGrid w:val="0"/>
      <w:sz w:val="22"/>
      <w:szCs w:val="22"/>
      <w:lang w:eastAsia="en-US"/>
    </w:rPr>
  </w:style>
  <w:style w:type="paragraph" w:customStyle="1" w:styleId="GATitleResolution">
    <w:name w:val="GA Title Resolution"/>
    <w:basedOn w:val="Normal"/>
    <w:qFormat/>
    <w:rsid w:val="00024F0E"/>
    <w:pPr>
      <w:keepNext/>
      <w:spacing w:before="360" w:after="120"/>
      <w:jc w:val="both"/>
    </w:pPr>
    <w:rPr>
      <w:rFonts w:ascii="Arial" w:hAnsi="Arial" w:cs="Arial"/>
      <w:b/>
      <w:sz w:val="22"/>
      <w:szCs w:val="22"/>
      <w:lang w:val="en-GB"/>
    </w:rPr>
  </w:style>
  <w:style w:type="paragraph" w:customStyle="1" w:styleId="GAPreambulaResolution">
    <w:name w:val="GA Preambula Resolution"/>
    <w:basedOn w:val="Normal"/>
    <w:qFormat/>
    <w:rsid w:val="00041A66"/>
    <w:pPr>
      <w:keepNext/>
      <w:spacing w:after="120"/>
      <w:ind w:left="567"/>
      <w:jc w:val="both"/>
    </w:pPr>
    <w:rPr>
      <w:rFonts w:ascii="Arial" w:hAnsi="Arial" w:cs="Arial"/>
      <w:sz w:val="22"/>
      <w:szCs w:val="22"/>
      <w:lang w:val="en-GB"/>
    </w:rPr>
  </w:style>
  <w:style w:type="paragraph" w:customStyle="1" w:styleId="GAParaResolution">
    <w:name w:val="GA Para Resolution"/>
    <w:basedOn w:val="Normal"/>
    <w:qFormat/>
    <w:rsid w:val="00345CB4"/>
    <w:pPr>
      <w:numPr>
        <w:numId w:val="5"/>
      </w:numPr>
      <w:autoSpaceDE w:val="0"/>
      <w:autoSpaceDN w:val="0"/>
      <w:adjustRightInd w:val="0"/>
      <w:spacing w:after="120"/>
      <w:jc w:val="both"/>
    </w:pPr>
    <w:rPr>
      <w:rFonts w:ascii="Arial" w:eastAsia="SimSun" w:hAnsi="Arial" w:cs="Arial"/>
      <w:sz w:val="22"/>
      <w:szCs w:val="22"/>
      <w:u w:val="single"/>
      <w:lang w:val="en-GB"/>
    </w:rPr>
  </w:style>
  <w:style w:type="paragraph" w:styleId="ListParagraph">
    <w:name w:val="List Paragraph"/>
    <w:aliases w:val="Table of contents numbered,Normal bullet 2,Bullet list,List Paragraph1,Numbered List,1st level - Bullet List Paragraph,Lettre d'introduction,lp1,Farbige Liste - Akzent 11,List Paragraph compact,Paragraphe de liste 2,Reference list"/>
    <w:basedOn w:val="Normal"/>
    <w:link w:val="ListParagraphChar"/>
    <w:uiPriority w:val="34"/>
    <w:qFormat/>
    <w:rsid w:val="002F312A"/>
    <w:pPr>
      <w:ind w:left="720"/>
      <w:contextualSpacing/>
    </w:pPr>
  </w:style>
  <w:style w:type="paragraph" w:customStyle="1" w:styleId="5GAParaResolution">
    <w:name w:val="5GA Para Resolution"/>
    <w:basedOn w:val="Normal"/>
    <w:qFormat/>
    <w:rsid w:val="00F85083"/>
    <w:pPr>
      <w:autoSpaceDE w:val="0"/>
      <w:autoSpaceDN w:val="0"/>
      <w:adjustRightInd w:val="0"/>
      <w:spacing w:after="120"/>
      <w:ind w:left="1134" w:hanging="567"/>
      <w:jc w:val="both"/>
    </w:pPr>
    <w:rPr>
      <w:rFonts w:ascii="Arial" w:eastAsia="SimSun" w:hAnsi="Arial" w:cs="Arial"/>
      <w:sz w:val="22"/>
      <w:szCs w:val="22"/>
      <w:lang w:val="en-GB"/>
    </w:rPr>
  </w:style>
  <w:style w:type="paragraph" w:customStyle="1" w:styleId="COMPara">
    <w:name w:val="COM Para"/>
    <w:qFormat/>
    <w:rsid w:val="006C3B8C"/>
    <w:pPr>
      <w:spacing w:after="120"/>
      <w:ind w:left="720" w:hanging="360"/>
    </w:pPr>
    <w:rPr>
      <w:rFonts w:ascii="Arial" w:eastAsia="Times New Roman" w:hAnsi="Arial" w:cs="Arial"/>
      <w:snapToGrid w:val="0"/>
      <w:sz w:val="22"/>
      <w:szCs w:val="22"/>
      <w:lang w:eastAsia="en-US"/>
    </w:rPr>
  </w:style>
  <w:style w:type="paragraph" w:customStyle="1" w:styleId="I1">
    <w:name w:val="I.1"/>
    <w:basedOn w:val="Normal"/>
    <w:qFormat/>
    <w:rsid w:val="00CF79BA"/>
    <w:pPr>
      <w:keepNext/>
      <w:widowControl w:val="0"/>
      <w:tabs>
        <w:tab w:val="left" w:pos="567"/>
      </w:tabs>
      <w:autoSpaceDE w:val="0"/>
      <w:autoSpaceDN w:val="0"/>
      <w:adjustRightInd w:val="0"/>
      <w:spacing w:before="240" w:after="120"/>
      <w:ind w:left="567" w:hanging="567"/>
    </w:pPr>
    <w:rPr>
      <w:rFonts w:ascii="Arial" w:hAnsi="Arial" w:cs="Arial"/>
      <w:spacing w:val="-12"/>
      <w:sz w:val="22"/>
      <w:szCs w:val="22"/>
      <w:lang w:val="en-US"/>
    </w:rPr>
  </w:style>
  <w:style w:type="paragraph" w:customStyle="1" w:styleId="U1">
    <w:name w:val="U.1"/>
    <w:basedOn w:val="Normal"/>
    <w:qFormat/>
    <w:rsid w:val="00CF79BA"/>
    <w:pPr>
      <w:widowControl w:val="0"/>
      <w:tabs>
        <w:tab w:val="left" w:pos="1701"/>
      </w:tabs>
      <w:autoSpaceDE w:val="0"/>
      <w:autoSpaceDN w:val="0"/>
      <w:adjustRightInd w:val="0"/>
      <w:spacing w:after="120"/>
      <w:ind w:left="1701" w:hanging="567"/>
    </w:pPr>
    <w:rPr>
      <w:rFonts w:ascii="Arial" w:hAnsi="Arial" w:cs="Arial"/>
      <w:sz w:val="22"/>
      <w:szCs w:val="22"/>
      <w:lang w:val="en-US"/>
    </w:rPr>
  </w:style>
  <w:style w:type="paragraph" w:customStyle="1" w:styleId="1">
    <w:name w:val="1."/>
    <w:basedOn w:val="Normal"/>
    <w:qFormat/>
    <w:rsid w:val="00CF79BA"/>
    <w:pPr>
      <w:widowControl w:val="0"/>
      <w:tabs>
        <w:tab w:val="left" w:pos="1134"/>
      </w:tabs>
      <w:autoSpaceDE w:val="0"/>
      <w:autoSpaceDN w:val="0"/>
      <w:adjustRightInd w:val="0"/>
      <w:spacing w:after="120"/>
      <w:ind w:left="1134" w:hanging="567"/>
    </w:pPr>
    <w:rPr>
      <w:rFonts w:ascii="Arial" w:hAnsi="Arial" w:cs="Arial"/>
      <w:w w:val="96"/>
      <w:sz w:val="22"/>
      <w:szCs w:val="22"/>
      <w:lang w:val="en-US"/>
    </w:rPr>
  </w:style>
  <w:style w:type="paragraph" w:customStyle="1" w:styleId="ChapitreI1">
    <w:name w:val="Chapitre I.1"/>
    <w:basedOn w:val="Normal"/>
    <w:rsid w:val="00CF79BA"/>
    <w:pPr>
      <w:keepNext/>
      <w:keepLines/>
      <w:spacing w:before="240"/>
    </w:pPr>
    <w:rPr>
      <w:rFonts w:ascii="Arial" w:eastAsia="SimSun" w:hAnsi="Arial"/>
      <w:b/>
      <w:sz w:val="22"/>
      <w:lang w:eastAsia="zh-CN"/>
    </w:rPr>
  </w:style>
  <w:style w:type="paragraph" w:customStyle="1" w:styleId="dates">
    <w:name w:val="dates"/>
    <w:basedOn w:val="Normal"/>
    <w:qFormat/>
    <w:rsid w:val="00415E72"/>
    <w:pPr>
      <w:widowControl w:val="0"/>
      <w:tabs>
        <w:tab w:val="left" w:pos="2268"/>
      </w:tabs>
      <w:autoSpaceDE w:val="0"/>
      <w:autoSpaceDN w:val="0"/>
      <w:adjustRightInd w:val="0"/>
      <w:spacing w:after="120"/>
      <w:ind w:left="2268" w:hanging="1134"/>
    </w:pPr>
    <w:rPr>
      <w:rFonts w:ascii="Arial" w:eastAsia="SimSun" w:hAnsi="Arial" w:cs="Arial"/>
      <w:w w:val="90"/>
      <w:sz w:val="22"/>
      <w:szCs w:val="22"/>
      <w:lang w:val="en-US"/>
    </w:rPr>
  </w:style>
  <w:style w:type="character" w:customStyle="1" w:styleId="st1">
    <w:name w:val="st1"/>
    <w:rsid w:val="002B28E0"/>
  </w:style>
  <w:style w:type="character" w:styleId="Hyperlink">
    <w:name w:val="Hyperlink"/>
    <w:aliases w:val=" Car Car3 Char, Car Car3 Char Char Char Char"/>
    <w:link w:val="CarCar3"/>
    <w:unhideWhenUsed/>
    <w:rsid w:val="008F039E"/>
    <w:rPr>
      <w:color w:val="0000FF"/>
      <w:u w:val="single"/>
    </w:rPr>
  </w:style>
  <w:style w:type="paragraph" w:customStyle="1" w:styleId="i">
    <w:name w:val="(i)"/>
    <w:basedOn w:val="Normal"/>
    <w:link w:val="iChar"/>
    <w:autoRedefine/>
    <w:qFormat/>
    <w:rsid w:val="008F039E"/>
    <w:pPr>
      <w:numPr>
        <w:numId w:val="7"/>
      </w:numPr>
      <w:autoSpaceDE w:val="0"/>
      <w:autoSpaceDN w:val="0"/>
      <w:adjustRightInd w:val="0"/>
      <w:spacing w:before="120" w:after="120"/>
      <w:ind w:right="284"/>
      <w:jc w:val="both"/>
    </w:pPr>
    <w:rPr>
      <w:rFonts w:ascii="Arial" w:eastAsia="SimSun" w:hAnsi="Arial" w:cs="Arial"/>
      <w:w w:val="90"/>
      <w:sz w:val="22"/>
      <w:szCs w:val="22"/>
      <w:lang w:val="en-US"/>
    </w:rPr>
  </w:style>
  <w:style w:type="character" w:customStyle="1" w:styleId="iChar">
    <w:name w:val="(i) Char"/>
    <w:link w:val="i"/>
    <w:locked/>
    <w:rsid w:val="008F039E"/>
    <w:rPr>
      <w:rFonts w:ascii="Arial" w:hAnsi="Arial" w:cs="Arial"/>
      <w:w w:val="90"/>
      <w:sz w:val="22"/>
      <w:szCs w:val="22"/>
      <w:lang w:val="en-US" w:eastAsia="fr-FR"/>
    </w:rPr>
  </w:style>
  <w:style w:type="table" w:customStyle="1" w:styleId="TableGrid1">
    <w:name w:val="Table Grid1"/>
    <w:basedOn w:val="TableNormal"/>
    <w:next w:val="TableGrid"/>
    <w:uiPriority w:val="59"/>
    <w:rsid w:val="00C15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ParaDecision">
    <w:name w:val="COM Para Decision"/>
    <w:basedOn w:val="Normal"/>
    <w:uiPriority w:val="99"/>
    <w:qFormat/>
    <w:rsid w:val="00C157A0"/>
    <w:pPr>
      <w:autoSpaceDE w:val="0"/>
      <w:autoSpaceDN w:val="0"/>
      <w:adjustRightInd w:val="0"/>
      <w:spacing w:after="120"/>
      <w:ind w:left="1134" w:hanging="567"/>
      <w:jc w:val="both"/>
    </w:pPr>
    <w:rPr>
      <w:rFonts w:ascii="Arial" w:eastAsia="SimSun" w:hAnsi="Arial" w:cs="Arial"/>
      <w:sz w:val="22"/>
      <w:szCs w:val="22"/>
      <w:u w:val="single"/>
      <w:lang w:val="en-GB"/>
    </w:rPr>
  </w:style>
  <w:style w:type="paragraph" w:customStyle="1" w:styleId="5GAparabodytext">
    <w:name w:val="5GA para body text"/>
    <w:qFormat/>
    <w:rsid w:val="00FF45EA"/>
    <w:pPr>
      <w:keepNext/>
      <w:spacing w:after="120" w:line="360" w:lineRule="auto"/>
      <w:ind w:left="720" w:hanging="360"/>
    </w:pPr>
    <w:rPr>
      <w:rFonts w:ascii="Arial" w:eastAsia="Times New Roman" w:hAnsi="Arial" w:cs="Arial"/>
      <w:snapToGrid w:val="0"/>
      <w:sz w:val="22"/>
      <w:szCs w:val="22"/>
      <w:lang w:eastAsia="en-US"/>
    </w:rPr>
  </w:style>
  <w:style w:type="paragraph" w:customStyle="1" w:styleId="5GATitleResolution">
    <w:name w:val="5GA Title Resolution"/>
    <w:basedOn w:val="Normal"/>
    <w:qFormat/>
    <w:rsid w:val="00FF45EA"/>
    <w:pPr>
      <w:keepNext/>
      <w:spacing w:before="240" w:after="120"/>
      <w:ind w:left="567"/>
      <w:jc w:val="both"/>
    </w:pPr>
    <w:rPr>
      <w:rFonts w:ascii="Arial" w:hAnsi="Arial" w:cs="Arial"/>
      <w:b/>
      <w:sz w:val="22"/>
      <w:szCs w:val="22"/>
      <w:lang w:val="en-GB"/>
    </w:rPr>
  </w:style>
  <w:style w:type="paragraph" w:customStyle="1" w:styleId="5GAPreambulaResolution">
    <w:name w:val="5GA Preambula Resolution"/>
    <w:basedOn w:val="Normal"/>
    <w:qFormat/>
    <w:rsid w:val="00FF45EA"/>
    <w:pPr>
      <w:keepNext/>
      <w:spacing w:after="120"/>
      <w:ind w:left="567"/>
      <w:jc w:val="both"/>
    </w:pPr>
    <w:rPr>
      <w:rFonts w:ascii="Arial" w:hAnsi="Arial" w:cs="Arial"/>
      <w:sz w:val="22"/>
      <w:szCs w:val="22"/>
      <w:lang w:val="en-GB"/>
    </w:rPr>
  </w:style>
  <w:style w:type="paragraph" w:styleId="FootnoteText">
    <w:name w:val="footnote text"/>
    <w:basedOn w:val="Normal"/>
    <w:link w:val="FootnoteTextChar"/>
    <w:uiPriority w:val="99"/>
    <w:unhideWhenUsed/>
    <w:rsid w:val="00FF45EA"/>
    <w:rPr>
      <w:sz w:val="20"/>
      <w:szCs w:val="20"/>
      <w:lang w:val="x-none"/>
    </w:rPr>
  </w:style>
  <w:style w:type="character" w:customStyle="1" w:styleId="FootnoteTextChar">
    <w:name w:val="Footnote Text Char"/>
    <w:basedOn w:val="DefaultParagraphFont"/>
    <w:link w:val="FootnoteText"/>
    <w:uiPriority w:val="99"/>
    <w:rsid w:val="00FF45EA"/>
    <w:rPr>
      <w:rFonts w:ascii="Times New Roman" w:eastAsia="Times New Roman" w:hAnsi="Times New Roman"/>
      <w:lang w:val="x-none" w:eastAsia="fr-FR"/>
    </w:rPr>
  </w:style>
  <w:style w:type="character" w:styleId="FootnoteReference">
    <w:name w:val="footnote reference"/>
    <w:uiPriority w:val="99"/>
    <w:unhideWhenUsed/>
    <w:rsid w:val="00FF45EA"/>
    <w:rPr>
      <w:vertAlign w:val="superscript"/>
    </w:rPr>
  </w:style>
  <w:style w:type="paragraph" w:customStyle="1" w:styleId="alina">
    <w:name w:val="alinéa"/>
    <w:basedOn w:val="Normal"/>
    <w:rsid w:val="00FF45EA"/>
    <w:pPr>
      <w:spacing w:after="240"/>
      <w:ind w:left="567"/>
      <w:jc w:val="both"/>
    </w:pPr>
    <w:rPr>
      <w:rFonts w:ascii="Arial" w:hAnsi="Arial"/>
      <w:snapToGrid w:val="0"/>
      <w:lang w:val="en-US"/>
    </w:rPr>
  </w:style>
  <w:style w:type="paragraph" w:customStyle="1" w:styleId="c">
    <w:name w:val="(c)"/>
    <w:basedOn w:val="Normal"/>
    <w:rsid w:val="00FF45EA"/>
    <w:pPr>
      <w:tabs>
        <w:tab w:val="left" w:pos="1701"/>
      </w:tabs>
      <w:spacing w:after="240"/>
      <w:ind w:left="1701" w:hanging="567"/>
      <w:jc w:val="both"/>
    </w:pPr>
    <w:rPr>
      <w:rFonts w:ascii="Arial" w:hAnsi="Arial"/>
      <w:lang w:val="en-US"/>
    </w:rPr>
  </w:style>
  <w:style w:type="paragraph" w:customStyle="1" w:styleId="COMTitleDecision">
    <w:name w:val="COM Title Decision"/>
    <w:basedOn w:val="Normal"/>
    <w:qFormat/>
    <w:rsid w:val="00A9148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A91486"/>
    <w:pPr>
      <w:keepNext/>
      <w:spacing w:after="120"/>
      <w:ind w:left="567"/>
      <w:jc w:val="both"/>
    </w:pPr>
    <w:rPr>
      <w:rFonts w:ascii="Arial" w:hAnsi="Arial" w:cs="Arial"/>
      <w:sz w:val="22"/>
      <w:szCs w:val="22"/>
      <w:lang w:val="en-GB"/>
    </w:rPr>
  </w:style>
  <w:style w:type="paragraph" w:customStyle="1" w:styleId="Annex">
    <w:name w:val="Annex"/>
    <w:basedOn w:val="Normal"/>
    <w:next w:val="Normal"/>
    <w:rsid w:val="00622067"/>
    <w:pPr>
      <w:pageBreakBefore/>
      <w:autoSpaceDE w:val="0"/>
      <w:autoSpaceDN w:val="0"/>
      <w:adjustRightInd w:val="0"/>
      <w:spacing w:before="360" w:after="240"/>
      <w:jc w:val="center"/>
      <w:outlineLvl w:val="0"/>
    </w:pPr>
    <w:rPr>
      <w:rFonts w:ascii="Arial" w:eastAsia="SimSun" w:hAnsi="Arial" w:cs="Arial"/>
      <w:b/>
      <w:bCs/>
      <w:sz w:val="22"/>
      <w:szCs w:val="22"/>
      <w:lang w:val="en-GB" w:eastAsia="zh-CN"/>
    </w:rPr>
  </w:style>
  <w:style w:type="paragraph" w:styleId="NoSpacing">
    <w:name w:val="No Spacing"/>
    <w:uiPriority w:val="1"/>
    <w:qFormat/>
    <w:rsid w:val="00622067"/>
    <w:rPr>
      <w:rFonts w:asciiTheme="minorHAnsi" w:eastAsiaTheme="minorHAnsi" w:hAnsiTheme="minorHAnsi" w:cstheme="minorBidi"/>
      <w:sz w:val="22"/>
      <w:szCs w:val="22"/>
      <w:lang w:val="fr-FR" w:eastAsia="en-US"/>
    </w:rPr>
  </w:style>
  <w:style w:type="character" w:customStyle="1" w:styleId="ListParagraphChar">
    <w:name w:val="List Paragraph Char"/>
    <w:aliases w:val="Table of contents numbered Char,Normal bullet 2 Char,Bullet list Char,List Paragraph1 Char,Numbered List Char,1st level - Bullet List Paragraph Char,Lettre d'introduction Char,lp1 Char,Farbige Liste - Akzent 11 Char"/>
    <w:link w:val="ListParagraph"/>
    <w:uiPriority w:val="34"/>
    <w:qFormat/>
    <w:locked/>
    <w:rsid w:val="00622067"/>
    <w:rPr>
      <w:rFonts w:ascii="Times New Roman" w:eastAsia="Times New Roman" w:hAnsi="Times New Roman"/>
      <w:sz w:val="24"/>
      <w:szCs w:val="24"/>
      <w:lang w:val="fr-FR" w:eastAsia="fr-FR"/>
    </w:rPr>
  </w:style>
  <w:style w:type="paragraph" w:styleId="NormalWeb">
    <w:name w:val="Normal (Web)"/>
    <w:basedOn w:val="Normal"/>
    <w:uiPriority w:val="99"/>
    <w:unhideWhenUsed/>
    <w:rsid w:val="007E54D9"/>
    <w:pPr>
      <w:spacing w:before="100" w:beforeAutospacing="1" w:after="100" w:afterAutospacing="1"/>
    </w:pPr>
    <w:rPr>
      <w:lang w:val="en-AU" w:eastAsia="en-GB"/>
    </w:rPr>
  </w:style>
  <w:style w:type="paragraph" w:customStyle="1" w:styleId="CarCar3">
    <w:name w:val="Car Car3"/>
    <w:aliases w:val=" Car Car3 Char Char"/>
    <w:basedOn w:val="Normal"/>
    <w:link w:val="Hyperlink"/>
    <w:rsid w:val="007E54D9"/>
    <w:pPr>
      <w:tabs>
        <w:tab w:val="left" w:pos="510"/>
        <w:tab w:val="right" w:pos="9639"/>
      </w:tabs>
      <w:autoSpaceDE w:val="0"/>
      <w:autoSpaceDN w:val="0"/>
      <w:adjustRightInd w:val="0"/>
      <w:spacing w:after="80" w:line="220" w:lineRule="exact"/>
      <w:ind w:left="1020" w:hanging="510"/>
      <w:jc w:val="both"/>
    </w:pPr>
    <w:rPr>
      <w:rFonts w:ascii="Calibri" w:eastAsia="SimSun" w:hAnsi="Calibri"/>
      <w:color w:val="0000FF"/>
      <w:sz w:val="20"/>
      <w:szCs w:val="20"/>
      <w:u w:val="single"/>
      <w:lang w:val="en-GB" w:eastAsia="en-GB"/>
    </w:rPr>
  </w:style>
  <w:style w:type="paragraph" w:styleId="Revision">
    <w:name w:val="Revision"/>
    <w:hidden/>
    <w:uiPriority w:val="99"/>
    <w:semiHidden/>
    <w:rsid w:val="00E206E4"/>
    <w:rPr>
      <w:rFonts w:ascii="Times New Roman" w:eastAsia="Times New Roman" w:hAnsi="Times New Roman"/>
      <w:sz w:val="24"/>
      <w:szCs w:val="24"/>
      <w:lang w:val="fr-FR" w:eastAsia="fr-FR"/>
    </w:rPr>
  </w:style>
  <w:style w:type="paragraph" w:customStyle="1" w:styleId="BODYTEXT">
    <w:name w:val="¬BODY TEXT"/>
    <w:basedOn w:val="Normal"/>
    <w:link w:val="BODYTEXTChar"/>
    <w:qFormat/>
    <w:rsid w:val="00AB7E1F"/>
    <w:p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AB7E1F"/>
    <w:rPr>
      <w:rFonts w:ascii="Arial" w:eastAsia="Calibri" w:hAnsi="Arial" w:cs="Arial"/>
      <w:color w:val="000000"/>
      <w:sz w:val="22"/>
      <w:szCs w:val="22"/>
      <w:lang w:eastAsia="fr-FR"/>
    </w:rPr>
  </w:style>
  <w:style w:type="character" w:styleId="UnresolvedMention">
    <w:name w:val="Unresolved Mention"/>
    <w:basedOn w:val="DefaultParagraphFont"/>
    <w:uiPriority w:val="99"/>
    <w:semiHidden/>
    <w:unhideWhenUsed/>
    <w:rsid w:val="0015601E"/>
    <w:rPr>
      <w:color w:val="605E5C"/>
      <w:shd w:val="clear" w:color="auto" w:fill="E1DFDD"/>
    </w:rPr>
  </w:style>
  <w:style w:type="character" w:styleId="FollowedHyperlink">
    <w:name w:val="FollowedHyperlink"/>
    <w:basedOn w:val="DefaultParagraphFont"/>
    <w:uiPriority w:val="99"/>
    <w:semiHidden/>
    <w:unhideWhenUsed/>
    <w:rsid w:val="008C1917"/>
    <w:rPr>
      <w:color w:val="954F72" w:themeColor="followedHyperlink"/>
      <w:u w:val="single"/>
    </w:rPr>
  </w:style>
  <w:style w:type="character" w:styleId="CommentReference">
    <w:name w:val="annotation reference"/>
    <w:basedOn w:val="DefaultParagraphFont"/>
    <w:uiPriority w:val="99"/>
    <w:semiHidden/>
    <w:unhideWhenUsed/>
    <w:rsid w:val="008F7166"/>
    <w:rPr>
      <w:sz w:val="16"/>
      <w:szCs w:val="16"/>
    </w:rPr>
  </w:style>
  <w:style w:type="paragraph" w:styleId="CommentText">
    <w:name w:val="annotation text"/>
    <w:basedOn w:val="Normal"/>
    <w:link w:val="CommentTextChar"/>
    <w:uiPriority w:val="99"/>
    <w:semiHidden/>
    <w:unhideWhenUsed/>
    <w:rsid w:val="008F7166"/>
    <w:rPr>
      <w:sz w:val="20"/>
      <w:szCs w:val="20"/>
    </w:rPr>
  </w:style>
  <w:style w:type="character" w:customStyle="1" w:styleId="CommentTextChar">
    <w:name w:val="Comment Text Char"/>
    <w:basedOn w:val="DefaultParagraphFont"/>
    <w:link w:val="CommentText"/>
    <w:uiPriority w:val="99"/>
    <w:semiHidden/>
    <w:rsid w:val="008F7166"/>
    <w:rPr>
      <w:rFonts w:ascii="Times New Roman" w:eastAsia="Times New Roman" w:hAnsi="Times New Roman"/>
      <w:lang w:val="fr-FR" w:eastAsia="fr-FR"/>
    </w:rPr>
  </w:style>
  <w:style w:type="paragraph" w:styleId="CommentSubject">
    <w:name w:val="annotation subject"/>
    <w:basedOn w:val="CommentText"/>
    <w:next w:val="CommentText"/>
    <w:link w:val="CommentSubjectChar"/>
    <w:uiPriority w:val="99"/>
    <w:semiHidden/>
    <w:unhideWhenUsed/>
    <w:rsid w:val="008F7166"/>
    <w:rPr>
      <w:b/>
      <w:bCs/>
    </w:rPr>
  </w:style>
  <w:style w:type="character" w:customStyle="1" w:styleId="CommentSubjectChar">
    <w:name w:val="Comment Subject Char"/>
    <w:basedOn w:val="CommentTextChar"/>
    <w:link w:val="CommentSubject"/>
    <w:uiPriority w:val="99"/>
    <w:semiHidden/>
    <w:rsid w:val="008F7166"/>
    <w:rPr>
      <w:rFonts w:ascii="Times New Roman" w:eastAsia="Times New Roman" w:hAnsi="Times New Roman"/>
      <w:b/>
      <w:bCs/>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unesdoc.unesco.org/ark:/48223/pf0000259805?posInSet=2&amp;queryId=df3a8b4d-303b-4a77-a734-dbb85f794eb7" TargetMode="External"/><Relationship Id="rId21" Type="http://schemas.openxmlformats.org/officeDocument/2006/relationships/hyperlink" Target="https://ich.unesco.org/en/Decisions/14.COM/19" TargetMode="External"/><Relationship Id="rId42" Type="http://schemas.openxmlformats.org/officeDocument/2006/relationships/hyperlink" Target="https://ich.unesco.org/en/Decisions/14.COM/15" TargetMode="External"/><Relationship Id="rId47" Type="http://schemas.openxmlformats.org/officeDocument/2006/relationships/hyperlink" Target="https://ich.unesco.org/en/d%C3%A9cisions/14.COM/17?dec=decisions&amp;ref_decision=14.COM" TargetMode="External"/><Relationship Id="rId63" Type="http://schemas.openxmlformats.org/officeDocument/2006/relationships/hyperlink" Target="https://ich.unesco.org/doc/src/45520.pdf" TargetMode="External"/><Relationship Id="rId68" Type="http://schemas.openxmlformats.org/officeDocument/2006/relationships/hyperlink" Target="https://ich.unesco.org/doc/src/45524-FR.pdf" TargetMode="External"/><Relationship Id="rId84" Type="http://schemas.openxmlformats.org/officeDocument/2006/relationships/hyperlink" Target="https://ich.unesco.org/doc/src/LHE-20-8.GA-14-EN.docx" TargetMode="External"/><Relationship Id="rId89" Type="http://schemas.openxmlformats.org/officeDocument/2006/relationships/hyperlink" Target="https://ich.unesco.org/doc/src/LHE-19-14.COM-19-EN.docx" TargetMode="External"/><Relationship Id="rId7" Type="http://schemas.openxmlformats.org/officeDocument/2006/relationships/endnotes" Target="endnotes.xml"/><Relationship Id="rId71" Type="http://schemas.openxmlformats.org/officeDocument/2006/relationships/hyperlink" Target="https://ich.unesco.org/doc/src/42711-EN.pdf" TargetMode="External"/><Relationship Id="rId92" Type="http://schemas.openxmlformats.org/officeDocument/2006/relationships/hyperlink" Target="https://ich.unesco.org/doc/src/ITH-18-7.GA-13-EN.docx" TargetMode="External"/><Relationship Id="rId2" Type="http://schemas.openxmlformats.org/officeDocument/2006/relationships/numbering" Target="numbering.xml"/><Relationship Id="rId16" Type="http://schemas.openxmlformats.org/officeDocument/2006/relationships/hyperlink" Target="https://ich.unesco.org/doc/src/LHE-20-8.GA-6+Add.-EN.docx" TargetMode="External"/><Relationship Id="rId29" Type="http://schemas.openxmlformats.org/officeDocument/2006/relationships/hyperlink" Target="https://ich.unesco.org/doc/src/LHE-20-8.GA-11-EN.docx" TargetMode="External"/><Relationship Id="rId107" Type="http://schemas.openxmlformats.org/officeDocument/2006/relationships/theme" Target="theme/theme1.xml"/><Relationship Id="rId11" Type="http://schemas.openxmlformats.org/officeDocument/2006/relationships/hyperlink" Target="https://ich.unesco.org/en/r%C3%A9solutions/3.GA/12?dec=resolutions&amp;ref_decision=3.GA" TargetMode="External"/><Relationship Id="rId24" Type="http://schemas.openxmlformats.org/officeDocument/2006/relationships/hyperlink" Target="https://unesdoc.unesco.org/ark:/48223/pf0000260889" TargetMode="External"/><Relationship Id="rId32" Type="http://schemas.openxmlformats.org/officeDocument/2006/relationships/hyperlink" Target="https://ich.unesco.org/en/Decisions/13.COM/10" TargetMode="External"/><Relationship Id="rId37" Type="http://schemas.openxmlformats.org/officeDocument/2006/relationships/hyperlink" Target="https://ich.unesco.org/doc/src/LHE-20-8.GA-12-EN.docx" TargetMode="External"/><Relationship Id="rId40" Type="http://schemas.openxmlformats.org/officeDocument/2006/relationships/hyperlink" Target="https://ich.unesco.org/en/Decisions/13.COM/13" TargetMode="External"/><Relationship Id="rId45" Type="http://schemas.openxmlformats.org/officeDocument/2006/relationships/hyperlink" Target="https://ich.unesco.org/en/Decisions/7.GA/11" TargetMode="External"/><Relationship Id="rId53" Type="http://schemas.openxmlformats.org/officeDocument/2006/relationships/hyperlink" Target="https://ich.unesco.org/doc/src/45499.pdf" TargetMode="External"/><Relationship Id="rId58" Type="http://schemas.openxmlformats.org/officeDocument/2006/relationships/hyperlink" Target="https://ich.unesco.org/doc/src/45515-EN.pdf" TargetMode="External"/><Relationship Id="rId66" Type="http://schemas.openxmlformats.org/officeDocument/2006/relationships/hyperlink" Target="https://ich.unesco.org/doc/src/45522-FR.pdf" TargetMode="External"/><Relationship Id="rId74" Type="http://schemas.openxmlformats.org/officeDocument/2006/relationships/hyperlink" Target="https://ich.unesco.org/doc/src/45527.pdf" TargetMode="External"/><Relationship Id="rId79" Type="http://schemas.openxmlformats.org/officeDocument/2006/relationships/hyperlink" Target="https://ich.unesco.org/doc/src/45531-EN.pdf" TargetMode="External"/><Relationship Id="rId87" Type="http://schemas.openxmlformats.org/officeDocument/2006/relationships/hyperlink" Target="https://ich.unesco.org/doc/src/LHE-20-8.GA-7_Rev.-EN.docx" TargetMode="External"/><Relationship Id="rId102" Type="http://schemas.openxmlformats.org/officeDocument/2006/relationships/hyperlink" Target="https://ich.unesco.org/en/Resolutions/7.GA/13" TargetMode="External"/><Relationship Id="rId5" Type="http://schemas.openxmlformats.org/officeDocument/2006/relationships/webSettings" Target="webSettings.xml"/><Relationship Id="rId61" Type="http://schemas.openxmlformats.org/officeDocument/2006/relationships/hyperlink" Target="https://ich.unesco.org/doc/src/45518.pdf" TargetMode="External"/><Relationship Id="rId82" Type="http://schemas.openxmlformats.org/officeDocument/2006/relationships/hyperlink" Target="https://ich.unesco.org/doc/src/45533-EN.pdf" TargetMode="External"/><Relationship Id="rId90" Type="http://schemas.openxmlformats.org/officeDocument/2006/relationships/hyperlink" Target="https://ich.unesco.org/doc/src/ITH-18-13.COM-17-EN.docx" TargetMode="External"/><Relationship Id="rId95" Type="http://schemas.openxmlformats.org/officeDocument/2006/relationships/hyperlink" Target="https://ich.unesco.org/en/Decisions/13.COM/17" TargetMode="External"/><Relationship Id="rId19" Type="http://schemas.openxmlformats.org/officeDocument/2006/relationships/hyperlink" Target="https://ich.unesco.org/doc/src/LHE-20-8.GA-8-EN.docx" TargetMode="External"/><Relationship Id="rId14" Type="http://schemas.openxmlformats.org/officeDocument/2006/relationships/hyperlink" Target="https://ich.unesco.org/en/Decisions/14.COM/12" TargetMode="External"/><Relationship Id="rId22" Type="http://schemas.openxmlformats.org/officeDocument/2006/relationships/hyperlink" Target="https://ich.unesco.org/doc/src/LHE-20-8.GA-9-EN.docx" TargetMode="External"/><Relationship Id="rId27" Type="http://schemas.openxmlformats.org/officeDocument/2006/relationships/hyperlink" Target="https://ich.unesco.org/doc/src/ICH-Operational_Directives-7.GA-PDF-EN.pdf" TargetMode="External"/><Relationship Id="rId30" Type="http://schemas.openxmlformats.org/officeDocument/2006/relationships/hyperlink" Target="https://ich.unesco.org/doc/src/LHE-19-14.COM-14-EN.docx" TargetMode="External"/><Relationship Id="rId35" Type="http://schemas.openxmlformats.org/officeDocument/2006/relationships/hyperlink" Target="https://ich.unesco.org/doc/src/LHE-20-8.GA-11-EN.docx" TargetMode="External"/><Relationship Id="rId43" Type="http://schemas.openxmlformats.org/officeDocument/2006/relationships/hyperlink" Target="https://ich.unesco.org/en/Decisions/14.COM/16" TargetMode="External"/><Relationship Id="rId48" Type="http://schemas.openxmlformats.org/officeDocument/2006/relationships/hyperlink" Target="https://ich.unesco.org/doc/src/45486.pdf" TargetMode="External"/><Relationship Id="rId56" Type="http://schemas.openxmlformats.org/officeDocument/2006/relationships/hyperlink" Target="https://ich.unesco.org/doc/src/45513-EN.pdf" TargetMode="External"/><Relationship Id="rId64" Type="http://schemas.openxmlformats.org/officeDocument/2006/relationships/hyperlink" Target="https://ich.unesco.org/doc/src/43083.pdf" TargetMode="External"/><Relationship Id="rId69" Type="http://schemas.openxmlformats.org/officeDocument/2006/relationships/hyperlink" Target="https://ich.unesco.org/doc/src/45525.pdf" TargetMode="External"/><Relationship Id="rId77" Type="http://schemas.openxmlformats.org/officeDocument/2006/relationships/hyperlink" Target="https://ich.unesco.org/doc/src/45530.pdf" TargetMode="External"/><Relationship Id="rId100" Type="http://schemas.openxmlformats.org/officeDocument/2006/relationships/hyperlink" Target="https://en.unesco.org/sites/default/files/39c-res87-governance-eng.pdf" TargetMode="External"/><Relationship Id="rId105" Type="http://schemas.openxmlformats.org/officeDocument/2006/relationships/header" Target="header3.xml"/><Relationship Id="rId8" Type="http://schemas.openxmlformats.org/officeDocument/2006/relationships/hyperlink" Target="https://ich.unesco.org/doc/src/LHE-20-8.GA-2-EN.docx" TargetMode="External"/><Relationship Id="rId51" Type="http://schemas.openxmlformats.org/officeDocument/2006/relationships/hyperlink" Target="https://ich.unesco.org/doc/src/42674-FR.pdf" TargetMode="External"/><Relationship Id="rId72" Type="http://schemas.openxmlformats.org/officeDocument/2006/relationships/hyperlink" Target="https://ich.unesco.org/doc/src/43093.pdf" TargetMode="External"/><Relationship Id="rId80" Type="http://schemas.openxmlformats.org/officeDocument/2006/relationships/hyperlink" Target="https://ich.unesco.org/doc/src/42719-EN.pdf" TargetMode="External"/><Relationship Id="rId85" Type="http://schemas.openxmlformats.org/officeDocument/2006/relationships/hyperlink" Target="https://ich.unesco.org/en/Decisions/8.GA/4" TargetMode="External"/><Relationship Id="rId93" Type="http://schemas.openxmlformats.org/officeDocument/2006/relationships/hyperlink" Target="https://ich.unesco.org/doc/src/ITH-18-7.GA-12-EN.docx" TargetMode="External"/><Relationship Id="rId98" Type="http://schemas.openxmlformats.org/officeDocument/2006/relationships/hyperlink" Target="https://ich.unesco.org/en/Resolutions/7.GA/13" TargetMode="External"/><Relationship Id="rId3" Type="http://schemas.openxmlformats.org/officeDocument/2006/relationships/styles" Target="styles.xml"/><Relationship Id="rId12" Type="http://schemas.openxmlformats.org/officeDocument/2006/relationships/hyperlink" Target="https://ich.unesco.org/doc/src/LHE-20-8.GA-5-EN.docx" TargetMode="External"/><Relationship Id="rId17" Type="http://schemas.openxmlformats.org/officeDocument/2006/relationships/hyperlink" Target="https://ich.unesco.org/doc/src/LHE-20-8.GA-7_Rev.-EN.docx" TargetMode="External"/><Relationship Id="rId25" Type="http://schemas.openxmlformats.org/officeDocument/2006/relationships/hyperlink" Target="https://unesdoc.unesco.org/ark:/48223/pf0000235186" TargetMode="External"/><Relationship Id="rId33" Type="http://schemas.openxmlformats.org/officeDocument/2006/relationships/hyperlink" Target="https://ich.unesco.org/en/Decisions/14.COM/14" TargetMode="External"/><Relationship Id="rId38" Type="http://schemas.openxmlformats.org/officeDocument/2006/relationships/hyperlink" Target="https://ich.unesco.org/en/Decisions/12.COM/13" TargetMode="External"/><Relationship Id="rId46" Type="http://schemas.openxmlformats.org/officeDocument/2006/relationships/hyperlink" Target="https://ich.unesco.org/doc/src/LHE-20-8.GA-13-EN.docx" TargetMode="External"/><Relationship Id="rId59" Type="http://schemas.openxmlformats.org/officeDocument/2006/relationships/hyperlink" Target="https://ich.unesco.org/doc/src/45516-FR.pdf" TargetMode="External"/><Relationship Id="rId67" Type="http://schemas.openxmlformats.org/officeDocument/2006/relationships/hyperlink" Target="https://ich.unesco.org/doc/src/45523-FR.pdf" TargetMode="External"/><Relationship Id="rId103" Type="http://schemas.openxmlformats.org/officeDocument/2006/relationships/header" Target="header1.xml"/><Relationship Id="rId20" Type="http://schemas.openxmlformats.org/officeDocument/2006/relationships/hyperlink" Target="https://unesdoc.unesco.org/ark:/48223/pf0000260889" TargetMode="External"/><Relationship Id="rId41" Type="http://schemas.openxmlformats.org/officeDocument/2006/relationships/hyperlink" Target="https://ich.unesco.org/en/Decisions/13.COM/16" TargetMode="External"/><Relationship Id="rId54" Type="http://schemas.openxmlformats.org/officeDocument/2006/relationships/hyperlink" Target="https://ich.unesco.org/doc/src/45510.pdf" TargetMode="External"/><Relationship Id="rId62" Type="http://schemas.openxmlformats.org/officeDocument/2006/relationships/hyperlink" Target="https://ich.unesco.org/doc/src/45519.pdf" TargetMode="External"/><Relationship Id="rId70" Type="http://schemas.openxmlformats.org/officeDocument/2006/relationships/hyperlink" Target="https://ich.unesco.org/doc/src/45571.pdf" TargetMode="External"/><Relationship Id="rId75" Type="http://schemas.openxmlformats.org/officeDocument/2006/relationships/hyperlink" Target="https://ich.unesco.org/doc/src/45528.pdf" TargetMode="External"/><Relationship Id="rId83" Type="http://schemas.openxmlformats.org/officeDocument/2006/relationships/hyperlink" Target="https://ich.unesco.org/doc/src/45534-EN.pdf" TargetMode="External"/><Relationship Id="rId88" Type="http://schemas.openxmlformats.org/officeDocument/2006/relationships/hyperlink" Target="https://ich.unesco.org/doc/src/LHE-20-8.GA-8-EN.docx" TargetMode="External"/><Relationship Id="rId91" Type="http://schemas.openxmlformats.org/officeDocument/2006/relationships/hyperlink" Target="https://ich.unesco.org/doc/src/ITH-17-12.COM-16-EN.docx" TargetMode="External"/><Relationship Id="rId96" Type="http://schemas.openxmlformats.org/officeDocument/2006/relationships/hyperlink" Target="https://ich.unesco.org/en/Decisions/12.COM/1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20-8.GA-6+Add.-EN.docx" TargetMode="External"/><Relationship Id="rId23" Type="http://schemas.openxmlformats.org/officeDocument/2006/relationships/hyperlink" Target="https://unesdoc.unesco.org/ark:/48223/pf0000243325" TargetMode="External"/><Relationship Id="rId28" Type="http://schemas.openxmlformats.org/officeDocument/2006/relationships/hyperlink" Target="https://ich.unesco.org/doc/src/LHE-20-8.GA-10-EN.docx" TargetMode="External"/><Relationship Id="rId36" Type="http://schemas.openxmlformats.org/officeDocument/2006/relationships/hyperlink" Target="https://ich.unesco.org/en/Decisions/14.COM/14" TargetMode="External"/><Relationship Id="rId49" Type="http://schemas.openxmlformats.org/officeDocument/2006/relationships/hyperlink" Target="https://ich.unesco.org/doc/src/45490-FR.pdf" TargetMode="External"/><Relationship Id="rId57" Type="http://schemas.openxmlformats.org/officeDocument/2006/relationships/hyperlink" Target="https://ich.unesco.org/doc/src/45514.pdf" TargetMode="External"/><Relationship Id="rId106" Type="http://schemas.openxmlformats.org/officeDocument/2006/relationships/fontTable" Target="fontTable.xml"/><Relationship Id="rId10" Type="http://schemas.openxmlformats.org/officeDocument/2006/relationships/hyperlink" Target="https://ich.unesco.org/doc/src/LHE-20-8.GA-4-EN.docx" TargetMode="External"/><Relationship Id="rId31" Type="http://schemas.openxmlformats.org/officeDocument/2006/relationships/hyperlink" Target="https://ich.unesco.org/en/Decisions/13.COM/6" TargetMode="External"/><Relationship Id="rId44" Type="http://schemas.openxmlformats.org/officeDocument/2006/relationships/hyperlink" Target="https://ich.unesco.org/en/Resolutions/7.GA/6" TargetMode="External"/><Relationship Id="rId52" Type="http://schemas.openxmlformats.org/officeDocument/2006/relationships/hyperlink" Target="https://ich.unesco.org/doc/src/45495.pdf" TargetMode="External"/><Relationship Id="rId60" Type="http://schemas.openxmlformats.org/officeDocument/2006/relationships/hyperlink" Target="https://ich.unesco.org/doc/src/42681.pdf" TargetMode="External"/><Relationship Id="rId65" Type="http://schemas.openxmlformats.org/officeDocument/2006/relationships/hyperlink" Target="https://ich.unesco.org/doc/src/45521-EN.pdf" TargetMode="External"/><Relationship Id="rId73" Type="http://schemas.openxmlformats.org/officeDocument/2006/relationships/hyperlink" Target="https://ich.unesco.org/doc/src/48726-EN.pdf" TargetMode="External"/><Relationship Id="rId78" Type="http://schemas.openxmlformats.org/officeDocument/2006/relationships/hyperlink" Target="https://ich.unesco.org/doc/src/42676.pdf" TargetMode="External"/><Relationship Id="rId81" Type="http://schemas.openxmlformats.org/officeDocument/2006/relationships/hyperlink" Target="https://ich.unesco.org/doc/src/45532.pdf" TargetMode="External"/><Relationship Id="rId86" Type="http://schemas.openxmlformats.org/officeDocument/2006/relationships/hyperlink" Target="https://ich.unesco.org/doc/src/LHE-20-8.GA-15-EN.docx" TargetMode="External"/><Relationship Id="rId94" Type="http://schemas.openxmlformats.org/officeDocument/2006/relationships/hyperlink" Target="https://ich.unesco.org/en/Decisions/14.COM/19" TargetMode="External"/><Relationship Id="rId99" Type="http://schemas.openxmlformats.org/officeDocument/2006/relationships/hyperlink" Target="https://ich.unesco.org/en/Resolutions/6.GA/11" TargetMode="External"/><Relationship Id="rId101" Type="http://schemas.openxmlformats.org/officeDocument/2006/relationships/hyperlink" Target="http://www.unesco.org/new/fileadmin/MULTIMEDIA/HQ/GBS/38GC/pdf/101_Resolution.pdf" TargetMode="External"/><Relationship Id="rId4" Type="http://schemas.openxmlformats.org/officeDocument/2006/relationships/settings" Target="settings.xml"/><Relationship Id="rId9" Type="http://schemas.openxmlformats.org/officeDocument/2006/relationships/hyperlink" Target="https://ich.unesco.org/doc/src/LHE-20-8.GA-3_Rev.-EN.docx" TargetMode="External"/><Relationship Id="rId13" Type="http://schemas.openxmlformats.org/officeDocument/2006/relationships/hyperlink" Target="https://ich.unesco.org/en/Decisions/13.COM/10.b.41" TargetMode="External"/><Relationship Id="rId18" Type="http://schemas.openxmlformats.org/officeDocument/2006/relationships/hyperlink" Target="https://ich.unesco.org/doc/src/LHE-20-8.GA-INF.7-EN.docx" TargetMode="External"/><Relationship Id="rId39" Type="http://schemas.openxmlformats.org/officeDocument/2006/relationships/hyperlink" Target="https://ich.unesco.org/en/Decisions/12.COM/17" TargetMode="External"/><Relationship Id="rId34" Type="http://schemas.openxmlformats.org/officeDocument/2006/relationships/hyperlink" Target="https://ich.unesco.org/en/Decisions/13.COM/15" TargetMode="External"/><Relationship Id="rId50" Type="http://schemas.openxmlformats.org/officeDocument/2006/relationships/hyperlink" Target="https://ich.unesco.org/doc/src/45491-EN.pdf" TargetMode="External"/><Relationship Id="rId55" Type="http://schemas.openxmlformats.org/officeDocument/2006/relationships/hyperlink" Target="https://ich.unesco.org/doc/src/45512-FR.pdf" TargetMode="External"/><Relationship Id="rId76" Type="http://schemas.openxmlformats.org/officeDocument/2006/relationships/hyperlink" Target="https://ich.unesco.org/doc/src/45529.pdf" TargetMode="External"/><Relationship Id="rId97" Type="http://schemas.openxmlformats.org/officeDocument/2006/relationships/hyperlink" Target="https://ich.unesco.org/en/Resolutions/7.GA/12" TargetMode="External"/><Relationship Id="rId10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ICH-Operational_Directives-7.GA-PDF-EN.pdf" TargetMode="External"/><Relationship Id="rId2" Type="http://schemas.openxmlformats.org/officeDocument/2006/relationships/hyperlink" Target="https://unesdoc.unesco.org/ark:/48223/pf0000259805" TargetMode="External"/><Relationship Id="rId1" Type="http://schemas.openxmlformats.org/officeDocument/2006/relationships/hyperlink" Target="https://unesdoc.unesco.org/ark:/48223/pf0000235186"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462C0-4EBE-41A3-BA57-313A2582A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document_EN.dotx</Template>
  <TotalTime>8</TotalTime>
  <Pages>21</Pages>
  <Words>8551</Words>
  <Characters>48741</Characters>
  <Application>Microsoft Office Word</Application>
  <DocSecurity>0</DocSecurity>
  <Lines>406</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Delsol, Christine</dc:creator>
  <cp:lastModifiedBy>Thibault, Alice</cp:lastModifiedBy>
  <cp:revision>5</cp:revision>
  <cp:lastPrinted>2020-09-16T08:29:00Z</cp:lastPrinted>
  <dcterms:created xsi:type="dcterms:W3CDTF">2020-09-22T15:38:00Z</dcterms:created>
  <dcterms:modified xsi:type="dcterms:W3CDTF">2020-09-23T10:03:00Z</dcterms:modified>
</cp:coreProperties>
</file>