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3083A" w14:textId="11A00A57" w:rsidR="002938F2" w:rsidRPr="00F410D6" w:rsidRDefault="002938F2" w:rsidP="008D7DE1">
      <w:pPr>
        <w:spacing w:before="1440"/>
        <w:jc w:val="center"/>
        <w:rPr>
          <w:rFonts w:ascii="Arial" w:hAnsi="Arial" w:cs="Arial"/>
          <w:b/>
          <w:szCs w:val="22"/>
        </w:rPr>
      </w:pPr>
      <w:r>
        <w:rPr>
          <w:rFonts w:ascii="Arial" w:hAnsi="Arial"/>
          <w:b/>
        </w:rPr>
        <w:t>CONVENTION POUR LA SAUVEGARDE</w:t>
      </w:r>
      <w:r w:rsidR="006869A2">
        <w:rPr>
          <w:rFonts w:ascii="Arial" w:hAnsi="Arial"/>
          <w:b/>
        </w:rPr>
        <w:br/>
      </w:r>
      <w:r>
        <w:rPr>
          <w:rFonts w:ascii="Arial" w:hAnsi="Arial"/>
          <w:b/>
        </w:rPr>
        <w:t>DU</w:t>
      </w:r>
      <w:r w:rsidR="006869A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PATRIMOINE CULTUREL IMMATÉRIEL</w:t>
      </w:r>
    </w:p>
    <w:p w14:paraId="5ADF7741" w14:textId="52F40516" w:rsidR="002938F2" w:rsidRPr="00F410D6" w:rsidRDefault="00E439CA" w:rsidP="00AE1B18">
      <w:pPr>
        <w:spacing w:before="1200"/>
        <w:jc w:val="center"/>
        <w:rPr>
          <w:rFonts w:ascii="Arial" w:hAnsi="Arial" w:cs="Arial"/>
          <w:b/>
          <w:szCs w:val="22"/>
        </w:rPr>
      </w:pPr>
      <w:r>
        <w:rPr>
          <w:rFonts w:ascii="Arial" w:hAnsi="Arial"/>
          <w:b/>
        </w:rPr>
        <w:t>ASSEMBLÉE GÉNÉRALE DES ÉTATS PARTIES À LA CONVENTION</w:t>
      </w:r>
    </w:p>
    <w:p w14:paraId="6D4FBAEC" w14:textId="77777777" w:rsidR="00AD61B7" w:rsidRPr="00FD624F" w:rsidRDefault="00AD61B7" w:rsidP="00AD61B7">
      <w:pPr>
        <w:spacing w:before="840"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/>
          <w:b/>
        </w:rPr>
        <w:t>Huitième session</w:t>
      </w:r>
    </w:p>
    <w:p w14:paraId="26C2E227" w14:textId="59EC0082" w:rsidR="00AD61B7" w:rsidRPr="00E932B9" w:rsidRDefault="00AD61B7" w:rsidP="00AD61B7">
      <w:pPr>
        <w:spacing w:after="0"/>
        <w:jc w:val="center"/>
        <w:rPr>
          <w:rFonts w:ascii="Arial" w:hAnsi="Arial" w:cs="Arial"/>
          <w:b/>
          <w:szCs w:val="22"/>
        </w:rPr>
      </w:pPr>
      <w:r w:rsidRPr="00E932B9">
        <w:rPr>
          <w:rFonts w:ascii="Arial" w:hAnsi="Arial"/>
          <w:b/>
        </w:rPr>
        <w:t>Siège de l</w:t>
      </w:r>
      <w:r w:rsidR="008D7DE1" w:rsidRPr="00E932B9">
        <w:rPr>
          <w:rFonts w:ascii="Arial" w:hAnsi="Arial"/>
          <w:b/>
        </w:rPr>
        <w:t>’</w:t>
      </w:r>
      <w:r w:rsidRPr="00E932B9">
        <w:rPr>
          <w:rFonts w:ascii="Arial" w:hAnsi="Arial"/>
          <w:b/>
        </w:rPr>
        <w:t xml:space="preserve">UNESCO, </w:t>
      </w:r>
      <w:r w:rsidR="00E932B9" w:rsidRPr="00E932B9">
        <w:rPr>
          <w:rFonts w:ascii="Arial" w:hAnsi="Arial"/>
          <w:b/>
        </w:rPr>
        <w:t>salle </w:t>
      </w:r>
      <w:r w:rsidRPr="00E932B9">
        <w:rPr>
          <w:rFonts w:ascii="Arial" w:hAnsi="Arial"/>
          <w:b/>
        </w:rPr>
        <w:t>I</w:t>
      </w:r>
    </w:p>
    <w:p w14:paraId="1D6AB3BC" w14:textId="4DDC6CBE" w:rsidR="00AD61B7" w:rsidRPr="00414643" w:rsidRDefault="00F532F8" w:rsidP="00AD61B7">
      <w:pPr>
        <w:spacing w:after="0"/>
        <w:jc w:val="center"/>
        <w:rPr>
          <w:rFonts w:ascii="Arial" w:hAnsi="Arial" w:cs="Arial"/>
          <w:b/>
          <w:szCs w:val="22"/>
        </w:rPr>
      </w:pPr>
      <w:r w:rsidRPr="00E932B9">
        <w:rPr>
          <w:rFonts w:ascii="Arial" w:hAnsi="Arial"/>
          <w:b/>
        </w:rPr>
        <w:t>8 –</w:t>
      </w:r>
      <w:r w:rsidR="008D7DE1" w:rsidRPr="00E932B9">
        <w:rPr>
          <w:rFonts w:ascii="Arial" w:hAnsi="Arial"/>
          <w:b/>
        </w:rPr>
        <w:t xml:space="preserve"> </w:t>
      </w:r>
      <w:r w:rsidRPr="00E932B9">
        <w:rPr>
          <w:rFonts w:ascii="Arial" w:hAnsi="Arial"/>
          <w:b/>
        </w:rPr>
        <w:t>10 septembre 2020</w:t>
      </w:r>
    </w:p>
    <w:p w14:paraId="620DA978" w14:textId="238F16B3" w:rsidR="00851458" w:rsidRPr="00AD61B7" w:rsidRDefault="005A5792" w:rsidP="005A5792">
      <w:pPr>
        <w:pStyle w:val="Sansinterligne1"/>
        <w:spacing w:before="1200" w:after="120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</w:rPr>
        <w:t xml:space="preserve">État financier pour la </w:t>
      </w:r>
      <w:r w:rsidR="00E932B9">
        <w:rPr>
          <w:rFonts w:ascii="Arial" w:hAnsi="Arial"/>
          <w:b/>
          <w:caps/>
          <w:sz w:val="22"/>
        </w:rPr>
        <w:t>pÉriode</w:t>
      </w:r>
      <w:r>
        <w:rPr>
          <w:rFonts w:ascii="Arial" w:hAnsi="Arial"/>
          <w:b/>
          <w:caps/>
          <w:sz w:val="22"/>
        </w:rPr>
        <w:br/>
        <w:t>1</w:t>
      </w:r>
      <w:r>
        <w:rPr>
          <w:rFonts w:ascii="Arial" w:hAnsi="Arial"/>
          <w:b/>
          <w:caps/>
          <w:sz w:val="22"/>
          <w:vertAlign w:val="superscript"/>
        </w:rPr>
        <w:t>er</w:t>
      </w:r>
      <w:r>
        <w:rPr>
          <w:rFonts w:ascii="Arial" w:hAnsi="Arial"/>
          <w:b/>
          <w:caps/>
          <w:sz w:val="22"/>
        </w:rPr>
        <w:t xml:space="preserve"> janvier 2018 </w:t>
      </w:r>
      <w:r w:rsidR="008D7DE1">
        <w:rPr>
          <w:rFonts w:ascii="Arial" w:hAnsi="Arial"/>
          <w:b/>
          <w:caps/>
          <w:sz w:val="22"/>
        </w:rPr>
        <w:t>–</w:t>
      </w:r>
      <w:r>
        <w:rPr>
          <w:rFonts w:ascii="Arial" w:hAnsi="Arial"/>
          <w:b/>
          <w:caps/>
          <w:sz w:val="22"/>
        </w:rPr>
        <w:t xml:space="preserve"> 31</w:t>
      </w:r>
      <w:r w:rsidR="008D7DE1">
        <w:rPr>
          <w:rFonts w:ascii="Arial" w:hAnsi="Arial"/>
          <w:b/>
          <w:caps/>
          <w:sz w:val="22"/>
        </w:rPr>
        <w:t xml:space="preserve"> dÉcembre </w:t>
      </w:r>
      <w:r>
        <w:rPr>
          <w:rFonts w:ascii="Arial" w:hAnsi="Arial"/>
          <w:b/>
          <w:caps/>
          <w:sz w:val="22"/>
        </w:rPr>
        <w:t>2019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A5792" w:rsidRPr="00F410D6" w14:paraId="10604F78" w14:textId="77777777" w:rsidTr="004C0380">
        <w:trPr>
          <w:jc w:val="center"/>
        </w:trPr>
        <w:tc>
          <w:tcPr>
            <w:tcW w:w="5669" w:type="dxa"/>
          </w:tcPr>
          <w:p w14:paraId="412B5B07" w14:textId="77777777" w:rsidR="005A5792" w:rsidRPr="00F410D6" w:rsidRDefault="005A5792" w:rsidP="002E62EA">
            <w:pPr>
              <w:pStyle w:val="Sansinterligne"/>
              <w:spacing w:before="200" w:after="200"/>
              <w:ind w:left="284" w:right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Résumé</w:t>
            </w:r>
          </w:p>
          <w:p w14:paraId="374FEDBD" w14:textId="4197C841" w:rsidR="005A5792" w:rsidRPr="00F410D6" w:rsidRDefault="00952878" w:rsidP="00D979B7">
            <w:pPr>
              <w:pStyle w:val="Pranumrotrecommenc1"/>
              <w:tabs>
                <w:tab w:val="clear" w:pos="360"/>
              </w:tabs>
              <w:spacing w:before="200" w:after="200"/>
              <w:ind w:left="0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sz w:val="22"/>
              </w:rPr>
              <w:t>Conformément à l</w:t>
            </w:r>
            <w:r w:rsidR="008D7DE1">
              <w:rPr>
                <w:sz w:val="22"/>
              </w:rPr>
              <w:t>’</w:t>
            </w:r>
            <w:r>
              <w:rPr>
                <w:sz w:val="22"/>
              </w:rPr>
              <w:t xml:space="preserve">article 7.5 de son Règlement financier, les comptes du Compte spécial pour le Fonds pour la sauvegarde du patrimoine culturel immatériel </w:t>
            </w:r>
            <w:r>
              <w:t>« </w:t>
            </w:r>
            <w:r>
              <w:rPr>
                <w:sz w:val="22"/>
              </w:rPr>
              <w:t>sont soumis par [la Directrice générale] à l</w:t>
            </w:r>
            <w:r w:rsidR="008D7DE1">
              <w:rPr>
                <w:sz w:val="22"/>
              </w:rPr>
              <w:t>’</w:t>
            </w:r>
            <w:r>
              <w:rPr>
                <w:sz w:val="22"/>
              </w:rPr>
              <w:t>Assemblée générale des États parties à la Convention</w:t>
            </w:r>
            <w:r>
              <w:t xml:space="preserve"> ». </w:t>
            </w:r>
            <w:r>
              <w:rPr>
                <w:sz w:val="22"/>
              </w:rPr>
              <w:t>Le présent document comprend le rapport financier du Fonds du patrimoine culturel immatériel pour la période du 1</w:t>
            </w:r>
            <w:r>
              <w:rPr>
                <w:sz w:val="22"/>
                <w:vertAlign w:val="superscript"/>
              </w:rPr>
              <w:t>er</w:t>
            </w:r>
            <w:r>
              <w:rPr>
                <w:sz w:val="22"/>
              </w:rPr>
              <w:t> janvier 2018 au 31 décembre 2019.</w:t>
            </w:r>
          </w:p>
        </w:tc>
      </w:tr>
    </w:tbl>
    <w:p w14:paraId="2A3CBB7D" w14:textId="77777777" w:rsidR="00623C1A" w:rsidRDefault="00623C1A">
      <w:pPr>
        <w:spacing w:after="0"/>
      </w:pPr>
      <w:r>
        <w:br w:type="page"/>
      </w:r>
    </w:p>
    <w:p w14:paraId="74BE36ED" w14:textId="77777777" w:rsidR="007773A7" w:rsidRPr="00F410D6" w:rsidRDefault="007773A7" w:rsidP="007773A7">
      <w:pPr>
        <w:pStyle w:val="Default"/>
        <w:pageBreakBefore/>
        <w:spacing w:after="240"/>
        <w:jc w:val="center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</w:rPr>
        <w:lastRenderedPageBreak/>
        <w:t>Note explicative</w:t>
      </w:r>
    </w:p>
    <w:p w14:paraId="69CFA1D4" w14:textId="05439483" w:rsidR="005A5792" w:rsidRDefault="007773A7" w:rsidP="0083271F">
      <w:pPr>
        <w:pStyle w:val="Paragraphedeliste"/>
        <w:tabs>
          <w:tab w:val="clear" w:pos="567"/>
          <w:tab w:val="left" w:pos="0"/>
        </w:tabs>
        <w:ind w:left="562" w:hanging="562"/>
      </w:pPr>
      <w:r>
        <w:t>Conformément à l</w:t>
      </w:r>
      <w:r w:rsidR="008D7DE1">
        <w:t>’</w:t>
      </w:r>
      <w:r>
        <w:t>article 7.5 de son Règlement financier, les comptes du Compte spécial pour le Fonds pour la sauvegarde du patrimoine culturel immatériel (ci-après « le Fonds ») « sont soumis par [la Directrice générale] à l</w:t>
      </w:r>
      <w:r w:rsidR="008D7DE1">
        <w:t>’</w:t>
      </w:r>
      <w:r>
        <w:t>Assemblée générale des États parties à la Convention ». Le présent document comprend le rapport financier du Fonds pour la période du 1</w:t>
      </w:r>
      <w:r>
        <w:rPr>
          <w:vertAlign w:val="superscript"/>
        </w:rPr>
        <w:t>er</w:t>
      </w:r>
      <w:r>
        <w:t> janvier 2018 au 31 décembre 2019, précédé d</w:t>
      </w:r>
      <w:r w:rsidR="008D7DE1">
        <w:t>’</w:t>
      </w:r>
      <w:r>
        <w:t>une brève note explicative.</w:t>
      </w:r>
    </w:p>
    <w:p w14:paraId="3FAF2456" w14:textId="75350BC2" w:rsidR="0089182A" w:rsidRPr="0089182A" w:rsidRDefault="006C15BD" w:rsidP="008D7DE1">
      <w:pPr>
        <w:pStyle w:val="Paragraphedeliste"/>
        <w:tabs>
          <w:tab w:val="clear" w:pos="567"/>
          <w:tab w:val="left" w:pos="0"/>
        </w:tabs>
        <w:ind w:left="562" w:hanging="562"/>
      </w:pPr>
      <w:r>
        <w:t>Le Fonds est régi par le Règlement financier du Compte spécial pour le Fonds pour la sauvegarde du patrimoine culturel immatériel, adopté par le Comité lors de sa première session extraordinaire (</w:t>
      </w:r>
      <w:hyperlink r:id="rId8" w:history="1">
        <w:r>
          <w:rPr>
            <w:rStyle w:val="Lienhypertexte"/>
          </w:rPr>
          <w:t>décision 1.EXT.COM 9</w:t>
        </w:r>
      </w:hyperlink>
      <w:r>
        <w:t>). Ses sources de revenus sont définies à l</w:t>
      </w:r>
      <w:r w:rsidR="008D7DE1">
        <w:t>’</w:t>
      </w:r>
      <w:r>
        <w:t>article 25.3 de la Convention et à l</w:t>
      </w:r>
      <w:r w:rsidR="008D7DE1">
        <w:t>’</w:t>
      </w:r>
      <w:r>
        <w:t>article 4 du Règlement financier susmentionné. Pendant la période considérée, les ressources du Fonds provenant des contributions obligatoires et volontaires des États parties ont été utilisées selon le Plan d</w:t>
      </w:r>
      <w:r w:rsidR="008D7DE1">
        <w:t>’</w:t>
      </w:r>
      <w:r>
        <w:t xml:space="preserve">utilisation des ressources du Fonds approuvé à </w:t>
      </w:r>
      <w:r w:rsidR="008D7DE1">
        <w:t xml:space="preserve">l’occasion </w:t>
      </w:r>
      <w:r>
        <w:t>de la septième session de l</w:t>
      </w:r>
      <w:r w:rsidR="008D7DE1">
        <w:t>’</w:t>
      </w:r>
      <w:r>
        <w:t>Assemblée générale en juin 2018 (</w:t>
      </w:r>
      <w:hyperlink r:id="rId9" w:history="1">
        <w:r>
          <w:rPr>
            <w:rStyle w:val="Lienhypertexte"/>
          </w:rPr>
          <w:t>résolution 7.GA 8</w:t>
        </w:r>
      </w:hyperlink>
      <w:r>
        <w:t>).</w:t>
      </w:r>
    </w:p>
    <w:p w14:paraId="5D804211" w14:textId="0300AD8F" w:rsidR="005A5792" w:rsidRPr="00F410D6" w:rsidRDefault="00720710" w:rsidP="00275132">
      <w:pPr>
        <w:pStyle w:val="Default"/>
        <w:keepNext/>
        <w:numPr>
          <w:ilvl w:val="0"/>
          <w:numId w:val="32"/>
        </w:numPr>
        <w:spacing w:before="240" w:after="120"/>
        <w:ind w:left="567" w:hanging="567"/>
        <w:jc w:val="both"/>
        <w:rPr>
          <w:b/>
          <w:bCs/>
          <w:color w:val="auto"/>
          <w:sz w:val="22"/>
          <w:szCs w:val="22"/>
        </w:rPr>
      </w:pPr>
      <w:r>
        <w:rPr>
          <w:b/>
          <w:sz w:val="22"/>
        </w:rPr>
        <w:t>Revenus</w:t>
      </w:r>
      <w:r>
        <w:rPr>
          <w:b/>
          <w:color w:val="auto"/>
          <w:sz w:val="22"/>
        </w:rPr>
        <w:t xml:space="preserve"> (État financier I)</w:t>
      </w:r>
      <w:r w:rsidR="006C15BD" w:rsidRPr="0091362A">
        <w:rPr>
          <w:rStyle w:val="Appelnotedebasdep"/>
          <w:bCs/>
          <w:color w:val="auto"/>
          <w:sz w:val="22"/>
          <w:szCs w:val="22"/>
          <w:lang w:val="en-GB"/>
        </w:rPr>
        <w:footnoteReference w:id="1"/>
      </w:r>
    </w:p>
    <w:p w14:paraId="1051DE0D" w14:textId="5710BEAD" w:rsidR="002B50BC" w:rsidRPr="00F410D6" w:rsidRDefault="002B50BC" w:rsidP="000F3504">
      <w:pPr>
        <w:pStyle w:val="COMPara"/>
        <w:numPr>
          <w:ilvl w:val="0"/>
          <w:numId w:val="9"/>
        </w:numPr>
        <w:ind w:left="562" w:hanging="562"/>
        <w:jc w:val="both"/>
      </w:pPr>
      <w:r>
        <w:t>Pendant la période considérée, les revenus du Fonds se composaient :</w:t>
      </w:r>
    </w:p>
    <w:tbl>
      <w:tblPr>
        <w:tblW w:w="907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168"/>
        <w:gridCol w:w="1904"/>
      </w:tblGrid>
      <w:tr w:rsidR="005974BB" w:rsidRPr="0072307E" w14:paraId="7FF2E9CA" w14:textId="699B612A" w:rsidTr="009C6431">
        <w:trPr>
          <w:cantSplit/>
        </w:trPr>
        <w:tc>
          <w:tcPr>
            <w:tcW w:w="9072" w:type="dxa"/>
            <w:gridSpan w:val="2"/>
            <w:shd w:val="clear" w:color="auto" w:fill="auto"/>
          </w:tcPr>
          <w:p w14:paraId="2FC05112" w14:textId="6A8B4644" w:rsidR="005974BB" w:rsidRPr="00AB369A" w:rsidRDefault="005974BB" w:rsidP="009C6431">
            <w:pPr>
              <w:pStyle w:val="Paragraph"/>
              <w:numPr>
                <w:ilvl w:val="0"/>
                <w:numId w:val="11"/>
              </w:numPr>
              <w:spacing w:after="60"/>
              <w:ind w:left="357" w:hanging="465"/>
              <w:jc w:val="left"/>
              <w:rPr>
                <w:sz w:val="20"/>
                <w:szCs w:val="20"/>
              </w:rPr>
            </w:pPr>
            <w:r w:rsidRPr="00AB369A">
              <w:rPr>
                <w:sz w:val="20"/>
                <w:u w:val="single"/>
              </w:rPr>
              <w:t>Des contributions obligatoires et volontaires des États parties</w:t>
            </w:r>
            <w:r w:rsidRPr="00AB369A">
              <w:rPr>
                <w:rStyle w:val="Appelnotedebasdep"/>
                <w:sz w:val="20"/>
                <w:szCs w:val="20"/>
              </w:rPr>
              <w:footnoteReference w:id="2"/>
            </w:r>
          </w:p>
        </w:tc>
      </w:tr>
      <w:tr w:rsidR="005974BB" w:rsidRPr="0072307E" w14:paraId="11B77810" w14:textId="4C9482EC" w:rsidTr="0089182A">
        <w:trPr>
          <w:cantSplit/>
        </w:trPr>
        <w:tc>
          <w:tcPr>
            <w:tcW w:w="7168" w:type="dxa"/>
            <w:shd w:val="clear" w:color="auto" w:fill="auto"/>
            <w:vAlign w:val="center"/>
          </w:tcPr>
          <w:p w14:paraId="24FFEAD0" w14:textId="7C138520" w:rsidR="005974BB" w:rsidRPr="00275132" w:rsidRDefault="005974BB" w:rsidP="0089182A">
            <w:pPr>
              <w:pStyle w:val="Paragraph"/>
              <w:spacing w:before="60" w:after="6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Contributions obligatoires de 173 États parties à la Convention, tel que décrit à l</w:t>
            </w:r>
            <w:r w:rsidR="008D7DE1">
              <w:rPr>
                <w:sz w:val="20"/>
              </w:rPr>
              <w:t>’</w:t>
            </w:r>
            <w:r>
              <w:rPr>
                <w:sz w:val="20"/>
              </w:rPr>
              <w:t>article 26.1 de la Convention</w:t>
            </w:r>
          </w:p>
        </w:tc>
        <w:tc>
          <w:tcPr>
            <w:tcW w:w="1904" w:type="dxa"/>
            <w:shd w:val="clear" w:color="auto" w:fill="auto"/>
          </w:tcPr>
          <w:p w14:paraId="08DFEDEE" w14:textId="0D5C8C9B" w:rsidR="005974BB" w:rsidRPr="00275132" w:rsidRDefault="005974BB" w:rsidP="0089182A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3 629 786 dollars des États-Unis</w:t>
            </w:r>
          </w:p>
        </w:tc>
      </w:tr>
      <w:tr w:rsidR="005974BB" w:rsidRPr="0072307E" w14:paraId="7CF6C153" w14:textId="65D52C8A" w:rsidTr="0089182A">
        <w:trPr>
          <w:cantSplit/>
        </w:trPr>
        <w:tc>
          <w:tcPr>
            <w:tcW w:w="7168" w:type="dxa"/>
            <w:shd w:val="clear" w:color="auto" w:fill="auto"/>
            <w:vAlign w:val="center"/>
          </w:tcPr>
          <w:p w14:paraId="4685C4EB" w14:textId="13E72872" w:rsidR="005974BB" w:rsidRPr="00275132" w:rsidRDefault="005974BB" w:rsidP="0089182A">
            <w:pPr>
              <w:pStyle w:val="Paragraph"/>
              <w:spacing w:before="60" w:after="60"/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Contributions volontaires de trois des cinq États parties qui ont eu recours à l</w:t>
            </w:r>
            <w:r w:rsidR="008D7DE1">
              <w:rPr>
                <w:sz w:val="20"/>
              </w:rPr>
              <w:t>’</w:t>
            </w:r>
            <w:r>
              <w:rPr>
                <w:sz w:val="20"/>
              </w:rPr>
              <w:t>article 26.2 de la Convention, au moment de leur ratification</w:t>
            </w:r>
          </w:p>
        </w:tc>
        <w:tc>
          <w:tcPr>
            <w:tcW w:w="1904" w:type="dxa"/>
            <w:shd w:val="clear" w:color="auto" w:fill="auto"/>
          </w:tcPr>
          <w:p w14:paraId="14E053AD" w14:textId="26074ECB" w:rsidR="005974BB" w:rsidRPr="00275132" w:rsidRDefault="005974BB" w:rsidP="0089182A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446 </w:t>
            </w:r>
            <w:r w:rsidR="00554E40">
              <w:rPr>
                <w:sz w:val="20"/>
              </w:rPr>
              <w:t>383 </w:t>
            </w:r>
            <w:r>
              <w:rPr>
                <w:sz w:val="20"/>
              </w:rPr>
              <w:t>dollars des États-Unis</w:t>
            </w:r>
          </w:p>
        </w:tc>
      </w:tr>
      <w:tr w:rsidR="005974BB" w:rsidRPr="0072307E" w14:paraId="384DA7BE" w14:textId="1C56A156" w:rsidTr="005F0DE9">
        <w:trPr>
          <w:cantSplit/>
        </w:trPr>
        <w:tc>
          <w:tcPr>
            <w:tcW w:w="7168" w:type="dxa"/>
            <w:shd w:val="clear" w:color="auto" w:fill="auto"/>
            <w:vAlign w:val="center"/>
          </w:tcPr>
          <w:p w14:paraId="2163972C" w14:textId="77777777" w:rsidR="005974BB" w:rsidRPr="00275132" w:rsidRDefault="005974BB" w:rsidP="00275132">
            <w:pPr>
              <w:pStyle w:val="Paragraph"/>
              <w:numPr>
                <w:ilvl w:val="0"/>
                <w:numId w:val="11"/>
              </w:numPr>
              <w:spacing w:before="240" w:after="60"/>
              <w:ind w:left="357" w:hanging="465"/>
              <w:rPr>
                <w:sz w:val="20"/>
                <w:szCs w:val="20"/>
              </w:rPr>
            </w:pPr>
            <w:r>
              <w:rPr>
                <w:sz w:val="20"/>
                <w:u w:val="single"/>
              </w:rPr>
              <w:t>Des contributions volontaires supplémentaires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4AB3CF1" w14:textId="77777777" w:rsidR="005974BB" w:rsidRPr="00275132" w:rsidRDefault="005974BB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5974BB" w:rsidRPr="0072307E" w14:paraId="2AC491BC" w14:textId="14E0FCC7" w:rsidTr="005F0DE9">
        <w:trPr>
          <w:cantSplit/>
        </w:trPr>
        <w:tc>
          <w:tcPr>
            <w:tcW w:w="7168" w:type="dxa"/>
            <w:shd w:val="clear" w:color="auto" w:fill="auto"/>
            <w:vAlign w:val="center"/>
          </w:tcPr>
          <w:p w14:paraId="1628F4B9" w14:textId="01669020" w:rsidR="005974BB" w:rsidRPr="00275132" w:rsidRDefault="00A756FB" w:rsidP="00860249">
            <w:pPr>
              <w:pStyle w:val="Paragraph"/>
              <w:spacing w:before="60" w:after="60"/>
              <w:ind w:left="-109"/>
              <w:jc w:val="left"/>
              <w:rPr>
                <w:i/>
                <w:iCs/>
                <w:sz w:val="20"/>
                <w:szCs w:val="20"/>
              </w:rPr>
            </w:pPr>
            <w:r w:rsidRPr="00AB369A">
              <w:rPr>
                <w:i/>
                <w:sz w:val="20"/>
              </w:rPr>
              <w:t>Contributions affectées à des fins spécifiques se rapportant à des projets déterminés approuvés par le Comité</w:t>
            </w:r>
            <w:r>
              <w:rPr>
                <w:i/>
                <w:sz w:val="20"/>
              </w:rPr>
              <w:t>, conformément à l</w:t>
            </w:r>
            <w:r w:rsidR="008D7DE1">
              <w:rPr>
                <w:i/>
                <w:sz w:val="20"/>
              </w:rPr>
              <w:t>’</w:t>
            </w:r>
            <w:r>
              <w:rPr>
                <w:i/>
                <w:sz w:val="20"/>
              </w:rPr>
              <w:t>article 25.5 de la Convention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C4128BC" w14:textId="77777777" w:rsidR="005974BB" w:rsidRPr="00275132" w:rsidRDefault="005974BB" w:rsidP="000F3504">
            <w:pPr>
              <w:pStyle w:val="Paragraph"/>
              <w:spacing w:before="60" w:after="60"/>
              <w:jc w:val="right"/>
              <w:rPr>
                <w:strike/>
                <w:sz w:val="20"/>
                <w:szCs w:val="20"/>
              </w:rPr>
            </w:pPr>
          </w:p>
        </w:tc>
      </w:tr>
      <w:tr w:rsidR="005974BB" w:rsidRPr="0072307E" w14:paraId="5FABCAEA" w14:textId="4A91154F" w:rsidTr="009C6431">
        <w:trPr>
          <w:cantSplit/>
          <w:trHeight w:val="2213"/>
        </w:trPr>
        <w:tc>
          <w:tcPr>
            <w:tcW w:w="7168" w:type="dxa"/>
            <w:shd w:val="clear" w:color="auto" w:fill="auto"/>
          </w:tcPr>
          <w:p w14:paraId="02FF2692" w14:textId="4B172A60" w:rsidR="00E62A2C" w:rsidRPr="00275132" w:rsidRDefault="00AB369A" w:rsidP="000F3504">
            <w:pPr>
              <w:pStyle w:val="Paragraph"/>
              <w:spacing w:before="60" w:after="60"/>
              <w:ind w:left="360"/>
              <w:jc w:val="left"/>
              <w:rPr>
                <w:rFonts w:eastAsia="MS Mincho"/>
                <w:bCs w:val="0"/>
                <w:sz w:val="20"/>
                <w:szCs w:val="20"/>
              </w:rPr>
            </w:pPr>
            <w:r>
              <w:rPr>
                <w:sz w:val="20"/>
              </w:rPr>
              <w:t>Contribution d</w:t>
            </w:r>
            <w:r w:rsidR="00E62A2C">
              <w:rPr>
                <w:sz w:val="20"/>
              </w:rPr>
              <w:t>u Japon pour soutenir la réflexion générale sur les mécanismes d</w:t>
            </w:r>
            <w:r w:rsidR="008D7DE1">
              <w:rPr>
                <w:sz w:val="20"/>
              </w:rPr>
              <w:t>’</w:t>
            </w:r>
            <w:r w:rsidR="00E62A2C">
              <w:rPr>
                <w:sz w:val="20"/>
              </w:rPr>
              <w:t>inscription sur les listes de la Convention de 2003 (</w:t>
            </w:r>
            <w:hyperlink r:id="rId10" w:history="1">
              <w:r w:rsidR="00E62A2C">
                <w:rPr>
                  <w:rStyle w:val="Lienhypertexte"/>
                  <w:bCs w:val="0"/>
                  <w:sz w:val="20"/>
                  <w:szCs w:val="20"/>
                </w:rPr>
                <w:t>décision 13.COM 6</w:t>
              </w:r>
            </w:hyperlink>
            <w:r w:rsidR="00E62A2C">
              <w:rPr>
                <w:sz w:val="20"/>
              </w:rPr>
              <w:t>)</w:t>
            </w:r>
          </w:p>
          <w:p w14:paraId="7ABF3038" w14:textId="77777777" w:rsidR="0015084F" w:rsidRPr="00275132" w:rsidRDefault="0015084F" w:rsidP="000F3504">
            <w:pPr>
              <w:pStyle w:val="Paragraph"/>
              <w:spacing w:before="60" w:after="60"/>
              <w:ind w:left="360"/>
              <w:jc w:val="left"/>
              <w:rPr>
                <w:rFonts w:eastAsia="MS Mincho"/>
                <w:bCs w:val="0"/>
                <w:sz w:val="20"/>
                <w:szCs w:val="20"/>
              </w:rPr>
            </w:pPr>
          </w:p>
          <w:p w14:paraId="24376405" w14:textId="7C877374" w:rsidR="005D4AA0" w:rsidRPr="00275132" w:rsidRDefault="00AB369A" w:rsidP="006869A2">
            <w:pPr>
              <w:pStyle w:val="Paragraph"/>
              <w:spacing w:before="60" w:after="60"/>
              <w:ind w:left="360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</w:rPr>
              <w:t>Contribution d</w:t>
            </w:r>
            <w:r w:rsidR="005974BB">
              <w:rPr>
                <w:sz w:val="20"/>
              </w:rPr>
              <w:t>es Pays-Bas pour la mise en œuvre du programme « Sauvegarde du patrimoine culturel immatériel dans l</w:t>
            </w:r>
            <w:r w:rsidR="008D7DE1">
              <w:rPr>
                <w:sz w:val="20"/>
              </w:rPr>
              <w:t>’</w:t>
            </w:r>
            <w:r w:rsidR="005974BB">
              <w:rPr>
                <w:sz w:val="20"/>
              </w:rPr>
              <w:t>éducation formelle et non formelle en Amérique latine et dans les Caraïbes » (</w:t>
            </w:r>
            <w:hyperlink r:id="rId11" w:history="1">
              <w:r w:rsidR="005974BB">
                <w:rPr>
                  <w:rStyle w:val="Lienhypertexte"/>
                  <w:bCs w:val="0"/>
                  <w:sz w:val="20"/>
                  <w:szCs w:val="20"/>
                </w:rPr>
                <w:t>décision 14.COM 6</w:t>
              </w:r>
            </w:hyperlink>
            <w:r w:rsidR="005974BB">
              <w:rPr>
                <w:sz w:val="20"/>
              </w:rPr>
              <w:t>)</w:t>
            </w:r>
          </w:p>
        </w:tc>
        <w:tc>
          <w:tcPr>
            <w:tcW w:w="1904" w:type="dxa"/>
            <w:shd w:val="clear" w:color="auto" w:fill="auto"/>
          </w:tcPr>
          <w:p w14:paraId="45F2516C" w14:textId="68F01BCD" w:rsidR="00E62A2C" w:rsidRPr="00275132" w:rsidRDefault="00E62A2C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267 238 dollars des États-Unis</w:t>
            </w:r>
          </w:p>
          <w:p w14:paraId="00CE9995" w14:textId="77777777" w:rsidR="0015084F" w:rsidRPr="00275132" w:rsidRDefault="0015084F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</w:p>
          <w:p w14:paraId="74646B0D" w14:textId="77777777" w:rsidR="0015084F" w:rsidRPr="00275132" w:rsidRDefault="0015084F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</w:p>
          <w:p w14:paraId="7C04CFFB" w14:textId="13A9CE84" w:rsidR="005974BB" w:rsidRPr="00275132" w:rsidRDefault="005974BB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111 111 dollars des États-Unis</w:t>
            </w:r>
          </w:p>
        </w:tc>
      </w:tr>
      <w:tr w:rsidR="005974BB" w:rsidRPr="0072307E" w14:paraId="40B89A83" w14:textId="719B21AE" w:rsidTr="006869A2">
        <w:trPr>
          <w:cantSplit/>
          <w:trHeight w:val="452"/>
        </w:trPr>
        <w:tc>
          <w:tcPr>
            <w:tcW w:w="7168" w:type="dxa"/>
            <w:shd w:val="clear" w:color="auto" w:fill="auto"/>
            <w:vAlign w:val="center"/>
          </w:tcPr>
          <w:p w14:paraId="5C94613A" w14:textId="16EBCAF9" w:rsidR="005974BB" w:rsidRPr="00275132" w:rsidRDefault="005974BB" w:rsidP="0089182A">
            <w:pPr>
              <w:pStyle w:val="Paragraph"/>
              <w:spacing w:before="60" w:after="60"/>
              <w:ind w:left="-109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>Sous-fonds destiné exclusivement au renforcement des capacités humaines du Secrétariat (</w:t>
            </w:r>
            <w:hyperlink r:id="rId12" w:history="1">
              <w:r>
                <w:rPr>
                  <w:rStyle w:val="Lienhypertexte"/>
                  <w:i/>
                  <w:iCs/>
                  <w:sz w:val="20"/>
                  <w:szCs w:val="20"/>
                </w:rPr>
                <w:t>résolution 3.GA 9</w:t>
              </w:r>
            </w:hyperlink>
            <w:r>
              <w:rPr>
                <w:i/>
                <w:sz w:val="20"/>
              </w:rPr>
              <w:t>)</w:t>
            </w:r>
            <w:r w:rsidR="0015084F" w:rsidRPr="00275132">
              <w:rPr>
                <w:rStyle w:val="Appelnotedebasdep"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362CF54" w14:textId="77777777" w:rsidR="005974BB" w:rsidRPr="00275132" w:rsidRDefault="005974BB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5974BB" w:rsidRPr="0072307E" w14:paraId="3C3B8C74" w14:textId="1CDA94D0" w:rsidTr="006869A2">
        <w:trPr>
          <w:cantSplit/>
          <w:trHeight w:hRule="exact" w:val="605"/>
        </w:trPr>
        <w:tc>
          <w:tcPr>
            <w:tcW w:w="7168" w:type="dxa"/>
            <w:shd w:val="clear" w:color="auto" w:fill="auto"/>
          </w:tcPr>
          <w:p w14:paraId="050C7AFF" w14:textId="07F3D8D7" w:rsidR="005974BB" w:rsidRPr="00275132" w:rsidRDefault="005D4AA0" w:rsidP="00860249">
            <w:pPr>
              <w:pStyle w:val="Paragraph"/>
              <w:spacing w:before="60" w:after="60"/>
              <w:ind w:left="356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Chine, Finlande, Kazakhstan, Monaco, Monténégro et Suède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AD72F39" w14:textId="0C209903" w:rsidR="005D4AA0" w:rsidRPr="00275132" w:rsidRDefault="005974BB" w:rsidP="009C6431">
            <w:pPr>
              <w:pStyle w:val="Paragraph"/>
              <w:spacing w:before="6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141 </w:t>
            </w:r>
            <w:r w:rsidR="00554E40">
              <w:rPr>
                <w:sz w:val="20"/>
              </w:rPr>
              <w:t>044 </w:t>
            </w:r>
            <w:r>
              <w:rPr>
                <w:sz w:val="20"/>
              </w:rPr>
              <w:t>dollars des États-Unis</w:t>
            </w:r>
          </w:p>
        </w:tc>
      </w:tr>
      <w:tr w:rsidR="005974BB" w:rsidRPr="0072307E" w14:paraId="294B59E8" w14:textId="6F84AD9B" w:rsidTr="006869A2">
        <w:trPr>
          <w:cantSplit/>
          <w:trHeight w:val="380"/>
        </w:trPr>
        <w:tc>
          <w:tcPr>
            <w:tcW w:w="7168" w:type="dxa"/>
            <w:shd w:val="clear" w:color="auto" w:fill="auto"/>
          </w:tcPr>
          <w:p w14:paraId="53880373" w14:textId="1683439F" w:rsidR="005974BB" w:rsidRPr="00275132" w:rsidRDefault="005974BB" w:rsidP="009C6431">
            <w:pPr>
              <w:pStyle w:val="Paragraph"/>
              <w:numPr>
                <w:ilvl w:val="0"/>
                <w:numId w:val="11"/>
              </w:numPr>
              <w:spacing w:before="60" w:after="60"/>
              <w:ind w:left="357" w:hanging="466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u w:val="single"/>
              </w:rPr>
              <w:t>Intérêts au crédit du Fonds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3F92D4B" w14:textId="591ABFC0" w:rsidR="005974BB" w:rsidRPr="00275132" w:rsidRDefault="005974BB" w:rsidP="000F3504">
            <w:pPr>
              <w:pStyle w:val="Paragraph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513 820 dollars des États-Unis</w:t>
            </w:r>
          </w:p>
        </w:tc>
      </w:tr>
      <w:tr w:rsidR="005974BB" w:rsidRPr="0072307E" w14:paraId="746BE8D2" w14:textId="14C8861A" w:rsidTr="005F0DE9">
        <w:trPr>
          <w:cantSplit/>
        </w:trPr>
        <w:tc>
          <w:tcPr>
            <w:tcW w:w="7168" w:type="dxa"/>
            <w:shd w:val="clear" w:color="auto" w:fill="auto"/>
            <w:vAlign w:val="center"/>
          </w:tcPr>
          <w:p w14:paraId="24CAA570" w14:textId="77777777" w:rsidR="005974BB" w:rsidRPr="00275132" w:rsidRDefault="005974BB" w:rsidP="000F3504">
            <w:pPr>
              <w:pStyle w:val="Paragraph"/>
              <w:spacing w:before="60" w:after="60"/>
              <w:ind w:firstLine="3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D399092" w14:textId="599AB352" w:rsidR="005974BB" w:rsidRPr="00275132" w:rsidRDefault="005974BB" w:rsidP="000F3504">
            <w:pPr>
              <w:pStyle w:val="Paragraph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5 109 </w:t>
            </w:r>
            <w:r w:rsidR="00554E40">
              <w:rPr>
                <w:b/>
                <w:sz w:val="20"/>
              </w:rPr>
              <w:t>382 </w:t>
            </w:r>
            <w:r>
              <w:rPr>
                <w:b/>
                <w:sz w:val="20"/>
              </w:rPr>
              <w:t>dollars des États-Unis</w:t>
            </w:r>
          </w:p>
        </w:tc>
      </w:tr>
    </w:tbl>
    <w:p w14:paraId="0F0DEF79" w14:textId="02A23C7E" w:rsidR="00554E40" w:rsidRDefault="00554E40" w:rsidP="002E2963">
      <w:pPr>
        <w:pStyle w:val="Paragraphedeliste"/>
        <w:tabs>
          <w:tab w:val="clear" w:pos="567"/>
        </w:tabs>
        <w:ind w:left="562" w:hanging="562"/>
      </w:pPr>
      <w:r>
        <w:lastRenderedPageBreak/>
        <w:t>Par rapport à l</w:t>
      </w:r>
      <w:r w:rsidR="008D7DE1">
        <w:t>’</w:t>
      </w:r>
      <w:r>
        <w:t>exercice précédent, le revenu total a augmenté de 5,2 % au cours de la période considérée, principalement en raison de l</w:t>
      </w:r>
      <w:r w:rsidR="008D7DE1">
        <w:t>’</w:t>
      </w:r>
      <w:r>
        <w:t>augmentation des intérêts (de 277</w:t>
      </w:r>
      <w:r w:rsidR="008D7DE1">
        <w:t> </w:t>
      </w:r>
      <w:r>
        <w:t>238 à 513 820 dollars des États-Unis). Si les contributions volontaires supplémentaires ont diminué de 27,6 %, cette baisse a été partiellement compensée par l</w:t>
      </w:r>
      <w:r w:rsidR="008D7DE1">
        <w:t>’</w:t>
      </w:r>
      <w:r>
        <w:t>augmentation des contributions obligatoires et des contributions volontaires mises en recouvrement. Cette augmentation est principalement due à la hausse des taux de contribution résultant du nouveau barème des contributions adopté par les Nations Unies pour 2019, ainsi qu</w:t>
      </w:r>
      <w:r w:rsidR="008D7DE1">
        <w:t>’</w:t>
      </w:r>
      <w:r>
        <w:t>à la légère augmentation du nombre d</w:t>
      </w:r>
      <w:r w:rsidR="008D7DE1">
        <w:t>’</w:t>
      </w:r>
      <w:r>
        <w:t>États parties. Enfin, au 31 décembre 2019, le solde total des contributions obligatoires impayées représentait l</w:t>
      </w:r>
      <w:r w:rsidR="008D7DE1">
        <w:t>’</w:t>
      </w:r>
      <w:r>
        <w:t>équivalent de 23,7 % des contributions obligatoires pour 2019.</w:t>
      </w:r>
    </w:p>
    <w:p w14:paraId="3D8D3544" w14:textId="24F7569D" w:rsidR="005A5792" w:rsidRPr="00F410D6" w:rsidRDefault="005A5792" w:rsidP="00275132">
      <w:pPr>
        <w:pStyle w:val="Default"/>
        <w:keepNext/>
        <w:numPr>
          <w:ilvl w:val="0"/>
          <w:numId w:val="32"/>
        </w:numPr>
        <w:spacing w:before="240" w:after="120"/>
        <w:ind w:left="567" w:hanging="567"/>
        <w:jc w:val="both"/>
        <w:rPr>
          <w:b/>
          <w:bCs/>
          <w:color w:val="auto"/>
          <w:sz w:val="22"/>
          <w:szCs w:val="22"/>
        </w:rPr>
      </w:pPr>
      <w:r>
        <w:rPr>
          <w:b/>
          <w:sz w:val="22"/>
        </w:rPr>
        <w:t xml:space="preserve">Échelonnement des crédits et des dépenses pour la </w:t>
      </w:r>
      <w:r>
        <w:rPr>
          <w:b/>
          <w:color w:val="auto"/>
          <w:sz w:val="22"/>
        </w:rPr>
        <w:t>période du 1</w:t>
      </w:r>
      <w:r>
        <w:rPr>
          <w:b/>
          <w:color w:val="auto"/>
          <w:sz w:val="22"/>
          <w:vertAlign w:val="superscript"/>
        </w:rPr>
        <w:t>er</w:t>
      </w:r>
      <w:r>
        <w:rPr>
          <w:b/>
          <w:color w:val="auto"/>
          <w:sz w:val="22"/>
        </w:rPr>
        <w:t> janvier 2018 au 31 décembre 2019 (</w:t>
      </w:r>
      <w:r>
        <w:rPr>
          <w:b/>
          <w:sz w:val="22"/>
        </w:rPr>
        <w:t>État financier I et Tableau 1.1, pages 6–7)</w:t>
      </w:r>
      <w:r w:rsidR="00DC2D42" w:rsidRPr="009C1CBC">
        <w:rPr>
          <w:rStyle w:val="Appelnotedebasdep"/>
          <w:bCs/>
          <w:sz w:val="22"/>
          <w:szCs w:val="22"/>
          <w:lang w:val="en-GB"/>
        </w:rPr>
        <w:footnoteReference w:id="4"/>
      </w:r>
    </w:p>
    <w:p w14:paraId="51BFDAD9" w14:textId="2FA4F9FC" w:rsidR="00DC2D42" w:rsidRDefault="00DC2D42" w:rsidP="000F3504">
      <w:pPr>
        <w:pStyle w:val="Paragraphedeliste"/>
        <w:tabs>
          <w:tab w:val="clear" w:pos="567"/>
        </w:tabs>
        <w:ind w:left="562" w:hanging="562"/>
      </w:pPr>
      <w:r>
        <w:t xml:space="preserve">Par sa </w:t>
      </w:r>
      <w:hyperlink r:id="rId13" w:history="1">
        <w:r>
          <w:rPr>
            <w:rStyle w:val="Lienhypertexte"/>
          </w:rPr>
          <w:t>résolution 7.GA </w:t>
        </w:r>
      </w:hyperlink>
      <w:r>
        <w:rPr>
          <w:rStyle w:val="Lienhypertexte"/>
        </w:rPr>
        <w:t>8</w:t>
      </w:r>
      <w:r>
        <w:t>, l</w:t>
      </w:r>
      <w:r w:rsidR="008D7DE1">
        <w:t>’</w:t>
      </w:r>
      <w:r>
        <w:t>Assemblée générale a approuvé un budget de 8 590 922 dollars des États-Unis pour la période du 1</w:t>
      </w:r>
      <w:r>
        <w:rPr>
          <w:vertAlign w:val="superscript"/>
        </w:rPr>
        <w:t>er</w:t>
      </w:r>
      <w:r>
        <w:t> janvier 2018 au 31 décembre 2019. Cela correspond au solde du Fonds</w:t>
      </w:r>
      <w:r w:rsidR="00554E40">
        <w:t xml:space="preserve"> (</w:t>
      </w:r>
      <w:r w:rsidR="00554E40" w:rsidRPr="00554E40">
        <w:t>à l</w:t>
      </w:r>
      <w:r w:rsidR="008D7DE1">
        <w:t>’</w:t>
      </w:r>
      <w:r w:rsidR="00554E40" w:rsidRPr="00554E40">
        <w:t>exclusion du sous-fonds consacré aux activités spécifiques approuvées par le Comité et du sous-fonds pour le renforcement des capacités humaines du Secrétariat</w:t>
      </w:r>
      <w:r w:rsidR="00554E40">
        <w:t>)</w:t>
      </w:r>
      <w:r>
        <w:t xml:space="preserve"> au 1 janvier 2018 (9 590 922 dollars des États-Unis) après déduction du Fonds de réserve accumulé jusqu</w:t>
      </w:r>
      <w:r w:rsidR="008D7DE1">
        <w:t>’</w:t>
      </w:r>
      <w:r>
        <w:t>à ce jour (1 000 000 dollars des États-Unis).</w:t>
      </w:r>
    </w:p>
    <w:p w14:paraId="0632748E" w14:textId="18AC805A" w:rsidR="00DC2D42" w:rsidRDefault="00E375D8" w:rsidP="000F3504">
      <w:pPr>
        <w:pStyle w:val="COMPara"/>
        <w:numPr>
          <w:ilvl w:val="0"/>
          <w:numId w:val="9"/>
        </w:numPr>
        <w:ind w:left="562" w:hanging="562"/>
        <w:jc w:val="both"/>
      </w:pPr>
      <w:r>
        <w:t>Le rapport financier (</w:t>
      </w:r>
      <w:r w:rsidR="00554E40">
        <w:t>Tableau 1.1</w:t>
      </w:r>
      <w:r>
        <w:t>) présente des dépenses totales de 5 400 </w:t>
      </w:r>
      <w:r w:rsidR="00554E40">
        <w:t>185 </w:t>
      </w:r>
      <w:r>
        <w:t xml:space="preserve">dollars des États-Unis </w:t>
      </w:r>
      <w:r w:rsidR="008D7DE1">
        <w:t>au</w:t>
      </w:r>
      <w:r>
        <w:t xml:space="preserve"> 31 décembre 2019, soit 62,9 % du budget approuvé. Par rapport à l</w:t>
      </w:r>
      <w:r w:rsidR="008D7DE1">
        <w:t>’</w:t>
      </w:r>
      <w:r>
        <w:t>exercice biennal 2016–2017, cela représente une hausse significative, tant au vu du taux de dépenses (</w:t>
      </w:r>
      <w:r w:rsidR="008D7DE1">
        <w:t>45,2 </w:t>
      </w:r>
      <w:r>
        <w:t>% du budget approuvé dépensé en 2016–2017) qu</w:t>
      </w:r>
      <w:r w:rsidR="008D7DE1">
        <w:t>’</w:t>
      </w:r>
      <w:r>
        <w:t xml:space="preserve">au vu du </w:t>
      </w:r>
      <w:r w:rsidRPr="009C6431">
        <w:t>montant</w:t>
      </w:r>
      <w:r w:rsidR="009C6431" w:rsidRPr="009C6431">
        <w:t xml:space="preserve"> nominal</w:t>
      </w:r>
      <w:r>
        <w:t>, 1,</w:t>
      </w:r>
      <w:r w:rsidR="008D7DE1">
        <w:t>79 </w:t>
      </w:r>
      <w:r>
        <w:t>million de dollars des États-Unis supplémentaires ayant été dépensés en 2018–2019. Cette amélioration est une conséquence directe des efforts déployés par le Secrétariat pour intensifier la mise en œuvre opérationnelle des mécanismes d</w:t>
      </w:r>
      <w:r w:rsidR="008D7DE1">
        <w:t>’</w:t>
      </w:r>
      <w:r>
        <w:t>assistance internationale du Fond</w:t>
      </w:r>
      <w:r w:rsidR="008D7DE1">
        <w:t>s</w:t>
      </w:r>
      <w:r>
        <w:t xml:space="preserve"> (ligne</w:t>
      </w:r>
      <w:r w:rsidR="008D7DE1">
        <w:t>s</w:t>
      </w:r>
      <w:r>
        <w:t xml:space="preserve"> budgétaire</w:t>
      </w:r>
      <w:r w:rsidR="008D7DE1">
        <w:t>s</w:t>
      </w:r>
      <w:r>
        <w:t> 1, 1.1 et 2). Des explications pour chaque ligne budgétaire de l</w:t>
      </w:r>
      <w:r w:rsidR="008D7DE1">
        <w:t>’</w:t>
      </w:r>
      <w:r>
        <w:t>échelonnement des crédits et dépenses sont fournies ci-dessous.</w:t>
      </w:r>
    </w:p>
    <w:p w14:paraId="4E01FB04" w14:textId="1D6BB469" w:rsidR="00DE2F74" w:rsidRPr="004A65A7" w:rsidRDefault="00DE2F74" w:rsidP="000F3504">
      <w:pPr>
        <w:pStyle w:val="Paragraphedeliste"/>
        <w:tabs>
          <w:tab w:val="clear" w:pos="567"/>
        </w:tabs>
        <w:ind w:left="562" w:hanging="562"/>
      </w:pPr>
      <w:r>
        <w:t>Conformément aux priorités définies par les Orientations pour l</w:t>
      </w:r>
      <w:r w:rsidR="008D7DE1">
        <w:t>’</w:t>
      </w:r>
      <w:r>
        <w:t>utilisation des ressources du Fonds, au chapitre II.1 des Directives opérationnelles, l</w:t>
      </w:r>
      <w:r w:rsidR="008D7DE1">
        <w:t>’</w:t>
      </w:r>
      <w:r>
        <w:t>Assemblée générale a décidé que la majorité des ressources (</w:t>
      </w:r>
      <w:r>
        <w:rPr>
          <w:b/>
        </w:rPr>
        <w:t>ligne budgétaire 1</w:t>
      </w:r>
      <w:r>
        <w:t>, 52,55 %) serait de nouveau allouée à l</w:t>
      </w:r>
      <w:r w:rsidR="008D7DE1">
        <w:t>’</w:t>
      </w:r>
      <w:r>
        <w:t>attribution d</w:t>
      </w:r>
      <w:r w:rsidR="008D7DE1">
        <w:t>’</w:t>
      </w:r>
      <w:r>
        <w:t xml:space="preserve">une assistance internationale aux États parties pour appuyer leurs efforts nationaux de sauvegarde du patrimoine culturel immatériel. Au 31 décembre 2019, les dépenses relevant de la ligne budgétaire 1 avaient plus que doublé, passant de 1,29 million de dollars des États-Unis en 2016–2017 à 2,77 millions de dollars des États-Unis en 2018–2019. La ligne budgétaire 1 présente un taux de </w:t>
      </w:r>
      <w:r w:rsidR="00A939FE">
        <w:t>dépenses</w:t>
      </w:r>
      <w:r>
        <w:t xml:space="preserve"> de 61,3 % (soit 33,9 % de plus qu</w:t>
      </w:r>
      <w:r w:rsidR="008D7DE1">
        <w:t>’</w:t>
      </w:r>
      <w:r>
        <w:t>au cours de l</w:t>
      </w:r>
      <w:r w:rsidR="008D7DE1">
        <w:t>’</w:t>
      </w:r>
      <w:r>
        <w:t>exercice précédent). Les dépenses relevant de cette ligne correspondent à l</w:t>
      </w:r>
      <w:r w:rsidR="008D7DE1">
        <w:t>’</w:t>
      </w:r>
      <w:r>
        <w:t>assistance internationale accordée par le Comité ou son Bureau pour vingt-trois projets</w:t>
      </w:r>
      <w:r w:rsidR="001769EA" w:rsidRPr="004A65A7">
        <w:rPr>
          <w:rStyle w:val="Appelnotedebasdep"/>
        </w:rPr>
        <w:footnoteReference w:id="5"/>
      </w:r>
      <w:r>
        <w:t>, dont onze lancés en Afrique pendant la période concernée.</w:t>
      </w:r>
    </w:p>
    <w:p w14:paraId="02DEAF5E" w14:textId="23C53F7E" w:rsidR="006869A2" w:rsidRDefault="00BA2CD4" w:rsidP="00B43A49">
      <w:pPr>
        <w:pStyle w:val="Paragraphedeliste"/>
        <w:ind w:left="562" w:hanging="562"/>
      </w:pPr>
      <w:r>
        <w:t xml:space="preserve">La nouvelle </w:t>
      </w:r>
      <w:r>
        <w:rPr>
          <w:b/>
        </w:rPr>
        <w:t>ligne budgétaire 1.1</w:t>
      </w:r>
      <w:r>
        <w:t xml:space="preserve"> (8,20 %) est utilisée pour couvrir les coûts biennaux de trois postes à durée déterminée financés à l</w:t>
      </w:r>
      <w:r w:rsidR="008D7DE1">
        <w:t>’</w:t>
      </w:r>
      <w:r>
        <w:t>aide de fonds extrabudgétaire</w:t>
      </w:r>
      <w:r w:rsidR="008D7DE1">
        <w:t>s</w:t>
      </w:r>
      <w:r>
        <w:t xml:space="preserve"> (un P3, un P2 et un G5) créés par l</w:t>
      </w:r>
      <w:r w:rsidR="008D7DE1">
        <w:t>’</w:t>
      </w:r>
      <w:r>
        <w:t>Assemblée générale lors de sa septième session en 2018 afin d</w:t>
      </w:r>
      <w:r w:rsidR="008D7DE1">
        <w:t>’</w:t>
      </w:r>
      <w:r>
        <w:t>activer pleinement les mécanismes d</w:t>
      </w:r>
      <w:r w:rsidR="008D7DE1">
        <w:t>’</w:t>
      </w:r>
      <w:r>
        <w:t>assistance internationale et d</w:t>
      </w:r>
      <w:r w:rsidR="008D7DE1">
        <w:t>’</w:t>
      </w:r>
      <w:r>
        <w:t>assurer un suivi et une évaluation</w:t>
      </w:r>
      <w:r w:rsidR="008D7DE1">
        <w:t xml:space="preserve"> effectifs</w:t>
      </w:r>
      <w:r>
        <w:t xml:space="preserve"> de leur mise en œuvre (</w:t>
      </w:r>
      <w:hyperlink r:id="rId14" w:history="1">
        <w:r>
          <w:rPr>
            <w:rStyle w:val="Lienhypertexte"/>
          </w:rPr>
          <w:t>résolution 7.GA 8</w:t>
        </w:r>
      </w:hyperlink>
      <w:r>
        <w:t xml:space="preserve">). Le taux de </w:t>
      </w:r>
      <w:r w:rsidR="00A939FE">
        <w:t>dépenses</w:t>
      </w:r>
      <w:r>
        <w:t xml:space="preserve"> de cette ligne budgétaire est faible, car les procédures de recrutement pour ces trois postes ont abouti en novembre 2019. Le recrutement de ces trois postes a conduit à la création d</w:t>
      </w:r>
      <w:r w:rsidR="008D7DE1">
        <w:t>’</w:t>
      </w:r>
      <w:r>
        <w:t xml:space="preserve">une </w:t>
      </w:r>
      <w:r w:rsidR="00EE336B">
        <w:t>« </w:t>
      </w:r>
      <w:r w:rsidR="00EE336B" w:rsidRPr="00EE336B">
        <w:t>Unité de mise en œuvre et de suivi de la sauvegarde</w:t>
      </w:r>
      <w:r>
        <w:t xml:space="preserve"> » qui est pleinement opérationnelle depuis février 2020 (voir le </w:t>
      </w:r>
      <w:hyperlink r:id="rId15" w:history="1">
        <w:r w:rsidRPr="006869A2">
          <w:rPr>
            <w:rStyle w:val="Lienhypertexte"/>
          </w:rPr>
          <w:t>document LHE/20/8.GA/6</w:t>
        </w:r>
      </w:hyperlink>
      <w:r>
        <w:t>).</w:t>
      </w:r>
    </w:p>
    <w:p w14:paraId="61217B78" w14:textId="77777777" w:rsidR="006869A2" w:rsidRDefault="006869A2">
      <w:pPr>
        <w:spacing w:after="0"/>
        <w:rPr>
          <w:rFonts w:ascii="Arial" w:hAnsi="Arial" w:cs="Arial"/>
          <w:snapToGrid w:val="0"/>
          <w:szCs w:val="22"/>
          <w:lang w:eastAsia="en-US"/>
        </w:rPr>
      </w:pPr>
      <w:r>
        <w:br w:type="page"/>
      </w:r>
    </w:p>
    <w:p w14:paraId="36DD7575" w14:textId="052D01A6" w:rsidR="001358AE" w:rsidRDefault="006F461F" w:rsidP="000F3504">
      <w:pPr>
        <w:pStyle w:val="Paragraphedeliste"/>
        <w:ind w:left="562" w:hanging="562"/>
      </w:pPr>
      <w:r>
        <w:lastRenderedPageBreak/>
        <w:t xml:space="preserve">En ce qui concerne la </w:t>
      </w:r>
      <w:r>
        <w:rPr>
          <w:b/>
        </w:rPr>
        <w:t>ligne budgétaire 2</w:t>
      </w:r>
      <w:r>
        <w:t xml:space="preserve"> (assistance préparatoire ; 4,00 %), le Secrétariat a reçu trois demandes d</w:t>
      </w:r>
      <w:r w:rsidR="008D7DE1">
        <w:t>’</w:t>
      </w:r>
      <w:r>
        <w:t>assistance préparatoire pour une candidature à la Liste du patrimoine culturel immatériel nécessitant une sauvegarde urgente – dont une a été retirée par l</w:t>
      </w:r>
      <w:r w:rsidR="008D7DE1">
        <w:t>’</w:t>
      </w:r>
      <w:r>
        <w:t>État partie demandeur – et une demande d</w:t>
      </w:r>
      <w:r w:rsidR="008D7DE1">
        <w:t>’</w:t>
      </w:r>
      <w:r>
        <w:t xml:space="preserve">assistance préparatoire pour </w:t>
      </w:r>
      <w:r w:rsidR="001933CB">
        <w:t xml:space="preserve">une </w:t>
      </w:r>
      <w:r>
        <w:t>proposition au Registre de bonnes pratiques de sauvegarde. Le Bureau a approuvé les trois demandes qui lui ont été présentées. Par conséquent, une proposition d</w:t>
      </w:r>
      <w:r w:rsidR="008D7DE1">
        <w:t>’</w:t>
      </w:r>
      <w:r>
        <w:t>inscription sur le Registre de bonnes pratiques de sauvegarde (cycle 2020) et deux candidatures à la Liste de sauvegarde urgente (cycle 2021) ont été soumises.</w:t>
      </w:r>
      <w:bookmarkStart w:id="0" w:name="_GoBack"/>
      <w:bookmarkEnd w:id="0"/>
    </w:p>
    <w:p w14:paraId="29A278D5" w14:textId="5126B556" w:rsidR="00E60D31" w:rsidRPr="004A65A7" w:rsidRDefault="00E60D31" w:rsidP="002E2963">
      <w:pPr>
        <w:pStyle w:val="Paragraphedeliste"/>
        <w:tabs>
          <w:tab w:val="clear" w:pos="567"/>
        </w:tabs>
        <w:ind w:left="562" w:hanging="562"/>
      </w:pPr>
      <w:r>
        <w:t xml:space="preserve">Les dépenses relevant de cette ligne budgétaire </w:t>
      </w:r>
      <w:r w:rsidR="003F280D">
        <w:t>incluent</w:t>
      </w:r>
      <w:r>
        <w:t xml:space="preserve"> également la mise à disposition d</w:t>
      </w:r>
      <w:r w:rsidR="008D7DE1">
        <w:t>’</w:t>
      </w:r>
      <w:r>
        <w:t xml:space="preserve">une assistance technique conformément à la </w:t>
      </w:r>
      <w:hyperlink r:id="rId16" w:history="1">
        <w:r>
          <w:rPr>
            <w:rStyle w:val="Lienhypertexte"/>
          </w:rPr>
          <w:t>décision 8.COM 7.c</w:t>
        </w:r>
      </w:hyperlink>
      <w:r>
        <w:t>. Pendant la période concernée, une telle assistance a été fournie à trois États parties pour leur demande d</w:t>
      </w:r>
      <w:r w:rsidR="008D7DE1">
        <w:t>’</w:t>
      </w:r>
      <w:r>
        <w:t>assistance internationale. Ces trois demandes ont été finalisées grâce à ce mécanisme d</w:t>
      </w:r>
      <w:r w:rsidR="008D7DE1">
        <w:t>’</w:t>
      </w:r>
      <w:r>
        <w:t>assistance, et deux d</w:t>
      </w:r>
      <w:r w:rsidR="008D7DE1">
        <w:t>’</w:t>
      </w:r>
      <w:r>
        <w:t>entre elles ont été approuvées par le Bureau pendant la période concernée.</w:t>
      </w:r>
    </w:p>
    <w:p w14:paraId="34AFB750" w14:textId="1EF9DCAB" w:rsidR="001358AE" w:rsidRPr="00C938EE" w:rsidRDefault="001358AE" w:rsidP="000F3504">
      <w:pPr>
        <w:pStyle w:val="Paragraphedeliste"/>
        <w:ind w:left="562" w:hanging="562"/>
      </w:pPr>
      <w:r>
        <w:t>L</w:t>
      </w:r>
      <w:r w:rsidR="008D7DE1">
        <w:t>’</w:t>
      </w:r>
      <w:r>
        <w:t>utilisation du budget pour les « autres fonctions du Comité » (</w:t>
      </w:r>
      <w:r>
        <w:rPr>
          <w:b/>
        </w:rPr>
        <w:t>ligne budgétaire 3</w:t>
      </w:r>
      <w:r>
        <w:t xml:space="preserve"> ; 20,00</w:t>
      </w:r>
      <w:r w:rsidR="00DA7429">
        <w:t> </w:t>
      </w:r>
      <w:r>
        <w:t>%) a été décidée par le Bureau sur la base de propositions spécifiques préparées par le Secrétariat pour l</w:t>
      </w:r>
      <w:r w:rsidR="008D7DE1">
        <w:t>’</w:t>
      </w:r>
      <w:r>
        <w:t>exercice biennal 2018–2019 (</w:t>
      </w:r>
      <w:hyperlink r:id="rId17" w:history="1">
        <w:r>
          <w:rPr>
            <w:rStyle w:val="Lienhypertexte"/>
          </w:rPr>
          <w:t>décision 12.COM 7</w:t>
        </w:r>
      </w:hyperlink>
      <w:r>
        <w:t xml:space="preserve">). Conformément au plan approuvé par le Bureau dans sa </w:t>
      </w:r>
      <w:hyperlink r:id="rId18" w:history="1">
        <w:r>
          <w:rPr>
            <w:rStyle w:val="Lienhypertexte"/>
          </w:rPr>
          <w:t>décision 13.COM 2.BUR 3</w:t>
        </w:r>
      </w:hyperlink>
      <w:r>
        <w:t>, ces fonds ont été alloués au renforcement des capacités et aux conseils sur les mesures de sauvegarde et les bonnes pratiques (36 %), aux actions de sensibilisation et d</w:t>
      </w:r>
      <w:r w:rsidR="008D7DE1">
        <w:t>’</w:t>
      </w:r>
      <w:r>
        <w:t>information (27 %), aux services de gestion des connaissances (20 %) et à l</w:t>
      </w:r>
      <w:r w:rsidR="008D7DE1">
        <w:t>’</w:t>
      </w:r>
      <w:r>
        <w:t>intégration du patrimoine culturel immatériel dans des programmes, des politiques et des plans de développement (17 %). Pour l</w:t>
      </w:r>
      <w:r w:rsidR="008D7DE1">
        <w:t>’</w:t>
      </w:r>
      <w:r>
        <w:t xml:space="preserve">exercice biennal 2018–2019, 91,7 % des fonds approuvés </w:t>
      </w:r>
      <w:r w:rsidR="00DA7429">
        <w:t xml:space="preserve">ont </w:t>
      </w:r>
      <w:r>
        <w:t>été dépensés et engagés au 31 décembre 2019. Ce taux de dépenses élevé est comparable à celui de l</w:t>
      </w:r>
      <w:r w:rsidR="008D7DE1">
        <w:t>’</w:t>
      </w:r>
      <w:r>
        <w:t xml:space="preserve">exercice biennal précédent (92,8 %). De plus amples détails quant aux progrès de la mise en œuvre de ces fonds figurent dans le </w:t>
      </w:r>
      <w:hyperlink r:id="rId19" w:history="1">
        <w:r w:rsidRPr="006869A2">
          <w:rPr>
            <w:rStyle w:val="Lienhypertexte"/>
          </w:rPr>
          <w:t>document </w:t>
        </w:r>
        <w:r w:rsidR="00DA7429" w:rsidRPr="006869A2">
          <w:rPr>
            <w:rStyle w:val="Lienhypertexte"/>
          </w:rPr>
          <w:t>LHE</w:t>
        </w:r>
        <w:r w:rsidRPr="006869A2">
          <w:rPr>
            <w:rStyle w:val="Lienhypertexte"/>
          </w:rPr>
          <w:t>/20/8.GA/6</w:t>
        </w:r>
      </w:hyperlink>
      <w:r w:rsidRPr="006869A2">
        <w:t>,</w:t>
      </w:r>
      <w:r>
        <w:t xml:space="preserve"> « Rapport du secrétariat sur ses activités ».</w:t>
      </w:r>
    </w:p>
    <w:p w14:paraId="6E304C05" w14:textId="3B00FFDB" w:rsidR="006C1111" w:rsidRPr="009C5C23" w:rsidRDefault="00EE1372" w:rsidP="000F3504">
      <w:pPr>
        <w:pStyle w:val="Paragraphedeliste"/>
        <w:ind w:left="562" w:hanging="562"/>
        <w:rPr>
          <w:rFonts w:cs="Times New Roman"/>
        </w:rPr>
      </w:pPr>
      <w:r>
        <w:t>Suite à la recommandation du Service d</w:t>
      </w:r>
      <w:r w:rsidR="008D7DE1">
        <w:t>’</w:t>
      </w:r>
      <w:r>
        <w:t>évaluation et d</w:t>
      </w:r>
      <w:r w:rsidR="008D7DE1">
        <w:t>’</w:t>
      </w:r>
      <w:r>
        <w:t>audit dans son audit des méthodes de travail des conventions culturelles (</w:t>
      </w:r>
      <w:hyperlink r:id="rId20" w:history="1">
        <w:r>
          <w:rPr>
            <w:rStyle w:val="Lienhypertexte"/>
          </w:rPr>
          <w:t>IOS/AUD/2013/06</w:t>
        </w:r>
      </w:hyperlink>
      <w:r>
        <w:t>), le Comité a demandé au Secrétariat d</w:t>
      </w:r>
      <w:r w:rsidR="008D7DE1">
        <w:t>’</w:t>
      </w:r>
      <w:r>
        <w:t>appliquer la politique de recouvrement des coûts de manière systématique dans le cadre de l</w:t>
      </w:r>
      <w:r w:rsidR="008D7DE1">
        <w:t>’</w:t>
      </w:r>
      <w:r>
        <w:t>utilisation des ressources du Fonds (</w:t>
      </w:r>
      <w:hyperlink r:id="rId21" w:history="1">
        <w:r>
          <w:rPr>
            <w:rStyle w:val="Lienhypertexte"/>
          </w:rPr>
          <w:t>décision 8.COM 11</w:t>
        </w:r>
      </w:hyperlink>
      <w:r>
        <w:t>). Par conséquent, et comme stipulé dans l</w:t>
      </w:r>
      <w:r w:rsidR="008D7DE1">
        <w:t>’</w:t>
      </w:r>
      <w:r>
        <w:t>article 5.2 du Règlement financier du Fonds, les dépenses directes en rapport avec leur mise en œuvre ont été imputées aux lignes budgétaires 1 à 3.</w:t>
      </w:r>
    </w:p>
    <w:p w14:paraId="654E3369" w14:textId="125A19A7" w:rsidR="00594E83" w:rsidRPr="002318D6" w:rsidRDefault="00594E83" w:rsidP="000F3504">
      <w:pPr>
        <w:pStyle w:val="Paragraphedeliste"/>
        <w:ind w:left="562" w:hanging="562"/>
      </w:pPr>
      <w:r>
        <w:t xml:space="preserve">La </w:t>
      </w:r>
      <w:r>
        <w:rPr>
          <w:b/>
        </w:rPr>
        <w:t xml:space="preserve">ligne budgétaire 4 </w:t>
      </w:r>
      <w:r>
        <w:t>(</w:t>
      </w:r>
      <w:r w:rsidR="00A939FE">
        <w:t>1,71</w:t>
      </w:r>
      <w:r>
        <w:t xml:space="preserve"> %), utilisée pour financer la participation </w:t>
      </w:r>
      <w:bookmarkStart w:id="1" w:name="_Hlk40431983"/>
      <w:r>
        <w:t>de trente-cinq experts représentant les pays en développement membres du Comité, de son Bureau ou de ses organes subsidiaires lors de leurs sessions,</w:t>
      </w:r>
      <w:bookmarkEnd w:id="1"/>
      <w:r>
        <w:t xml:space="preserve"> a atteint un taux de dépenses de 97,8 %, ce qui représente une hausse de 39 % par rapport à l</w:t>
      </w:r>
      <w:r w:rsidR="008D7DE1">
        <w:t>’</w:t>
      </w:r>
      <w:r>
        <w:t>exercice biennal précédent.</w:t>
      </w:r>
    </w:p>
    <w:p w14:paraId="1994F07E" w14:textId="3BB7C58D" w:rsidR="00504E1C" w:rsidRPr="00F30D4C" w:rsidRDefault="00504E1C" w:rsidP="000F3504">
      <w:pPr>
        <w:pStyle w:val="Paragraphedeliste"/>
        <w:ind w:left="562" w:hanging="562"/>
      </w:pPr>
      <w:r>
        <w:t xml:space="preserve">Le taux de dépenses de la </w:t>
      </w:r>
      <w:r>
        <w:rPr>
          <w:b/>
        </w:rPr>
        <w:t>ligne budgétaire 5</w:t>
      </w:r>
      <w:r>
        <w:t xml:space="preserve"> (4,</w:t>
      </w:r>
      <w:r w:rsidR="00A939FE">
        <w:t>06 </w:t>
      </w:r>
      <w:r>
        <w:t>%) a atteint 94,8 %. Cela correspond au</w:t>
      </w:r>
      <w:r w:rsidR="00DA7429">
        <w:t>x</w:t>
      </w:r>
      <w:r>
        <w:t xml:space="preserve"> frais de participation de 5 experts éligibles des États parties en développement non membres du Comité, mais membres de l</w:t>
      </w:r>
      <w:r w:rsidR="008D7DE1">
        <w:t>’</w:t>
      </w:r>
      <w:r>
        <w:t>Organe d</w:t>
      </w:r>
      <w:r w:rsidR="008D7DE1">
        <w:t>’</w:t>
      </w:r>
      <w:r>
        <w:t xml:space="preserve">évaluation en 2018 et 2019, ainsi </w:t>
      </w:r>
      <w:bookmarkStart w:id="2" w:name="_Hlk40432162"/>
      <w:r>
        <w:t>qu</w:t>
      </w:r>
      <w:r w:rsidR="008D7DE1">
        <w:t>’</w:t>
      </w:r>
      <w:r>
        <w:t xml:space="preserve">aux frais de participation de </w:t>
      </w:r>
      <w:bookmarkStart w:id="3" w:name="_Hlk40432086"/>
      <w:r>
        <w:t>quatre-vingt-deux experts aux treizième et quatorzième sessions du Comité.</w:t>
      </w:r>
      <w:bookmarkEnd w:id="2"/>
      <w:bookmarkEnd w:id="3"/>
    </w:p>
    <w:p w14:paraId="120A054A" w14:textId="3AC9B342" w:rsidR="00B35FB9" w:rsidRDefault="00B35FB9" w:rsidP="000F3504">
      <w:pPr>
        <w:pStyle w:val="Paragraphedeliste"/>
        <w:tabs>
          <w:tab w:val="clear" w:pos="567"/>
        </w:tabs>
        <w:ind w:left="562" w:hanging="562"/>
      </w:pPr>
      <w:bookmarkStart w:id="4" w:name="_Hlk41491573"/>
      <w:r>
        <w:t xml:space="preserve">La </w:t>
      </w:r>
      <w:r>
        <w:rPr>
          <w:b/>
        </w:rPr>
        <w:t>ligne budgétaire 6</w:t>
      </w:r>
      <w:r>
        <w:t xml:space="preserve"> (</w:t>
      </w:r>
      <w:r w:rsidR="00A939FE">
        <w:t>3,48</w:t>
      </w:r>
      <w:r>
        <w:t> %) reflète les frais de participation de six organisations non-gouvernementales (ONG) faisant partie de l</w:t>
      </w:r>
      <w:r w:rsidR="008D7DE1">
        <w:t>’</w:t>
      </w:r>
      <w:r>
        <w:t>Organe d</w:t>
      </w:r>
      <w:r w:rsidR="008D7DE1">
        <w:t>’</w:t>
      </w:r>
      <w:r>
        <w:t xml:space="preserve">évaluation en 2018 et 2019, ainsi que les frais de participation de vingt-six et vingt-cinq </w:t>
      </w:r>
      <w:bookmarkStart w:id="5" w:name="_Hlk40432306"/>
      <w:r>
        <w:t>ONG respectivement aux treizième et quatorzième sessions du Comité</w:t>
      </w:r>
      <w:bookmarkEnd w:id="5"/>
      <w:bookmarkEnd w:id="4"/>
      <w:r>
        <w:t>. Le taux de dépenses de cette ligne budgétaire a atteint 91,1 %.</w:t>
      </w:r>
    </w:p>
    <w:p w14:paraId="2E9300EF" w14:textId="4367E011" w:rsidR="00E3515D" w:rsidRPr="009C5C23" w:rsidRDefault="00822BF1" w:rsidP="000F3504">
      <w:pPr>
        <w:pStyle w:val="Paragraphedeliste"/>
        <w:tabs>
          <w:tab w:val="clear" w:pos="567"/>
        </w:tabs>
        <w:ind w:left="562" w:hanging="562"/>
      </w:pPr>
      <w:r>
        <w:t xml:space="preserve">Conformément à la </w:t>
      </w:r>
      <w:hyperlink r:id="rId22" w:history="1">
        <w:r>
          <w:rPr>
            <w:rStyle w:val="Lienhypertexte"/>
          </w:rPr>
          <w:t>résolution 7.GA 8</w:t>
        </w:r>
      </w:hyperlink>
      <w:r>
        <w:t xml:space="preserve"> et tel que décrit dans le </w:t>
      </w:r>
      <w:hyperlink r:id="rId23" w:history="1">
        <w:r w:rsidRPr="00DF3AC4">
          <w:rPr>
            <w:rStyle w:val="Lienhypertexte"/>
          </w:rPr>
          <w:t>document LHE/20/8.GA/7</w:t>
        </w:r>
      </w:hyperlink>
      <w:r w:rsidRPr="00DF3AC4">
        <w:t>, deux transferts de fonds ont été effectués en 2019, respectivement de la ligne</w:t>
      </w:r>
      <w:r>
        <w:t xml:space="preserve"> budgétaire 4 à</w:t>
      </w:r>
      <w:r w:rsidR="00B2686E">
        <w:t xml:space="preserve"> la</w:t>
      </w:r>
      <w:r>
        <w:t xml:space="preserve"> ligne budgétaire 5 (24 866 dollars des États-Unis) et de la ligne budgétaire 6 à </w:t>
      </w:r>
      <w:r w:rsidR="00B2686E">
        <w:t xml:space="preserve">la </w:t>
      </w:r>
      <w:r>
        <w:t>ligne budgétaire 5 (45 000 dollars des États-Unis). Par rapport à l</w:t>
      </w:r>
      <w:r w:rsidR="008D7DE1">
        <w:t>’</w:t>
      </w:r>
      <w:r>
        <w:t>exercice biennal 2016–2017, ces transferts ont permis à vingt-neuf experts supplémentaires d</w:t>
      </w:r>
      <w:r w:rsidR="00B2686E">
        <w:t>’</w:t>
      </w:r>
      <w:r>
        <w:t xml:space="preserve">États parties en développement non membres du Comité de participer aux sessions du Comité (ligne budgétaire 5). Dans le même temps, le Fonds </w:t>
      </w:r>
      <w:r w:rsidR="00B2686E">
        <w:t xml:space="preserve">a </w:t>
      </w:r>
      <w:r>
        <w:t xml:space="preserve">encore </w:t>
      </w:r>
      <w:r w:rsidR="00B2686E">
        <w:t xml:space="preserve">été en mesure de </w:t>
      </w:r>
      <w:r>
        <w:t>répondre favorablement à la hausse du nombre de demandes visant à couvrir la participation d</w:t>
      </w:r>
      <w:r w:rsidR="00B2686E">
        <w:t>’</w:t>
      </w:r>
      <w:r>
        <w:t xml:space="preserve">experts représentant les pays en </w:t>
      </w:r>
      <w:r>
        <w:lastRenderedPageBreak/>
        <w:t>développement membres du Comité, de son Bureau et de ses organes subsidiaires (ligne budgétaire 4) et des ONG accréditées (ligne budgétaire 6).</w:t>
      </w:r>
    </w:p>
    <w:p w14:paraId="3B19628A" w14:textId="0A165182" w:rsidR="00886564" w:rsidRPr="00B0731A" w:rsidRDefault="00886564" w:rsidP="000F3504">
      <w:pPr>
        <w:pStyle w:val="Paragraphedeliste"/>
        <w:ind w:left="562" w:hanging="562"/>
      </w:pPr>
      <w:r>
        <w:t xml:space="preserve">La </w:t>
      </w:r>
      <w:r>
        <w:rPr>
          <w:b/>
        </w:rPr>
        <w:t>ligne budgétaire 7</w:t>
      </w:r>
      <w:r>
        <w:t xml:space="preserve"> présente un taux de dépenses de 40,0 % correspondant aux frais engagés pour les membres éligibles de l</w:t>
      </w:r>
      <w:r w:rsidR="008D7DE1">
        <w:t>’</w:t>
      </w:r>
      <w:r>
        <w:t>Organe d</w:t>
      </w:r>
      <w:r w:rsidR="008D7DE1">
        <w:t>’</w:t>
      </w:r>
      <w:r>
        <w:t>évaluation (neuf en 2018 et huit en 2019) et aux honoraires versés au Président et au Rapporteur de l</w:t>
      </w:r>
      <w:r w:rsidR="008D7DE1">
        <w:t>’</w:t>
      </w:r>
      <w:r>
        <w:t>Organe pour leurs travaux supplémentaires. Ce taux reste relativement faible du fait de la nécessité d</w:t>
      </w:r>
      <w:r w:rsidR="008D7DE1">
        <w:t>’</w:t>
      </w:r>
      <w:r>
        <w:t>établir les contrats des membres de l</w:t>
      </w:r>
      <w:r w:rsidR="008D7DE1">
        <w:t>’</w:t>
      </w:r>
      <w:r>
        <w:t>Organe d</w:t>
      </w:r>
      <w:r w:rsidR="008D7DE1">
        <w:t>’</w:t>
      </w:r>
      <w:r>
        <w:t>évaluation au début du cycle d</w:t>
      </w:r>
      <w:r w:rsidR="008D7DE1">
        <w:t>’</w:t>
      </w:r>
      <w:r>
        <w:t>évaluation alors que seul un quart du budget est disponible.</w:t>
      </w:r>
    </w:p>
    <w:p w14:paraId="37503536" w14:textId="7DC477C4" w:rsidR="001F044D" w:rsidRPr="00F410D6" w:rsidRDefault="001F044D" w:rsidP="00275132">
      <w:pPr>
        <w:pStyle w:val="Default"/>
        <w:keepNext/>
        <w:numPr>
          <w:ilvl w:val="0"/>
          <w:numId w:val="32"/>
        </w:numPr>
        <w:spacing w:before="240" w:after="120"/>
        <w:ind w:left="567" w:hanging="567"/>
        <w:jc w:val="both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</w:rPr>
        <w:t>Rapports supplémentaires</w:t>
      </w:r>
    </w:p>
    <w:p w14:paraId="1C518EEF" w14:textId="2F3542D7" w:rsidR="003C374C" w:rsidRDefault="003C374C" w:rsidP="003C374C">
      <w:pPr>
        <w:pStyle w:val="Paragraphedeliste"/>
        <w:ind w:left="562" w:hanging="562"/>
      </w:pPr>
      <w:bookmarkStart w:id="6" w:name="_Hlk40432384"/>
      <w:r w:rsidRPr="00A939FE">
        <w:rPr>
          <w:b/>
          <w:bCs/>
        </w:rPr>
        <w:t>L</w:t>
      </w:r>
      <w:r w:rsidR="008D7DE1">
        <w:rPr>
          <w:b/>
          <w:bCs/>
        </w:rPr>
        <w:t>’</w:t>
      </w:r>
      <w:r>
        <w:rPr>
          <w:b/>
        </w:rPr>
        <w:t>annexe </w:t>
      </w:r>
      <w:r w:rsidR="00B2686E">
        <w:rPr>
          <w:b/>
        </w:rPr>
        <w:t>II </w:t>
      </w:r>
      <w:r>
        <w:rPr>
          <w:b/>
        </w:rPr>
        <w:t>(a)</w:t>
      </w:r>
      <w:r>
        <w:t xml:space="preserve"> du présent document présente la liste des contributions volontaires supplémentaires </w:t>
      </w:r>
      <w:r w:rsidR="00B2686E">
        <w:t>versées</w:t>
      </w:r>
      <w:r>
        <w:t xml:space="preserve"> à des fins spécifiques pour la période du 1</w:t>
      </w:r>
      <w:r>
        <w:rPr>
          <w:vertAlign w:val="superscript"/>
        </w:rPr>
        <w:t>er</w:t>
      </w:r>
      <w:r>
        <w:t xml:space="preserve"> janvier 2018 au 31 décembre 2017, comme le prévoit l</w:t>
      </w:r>
      <w:r w:rsidR="008D7DE1">
        <w:t>’</w:t>
      </w:r>
      <w:r>
        <w:t>article 25.5 de la Convention, à la suite d</w:t>
      </w:r>
      <w:r w:rsidR="008D7DE1">
        <w:t>’</w:t>
      </w:r>
      <w:r>
        <w:t xml:space="preserve">une décision du Comité. </w:t>
      </w:r>
      <w:r w:rsidRPr="00A939FE">
        <w:rPr>
          <w:b/>
          <w:bCs/>
        </w:rPr>
        <w:t>L</w:t>
      </w:r>
      <w:r w:rsidR="008D7DE1">
        <w:rPr>
          <w:b/>
          <w:bCs/>
        </w:rPr>
        <w:t>’</w:t>
      </w:r>
      <w:r w:rsidRPr="00A939FE">
        <w:rPr>
          <w:b/>
          <w:bCs/>
        </w:rPr>
        <w:t>a</w:t>
      </w:r>
      <w:r>
        <w:rPr>
          <w:b/>
        </w:rPr>
        <w:t>nnexe II (b)</w:t>
      </w:r>
      <w:r>
        <w:t xml:space="preserve"> contient la liste des autres formes de soutien fournies par les États parties et d</w:t>
      </w:r>
      <w:r w:rsidR="008D7DE1">
        <w:t>’</w:t>
      </w:r>
      <w:r>
        <w:t xml:space="preserve">autres entités pendant la même période. Conformément au paragraphe 77 des Directives opérationnelles, </w:t>
      </w:r>
      <w:hyperlink r:id="rId24" w:history="1">
        <w:r>
          <w:rPr>
            <w:rStyle w:val="Lienhypertexte"/>
          </w:rPr>
          <w:t>une liste des donateurs</w:t>
        </w:r>
      </w:hyperlink>
      <w:r>
        <w:t xml:space="preserve"> mise à jour peut être consultée sur le site Internet de la Convention.</w:t>
      </w:r>
    </w:p>
    <w:p w14:paraId="7964914F" w14:textId="0BE8BD30" w:rsidR="003C374C" w:rsidRPr="003C374C" w:rsidRDefault="00023505" w:rsidP="003C374C">
      <w:pPr>
        <w:pStyle w:val="Paragraphedeliste"/>
        <w:ind w:left="562" w:hanging="562"/>
      </w:pPr>
      <w:r w:rsidRPr="00A939FE">
        <w:rPr>
          <w:b/>
          <w:bCs/>
        </w:rPr>
        <w:t>L</w:t>
      </w:r>
      <w:r w:rsidR="008D7DE1">
        <w:rPr>
          <w:b/>
          <w:bCs/>
        </w:rPr>
        <w:t>’</w:t>
      </w:r>
      <w:r>
        <w:rPr>
          <w:b/>
        </w:rPr>
        <w:t>annexe III</w:t>
      </w:r>
      <w:r>
        <w:t xml:space="preserve"> présente le total des dépenses </w:t>
      </w:r>
      <w:r w:rsidR="00A939FE">
        <w:t xml:space="preserve">pour </w:t>
      </w:r>
      <w:r>
        <w:t xml:space="preserve">chaque </w:t>
      </w:r>
      <w:r w:rsidR="00A939FE">
        <w:t>activité/</w:t>
      </w:r>
      <w:r>
        <w:t xml:space="preserve">projet </w:t>
      </w:r>
      <w:r w:rsidR="00A939FE">
        <w:t>approuvé</w:t>
      </w:r>
      <w:r w:rsidR="00B2686E">
        <w:t>(e)</w:t>
      </w:r>
      <w:r w:rsidR="00A939FE">
        <w:t xml:space="preserve"> par le Comité</w:t>
      </w:r>
      <w:r>
        <w:t>, de son lancement au 31 décembre 2019.</w:t>
      </w:r>
    </w:p>
    <w:p w14:paraId="6FAA9A39" w14:textId="243838C2" w:rsidR="00C47D45" w:rsidRDefault="003C374C" w:rsidP="003C374C">
      <w:pPr>
        <w:pStyle w:val="Paragraphedeliste"/>
        <w:ind w:left="562" w:hanging="562"/>
      </w:pPr>
      <w:r w:rsidRPr="00A939FE">
        <w:rPr>
          <w:b/>
          <w:bCs/>
        </w:rPr>
        <w:t>L</w:t>
      </w:r>
      <w:r w:rsidR="008D7DE1">
        <w:rPr>
          <w:b/>
          <w:bCs/>
        </w:rPr>
        <w:t>’</w:t>
      </w:r>
      <w:r>
        <w:rPr>
          <w:b/>
        </w:rPr>
        <w:t>annexe IV</w:t>
      </w:r>
      <w:r>
        <w:t xml:space="preserve"> contient les prévisions établies d</w:t>
      </w:r>
      <w:r w:rsidR="008D7DE1">
        <w:t>’</w:t>
      </w:r>
      <w:r>
        <w:t>après les estimations du Secrétariat, relatives à l</w:t>
      </w:r>
      <w:r w:rsidR="008D7DE1">
        <w:t>’</w:t>
      </w:r>
      <w:r>
        <w:t xml:space="preserve">utilisation future des fonds alloués aux </w:t>
      </w:r>
      <w:r w:rsidR="00A939FE">
        <w:t>activités/</w:t>
      </w:r>
      <w:r>
        <w:t>projets</w:t>
      </w:r>
      <w:r w:rsidR="00A939FE">
        <w:t xml:space="preserve"> spécifiques</w:t>
      </w:r>
      <w:r>
        <w:t xml:space="preserve"> en cours approuvés par le Comité.</w:t>
      </w:r>
    </w:p>
    <w:bookmarkEnd w:id="6"/>
    <w:p w14:paraId="7AAB2383" w14:textId="127E490F" w:rsidR="003C374C" w:rsidRDefault="003C374C">
      <w:pPr>
        <w:spacing w:after="0"/>
        <w:rPr>
          <w:rFonts w:ascii="Arial" w:hAnsi="Arial" w:cs="Arial"/>
          <w:snapToGrid w:val="0"/>
          <w:szCs w:val="22"/>
        </w:rPr>
      </w:pPr>
      <w:r>
        <w:br w:type="page"/>
      </w:r>
    </w:p>
    <w:p w14:paraId="7EEB7B08" w14:textId="77777777" w:rsidR="00C47D45" w:rsidRPr="00C47D45" w:rsidRDefault="00C47D45" w:rsidP="00C47D45">
      <w:pPr>
        <w:pStyle w:val="Paragraphedeliste"/>
        <w:numPr>
          <w:ilvl w:val="0"/>
          <w:numId w:val="0"/>
        </w:numPr>
        <w:jc w:val="center"/>
        <w:rPr>
          <w:b/>
          <w:u w:val="single"/>
        </w:rPr>
      </w:pPr>
      <w:r>
        <w:rPr>
          <w:b/>
          <w:u w:val="single"/>
        </w:rPr>
        <w:lastRenderedPageBreak/>
        <w:t>ANNEXE I</w:t>
      </w:r>
    </w:p>
    <w:p w14:paraId="2ADBEBB3" w14:textId="01929C0E" w:rsidR="00AF1C32" w:rsidRPr="000B56F5" w:rsidRDefault="00DA53F5" w:rsidP="002023E2">
      <w:pPr>
        <w:pStyle w:val="Paragraphedeliste"/>
        <w:numPr>
          <w:ilvl w:val="0"/>
          <w:numId w:val="0"/>
        </w:numPr>
        <w:jc w:val="right"/>
        <w:rPr>
          <w:bCs/>
        </w:rPr>
      </w:pPr>
      <w:r>
        <w:t>État financier I</w:t>
      </w:r>
    </w:p>
    <w:p w14:paraId="6C94F654" w14:textId="437B0D76" w:rsidR="007A519A" w:rsidRDefault="007B3090" w:rsidP="001F1441">
      <w:pPr>
        <w:pStyle w:val="Paragraphedeliste"/>
        <w:numPr>
          <w:ilvl w:val="0"/>
          <w:numId w:val="0"/>
        </w:numPr>
        <w:tabs>
          <w:tab w:val="left" w:pos="6237"/>
        </w:tabs>
        <w:jc w:val="center"/>
      </w:pPr>
      <w:r w:rsidRPr="007B3090">
        <w:rPr>
          <w:noProof/>
          <w:lang w:eastAsia="ja-JP"/>
        </w:rPr>
        <w:drawing>
          <wp:inline distT="0" distB="0" distL="0" distR="0" wp14:anchorId="75922EF0" wp14:editId="3DFC6A97">
            <wp:extent cx="6206490" cy="61247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68"/>
                    <a:stretch/>
                  </pic:blipFill>
                  <pic:spPr bwMode="auto">
                    <a:xfrm>
                      <a:off x="0" y="0"/>
                      <a:ext cx="6206490" cy="61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1441">
        <w:br w:type="page"/>
      </w:r>
    </w:p>
    <w:p w14:paraId="3043C4E5" w14:textId="249E591F" w:rsidR="007A519A" w:rsidRDefault="007A519A" w:rsidP="005A4282">
      <w:pPr>
        <w:pStyle w:val="Paragraphedeliste"/>
        <w:numPr>
          <w:ilvl w:val="0"/>
          <w:numId w:val="0"/>
        </w:numPr>
        <w:tabs>
          <w:tab w:val="left" w:pos="6237"/>
        </w:tabs>
        <w:jc w:val="right"/>
      </w:pPr>
      <w:r>
        <w:lastRenderedPageBreak/>
        <w:t>Tableau 1.1</w:t>
      </w:r>
    </w:p>
    <w:p w14:paraId="69CDC2B7" w14:textId="1175322E" w:rsidR="001F1441" w:rsidRDefault="007B3090" w:rsidP="001F1441">
      <w:pPr>
        <w:pStyle w:val="Paragraphedeliste"/>
        <w:numPr>
          <w:ilvl w:val="0"/>
          <w:numId w:val="0"/>
        </w:numPr>
        <w:tabs>
          <w:tab w:val="left" w:pos="6237"/>
        </w:tabs>
        <w:jc w:val="center"/>
      </w:pPr>
      <w:r w:rsidRPr="007B3090">
        <w:rPr>
          <w:noProof/>
          <w:lang w:eastAsia="ja-JP"/>
        </w:rPr>
        <w:drawing>
          <wp:inline distT="0" distB="0" distL="0" distR="0" wp14:anchorId="3FC484EF" wp14:editId="5160C166">
            <wp:extent cx="6206490" cy="801179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01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E0D5D" w14:textId="59A004C0" w:rsidR="00DA53F5" w:rsidRPr="000B56F5" w:rsidRDefault="00DA53F5" w:rsidP="005A4282">
      <w:pPr>
        <w:pStyle w:val="Paragraphedeliste"/>
        <w:numPr>
          <w:ilvl w:val="0"/>
          <w:numId w:val="0"/>
        </w:numPr>
        <w:tabs>
          <w:tab w:val="left" w:pos="6237"/>
        </w:tabs>
        <w:jc w:val="right"/>
        <w:rPr>
          <w:bCs/>
        </w:rPr>
      </w:pPr>
      <w:r>
        <w:br w:type="page"/>
      </w:r>
      <w:r>
        <w:lastRenderedPageBreak/>
        <w:t>État financier II</w:t>
      </w:r>
    </w:p>
    <w:p w14:paraId="348392BC" w14:textId="1DD23572" w:rsidR="005E715E" w:rsidRPr="000B56F5" w:rsidRDefault="007B3090" w:rsidP="00E97DAF">
      <w:pPr>
        <w:pStyle w:val="Paragraphedeliste"/>
        <w:numPr>
          <w:ilvl w:val="0"/>
          <w:numId w:val="0"/>
        </w:numPr>
        <w:jc w:val="right"/>
        <w:rPr>
          <w:bCs/>
        </w:rPr>
      </w:pPr>
      <w:r w:rsidRPr="007B3090">
        <w:rPr>
          <w:noProof/>
          <w:lang w:eastAsia="ja-JP"/>
        </w:rPr>
        <w:drawing>
          <wp:inline distT="0" distB="0" distL="0" distR="0" wp14:anchorId="02B138FB" wp14:editId="246C8328">
            <wp:extent cx="6206490" cy="62687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441">
        <w:br w:type="page"/>
      </w:r>
      <w:r w:rsidR="001F1441">
        <w:lastRenderedPageBreak/>
        <w:t>État financier III</w:t>
      </w:r>
    </w:p>
    <w:p w14:paraId="5B092AFD" w14:textId="1496397D" w:rsidR="00C47D45" w:rsidRDefault="007B3090" w:rsidP="000931F0">
      <w:pPr>
        <w:pStyle w:val="Paragraphedeliste"/>
        <w:numPr>
          <w:ilvl w:val="0"/>
          <w:numId w:val="0"/>
        </w:numPr>
        <w:spacing w:after="240"/>
        <w:jc w:val="center"/>
        <w:rPr>
          <w:b/>
          <w:u w:val="single"/>
        </w:rPr>
      </w:pPr>
      <w:r w:rsidRPr="007B3090">
        <w:rPr>
          <w:noProof/>
          <w:lang w:eastAsia="ja-JP"/>
        </w:rPr>
        <w:drawing>
          <wp:inline distT="0" distB="0" distL="0" distR="0" wp14:anchorId="41DCD24A" wp14:editId="4A9DA97D">
            <wp:extent cx="6206490" cy="664146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664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01E">
        <w:br w:type="page"/>
      </w:r>
      <w:r w:rsidR="00DD001E">
        <w:rPr>
          <w:b/>
          <w:u w:val="single"/>
        </w:rPr>
        <w:lastRenderedPageBreak/>
        <w:t>ANNEXE II (a)</w:t>
      </w:r>
    </w:p>
    <w:p w14:paraId="74EE4A12" w14:textId="2CF052B7" w:rsidR="002B3D00" w:rsidRDefault="007B3090" w:rsidP="000931F0">
      <w:pPr>
        <w:pStyle w:val="Paragraphedeliste"/>
        <w:numPr>
          <w:ilvl w:val="0"/>
          <w:numId w:val="0"/>
        </w:numPr>
        <w:spacing w:after="240"/>
        <w:jc w:val="center"/>
        <w:rPr>
          <w:b/>
          <w:u w:val="single"/>
        </w:rPr>
      </w:pPr>
      <w:r w:rsidRPr="007B3090">
        <w:rPr>
          <w:noProof/>
          <w:lang w:eastAsia="ja-JP"/>
        </w:rPr>
        <w:drawing>
          <wp:inline distT="0" distB="0" distL="0" distR="0" wp14:anchorId="3664F1FE" wp14:editId="3AD588DD">
            <wp:extent cx="5886450" cy="5876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E758" w14:textId="77777777" w:rsidR="002B3D00" w:rsidRDefault="002B3D00">
      <w:pPr>
        <w:spacing w:after="0"/>
        <w:rPr>
          <w:rFonts w:ascii="Arial" w:hAnsi="Arial" w:cs="Arial"/>
          <w:b/>
          <w:snapToGrid w:val="0"/>
          <w:szCs w:val="22"/>
          <w:u w:val="single"/>
        </w:rPr>
      </w:pPr>
      <w:r>
        <w:br w:type="page"/>
      </w:r>
    </w:p>
    <w:p w14:paraId="27025983" w14:textId="77777777" w:rsidR="002B3D00" w:rsidRPr="000B56F5" w:rsidRDefault="002B3D00" w:rsidP="002B3D00">
      <w:pPr>
        <w:pStyle w:val="Paragraphedeliste"/>
        <w:numPr>
          <w:ilvl w:val="0"/>
          <w:numId w:val="0"/>
        </w:numPr>
        <w:jc w:val="center"/>
        <w:rPr>
          <w:b/>
          <w:u w:val="single"/>
        </w:rPr>
      </w:pPr>
      <w:r>
        <w:rPr>
          <w:b/>
          <w:u w:val="single"/>
        </w:rPr>
        <w:lastRenderedPageBreak/>
        <w:t>ANNEXE II (b)</w:t>
      </w:r>
      <w:r w:rsidRPr="004C6C91">
        <w:rPr>
          <w:rStyle w:val="Appelnotedebasdep"/>
        </w:rPr>
        <w:footnoteReference w:id="6"/>
      </w:r>
    </w:p>
    <w:p w14:paraId="35549BE7" w14:textId="37CB9FEE" w:rsidR="003565A8" w:rsidRDefault="00CF21E8" w:rsidP="002B3D00">
      <w:pPr>
        <w:pStyle w:val="Paragraphedeliste"/>
        <w:numPr>
          <w:ilvl w:val="0"/>
          <w:numId w:val="0"/>
        </w:numPr>
        <w:spacing w:after="240"/>
        <w:jc w:val="center"/>
        <w:rPr>
          <w:b/>
        </w:rPr>
      </w:pPr>
      <w:r>
        <w:rPr>
          <w:b/>
        </w:rPr>
        <w:t xml:space="preserve">Contributions en nature </w:t>
      </w:r>
      <w:r w:rsidR="00A939FE">
        <w:rPr>
          <w:b/>
        </w:rPr>
        <w:t xml:space="preserve">et détachements </w:t>
      </w:r>
      <w:r w:rsidR="00A00D1E">
        <w:rPr>
          <w:b/>
        </w:rPr>
        <w:t xml:space="preserve">en soutien </w:t>
      </w:r>
      <w:r>
        <w:rPr>
          <w:b/>
        </w:rPr>
        <w:t xml:space="preserve">à la Convention de 2003 pour la </w:t>
      </w:r>
      <w:r w:rsidR="00A00D1E">
        <w:rPr>
          <w:b/>
        </w:rPr>
        <w:t>s</w:t>
      </w:r>
      <w:r>
        <w:rPr>
          <w:b/>
        </w:rPr>
        <w:t>auvegarde du patrimoine culturel immatériel pendant la période du 1 janvier 2018 au 31 décembre 2019</w:t>
      </w:r>
    </w:p>
    <w:p w14:paraId="7E261DBA" w14:textId="77777777" w:rsidR="003565A8" w:rsidRDefault="003565A8" w:rsidP="002B3D00">
      <w:pPr>
        <w:pStyle w:val="Paragraphedeliste"/>
        <w:numPr>
          <w:ilvl w:val="0"/>
          <w:numId w:val="0"/>
        </w:numPr>
        <w:spacing w:after="240"/>
        <w:jc w:val="center"/>
        <w:rPr>
          <w:b/>
        </w:rPr>
      </w:pPr>
    </w:p>
    <w:p w14:paraId="39CF59E5" w14:textId="19C34188" w:rsidR="003565A8" w:rsidRPr="00C75E87" w:rsidRDefault="003565A8" w:rsidP="003565A8">
      <w:pPr>
        <w:spacing w:before="360" w:after="60"/>
        <w:rPr>
          <w:rFonts w:ascii="Arial" w:hAnsi="Arial" w:cs="Arial"/>
          <w:b/>
          <w:smallCaps/>
          <w:color w:val="000000"/>
          <w:szCs w:val="22"/>
        </w:rPr>
      </w:pPr>
      <w:r>
        <w:rPr>
          <w:rFonts w:ascii="Arial" w:hAnsi="Arial"/>
          <w:b/>
          <w:smallCaps/>
          <w:color w:val="000000"/>
        </w:rPr>
        <w:t xml:space="preserve">Détachements et mises </w:t>
      </w:r>
      <w:r w:rsidR="006608D6">
        <w:rPr>
          <w:rFonts w:ascii="Arial" w:hAnsi="Arial"/>
          <w:b/>
          <w:smallCaps/>
          <w:color w:val="000000"/>
        </w:rPr>
        <w:t xml:space="preserve">à </w:t>
      </w:r>
      <w:r>
        <w:rPr>
          <w:rFonts w:ascii="Arial" w:hAnsi="Arial"/>
          <w:b/>
          <w:smallCaps/>
          <w:color w:val="000000"/>
        </w:rPr>
        <w:t>dispositions</w:t>
      </w:r>
      <w:r w:rsidRPr="00E73EEB">
        <w:rPr>
          <w:rStyle w:val="Appelnotedebasdep"/>
          <w:rFonts w:ascii="Arial" w:hAnsi="Arial" w:cs="Arial"/>
          <w:b/>
          <w:smallCaps/>
          <w:color w:val="000000"/>
          <w:szCs w:val="22"/>
        </w:rPr>
        <w:footnoteReference w:id="7"/>
      </w:r>
    </w:p>
    <w:tbl>
      <w:tblPr>
        <w:tblW w:w="9072" w:type="dxa"/>
        <w:tblInd w:w="709" w:type="dxa"/>
        <w:tblLook w:val="04A0" w:firstRow="1" w:lastRow="0" w:firstColumn="1" w:lastColumn="0" w:noHBand="0" w:noVBand="1"/>
      </w:tblPr>
      <w:tblGrid>
        <w:gridCol w:w="6487"/>
        <w:gridCol w:w="2585"/>
      </w:tblGrid>
      <w:tr w:rsidR="003565A8" w:rsidRPr="00C75E87" w14:paraId="5F189AA1" w14:textId="77777777" w:rsidTr="003565A8">
        <w:trPr>
          <w:cantSplit/>
        </w:trPr>
        <w:tc>
          <w:tcPr>
            <w:tcW w:w="6487" w:type="dxa"/>
            <w:vAlign w:val="center"/>
            <w:hideMark/>
          </w:tcPr>
          <w:p w14:paraId="62B86E92" w14:textId="77777777" w:rsidR="003565A8" w:rsidRPr="00DF36BC" w:rsidRDefault="003565A8" w:rsidP="006B3B0E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</w:rPr>
              <w:t>Chine</w:t>
            </w:r>
          </w:p>
        </w:tc>
        <w:tc>
          <w:tcPr>
            <w:tcW w:w="2585" w:type="dxa"/>
            <w:vAlign w:val="center"/>
            <w:hideMark/>
          </w:tcPr>
          <w:p w14:paraId="5876C2B6" w14:textId="720B6165" w:rsidR="003565A8" w:rsidRPr="00DF36BC" w:rsidRDefault="003565A8" w:rsidP="003565A8">
            <w:pPr>
              <w:spacing w:before="60" w:after="60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</w:rPr>
              <w:t>13 mois - grade P2</w:t>
            </w:r>
          </w:p>
        </w:tc>
      </w:tr>
      <w:tr w:rsidR="003565A8" w:rsidRPr="00C75E87" w14:paraId="688D7735" w14:textId="77777777" w:rsidTr="003565A8">
        <w:trPr>
          <w:cantSplit/>
        </w:trPr>
        <w:tc>
          <w:tcPr>
            <w:tcW w:w="6487" w:type="dxa"/>
            <w:vAlign w:val="center"/>
          </w:tcPr>
          <w:p w14:paraId="4DF0FC83" w14:textId="77777777" w:rsidR="003565A8" w:rsidRPr="00DF36BC" w:rsidRDefault="003565A8" w:rsidP="006B3B0E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</w:rPr>
              <w:t>Japon</w:t>
            </w:r>
          </w:p>
        </w:tc>
        <w:tc>
          <w:tcPr>
            <w:tcW w:w="2585" w:type="dxa"/>
            <w:vAlign w:val="center"/>
          </w:tcPr>
          <w:p w14:paraId="31140841" w14:textId="5C890E7C" w:rsidR="003565A8" w:rsidRPr="00DF36BC" w:rsidRDefault="003565A8" w:rsidP="003565A8">
            <w:pPr>
              <w:spacing w:before="60" w:after="60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</w:rPr>
              <w:t>3 mois - grade P2</w:t>
            </w:r>
          </w:p>
        </w:tc>
      </w:tr>
      <w:tr w:rsidR="003565A8" w:rsidRPr="00C75E87" w14:paraId="7E54E28F" w14:textId="77777777" w:rsidTr="003565A8">
        <w:trPr>
          <w:cantSplit/>
        </w:trPr>
        <w:tc>
          <w:tcPr>
            <w:tcW w:w="6487" w:type="dxa"/>
            <w:vAlign w:val="center"/>
          </w:tcPr>
          <w:p w14:paraId="1623250B" w14:textId="3C4FDCE0" w:rsidR="003565A8" w:rsidRPr="00DF36BC" w:rsidRDefault="003565A8" w:rsidP="006B3B0E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</w:rPr>
              <w:t>Singapour</w:t>
            </w:r>
          </w:p>
        </w:tc>
        <w:tc>
          <w:tcPr>
            <w:tcW w:w="2585" w:type="dxa"/>
            <w:vAlign w:val="center"/>
          </w:tcPr>
          <w:p w14:paraId="5D50C2FA" w14:textId="290ABB1C" w:rsidR="003565A8" w:rsidRPr="00DF36BC" w:rsidRDefault="003565A8" w:rsidP="003565A8">
            <w:pPr>
              <w:spacing w:before="60" w:after="60"/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/>
                <w:color w:val="000000"/>
              </w:rPr>
              <w:t>12 mois - grade P2</w:t>
            </w:r>
          </w:p>
        </w:tc>
      </w:tr>
    </w:tbl>
    <w:p w14:paraId="735E2913" w14:textId="09EDAD83" w:rsidR="00727E92" w:rsidRDefault="00727E92" w:rsidP="002B3D00">
      <w:pPr>
        <w:pStyle w:val="Paragraphedeliste"/>
        <w:numPr>
          <w:ilvl w:val="0"/>
          <w:numId w:val="0"/>
        </w:numPr>
        <w:spacing w:after="240"/>
        <w:jc w:val="center"/>
        <w:rPr>
          <w:b/>
          <w:u w:val="single"/>
        </w:rPr>
      </w:pPr>
      <w:r>
        <w:br w:type="page"/>
      </w:r>
    </w:p>
    <w:p w14:paraId="1B3A755D" w14:textId="77777777" w:rsidR="00EA23BD" w:rsidRDefault="00EA23BD" w:rsidP="000931F0">
      <w:pPr>
        <w:pStyle w:val="Paragraphedeliste"/>
        <w:numPr>
          <w:ilvl w:val="0"/>
          <w:numId w:val="0"/>
        </w:numPr>
        <w:spacing w:after="240"/>
        <w:jc w:val="center"/>
        <w:rPr>
          <w:b/>
          <w:u w:val="single"/>
        </w:rPr>
        <w:sectPr w:rsidR="00EA23BD" w:rsidSect="006869A2">
          <w:headerReference w:type="even" r:id="rId30"/>
          <w:headerReference w:type="default" r:id="rId31"/>
          <w:headerReference w:type="first" r:id="rId32"/>
          <w:pgSz w:w="11906" w:h="16838" w:code="9"/>
          <w:pgMar w:top="1411" w:right="1138" w:bottom="1138" w:left="1138" w:header="403" w:footer="288" w:gutter="0"/>
          <w:cols w:space="708"/>
          <w:titlePg/>
          <w:docGrid w:linePitch="360"/>
        </w:sectPr>
      </w:pPr>
    </w:p>
    <w:p w14:paraId="5BC38C7A" w14:textId="5617E4C6" w:rsidR="002B3D00" w:rsidRPr="002B3D00" w:rsidRDefault="002B3D00">
      <w:pPr>
        <w:spacing w:after="0"/>
        <w:rPr>
          <w:rFonts w:ascii="Arial" w:hAnsi="Arial" w:cs="Arial"/>
          <w:b/>
          <w:snapToGrid w:val="0"/>
          <w:szCs w:val="22"/>
          <w:u w:val="single"/>
          <w:lang w:eastAsia="en-US"/>
        </w:rPr>
      </w:pPr>
    </w:p>
    <w:p w14:paraId="4F419DBA" w14:textId="1E9BD83E" w:rsidR="00EA23BD" w:rsidRDefault="00EA23BD" w:rsidP="00EA23BD">
      <w:pPr>
        <w:pStyle w:val="Paragraphedeliste"/>
        <w:numPr>
          <w:ilvl w:val="0"/>
          <w:numId w:val="0"/>
        </w:numPr>
        <w:jc w:val="center"/>
        <w:rPr>
          <w:b/>
          <w:u w:val="single"/>
        </w:rPr>
      </w:pPr>
      <w:r>
        <w:rPr>
          <w:b/>
          <w:u w:val="single"/>
        </w:rPr>
        <w:t>ANNEXE III</w:t>
      </w:r>
    </w:p>
    <w:p w14:paraId="1D4FA8AF" w14:textId="27E10A74" w:rsidR="00E97DAF" w:rsidRPr="00E97DAF" w:rsidRDefault="007B3090" w:rsidP="003B7E26">
      <w:pPr>
        <w:pStyle w:val="Paragraphedeliste"/>
        <w:numPr>
          <w:ilvl w:val="0"/>
          <w:numId w:val="0"/>
        </w:numPr>
        <w:spacing w:after="240"/>
        <w:jc w:val="center"/>
        <w:rPr>
          <w:b/>
          <w:u w:val="single"/>
        </w:rPr>
      </w:pPr>
      <w:r w:rsidRPr="007B3090">
        <w:rPr>
          <w:noProof/>
          <w:lang w:eastAsia="ja-JP"/>
        </w:rPr>
        <w:drawing>
          <wp:inline distT="0" distB="0" distL="0" distR="0" wp14:anchorId="39FC305C" wp14:editId="6C21EF6D">
            <wp:extent cx="9246870" cy="57308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870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A496" w14:textId="0AFA6CEF" w:rsidR="00727E92" w:rsidRDefault="00C47D45" w:rsidP="00727E92">
      <w:pPr>
        <w:pStyle w:val="Paragraphedeliste"/>
        <w:pageBreakBefore/>
        <w:numPr>
          <w:ilvl w:val="0"/>
          <w:numId w:val="0"/>
        </w:numPr>
        <w:jc w:val="center"/>
        <w:rPr>
          <w:b/>
          <w:u w:val="single"/>
        </w:rPr>
      </w:pPr>
      <w:r>
        <w:rPr>
          <w:b/>
          <w:u w:val="single"/>
        </w:rPr>
        <w:lastRenderedPageBreak/>
        <w:t>ANNEXE IV</w:t>
      </w:r>
    </w:p>
    <w:p w14:paraId="28653070" w14:textId="27FD14AB" w:rsidR="000739B5" w:rsidRPr="00E97DAF" w:rsidRDefault="007B3090" w:rsidP="00DD001E">
      <w:pPr>
        <w:jc w:val="center"/>
        <w:rPr>
          <w:b/>
        </w:rPr>
      </w:pPr>
      <w:r w:rsidRPr="007B3090">
        <w:rPr>
          <w:noProof/>
          <w:lang w:eastAsia="ja-JP"/>
        </w:rPr>
        <w:drawing>
          <wp:inline distT="0" distB="0" distL="0" distR="0" wp14:anchorId="7737F8FD" wp14:editId="5B13F724">
            <wp:extent cx="8763000" cy="3819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9B5" w:rsidRPr="00E97DAF" w:rsidSect="00EA23BD">
      <w:pgSz w:w="16838" w:h="11906" w:orient="landscape" w:code="9"/>
      <w:pgMar w:top="1138" w:right="1138" w:bottom="994" w:left="1138" w:header="40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98A9" w14:textId="77777777" w:rsidR="005E031E" w:rsidRDefault="005E031E" w:rsidP="002938F2">
      <w:r>
        <w:separator/>
      </w:r>
    </w:p>
    <w:p w14:paraId="49435413" w14:textId="77777777" w:rsidR="005E031E" w:rsidRDefault="005E031E"/>
  </w:endnote>
  <w:endnote w:type="continuationSeparator" w:id="0">
    <w:p w14:paraId="2C439C06" w14:textId="77777777" w:rsidR="005E031E" w:rsidRDefault="005E031E" w:rsidP="002938F2">
      <w:r>
        <w:continuationSeparator/>
      </w:r>
    </w:p>
    <w:p w14:paraId="38C55757" w14:textId="77777777" w:rsidR="005E031E" w:rsidRDefault="005E0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EC685" w14:textId="77777777" w:rsidR="005E031E" w:rsidRDefault="005E031E">
      <w:r>
        <w:separator/>
      </w:r>
    </w:p>
  </w:footnote>
  <w:footnote w:type="continuationSeparator" w:id="0">
    <w:p w14:paraId="762FF9D3" w14:textId="77777777" w:rsidR="005E031E" w:rsidRDefault="005E031E" w:rsidP="002938F2">
      <w:r>
        <w:continuationSeparator/>
      </w:r>
    </w:p>
  </w:footnote>
  <w:footnote w:id="1">
    <w:p w14:paraId="4C0F066A" w14:textId="22172354" w:rsidR="006C15BD" w:rsidRPr="008D7DE1" w:rsidRDefault="006C15BD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ab/>
        <w:t>Les chiffres</w:t>
      </w:r>
      <w:r w:rsidR="008D7DE1">
        <w:rPr>
          <w:rFonts w:ascii="Arial" w:hAnsi="Arial"/>
          <w:sz w:val="18"/>
          <w:szCs w:val="18"/>
        </w:rPr>
        <w:t xml:space="preserve"> </w:t>
      </w:r>
      <w:r w:rsidRPr="008D7DE1">
        <w:rPr>
          <w:rFonts w:ascii="Arial" w:hAnsi="Arial"/>
          <w:sz w:val="18"/>
          <w:szCs w:val="18"/>
        </w:rPr>
        <w:t xml:space="preserve">sont 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arrondis par rapport à l’État financier I, pages 6–7.</w:t>
      </w:r>
    </w:p>
  </w:footnote>
  <w:footnote w:id="2">
    <w:p w14:paraId="5F5EA6B1" w14:textId="6CB30B2E" w:rsidR="005974BB" w:rsidRPr="008D7DE1" w:rsidRDefault="005974BB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ab/>
        <w:t>Dans l’État financier I, les contributions obligatoires pour la période 2018-2019 figurent en tant que revenus, qu’elles aient été perçues ou non ; l’État financier II montre que le montant impayé par les États parties et dû au 31 décembre 2019 était de 435 138 dollars des États-Unis. Les contributions volontaires apparaissent en tant que revenus uniquement à la date où elles sont reçues.</w:t>
      </w:r>
    </w:p>
  </w:footnote>
  <w:footnote w:id="3">
    <w:p w14:paraId="6ED65E4A" w14:textId="485D0BE1" w:rsidR="0015084F" w:rsidRPr="008D7DE1" w:rsidRDefault="0015084F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ab/>
        <w:t>Depuis sa création en 2010</w:t>
      </w:r>
      <w:r w:rsidR="008D7DE1">
        <w:rPr>
          <w:rFonts w:ascii="Arial" w:hAnsi="Arial"/>
          <w:sz w:val="18"/>
          <w:szCs w:val="18"/>
        </w:rPr>
        <w:t xml:space="preserve"> et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 xml:space="preserve"> jusqu’au 31 décembre 2019, le sous-fonds – destiné exclusivement au renforcement des capacités humaines du Secrétariat – a reçu des contributions s’élevant à un total de 1</w:t>
      </w:r>
      <w:r w:rsidR="008D7DE1">
        <w:rPr>
          <w:rFonts w:ascii="Arial" w:hAnsi="Arial"/>
          <w:sz w:val="18"/>
          <w:szCs w:val="18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 xml:space="preserve">5 million </w:t>
      </w:r>
      <w:r w:rsidR="008D7DE1">
        <w:rPr>
          <w:rFonts w:ascii="Arial" w:hAnsi="Arial"/>
          <w:sz w:val="18"/>
          <w:szCs w:val="18"/>
        </w:rPr>
        <w:t xml:space="preserve">de 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dollars des États-Unis.</w:t>
      </w:r>
    </w:p>
  </w:footnote>
  <w:footnote w:id="4">
    <w:p w14:paraId="65B80EB8" w14:textId="1B5E93D6" w:rsidR="00DC2D42" w:rsidRPr="008D7DE1" w:rsidRDefault="00DC2D42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rStyle w:val="Appelnotedebasdep"/>
          <w:rFonts w:ascii="Arial" w:eastAsiaTheme="minorHAnsi" w:hAnsi="Arial" w:cs="Arial"/>
          <w:sz w:val="18"/>
          <w:szCs w:val="18"/>
          <w:vertAlign w:val="baseline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ab/>
        <w:t xml:space="preserve">Les chiffres </w:t>
      </w:r>
      <w:r w:rsidRPr="008D7DE1">
        <w:rPr>
          <w:rFonts w:ascii="Arial" w:hAnsi="Arial"/>
          <w:sz w:val="18"/>
          <w:szCs w:val="18"/>
        </w:rPr>
        <w:t xml:space="preserve">sont arrondis 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par rapport à l’État financier I, pages 6–7.</w:t>
      </w:r>
    </w:p>
  </w:footnote>
  <w:footnote w:id="5">
    <w:p w14:paraId="4D8A0AED" w14:textId="47EEF2F3" w:rsidR="001769EA" w:rsidRPr="008D7DE1" w:rsidRDefault="001769EA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sz w:val="18"/>
          <w:szCs w:val="18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ab/>
        <w:t xml:space="preserve">Ce chiffre </w:t>
      </w:r>
      <w:r w:rsidRPr="008D7DE1">
        <w:rPr>
          <w:rFonts w:ascii="Arial" w:hAnsi="Arial"/>
          <w:sz w:val="18"/>
          <w:szCs w:val="18"/>
        </w:rPr>
        <w:t xml:space="preserve">correspond aux demandes d’assistance internationale qui ont fait l’objet d’un contrat au cours de la période concernée, quelle que soit l’année de leur approbation 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par le Comité ou le Bureau.</w:t>
      </w:r>
    </w:p>
  </w:footnote>
  <w:footnote w:id="6">
    <w:p w14:paraId="0B824018" w14:textId="165A44CC" w:rsidR="002B3D00" w:rsidRPr="006608D6" w:rsidRDefault="002B3D00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pt-PT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.</w:t>
      </w:r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ab/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Annexe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 II (b)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publiée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par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l’Entité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du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patrimoine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vivant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(LHE)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en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tant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que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complément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r w:rsidR="006608D6" w:rsidRPr="006608D6">
        <w:rPr>
          <w:rFonts w:ascii="Arial" w:hAnsi="Arial"/>
          <w:sz w:val="18"/>
          <w:szCs w:val="18"/>
          <w:lang w:val="pt-PT"/>
        </w:rPr>
        <w:t>a</w:t>
      </w:r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u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rapport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financier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publié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par la Section de la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gestion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des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financements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, Bureau de la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planification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</w:t>
      </w:r>
      <w:proofErr w:type="spellStart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>stratégique</w:t>
      </w:r>
      <w:proofErr w:type="spellEnd"/>
      <w:r w:rsidRPr="006608D6">
        <w:rPr>
          <w:rStyle w:val="Appelnotedebasdep"/>
          <w:rFonts w:ascii="Arial" w:hAnsi="Arial"/>
          <w:sz w:val="18"/>
          <w:szCs w:val="18"/>
          <w:vertAlign w:val="baseline"/>
          <w:lang w:val="pt-PT"/>
        </w:rPr>
        <w:t xml:space="preserve"> (BSP).</w:t>
      </w:r>
    </w:p>
  </w:footnote>
  <w:footnote w:id="7">
    <w:p w14:paraId="0ADB63C4" w14:textId="77777777" w:rsidR="003565A8" w:rsidRPr="008D7DE1" w:rsidRDefault="003565A8" w:rsidP="009C6431">
      <w:pPr>
        <w:pStyle w:val="Notedebasdepage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8D7DE1">
        <w:rPr>
          <w:rStyle w:val="Appelnotedebasdep"/>
          <w:rFonts w:ascii="Arial" w:eastAsiaTheme="minorHAnsi" w:hAnsi="Arial" w:cs="Arial"/>
          <w:sz w:val="18"/>
          <w:szCs w:val="18"/>
          <w:vertAlign w:val="baseline"/>
          <w:lang w:val="en-US" w:eastAsia="en-US"/>
        </w:rPr>
        <w:footnoteRef/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>.</w:t>
      </w:r>
      <w:r w:rsidRPr="008D7DE1">
        <w:rPr>
          <w:rStyle w:val="Appelnotedebasdep"/>
          <w:rFonts w:ascii="Arial" w:hAnsi="Arial"/>
          <w:sz w:val="18"/>
          <w:szCs w:val="18"/>
          <w:vertAlign w:val="baseline"/>
        </w:rPr>
        <w:tab/>
        <w:t>Personnel en poste pendant la période considérée.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F6B4" w14:textId="5FB06F0B" w:rsidR="007C3D0C" w:rsidRPr="008029F3" w:rsidRDefault="002B3D00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 xml:space="preserve">LHE/20/8.GA/INF.7 – page </w:t>
    </w:r>
    <w:r w:rsidR="007C3D0C" w:rsidRPr="00A43442">
      <w:rPr>
        <w:rStyle w:val="Numrodepage"/>
        <w:rFonts w:ascii="Arial" w:hAnsi="Arial" w:cs="Arial"/>
        <w:sz w:val="20"/>
      </w:rPr>
      <w:fldChar w:fldCharType="begin"/>
    </w:r>
    <w:r w:rsidR="007C3D0C" w:rsidRPr="00A43442">
      <w:rPr>
        <w:rStyle w:val="Numrodepage"/>
        <w:rFonts w:ascii="Arial" w:hAnsi="Arial" w:cs="Arial"/>
        <w:sz w:val="20"/>
      </w:rPr>
      <w:instrText xml:space="preserve"> PAGE </w:instrText>
    </w:r>
    <w:r w:rsidR="007C3D0C" w:rsidRPr="00A43442">
      <w:rPr>
        <w:rStyle w:val="Numrodepage"/>
        <w:rFonts w:ascii="Arial" w:hAnsi="Arial" w:cs="Arial"/>
        <w:sz w:val="20"/>
      </w:rPr>
      <w:fldChar w:fldCharType="separate"/>
    </w:r>
    <w:r w:rsidR="006A5521">
      <w:rPr>
        <w:rStyle w:val="Numrodepage"/>
        <w:rFonts w:ascii="Arial" w:hAnsi="Arial" w:cs="Arial"/>
        <w:noProof/>
        <w:sz w:val="20"/>
      </w:rPr>
      <w:t>12</w:t>
    </w:r>
    <w:r w:rsidR="007C3D0C" w:rsidRPr="00A43442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B0A73" w14:textId="4AED6B9A" w:rsidR="007C3D0C" w:rsidRPr="008029F3" w:rsidRDefault="00F1369C" w:rsidP="008029F3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 xml:space="preserve">LHE/20/8.GA/INF.7 – page </w:t>
    </w:r>
    <w:r w:rsidR="007C3D0C" w:rsidRPr="00EF563B">
      <w:rPr>
        <w:rStyle w:val="Numrodepage"/>
        <w:rFonts w:ascii="Arial" w:hAnsi="Arial" w:cs="Arial"/>
        <w:sz w:val="20"/>
      </w:rPr>
      <w:fldChar w:fldCharType="begin"/>
    </w:r>
    <w:r w:rsidR="007C3D0C" w:rsidRPr="00EF563B">
      <w:rPr>
        <w:rStyle w:val="Numrodepage"/>
        <w:rFonts w:ascii="Arial" w:hAnsi="Arial" w:cs="Arial"/>
        <w:sz w:val="20"/>
      </w:rPr>
      <w:instrText xml:space="preserve"> </w:instrText>
    </w:r>
    <w:r w:rsidR="007C3D0C">
      <w:rPr>
        <w:rStyle w:val="Numrodepage"/>
        <w:rFonts w:ascii="Arial" w:hAnsi="Arial" w:cs="Arial"/>
        <w:sz w:val="20"/>
      </w:rPr>
      <w:instrText>PAGE</w:instrText>
    </w:r>
    <w:r w:rsidR="007C3D0C" w:rsidRPr="00EF563B">
      <w:rPr>
        <w:rStyle w:val="Numrodepage"/>
        <w:rFonts w:ascii="Arial" w:hAnsi="Arial" w:cs="Arial"/>
        <w:sz w:val="20"/>
      </w:rPr>
      <w:instrText xml:space="preserve"> </w:instrText>
    </w:r>
    <w:r w:rsidR="007C3D0C" w:rsidRPr="00EF563B">
      <w:rPr>
        <w:rStyle w:val="Numrodepage"/>
        <w:rFonts w:ascii="Arial" w:hAnsi="Arial" w:cs="Arial"/>
        <w:sz w:val="20"/>
      </w:rPr>
      <w:fldChar w:fldCharType="separate"/>
    </w:r>
    <w:r w:rsidR="006A5521">
      <w:rPr>
        <w:rStyle w:val="Numrodepage"/>
        <w:rFonts w:ascii="Arial" w:hAnsi="Arial" w:cs="Arial"/>
        <w:noProof/>
        <w:sz w:val="20"/>
      </w:rPr>
      <w:t>13</w:t>
    </w:r>
    <w:r w:rsidR="007C3D0C" w:rsidRPr="00EF563B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905F" w14:textId="2628CE52" w:rsidR="007C3D0C" w:rsidRPr="008724E5" w:rsidRDefault="008E43DA">
    <w:pPr>
      <w:pStyle w:val="En-tte"/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76D7D707" wp14:editId="4BC0E118">
          <wp:simplePos x="0" y="0"/>
          <wp:positionH relativeFrom="page">
            <wp:posOffset>354330</wp:posOffset>
          </wp:positionH>
          <wp:positionV relativeFrom="page">
            <wp:posOffset>274320</wp:posOffset>
          </wp:positionV>
          <wp:extent cx="2037600" cy="1530000"/>
          <wp:effectExtent l="0" t="0" r="1270" b="0"/>
          <wp:wrapNone/>
          <wp:docPr id="2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363BA" w14:textId="717823D2" w:rsidR="007C3D0C" w:rsidRPr="00AD61B7" w:rsidRDefault="00AD61B7" w:rsidP="002938F2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8 GA</w:t>
    </w:r>
  </w:p>
  <w:p w14:paraId="0235C0E6" w14:textId="754B7E6D" w:rsidR="007C3D0C" w:rsidRPr="00AD61B7" w:rsidRDefault="00AD61B7" w:rsidP="002D396D">
    <w:pPr>
      <w:spacing w:after="0"/>
      <w:jc w:val="right"/>
      <w:rPr>
        <w:rFonts w:ascii="Arial" w:hAnsi="Arial" w:cs="Arial"/>
        <w:b/>
        <w:szCs w:val="22"/>
      </w:rPr>
    </w:pPr>
    <w:r>
      <w:rPr>
        <w:rFonts w:ascii="Arial" w:hAnsi="Arial"/>
        <w:b/>
      </w:rPr>
      <w:t>LHE/20/8.GA/INF.7</w:t>
    </w:r>
  </w:p>
  <w:p w14:paraId="6335E15D" w14:textId="52A7811B" w:rsidR="007C3D0C" w:rsidRPr="00E8780E" w:rsidRDefault="007C3D0C" w:rsidP="007A519A">
    <w:pPr>
      <w:spacing w:after="0"/>
      <w:jc w:val="right"/>
      <w:rPr>
        <w:rFonts w:ascii="Arial" w:hAnsi="Arial" w:cs="Arial"/>
        <w:b/>
        <w:szCs w:val="22"/>
      </w:rPr>
    </w:pPr>
    <w:r>
      <w:rPr>
        <w:rFonts w:ascii="Arial" w:hAnsi="Arial"/>
        <w:b/>
      </w:rPr>
      <w:t xml:space="preserve">Paris, </w:t>
    </w:r>
    <w:r w:rsidRPr="00222831">
      <w:rPr>
        <w:rFonts w:ascii="Arial" w:hAnsi="Arial"/>
        <w:b/>
      </w:rPr>
      <w:t>le 7</w:t>
    </w:r>
    <w:r>
      <w:rPr>
        <w:rFonts w:ascii="Arial" w:hAnsi="Arial"/>
        <w:b/>
      </w:rPr>
      <w:t xml:space="preserve"> août 2020</w:t>
    </w:r>
  </w:p>
  <w:p w14:paraId="25139444" w14:textId="74DF78CA" w:rsidR="007C3D0C" w:rsidRDefault="007C3D0C" w:rsidP="002D396D">
    <w:pPr>
      <w:spacing w:after="0"/>
      <w:jc w:val="right"/>
      <w:rPr>
        <w:rFonts w:ascii="Arial" w:hAnsi="Arial" w:cs="Arial"/>
        <w:b/>
        <w:szCs w:val="22"/>
      </w:rPr>
    </w:pPr>
    <w:r>
      <w:rPr>
        <w:rFonts w:ascii="Arial" w:hAnsi="Arial"/>
        <w:b/>
      </w:rPr>
      <w:t>Original : anglais</w:t>
    </w:r>
  </w:p>
  <w:p w14:paraId="634BF21D" w14:textId="3CFA1859" w:rsidR="00187B6E" w:rsidRPr="00187B6E" w:rsidRDefault="00187B6E" w:rsidP="00187B6E">
    <w:pPr>
      <w:spacing w:after="0"/>
      <w:rPr>
        <w:rFonts w:ascii="Arial" w:hAnsi="Arial" w:cs="Arial"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1AC23FD"/>
    <w:multiLevelType w:val="hybridMultilevel"/>
    <w:tmpl w:val="50705A4A"/>
    <w:lvl w:ilvl="0" w:tplc="0AAA590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 w:tplc="BB401AD4">
      <w:start w:val="1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Arial" w:eastAsia="Times New Roman" w:hAnsi="Arial" w:cs="Arial" w:hint="default"/>
      </w:rPr>
    </w:lvl>
    <w:lvl w:ilvl="2" w:tplc="0CD4806C">
      <w:start w:val="1"/>
      <w:numFmt w:val="lowerLetter"/>
      <w:lvlText w:val="%3)"/>
      <w:lvlJc w:val="left"/>
      <w:pPr>
        <w:ind w:left="198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F70952"/>
    <w:multiLevelType w:val="hybridMultilevel"/>
    <w:tmpl w:val="5D06041C"/>
    <w:lvl w:ilvl="0" w:tplc="D1207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4080"/>
    <w:multiLevelType w:val="hybridMultilevel"/>
    <w:tmpl w:val="51603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7BFE"/>
    <w:multiLevelType w:val="hybridMultilevel"/>
    <w:tmpl w:val="6CC67502"/>
    <w:lvl w:ilvl="0" w:tplc="3864E488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BD40C5"/>
    <w:multiLevelType w:val="hybridMultilevel"/>
    <w:tmpl w:val="952C5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1665"/>
    <w:multiLevelType w:val="hybridMultilevel"/>
    <w:tmpl w:val="929CF4D0"/>
    <w:lvl w:ilvl="0" w:tplc="D04ECF5C">
      <w:start w:val="1"/>
      <w:numFmt w:val="decimal"/>
      <w:pStyle w:val="Paragraphedeliste"/>
      <w:lvlText w:val="%1."/>
      <w:lvlJc w:val="left"/>
      <w:pPr>
        <w:ind w:left="502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02196"/>
    <w:multiLevelType w:val="hybridMultilevel"/>
    <w:tmpl w:val="4EDA57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4573A"/>
    <w:multiLevelType w:val="hybridMultilevel"/>
    <w:tmpl w:val="7256B022"/>
    <w:lvl w:ilvl="0" w:tplc="A574CF6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5772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F2EEC"/>
    <w:multiLevelType w:val="hybridMultilevel"/>
    <w:tmpl w:val="2B0E3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05E8"/>
    <w:multiLevelType w:val="hybridMultilevel"/>
    <w:tmpl w:val="9182B90E"/>
    <w:lvl w:ilvl="0" w:tplc="04090017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F2D2B"/>
    <w:multiLevelType w:val="hybridMultilevel"/>
    <w:tmpl w:val="C562D1DC"/>
    <w:lvl w:ilvl="0" w:tplc="1176456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7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6"/>
    <w:lvlOverride w:ilvl="0">
      <w:startOverride w:val="1"/>
    </w:lvlOverride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6"/>
  </w:num>
  <w:num w:numId="29">
    <w:abstractNumId w:val="14"/>
  </w:num>
  <w:num w:numId="30">
    <w:abstractNumId w:val="4"/>
  </w:num>
  <w:num w:numId="31">
    <w:abstractNumId w:val="10"/>
  </w:num>
  <w:num w:numId="32">
    <w:abstractNumId w:val="12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131078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567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96"/>
    <w:rsid w:val="000003ED"/>
    <w:rsid w:val="00000773"/>
    <w:rsid w:val="000016A4"/>
    <w:rsid w:val="000019DB"/>
    <w:rsid w:val="000047CC"/>
    <w:rsid w:val="00006DDD"/>
    <w:rsid w:val="00012043"/>
    <w:rsid w:val="000120FD"/>
    <w:rsid w:val="000150DA"/>
    <w:rsid w:val="00017560"/>
    <w:rsid w:val="00021831"/>
    <w:rsid w:val="00023505"/>
    <w:rsid w:val="00032C48"/>
    <w:rsid w:val="00033DB5"/>
    <w:rsid w:val="000352F3"/>
    <w:rsid w:val="000360C7"/>
    <w:rsid w:val="00047E58"/>
    <w:rsid w:val="000515CF"/>
    <w:rsid w:val="00051C59"/>
    <w:rsid w:val="00060209"/>
    <w:rsid w:val="00066857"/>
    <w:rsid w:val="000673E9"/>
    <w:rsid w:val="00073900"/>
    <w:rsid w:val="000739B5"/>
    <w:rsid w:val="00073D20"/>
    <w:rsid w:val="000745F7"/>
    <w:rsid w:val="000751F1"/>
    <w:rsid w:val="000755E1"/>
    <w:rsid w:val="00082B3E"/>
    <w:rsid w:val="00084BEF"/>
    <w:rsid w:val="00085541"/>
    <w:rsid w:val="000913B0"/>
    <w:rsid w:val="000931F0"/>
    <w:rsid w:val="000A2C3B"/>
    <w:rsid w:val="000A34CE"/>
    <w:rsid w:val="000B0EB0"/>
    <w:rsid w:val="000B52AF"/>
    <w:rsid w:val="000B56F5"/>
    <w:rsid w:val="000B5F6E"/>
    <w:rsid w:val="000C00C7"/>
    <w:rsid w:val="000C1661"/>
    <w:rsid w:val="000C16BE"/>
    <w:rsid w:val="000C3944"/>
    <w:rsid w:val="000C65E4"/>
    <w:rsid w:val="000C7B89"/>
    <w:rsid w:val="000E26B1"/>
    <w:rsid w:val="000E5D1E"/>
    <w:rsid w:val="000E7A8C"/>
    <w:rsid w:val="000F1B54"/>
    <w:rsid w:val="000F3504"/>
    <w:rsid w:val="000F4858"/>
    <w:rsid w:val="00100F68"/>
    <w:rsid w:val="00103156"/>
    <w:rsid w:val="001037E1"/>
    <w:rsid w:val="00105111"/>
    <w:rsid w:val="00106B72"/>
    <w:rsid w:val="0011750D"/>
    <w:rsid w:val="00117946"/>
    <w:rsid w:val="00121510"/>
    <w:rsid w:val="00131A2D"/>
    <w:rsid w:val="001358AE"/>
    <w:rsid w:val="00135D75"/>
    <w:rsid w:val="001412DE"/>
    <w:rsid w:val="00143C64"/>
    <w:rsid w:val="00144A4D"/>
    <w:rsid w:val="00147DFC"/>
    <w:rsid w:val="0015084F"/>
    <w:rsid w:val="00151351"/>
    <w:rsid w:val="00152064"/>
    <w:rsid w:val="001545AC"/>
    <w:rsid w:val="00157CEB"/>
    <w:rsid w:val="00165E65"/>
    <w:rsid w:val="00167529"/>
    <w:rsid w:val="00172E4E"/>
    <w:rsid w:val="00174B39"/>
    <w:rsid w:val="001764B7"/>
    <w:rsid w:val="001769EA"/>
    <w:rsid w:val="00181704"/>
    <w:rsid w:val="00182574"/>
    <w:rsid w:val="00184D6F"/>
    <w:rsid w:val="00187B6E"/>
    <w:rsid w:val="001933CB"/>
    <w:rsid w:val="00193E58"/>
    <w:rsid w:val="00197D99"/>
    <w:rsid w:val="001A378D"/>
    <w:rsid w:val="001A4230"/>
    <w:rsid w:val="001A431C"/>
    <w:rsid w:val="001A7AEE"/>
    <w:rsid w:val="001B2BB0"/>
    <w:rsid w:val="001B67EB"/>
    <w:rsid w:val="001C0176"/>
    <w:rsid w:val="001C521C"/>
    <w:rsid w:val="001D00B5"/>
    <w:rsid w:val="001D3B29"/>
    <w:rsid w:val="001E0074"/>
    <w:rsid w:val="001E4EEB"/>
    <w:rsid w:val="001F044D"/>
    <w:rsid w:val="001F1441"/>
    <w:rsid w:val="001F37CA"/>
    <w:rsid w:val="00201081"/>
    <w:rsid w:val="002019ED"/>
    <w:rsid w:val="002023E2"/>
    <w:rsid w:val="00213471"/>
    <w:rsid w:val="00222831"/>
    <w:rsid w:val="002259FA"/>
    <w:rsid w:val="00227D89"/>
    <w:rsid w:val="00232B6D"/>
    <w:rsid w:val="002374DE"/>
    <w:rsid w:val="00240372"/>
    <w:rsid w:val="00255177"/>
    <w:rsid w:val="002556CF"/>
    <w:rsid w:val="00256B4E"/>
    <w:rsid w:val="0027198B"/>
    <w:rsid w:val="00275132"/>
    <w:rsid w:val="00281C9D"/>
    <w:rsid w:val="00286C0C"/>
    <w:rsid w:val="00287032"/>
    <w:rsid w:val="00290D5F"/>
    <w:rsid w:val="002938F2"/>
    <w:rsid w:val="002B3D00"/>
    <w:rsid w:val="002B50BC"/>
    <w:rsid w:val="002B5D8D"/>
    <w:rsid w:val="002C1911"/>
    <w:rsid w:val="002C4850"/>
    <w:rsid w:val="002C5280"/>
    <w:rsid w:val="002D396D"/>
    <w:rsid w:val="002D4649"/>
    <w:rsid w:val="002E2963"/>
    <w:rsid w:val="002E3266"/>
    <w:rsid w:val="002E3B93"/>
    <w:rsid w:val="002E62EA"/>
    <w:rsid w:val="002F32BF"/>
    <w:rsid w:val="002F3666"/>
    <w:rsid w:val="0030153A"/>
    <w:rsid w:val="0030548A"/>
    <w:rsid w:val="00320FF9"/>
    <w:rsid w:val="00322A88"/>
    <w:rsid w:val="00326687"/>
    <w:rsid w:val="00335AE5"/>
    <w:rsid w:val="00336F06"/>
    <w:rsid w:val="00337BD6"/>
    <w:rsid w:val="003437FD"/>
    <w:rsid w:val="00343E68"/>
    <w:rsid w:val="00355B36"/>
    <w:rsid w:val="00355DB7"/>
    <w:rsid w:val="003565A8"/>
    <w:rsid w:val="00356DDA"/>
    <w:rsid w:val="00363995"/>
    <w:rsid w:val="00363EAB"/>
    <w:rsid w:val="00367A4D"/>
    <w:rsid w:val="003714CC"/>
    <w:rsid w:val="00371A22"/>
    <w:rsid w:val="00380959"/>
    <w:rsid w:val="00384D5F"/>
    <w:rsid w:val="003878DF"/>
    <w:rsid w:val="00391CC2"/>
    <w:rsid w:val="0039446E"/>
    <w:rsid w:val="003968A9"/>
    <w:rsid w:val="003B5684"/>
    <w:rsid w:val="003B71DB"/>
    <w:rsid w:val="003B7E26"/>
    <w:rsid w:val="003C374C"/>
    <w:rsid w:val="003C62A3"/>
    <w:rsid w:val="003C7051"/>
    <w:rsid w:val="003C7065"/>
    <w:rsid w:val="003D20A6"/>
    <w:rsid w:val="003D3E76"/>
    <w:rsid w:val="003D56A5"/>
    <w:rsid w:val="003E4E3D"/>
    <w:rsid w:val="003E5D80"/>
    <w:rsid w:val="003F1686"/>
    <w:rsid w:val="003F280D"/>
    <w:rsid w:val="003F7F4B"/>
    <w:rsid w:val="0040156E"/>
    <w:rsid w:val="004108B6"/>
    <w:rsid w:val="0041339C"/>
    <w:rsid w:val="00417D89"/>
    <w:rsid w:val="00421C3D"/>
    <w:rsid w:val="00426676"/>
    <w:rsid w:val="00431C5E"/>
    <w:rsid w:val="00434773"/>
    <w:rsid w:val="00444DA2"/>
    <w:rsid w:val="004475B0"/>
    <w:rsid w:val="00447630"/>
    <w:rsid w:val="00450562"/>
    <w:rsid w:val="004543FC"/>
    <w:rsid w:val="00457EDD"/>
    <w:rsid w:val="00462FE8"/>
    <w:rsid w:val="00464A59"/>
    <w:rsid w:val="00467D19"/>
    <w:rsid w:val="00471B34"/>
    <w:rsid w:val="00485E13"/>
    <w:rsid w:val="00487AF0"/>
    <w:rsid w:val="00493E01"/>
    <w:rsid w:val="0049436B"/>
    <w:rsid w:val="00495719"/>
    <w:rsid w:val="004A5954"/>
    <w:rsid w:val="004A65A7"/>
    <w:rsid w:val="004B185A"/>
    <w:rsid w:val="004B2EBB"/>
    <w:rsid w:val="004B5B99"/>
    <w:rsid w:val="004C00BD"/>
    <w:rsid w:val="004C0380"/>
    <w:rsid w:val="004C6C91"/>
    <w:rsid w:val="004D17AF"/>
    <w:rsid w:val="004D2D1F"/>
    <w:rsid w:val="004F05D5"/>
    <w:rsid w:val="004F3FF0"/>
    <w:rsid w:val="005016FB"/>
    <w:rsid w:val="00503586"/>
    <w:rsid w:val="005035E7"/>
    <w:rsid w:val="00504E1C"/>
    <w:rsid w:val="005059A3"/>
    <w:rsid w:val="00511D17"/>
    <w:rsid w:val="005123D8"/>
    <w:rsid w:val="0051699F"/>
    <w:rsid w:val="00522EFF"/>
    <w:rsid w:val="00527699"/>
    <w:rsid w:val="005351A5"/>
    <w:rsid w:val="00552E74"/>
    <w:rsid w:val="00554E40"/>
    <w:rsid w:val="00560A33"/>
    <w:rsid w:val="00562C05"/>
    <w:rsid w:val="00564908"/>
    <w:rsid w:val="00565DFE"/>
    <w:rsid w:val="00566CAD"/>
    <w:rsid w:val="0057108D"/>
    <w:rsid w:val="005811A3"/>
    <w:rsid w:val="00586520"/>
    <w:rsid w:val="00590B42"/>
    <w:rsid w:val="00594E83"/>
    <w:rsid w:val="0059511E"/>
    <w:rsid w:val="005974BB"/>
    <w:rsid w:val="005A4282"/>
    <w:rsid w:val="005A4FE3"/>
    <w:rsid w:val="005A5792"/>
    <w:rsid w:val="005A6B51"/>
    <w:rsid w:val="005A75FE"/>
    <w:rsid w:val="005B32E0"/>
    <w:rsid w:val="005B4492"/>
    <w:rsid w:val="005B5D1B"/>
    <w:rsid w:val="005C0660"/>
    <w:rsid w:val="005C08C0"/>
    <w:rsid w:val="005C7FD8"/>
    <w:rsid w:val="005D4AA0"/>
    <w:rsid w:val="005D72C7"/>
    <w:rsid w:val="005E031E"/>
    <w:rsid w:val="005E476B"/>
    <w:rsid w:val="005E5275"/>
    <w:rsid w:val="005E715E"/>
    <w:rsid w:val="005E770E"/>
    <w:rsid w:val="005F084E"/>
    <w:rsid w:val="005F0DE9"/>
    <w:rsid w:val="005F4A48"/>
    <w:rsid w:val="00610ECD"/>
    <w:rsid w:val="00614EE8"/>
    <w:rsid w:val="00616429"/>
    <w:rsid w:val="00623C1A"/>
    <w:rsid w:val="006257D1"/>
    <w:rsid w:val="00626AE8"/>
    <w:rsid w:val="0063188F"/>
    <w:rsid w:val="00635379"/>
    <w:rsid w:val="00635A05"/>
    <w:rsid w:val="00640FC5"/>
    <w:rsid w:val="00646C65"/>
    <w:rsid w:val="006506E3"/>
    <w:rsid w:val="006515C9"/>
    <w:rsid w:val="00652318"/>
    <w:rsid w:val="0065545A"/>
    <w:rsid w:val="00657CDC"/>
    <w:rsid w:val="006608D6"/>
    <w:rsid w:val="00662221"/>
    <w:rsid w:val="0066451D"/>
    <w:rsid w:val="006645A0"/>
    <w:rsid w:val="006667FE"/>
    <w:rsid w:val="00675342"/>
    <w:rsid w:val="00675C18"/>
    <w:rsid w:val="00676781"/>
    <w:rsid w:val="00683463"/>
    <w:rsid w:val="006869A2"/>
    <w:rsid w:val="00691F7A"/>
    <w:rsid w:val="00692D05"/>
    <w:rsid w:val="00697357"/>
    <w:rsid w:val="006A4931"/>
    <w:rsid w:val="006A5521"/>
    <w:rsid w:val="006B681A"/>
    <w:rsid w:val="006C1111"/>
    <w:rsid w:val="006C15BD"/>
    <w:rsid w:val="006C39C0"/>
    <w:rsid w:val="006C55BE"/>
    <w:rsid w:val="006C75AF"/>
    <w:rsid w:val="006D7E5B"/>
    <w:rsid w:val="006E21A0"/>
    <w:rsid w:val="006E52BE"/>
    <w:rsid w:val="006F461F"/>
    <w:rsid w:val="006F4B28"/>
    <w:rsid w:val="00700324"/>
    <w:rsid w:val="007024D5"/>
    <w:rsid w:val="0070543B"/>
    <w:rsid w:val="00713A15"/>
    <w:rsid w:val="00716011"/>
    <w:rsid w:val="00720710"/>
    <w:rsid w:val="00722604"/>
    <w:rsid w:val="0072307E"/>
    <w:rsid w:val="00727517"/>
    <w:rsid w:val="00727E92"/>
    <w:rsid w:val="007409A4"/>
    <w:rsid w:val="00742627"/>
    <w:rsid w:val="00745B5E"/>
    <w:rsid w:val="00746204"/>
    <w:rsid w:val="00747715"/>
    <w:rsid w:val="00747881"/>
    <w:rsid w:val="00750138"/>
    <w:rsid w:val="00753DA3"/>
    <w:rsid w:val="0076103C"/>
    <w:rsid w:val="007635EF"/>
    <w:rsid w:val="00764F50"/>
    <w:rsid w:val="0076583F"/>
    <w:rsid w:val="00772D2D"/>
    <w:rsid w:val="00775E55"/>
    <w:rsid w:val="007773A7"/>
    <w:rsid w:val="007819ED"/>
    <w:rsid w:val="00787EA0"/>
    <w:rsid w:val="00790C65"/>
    <w:rsid w:val="00791613"/>
    <w:rsid w:val="00796AB0"/>
    <w:rsid w:val="007A2F68"/>
    <w:rsid w:val="007A519A"/>
    <w:rsid w:val="007A7D45"/>
    <w:rsid w:val="007B1853"/>
    <w:rsid w:val="007B3090"/>
    <w:rsid w:val="007B41E5"/>
    <w:rsid w:val="007C1B00"/>
    <w:rsid w:val="007C3CAC"/>
    <w:rsid w:val="007C3D0C"/>
    <w:rsid w:val="007C7400"/>
    <w:rsid w:val="007D0988"/>
    <w:rsid w:val="007D31CE"/>
    <w:rsid w:val="007D5BB7"/>
    <w:rsid w:val="007D6FEA"/>
    <w:rsid w:val="007E0621"/>
    <w:rsid w:val="007E4DAE"/>
    <w:rsid w:val="007F360A"/>
    <w:rsid w:val="007F4B07"/>
    <w:rsid w:val="007F7483"/>
    <w:rsid w:val="008029F3"/>
    <w:rsid w:val="00806B17"/>
    <w:rsid w:val="00811ECA"/>
    <w:rsid w:val="00814B19"/>
    <w:rsid w:val="00822BF1"/>
    <w:rsid w:val="0083488D"/>
    <w:rsid w:val="00840AD1"/>
    <w:rsid w:val="008411AD"/>
    <w:rsid w:val="008429D5"/>
    <w:rsid w:val="008466C3"/>
    <w:rsid w:val="00851458"/>
    <w:rsid w:val="0085571D"/>
    <w:rsid w:val="00860249"/>
    <w:rsid w:val="00860B4B"/>
    <w:rsid w:val="00861A47"/>
    <w:rsid w:val="008707FF"/>
    <w:rsid w:val="008724E5"/>
    <w:rsid w:val="00873F4B"/>
    <w:rsid w:val="008767B0"/>
    <w:rsid w:val="00876AE1"/>
    <w:rsid w:val="0088048E"/>
    <w:rsid w:val="0088082E"/>
    <w:rsid w:val="00881905"/>
    <w:rsid w:val="0088385C"/>
    <w:rsid w:val="00883D72"/>
    <w:rsid w:val="00885ED2"/>
    <w:rsid w:val="00886564"/>
    <w:rsid w:val="0089182A"/>
    <w:rsid w:val="00897A66"/>
    <w:rsid w:val="008D07BF"/>
    <w:rsid w:val="008D4300"/>
    <w:rsid w:val="008D7DE1"/>
    <w:rsid w:val="008E324E"/>
    <w:rsid w:val="008E43DA"/>
    <w:rsid w:val="008E757E"/>
    <w:rsid w:val="008E7F56"/>
    <w:rsid w:val="008F16C6"/>
    <w:rsid w:val="008F1A0A"/>
    <w:rsid w:val="008F34A1"/>
    <w:rsid w:val="008F4F6E"/>
    <w:rsid w:val="0090381F"/>
    <w:rsid w:val="009121CE"/>
    <w:rsid w:val="0091362A"/>
    <w:rsid w:val="00913B95"/>
    <w:rsid w:val="00914E97"/>
    <w:rsid w:val="00916940"/>
    <w:rsid w:val="00920025"/>
    <w:rsid w:val="009220D0"/>
    <w:rsid w:val="00924A13"/>
    <w:rsid w:val="009303FA"/>
    <w:rsid w:val="00930F1B"/>
    <w:rsid w:val="009351D0"/>
    <w:rsid w:val="0093782E"/>
    <w:rsid w:val="00941F83"/>
    <w:rsid w:val="00943DDE"/>
    <w:rsid w:val="00943E22"/>
    <w:rsid w:val="00946FE2"/>
    <w:rsid w:val="00950E8A"/>
    <w:rsid w:val="00952878"/>
    <w:rsid w:val="009538D7"/>
    <w:rsid w:val="00955C4A"/>
    <w:rsid w:val="00965BC4"/>
    <w:rsid w:val="009676AA"/>
    <w:rsid w:val="00970A4D"/>
    <w:rsid w:val="00971848"/>
    <w:rsid w:val="00972164"/>
    <w:rsid w:val="0097349C"/>
    <w:rsid w:val="00974675"/>
    <w:rsid w:val="00974D46"/>
    <w:rsid w:val="009770B7"/>
    <w:rsid w:val="009775D2"/>
    <w:rsid w:val="00977DC3"/>
    <w:rsid w:val="0099306A"/>
    <w:rsid w:val="009A4F68"/>
    <w:rsid w:val="009B0C6B"/>
    <w:rsid w:val="009B2655"/>
    <w:rsid w:val="009B3DBC"/>
    <w:rsid w:val="009B4607"/>
    <w:rsid w:val="009B7183"/>
    <w:rsid w:val="009C5C23"/>
    <w:rsid w:val="009C6431"/>
    <w:rsid w:val="009C6D4F"/>
    <w:rsid w:val="009D5E38"/>
    <w:rsid w:val="009E3180"/>
    <w:rsid w:val="009F261A"/>
    <w:rsid w:val="009F3117"/>
    <w:rsid w:val="009F3988"/>
    <w:rsid w:val="00A009CA"/>
    <w:rsid w:val="00A00D1E"/>
    <w:rsid w:val="00A02EB7"/>
    <w:rsid w:val="00A1010A"/>
    <w:rsid w:val="00A150C7"/>
    <w:rsid w:val="00A22F99"/>
    <w:rsid w:val="00A258D0"/>
    <w:rsid w:val="00A25969"/>
    <w:rsid w:val="00A36534"/>
    <w:rsid w:val="00A37D3F"/>
    <w:rsid w:val="00A43442"/>
    <w:rsid w:val="00A50493"/>
    <w:rsid w:val="00A51251"/>
    <w:rsid w:val="00A519A2"/>
    <w:rsid w:val="00A52BE9"/>
    <w:rsid w:val="00A62B0F"/>
    <w:rsid w:val="00A64B40"/>
    <w:rsid w:val="00A6732A"/>
    <w:rsid w:val="00A70883"/>
    <w:rsid w:val="00A70C0F"/>
    <w:rsid w:val="00A756FB"/>
    <w:rsid w:val="00A77AEB"/>
    <w:rsid w:val="00A81B23"/>
    <w:rsid w:val="00A82A96"/>
    <w:rsid w:val="00A85A10"/>
    <w:rsid w:val="00A939FE"/>
    <w:rsid w:val="00A962A0"/>
    <w:rsid w:val="00AA0206"/>
    <w:rsid w:val="00AA0F8C"/>
    <w:rsid w:val="00AA1588"/>
    <w:rsid w:val="00AA444A"/>
    <w:rsid w:val="00AA5EAA"/>
    <w:rsid w:val="00AB1528"/>
    <w:rsid w:val="00AB1552"/>
    <w:rsid w:val="00AB2E75"/>
    <w:rsid w:val="00AB369A"/>
    <w:rsid w:val="00AC1196"/>
    <w:rsid w:val="00AC27F5"/>
    <w:rsid w:val="00AC44EF"/>
    <w:rsid w:val="00AC5B2A"/>
    <w:rsid w:val="00AD2267"/>
    <w:rsid w:val="00AD61B7"/>
    <w:rsid w:val="00AE1B18"/>
    <w:rsid w:val="00AE5198"/>
    <w:rsid w:val="00AF0BD4"/>
    <w:rsid w:val="00AF1C32"/>
    <w:rsid w:val="00AF48CA"/>
    <w:rsid w:val="00AF5CDD"/>
    <w:rsid w:val="00B11AE3"/>
    <w:rsid w:val="00B13AE2"/>
    <w:rsid w:val="00B23BA6"/>
    <w:rsid w:val="00B24C93"/>
    <w:rsid w:val="00B266C4"/>
    <w:rsid w:val="00B2686E"/>
    <w:rsid w:val="00B27592"/>
    <w:rsid w:val="00B27C85"/>
    <w:rsid w:val="00B34DAC"/>
    <w:rsid w:val="00B35FB9"/>
    <w:rsid w:val="00B4182F"/>
    <w:rsid w:val="00B43A49"/>
    <w:rsid w:val="00B45C21"/>
    <w:rsid w:val="00B53231"/>
    <w:rsid w:val="00B5544D"/>
    <w:rsid w:val="00B5761D"/>
    <w:rsid w:val="00B60DFE"/>
    <w:rsid w:val="00B6167A"/>
    <w:rsid w:val="00B6186A"/>
    <w:rsid w:val="00B63FE2"/>
    <w:rsid w:val="00B642A7"/>
    <w:rsid w:val="00B670D3"/>
    <w:rsid w:val="00B706BE"/>
    <w:rsid w:val="00B74EEE"/>
    <w:rsid w:val="00B87C76"/>
    <w:rsid w:val="00B93B78"/>
    <w:rsid w:val="00B947AB"/>
    <w:rsid w:val="00B96FB2"/>
    <w:rsid w:val="00B973B5"/>
    <w:rsid w:val="00BA2CD4"/>
    <w:rsid w:val="00BA5145"/>
    <w:rsid w:val="00BB0DB7"/>
    <w:rsid w:val="00BB2119"/>
    <w:rsid w:val="00BB4CD7"/>
    <w:rsid w:val="00BC054B"/>
    <w:rsid w:val="00BD2710"/>
    <w:rsid w:val="00BF0559"/>
    <w:rsid w:val="00BF114B"/>
    <w:rsid w:val="00BF683C"/>
    <w:rsid w:val="00C00E16"/>
    <w:rsid w:val="00C14508"/>
    <w:rsid w:val="00C34F50"/>
    <w:rsid w:val="00C369CA"/>
    <w:rsid w:val="00C47D45"/>
    <w:rsid w:val="00C53A06"/>
    <w:rsid w:val="00C560D0"/>
    <w:rsid w:val="00C56656"/>
    <w:rsid w:val="00C56C5D"/>
    <w:rsid w:val="00C570D2"/>
    <w:rsid w:val="00C60906"/>
    <w:rsid w:val="00C611F8"/>
    <w:rsid w:val="00C630AC"/>
    <w:rsid w:val="00C6478B"/>
    <w:rsid w:val="00C66707"/>
    <w:rsid w:val="00C7473A"/>
    <w:rsid w:val="00C86D52"/>
    <w:rsid w:val="00C9054C"/>
    <w:rsid w:val="00C96650"/>
    <w:rsid w:val="00CA4F7D"/>
    <w:rsid w:val="00CA6FCF"/>
    <w:rsid w:val="00CB0F37"/>
    <w:rsid w:val="00CB3DA6"/>
    <w:rsid w:val="00CB3F45"/>
    <w:rsid w:val="00CC2BC6"/>
    <w:rsid w:val="00CC3C2F"/>
    <w:rsid w:val="00CC619E"/>
    <w:rsid w:val="00CE126A"/>
    <w:rsid w:val="00CE24A5"/>
    <w:rsid w:val="00CE2586"/>
    <w:rsid w:val="00CE5D07"/>
    <w:rsid w:val="00CE6DE2"/>
    <w:rsid w:val="00CF1C35"/>
    <w:rsid w:val="00CF21E8"/>
    <w:rsid w:val="00CF76A4"/>
    <w:rsid w:val="00D02A61"/>
    <w:rsid w:val="00D061F2"/>
    <w:rsid w:val="00D100DF"/>
    <w:rsid w:val="00D15FE0"/>
    <w:rsid w:val="00D245CD"/>
    <w:rsid w:val="00D25677"/>
    <w:rsid w:val="00D2779D"/>
    <w:rsid w:val="00D30A82"/>
    <w:rsid w:val="00D31584"/>
    <w:rsid w:val="00D404B7"/>
    <w:rsid w:val="00D454C3"/>
    <w:rsid w:val="00D51FC8"/>
    <w:rsid w:val="00D52FA8"/>
    <w:rsid w:val="00D542FA"/>
    <w:rsid w:val="00D547A9"/>
    <w:rsid w:val="00D7233B"/>
    <w:rsid w:val="00D74BE6"/>
    <w:rsid w:val="00D76F6A"/>
    <w:rsid w:val="00D809E5"/>
    <w:rsid w:val="00D81948"/>
    <w:rsid w:val="00D820DF"/>
    <w:rsid w:val="00D9126B"/>
    <w:rsid w:val="00D913CE"/>
    <w:rsid w:val="00D9501F"/>
    <w:rsid w:val="00D9641A"/>
    <w:rsid w:val="00D979B7"/>
    <w:rsid w:val="00DA1123"/>
    <w:rsid w:val="00DA53F5"/>
    <w:rsid w:val="00DA620A"/>
    <w:rsid w:val="00DA7429"/>
    <w:rsid w:val="00DB50D5"/>
    <w:rsid w:val="00DB572F"/>
    <w:rsid w:val="00DC2D42"/>
    <w:rsid w:val="00DC440E"/>
    <w:rsid w:val="00DD001E"/>
    <w:rsid w:val="00DD38A9"/>
    <w:rsid w:val="00DD5B90"/>
    <w:rsid w:val="00DE2F74"/>
    <w:rsid w:val="00DE5B80"/>
    <w:rsid w:val="00DF0688"/>
    <w:rsid w:val="00DF144A"/>
    <w:rsid w:val="00DF2976"/>
    <w:rsid w:val="00DF36BC"/>
    <w:rsid w:val="00DF3AC4"/>
    <w:rsid w:val="00DF3DA3"/>
    <w:rsid w:val="00E04687"/>
    <w:rsid w:val="00E06A00"/>
    <w:rsid w:val="00E10817"/>
    <w:rsid w:val="00E16F28"/>
    <w:rsid w:val="00E21E51"/>
    <w:rsid w:val="00E22742"/>
    <w:rsid w:val="00E22B99"/>
    <w:rsid w:val="00E258D9"/>
    <w:rsid w:val="00E3515D"/>
    <w:rsid w:val="00E3572C"/>
    <w:rsid w:val="00E375D8"/>
    <w:rsid w:val="00E439CA"/>
    <w:rsid w:val="00E51B44"/>
    <w:rsid w:val="00E5219B"/>
    <w:rsid w:val="00E56876"/>
    <w:rsid w:val="00E605C7"/>
    <w:rsid w:val="00E60D31"/>
    <w:rsid w:val="00E62A2C"/>
    <w:rsid w:val="00E65735"/>
    <w:rsid w:val="00E751CF"/>
    <w:rsid w:val="00E77AB0"/>
    <w:rsid w:val="00E823F1"/>
    <w:rsid w:val="00E85125"/>
    <w:rsid w:val="00E8636E"/>
    <w:rsid w:val="00E867EF"/>
    <w:rsid w:val="00E8780E"/>
    <w:rsid w:val="00E932B9"/>
    <w:rsid w:val="00E97DAF"/>
    <w:rsid w:val="00EA198F"/>
    <w:rsid w:val="00EA23BD"/>
    <w:rsid w:val="00EA4ACB"/>
    <w:rsid w:val="00EA65E6"/>
    <w:rsid w:val="00EA677C"/>
    <w:rsid w:val="00EB3A0A"/>
    <w:rsid w:val="00EB74FD"/>
    <w:rsid w:val="00EC3AEC"/>
    <w:rsid w:val="00ED25A5"/>
    <w:rsid w:val="00ED5E9D"/>
    <w:rsid w:val="00EE1372"/>
    <w:rsid w:val="00EE336B"/>
    <w:rsid w:val="00EE7026"/>
    <w:rsid w:val="00EF0BCB"/>
    <w:rsid w:val="00EF0E74"/>
    <w:rsid w:val="00EF44A6"/>
    <w:rsid w:val="00EF609E"/>
    <w:rsid w:val="00F00E8A"/>
    <w:rsid w:val="00F05410"/>
    <w:rsid w:val="00F1369C"/>
    <w:rsid w:val="00F30D4C"/>
    <w:rsid w:val="00F31AD1"/>
    <w:rsid w:val="00F410D6"/>
    <w:rsid w:val="00F4192C"/>
    <w:rsid w:val="00F41D92"/>
    <w:rsid w:val="00F420C3"/>
    <w:rsid w:val="00F532F8"/>
    <w:rsid w:val="00F63166"/>
    <w:rsid w:val="00F63DDA"/>
    <w:rsid w:val="00F65E74"/>
    <w:rsid w:val="00F70858"/>
    <w:rsid w:val="00F7397F"/>
    <w:rsid w:val="00F73ADE"/>
    <w:rsid w:val="00F75949"/>
    <w:rsid w:val="00F81759"/>
    <w:rsid w:val="00F84E2A"/>
    <w:rsid w:val="00F84F1E"/>
    <w:rsid w:val="00F8650B"/>
    <w:rsid w:val="00F866B1"/>
    <w:rsid w:val="00F941F0"/>
    <w:rsid w:val="00F94578"/>
    <w:rsid w:val="00F94FF9"/>
    <w:rsid w:val="00FA2DB2"/>
    <w:rsid w:val="00FD131E"/>
    <w:rsid w:val="00FD5516"/>
    <w:rsid w:val="00FE5AC7"/>
    <w:rsid w:val="00FF1521"/>
    <w:rsid w:val="00FF2B1D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76F6888"/>
  <w15:docId w15:val="{6B882465-2B60-4F4E-A060-E065323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rsid w:val="008724E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24E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66657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character" w:styleId="Marquedecommentaire">
    <w:name w:val="annotation reference"/>
    <w:rsid w:val="00B11AE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1AE3"/>
    <w:rPr>
      <w:sz w:val="20"/>
      <w:szCs w:val="20"/>
    </w:rPr>
  </w:style>
  <w:style w:type="character" w:customStyle="1" w:styleId="CommentaireCar">
    <w:name w:val="Commentaire Car"/>
    <w:link w:val="Commentaire"/>
    <w:rsid w:val="00B11AE3"/>
    <w:rPr>
      <w:rFonts w:ascii="Times New Roman" w:eastAsia="Times New Roman" w:hAnsi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B11AE3"/>
    <w:rPr>
      <w:b/>
      <w:bCs/>
    </w:rPr>
  </w:style>
  <w:style w:type="character" w:customStyle="1" w:styleId="ObjetducommentaireCar">
    <w:name w:val="Objet du commentaire Car"/>
    <w:link w:val="Objetducommentaire"/>
    <w:rsid w:val="00B11AE3"/>
    <w:rPr>
      <w:rFonts w:ascii="Times New Roman" w:eastAsia="Times New Roman" w:hAnsi="Times New Roman"/>
      <w:b/>
      <w:bCs/>
      <w:lang w:val="fr-FR"/>
    </w:rPr>
  </w:style>
  <w:style w:type="paragraph" w:customStyle="1" w:styleId="1GAPara">
    <w:name w:val="1. GA Para"/>
    <w:qFormat/>
    <w:rsid w:val="00E22B99"/>
    <w:p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5A5792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ansinterligneCar">
    <w:name w:val="Sans interligne Car"/>
    <w:link w:val="Sansinterligne"/>
    <w:uiPriority w:val="1"/>
    <w:locked/>
    <w:rsid w:val="005A5792"/>
    <w:rPr>
      <w:rFonts w:ascii="Times New Roman" w:eastAsia="Times New Roman" w:hAnsi="Times New Roman"/>
      <w:sz w:val="24"/>
      <w:szCs w:val="24"/>
    </w:rPr>
  </w:style>
  <w:style w:type="paragraph" w:customStyle="1" w:styleId="Pranumrotrecommenc1">
    <w:name w:val="Pra numéroté recommencé à 1"/>
    <w:basedOn w:val="Normal"/>
    <w:rsid w:val="005A5792"/>
    <w:pPr>
      <w:tabs>
        <w:tab w:val="num" w:pos="360"/>
      </w:tabs>
      <w:spacing w:after="0"/>
      <w:ind w:left="360" w:hanging="360"/>
    </w:pPr>
    <w:rPr>
      <w:rFonts w:ascii="Arial" w:hAnsi="Arial"/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5A5792"/>
    <w:pPr>
      <w:spacing w:after="200" w:line="276" w:lineRule="auto"/>
    </w:pPr>
    <w:rPr>
      <w:rFonts w:ascii="Calibri" w:eastAsia="SimSun" w:hAnsi="Calibri"/>
      <w:sz w:val="20"/>
      <w:szCs w:val="20"/>
      <w:lang w:eastAsia="zh-CN"/>
    </w:rPr>
  </w:style>
  <w:style w:type="character" w:customStyle="1" w:styleId="NotedebasdepageCar">
    <w:name w:val="Note de bas de page Car"/>
    <w:link w:val="Notedebasdepage"/>
    <w:uiPriority w:val="99"/>
    <w:rsid w:val="005A5792"/>
    <w:rPr>
      <w:lang w:val="fr-FR" w:eastAsia="zh-CN"/>
    </w:rPr>
  </w:style>
  <w:style w:type="character" w:styleId="Appelnotedebasdep">
    <w:name w:val="footnote reference"/>
    <w:uiPriority w:val="99"/>
    <w:unhideWhenUsed/>
    <w:rsid w:val="005A5792"/>
    <w:rPr>
      <w:vertAlign w:val="superscript"/>
    </w:rPr>
  </w:style>
  <w:style w:type="paragraph" w:styleId="Paragraphedeliste">
    <w:name w:val="List Paragraph"/>
    <w:basedOn w:val="Marge"/>
    <w:qFormat/>
    <w:rsid w:val="00193E58"/>
    <w:pPr>
      <w:numPr>
        <w:numId w:val="9"/>
      </w:numPr>
      <w:spacing w:after="120"/>
    </w:pPr>
    <w:rPr>
      <w:rFonts w:cs="Arial"/>
      <w:szCs w:val="22"/>
    </w:rPr>
  </w:style>
  <w:style w:type="paragraph" w:customStyle="1" w:styleId="Default">
    <w:name w:val="Default"/>
    <w:link w:val="DefaultChar"/>
    <w:uiPriority w:val="99"/>
    <w:rsid w:val="005A5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basedOn w:val="Default"/>
    <w:link w:val="ParagraphChar"/>
    <w:qFormat/>
    <w:rsid w:val="002B50BC"/>
    <w:pPr>
      <w:spacing w:after="240"/>
      <w:jc w:val="both"/>
    </w:pPr>
    <w:rPr>
      <w:bCs/>
      <w:sz w:val="22"/>
      <w:szCs w:val="22"/>
    </w:rPr>
  </w:style>
  <w:style w:type="character" w:customStyle="1" w:styleId="ParagraphChar">
    <w:name w:val="Paragraph Char"/>
    <w:link w:val="Paragraph"/>
    <w:rsid w:val="002B50BC"/>
    <w:rPr>
      <w:rFonts w:ascii="Arial" w:hAnsi="Arial" w:cs="Arial"/>
      <w:bCs/>
      <w:color w:val="000000"/>
      <w:sz w:val="22"/>
      <w:szCs w:val="22"/>
      <w:lang w:eastAsia="zh-CN"/>
    </w:rPr>
  </w:style>
  <w:style w:type="character" w:styleId="Lienhypertexte">
    <w:name w:val="Hyperlink"/>
    <w:unhideWhenUsed/>
    <w:rsid w:val="00691F7A"/>
    <w:rPr>
      <w:color w:val="0000FF"/>
      <w:u w:val="single"/>
    </w:rPr>
  </w:style>
  <w:style w:type="character" w:customStyle="1" w:styleId="hps">
    <w:name w:val="hps"/>
    <w:rsid w:val="00B706BE"/>
  </w:style>
  <w:style w:type="paragraph" w:styleId="Rvision">
    <w:name w:val="Revision"/>
    <w:hidden/>
    <w:uiPriority w:val="99"/>
    <w:semiHidden/>
    <w:rsid w:val="00D9126B"/>
    <w:rPr>
      <w:rFonts w:ascii="Times New Roman" w:eastAsia="Times New Roman" w:hAnsi="Times New Roman"/>
      <w:sz w:val="22"/>
      <w:szCs w:val="24"/>
      <w:lang w:eastAsia="fr-FR"/>
    </w:rPr>
  </w:style>
  <w:style w:type="character" w:styleId="Lienhypertextesuivivisit">
    <w:name w:val="FollowedHyperlink"/>
    <w:semiHidden/>
    <w:unhideWhenUsed/>
    <w:rsid w:val="00E65735"/>
    <w:rPr>
      <w:color w:val="800080"/>
      <w:u w:val="single"/>
    </w:rPr>
  </w:style>
  <w:style w:type="paragraph" w:customStyle="1" w:styleId="COMPara">
    <w:name w:val="COM Para"/>
    <w:qFormat/>
    <w:rsid w:val="003F1686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Bullet1">
    <w:name w:val="Bullet_1"/>
    <w:basedOn w:val="Marge"/>
    <w:link w:val="Bullet1Char"/>
    <w:qFormat/>
    <w:rsid w:val="006C1111"/>
    <w:pPr>
      <w:numPr>
        <w:numId w:val="17"/>
      </w:numPr>
      <w:tabs>
        <w:tab w:val="clear" w:pos="567"/>
      </w:tabs>
      <w:spacing w:before="240" w:line="360" w:lineRule="auto"/>
    </w:pPr>
    <w:rPr>
      <w:rFonts w:eastAsia="SimSun" w:cs="Arial"/>
      <w:sz w:val="28"/>
      <w:szCs w:val="28"/>
      <w:lang w:eastAsia="zh-CN"/>
    </w:rPr>
  </w:style>
  <w:style w:type="paragraph" w:customStyle="1" w:styleId="Bullet2">
    <w:name w:val="Bullet_2"/>
    <w:basedOn w:val="Marge"/>
    <w:qFormat/>
    <w:rsid w:val="006C1111"/>
    <w:pPr>
      <w:numPr>
        <w:ilvl w:val="1"/>
        <w:numId w:val="17"/>
      </w:numPr>
      <w:tabs>
        <w:tab w:val="clear" w:pos="567"/>
      </w:tabs>
      <w:spacing w:before="240" w:line="360" w:lineRule="auto"/>
    </w:pPr>
    <w:rPr>
      <w:rFonts w:eastAsia="SimSun" w:cs="Arial"/>
      <w:sz w:val="28"/>
      <w:szCs w:val="28"/>
      <w:lang w:eastAsia="zh-CN"/>
    </w:rPr>
  </w:style>
  <w:style w:type="character" w:customStyle="1" w:styleId="Bullet1Char">
    <w:name w:val="Bullet_1 Char"/>
    <w:link w:val="Bullet1"/>
    <w:rsid w:val="006C1111"/>
    <w:rPr>
      <w:rFonts w:ascii="Arial" w:hAnsi="Arial" w:cs="Arial"/>
      <w:snapToGrid w:val="0"/>
      <w:sz w:val="28"/>
      <w:szCs w:val="28"/>
      <w:lang w:val="fr-FR" w:eastAsia="zh-CN"/>
    </w:rPr>
  </w:style>
  <w:style w:type="paragraph" w:customStyle="1" w:styleId="COMParaDecision">
    <w:name w:val="COM Para Decision"/>
    <w:basedOn w:val="Normal"/>
    <w:qFormat/>
    <w:rsid w:val="002E3B93"/>
    <w:pPr>
      <w:autoSpaceDE w:val="0"/>
      <w:autoSpaceDN w:val="0"/>
      <w:adjustRightInd w:val="0"/>
      <w:jc w:val="both"/>
    </w:pPr>
    <w:rPr>
      <w:rFonts w:ascii="Arial" w:eastAsia="SimSun" w:hAnsi="Arial" w:cs="Arial"/>
      <w:szCs w:val="22"/>
      <w:u w:val="single"/>
    </w:rPr>
  </w:style>
  <w:style w:type="paragraph" w:styleId="Notedefin">
    <w:name w:val="endnote text"/>
    <w:basedOn w:val="Normal"/>
    <w:link w:val="NotedefinCar"/>
    <w:semiHidden/>
    <w:unhideWhenUsed/>
    <w:rsid w:val="00A50493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A50493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semiHidden/>
    <w:unhideWhenUsed/>
    <w:rsid w:val="00A50493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5084F"/>
    <w:rPr>
      <w:color w:val="605E5C"/>
      <w:shd w:val="clear" w:color="auto" w:fill="E1DFDD"/>
    </w:rPr>
  </w:style>
  <w:style w:type="character" w:customStyle="1" w:styleId="DefaultChar">
    <w:name w:val="Default Char"/>
    <w:link w:val="Default"/>
    <w:uiPriority w:val="99"/>
    <w:rsid w:val="00275132"/>
    <w:rPr>
      <w:rFonts w:ascii="Arial" w:hAnsi="Arial" w:cs="Arial"/>
      <w:color w:val="000000"/>
      <w:sz w:val="24"/>
      <w:szCs w:val="24"/>
      <w:lang w:eastAsia="zh-CN"/>
    </w:rPr>
  </w:style>
  <w:style w:type="table" w:customStyle="1" w:styleId="TableGrid1">
    <w:name w:val="Table Grid1"/>
    <w:basedOn w:val="TableauNormal"/>
    <w:uiPriority w:val="59"/>
    <w:rsid w:val="00CF21E8"/>
    <w:rPr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2">
    <w:name w:val="Unresolved Mention2"/>
    <w:basedOn w:val="Policepardfaut"/>
    <w:uiPriority w:val="99"/>
    <w:semiHidden/>
    <w:unhideWhenUsed/>
    <w:rsid w:val="00822BF1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8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00192-FR-PDF.pdf" TargetMode="External"/><Relationship Id="rId13" Type="http://schemas.openxmlformats.org/officeDocument/2006/relationships/hyperlink" Target="https://ich.unesco.org/fr/Decisions/7.GA/8" TargetMode="External"/><Relationship Id="rId18" Type="http://schemas.openxmlformats.org/officeDocument/2006/relationships/hyperlink" Target="https://ich.unesco.org/doc/src/ITH-18-13.COM_2.BUR-Decisions_Rev.-FR.docx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://www.unesco.org/culture/ich/doc/src/ITH-13-8.COM-Decisions-FR.doc" TargetMode="External"/><Relationship Id="rId34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://www.unesco.org/culture/ich/doc/src/ITH-10-3.GA-CONF.201-Resolution%20Rev.-FR.doc" TargetMode="External"/><Relationship Id="rId17" Type="http://schemas.openxmlformats.org/officeDocument/2006/relationships/hyperlink" Target="https://ich.unesco.org/fr/Decisions/12.COM/7" TargetMode="External"/><Relationship Id="rId25" Type="http://schemas.openxmlformats.org/officeDocument/2006/relationships/image" Target="media/image1.emf"/><Relationship Id="rId33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cisions/8.COM/7.c" TargetMode="External"/><Relationship Id="rId20" Type="http://schemas.openxmlformats.org/officeDocument/2006/relationships/hyperlink" Target="http://www.unesco.org/culture/ich/doc/src/IOS-AUD-2013-06-FR.pdf" TargetMode="External"/><Relationship Id="rId29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/14.COM/6" TargetMode="External"/><Relationship Id="rId24" Type="http://schemas.openxmlformats.org/officeDocument/2006/relationships/hyperlink" Target="https://ich.unesco.org/fr/donateurs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doc/src/LHE-20-8.GA-6-FR.docx" TargetMode="External"/><Relationship Id="rId23" Type="http://schemas.openxmlformats.org/officeDocument/2006/relationships/hyperlink" Target="https://ich.unesco.org/doc/src/LHE-20-8.GA-7-FR.docx" TargetMode="External"/><Relationship Id="rId28" Type="http://schemas.openxmlformats.org/officeDocument/2006/relationships/image" Target="media/image4.emf"/><Relationship Id="rId36" Type="http://schemas.openxmlformats.org/officeDocument/2006/relationships/theme" Target="theme/theme1.xml"/><Relationship Id="rId10" Type="http://schemas.openxmlformats.org/officeDocument/2006/relationships/hyperlink" Target="https://ich.unesco.org/fr/Decisions/13.COM/6" TargetMode="External"/><Relationship Id="rId19" Type="http://schemas.openxmlformats.org/officeDocument/2006/relationships/hyperlink" Target="https://ich.unesco.org/doc/src/LHE-20-8.GA-6-FR.docx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7.GA/8" TargetMode="External"/><Relationship Id="rId14" Type="http://schemas.openxmlformats.org/officeDocument/2006/relationships/hyperlink" Target="https://ich.unesco.org/fr/Decisions/7.GA/8" TargetMode="External"/><Relationship Id="rId22" Type="http://schemas.openxmlformats.org/officeDocument/2006/relationships/hyperlink" Target="https://ich.unesco.org/fr/Decisions/7.GA/8" TargetMode="External"/><Relationship Id="rId27" Type="http://schemas.openxmlformats.org/officeDocument/2006/relationships/image" Target="media/image3.emf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E2D4-2D75-4FA7-AB79-914B82F6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13</Pages>
  <Words>2280</Words>
  <Characters>12546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14797</CharactersWithSpaces>
  <SharedDoc>false</SharedDoc>
  <HLinks>
    <vt:vector size="90" baseType="variant">
      <vt:variant>
        <vt:i4>3539070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http://www.unesco.org/culture/ich/doc/src/ITH-13-8.COM-Decisions-EN.doc</vt:lpwstr>
      </vt:variant>
      <vt:variant>
        <vt:lpwstr/>
      </vt:variant>
      <vt:variant>
        <vt:i4>5898251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http://www.unesco.org/culture/ich/doc/src/IOS-AUD-2013-06-EN.pdf</vt:lpwstr>
      </vt:variant>
      <vt:variant>
        <vt:lpwstr/>
      </vt:variant>
      <vt:variant>
        <vt:i4>6881348</vt:i4>
      </vt:variant>
      <vt:variant>
        <vt:i4>36</vt:i4>
      </vt:variant>
      <vt:variant>
        <vt:i4>0</vt:i4>
      </vt:variant>
      <vt:variant>
        <vt:i4>5</vt:i4>
      </vt:variant>
      <vt:variant>
        <vt:lpwstr>../../../../../2016/2016-06_11 COM 2 BUR/11 COM 2 BUR _Decisions_EN.docx</vt:lpwstr>
      </vt:variant>
      <vt:variant>
        <vt:lpwstr/>
      </vt:variant>
      <vt:variant>
        <vt:i4>2555915</vt:i4>
      </vt:variant>
      <vt:variant>
        <vt:i4>33</vt:i4>
      </vt:variant>
      <vt:variant>
        <vt:i4>0</vt:i4>
      </vt:variant>
      <vt:variant>
        <vt:i4>5</vt:i4>
      </vt:variant>
      <vt:variant>
        <vt:lpwstr>\\hqfs\OurDrive\CLT\ProgrammeExecution\2003Convention\2003-StatutoryMeetings\2016\2016-06_11 COM 2 BUR\11 COM 2 BUR _Decisions_EN.docx</vt:lpwstr>
      </vt:variant>
      <vt:variant>
        <vt:lpwstr/>
      </vt:variant>
      <vt:variant>
        <vt:i4>3539070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http://www.unesco.org/culture/ich/doc/src/ITH-13-8.COM-Decisions-EN.doc</vt:lpwstr>
      </vt:variant>
      <vt:variant>
        <vt:lpwstr/>
      </vt:variant>
      <vt:variant>
        <vt:i4>3539070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http://www.unesco.org/culture/ich/doc/src/ITH-13-8.COM-Decisions-EN.doc</vt:lpwstr>
      </vt:variant>
      <vt:variant>
        <vt:lpwstr/>
      </vt:variant>
      <vt:variant>
        <vt:i4>5570634</vt:i4>
      </vt:variant>
      <vt:variant>
        <vt:i4>24</vt:i4>
      </vt:variant>
      <vt:variant>
        <vt:i4>0</vt:i4>
      </vt:variant>
      <vt:variant>
        <vt:i4>5</vt:i4>
      </vt:variant>
      <vt:variant>
        <vt:lpwstr>../../../../../2016/2016-06_6GA_PARIS/Resolutions/6GA_Resolutions_EN.docx</vt:lpwstr>
      </vt:variant>
      <vt:variant>
        <vt:lpwstr/>
      </vt:variant>
      <vt:variant>
        <vt:i4>5046356</vt:i4>
      </vt:variant>
      <vt:variant>
        <vt:i4>21</vt:i4>
      </vt:variant>
      <vt:variant>
        <vt:i4>0</vt:i4>
      </vt:variant>
      <vt:variant>
        <vt:i4>5</vt:i4>
      </vt:variant>
      <vt:variant>
        <vt:lpwstr>https://ich.unesco.org/en/Resolutions/6.GA/9</vt:lpwstr>
      </vt:variant>
      <vt:variant>
        <vt:lpwstr/>
      </vt:variant>
      <vt:variant>
        <vt:i4>5111832</vt:i4>
      </vt:variant>
      <vt:variant>
        <vt:i4>18</vt:i4>
      </vt:variant>
      <vt:variant>
        <vt:i4>0</vt:i4>
      </vt:variant>
      <vt:variant>
        <vt:i4>5</vt:i4>
      </vt:variant>
      <vt:variant>
        <vt:lpwstr>https://ich.unesco.org/en/Decisions/10.COM/8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http://www.unesco.org/culture/ich/doc/src/ITH-10-3.GA-CONF.201-Resolution Rev.-EN.doc</vt:lpwstr>
      </vt:variant>
      <vt:variant>
        <vt:lpwstr/>
      </vt:variant>
      <vt:variant>
        <vt:i4>4259864</vt:i4>
      </vt:variant>
      <vt:variant>
        <vt:i4>12</vt:i4>
      </vt:variant>
      <vt:variant>
        <vt:i4>0</vt:i4>
      </vt:variant>
      <vt:variant>
        <vt:i4>5</vt:i4>
      </vt:variant>
      <vt:variant>
        <vt:lpwstr>https://ich.unesco.org/en/Decisions/11.COM/6</vt:lpwstr>
      </vt:variant>
      <vt:variant>
        <vt:lpwstr/>
      </vt:variant>
      <vt:variant>
        <vt:i4>5177368</vt:i4>
      </vt:variant>
      <vt:variant>
        <vt:i4>9</vt:i4>
      </vt:variant>
      <vt:variant>
        <vt:i4>0</vt:i4>
      </vt:variant>
      <vt:variant>
        <vt:i4>5</vt:i4>
      </vt:variant>
      <vt:variant>
        <vt:lpwstr>https://ich.unesco.org/en/Decisions/10.COM/9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https://ich.unesco.org/en/Decisions/9.COM/7</vt:lpwstr>
      </vt:variant>
      <vt:variant>
        <vt:lpwstr/>
      </vt:variant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http://www.unesco.org/culture/ich/doc/src/00192-EN-PDF.pdf</vt:lpwstr>
      </vt:variant>
      <vt:variant>
        <vt:lpwstr/>
      </vt:variant>
      <vt:variant>
        <vt:i4>5570634</vt:i4>
      </vt:variant>
      <vt:variant>
        <vt:i4>0</vt:i4>
      </vt:variant>
      <vt:variant>
        <vt:i4>0</vt:i4>
      </vt:variant>
      <vt:variant>
        <vt:i4>5</vt:i4>
      </vt:variant>
      <vt:variant>
        <vt:lpwstr>../../../../../2016/2016-06_6GA_PARIS/Resolutions/6GA_Resolutions_EN.docx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Ohinata, Fumiko</cp:lastModifiedBy>
  <cp:revision>15</cp:revision>
  <cp:lastPrinted>2020-07-15T11:44:00Z</cp:lastPrinted>
  <dcterms:created xsi:type="dcterms:W3CDTF">2020-07-31T09:53:00Z</dcterms:created>
  <dcterms:modified xsi:type="dcterms:W3CDTF">2020-08-06T18:33:00Z</dcterms:modified>
</cp:coreProperties>
</file>