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3083A" w14:textId="4BFF231C" w:rsidR="002938F2" w:rsidRPr="00F410D6" w:rsidRDefault="002938F2" w:rsidP="00FD2219">
      <w:pPr>
        <w:spacing w:before="1440"/>
        <w:jc w:val="center"/>
        <w:rPr>
          <w:rFonts w:ascii="Arial" w:hAnsi="Arial" w:cs="Arial"/>
          <w:b/>
          <w:szCs w:val="22"/>
        </w:rPr>
      </w:pPr>
      <w:r w:rsidRPr="00F410D6">
        <w:rPr>
          <w:rFonts w:ascii="Arial" w:hAnsi="Arial" w:cs="Arial"/>
          <w:b/>
          <w:szCs w:val="22"/>
        </w:rPr>
        <w:t xml:space="preserve">CONVENTION FOR </w:t>
      </w:r>
      <w:r w:rsidRPr="00FD2219">
        <w:rPr>
          <w:rFonts w:ascii="Arial" w:hAnsi="Arial"/>
          <w:b/>
        </w:rPr>
        <w:t>THE</w:t>
      </w:r>
      <w:r w:rsidRPr="00F410D6">
        <w:rPr>
          <w:rFonts w:ascii="Arial" w:hAnsi="Arial" w:cs="Arial"/>
          <w:b/>
          <w:szCs w:val="22"/>
        </w:rPr>
        <w:t xml:space="preserve"> SAFEGUARDING OF THE</w:t>
      </w:r>
      <w:r w:rsidRPr="00F410D6">
        <w:rPr>
          <w:rFonts w:ascii="Arial" w:hAnsi="Arial" w:cs="Arial"/>
          <w:b/>
          <w:szCs w:val="22"/>
        </w:rPr>
        <w:br/>
        <w:t>INTANGIBLE CULTURAL HERITAGE</w:t>
      </w:r>
    </w:p>
    <w:p w14:paraId="5ADF7741" w14:textId="52F40516" w:rsidR="002938F2" w:rsidRPr="00F410D6" w:rsidRDefault="00E439CA" w:rsidP="00AE1B18">
      <w:pPr>
        <w:spacing w:before="1200"/>
        <w:jc w:val="center"/>
        <w:rPr>
          <w:rFonts w:ascii="Arial" w:hAnsi="Arial" w:cs="Arial"/>
          <w:b/>
          <w:szCs w:val="22"/>
        </w:rPr>
      </w:pPr>
      <w:r w:rsidRPr="00F410D6">
        <w:rPr>
          <w:rFonts w:ascii="Arial" w:hAnsi="Arial" w:cs="Arial"/>
          <w:b/>
          <w:szCs w:val="22"/>
        </w:rPr>
        <w:t>GENERAL ASSEMBLY OF THE STATES PARTIES TO THE CONVENTION</w:t>
      </w:r>
    </w:p>
    <w:p w14:paraId="6D4FBAEC" w14:textId="77777777" w:rsidR="00AD61B7" w:rsidRPr="00FD624F" w:rsidRDefault="00AD61B7" w:rsidP="00AD61B7">
      <w:pPr>
        <w:spacing w:before="840" w:after="0"/>
        <w:jc w:val="center"/>
        <w:rPr>
          <w:rFonts w:ascii="Arial" w:hAnsi="Arial" w:cs="Arial"/>
          <w:b/>
          <w:szCs w:val="22"/>
        </w:rPr>
      </w:pPr>
      <w:r>
        <w:rPr>
          <w:rFonts w:ascii="Arial" w:hAnsi="Arial" w:cs="Arial"/>
          <w:b/>
          <w:szCs w:val="22"/>
        </w:rPr>
        <w:t>Eighth</w:t>
      </w:r>
      <w:r w:rsidRPr="00FD624F">
        <w:rPr>
          <w:rFonts w:ascii="Arial" w:hAnsi="Arial" w:cs="Arial"/>
          <w:b/>
          <w:szCs w:val="22"/>
        </w:rPr>
        <w:t xml:space="preserve"> session</w:t>
      </w:r>
    </w:p>
    <w:p w14:paraId="26C2E227" w14:textId="77777777" w:rsidR="00AD61B7" w:rsidRPr="00F532F8" w:rsidRDefault="00AD61B7" w:rsidP="00AD61B7">
      <w:pPr>
        <w:spacing w:after="0"/>
        <w:jc w:val="center"/>
        <w:rPr>
          <w:rFonts w:ascii="Arial" w:hAnsi="Arial" w:cs="Arial"/>
          <w:b/>
          <w:szCs w:val="22"/>
        </w:rPr>
      </w:pPr>
      <w:r w:rsidRPr="00FD624F">
        <w:rPr>
          <w:rFonts w:ascii="Arial" w:hAnsi="Arial" w:cs="Arial"/>
          <w:b/>
          <w:szCs w:val="22"/>
        </w:rPr>
        <w:t xml:space="preserve">UNESCO </w:t>
      </w:r>
      <w:r w:rsidRPr="00F532F8">
        <w:rPr>
          <w:rFonts w:ascii="Arial" w:hAnsi="Arial" w:cs="Arial"/>
          <w:b/>
          <w:szCs w:val="22"/>
        </w:rPr>
        <w:t>Headquarters, Room I</w:t>
      </w:r>
    </w:p>
    <w:p w14:paraId="1D6AB3BC" w14:textId="51182E99" w:rsidR="00AD61B7" w:rsidRPr="00414643" w:rsidRDefault="00F532F8" w:rsidP="00AD61B7">
      <w:pPr>
        <w:spacing w:after="0"/>
        <w:jc w:val="center"/>
        <w:rPr>
          <w:rFonts w:ascii="Arial" w:hAnsi="Arial" w:cs="Arial"/>
          <w:b/>
          <w:szCs w:val="22"/>
        </w:rPr>
      </w:pPr>
      <w:r w:rsidRPr="00F532F8">
        <w:rPr>
          <w:rFonts w:ascii="Arial" w:hAnsi="Arial" w:cs="Arial"/>
          <w:b/>
          <w:szCs w:val="22"/>
        </w:rPr>
        <w:t>8</w:t>
      </w:r>
      <w:r w:rsidR="00AD61B7" w:rsidRPr="00F532F8">
        <w:rPr>
          <w:rFonts w:ascii="Arial" w:hAnsi="Arial" w:cs="Arial"/>
          <w:b/>
          <w:szCs w:val="22"/>
        </w:rPr>
        <w:t xml:space="preserve"> to 1</w:t>
      </w:r>
      <w:r w:rsidRPr="00F532F8">
        <w:rPr>
          <w:rFonts w:ascii="Arial" w:hAnsi="Arial" w:cs="Arial"/>
          <w:b/>
          <w:szCs w:val="22"/>
        </w:rPr>
        <w:t>0</w:t>
      </w:r>
      <w:r w:rsidR="00AD61B7" w:rsidRPr="00F532F8">
        <w:rPr>
          <w:rFonts w:ascii="Arial" w:hAnsi="Arial" w:cs="Arial"/>
          <w:b/>
          <w:szCs w:val="22"/>
        </w:rPr>
        <w:t xml:space="preserve"> </w:t>
      </w:r>
      <w:r w:rsidRPr="00F532F8">
        <w:rPr>
          <w:rFonts w:ascii="Arial" w:hAnsi="Arial" w:cs="Arial"/>
          <w:b/>
          <w:szCs w:val="22"/>
        </w:rPr>
        <w:t>September</w:t>
      </w:r>
      <w:r w:rsidR="00AD61B7" w:rsidRPr="00F532F8">
        <w:rPr>
          <w:rFonts w:ascii="Arial" w:hAnsi="Arial" w:cs="Arial"/>
          <w:b/>
          <w:szCs w:val="22"/>
        </w:rPr>
        <w:t xml:space="preserve"> 2020</w:t>
      </w:r>
    </w:p>
    <w:p w14:paraId="620DA978" w14:textId="797EA9CF" w:rsidR="00851458" w:rsidRPr="00AD61B7" w:rsidRDefault="005A5792" w:rsidP="005A5792">
      <w:pPr>
        <w:pStyle w:val="Sansinterligne1"/>
        <w:spacing w:before="1200" w:after="1200"/>
        <w:jc w:val="center"/>
        <w:rPr>
          <w:rFonts w:ascii="Arial" w:hAnsi="Arial" w:cs="Arial"/>
          <w:b/>
          <w:caps/>
          <w:sz w:val="22"/>
          <w:szCs w:val="22"/>
          <w:lang w:val="en-GB"/>
        </w:rPr>
      </w:pPr>
      <w:r w:rsidRPr="00AD61B7">
        <w:rPr>
          <w:rFonts w:ascii="Arial" w:hAnsi="Arial" w:cs="Arial"/>
          <w:b/>
          <w:caps/>
          <w:sz w:val="22"/>
          <w:szCs w:val="22"/>
          <w:lang w:val="en-GB"/>
        </w:rPr>
        <w:t xml:space="preserve">Financial statement for the period </w:t>
      </w:r>
      <w:r w:rsidRPr="00AD61B7">
        <w:rPr>
          <w:rFonts w:ascii="Arial" w:hAnsi="Arial" w:cs="Arial"/>
          <w:b/>
          <w:caps/>
          <w:sz w:val="22"/>
          <w:szCs w:val="22"/>
          <w:lang w:val="en-GB"/>
        </w:rPr>
        <w:br/>
        <w:t>1 January 201</w:t>
      </w:r>
      <w:r w:rsidR="00AD61B7" w:rsidRPr="00AD61B7">
        <w:rPr>
          <w:rFonts w:ascii="Arial" w:hAnsi="Arial" w:cs="Arial"/>
          <w:b/>
          <w:caps/>
          <w:sz w:val="22"/>
          <w:szCs w:val="22"/>
          <w:lang w:val="en-GB"/>
        </w:rPr>
        <w:t>8</w:t>
      </w:r>
      <w:r w:rsidRPr="00AD61B7">
        <w:rPr>
          <w:rFonts w:ascii="Arial" w:hAnsi="Arial" w:cs="Arial"/>
          <w:b/>
          <w:caps/>
          <w:sz w:val="22"/>
          <w:szCs w:val="22"/>
          <w:lang w:val="en-GB"/>
        </w:rPr>
        <w:t xml:space="preserve"> – 31 December 201</w:t>
      </w:r>
      <w:r w:rsidR="00AD61B7" w:rsidRPr="00AD61B7">
        <w:rPr>
          <w:rFonts w:ascii="Arial" w:hAnsi="Arial" w:cs="Arial"/>
          <w:b/>
          <w:caps/>
          <w:sz w:val="22"/>
          <w:szCs w:val="22"/>
          <w:lang w:val="en-GB"/>
        </w:rPr>
        <w:t>9</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5A5792" w:rsidRPr="00F410D6" w14:paraId="10604F78" w14:textId="77777777" w:rsidTr="004C0380">
        <w:trPr>
          <w:jc w:val="center"/>
        </w:trPr>
        <w:tc>
          <w:tcPr>
            <w:tcW w:w="5669" w:type="dxa"/>
          </w:tcPr>
          <w:p w14:paraId="412B5B07" w14:textId="77777777" w:rsidR="005A5792" w:rsidRPr="00F410D6" w:rsidRDefault="005A5792" w:rsidP="002E62EA">
            <w:pPr>
              <w:pStyle w:val="Sansinterligne"/>
              <w:spacing w:before="200" w:after="200"/>
              <w:ind w:left="284" w:right="284"/>
              <w:jc w:val="center"/>
              <w:rPr>
                <w:rFonts w:ascii="Arial" w:hAnsi="Arial" w:cs="Arial"/>
                <w:b/>
                <w:sz w:val="22"/>
                <w:szCs w:val="22"/>
                <w:lang w:eastAsia="fr-FR"/>
              </w:rPr>
            </w:pPr>
            <w:r w:rsidRPr="00F410D6">
              <w:rPr>
                <w:rFonts w:ascii="Arial" w:hAnsi="Arial" w:cs="Arial"/>
                <w:b/>
                <w:sz w:val="22"/>
                <w:szCs w:val="22"/>
                <w:lang w:eastAsia="fr-FR"/>
              </w:rPr>
              <w:t>Summary</w:t>
            </w:r>
          </w:p>
          <w:p w14:paraId="374FEDBD" w14:textId="044E8233" w:rsidR="005A5792" w:rsidRPr="00F410D6" w:rsidRDefault="00952878" w:rsidP="00D979B7">
            <w:pPr>
              <w:pStyle w:val="Pranumrotrecommenc1"/>
              <w:tabs>
                <w:tab w:val="clear" w:pos="360"/>
              </w:tabs>
              <w:spacing w:before="200" w:after="200"/>
              <w:ind w:left="0" w:firstLine="0"/>
              <w:jc w:val="both"/>
              <w:rPr>
                <w:rFonts w:cs="Arial"/>
                <w:sz w:val="22"/>
                <w:szCs w:val="22"/>
                <w:lang w:val="en-GB"/>
              </w:rPr>
            </w:pPr>
            <w:r w:rsidRPr="00AF0BD4">
              <w:rPr>
                <w:rFonts w:cs="Arial"/>
                <w:sz w:val="22"/>
                <w:szCs w:val="22"/>
                <w:lang w:val="en-GB"/>
              </w:rPr>
              <w:t xml:space="preserve">In conformity with </w:t>
            </w:r>
            <w:r w:rsidR="00AF0BD4" w:rsidRPr="00AF0BD4">
              <w:rPr>
                <w:rFonts w:cs="Arial"/>
                <w:sz w:val="22"/>
                <w:szCs w:val="22"/>
                <w:lang w:val="en-GB"/>
              </w:rPr>
              <w:t>A</w:t>
            </w:r>
            <w:r w:rsidRPr="00AF0BD4">
              <w:rPr>
                <w:rFonts w:cs="Arial"/>
                <w:sz w:val="22"/>
                <w:szCs w:val="22"/>
                <w:lang w:val="en-GB"/>
              </w:rPr>
              <w:t xml:space="preserve">rticle 7.5 of its Financial Regulations, the accounts of </w:t>
            </w:r>
            <w:r w:rsidR="00AF0BD4">
              <w:rPr>
                <w:rFonts w:cs="Arial"/>
                <w:sz w:val="22"/>
                <w:szCs w:val="22"/>
                <w:lang w:val="en-GB"/>
              </w:rPr>
              <w:t xml:space="preserve">the </w:t>
            </w:r>
            <w:r w:rsidRPr="00AF0BD4">
              <w:rPr>
                <w:rFonts w:cs="Arial"/>
                <w:sz w:val="22"/>
                <w:szCs w:val="22"/>
                <w:lang w:val="en-GB"/>
              </w:rPr>
              <w:t xml:space="preserve">Special Account for the Fund for the Safeguarding of the Intangible Cultural Heritage </w:t>
            </w:r>
            <w:r w:rsidR="007B41E5" w:rsidRPr="007B41E5">
              <w:rPr>
                <w:lang w:val="en-US"/>
              </w:rPr>
              <w:t>‘</w:t>
            </w:r>
            <w:r w:rsidRPr="00AF0BD4">
              <w:rPr>
                <w:rFonts w:cs="Arial"/>
                <w:sz w:val="22"/>
                <w:szCs w:val="22"/>
                <w:lang w:val="en-GB"/>
              </w:rPr>
              <w:t xml:space="preserve">shall be submitted by the Director-General to the General Assembly of the States Parties </w:t>
            </w:r>
            <w:r w:rsidR="00D979B7">
              <w:rPr>
                <w:rFonts w:cs="Arial"/>
                <w:sz w:val="22"/>
                <w:szCs w:val="22"/>
                <w:lang w:val="en-GB"/>
              </w:rPr>
              <w:t>to</w:t>
            </w:r>
            <w:r w:rsidR="00D979B7" w:rsidRPr="00AF0BD4">
              <w:rPr>
                <w:rFonts w:cs="Arial"/>
                <w:sz w:val="22"/>
                <w:szCs w:val="22"/>
                <w:lang w:val="en-GB"/>
              </w:rPr>
              <w:t xml:space="preserve"> </w:t>
            </w:r>
            <w:r w:rsidRPr="00AF0BD4">
              <w:rPr>
                <w:rFonts w:cs="Arial"/>
                <w:sz w:val="22"/>
                <w:szCs w:val="22"/>
                <w:lang w:val="en-GB"/>
              </w:rPr>
              <w:t>the Convention</w:t>
            </w:r>
            <w:r w:rsidR="007B41E5">
              <w:rPr>
                <w:rFonts w:cs="Arial"/>
                <w:sz w:val="22"/>
                <w:szCs w:val="22"/>
                <w:lang w:val="en-GB"/>
              </w:rPr>
              <w:t>’</w:t>
            </w:r>
            <w:r w:rsidRPr="00AF0BD4">
              <w:rPr>
                <w:rFonts w:cs="Arial"/>
                <w:sz w:val="22"/>
                <w:szCs w:val="22"/>
                <w:lang w:val="en-GB"/>
              </w:rPr>
              <w:t>.</w:t>
            </w:r>
            <w:r>
              <w:rPr>
                <w:lang w:val="en-US"/>
              </w:rPr>
              <w:t xml:space="preserve"> </w:t>
            </w:r>
            <w:r w:rsidR="005A5792" w:rsidRPr="00F410D6">
              <w:rPr>
                <w:rFonts w:cs="Arial"/>
                <w:sz w:val="22"/>
                <w:szCs w:val="22"/>
                <w:lang w:val="en-GB"/>
              </w:rPr>
              <w:t>The present document includes the Financial Report for the Intangible Cultural Heritage Fund for the period 1</w:t>
            </w:r>
            <w:r w:rsidR="00CF21E8">
              <w:rPr>
                <w:rFonts w:cs="Arial"/>
                <w:sz w:val="22"/>
                <w:szCs w:val="22"/>
                <w:lang w:val="en-GB"/>
              </w:rPr>
              <w:t> </w:t>
            </w:r>
            <w:r w:rsidR="005A5792" w:rsidRPr="00F410D6">
              <w:rPr>
                <w:rFonts w:cs="Arial"/>
                <w:sz w:val="22"/>
                <w:szCs w:val="22"/>
                <w:lang w:val="en-GB"/>
              </w:rPr>
              <w:t>January 201</w:t>
            </w:r>
            <w:r w:rsidR="00AD61B7">
              <w:rPr>
                <w:rFonts w:cs="Arial"/>
                <w:sz w:val="22"/>
                <w:szCs w:val="22"/>
                <w:lang w:val="en-GB"/>
              </w:rPr>
              <w:t>8</w:t>
            </w:r>
            <w:r w:rsidR="005A5792" w:rsidRPr="00F410D6">
              <w:rPr>
                <w:rFonts w:cs="Arial"/>
                <w:sz w:val="22"/>
                <w:szCs w:val="22"/>
                <w:lang w:val="en-GB"/>
              </w:rPr>
              <w:t xml:space="preserve"> to 31</w:t>
            </w:r>
            <w:r w:rsidR="00623C1A">
              <w:rPr>
                <w:rFonts w:cs="Arial"/>
                <w:sz w:val="22"/>
                <w:szCs w:val="22"/>
                <w:lang w:val="en-GB"/>
              </w:rPr>
              <w:t xml:space="preserve"> </w:t>
            </w:r>
            <w:r w:rsidR="005A5792" w:rsidRPr="00F410D6">
              <w:rPr>
                <w:rFonts w:cs="Arial"/>
                <w:sz w:val="22"/>
                <w:szCs w:val="22"/>
                <w:lang w:val="en-GB"/>
              </w:rPr>
              <w:t>December</w:t>
            </w:r>
            <w:r w:rsidR="00623C1A">
              <w:rPr>
                <w:rFonts w:cs="Arial"/>
                <w:sz w:val="22"/>
                <w:szCs w:val="22"/>
                <w:lang w:val="en-GB"/>
              </w:rPr>
              <w:t xml:space="preserve"> </w:t>
            </w:r>
            <w:r w:rsidR="005A5792" w:rsidRPr="00F410D6">
              <w:rPr>
                <w:rFonts w:cs="Arial"/>
                <w:sz w:val="22"/>
                <w:szCs w:val="22"/>
                <w:lang w:val="en-GB"/>
              </w:rPr>
              <w:t>201</w:t>
            </w:r>
            <w:r w:rsidR="00AD61B7">
              <w:rPr>
                <w:rFonts w:cs="Arial"/>
                <w:sz w:val="22"/>
                <w:szCs w:val="22"/>
                <w:lang w:val="en-GB"/>
              </w:rPr>
              <w:t>9</w:t>
            </w:r>
            <w:r w:rsidR="00623C1A">
              <w:rPr>
                <w:rFonts w:cs="Arial"/>
                <w:sz w:val="22"/>
                <w:szCs w:val="22"/>
                <w:lang w:val="en-GB"/>
              </w:rPr>
              <w:t>.</w:t>
            </w:r>
          </w:p>
        </w:tc>
      </w:tr>
    </w:tbl>
    <w:p w14:paraId="2A3CBB7D" w14:textId="77777777" w:rsidR="00623C1A" w:rsidRDefault="00623C1A">
      <w:pPr>
        <w:spacing w:after="0"/>
      </w:pPr>
      <w:r>
        <w:br w:type="page"/>
      </w:r>
    </w:p>
    <w:p w14:paraId="74BE36ED" w14:textId="77777777" w:rsidR="007773A7" w:rsidRPr="00F410D6" w:rsidRDefault="007773A7" w:rsidP="007773A7">
      <w:pPr>
        <w:pStyle w:val="Default"/>
        <w:pageBreakBefore/>
        <w:spacing w:after="240"/>
        <w:jc w:val="center"/>
        <w:rPr>
          <w:b/>
          <w:bCs/>
          <w:color w:val="auto"/>
          <w:sz w:val="22"/>
          <w:szCs w:val="22"/>
          <w:lang w:val="en-GB"/>
        </w:rPr>
      </w:pPr>
      <w:r w:rsidRPr="00F410D6">
        <w:rPr>
          <w:b/>
          <w:bCs/>
          <w:color w:val="auto"/>
          <w:sz w:val="22"/>
          <w:szCs w:val="22"/>
          <w:lang w:val="en-GB"/>
        </w:rPr>
        <w:lastRenderedPageBreak/>
        <w:t>Explanatory Note</w:t>
      </w:r>
    </w:p>
    <w:p w14:paraId="69CFA1D4" w14:textId="7673F04F" w:rsidR="005A5792" w:rsidRDefault="007773A7" w:rsidP="0083271F">
      <w:pPr>
        <w:pStyle w:val="Paragraphedeliste"/>
        <w:tabs>
          <w:tab w:val="clear" w:pos="567"/>
          <w:tab w:val="left" w:pos="0"/>
        </w:tabs>
        <w:ind w:left="562" w:hanging="562"/>
      </w:pPr>
      <w:r>
        <w:t xml:space="preserve">In conformity with Article 7.5 of its Financial Regulations, the accounts of the Special Account for the Fund for the Safeguarding of the Intangible Cultural Heritage (hereafter ‘the Fund’) ‘shall be submitted by the Director-General to the General Assembly of the States Parties to the Convention’. </w:t>
      </w:r>
      <w:r w:rsidRPr="007C3CAC">
        <w:t>The present document includes the Financial Report for the Fund for the period 1</w:t>
      </w:r>
      <w:r>
        <w:t> </w:t>
      </w:r>
      <w:r w:rsidRPr="007C3CAC">
        <w:t>January 201</w:t>
      </w:r>
      <w:r>
        <w:t>8</w:t>
      </w:r>
      <w:r w:rsidRPr="007C3CAC">
        <w:t xml:space="preserve"> to 31</w:t>
      </w:r>
      <w:r>
        <w:t> </w:t>
      </w:r>
      <w:r w:rsidRPr="007C3CAC">
        <w:t>December 201</w:t>
      </w:r>
      <w:r>
        <w:t>9</w:t>
      </w:r>
      <w:r w:rsidRPr="007C3CAC">
        <w:t>, preceded by a brief explanatory note.</w:t>
      </w:r>
    </w:p>
    <w:p w14:paraId="3FAF2456" w14:textId="58D7064D" w:rsidR="0089182A" w:rsidRPr="0089182A" w:rsidRDefault="006C15BD" w:rsidP="00751CC3">
      <w:pPr>
        <w:pStyle w:val="Paragraphedeliste"/>
        <w:tabs>
          <w:tab w:val="clear" w:pos="567"/>
          <w:tab w:val="left" w:pos="0"/>
        </w:tabs>
        <w:ind w:left="562" w:hanging="562"/>
      </w:pPr>
      <w:r>
        <w:t xml:space="preserve">The Fund is governed by the </w:t>
      </w:r>
      <w:r w:rsidRPr="00BC1302">
        <w:t>Financial Re</w:t>
      </w:r>
      <w:r w:rsidRPr="00303F35">
        <w:t xml:space="preserve">gulations of </w:t>
      </w:r>
      <w:bookmarkStart w:id="0" w:name="_Hlk46400228"/>
      <w:r w:rsidRPr="00303F35">
        <w:t>the Special Account for the Fund for the Safeguarding of the Intangible Cultural Heritage</w:t>
      </w:r>
      <w:bookmarkEnd w:id="0"/>
      <w:r w:rsidRPr="00303F35">
        <w:t>, adopted by the</w:t>
      </w:r>
      <w:r w:rsidRPr="00785AA3">
        <w:t xml:space="preserve"> Committee at its first extraordinary session (</w:t>
      </w:r>
      <w:hyperlink r:id="rId8" w:history="1">
        <w:r w:rsidRPr="00785AA3">
          <w:rPr>
            <w:rStyle w:val="Lienhypertexte"/>
          </w:rPr>
          <w:t>Decision</w:t>
        </w:r>
        <w:r>
          <w:rPr>
            <w:rStyle w:val="Lienhypertexte"/>
          </w:rPr>
          <w:t> </w:t>
        </w:r>
        <w:r w:rsidRPr="00785AA3">
          <w:rPr>
            <w:rStyle w:val="Lienhypertexte"/>
          </w:rPr>
          <w:t>1.EXT.COM 9</w:t>
        </w:r>
      </w:hyperlink>
      <w:r w:rsidRPr="00785AA3">
        <w:t>)</w:t>
      </w:r>
      <w:r>
        <w:t xml:space="preserve">. Its sources of income are governed by </w:t>
      </w:r>
      <w:r w:rsidRPr="00BE68D8">
        <w:t>Article</w:t>
      </w:r>
      <w:r w:rsidR="00326687">
        <w:t> </w:t>
      </w:r>
      <w:r w:rsidRPr="00BE68D8">
        <w:t>25.3 of the Convention</w:t>
      </w:r>
      <w:r>
        <w:t xml:space="preserve"> and Article</w:t>
      </w:r>
      <w:r w:rsidR="002C1911">
        <w:t xml:space="preserve"> </w:t>
      </w:r>
      <w:r>
        <w:t>4 of the above-mentioned Financial Regulations</w:t>
      </w:r>
      <w:r w:rsidRPr="00785AA3">
        <w:t>.</w:t>
      </w:r>
      <w:r w:rsidR="0089182A" w:rsidRPr="0089182A">
        <w:t xml:space="preserve"> </w:t>
      </w:r>
      <w:r w:rsidR="0089182A">
        <w:t>During the reporting period, t</w:t>
      </w:r>
      <w:r w:rsidR="0089182A" w:rsidRPr="00F410D6">
        <w:t xml:space="preserve">he resources of the </w:t>
      </w:r>
      <w:r w:rsidR="0089182A">
        <w:t>Fund</w:t>
      </w:r>
      <w:r w:rsidR="00876AE1">
        <w:t xml:space="preserve"> related to the c</w:t>
      </w:r>
      <w:r w:rsidR="00876AE1" w:rsidRPr="00876AE1">
        <w:t>ompulsory and voluntary assessed contributions from States Parties</w:t>
      </w:r>
      <w:r w:rsidR="0089182A">
        <w:t xml:space="preserve"> </w:t>
      </w:r>
      <w:r w:rsidR="0089182A" w:rsidRPr="00F410D6">
        <w:t>were u</w:t>
      </w:r>
      <w:r w:rsidR="0089182A">
        <w:t>tilized</w:t>
      </w:r>
      <w:r w:rsidR="0089182A" w:rsidRPr="00F410D6">
        <w:t xml:space="preserve"> according to the Plan for the use of the resources of the Fund approved by the </w:t>
      </w:r>
      <w:r w:rsidR="0089182A">
        <w:t>seventh</w:t>
      </w:r>
      <w:r w:rsidR="0089182A" w:rsidRPr="00F410D6">
        <w:t xml:space="preserve"> session of the General Assembly in June 201</w:t>
      </w:r>
      <w:r w:rsidR="0089182A">
        <w:t>8</w:t>
      </w:r>
      <w:r w:rsidR="0089182A" w:rsidRPr="00F410D6">
        <w:t xml:space="preserve"> (</w:t>
      </w:r>
      <w:hyperlink r:id="rId9" w:history="1">
        <w:r w:rsidR="0089182A" w:rsidRPr="00955C4A">
          <w:rPr>
            <w:rStyle w:val="Lienhypertexte"/>
          </w:rPr>
          <w:t>Resolution </w:t>
        </w:r>
        <w:r w:rsidR="0089182A">
          <w:rPr>
            <w:rStyle w:val="Lienhypertexte"/>
          </w:rPr>
          <w:t>7</w:t>
        </w:r>
        <w:r w:rsidR="0089182A" w:rsidRPr="00955C4A">
          <w:rPr>
            <w:rStyle w:val="Lienhypertexte"/>
          </w:rPr>
          <w:t>.GA </w:t>
        </w:r>
        <w:r w:rsidR="0089182A">
          <w:rPr>
            <w:rStyle w:val="Lienhypertexte"/>
          </w:rPr>
          <w:t>8</w:t>
        </w:r>
      </w:hyperlink>
      <w:r w:rsidR="0089182A" w:rsidRPr="00F410D6">
        <w:t>).</w:t>
      </w:r>
    </w:p>
    <w:p w14:paraId="5D804211" w14:textId="0300AD8F" w:rsidR="005A5792" w:rsidRPr="00F410D6" w:rsidRDefault="00720710" w:rsidP="00275132">
      <w:pPr>
        <w:pStyle w:val="Default"/>
        <w:keepNext/>
        <w:numPr>
          <w:ilvl w:val="0"/>
          <w:numId w:val="32"/>
        </w:numPr>
        <w:spacing w:before="240" w:after="120"/>
        <w:ind w:left="567" w:hanging="567"/>
        <w:jc w:val="both"/>
        <w:rPr>
          <w:b/>
          <w:bCs/>
          <w:color w:val="auto"/>
          <w:sz w:val="22"/>
          <w:szCs w:val="22"/>
          <w:lang w:val="en-GB"/>
        </w:rPr>
      </w:pPr>
      <w:r w:rsidRPr="00275132">
        <w:rPr>
          <w:b/>
          <w:bCs/>
          <w:sz w:val="22"/>
          <w:szCs w:val="22"/>
          <w:lang w:val="en-GB"/>
        </w:rPr>
        <w:t>Income</w:t>
      </w:r>
      <w:r w:rsidRPr="00F410D6">
        <w:rPr>
          <w:b/>
          <w:bCs/>
          <w:color w:val="auto"/>
          <w:sz w:val="22"/>
          <w:szCs w:val="22"/>
          <w:lang w:val="en-GB"/>
        </w:rPr>
        <w:t xml:space="preserve"> </w:t>
      </w:r>
      <w:r w:rsidR="006C15BD">
        <w:rPr>
          <w:b/>
          <w:bCs/>
          <w:color w:val="auto"/>
          <w:sz w:val="22"/>
          <w:szCs w:val="22"/>
          <w:lang w:val="en-GB"/>
        </w:rPr>
        <w:t>(Statement I)</w:t>
      </w:r>
      <w:r w:rsidR="006C15BD" w:rsidRPr="0091362A">
        <w:rPr>
          <w:rStyle w:val="Appelnotedebasdep"/>
          <w:bCs/>
          <w:color w:val="auto"/>
          <w:sz w:val="22"/>
          <w:szCs w:val="22"/>
          <w:lang w:val="en-GB"/>
        </w:rPr>
        <w:footnoteReference w:id="1"/>
      </w:r>
    </w:p>
    <w:p w14:paraId="1051DE0D" w14:textId="5710BEAD" w:rsidR="002B50BC" w:rsidRPr="00F410D6" w:rsidRDefault="002B50BC" w:rsidP="000F3504">
      <w:pPr>
        <w:pStyle w:val="COMPara"/>
        <w:numPr>
          <w:ilvl w:val="0"/>
          <w:numId w:val="9"/>
        </w:numPr>
        <w:ind w:left="562" w:hanging="562"/>
        <w:jc w:val="both"/>
      </w:pPr>
      <w:r w:rsidRPr="00F410D6">
        <w:t xml:space="preserve">During the reporting period, </w:t>
      </w:r>
      <w:r w:rsidR="006C15BD">
        <w:t xml:space="preserve">the </w:t>
      </w:r>
      <w:r w:rsidRPr="00F410D6">
        <w:t xml:space="preserve">income </w:t>
      </w:r>
      <w:r w:rsidR="006C15BD">
        <w:t xml:space="preserve">of </w:t>
      </w:r>
      <w:r w:rsidRPr="00F410D6">
        <w:t>the Fund consisted of:</w:t>
      </w:r>
    </w:p>
    <w:tbl>
      <w:tblPr>
        <w:tblW w:w="9072" w:type="dxa"/>
        <w:tblInd w:w="567" w:type="dxa"/>
        <w:tblLayout w:type="fixed"/>
        <w:tblLook w:val="04A0" w:firstRow="1" w:lastRow="0" w:firstColumn="1" w:lastColumn="0" w:noHBand="0" w:noVBand="1"/>
      </w:tblPr>
      <w:tblGrid>
        <w:gridCol w:w="7168"/>
        <w:gridCol w:w="1904"/>
      </w:tblGrid>
      <w:tr w:rsidR="005974BB" w:rsidRPr="0072307E" w14:paraId="7FF2E9CA" w14:textId="699B612A" w:rsidTr="005F0DE9">
        <w:trPr>
          <w:cantSplit/>
        </w:trPr>
        <w:tc>
          <w:tcPr>
            <w:tcW w:w="9072" w:type="dxa"/>
            <w:gridSpan w:val="2"/>
            <w:shd w:val="clear" w:color="auto" w:fill="auto"/>
          </w:tcPr>
          <w:p w14:paraId="2FC05112" w14:textId="67CB1455" w:rsidR="005974BB" w:rsidRPr="00275132" w:rsidRDefault="005974BB" w:rsidP="00275132">
            <w:pPr>
              <w:pStyle w:val="Paragraph"/>
              <w:numPr>
                <w:ilvl w:val="0"/>
                <w:numId w:val="11"/>
              </w:numPr>
              <w:spacing w:before="240" w:after="60"/>
              <w:ind w:left="357" w:hanging="465"/>
              <w:rPr>
                <w:sz w:val="20"/>
                <w:szCs w:val="20"/>
              </w:rPr>
            </w:pPr>
            <w:r w:rsidRPr="00275132">
              <w:rPr>
                <w:sz w:val="20"/>
                <w:szCs w:val="20"/>
                <w:u w:val="single"/>
              </w:rPr>
              <w:t xml:space="preserve">Compulsory and voluntary assessed contributions </w:t>
            </w:r>
            <w:r w:rsidR="00103156" w:rsidRPr="00275132">
              <w:rPr>
                <w:sz w:val="20"/>
                <w:szCs w:val="20"/>
                <w:u w:val="single"/>
              </w:rPr>
              <w:t>from</w:t>
            </w:r>
            <w:r w:rsidRPr="00275132">
              <w:rPr>
                <w:sz w:val="20"/>
                <w:szCs w:val="20"/>
                <w:u w:val="single"/>
              </w:rPr>
              <w:t xml:space="preserve"> States Parties</w:t>
            </w:r>
            <w:r w:rsidRPr="00275132">
              <w:rPr>
                <w:rStyle w:val="Appelnotedebasdep"/>
                <w:sz w:val="20"/>
                <w:szCs w:val="20"/>
              </w:rPr>
              <w:footnoteReference w:id="2"/>
            </w:r>
          </w:p>
        </w:tc>
      </w:tr>
      <w:tr w:rsidR="005974BB" w:rsidRPr="0072307E" w14:paraId="11B77810" w14:textId="4C9482EC" w:rsidTr="0089182A">
        <w:trPr>
          <w:cantSplit/>
        </w:trPr>
        <w:tc>
          <w:tcPr>
            <w:tcW w:w="7168" w:type="dxa"/>
            <w:shd w:val="clear" w:color="auto" w:fill="auto"/>
            <w:vAlign w:val="center"/>
          </w:tcPr>
          <w:p w14:paraId="24FFEAD0" w14:textId="0C0268A3" w:rsidR="005974BB" w:rsidRPr="00275132" w:rsidRDefault="005974BB" w:rsidP="0089182A">
            <w:pPr>
              <w:pStyle w:val="Paragraph"/>
              <w:spacing w:before="60" w:after="60"/>
              <w:ind w:left="360"/>
              <w:jc w:val="left"/>
              <w:rPr>
                <w:sz w:val="20"/>
                <w:szCs w:val="20"/>
              </w:rPr>
            </w:pPr>
            <w:r w:rsidRPr="00275132">
              <w:rPr>
                <w:sz w:val="20"/>
                <w:szCs w:val="20"/>
              </w:rPr>
              <w:t xml:space="preserve">Compulsory </w:t>
            </w:r>
            <w:r w:rsidRPr="0089182A">
              <w:rPr>
                <w:rFonts w:eastAsia="MS Mincho"/>
                <w:bCs w:val="0"/>
                <w:sz w:val="20"/>
                <w:szCs w:val="20"/>
              </w:rPr>
              <w:t>contributions</w:t>
            </w:r>
            <w:r w:rsidRPr="00275132">
              <w:rPr>
                <w:sz w:val="20"/>
                <w:szCs w:val="20"/>
              </w:rPr>
              <w:t xml:space="preserve"> </w:t>
            </w:r>
            <w:r w:rsidR="00103156" w:rsidRPr="00275132">
              <w:rPr>
                <w:sz w:val="20"/>
                <w:szCs w:val="20"/>
              </w:rPr>
              <w:t xml:space="preserve">from 173 </w:t>
            </w:r>
            <w:r w:rsidRPr="00275132">
              <w:rPr>
                <w:sz w:val="20"/>
                <w:szCs w:val="20"/>
              </w:rPr>
              <w:t>States Parties to the Convention, as described in Article 26.1 of the Convention</w:t>
            </w:r>
          </w:p>
        </w:tc>
        <w:tc>
          <w:tcPr>
            <w:tcW w:w="1904" w:type="dxa"/>
            <w:shd w:val="clear" w:color="auto" w:fill="auto"/>
          </w:tcPr>
          <w:p w14:paraId="08DFEDEE" w14:textId="0D5C8C9B" w:rsidR="005974BB" w:rsidRPr="00275132" w:rsidRDefault="005974BB" w:rsidP="0089182A">
            <w:pPr>
              <w:pStyle w:val="Paragraph"/>
              <w:spacing w:before="60" w:after="60"/>
              <w:jc w:val="right"/>
              <w:rPr>
                <w:sz w:val="20"/>
                <w:szCs w:val="20"/>
              </w:rPr>
            </w:pPr>
            <w:r w:rsidRPr="00275132">
              <w:rPr>
                <w:sz w:val="20"/>
                <w:szCs w:val="20"/>
              </w:rPr>
              <w:t>US$3,</w:t>
            </w:r>
            <w:r w:rsidR="00103156" w:rsidRPr="00275132">
              <w:rPr>
                <w:sz w:val="20"/>
                <w:szCs w:val="20"/>
              </w:rPr>
              <w:t>629</w:t>
            </w:r>
            <w:r w:rsidRPr="00275132">
              <w:rPr>
                <w:sz w:val="20"/>
                <w:szCs w:val="20"/>
              </w:rPr>
              <w:t>,</w:t>
            </w:r>
            <w:r w:rsidR="00103156" w:rsidRPr="00275132">
              <w:rPr>
                <w:sz w:val="20"/>
                <w:szCs w:val="20"/>
              </w:rPr>
              <w:t>786</w:t>
            </w:r>
          </w:p>
        </w:tc>
      </w:tr>
      <w:tr w:rsidR="005974BB" w:rsidRPr="0072307E" w14:paraId="7CF6C153" w14:textId="65D52C8A" w:rsidTr="0089182A">
        <w:trPr>
          <w:cantSplit/>
        </w:trPr>
        <w:tc>
          <w:tcPr>
            <w:tcW w:w="7168" w:type="dxa"/>
            <w:shd w:val="clear" w:color="auto" w:fill="auto"/>
            <w:vAlign w:val="center"/>
          </w:tcPr>
          <w:p w14:paraId="4685C4EB" w14:textId="5374DBBA" w:rsidR="005974BB" w:rsidRPr="00275132" w:rsidRDefault="005974BB" w:rsidP="0089182A">
            <w:pPr>
              <w:pStyle w:val="Paragraph"/>
              <w:spacing w:before="60" w:after="60"/>
              <w:ind w:left="360"/>
              <w:jc w:val="left"/>
              <w:rPr>
                <w:sz w:val="20"/>
                <w:szCs w:val="20"/>
              </w:rPr>
            </w:pPr>
            <w:r w:rsidRPr="0089182A">
              <w:rPr>
                <w:rFonts w:eastAsia="MS Mincho"/>
                <w:bCs w:val="0"/>
                <w:sz w:val="20"/>
                <w:szCs w:val="20"/>
              </w:rPr>
              <w:t>Voluntary</w:t>
            </w:r>
            <w:r w:rsidRPr="00275132">
              <w:rPr>
                <w:sz w:val="20"/>
                <w:szCs w:val="20"/>
              </w:rPr>
              <w:t xml:space="preserve"> contributions </w:t>
            </w:r>
            <w:r w:rsidR="00A82A96" w:rsidRPr="00275132">
              <w:rPr>
                <w:sz w:val="20"/>
                <w:szCs w:val="20"/>
              </w:rPr>
              <w:t xml:space="preserve">received from </w:t>
            </w:r>
            <w:r w:rsidR="00E62A2C" w:rsidRPr="00275132">
              <w:rPr>
                <w:sz w:val="20"/>
                <w:szCs w:val="20"/>
              </w:rPr>
              <w:t xml:space="preserve">three </w:t>
            </w:r>
            <w:r w:rsidRPr="00275132">
              <w:rPr>
                <w:sz w:val="20"/>
                <w:szCs w:val="20"/>
              </w:rPr>
              <w:t>of the five States Parties, which</w:t>
            </w:r>
            <w:r w:rsidR="00A82A96" w:rsidRPr="00275132">
              <w:rPr>
                <w:sz w:val="20"/>
                <w:szCs w:val="20"/>
              </w:rPr>
              <w:t xml:space="preserve">, at the time of their ratification, </w:t>
            </w:r>
            <w:r w:rsidRPr="00275132">
              <w:rPr>
                <w:sz w:val="20"/>
                <w:szCs w:val="20"/>
              </w:rPr>
              <w:t xml:space="preserve">had recourse to Article 26.2 of the Convention </w:t>
            </w:r>
          </w:p>
        </w:tc>
        <w:tc>
          <w:tcPr>
            <w:tcW w:w="1904" w:type="dxa"/>
            <w:shd w:val="clear" w:color="auto" w:fill="auto"/>
          </w:tcPr>
          <w:p w14:paraId="14E053AD" w14:textId="53997589" w:rsidR="005974BB" w:rsidRPr="00275132" w:rsidRDefault="005974BB" w:rsidP="0089182A">
            <w:pPr>
              <w:pStyle w:val="Paragraph"/>
              <w:spacing w:before="60" w:after="60"/>
              <w:jc w:val="right"/>
              <w:rPr>
                <w:sz w:val="20"/>
                <w:szCs w:val="20"/>
              </w:rPr>
            </w:pPr>
            <w:r w:rsidRPr="00275132">
              <w:rPr>
                <w:sz w:val="20"/>
                <w:szCs w:val="20"/>
              </w:rPr>
              <w:t>US$</w:t>
            </w:r>
            <w:r w:rsidR="00E62A2C" w:rsidRPr="00275132">
              <w:rPr>
                <w:sz w:val="20"/>
                <w:szCs w:val="20"/>
              </w:rPr>
              <w:t>446</w:t>
            </w:r>
            <w:r w:rsidRPr="00275132">
              <w:rPr>
                <w:sz w:val="20"/>
                <w:szCs w:val="20"/>
              </w:rPr>
              <w:t>,</w:t>
            </w:r>
            <w:r w:rsidR="00061CB2" w:rsidRPr="00275132">
              <w:rPr>
                <w:sz w:val="20"/>
                <w:szCs w:val="20"/>
              </w:rPr>
              <w:t>38</w:t>
            </w:r>
            <w:r w:rsidR="00061CB2">
              <w:rPr>
                <w:sz w:val="20"/>
                <w:szCs w:val="20"/>
              </w:rPr>
              <w:t>3</w:t>
            </w:r>
          </w:p>
        </w:tc>
      </w:tr>
      <w:tr w:rsidR="005974BB" w:rsidRPr="0072307E" w14:paraId="384DA7BE" w14:textId="1C56A156" w:rsidTr="005F0DE9">
        <w:trPr>
          <w:cantSplit/>
        </w:trPr>
        <w:tc>
          <w:tcPr>
            <w:tcW w:w="7168" w:type="dxa"/>
            <w:shd w:val="clear" w:color="auto" w:fill="auto"/>
            <w:vAlign w:val="center"/>
          </w:tcPr>
          <w:p w14:paraId="2163972C" w14:textId="77777777" w:rsidR="005974BB" w:rsidRPr="00275132" w:rsidRDefault="005974BB" w:rsidP="00275132">
            <w:pPr>
              <w:pStyle w:val="Paragraph"/>
              <w:numPr>
                <w:ilvl w:val="0"/>
                <w:numId w:val="11"/>
              </w:numPr>
              <w:spacing w:before="240" w:after="60"/>
              <w:ind w:left="357" w:hanging="465"/>
              <w:rPr>
                <w:sz w:val="20"/>
                <w:szCs w:val="20"/>
              </w:rPr>
            </w:pPr>
            <w:r w:rsidRPr="00275132">
              <w:rPr>
                <w:sz w:val="20"/>
                <w:szCs w:val="20"/>
                <w:u w:val="single"/>
              </w:rPr>
              <w:t>Voluntary supplementary contributions</w:t>
            </w:r>
          </w:p>
        </w:tc>
        <w:tc>
          <w:tcPr>
            <w:tcW w:w="1904" w:type="dxa"/>
            <w:shd w:val="clear" w:color="auto" w:fill="auto"/>
            <w:vAlign w:val="center"/>
          </w:tcPr>
          <w:p w14:paraId="04AB3CF1" w14:textId="77777777" w:rsidR="005974BB" w:rsidRPr="00275132" w:rsidRDefault="005974BB" w:rsidP="000F3504">
            <w:pPr>
              <w:pStyle w:val="Paragraph"/>
              <w:spacing w:before="60" w:after="60"/>
              <w:jc w:val="right"/>
              <w:rPr>
                <w:sz w:val="20"/>
                <w:szCs w:val="20"/>
              </w:rPr>
            </w:pPr>
          </w:p>
        </w:tc>
      </w:tr>
      <w:tr w:rsidR="005974BB" w:rsidRPr="0072307E" w14:paraId="2AC491BC" w14:textId="14E0FCC7" w:rsidTr="005F0DE9">
        <w:trPr>
          <w:cantSplit/>
        </w:trPr>
        <w:tc>
          <w:tcPr>
            <w:tcW w:w="7168" w:type="dxa"/>
            <w:shd w:val="clear" w:color="auto" w:fill="auto"/>
            <w:vAlign w:val="center"/>
          </w:tcPr>
          <w:p w14:paraId="1628F4B9" w14:textId="413EF38B" w:rsidR="005974BB" w:rsidRPr="00275132" w:rsidRDefault="00061CB2" w:rsidP="00860249">
            <w:pPr>
              <w:pStyle w:val="Paragraph"/>
              <w:spacing w:before="60" w:after="60"/>
              <w:ind w:left="-109"/>
              <w:jc w:val="left"/>
              <w:rPr>
                <w:i/>
                <w:iCs/>
                <w:sz w:val="20"/>
                <w:szCs w:val="20"/>
              </w:rPr>
            </w:pPr>
            <w:r>
              <w:rPr>
                <w:rFonts w:eastAsia="MS Mincho"/>
                <w:bCs w:val="0"/>
                <w:i/>
                <w:iCs/>
                <w:sz w:val="20"/>
                <w:szCs w:val="20"/>
              </w:rPr>
              <w:t>C</w:t>
            </w:r>
            <w:r w:rsidR="00E62A2C" w:rsidRPr="00275132">
              <w:rPr>
                <w:rFonts w:eastAsia="MS Mincho"/>
                <w:bCs w:val="0"/>
                <w:i/>
                <w:iCs/>
                <w:sz w:val="20"/>
                <w:szCs w:val="20"/>
              </w:rPr>
              <w:t>ontributions made for specific purposes relating to specific projects approved by the Committee, in accordance with Article 25.5 of the Convention</w:t>
            </w:r>
          </w:p>
        </w:tc>
        <w:tc>
          <w:tcPr>
            <w:tcW w:w="1904" w:type="dxa"/>
            <w:shd w:val="clear" w:color="auto" w:fill="auto"/>
            <w:vAlign w:val="center"/>
          </w:tcPr>
          <w:p w14:paraId="3C4128BC" w14:textId="77777777" w:rsidR="005974BB" w:rsidRPr="00275132" w:rsidRDefault="005974BB" w:rsidP="000F3504">
            <w:pPr>
              <w:pStyle w:val="Paragraph"/>
              <w:spacing w:before="60" w:after="60"/>
              <w:jc w:val="right"/>
              <w:rPr>
                <w:strike/>
                <w:sz w:val="20"/>
                <w:szCs w:val="20"/>
              </w:rPr>
            </w:pPr>
          </w:p>
        </w:tc>
      </w:tr>
      <w:tr w:rsidR="005974BB" w:rsidRPr="0072307E" w14:paraId="5FABCAEA" w14:textId="4A91154F" w:rsidTr="00860249">
        <w:trPr>
          <w:cantSplit/>
          <w:trHeight w:val="1724"/>
        </w:trPr>
        <w:tc>
          <w:tcPr>
            <w:tcW w:w="7168" w:type="dxa"/>
            <w:shd w:val="clear" w:color="auto" w:fill="auto"/>
          </w:tcPr>
          <w:p w14:paraId="02FF2692" w14:textId="1C6C75E7" w:rsidR="00E62A2C" w:rsidRPr="00275132" w:rsidRDefault="00E62A2C" w:rsidP="000F3504">
            <w:pPr>
              <w:pStyle w:val="Paragraph"/>
              <w:spacing w:before="60" w:after="60"/>
              <w:ind w:left="360"/>
              <w:jc w:val="left"/>
              <w:rPr>
                <w:rFonts w:eastAsia="MS Mincho"/>
                <w:bCs w:val="0"/>
                <w:sz w:val="20"/>
                <w:szCs w:val="20"/>
              </w:rPr>
            </w:pPr>
            <w:r w:rsidRPr="00275132">
              <w:rPr>
                <w:rFonts w:eastAsia="MS Mincho"/>
                <w:bCs w:val="0"/>
                <w:sz w:val="20"/>
                <w:szCs w:val="20"/>
              </w:rPr>
              <w:t xml:space="preserve">From Japan </w:t>
            </w:r>
            <w:r w:rsidR="00275132">
              <w:rPr>
                <w:rFonts w:eastAsia="MS Mincho"/>
                <w:bCs w:val="0"/>
                <w:sz w:val="20"/>
                <w:szCs w:val="20"/>
              </w:rPr>
              <w:t>to support</w:t>
            </w:r>
            <w:r w:rsidR="00275132" w:rsidRPr="00275132">
              <w:rPr>
                <w:rFonts w:eastAsia="MS Mincho"/>
                <w:bCs w:val="0"/>
                <w:sz w:val="20"/>
                <w:szCs w:val="20"/>
              </w:rPr>
              <w:t xml:space="preserve"> </w:t>
            </w:r>
            <w:r w:rsidR="0015084F" w:rsidRPr="00275132">
              <w:rPr>
                <w:rFonts w:eastAsia="MS Mincho"/>
                <w:bCs w:val="0"/>
                <w:sz w:val="20"/>
                <w:szCs w:val="20"/>
              </w:rPr>
              <w:t>a global reflection on the listing mechanisms of the 2003</w:t>
            </w:r>
            <w:r w:rsidR="00275132">
              <w:rPr>
                <w:rFonts w:eastAsia="MS Mincho"/>
                <w:bCs w:val="0"/>
                <w:sz w:val="20"/>
                <w:szCs w:val="20"/>
              </w:rPr>
              <w:t> </w:t>
            </w:r>
            <w:r w:rsidR="0015084F" w:rsidRPr="00275132">
              <w:rPr>
                <w:rFonts w:eastAsia="MS Mincho"/>
                <w:bCs w:val="0"/>
                <w:sz w:val="20"/>
                <w:szCs w:val="20"/>
              </w:rPr>
              <w:t>Convention (</w:t>
            </w:r>
            <w:hyperlink r:id="rId10" w:history="1">
              <w:r w:rsidR="00275132" w:rsidRPr="00275132">
                <w:rPr>
                  <w:rStyle w:val="Lienhypertexte"/>
                  <w:rFonts w:eastAsia="MS Mincho"/>
                  <w:bCs w:val="0"/>
                  <w:sz w:val="20"/>
                  <w:szCs w:val="20"/>
                </w:rPr>
                <w:t>Decision 13.COM 6</w:t>
              </w:r>
            </w:hyperlink>
            <w:r w:rsidR="0015084F" w:rsidRPr="00275132">
              <w:rPr>
                <w:rFonts w:eastAsia="MS Mincho"/>
                <w:bCs w:val="0"/>
                <w:sz w:val="20"/>
                <w:szCs w:val="20"/>
              </w:rPr>
              <w:t>)</w:t>
            </w:r>
          </w:p>
          <w:p w14:paraId="7ABF3038" w14:textId="77777777" w:rsidR="0015084F" w:rsidRPr="00275132" w:rsidRDefault="0015084F" w:rsidP="000F3504">
            <w:pPr>
              <w:pStyle w:val="Paragraph"/>
              <w:spacing w:before="60" w:after="60"/>
              <w:ind w:left="360"/>
              <w:jc w:val="left"/>
              <w:rPr>
                <w:rFonts w:eastAsia="MS Mincho"/>
                <w:bCs w:val="0"/>
                <w:sz w:val="20"/>
                <w:szCs w:val="20"/>
              </w:rPr>
            </w:pPr>
          </w:p>
          <w:p w14:paraId="27AC260E" w14:textId="0E12DCC5" w:rsidR="005974BB" w:rsidRPr="00275132" w:rsidRDefault="005974BB" w:rsidP="000F3504">
            <w:pPr>
              <w:pStyle w:val="Paragraph"/>
              <w:spacing w:before="60" w:after="60"/>
              <w:ind w:left="360"/>
              <w:jc w:val="left"/>
              <w:rPr>
                <w:rFonts w:eastAsia="MS Mincho"/>
                <w:bCs w:val="0"/>
                <w:sz w:val="20"/>
                <w:szCs w:val="20"/>
              </w:rPr>
            </w:pPr>
            <w:r w:rsidRPr="00275132">
              <w:rPr>
                <w:rFonts w:eastAsia="MS Mincho"/>
                <w:bCs w:val="0"/>
                <w:sz w:val="20"/>
                <w:szCs w:val="20"/>
              </w:rPr>
              <w:t xml:space="preserve">From the Netherlands for the implementation </w:t>
            </w:r>
            <w:r w:rsidR="0015084F" w:rsidRPr="00275132">
              <w:rPr>
                <w:rFonts w:eastAsia="MS Mincho"/>
                <w:bCs w:val="0"/>
                <w:sz w:val="20"/>
                <w:szCs w:val="20"/>
              </w:rPr>
              <w:t>o</w:t>
            </w:r>
            <w:r w:rsidR="0015084F" w:rsidRPr="00275132">
              <w:rPr>
                <w:sz w:val="20"/>
                <w:szCs w:val="20"/>
              </w:rPr>
              <w:t xml:space="preserve">f the programme </w:t>
            </w:r>
            <w:r w:rsidR="007B41E5" w:rsidRPr="00275132">
              <w:rPr>
                <w:sz w:val="20"/>
                <w:szCs w:val="20"/>
              </w:rPr>
              <w:t>‘</w:t>
            </w:r>
            <w:r w:rsidR="0015084F" w:rsidRPr="00275132">
              <w:rPr>
                <w:sz w:val="20"/>
                <w:szCs w:val="20"/>
              </w:rPr>
              <w:t>Safeguarding intangible cultural heritage through formal and non-formal education in Latin America and the Caribbean</w:t>
            </w:r>
            <w:r w:rsidR="007B41E5" w:rsidRPr="00275132">
              <w:rPr>
                <w:sz w:val="20"/>
                <w:szCs w:val="20"/>
              </w:rPr>
              <w:t>’</w:t>
            </w:r>
            <w:r w:rsidR="0015084F" w:rsidRPr="00275132">
              <w:rPr>
                <w:sz w:val="20"/>
                <w:szCs w:val="20"/>
              </w:rPr>
              <w:t xml:space="preserve"> </w:t>
            </w:r>
            <w:r w:rsidRPr="00275132">
              <w:rPr>
                <w:rFonts w:eastAsia="MS Mincho"/>
                <w:bCs w:val="0"/>
                <w:sz w:val="20"/>
                <w:szCs w:val="20"/>
              </w:rPr>
              <w:t>(</w:t>
            </w:r>
            <w:hyperlink r:id="rId11" w:history="1">
              <w:r w:rsidR="00860249" w:rsidRPr="00860249">
                <w:rPr>
                  <w:rStyle w:val="Lienhypertexte"/>
                  <w:rFonts w:eastAsia="MS Mincho"/>
                  <w:bCs w:val="0"/>
                  <w:sz w:val="20"/>
                  <w:szCs w:val="20"/>
                </w:rPr>
                <w:t>Decision 14.COM 6</w:t>
              </w:r>
            </w:hyperlink>
            <w:r w:rsidRPr="00275132">
              <w:rPr>
                <w:rFonts w:eastAsia="MS Mincho"/>
                <w:bCs w:val="0"/>
                <w:sz w:val="20"/>
                <w:szCs w:val="20"/>
              </w:rPr>
              <w:t>)</w:t>
            </w:r>
          </w:p>
          <w:p w14:paraId="24376405" w14:textId="5853F35D" w:rsidR="005D4AA0" w:rsidRPr="00275132" w:rsidRDefault="005D4AA0" w:rsidP="000F3504">
            <w:pPr>
              <w:pStyle w:val="Paragraph"/>
              <w:spacing w:before="60" w:after="60"/>
              <w:ind w:left="360"/>
              <w:jc w:val="left"/>
              <w:rPr>
                <w:bCs w:val="0"/>
                <w:sz w:val="20"/>
                <w:szCs w:val="20"/>
              </w:rPr>
            </w:pPr>
          </w:p>
        </w:tc>
        <w:tc>
          <w:tcPr>
            <w:tcW w:w="1904" w:type="dxa"/>
            <w:shd w:val="clear" w:color="auto" w:fill="auto"/>
          </w:tcPr>
          <w:p w14:paraId="45F2516C" w14:textId="68F01BCD" w:rsidR="00E62A2C" w:rsidRPr="00275132" w:rsidRDefault="00E62A2C" w:rsidP="000F3504">
            <w:pPr>
              <w:pStyle w:val="Paragraph"/>
              <w:spacing w:before="60" w:after="60"/>
              <w:jc w:val="right"/>
              <w:rPr>
                <w:sz w:val="20"/>
                <w:szCs w:val="20"/>
              </w:rPr>
            </w:pPr>
            <w:r w:rsidRPr="00275132">
              <w:rPr>
                <w:sz w:val="20"/>
                <w:szCs w:val="20"/>
              </w:rPr>
              <w:t>US$267,238</w:t>
            </w:r>
          </w:p>
          <w:p w14:paraId="00CE9995" w14:textId="77777777" w:rsidR="0015084F" w:rsidRPr="00275132" w:rsidRDefault="0015084F" w:rsidP="000F3504">
            <w:pPr>
              <w:pStyle w:val="Paragraph"/>
              <w:spacing w:before="60" w:after="60"/>
              <w:jc w:val="right"/>
              <w:rPr>
                <w:sz w:val="20"/>
                <w:szCs w:val="20"/>
              </w:rPr>
            </w:pPr>
          </w:p>
          <w:p w14:paraId="74646B0D" w14:textId="77777777" w:rsidR="0015084F" w:rsidRPr="00275132" w:rsidRDefault="0015084F" w:rsidP="000F3504">
            <w:pPr>
              <w:pStyle w:val="Paragraph"/>
              <w:spacing w:before="60" w:after="60"/>
              <w:jc w:val="right"/>
              <w:rPr>
                <w:sz w:val="20"/>
                <w:szCs w:val="20"/>
              </w:rPr>
            </w:pPr>
          </w:p>
          <w:p w14:paraId="7C04CFFB" w14:textId="13A9CE84" w:rsidR="005974BB" w:rsidRPr="00275132" w:rsidRDefault="005974BB" w:rsidP="000F3504">
            <w:pPr>
              <w:pStyle w:val="Paragraph"/>
              <w:spacing w:before="60" w:after="60"/>
              <w:jc w:val="right"/>
              <w:rPr>
                <w:sz w:val="20"/>
                <w:szCs w:val="20"/>
              </w:rPr>
            </w:pPr>
            <w:r w:rsidRPr="00275132">
              <w:rPr>
                <w:sz w:val="20"/>
                <w:szCs w:val="20"/>
              </w:rPr>
              <w:t>US$</w:t>
            </w:r>
            <w:r w:rsidR="00E62A2C" w:rsidRPr="00275132">
              <w:rPr>
                <w:sz w:val="20"/>
                <w:szCs w:val="20"/>
              </w:rPr>
              <w:t>111</w:t>
            </w:r>
            <w:r w:rsidRPr="00275132">
              <w:rPr>
                <w:sz w:val="20"/>
                <w:szCs w:val="20"/>
              </w:rPr>
              <w:t>,</w:t>
            </w:r>
            <w:r w:rsidR="00E62A2C" w:rsidRPr="00275132">
              <w:rPr>
                <w:sz w:val="20"/>
                <w:szCs w:val="20"/>
              </w:rPr>
              <w:t>111</w:t>
            </w:r>
          </w:p>
        </w:tc>
      </w:tr>
      <w:tr w:rsidR="005974BB" w:rsidRPr="0072307E" w14:paraId="40B89A83" w14:textId="719B21AE" w:rsidTr="005F0DE9">
        <w:trPr>
          <w:cantSplit/>
        </w:trPr>
        <w:tc>
          <w:tcPr>
            <w:tcW w:w="7168" w:type="dxa"/>
            <w:shd w:val="clear" w:color="auto" w:fill="auto"/>
            <w:vAlign w:val="center"/>
          </w:tcPr>
          <w:p w14:paraId="5C94613A" w14:textId="16EBCAF9" w:rsidR="005974BB" w:rsidRPr="00275132" w:rsidRDefault="005974BB" w:rsidP="0089182A">
            <w:pPr>
              <w:pStyle w:val="Paragraph"/>
              <w:spacing w:before="60" w:after="60"/>
              <w:ind w:left="-109"/>
              <w:jc w:val="left"/>
              <w:rPr>
                <w:i/>
                <w:iCs/>
                <w:sz w:val="20"/>
                <w:szCs w:val="20"/>
              </w:rPr>
            </w:pPr>
            <w:r w:rsidRPr="00275132">
              <w:rPr>
                <w:rFonts w:eastAsia="MS Mincho"/>
                <w:bCs w:val="0"/>
                <w:i/>
                <w:iCs/>
                <w:sz w:val="20"/>
                <w:szCs w:val="20"/>
              </w:rPr>
              <w:t>Sub-fund intended exclusively to strengthen the human capacities of the Secretariat</w:t>
            </w:r>
            <w:r w:rsidRPr="00275132" w:rsidDel="00F4192C">
              <w:rPr>
                <w:i/>
                <w:iCs/>
                <w:sz w:val="20"/>
                <w:szCs w:val="20"/>
              </w:rPr>
              <w:t xml:space="preserve"> </w:t>
            </w:r>
            <w:r w:rsidRPr="00275132">
              <w:rPr>
                <w:i/>
                <w:iCs/>
                <w:sz w:val="20"/>
                <w:szCs w:val="20"/>
              </w:rPr>
              <w:t>(</w:t>
            </w:r>
            <w:hyperlink r:id="rId12" w:history="1">
              <w:r w:rsidRPr="00275132">
                <w:rPr>
                  <w:rStyle w:val="Lienhypertexte"/>
                  <w:i/>
                  <w:iCs/>
                  <w:sz w:val="20"/>
                  <w:szCs w:val="20"/>
                </w:rPr>
                <w:t>Resolution 3.GA 9</w:t>
              </w:r>
            </w:hyperlink>
            <w:r w:rsidRPr="00275132">
              <w:rPr>
                <w:i/>
                <w:iCs/>
                <w:sz w:val="20"/>
                <w:szCs w:val="20"/>
              </w:rPr>
              <w:t>)</w:t>
            </w:r>
            <w:r w:rsidR="0015084F" w:rsidRPr="00275132">
              <w:rPr>
                <w:rStyle w:val="Appelnotedebasdep"/>
                <w:i/>
                <w:iCs/>
                <w:sz w:val="20"/>
                <w:szCs w:val="20"/>
              </w:rPr>
              <w:footnoteReference w:id="3"/>
            </w:r>
          </w:p>
        </w:tc>
        <w:tc>
          <w:tcPr>
            <w:tcW w:w="1904" w:type="dxa"/>
            <w:shd w:val="clear" w:color="auto" w:fill="auto"/>
            <w:vAlign w:val="center"/>
          </w:tcPr>
          <w:p w14:paraId="4362CF54" w14:textId="77777777" w:rsidR="005974BB" w:rsidRPr="00275132" w:rsidRDefault="005974BB" w:rsidP="000F3504">
            <w:pPr>
              <w:pStyle w:val="Paragraph"/>
              <w:spacing w:before="60" w:after="60"/>
              <w:jc w:val="right"/>
              <w:rPr>
                <w:sz w:val="20"/>
                <w:szCs w:val="20"/>
              </w:rPr>
            </w:pPr>
          </w:p>
        </w:tc>
      </w:tr>
      <w:tr w:rsidR="005974BB" w:rsidRPr="0072307E" w14:paraId="3C3B8C74" w14:textId="1CDA94D0" w:rsidTr="00860249">
        <w:trPr>
          <w:cantSplit/>
        </w:trPr>
        <w:tc>
          <w:tcPr>
            <w:tcW w:w="7168" w:type="dxa"/>
            <w:shd w:val="clear" w:color="auto" w:fill="auto"/>
          </w:tcPr>
          <w:p w14:paraId="050C7AFF" w14:textId="07F3D8D7" w:rsidR="005974BB" w:rsidRPr="00275132" w:rsidRDefault="005D4AA0" w:rsidP="00860249">
            <w:pPr>
              <w:pStyle w:val="Paragraph"/>
              <w:spacing w:before="60" w:after="60"/>
              <w:ind w:left="356"/>
              <w:jc w:val="left"/>
              <w:rPr>
                <w:sz w:val="20"/>
                <w:szCs w:val="20"/>
                <w:lang w:val="es-ES"/>
              </w:rPr>
            </w:pPr>
            <w:r w:rsidRPr="00275132">
              <w:rPr>
                <w:rFonts w:eastAsia="MS Mincho"/>
                <w:bCs w:val="0"/>
                <w:sz w:val="20"/>
                <w:szCs w:val="20"/>
                <w:lang w:val="es-ES"/>
              </w:rPr>
              <w:t xml:space="preserve">China, </w:t>
            </w:r>
            <w:proofErr w:type="spellStart"/>
            <w:r w:rsidRPr="00275132">
              <w:rPr>
                <w:rFonts w:eastAsia="MS Mincho"/>
                <w:bCs w:val="0"/>
                <w:sz w:val="20"/>
                <w:szCs w:val="20"/>
                <w:lang w:val="es-ES"/>
              </w:rPr>
              <w:t>Finland</w:t>
            </w:r>
            <w:proofErr w:type="spellEnd"/>
            <w:r w:rsidRPr="00275132">
              <w:rPr>
                <w:rFonts w:eastAsia="MS Mincho"/>
                <w:bCs w:val="0"/>
                <w:sz w:val="20"/>
                <w:szCs w:val="20"/>
                <w:lang w:val="es-ES"/>
              </w:rPr>
              <w:t xml:space="preserve">, </w:t>
            </w:r>
            <w:proofErr w:type="spellStart"/>
            <w:r w:rsidRPr="00275132">
              <w:rPr>
                <w:rFonts w:eastAsia="MS Mincho"/>
                <w:bCs w:val="0"/>
                <w:sz w:val="20"/>
                <w:szCs w:val="20"/>
                <w:lang w:val="es-ES"/>
              </w:rPr>
              <w:t>Kazakhstan</w:t>
            </w:r>
            <w:proofErr w:type="spellEnd"/>
            <w:r w:rsidRPr="00275132">
              <w:rPr>
                <w:rFonts w:eastAsia="MS Mincho"/>
                <w:bCs w:val="0"/>
                <w:sz w:val="20"/>
                <w:szCs w:val="20"/>
                <w:lang w:val="es-ES"/>
              </w:rPr>
              <w:t xml:space="preserve">, </w:t>
            </w:r>
            <w:proofErr w:type="spellStart"/>
            <w:r w:rsidRPr="00275132">
              <w:rPr>
                <w:rFonts w:eastAsia="MS Mincho"/>
                <w:bCs w:val="0"/>
                <w:sz w:val="20"/>
                <w:szCs w:val="20"/>
                <w:lang w:val="es-ES"/>
              </w:rPr>
              <w:t>Monaco</w:t>
            </w:r>
            <w:proofErr w:type="spellEnd"/>
            <w:r w:rsidRPr="00275132">
              <w:rPr>
                <w:rFonts w:eastAsia="MS Mincho"/>
                <w:bCs w:val="0"/>
                <w:sz w:val="20"/>
                <w:szCs w:val="20"/>
                <w:lang w:val="es-ES"/>
              </w:rPr>
              <w:t>, Montenegro</w:t>
            </w:r>
            <w:r w:rsidR="00860249">
              <w:rPr>
                <w:rFonts w:eastAsia="MS Mincho"/>
                <w:bCs w:val="0"/>
                <w:sz w:val="20"/>
                <w:szCs w:val="20"/>
                <w:lang w:val="es-ES"/>
              </w:rPr>
              <w:t xml:space="preserve"> and</w:t>
            </w:r>
            <w:r w:rsidRPr="00275132">
              <w:rPr>
                <w:rFonts w:eastAsia="MS Mincho"/>
                <w:bCs w:val="0"/>
                <w:sz w:val="20"/>
                <w:szCs w:val="20"/>
                <w:lang w:val="es-ES"/>
              </w:rPr>
              <w:t xml:space="preserve"> Sweden</w:t>
            </w:r>
          </w:p>
        </w:tc>
        <w:tc>
          <w:tcPr>
            <w:tcW w:w="1904" w:type="dxa"/>
            <w:shd w:val="clear" w:color="auto" w:fill="auto"/>
            <w:vAlign w:val="center"/>
          </w:tcPr>
          <w:p w14:paraId="2890DBFB" w14:textId="25A38763" w:rsidR="005974BB" w:rsidRPr="00275132" w:rsidRDefault="005974BB" w:rsidP="00860249">
            <w:pPr>
              <w:pStyle w:val="Paragraph"/>
              <w:spacing w:before="60" w:after="60"/>
              <w:jc w:val="right"/>
              <w:rPr>
                <w:sz w:val="20"/>
                <w:szCs w:val="20"/>
              </w:rPr>
            </w:pPr>
            <w:r w:rsidRPr="00275132">
              <w:rPr>
                <w:sz w:val="20"/>
                <w:szCs w:val="20"/>
              </w:rPr>
              <w:t>US$</w:t>
            </w:r>
            <w:r w:rsidR="003F7F4B" w:rsidRPr="00275132">
              <w:rPr>
                <w:sz w:val="20"/>
                <w:szCs w:val="20"/>
              </w:rPr>
              <w:t>1</w:t>
            </w:r>
            <w:r w:rsidR="005D4AA0" w:rsidRPr="00275132">
              <w:rPr>
                <w:sz w:val="20"/>
                <w:szCs w:val="20"/>
              </w:rPr>
              <w:t>41</w:t>
            </w:r>
            <w:r w:rsidRPr="00275132">
              <w:rPr>
                <w:sz w:val="20"/>
                <w:szCs w:val="20"/>
              </w:rPr>
              <w:t>,0</w:t>
            </w:r>
            <w:r w:rsidR="005D4AA0" w:rsidRPr="00275132">
              <w:rPr>
                <w:sz w:val="20"/>
                <w:szCs w:val="20"/>
              </w:rPr>
              <w:t>4</w:t>
            </w:r>
            <w:r w:rsidR="00061CB2">
              <w:rPr>
                <w:sz w:val="20"/>
                <w:szCs w:val="20"/>
              </w:rPr>
              <w:t>4</w:t>
            </w:r>
          </w:p>
          <w:p w14:paraId="4AD72F39" w14:textId="37E35DC3" w:rsidR="005D4AA0" w:rsidRPr="00275132" w:rsidRDefault="005D4AA0" w:rsidP="00860249">
            <w:pPr>
              <w:pStyle w:val="Paragraph"/>
              <w:spacing w:before="60" w:after="60"/>
              <w:jc w:val="right"/>
              <w:rPr>
                <w:sz w:val="20"/>
                <w:szCs w:val="20"/>
              </w:rPr>
            </w:pPr>
          </w:p>
        </w:tc>
      </w:tr>
      <w:tr w:rsidR="005974BB" w:rsidRPr="0072307E" w14:paraId="294B59E8" w14:textId="6F84AD9B" w:rsidTr="0014477D">
        <w:trPr>
          <w:cantSplit/>
        </w:trPr>
        <w:tc>
          <w:tcPr>
            <w:tcW w:w="7168" w:type="dxa"/>
            <w:shd w:val="clear" w:color="auto" w:fill="auto"/>
          </w:tcPr>
          <w:p w14:paraId="53880373" w14:textId="1683439F" w:rsidR="005974BB" w:rsidRPr="00275132" w:rsidRDefault="005974BB" w:rsidP="0014477D">
            <w:pPr>
              <w:pStyle w:val="Paragraph"/>
              <w:numPr>
                <w:ilvl w:val="0"/>
                <w:numId w:val="11"/>
              </w:numPr>
              <w:spacing w:before="60" w:after="60"/>
              <w:ind w:left="357" w:hanging="466"/>
              <w:jc w:val="left"/>
              <w:rPr>
                <w:color w:val="auto"/>
                <w:sz w:val="20"/>
                <w:szCs w:val="20"/>
              </w:rPr>
            </w:pPr>
            <w:r w:rsidRPr="00275132">
              <w:rPr>
                <w:sz w:val="20"/>
                <w:szCs w:val="20"/>
                <w:u w:val="single"/>
              </w:rPr>
              <w:t xml:space="preserve">Interest </w:t>
            </w:r>
            <w:r w:rsidR="005D4AA0" w:rsidRPr="00275132">
              <w:rPr>
                <w:sz w:val="20"/>
                <w:szCs w:val="20"/>
                <w:u w:val="single"/>
              </w:rPr>
              <w:t xml:space="preserve">credited to </w:t>
            </w:r>
            <w:r w:rsidRPr="00275132">
              <w:rPr>
                <w:sz w:val="20"/>
                <w:szCs w:val="20"/>
                <w:u w:val="single"/>
              </w:rPr>
              <w:t>the Fund</w:t>
            </w:r>
          </w:p>
        </w:tc>
        <w:tc>
          <w:tcPr>
            <w:tcW w:w="1904" w:type="dxa"/>
            <w:shd w:val="clear" w:color="auto" w:fill="auto"/>
            <w:vAlign w:val="center"/>
          </w:tcPr>
          <w:p w14:paraId="23F92D4B" w14:textId="591ABFC0" w:rsidR="005974BB" w:rsidRPr="00275132" w:rsidRDefault="005974BB" w:rsidP="000F3504">
            <w:pPr>
              <w:pStyle w:val="Paragraph"/>
              <w:spacing w:before="60" w:after="60"/>
              <w:jc w:val="right"/>
              <w:rPr>
                <w:sz w:val="20"/>
                <w:szCs w:val="20"/>
              </w:rPr>
            </w:pPr>
            <w:r w:rsidRPr="00275132">
              <w:rPr>
                <w:sz w:val="20"/>
                <w:szCs w:val="20"/>
              </w:rPr>
              <w:t>US$</w:t>
            </w:r>
            <w:r w:rsidR="005D4AA0" w:rsidRPr="00275132">
              <w:rPr>
                <w:sz w:val="20"/>
                <w:szCs w:val="20"/>
              </w:rPr>
              <w:t>513</w:t>
            </w:r>
            <w:r w:rsidRPr="00275132">
              <w:rPr>
                <w:sz w:val="20"/>
                <w:szCs w:val="20"/>
              </w:rPr>
              <w:t>,</w:t>
            </w:r>
            <w:r w:rsidR="005D4AA0" w:rsidRPr="00275132">
              <w:rPr>
                <w:sz w:val="20"/>
                <w:szCs w:val="20"/>
              </w:rPr>
              <w:t>820</w:t>
            </w:r>
          </w:p>
        </w:tc>
      </w:tr>
      <w:tr w:rsidR="005974BB" w:rsidRPr="0072307E" w14:paraId="2E1CE003" w14:textId="6A4C627B" w:rsidTr="005F0DE9">
        <w:trPr>
          <w:cantSplit/>
        </w:trPr>
        <w:tc>
          <w:tcPr>
            <w:tcW w:w="7168" w:type="dxa"/>
            <w:shd w:val="clear" w:color="auto" w:fill="auto"/>
            <w:vAlign w:val="center"/>
          </w:tcPr>
          <w:p w14:paraId="4AC4F3F2" w14:textId="77777777" w:rsidR="005974BB" w:rsidRPr="00275132" w:rsidRDefault="005974BB" w:rsidP="000F3504">
            <w:pPr>
              <w:pStyle w:val="Paragraph"/>
              <w:spacing w:before="60" w:after="60"/>
              <w:ind w:firstLine="34"/>
              <w:jc w:val="right"/>
              <w:rPr>
                <w:sz w:val="20"/>
                <w:szCs w:val="20"/>
              </w:rPr>
            </w:pPr>
          </w:p>
        </w:tc>
        <w:tc>
          <w:tcPr>
            <w:tcW w:w="1904" w:type="dxa"/>
            <w:shd w:val="clear" w:color="auto" w:fill="auto"/>
            <w:vAlign w:val="center"/>
          </w:tcPr>
          <w:p w14:paraId="00CF5C84" w14:textId="77777777" w:rsidR="005974BB" w:rsidRPr="00275132" w:rsidRDefault="005974BB" w:rsidP="000F3504">
            <w:pPr>
              <w:pStyle w:val="Paragraph"/>
              <w:spacing w:before="60" w:after="60"/>
              <w:jc w:val="right"/>
              <w:rPr>
                <w:sz w:val="20"/>
                <w:szCs w:val="20"/>
              </w:rPr>
            </w:pPr>
          </w:p>
        </w:tc>
      </w:tr>
      <w:tr w:rsidR="005974BB" w:rsidRPr="0072307E" w14:paraId="746BE8D2" w14:textId="14C8861A" w:rsidTr="005F0DE9">
        <w:trPr>
          <w:cantSplit/>
        </w:trPr>
        <w:tc>
          <w:tcPr>
            <w:tcW w:w="7168" w:type="dxa"/>
            <w:shd w:val="clear" w:color="auto" w:fill="auto"/>
            <w:vAlign w:val="center"/>
          </w:tcPr>
          <w:p w14:paraId="24CAA570" w14:textId="77777777" w:rsidR="005974BB" w:rsidRPr="00275132" w:rsidRDefault="005974BB" w:rsidP="000F3504">
            <w:pPr>
              <w:pStyle w:val="Paragraph"/>
              <w:spacing w:before="60" w:after="60"/>
              <w:ind w:firstLine="34"/>
              <w:jc w:val="right"/>
              <w:rPr>
                <w:b/>
                <w:sz w:val="20"/>
                <w:szCs w:val="20"/>
              </w:rPr>
            </w:pPr>
            <w:r w:rsidRPr="00275132">
              <w:rPr>
                <w:b/>
                <w:sz w:val="20"/>
                <w:szCs w:val="20"/>
              </w:rPr>
              <w:t>TOTAL</w:t>
            </w:r>
          </w:p>
        </w:tc>
        <w:tc>
          <w:tcPr>
            <w:tcW w:w="1904" w:type="dxa"/>
            <w:shd w:val="clear" w:color="auto" w:fill="auto"/>
            <w:vAlign w:val="center"/>
          </w:tcPr>
          <w:p w14:paraId="0D399092" w14:textId="0D8DB08B" w:rsidR="005974BB" w:rsidRPr="00275132" w:rsidRDefault="005974BB" w:rsidP="000F3504">
            <w:pPr>
              <w:pStyle w:val="Paragraph"/>
              <w:spacing w:before="60" w:after="60"/>
              <w:jc w:val="right"/>
              <w:rPr>
                <w:b/>
                <w:sz w:val="20"/>
                <w:szCs w:val="20"/>
              </w:rPr>
            </w:pPr>
            <w:r w:rsidRPr="00275132">
              <w:rPr>
                <w:b/>
                <w:sz w:val="20"/>
                <w:szCs w:val="20"/>
              </w:rPr>
              <w:t>US$</w:t>
            </w:r>
            <w:r w:rsidR="003F7F4B" w:rsidRPr="00275132">
              <w:rPr>
                <w:b/>
                <w:sz w:val="20"/>
                <w:szCs w:val="20"/>
              </w:rPr>
              <w:t>5</w:t>
            </w:r>
            <w:r w:rsidRPr="00275132">
              <w:rPr>
                <w:b/>
                <w:sz w:val="20"/>
                <w:szCs w:val="20"/>
              </w:rPr>
              <w:t>,</w:t>
            </w:r>
            <w:r w:rsidR="003F7F4B" w:rsidRPr="00275132">
              <w:rPr>
                <w:b/>
                <w:sz w:val="20"/>
                <w:szCs w:val="20"/>
              </w:rPr>
              <w:t>109</w:t>
            </w:r>
            <w:r w:rsidRPr="00275132">
              <w:rPr>
                <w:b/>
                <w:sz w:val="20"/>
                <w:szCs w:val="20"/>
              </w:rPr>
              <w:t>,</w:t>
            </w:r>
            <w:r w:rsidR="003F7F4B" w:rsidRPr="00275132">
              <w:rPr>
                <w:b/>
                <w:sz w:val="20"/>
                <w:szCs w:val="20"/>
              </w:rPr>
              <w:t>38</w:t>
            </w:r>
            <w:r w:rsidR="00057621">
              <w:rPr>
                <w:b/>
                <w:sz w:val="20"/>
                <w:szCs w:val="20"/>
              </w:rPr>
              <w:t>2</w:t>
            </w:r>
          </w:p>
        </w:tc>
      </w:tr>
    </w:tbl>
    <w:p w14:paraId="5E4AC22F" w14:textId="3F159D7E" w:rsidR="00D40B20" w:rsidRPr="00D15FE0" w:rsidRDefault="00D40B20" w:rsidP="00A52BE9">
      <w:pPr>
        <w:pStyle w:val="Paragraphedeliste"/>
        <w:keepLines/>
        <w:tabs>
          <w:tab w:val="clear" w:pos="567"/>
        </w:tabs>
        <w:spacing w:before="120"/>
        <w:ind w:left="561" w:hanging="561"/>
      </w:pPr>
      <w:r w:rsidRPr="00D40B20">
        <w:lastRenderedPageBreak/>
        <w:t>Compared to the preceding biennium, the total income during the reporting period increased by 5.2% due mainly to the increased interests (from US$277,238 to US$513,820). While voluntary supplementary contribution</w:t>
      </w:r>
      <w:r w:rsidR="00233509">
        <w:t>s</w:t>
      </w:r>
      <w:r w:rsidRPr="00D40B20">
        <w:t xml:space="preserve"> decreased by 27.6%, it was partly compensated by the increase in compulsory and voluntary assessed contributions. This increase was due mainly to the increase in assessment rates as a result of the new scale of assessment adopted by the United Nations for 2019, as well as the slight increase in the number of States Parties. Finally, as at 31</w:t>
      </w:r>
      <w:r>
        <w:t> </w:t>
      </w:r>
      <w:r w:rsidRPr="00D40B20">
        <w:t>December 2019, the total unpaid balance of assessed contributions represented the equivalent of 23.7% of 2019 compulsory contributions.</w:t>
      </w:r>
    </w:p>
    <w:p w14:paraId="3D8D3544" w14:textId="5A925BCA" w:rsidR="005A5792" w:rsidRPr="00F410D6" w:rsidRDefault="005A5792" w:rsidP="00275132">
      <w:pPr>
        <w:pStyle w:val="Default"/>
        <w:keepNext/>
        <w:numPr>
          <w:ilvl w:val="0"/>
          <w:numId w:val="32"/>
        </w:numPr>
        <w:spacing w:before="240" w:after="120"/>
        <w:ind w:left="567" w:hanging="567"/>
        <w:jc w:val="both"/>
        <w:rPr>
          <w:b/>
          <w:bCs/>
          <w:color w:val="auto"/>
          <w:sz w:val="22"/>
          <w:szCs w:val="22"/>
          <w:lang w:val="en-GB"/>
        </w:rPr>
      </w:pPr>
      <w:r w:rsidRPr="009B4607">
        <w:rPr>
          <w:b/>
          <w:bCs/>
          <w:color w:val="auto"/>
          <w:sz w:val="22"/>
          <w:szCs w:val="22"/>
          <w:lang w:val="en-GB"/>
        </w:rPr>
        <w:t>Schedule of appropriations</w:t>
      </w:r>
      <w:r w:rsidRPr="00F410D6">
        <w:rPr>
          <w:b/>
          <w:bCs/>
          <w:color w:val="auto"/>
          <w:sz w:val="22"/>
          <w:szCs w:val="22"/>
          <w:lang w:val="en-GB"/>
        </w:rPr>
        <w:t xml:space="preserve"> and expenditure for the period 1</w:t>
      </w:r>
      <w:r w:rsidR="00FA2DB2">
        <w:rPr>
          <w:b/>
          <w:bCs/>
          <w:color w:val="auto"/>
          <w:sz w:val="22"/>
          <w:szCs w:val="22"/>
          <w:lang w:val="en-GB"/>
        </w:rPr>
        <w:t xml:space="preserve"> </w:t>
      </w:r>
      <w:r w:rsidRPr="00F410D6">
        <w:rPr>
          <w:b/>
          <w:bCs/>
          <w:color w:val="auto"/>
          <w:sz w:val="22"/>
          <w:szCs w:val="22"/>
          <w:lang w:val="en-GB"/>
        </w:rPr>
        <w:t>January</w:t>
      </w:r>
      <w:r w:rsidR="00FA2DB2">
        <w:rPr>
          <w:b/>
          <w:bCs/>
          <w:color w:val="auto"/>
          <w:sz w:val="22"/>
          <w:szCs w:val="22"/>
          <w:lang w:val="en-GB"/>
        </w:rPr>
        <w:t xml:space="preserve"> </w:t>
      </w:r>
      <w:r w:rsidRPr="00F410D6">
        <w:rPr>
          <w:b/>
          <w:bCs/>
          <w:color w:val="auto"/>
          <w:sz w:val="22"/>
          <w:szCs w:val="22"/>
          <w:lang w:val="en-GB"/>
        </w:rPr>
        <w:t>201</w:t>
      </w:r>
      <w:r w:rsidR="00DC2D42">
        <w:rPr>
          <w:b/>
          <w:bCs/>
          <w:color w:val="auto"/>
          <w:sz w:val="22"/>
          <w:szCs w:val="22"/>
          <w:lang w:val="en-GB"/>
        </w:rPr>
        <w:t>8</w:t>
      </w:r>
      <w:r w:rsidRPr="00F410D6">
        <w:rPr>
          <w:b/>
          <w:bCs/>
          <w:color w:val="auto"/>
          <w:sz w:val="22"/>
          <w:szCs w:val="22"/>
          <w:lang w:val="en-GB"/>
        </w:rPr>
        <w:t xml:space="preserve"> to 31</w:t>
      </w:r>
      <w:r w:rsidR="00275132">
        <w:rPr>
          <w:b/>
          <w:bCs/>
          <w:color w:val="auto"/>
          <w:sz w:val="22"/>
          <w:szCs w:val="22"/>
          <w:lang w:val="en-GB"/>
        </w:rPr>
        <w:t> </w:t>
      </w:r>
      <w:r w:rsidRPr="00F410D6">
        <w:rPr>
          <w:b/>
          <w:bCs/>
          <w:color w:val="auto"/>
          <w:sz w:val="22"/>
          <w:szCs w:val="22"/>
          <w:lang w:val="en-GB"/>
        </w:rPr>
        <w:t>December</w:t>
      </w:r>
      <w:r w:rsidR="00FA2DB2">
        <w:rPr>
          <w:b/>
          <w:bCs/>
          <w:color w:val="auto"/>
          <w:sz w:val="22"/>
          <w:szCs w:val="22"/>
          <w:lang w:val="en-GB"/>
        </w:rPr>
        <w:t xml:space="preserve"> </w:t>
      </w:r>
      <w:r w:rsidRPr="00F410D6">
        <w:rPr>
          <w:b/>
          <w:bCs/>
          <w:color w:val="auto"/>
          <w:sz w:val="22"/>
          <w:szCs w:val="22"/>
          <w:lang w:val="en-GB"/>
        </w:rPr>
        <w:t>201</w:t>
      </w:r>
      <w:r w:rsidR="00DC2D42">
        <w:rPr>
          <w:b/>
          <w:bCs/>
          <w:color w:val="auto"/>
          <w:sz w:val="22"/>
          <w:szCs w:val="22"/>
          <w:lang w:val="en-GB"/>
        </w:rPr>
        <w:t>9 (</w:t>
      </w:r>
      <w:r w:rsidR="00DC2D42" w:rsidRPr="006C68AF">
        <w:rPr>
          <w:b/>
          <w:bCs/>
          <w:sz w:val="22"/>
          <w:szCs w:val="22"/>
          <w:lang w:val="en-GB"/>
        </w:rPr>
        <w:t>Statement I</w:t>
      </w:r>
      <w:r w:rsidR="00DC2D42">
        <w:rPr>
          <w:b/>
          <w:bCs/>
          <w:sz w:val="22"/>
          <w:szCs w:val="22"/>
          <w:lang w:val="en-GB"/>
        </w:rPr>
        <w:t xml:space="preserve"> and Schedule 1.1</w:t>
      </w:r>
      <w:r w:rsidR="00DC2D42" w:rsidRPr="006C68AF">
        <w:rPr>
          <w:b/>
          <w:bCs/>
          <w:sz w:val="22"/>
          <w:szCs w:val="22"/>
          <w:lang w:val="en-GB"/>
        </w:rPr>
        <w:t>, page</w:t>
      </w:r>
      <w:r w:rsidR="00DC2D42">
        <w:rPr>
          <w:b/>
          <w:bCs/>
          <w:sz w:val="22"/>
          <w:szCs w:val="22"/>
          <w:lang w:val="en-GB"/>
        </w:rPr>
        <w:t>s</w:t>
      </w:r>
      <w:r w:rsidR="00DC2D42" w:rsidRPr="006C68AF">
        <w:rPr>
          <w:b/>
          <w:bCs/>
          <w:sz w:val="22"/>
          <w:szCs w:val="22"/>
          <w:lang w:val="en-GB"/>
        </w:rPr>
        <w:t xml:space="preserve"> </w:t>
      </w:r>
      <w:r w:rsidR="00E823F1">
        <w:rPr>
          <w:b/>
          <w:bCs/>
          <w:sz w:val="22"/>
          <w:szCs w:val="22"/>
          <w:lang w:val="en-GB"/>
        </w:rPr>
        <w:t>6</w:t>
      </w:r>
      <w:r w:rsidR="00DC2D42" w:rsidRPr="00913D1D">
        <w:rPr>
          <w:rFonts w:eastAsia="MS Mincho"/>
          <w:b/>
          <w:sz w:val="18"/>
          <w:lang w:val="en-GB"/>
        </w:rPr>
        <w:t>–</w:t>
      </w:r>
      <w:r w:rsidR="00E823F1">
        <w:rPr>
          <w:b/>
          <w:bCs/>
          <w:sz w:val="22"/>
          <w:szCs w:val="22"/>
          <w:lang w:val="en-GB"/>
        </w:rPr>
        <w:t>7</w:t>
      </w:r>
      <w:r w:rsidR="00DC2D42" w:rsidRPr="00BB2DEA">
        <w:rPr>
          <w:b/>
          <w:bCs/>
          <w:sz w:val="22"/>
          <w:szCs w:val="22"/>
          <w:lang w:val="en-GB"/>
        </w:rPr>
        <w:t>)</w:t>
      </w:r>
      <w:r w:rsidR="00DC2D42" w:rsidRPr="009C1CBC">
        <w:rPr>
          <w:rStyle w:val="Appelnotedebasdep"/>
          <w:bCs/>
          <w:sz w:val="22"/>
          <w:szCs w:val="22"/>
          <w:lang w:val="en-GB"/>
        </w:rPr>
        <w:footnoteReference w:id="4"/>
      </w:r>
    </w:p>
    <w:p w14:paraId="51BFDAD9" w14:textId="64DF708B" w:rsidR="00DC2D42" w:rsidRDefault="00DC2D42" w:rsidP="000F3504">
      <w:pPr>
        <w:pStyle w:val="Paragraphedeliste"/>
        <w:tabs>
          <w:tab w:val="clear" w:pos="567"/>
        </w:tabs>
        <w:ind w:left="562" w:hanging="562"/>
      </w:pPr>
      <w:r>
        <w:t xml:space="preserve">By its </w:t>
      </w:r>
      <w:hyperlink r:id="rId13" w:history="1">
        <w:r>
          <w:rPr>
            <w:rStyle w:val="Lienhypertexte"/>
          </w:rPr>
          <w:t>Resolution 7</w:t>
        </w:r>
        <w:r w:rsidRPr="00024E4E">
          <w:rPr>
            <w:rStyle w:val="Lienhypertexte"/>
          </w:rPr>
          <w:t>.GA </w:t>
        </w:r>
      </w:hyperlink>
      <w:r>
        <w:rPr>
          <w:rStyle w:val="Lienhypertexte"/>
        </w:rPr>
        <w:t>8</w:t>
      </w:r>
      <w:r w:rsidRPr="0089182A">
        <w:rPr>
          <w:rStyle w:val="Lienhypertexte"/>
          <w:color w:val="auto"/>
          <w:u w:val="none"/>
        </w:rPr>
        <w:t>,</w:t>
      </w:r>
      <w:r w:rsidRPr="000B21E2">
        <w:t xml:space="preserve"> the General </w:t>
      </w:r>
      <w:r w:rsidRPr="001D30C3">
        <w:t>Assembly</w:t>
      </w:r>
      <w:r w:rsidRPr="000B21E2">
        <w:t xml:space="preserve"> approved </w:t>
      </w:r>
      <w:r w:rsidRPr="001D30C3">
        <w:t xml:space="preserve">a </w:t>
      </w:r>
      <w:r>
        <w:t xml:space="preserve">budget </w:t>
      </w:r>
      <w:r w:rsidRPr="000B21E2">
        <w:t>of</w:t>
      </w:r>
      <w:r>
        <w:t xml:space="preserve"> </w:t>
      </w:r>
      <w:r w:rsidRPr="00F410D6">
        <w:t>US$</w:t>
      </w:r>
      <w:r>
        <w:t xml:space="preserve">8,590,922 for the period 1 January 2018 to 31 December 2019. This corresponds </w:t>
      </w:r>
      <w:r w:rsidRPr="00F410D6">
        <w:t xml:space="preserve">to </w:t>
      </w:r>
      <w:r w:rsidRPr="00D87682">
        <w:t>the balance of the Fund</w:t>
      </w:r>
      <w:r w:rsidR="00DB1DF5">
        <w:t xml:space="preserve"> (excluding the sub-fun</w:t>
      </w:r>
      <w:r w:rsidR="00915138">
        <w:t>d</w:t>
      </w:r>
      <w:r w:rsidR="00DB1DF5" w:rsidRPr="00DB1DF5">
        <w:t xml:space="preserve"> dedicated to specific activities approved by the Committee</w:t>
      </w:r>
      <w:r w:rsidR="00DB1DF5">
        <w:t xml:space="preserve"> and the sub-fund </w:t>
      </w:r>
      <w:r w:rsidR="00DB1DF5" w:rsidRPr="00DB1DF5">
        <w:t>for Enhancing the human capacities of the Secretariat</w:t>
      </w:r>
      <w:r w:rsidR="00DB1DF5">
        <w:t>)</w:t>
      </w:r>
      <w:r w:rsidRPr="00D87682">
        <w:t xml:space="preserve"> on 1</w:t>
      </w:r>
      <w:r w:rsidR="00FA2DB2" w:rsidRPr="00D87682">
        <w:t xml:space="preserve"> </w:t>
      </w:r>
      <w:r w:rsidRPr="00D87682">
        <w:t>January</w:t>
      </w:r>
      <w:r w:rsidR="00FA2DB2" w:rsidRPr="00D87682">
        <w:t xml:space="preserve"> </w:t>
      </w:r>
      <w:r w:rsidRPr="00D87682">
        <w:t>2018 (US$9,590,922)</w:t>
      </w:r>
      <w:r w:rsidRPr="00F410D6">
        <w:t xml:space="preserve"> less the Reserve Fund accumulated </w:t>
      </w:r>
      <w:r>
        <w:t xml:space="preserve">up to that date </w:t>
      </w:r>
      <w:r w:rsidRPr="00F410D6">
        <w:t>(US$</w:t>
      </w:r>
      <w:r>
        <w:t>1,000,000</w:t>
      </w:r>
      <w:r w:rsidRPr="00F410D6">
        <w:t>).</w:t>
      </w:r>
    </w:p>
    <w:p w14:paraId="0632748E" w14:textId="0B0FC0A1" w:rsidR="00DC2D42" w:rsidRDefault="00E375D8" w:rsidP="000F3504">
      <w:pPr>
        <w:pStyle w:val="COMPara"/>
        <w:numPr>
          <w:ilvl w:val="0"/>
          <w:numId w:val="9"/>
        </w:numPr>
        <w:ind w:left="562" w:hanging="562"/>
        <w:jc w:val="both"/>
      </w:pPr>
      <w:r>
        <w:t>The Financial Report (</w:t>
      </w:r>
      <w:r w:rsidR="00DB1DF5">
        <w:t>Schedule 1.1</w:t>
      </w:r>
      <w:r>
        <w:t>)</w:t>
      </w:r>
      <w:r w:rsidR="00DC2D42" w:rsidRPr="00F410D6">
        <w:t xml:space="preserve"> shows total expenditure of US$</w:t>
      </w:r>
      <w:r w:rsidR="00DE2F74">
        <w:t>5</w:t>
      </w:r>
      <w:r w:rsidR="00DC2D42">
        <w:t>,</w:t>
      </w:r>
      <w:r w:rsidR="00DE2F74">
        <w:t>40</w:t>
      </w:r>
      <w:r w:rsidR="00DC2D42">
        <w:t>0,</w:t>
      </w:r>
      <w:r w:rsidR="00DB1DF5">
        <w:t xml:space="preserve">185 </w:t>
      </w:r>
      <w:r w:rsidR="00DC2D42">
        <w:t>as of 3</w:t>
      </w:r>
      <w:r w:rsidR="00DE2F74">
        <w:t>1</w:t>
      </w:r>
      <w:r>
        <w:t> </w:t>
      </w:r>
      <w:r w:rsidR="00DE2F74">
        <w:t>December</w:t>
      </w:r>
      <w:r w:rsidR="00DC2D42">
        <w:t xml:space="preserve"> 2019</w:t>
      </w:r>
      <w:r w:rsidR="00DC2D42" w:rsidRPr="00F410D6">
        <w:t xml:space="preserve">, </w:t>
      </w:r>
      <w:r w:rsidR="0091362A">
        <w:t>which</w:t>
      </w:r>
      <w:r w:rsidR="00DC2D42" w:rsidRPr="00F410D6">
        <w:t xml:space="preserve"> is </w:t>
      </w:r>
      <w:r w:rsidR="00DE2F74">
        <w:t>62.</w:t>
      </w:r>
      <w:r>
        <w:t>9</w:t>
      </w:r>
      <w:r w:rsidR="00DC2D42">
        <w:t>%</w:t>
      </w:r>
      <w:r w:rsidR="00DC2D42" w:rsidRPr="00F410D6">
        <w:t xml:space="preserve"> of the approved</w:t>
      </w:r>
      <w:r w:rsidR="00DC2D42" w:rsidRPr="00F410D6" w:rsidDel="001D30C3">
        <w:t xml:space="preserve"> </w:t>
      </w:r>
      <w:r w:rsidR="00DC2D42" w:rsidRPr="00F410D6">
        <w:t>budget</w:t>
      </w:r>
      <w:r w:rsidR="00DE2F74" w:rsidRPr="00F410D6">
        <w:t>.</w:t>
      </w:r>
      <w:r w:rsidR="00DE2F74">
        <w:t xml:space="preserve"> </w:t>
      </w:r>
      <w:r w:rsidR="00AA1588">
        <w:t xml:space="preserve">Compared </w:t>
      </w:r>
      <w:r w:rsidR="00DB1DF5">
        <w:t xml:space="preserve">to </w:t>
      </w:r>
      <w:r w:rsidR="00AA1588">
        <w:t>the 2016</w:t>
      </w:r>
      <w:r w:rsidR="00495A6C">
        <w:t>–</w:t>
      </w:r>
      <w:r w:rsidR="00AA1588">
        <w:t>2017 biennium, this represents a significant increase, both in terms of expenditure rate (4</w:t>
      </w:r>
      <w:r w:rsidR="00BF74E2">
        <w:t>5.2</w:t>
      </w:r>
      <w:r w:rsidR="00AA1588">
        <w:t>% of the approved budget spent in 2016</w:t>
      </w:r>
      <w:r w:rsidR="00495A6C">
        <w:t>–</w:t>
      </w:r>
      <w:r w:rsidR="00AA1588">
        <w:t xml:space="preserve">2017) and in terms of </w:t>
      </w:r>
      <w:r w:rsidR="0089182A">
        <w:t>nominal amount</w:t>
      </w:r>
      <w:r w:rsidR="00AA1588">
        <w:t>, with</w:t>
      </w:r>
      <w:r w:rsidR="00B93B78">
        <w:t xml:space="preserve"> an additional</w:t>
      </w:r>
      <w:r w:rsidR="00AA1588">
        <w:t xml:space="preserve"> US$1.</w:t>
      </w:r>
      <w:r w:rsidR="00C55D1F">
        <w:t>79</w:t>
      </w:r>
      <w:r w:rsidR="00AA1588">
        <w:t xml:space="preserve"> million </w:t>
      </w:r>
      <w:r w:rsidR="00B93B78">
        <w:t>spent in 2018</w:t>
      </w:r>
      <w:r w:rsidR="00495A6C">
        <w:t>–</w:t>
      </w:r>
      <w:r w:rsidR="00B93B78">
        <w:t xml:space="preserve">2019. This improvement </w:t>
      </w:r>
      <w:r w:rsidR="0089182A">
        <w:t xml:space="preserve">represents </w:t>
      </w:r>
      <w:r w:rsidR="00B93B78">
        <w:t xml:space="preserve">a direct outcome from the Secretariat’s efforts to intensify the </w:t>
      </w:r>
      <w:r w:rsidR="0089182A">
        <w:t xml:space="preserve">operationalization </w:t>
      </w:r>
      <w:r w:rsidR="00B93B78">
        <w:t xml:space="preserve">of the International Assistance mechanisms of the Fund (budget lines 1, 1.1 and 2). </w:t>
      </w:r>
      <w:r w:rsidR="00DC2D42" w:rsidRPr="00F410D6">
        <w:t xml:space="preserve">Explanations </w:t>
      </w:r>
      <w:r w:rsidR="00DC2D42">
        <w:t>for</w:t>
      </w:r>
      <w:r w:rsidR="00DC2D42" w:rsidRPr="00F410D6">
        <w:t xml:space="preserve"> each budget line of the schedule of appropriations and expenditure are provided below.</w:t>
      </w:r>
    </w:p>
    <w:p w14:paraId="4E01FB04" w14:textId="6D3BAD0D" w:rsidR="00DE2F74" w:rsidRDefault="00DE2F74" w:rsidP="000F3504">
      <w:pPr>
        <w:pStyle w:val="Paragraphedeliste"/>
        <w:tabs>
          <w:tab w:val="clear" w:pos="567"/>
        </w:tabs>
        <w:ind w:left="562" w:hanging="562"/>
      </w:pPr>
      <w:r w:rsidRPr="00C81630">
        <w:t>In line with the priorities set by the Guidelines for the use of the resources of the Fund in Chapter</w:t>
      </w:r>
      <w:r w:rsidR="00B93B78">
        <w:t> </w:t>
      </w:r>
      <w:r w:rsidRPr="00C81630">
        <w:t xml:space="preserve">II.1 of the Operational Directives, </w:t>
      </w:r>
      <w:r>
        <w:t>the General Assembly</w:t>
      </w:r>
      <w:r w:rsidRPr="00C81630">
        <w:t xml:space="preserve"> </w:t>
      </w:r>
      <w:r w:rsidRPr="000D35DF">
        <w:t xml:space="preserve">decided that the majority of </w:t>
      </w:r>
      <w:r w:rsidRPr="000B21E2">
        <w:t xml:space="preserve">the </w:t>
      </w:r>
      <w:r w:rsidRPr="000D35DF">
        <w:t>resources (</w:t>
      </w:r>
      <w:r w:rsidRPr="000D35DF">
        <w:rPr>
          <w:b/>
          <w:bCs/>
        </w:rPr>
        <w:t>budget line</w:t>
      </w:r>
      <w:r w:rsidR="00FA2DB2">
        <w:rPr>
          <w:b/>
          <w:bCs/>
        </w:rPr>
        <w:t xml:space="preserve"> </w:t>
      </w:r>
      <w:r w:rsidRPr="000D35DF">
        <w:rPr>
          <w:b/>
          <w:bCs/>
        </w:rPr>
        <w:t>1</w:t>
      </w:r>
      <w:r w:rsidRPr="000D35DF">
        <w:t>, 5</w:t>
      </w:r>
      <w:r>
        <w:t>2.55%</w:t>
      </w:r>
      <w:r w:rsidRPr="000D35DF">
        <w:t xml:space="preserve">) </w:t>
      </w:r>
      <w:r>
        <w:t xml:space="preserve">would continue to </w:t>
      </w:r>
      <w:r w:rsidRPr="000B21E2">
        <w:t xml:space="preserve">be allocated </w:t>
      </w:r>
      <w:r w:rsidRPr="000D35DF">
        <w:t xml:space="preserve">to the provision of International Assistance to States Parties </w:t>
      </w:r>
      <w:r>
        <w:t xml:space="preserve">in order </w:t>
      </w:r>
      <w:r w:rsidRPr="000D35DF">
        <w:t xml:space="preserve">to supplement their national efforts </w:t>
      </w:r>
      <w:r>
        <w:t>to</w:t>
      </w:r>
      <w:r w:rsidRPr="000D35DF">
        <w:t xml:space="preserve"> safeguard intangible cultural heritage. </w:t>
      </w:r>
      <w:r w:rsidR="003B5684">
        <w:t xml:space="preserve">As at 31 December 2019, </w:t>
      </w:r>
      <w:r w:rsidR="008D4300">
        <w:t xml:space="preserve">expenditures under </w:t>
      </w:r>
      <w:r w:rsidR="003B5684">
        <w:t>budget line</w:t>
      </w:r>
      <w:r w:rsidR="008D4300">
        <w:t> </w:t>
      </w:r>
      <w:r w:rsidR="003B5684">
        <w:t xml:space="preserve">1 </w:t>
      </w:r>
      <w:r w:rsidR="00D31584">
        <w:t>more than doubled, from US$1.29 million in 2016</w:t>
      </w:r>
      <w:r w:rsidR="00BF0FC6">
        <w:t>–</w:t>
      </w:r>
      <w:r w:rsidR="00D31584">
        <w:t>2017 to US$2.77 million in 2018</w:t>
      </w:r>
      <w:r w:rsidR="00BF0FC6">
        <w:t>–</w:t>
      </w:r>
      <w:r w:rsidR="00D31584">
        <w:t xml:space="preserve">2019. Budget line 1 </w:t>
      </w:r>
      <w:r w:rsidR="003B5684">
        <w:t>present</w:t>
      </w:r>
      <w:r w:rsidR="00D31584">
        <w:t>s</w:t>
      </w:r>
      <w:r w:rsidR="003B5684">
        <w:t xml:space="preserve"> an </w:t>
      </w:r>
      <w:r w:rsidR="00B61F8F">
        <w:t xml:space="preserve">expenditure </w:t>
      </w:r>
      <w:r w:rsidR="003B5684">
        <w:t xml:space="preserve">rate of </w:t>
      </w:r>
      <w:r w:rsidR="00F05410">
        <w:t>61.3</w:t>
      </w:r>
      <w:r w:rsidR="00462FE8">
        <w:t xml:space="preserve">% </w:t>
      </w:r>
      <w:r w:rsidR="00D31584">
        <w:t>(</w:t>
      </w:r>
      <w:r w:rsidR="00F05410">
        <w:t>33.9</w:t>
      </w:r>
      <w:r w:rsidR="003C62A3">
        <w:t xml:space="preserve">% </w:t>
      </w:r>
      <w:r w:rsidR="008D4300">
        <w:t xml:space="preserve">increase </w:t>
      </w:r>
      <w:r w:rsidR="003C62A3" w:rsidRPr="00913D1D">
        <w:t xml:space="preserve">compared to the expenditure rate of the </w:t>
      </w:r>
      <w:r w:rsidR="00D31584">
        <w:t>previous</w:t>
      </w:r>
      <w:r w:rsidR="00D31584" w:rsidRPr="00913D1D">
        <w:t xml:space="preserve"> </w:t>
      </w:r>
      <w:r w:rsidR="003C62A3" w:rsidRPr="00913D1D">
        <w:t>biennium</w:t>
      </w:r>
      <w:r w:rsidR="00D31584">
        <w:t>)</w:t>
      </w:r>
      <w:r w:rsidR="00462FE8">
        <w:t xml:space="preserve">. </w:t>
      </w:r>
      <w:r w:rsidR="001037E1" w:rsidRPr="000D35DF">
        <w:t>Expenses</w:t>
      </w:r>
      <w:r w:rsidR="001037E1">
        <w:t xml:space="preserve"> under this line correspond to International Assistance granted by the Committee or its </w:t>
      </w:r>
      <w:r w:rsidR="001037E1" w:rsidRPr="0046744B">
        <w:t xml:space="preserve">Bureau for </w:t>
      </w:r>
      <w:r w:rsidR="008D4300" w:rsidRPr="0046744B">
        <w:t>twenty-three</w:t>
      </w:r>
      <w:r w:rsidR="001037E1" w:rsidRPr="0046744B">
        <w:t xml:space="preserve"> projects</w:t>
      </w:r>
      <w:r w:rsidR="001769EA" w:rsidRPr="0046744B">
        <w:rPr>
          <w:rStyle w:val="Appelnotedebasdep"/>
        </w:rPr>
        <w:footnoteReference w:id="5"/>
      </w:r>
      <w:r w:rsidR="001037E1" w:rsidRPr="0046744B">
        <w:t xml:space="preserve">, </w:t>
      </w:r>
      <w:r w:rsidR="00D31584" w:rsidRPr="0046744B">
        <w:t>eleven</w:t>
      </w:r>
      <w:r w:rsidR="00D51FC8" w:rsidRPr="0046744B">
        <w:t xml:space="preserve"> of</w:t>
      </w:r>
      <w:r w:rsidR="00D31584">
        <w:t xml:space="preserve"> which</w:t>
      </w:r>
      <w:r w:rsidR="00C611F8">
        <w:t xml:space="preserve"> were</w:t>
      </w:r>
      <w:r w:rsidR="00683463">
        <w:t xml:space="preserve"> </w:t>
      </w:r>
      <w:r w:rsidR="00D31584">
        <w:t xml:space="preserve">initiated </w:t>
      </w:r>
      <w:r w:rsidR="00D31584" w:rsidRPr="00E8780E">
        <w:t>in</w:t>
      </w:r>
      <w:r w:rsidRPr="00E8780E">
        <w:t xml:space="preserve"> Africa</w:t>
      </w:r>
      <w:r w:rsidR="00D31584" w:rsidRPr="00E8780E">
        <w:t xml:space="preserve"> during the reporting period</w:t>
      </w:r>
      <w:r w:rsidRPr="00E8780E">
        <w:t>.</w:t>
      </w:r>
    </w:p>
    <w:p w14:paraId="02DEAF5E" w14:textId="694C9E3F" w:rsidR="00BA2CD4" w:rsidRPr="00913D1D" w:rsidRDefault="00BA2CD4" w:rsidP="004052CA">
      <w:pPr>
        <w:pStyle w:val="Paragraphedeliste"/>
        <w:ind w:left="562" w:hanging="562"/>
      </w:pPr>
      <w:r w:rsidRPr="00913D1D">
        <w:t xml:space="preserve">The new </w:t>
      </w:r>
      <w:r w:rsidRPr="00913D1D">
        <w:rPr>
          <w:b/>
        </w:rPr>
        <w:t>budget line 1.1</w:t>
      </w:r>
      <w:r w:rsidRPr="00913D1D">
        <w:t xml:space="preserve"> </w:t>
      </w:r>
      <w:r w:rsidR="001A4230">
        <w:t xml:space="preserve">(8.20%) </w:t>
      </w:r>
      <w:r w:rsidR="00CF1C35">
        <w:t xml:space="preserve">is used to cover the </w:t>
      </w:r>
      <w:r w:rsidR="00CF1C35" w:rsidRPr="00913D1D">
        <w:t xml:space="preserve">biennial costs of three extra-budgetary fixed-term </w:t>
      </w:r>
      <w:r w:rsidR="00CF1C35">
        <w:t>p</w:t>
      </w:r>
      <w:r w:rsidR="00CF1C35" w:rsidRPr="00913D1D">
        <w:t>osts (one P3, one P2 and one G5</w:t>
      </w:r>
      <w:r w:rsidR="00CF1C35">
        <w:t xml:space="preserve">) that were </w:t>
      </w:r>
      <w:r w:rsidRPr="00913D1D">
        <w:t>created by the General Assembly at its seventh session in 2018 to fully activate the International Assistance mechanisms and effectively monitor and evaluate their implementation (</w:t>
      </w:r>
      <w:hyperlink r:id="rId14" w:history="1">
        <w:r w:rsidRPr="00913D1D">
          <w:rPr>
            <w:rStyle w:val="Lienhypertexte"/>
          </w:rPr>
          <w:t>Resolution</w:t>
        </w:r>
        <w:r>
          <w:rPr>
            <w:rStyle w:val="Lienhypertexte"/>
          </w:rPr>
          <w:t> </w:t>
        </w:r>
        <w:r w:rsidRPr="00913D1D">
          <w:rPr>
            <w:rStyle w:val="Lienhypertexte"/>
          </w:rPr>
          <w:t>7.GA 8</w:t>
        </w:r>
      </w:hyperlink>
      <w:r w:rsidRPr="00913D1D">
        <w:t>).</w:t>
      </w:r>
      <w:r>
        <w:t xml:space="preserve"> </w:t>
      </w:r>
      <w:r w:rsidR="00787EA0">
        <w:t xml:space="preserve">The </w:t>
      </w:r>
      <w:r w:rsidR="00B61F8F">
        <w:t xml:space="preserve">expenditure </w:t>
      </w:r>
      <w:r w:rsidR="00787EA0">
        <w:t xml:space="preserve">rate of this budget line is low, as the recruitment procedures for all three posts were finalized in </w:t>
      </w:r>
      <w:r w:rsidR="001769EA">
        <w:t>November</w:t>
      </w:r>
      <w:r w:rsidR="00787EA0">
        <w:t xml:space="preserve"> 2019. </w:t>
      </w:r>
      <w:r w:rsidR="001769EA">
        <w:t xml:space="preserve">The recruitment of the three posts led to the creation of a </w:t>
      </w:r>
      <w:r w:rsidR="005059A3">
        <w:t>‘Safeguarding</w:t>
      </w:r>
      <w:r w:rsidR="00233509">
        <w:t xml:space="preserve"> Implementation </w:t>
      </w:r>
      <w:r w:rsidR="005059A3">
        <w:t xml:space="preserve">and </w:t>
      </w:r>
      <w:r w:rsidR="00233509">
        <w:t>Monitoring</w:t>
      </w:r>
      <w:r w:rsidR="005059A3">
        <w:t xml:space="preserve"> Team’ that became fully operational from February 2020</w:t>
      </w:r>
      <w:r w:rsidR="0089182A">
        <w:t xml:space="preserve"> (see </w:t>
      </w:r>
      <w:hyperlink r:id="rId15" w:history="1">
        <w:r w:rsidR="00A022EB">
          <w:rPr>
            <w:rStyle w:val="Lienhypertexte"/>
          </w:rPr>
          <w:t>d</w:t>
        </w:r>
        <w:r w:rsidR="0089182A" w:rsidRPr="004052CA">
          <w:rPr>
            <w:rStyle w:val="Lienhypertexte"/>
          </w:rPr>
          <w:t>ocument</w:t>
        </w:r>
        <w:r w:rsidR="00CC3C2F" w:rsidRPr="004052CA">
          <w:rPr>
            <w:rStyle w:val="Lienhypertexte"/>
          </w:rPr>
          <w:t> </w:t>
        </w:r>
        <w:r w:rsidR="0089182A" w:rsidRPr="004052CA">
          <w:rPr>
            <w:rStyle w:val="Lienhypertexte"/>
          </w:rPr>
          <w:t>LHE/20/8.GA/6</w:t>
        </w:r>
      </w:hyperlink>
      <w:r w:rsidR="0089182A">
        <w:t>)</w:t>
      </w:r>
      <w:r w:rsidR="005059A3">
        <w:t>.</w:t>
      </w:r>
    </w:p>
    <w:p w14:paraId="36DD7575" w14:textId="729D8A95" w:rsidR="001358AE" w:rsidRDefault="006F461F" w:rsidP="000F3504">
      <w:pPr>
        <w:pStyle w:val="Paragraphedeliste"/>
        <w:ind w:left="562" w:hanging="562"/>
      </w:pPr>
      <w:r>
        <w:rPr>
          <w:rFonts w:cs="Times New Roman"/>
        </w:rPr>
        <w:t xml:space="preserve">Concerning </w:t>
      </w:r>
      <w:r w:rsidR="00BA2CD4">
        <w:rPr>
          <w:rFonts w:cs="Times New Roman"/>
        </w:rPr>
        <w:t xml:space="preserve">the </w:t>
      </w:r>
      <w:r w:rsidRPr="00033DB5">
        <w:rPr>
          <w:rFonts w:cs="Times New Roman"/>
          <w:b/>
        </w:rPr>
        <w:t>budget line 2</w:t>
      </w:r>
      <w:r>
        <w:rPr>
          <w:rFonts w:cs="Times New Roman"/>
        </w:rPr>
        <w:t xml:space="preserve"> (</w:t>
      </w:r>
      <w:r w:rsidR="00A51251">
        <w:rPr>
          <w:rFonts w:cs="Times New Roman"/>
        </w:rPr>
        <w:t>P</w:t>
      </w:r>
      <w:r>
        <w:rPr>
          <w:rFonts w:cs="Times New Roman"/>
        </w:rPr>
        <w:t xml:space="preserve">reparatory </w:t>
      </w:r>
      <w:r w:rsidR="00A51251">
        <w:rPr>
          <w:rFonts w:cs="Times New Roman"/>
        </w:rPr>
        <w:t>Assistance</w:t>
      </w:r>
      <w:r w:rsidR="001A4230">
        <w:rPr>
          <w:rFonts w:cs="Times New Roman"/>
        </w:rPr>
        <w:t>; 4.00%</w:t>
      </w:r>
      <w:r>
        <w:rPr>
          <w:rFonts w:cs="Times New Roman"/>
        </w:rPr>
        <w:t>)</w:t>
      </w:r>
      <w:r w:rsidR="00E3572C">
        <w:rPr>
          <w:rFonts w:cs="Times New Roman"/>
        </w:rPr>
        <w:t>,</w:t>
      </w:r>
      <w:r>
        <w:rPr>
          <w:rFonts w:cs="Times New Roman"/>
        </w:rPr>
        <w:t xml:space="preserve"> </w:t>
      </w:r>
      <w:r w:rsidR="00E60D31" w:rsidRPr="00913D1D">
        <w:t xml:space="preserve">the Secretariat received three preparatory assistance requests for a nomination to the List of Intangible Cultural Heritage in Need of Urgent Safeguarding – one of which was withdrawn by the requesting State Party – and one preparatory assistance request for </w:t>
      </w:r>
      <w:r w:rsidR="00233509">
        <w:t xml:space="preserve">a </w:t>
      </w:r>
      <w:r w:rsidR="00E60D31" w:rsidRPr="00913D1D">
        <w:t>proposal</w:t>
      </w:r>
      <w:r w:rsidR="00E60D31" w:rsidRPr="00A335E6">
        <w:t xml:space="preserve"> </w:t>
      </w:r>
      <w:r w:rsidR="00E60D31">
        <w:t>to</w:t>
      </w:r>
      <w:r w:rsidR="00E60D31" w:rsidRPr="00A335E6">
        <w:t xml:space="preserve"> the Register of </w:t>
      </w:r>
      <w:r w:rsidR="00E60D31">
        <w:t xml:space="preserve">Good </w:t>
      </w:r>
      <w:r w:rsidR="00E60D31" w:rsidRPr="00A335E6">
        <w:t>Safeguarding Practices.</w:t>
      </w:r>
      <w:r w:rsidR="00E60D31">
        <w:t xml:space="preserve"> The Bureau approved</w:t>
      </w:r>
      <w:r w:rsidR="00495719">
        <w:t xml:space="preserve"> all</w:t>
      </w:r>
      <w:r w:rsidR="00E60D31">
        <w:t xml:space="preserve"> three requests</w:t>
      </w:r>
      <w:r w:rsidR="00495719">
        <w:t xml:space="preserve"> presented to it.</w:t>
      </w:r>
      <w:r w:rsidR="00DD38A9">
        <w:t xml:space="preserve"> </w:t>
      </w:r>
      <w:r w:rsidR="00495719">
        <w:t>As a result</w:t>
      </w:r>
      <w:r w:rsidR="004B185A">
        <w:t>,</w:t>
      </w:r>
      <w:r w:rsidR="00DD38A9">
        <w:t xml:space="preserve"> one proposal to the Register </w:t>
      </w:r>
      <w:r w:rsidR="00DD38A9" w:rsidRPr="00ED58DF">
        <w:t xml:space="preserve">of Good Safeguarding Practices (2020 cycle) and two nominations to the Urgent Safeguarding List </w:t>
      </w:r>
      <w:r w:rsidR="00495719" w:rsidRPr="00ED58DF">
        <w:t>(</w:t>
      </w:r>
      <w:r w:rsidR="00DD38A9" w:rsidRPr="00ED58DF">
        <w:t>2021 cycle)</w:t>
      </w:r>
      <w:r w:rsidR="004B185A" w:rsidRPr="00ED58DF">
        <w:t xml:space="preserve"> were submitted</w:t>
      </w:r>
      <w:r w:rsidR="00E60D31">
        <w:t>.</w:t>
      </w:r>
    </w:p>
    <w:p w14:paraId="29A278D5" w14:textId="097996FD" w:rsidR="00E60D31" w:rsidRPr="000D35DF" w:rsidRDefault="00E60D31" w:rsidP="000F3504">
      <w:pPr>
        <w:pStyle w:val="Paragraphedeliste"/>
        <w:ind w:left="562" w:hanging="562"/>
      </w:pPr>
      <w:r>
        <w:lastRenderedPageBreak/>
        <w:t>E</w:t>
      </w:r>
      <w:r w:rsidRPr="00A335E6">
        <w:t xml:space="preserve">xpenditures reflected in </w:t>
      </w:r>
      <w:r w:rsidR="001358AE">
        <w:t xml:space="preserve">this line </w:t>
      </w:r>
      <w:r>
        <w:t>also include</w:t>
      </w:r>
      <w:r w:rsidRPr="00A335E6">
        <w:t xml:space="preserve"> the provision of technical assistance</w:t>
      </w:r>
      <w:r>
        <w:t xml:space="preserve"> </w:t>
      </w:r>
      <w:r w:rsidRPr="00A335E6">
        <w:t xml:space="preserve">in accordance with </w:t>
      </w:r>
      <w:hyperlink r:id="rId16" w:history="1">
        <w:r w:rsidRPr="00A335E6">
          <w:rPr>
            <w:rStyle w:val="Lienhypertexte"/>
          </w:rPr>
          <w:t>Decision 8.COM 7.c</w:t>
        </w:r>
      </w:hyperlink>
      <w:r>
        <w:t>.</w:t>
      </w:r>
      <w:r w:rsidR="001358AE">
        <w:t xml:space="preserve"> During the reporting period, such assistance was provided to t</w:t>
      </w:r>
      <w:r w:rsidR="001358AE" w:rsidRPr="00E60D31">
        <w:t>hree</w:t>
      </w:r>
      <w:r w:rsidR="001358AE">
        <w:t xml:space="preserve"> States Parties for their International Assistance requests. The </w:t>
      </w:r>
      <w:r w:rsidR="001358AE" w:rsidRPr="00233509">
        <w:t xml:space="preserve">three requests </w:t>
      </w:r>
      <w:r w:rsidR="001358AE" w:rsidRPr="009B4607">
        <w:t xml:space="preserve">were </w:t>
      </w:r>
      <w:r w:rsidR="00DD38A9">
        <w:t xml:space="preserve">finalized through </w:t>
      </w:r>
      <w:r w:rsidR="0089182A">
        <w:t>this support mechanism</w:t>
      </w:r>
      <w:r w:rsidR="00DD38A9">
        <w:t xml:space="preserve"> and </w:t>
      </w:r>
      <w:r w:rsidR="00F84F1E">
        <w:t xml:space="preserve">two of them were </w:t>
      </w:r>
      <w:r w:rsidR="00DD38A9">
        <w:t>approved by</w:t>
      </w:r>
      <w:r w:rsidR="001358AE" w:rsidRPr="009B4607">
        <w:t xml:space="preserve"> the Bureau</w:t>
      </w:r>
      <w:r w:rsidR="00DD38A9">
        <w:t xml:space="preserve"> during the reporting period</w:t>
      </w:r>
      <w:r w:rsidR="001358AE" w:rsidRPr="009B4607">
        <w:t>.</w:t>
      </w:r>
    </w:p>
    <w:p w14:paraId="34AFB750" w14:textId="7407A6A6" w:rsidR="001358AE" w:rsidRPr="00C938EE" w:rsidRDefault="001358AE" w:rsidP="000F3504">
      <w:pPr>
        <w:pStyle w:val="Paragraphedeliste"/>
        <w:ind w:left="562" w:hanging="562"/>
      </w:pPr>
      <w:r w:rsidRPr="00F410D6">
        <w:t xml:space="preserve">The use of the budget for </w:t>
      </w:r>
      <w:r w:rsidR="007B41E5">
        <w:t>‘</w:t>
      </w:r>
      <w:r w:rsidRPr="00F410D6">
        <w:t>other functions of the Committee</w:t>
      </w:r>
      <w:r w:rsidR="007B41E5">
        <w:t>’</w:t>
      </w:r>
      <w:r w:rsidRPr="00F410D6">
        <w:t xml:space="preserve"> (</w:t>
      </w:r>
      <w:r w:rsidRPr="008E47F0">
        <w:rPr>
          <w:b/>
        </w:rPr>
        <w:t>budget line</w:t>
      </w:r>
      <w:r w:rsidR="00FA2DB2">
        <w:rPr>
          <w:b/>
        </w:rPr>
        <w:t xml:space="preserve"> </w:t>
      </w:r>
      <w:r w:rsidRPr="008E47F0">
        <w:rPr>
          <w:b/>
        </w:rPr>
        <w:t>3</w:t>
      </w:r>
      <w:r w:rsidR="001A4230" w:rsidRPr="001A4230">
        <w:rPr>
          <w:bCs/>
        </w:rPr>
        <w:t>; 20.00%</w:t>
      </w:r>
      <w:r w:rsidRPr="001A4230">
        <w:rPr>
          <w:bCs/>
        </w:rPr>
        <w:t>)</w:t>
      </w:r>
      <w:r w:rsidRPr="00F410D6">
        <w:t xml:space="preserve"> </w:t>
      </w:r>
      <w:r w:rsidR="00152064" w:rsidRPr="00152064">
        <w:t>wa</w:t>
      </w:r>
      <w:r w:rsidRPr="00152064">
        <w:t>s</w:t>
      </w:r>
      <w:r w:rsidRPr="00F410D6">
        <w:t xml:space="preserve"> decided by the </w:t>
      </w:r>
      <w:r w:rsidRPr="008E47F0">
        <w:t>Bureau on the basis of specific proposals prepared by the Secretariat</w:t>
      </w:r>
      <w:r w:rsidR="00C611F8">
        <w:t xml:space="preserve"> for the 2018</w:t>
      </w:r>
      <w:r w:rsidR="00495A6C">
        <w:t>–</w:t>
      </w:r>
      <w:r w:rsidR="00C611F8">
        <w:t>2019 biennium</w:t>
      </w:r>
      <w:r w:rsidRPr="008E47F0">
        <w:t xml:space="preserve"> (</w:t>
      </w:r>
      <w:hyperlink r:id="rId17" w:history="1">
        <w:r w:rsidRPr="008E47F0">
          <w:rPr>
            <w:rStyle w:val="Lienhypertexte"/>
          </w:rPr>
          <w:t>Decision 12.COM 7</w:t>
        </w:r>
      </w:hyperlink>
      <w:r w:rsidRPr="008E47F0">
        <w:t xml:space="preserve">). According to the plan approved by the Bureau in its </w:t>
      </w:r>
      <w:hyperlink r:id="rId18" w:history="1">
        <w:r w:rsidRPr="008E47F0">
          <w:rPr>
            <w:rStyle w:val="Lienhypertexte"/>
          </w:rPr>
          <w:t>Decision 13.COM 2.BUR 3</w:t>
        </w:r>
      </w:hyperlink>
      <w:r w:rsidRPr="008E47F0">
        <w:t xml:space="preserve">, these funds were dedicated to: capacity building and guidance on safeguarding measures and good practices (36%); awareness raising and outreach (27%); knowledge-management services (20%); and </w:t>
      </w:r>
      <w:r>
        <w:t xml:space="preserve">the </w:t>
      </w:r>
      <w:r w:rsidRPr="008E47F0">
        <w:t xml:space="preserve">integration of intangible cultural heritage into development plans, policies and programmes (17%). </w:t>
      </w:r>
      <w:r w:rsidR="001A4230">
        <w:t>For the 2018</w:t>
      </w:r>
      <w:r w:rsidR="00495A6C">
        <w:t>–</w:t>
      </w:r>
      <w:r w:rsidR="001A4230">
        <w:t xml:space="preserve">2019 biennium, </w:t>
      </w:r>
      <w:r w:rsidR="00FF2D35">
        <w:t>91</w:t>
      </w:r>
      <w:r w:rsidRPr="008E47F0">
        <w:t>.</w:t>
      </w:r>
      <w:r w:rsidR="00FF2D35">
        <w:t>7</w:t>
      </w:r>
      <w:r w:rsidRPr="008E47F0">
        <w:t xml:space="preserve">% of the funds approved were </w:t>
      </w:r>
      <w:r w:rsidR="00C611F8">
        <w:t xml:space="preserve">spent and </w:t>
      </w:r>
      <w:r w:rsidRPr="008E47F0">
        <w:t xml:space="preserve">obligated as of </w:t>
      </w:r>
      <w:r w:rsidR="00FF2D35">
        <w:t xml:space="preserve">31 December </w:t>
      </w:r>
      <w:r w:rsidRPr="008E47F0">
        <w:t>2019</w:t>
      </w:r>
      <w:r w:rsidR="00371A22">
        <w:t>. Th</w:t>
      </w:r>
      <w:r w:rsidR="00822BF1">
        <w:t>is</w:t>
      </w:r>
      <w:r w:rsidR="00371A22">
        <w:t xml:space="preserve"> high </w:t>
      </w:r>
      <w:r w:rsidR="00EA677C">
        <w:t xml:space="preserve">expenditure rate </w:t>
      </w:r>
      <w:r w:rsidR="00371A22">
        <w:t xml:space="preserve">is maintained compared to the previous </w:t>
      </w:r>
      <w:r w:rsidR="00EA677C">
        <w:t>biennium</w:t>
      </w:r>
      <w:r w:rsidR="00371A22">
        <w:t xml:space="preserve"> (92.8%)</w:t>
      </w:r>
      <w:r w:rsidR="00EA677C" w:rsidRPr="00EA677C">
        <w:t>.</w:t>
      </w:r>
      <w:r w:rsidR="00EA677C">
        <w:t xml:space="preserve"> </w:t>
      </w:r>
      <w:r w:rsidR="00C611F8">
        <w:t>More</w:t>
      </w:r>
      <w:r w:rsidR="00C611F8" w:rsidRPr="00F410D6">
        <w:t xml:space="preserve"> detail</w:t>
      </w:r>
      <w:r w:rsidR="00C611F8">
        <w:t>s</w:t>
      </w:r>
      <w:r w:rsidR="00C611F8" w:rsidRPr="00F410D6">
        <w:t xml:space="preserve"> on the progress</w:t>
      </w:r>
      <w:r w:rsidR="00C611F8">
        <w:t xml:space="preserve"> made in</w:t>
      </w:r>
      <w:r w:rsidR="00C611F8" w:rsidRPr="00F410D6">
        <w:t xml:space="preserve"> </w:t>
      </w:r>
      <w:r>
        <w:t xml:space="preserve">the </w:t>
      </w:r>
      <w:r w:rsidRPr="008E47F0">
        <w:t>implementation of these funds can be found in</w:t>
      </w:r>
      <w:r w:rsidR="00152064">
        <w:t xml:space="preserve"> </w:t>
      </w:r>
      <w:hyperlink r:id="rId19" w:history="1">
        <w:r w:rsidR="00A022EB">
          <w:rPr>
            <w:rStyle w:val="Lienhypertexte"/>
          </w:rPr>
          <w:t>d</w:t>
        </w:r>
        <w:r w:rsidR="00152064" w:rsidRPr="004052CA">
          <w:rPr>
            <w:rStyle w:val="Lienhypertexte"/>
          </w:rPr>
          <w:t xml:space="preserve">ocument </w:t>
        </w:r>
        <w:r w:rsidR="00233509" w:rsidRPr="004052CA">
          <w:rPr>
            <w:rStyle w:val="Lienhypertexte"/>
          </w:rPr>
          <w:t>LHE</w:t>
        </w:r>
        <w:r w:rsidR="00152064" w:rsidRPr="004052CA">
          <w:rPr>
            <w:rStyle w:val="Lienhypertexte"/>
          </w:rPr>
          <w:t>/20/8.GA/6</w:t>
        </w:r>
      </w:hyperlink>
      <w:r w:rsidR="00152064">
        <w:t xml:space="preserve"> </w:t>
      </w:r>
      <w:r w:rsidR="007B41E5">
        <w:t>‘</w:t>
      </w:r>
      <w:r w:rsidRPr="007B41E5">
        <w:t xml:space="preserve">Report </w:t>
      </w:r>
      <w:r w:rsidR="00152064" w:rsidRPr="007B41E5">
        <w:t>of</w:t>
      </w:r>
      <w:r w:rsidRPr="007B41E5">
        <w:t xml:space="preserve"> the Secretariat on its activities</w:t>
      </w:r>
      <w:r w:rsidR="007B41E5">
        <w:t>’</w:t>
      </w:r>
      <w:r w:rsidRPr="007B41E5">
        <w:t>.</w:t>
      </w:r>
    </w:p>
    <w:p w14:paraId="6E304C05" w14:textId="66557557" w:rsidR="006C1111" w:rsidRPr="009C5C23" w:rsidRDefault="00EE1372" w:rsidP="000F3504">
      <w:pPr>
        <w:pStyle w:val="Paragraphedeliste"/>
        <w:ind w:left="562" w:hanging="562"/>
        <w:rPr>
          <w:rFonts w:cs="Times New Roman"/>
        </w:rPr>
      </w:pPr>
      <w:r w:rsidRPr="00F410D6">
        <w:t>Following the Internal Oversight Service’s recommendation in its audit of the working methods of the culture conventions (</w:t>
      </w:r>
      <w:hyperlink r:id="rId20" w:history="1">
        <w:r w:rsidRPr="00F410D6">
          <w:rPr>
            <w:rStyle w:val="Lienhypertexte"/>
          </w:rPr>
          <w:t>IOS/AUD/2013/06</w:t>
        </w:r>
      </w:hyperlink>
      <w:r w:rsidRPr="00F410D6">
        <w:t>), the Committee requested t</w:t>
      </w:r>
      <w:r w:rsidR="005A4282">
        <w:t>hat</w:t>
      </w:r>
      <w:r w:rsidRPr="00F410D6">
        <w:t xml:space="preserve"> the Secretariat</w:t>
      </w:r>
      <w:r w:rsidR="002D4649">
        <w:t xml:space="preserve"> </w:t>
      </w:r>
      <w:r w:rsidRPr="00F410D6">
        <w:t>apply the cost recovery policy consistently when using the resources of the Fund</w:t>
      </w:r>
      <w:r w:rsidR="002D4649">
        <w:t xml:space="preserve"> (</w:t>
      </w:r>
      <w:hyperlink r:id="rId21" w:history="1">
        <w:r w:rsidR="002D4649" w:rsidRPr="00F410D6">
          <w:rPr>
            <w:rStyle w:val="Lienhypertexte"/>
          </w:rPr>
          <w:t>Decision</w:t>
        </w:r>
        <w:r w:rsidR="00DD38A9">
          <w:rPr>
            <w:rStyle w:val="Lienhypertexte"/>
          </w:rPr>
          <w:t> </w:t>
        </w:r>
        <w:r w:rsidR="002D4649" w:rsidRPr="00F410D6">
          <w:rPr>
            <w:rStyle w:val="Lienhypertexte"/>
          </w:rPr>
          <w:t>8.COM 11</w:t>
        </w:r>
      </w:hyperlink>
      <w:r w:rsidR="002D4649">
        <w:t>)</w:t>
      </w:r>
      <w:r w:rsidRPr="00F410D6">
        <w:t>. Consequently, and as provided in Article</w:t>
      </w:r>
      <w:r w:rsidR="00FA2DB2">
        <w:t xml:space="preserve"> </w:t>
      </w:r>
      <w:r w:rsidRPr="00F410D6">
        <w:t>5.2 of the Financial Regulations</w:t>
      </w:r>
      <w:r w:rsidR="005A4282">
        <w:t xml:space="preserve"> of the Fund</w:t>
      </w:r>
      <w:r w:rsidRPr="00F410D6">
        <w:t>, budget lines 1 to 3 were charged with direct expenses related to the</w:t>
      </w:r>
      <w:r w:rsidR="001A378D">
        <w:t>ir</w:t>
      </w:r>
      <w:r w:rsidRPr="00F410D6">
        <w:t xml:space="preserve"> implementation</w:t>
      </w:r>
      <w:r w:rsidRPr="009C5C23">
        <w:t>.</w:t>
      </w:r>
    </w:p>
    <w:p w14:paraId="654E3369" w14:textId="3B97EDE1" w:rsidR="00594E83" w:rsidRPr="002318D6" w:rsidRDefault="00594E83" w:rsidP="000F3504">
      <w:pPr>
        <w:pStyle w:val="Paragraphedeliste"/>
        <w:ind w:left="562" w:hanging="562"/>
      </w:pPr>
      <w:r w:rsidRPr="00594E83">
        <w:rPr>
          <w:b/>
          <w:bCs/>
        </w:rPr>
        <w:t>Budget line</w:t>
      </w:r>
      <w:r w:rsidR="00FA2DB2">
        <w:rPr>
          <w:b/>
          <w:bCs/>
        </w:rPr>
        <w:t xml:space="preserve"> </w:t>
      </w:r>
      <w:r w:rsidRPr="00594E83">
        <w:rPr>
          <w:b/>
          <w:bCs/>
        </w:rPr>
        <w:t>4</w:t>
      </w:r>
      <w:r w:rsidR="001A4230">
        <w:rPr>
          <w:b/>
          <w:bCs/>
        </w:rPr>
        <w:t xml:space="preserve"> </w:t>
      </w:r>
      <w:r w:rsidR="001A4230" w:rsidRPr="001A4230">
        <w:t>(</w:t>
      </w:r>
      <w:r w:rsidR="00915138">
        <w:t>1.71</w:t>
      </w:r>
      <w:r w:rsidR="001A4230" w:rsidRPr="001A4230">
        <w:t>%)</w:t>
      </w:r>
      <w:r w:rsidRPr="001A4230">
        <w:t xml:space="preserve">, </w:t>
      </w:r>
      <w:r>
        <w:t xml:space="preserve">which </w:t>
      </w:r>
      <w:r w:rsidR="00464A59">
        <w:t>was</w:t>
      </w:r>
      <w:r>
        <w:t xml:space="preserve"> used to finance the participation </w:t>
      </w:r>
      <w:r w:rsidRPr="00F30D4C">
        <w:t xml:space="preserve">of </w:t>
      </w:r>
      <w:bookmarkStart w:id="1" w:name="_Hlk40431983"/>
      <w:r w:rsidR="00AF48CA" w:rsidRPr="00F30D4C">
        <w:t xml:space="preserve">thirty-five </w:t>
      </w:r>
      <w:r w:rsidRPr="00F30D4C">
        <w:t>experts representing developing States Members of the Committee, its Bureau and subsidiary</w:t>
      </w:r>
      <w:r w:rsidRPr="002318D6">
        <w:t xml:space="preserve"> bodies in its sessions, </w:t>
      </w:r>
      <w:bookmarkEnd w:id="1"/>
      <w:r w:rsidR="00B5544D">
        <w:t xml:space="preserve">reached </w:t>
      </w:r>
      <w:r w:rsidRPr="002318D6">
        <w:t xml:space="preserve">an expenditure rate of </w:t>
      </w:r>
      <w:r>
        <w:t>97.8</w:t>
      </w:r>
      <w:r w:rsidRPr="002318D6">
        <w:t>%</w:t>
      </w:r>
      <w:r>
        <w:t xml:space="preserve">, </w:t>
      </w:r>
      <w:r w:rsidR="00B5544D">
        <w:t xml:space="preserve">representing </w:t>
      </w:r>
      <w:r w:rsidRPr="00053504">
        <w:t xml:space="preserve">a </w:t>
      </w:r>
      <w:r w:rsidR="0093782E">
        <w:t>39</w:t>
      </w:r>
      <w:r w:rsidRPr="00053504">
        <w:t xml:space="preserve">% increase compared </w:t>
      </w:r>
      <w:r w:rsidR="00504E1C">
        <w:t xml:space="preserve">to </w:t>
      </w:r>
      <w:r w:rsidRPr="00053504">
        <w:t>the previous biennium.</w:t>
      </w:r>
    </w:p>
    <w:p w14:paraId="1994F07E" w14:textId="290721C5" w:rsidR="00504E1C" w:rsidRPr="00F30D4C" w:rsidRDefault="00504E1C" w:rsidP="000F3504">
      <w:pPr>
        <w:pStyle w:val="Paragraphedeliste"/>
        <w:ind w:left="562" w:hanging="562"/>
      </w:pPr>
      <w:r w:rsidRPr="00F30D4C">
        <w:t xml:space="preserve">The </w:t>
      </w:r>
      <w:r w:rsidR="00B35FB9" w:rsidRPr="00F30D4C">
        <w:t xml:space="preserve">expenditure rate of </w:t>
      </w:r>
      <w:r w:rsidR="00B35FB9" w:rsidRPr="00F30D4C">
        <w:rPr>
          <w:b/>
        </w:rPr>
        <w:t>budget line</w:t>
      </w:r>
      <w:r w:rsidR="00FA2DB2" w:rsidRPr="00F30D4C">
        <w:rPr>
          <w:b/>
        </w:rPr>
        <w:t xml:space="preserve"> </w:t>
      </w:r>
      <w:r w:rsidR="00B35FB9" w:rsidRPr="00F30D4C">
        <w:rPr>
          <w:b/>
        </w:rPr>
        <w:t>5</w:t>
      </w:r>
      <w:r w:rsidR="00B35FB9" w:rsidRPr="00F30D4C">
        <w:t xml:space="preserve"> </w:t>
      </w:r>
      <w:r w:rsidR="001A4230">
        <w:t>(</w:t>
      </w:r>
      <w:r w:rsidR="00915138">
        <w:t>4.06</w:t>
      </w:r>
      <w:r w:rsidR="001A4230">
        <w:t xml:space="preserve">%) </w:t>
      </w:r>
      <w:r w:rsidR="00444DA2" w:rsidRPr="00F30D4C">
        <w:t xml:space="preserve">reached </w:t>
      </w:r>
      <w:r w:rsidRPr="00F30D4C">
        <w:t>9</w:t>
      </w:r>
      <w:r w:rsidR="00886564" w:rsidRPr="00F30D4C">
        <w:t>4.8</w:t>
      </w:r>
      <w:r w:rsidRPr="00F30D4C">
        <w:t>%</w:t>
      </w:r>
      <w:r w:rsidR="00444DA2" w:rsidRPr="00F30D4C">
        <w:t xml:space="preserve">, corresponding to the </w:t>
      </w:r>
      <w:r w:rsidR="00B35FB9" w:rsidRPr="00F30D4C">
        <w:t xml:space="preserve">participation costs of </w:t>
      </w:r>
      <w:r w:rsidR="00F30D4C" w:rsidRPr="00F30D4C">
        <w:t>five</w:t>
      </w:r>
      <w:r w:rsidR="00E3515D" w:rsidRPr="00F30D4C">
        <w:t xml:space="preserve"> </w:t>
      </w:r>
      <w:r w:rsidR="00B35FB9" w:rsidRPr="00F30D4C">
        <w:t>eligible experts from developing States Parties non-members of the Committee serving on the Evaluation Body in 201</w:t>
      </w:r>
      <w:r w:rsidRPr="00F30D4C">
        <w:t>8</w:t>
      </w:r>
      <w:r w:rsidR="00B35FB9" w:rsidRPr="00F30D4C">
        <w:t xml:space="preserve"> and 201</w:t>
      </w:r>
      <w:r w:rsidRPr="00F30D4C">
        <w:t xml:space="preserve">9 </w:t>
      </w:r>
      <w:r w:rsidR="00B35FB9" w:rsidRPr="00F30D4C">
        <w:t xml:space="preserve">and </w:t>
      </w:r>
      <w:bookmarkStart w:id="2" w:name="_Hlk40432162"/>
      <w:r w:rsidR="00B35FB9" w:rsidRPr="00F30D4C">
        <w:t xml:space="preserve">the participation costs of </w:t>
      </w:r>
      <w:bookmarkStart w:id="3" w:name="_Hlk40432086"/>
      <w:r w:rsidR="00E3515D" w:rsidRPr="00F30D4C">
        <w:t>eighty-</w:t>
      </w:r>
      <w:r w:rsidR="00F30D4C" w:rsidRPr="00F30D4C">
        <w:t>two</w:t>
      </w:r>
      <w:r w:rsidR="00E3515D" w:rsidRPr="00F30D4C">
        <w:t xml:space="preserve"> </w:t>
      </w:r>
      <w:r w:rsidR="00B35FB9" w:rsidRPr="00F30D4C">
        <w:t xml:space="preserve">experts in the </w:t>
      </w:r>
      <w:r w:rsidRPr="00F30D4C">
        <w:t xml:space="preserve">thirteenth </w:t>
      </w:r>
      <w:r w:rsidR="00CE24A5" w:rsidRPr="00F30D4C">
        <w:t>and</w:t>
      </w:r>
      <w:r w:rsidRPr="00F30D4C">
        <w:t xml:space="preserve"> fourteenth </w:t>
      </w:r>
      <w:r w:rsidR="00B35FB9" w:rsidRPr="00F30D4C">
        <w:t>session</w:t>
      </w:r>
      <w:r w:rsidR="00CE24A5" w:rsidRPr="00F30D4C">
        <w:t>s</w:t>
      </w:r>
      <w:r w:rsidR="00B35FB9" w:rsidRPr="00F30D4C">
        <w:t xml:space="preserve"> of the Committee.</w:t>
      </w:r>
      <w:bookmarkEnd w:id="2"/>
      <w:bookmarkEnd w:id="3"/>
    </w:p>
    <w:p w14:paraId="120A054A" w14:textId="2342312C" w:rsidR="00B35FB9" w:rsidRDefault="00B35FB9" w:rsidP="000F3504">
      <w:pPr>
        <w:pStyle w:val="Paragraphedeliste"/>
        <w:tabs>
          <w:tab w:val="clear" w:pos="567"/>
        </w:tabs>
        <w:ind w:left="562" w:hanging="562"/>
      </w:pPr>
      <w:bookmarkStart w:id="4" w:name="_Hlk41491573"/>
      <w:r w:rsidRPr="009C5C23">
        <w:rPr>
          <w:b/>
        </w:rPr>
        <w:t xml:space="preserve">Budget </w:t>
      </w:r>
      <w:r w:rsidR="00444DA2">
        <w:rPr>
          <w:b/>
        </w:rPr>
        <w:t>l</w:t>
      </w:r>
      <w:r w:rsidRPr="009C5C23">
        <w:rPr>
          <w:b/>
        </w:rPr>
        <w:t>ine</w:t>
      </w:r>
      <w:r w:rsidR="00FA2DB2">
        <w:rPr>
          <w:b/>
        </w:rPr>
        <w:t xml:space="preserve"> </w:t>
      </w:r>
      <w:r w:rsidRPr="009C5C23">
        <w:rPr>
          <w:b/>
        </w:rPr>
        <w:t>6</w:t>
      </w:r>
      <w:r w:rsidRPr="009C5C23">
        <w:t xml:space="preserve"> </w:t>
      </w:r>
      <w:r w:rsidR="001A4230">
        <w:t>(</w:t>
      </w:r>
      <w:r w:rsidR="00915138">
        <w:t>3.48</w:t>
      </w:r>
      <w:r w:rsidR="001A4230">
        <w:t xml:space="preserve">%) </w:t>
      </w:r>
      <w:r w:rsidR="00444DA2">
        <w:t>r</w:t>
      </w:r>
      <w:r w:rsidRPr="009C5C23">
        <w:t>eflects the participation costs of the six accredited non-governmental organizations (NGOs) serving on the Evaluation Body in 201</w:t>
      </w:r>
      <w:r w:rsidR="00444DA2">
        <w:t>8</w:t>
      </w:r>
      <w:r w:rsidRPr="009C5C23">
        <w:t xml:space="preserve"> and 201</w:t>
      </w:r>
      <w:r w:rsidR="00444DA2">
        <w:t>9</w:t>
      </w:r>
      <w:r w:rsidRPr="009C5C23">
        <w:t xml:space="preserve"> and the participation of </w:t>
      </w:r>
      <w:r w:rsidR="00AF48CA">
        <w:t xml:space="preserve">twenty-six </w:t>
      </w:r>
      <w:bookmarkStart w:id="5" w:name="_Hlk40432306"/>
      <w:r w:rsidRPr="009C5C23">
        <w:t xml:space="preserve">NGOs in the </w:t>
      </w:r>
      <w:r w:rsidR="00444DA2" w:rsidRPr="002318D6">
        <w:t xml:space="preserve">thirteenth </w:t>
      </w:r>
      <w:r w:rsidR="00E3515D">
        <w:t xml:space="preserve">session </w:t>
      </w:r>
      <w:r w:rsidR="00444DA2" w:rsidRPr="009C5C23">
        <w:t>and</w:t>
      </w:r>
      <w:r w:rsidR="00AF48CA">
        <w:t xml:space="preserve"> twenty-five NGOs in the </w:t>
      </w:r>
      <w:r w:rsidR="00444DA2">
        <w:t xml:space="preserve">fourteenth </w:t>
      </w:r>
      <w:r w:rsidR="00444DA2" w:rsidRPr="009C5C23">
        <w:t>session</w:t>
      </w:r>
      <w:r w:rsidRPr="009C5C23">
        <w:t xml:space="preserve"> of the Committee</w:t>
      </w:r>
      <w:bookmarkEnd w:id="5"/>
      <w:r w:rsidR="00AF48CA">
        <w:t xml:space="preserve"> respectively</w:t>
      </w:r>
      <w:bookmarkEnd w:id="4"/>
      <w:r w:rsidR="00CE24A5" w:rsidRPr="009C5C23">
        <w:t>.</w:t>
      </w:r>
      <w:r w:rsidR="00444DA2" w:rsidRPr="00444DA2">
        <w:t xml:space="preserve"> </w:t>
      </w:r>
      <w:r w:rsidR="00444DA2">
        <w:t>The expenditure rate of this budget line reached 91</w:t>
      </w:r>
      <w:r w:rsidR="00886564">
        <w:t>.</w:t>
      </w:r>
      <w:r w:rsidR="00444DA2">
        <w:t>1</w:t>
      </w:r>
      <w:r w:rsidR="00444DA2" w:rsidRPr="009C5C23">
        <w:t>%</w:t>
      </w:r>
      <w:r w:rsidR="00444DA2" w:rsidRPr="002318D6">
        <w:t>.</w:t>
      </w:r>
    </w:p>
    <w:p w14:paraId="2E9300EF" w14:textId="1052EEC4" w:rsidR="00E3515D" w:rsidRPr="009C5C23" w:rsidRDefault="00822BF1" w:rsidP="000F3504">
      <w:pPr>
        <w:pStyle w:val="Paragraphedeliste"/>
        <w:tabs>
          <w:tab w:val="clear" w:pos="567"/>
        </w:tabs>
        <w:ind w:left="562" w:hanging="562"/>
      </w:pPr>
      <w:r>
        <w:t xml:space="preserve">In line with </w:t>
      </w:r>
      <w:hyperlink r:id="rId22" w:history="1">
        <w:r w:rsidRPr="00822BF1">
          <w:rPr>
            <w:rStyle w:val="Lienhypertexte"/>
          </w:rPr>
          <w:t>Resolution 7.GA 8</w:t>
        </w:r>
      </w:hyperlink>
      <w:r>
        <w:t xml:space="preserve"> and a</w:t>
      </w:r>
      <w:r w:rsidR="00F1369C">
        <w:t xml:space="preserve">s described in </w:t>
      </w:r>
      <w:hyperlink r:id="rId23" w:history="1">
        <w:r w:rsidR="00A022EB">
          <w:rPr>
            <w:rStyle w:val="Lienhypertexte"/>
          </w:rPr>
          <w:t>d</w:t>
        </w:r>
        <w:r w:rsidR="00F1369C" w:rsidRPr="003B4229">
          <w:rPr>
            <w:rStyle w:val="Lienhypertexte"/>
          </w:rPr>
          <w:t>ocument LHE/20/8.GA/7</w:t>
        </w:r>
      </w:hyperlink>
      <w:r w:rsidR="00F1369C">
        <w:t>, two budget transfers were carried out in 2019, respectively from</w:t>
      </w:r>
      <w:r w:rsidR="00F1369C" w:rsidRPr="00F1369C">
        <w:t xml:space="preserve"> budget line 4 to budget line 5</w:t>
      </w:r>
      <w:r w:rsidR="00F1369C">
        <w:t xml:space="preserve"> (</w:t>
      </w:r>
      <w:r w:rsidR="00F1369C" w:rsidRPr="00F1369C">
        <w:t>US$24,866</w:t>
      </w:r>
      <w:r w:rsidR="00F1369C">
        <w:t xml:space="preserve">) and from </w:t>
      </w:r>
      <w:r w:rsidR="00F1369C" w:rsidRPr="00F1369C">
        <w:t>budget line 6 to budget line 5</w:t>
      </w:r>
      <w:r w:rsidR="00F1369C">
        <w:t xml:space="preserve"> (</w:t>
      </w:r>
      <w:r w:rsidR="00F1369C" w:rsidRPr="00F1369C">
        <w:t>US$45,000</w:t>
      </w:r>
      <w:r w:rsidR="00F1369C">
        <w:t xml:space="preserve">). </w:t>
      </w:r>
      <w:r w:rsidR="00495A6C">
        <w:t>Compared with the 2016–</w:t>
      </w:r>
      <w:r w:rsidR="00495A6C" w:rsidRPr="0089182A">
        <w:t>2017 biennium</w:t>
      </w:r>
      <w:r w:rsidR="00495A6C">
        <w:t>,</w:t>
      </w:r>
      <w:r w:rsidR="00495A6C" w:rsidRPr="0089182A">
        <w:t xml:space="preserve"> </w:t>
      </w:r>
      <w:r w:rsidR="00495A6C">
        <w:t xml:space="preserve">these transfers allowed an additional twenty-nine </w:t>
      </w:r>
      <w:r w:rsidR="00495A6C" w:rsidRPr="0089182A">
        <w:t>experts</w:t>
      </w:r>
      <w:r w:rsidR="00495A6C">
        <w:t xml:space="preserve"> </w:t>
      </w:r>
      <w:r w:rsidR="00495A6C" w:rsidRPr="0089182A">
        <w:t>from</w:t>
      </w:r>
      <w:r w:rsidR="00495A6C">
        <w:t xml:space="preserve"> </w:t>
      </w:r>
      <w:r w:rsidR="00495A6C" w:rsidRPr="0089182A">
        <w:t>developing States Parties non-members of the Committee</w:t>
      </w:r>
      <w:r w:rsidR="00495A6C">
        <w:t xml:space="preserve"> to participate in the sessions of the Committee (budget line 5).</w:t>
      </w:r>
      <w:bookmarkStart w:id="6" w:name="_GoBack"/>
      <w:bookmarkEnd w:id="6"/>
      <w:r w:rsidR="00084BEF">
        <w:t xml:space="preserve"> Meanwhile,</w:t>
      </w:r>
      <w:r w:rsidR="0089182A">
        <w:t xml:space="preserve"> </w:t>
      </w:r>
      <w:r w:rsidR="00084BEF">
        <w:t xml:space="preserve">the Fund could </w:t>
      </w:r>
      <w:r w:rsidR="0089182A">
        <w:t xml:space="preserve">still respond positively to an </w:t>
      </w:r>
      <w:r w:rsidR="00F1369C">
        <w:t xml:space="preserve">increasing number of </w:t>
      </w:r>
      <w:r w:rsidR="0089182A">
        <w:t xml:space="preserve">requests to cover the participation of </w:t>
      </w:r>
      <w:r w:rsidR="00F1369C">
        <w:t>experts</w:t>
      </w:r>
      <w:r w:rsidR="00F1369C" w:rsidRPr="00F1369C">
        <w:t xml:space="preserve"> representing developing States Members of the Committee, its Bureau and subsidiary </w:t>
      </w:r>
      <w:r w:rsidR="00F1369C" w:rsidRPr="004F3FF0">
        <w:t>bodies (</w:t>
      </w:r>
      <w:r w:rsidR="00084BEF">
        <w:t>budget line 4</w:t>
      </w:r>
      <w:r w:rsidR="00F1369C">
        <w:t xml:space="preserve">) and </w:t>
      </w:r>
      <w:r w:rsidR="00084BEF">
        <w:t xml:space="preserve">of </w:t>
      </w:r>
      <w:r w:rsidR="00F1369C">
        <w:t>accredited NGOs (</w:t>
      </w:r>
      <w:r w:rsidR="00AF5CDD">
        <w:t>budget line 6</w:t>
      </w:r>
      <w:r w:rsidR="00F1369C">
        <w:t>).</w:t>
      </w:r>
    </w:p>
    <w:p w14:paraId="6F85C9CB" w14:textId="67C1A500" w:rsidR="00886564" w:rsidRPr="00D140FF" w:rsidRDefault="00886564" w:rsidP="00055D27">
      <w:pPr>
        <w:pStyle w:val="Paragraphedeliste"/>
        <w:ind w:left="562" w:hanging="562"/>
      </w:pPr>
      <w:r w:rsidRPr="00886564">
        <w:rPr>
          <w:b/>
          <w:bCs/>
        </w:rPr>
        <w:t>Budget line</w:t>
      </w:r>
      <w:r w:rsidR="00FA2DB2">
        <w:rPr>
          <w:b/>
          <w:bCs/>
        </w:rPr>
        <w:t xml:space="preserve"> </w:t>
      </w:r>
      <w:r w:rsidRPr="00886564">
        <w:rPr>
          <w:b/>
          <w:bCs/>
        </w:rPr>
        <w:t>7</w:t>
      </w:r>
      <w:r w:rsidRPr="00EF4582">
        <w:t xml:space="preserve"> shows an </w:t>
      </w:r>
      <w:r>
        <w:t xml:space="preserve">expenditure </w:t>
      </w:r>
      <w:r w:rsidRPr="00EF4582">
        <w:t xml:space="preserve">rate of </w:t>
      </w:r>
      <w:r>
        <w:t>40</w:t>
      </w:r>
      <w:r w:rsidRPr="000B21E2">
        <w:t>.</w:t>
      </w:r>
      <w:r>
        <w:t>0%,</w:t>
      </w:r>
      <w:r w:rsidRPr="00EF4582">
        <w:t xml:space="preserve"> corresponding to the fees of </w:t>
      </w:r>
      <w:r w:rsidRPr="000B21E2">
        <w:t>the eligible members</w:t>
      </w:r>
      <w:r w:rsidRPr="00EF4582">
        <w:t xml:space="preserve"> of the </w:t>
      </w:r>
      <w:r w:rsidRPr="000B21E2">
        <w:t>Evaluation</w:t>
      </w:r>
      <w:r w:rsidRPr="00EF4582">
        <w:t xml:space="preserve"> Body</w:t>
      </w:r>
      <w:r w:rsidRPr="000B21E2">
        <w:t xml:space="preserve"> (</w:t>
      </w:r>
      <w:r w:rsidRPr="004A63B8">
        <w:t xml:space="preserve">nine in 2018 and </w:t>
      </w:r>
      <w:r w:rsidRPr="00B0731A">
        <w:t>eight in 2019) and the fees paid to the Chairperson and the Rapporteur of the Body for the additional tasks they perform. This rate remains relatively low due to the need to establish the contract of the members of the Evaluation Body at the beginning of the</w:t>
      </w:r>
      <w:r w:rsidR="00822BF1">
        <w:t xml:space="preserve"> </w:t>
      </w:r>
      <w:r w:rsidRPr="00B0731A">
        <w:t>evaluation cycle</w:t>
      </w:r>
      <w:r w:rsidR="00822BF1">
        <w:t>,</w:t>
      </w:r>
      <w:r w:rsidRPr="00B0731A">
        <w:t xml:space="preserve"> when only one fourth of the total budget is available.</w:t>
      </w:r>
    </w:p>
    <w:p w14:paraId="37503536" w14:textId="7DC477C4" w:rsidR="001F044D" w:rsidRPr="00F410D6" w:rsidRDefault="001F044D" w:rsidP="00275132">
      <w:pPr>
        <w:pStyle w:val="Default"/>
        <w:keepNext/>
        <w:numPr>
          <w:ilvl w:val="0"/>
          <w:numId w:val="32"/>
        </w:numPr>
        <w:spacing w:before="240" w:after="120"/>
        <w:ind w:left="567" w:hanging="567"/>
        <w:jc w:val="both"/>
        <w:rPr>
          <w:b/>
          <w:bCs/>
          <w:color w:val="auto"/>
          <w:sz w:val="22"/>
          <w:szCs w:val="22"/>
          <w:lang w:val="en-GB"/>
        </w:rPr>
      </w:pPr>
      <w:r w:rsidRPr="00F410D6">
        <w:rPr>
          <w:b/>
          <w:bCs/>
          <w:color w:val="auto"/>
          <w:sz w:val="22"/>
          <w:szCs w:val="22"/>
          <w:lang w:val="en-GB"/>
        </w:rPr>
        <w:t>Additional reports</w:t>
      </w:r>
    </w:p>
    <w:p w14:paraId="1C518EEF" w14:textId="1EC6EFE2" w:rsidR="003C374C" w:rsidRDefault="003C374C" w:rsidP="003C374C">
      <w:pPr>
        <w:pStyle w:val="Paragraphedeliste"/>
        <w:ind w:left="562" w:hanging="562"/>
      </w:pPr>
      <w:bookmarkStart w:id="7" w:name="_Hlk40432384"/>
      <w:r w:rsidRPr="00100F68">
        <w:rPr>
          <w:b/>
          <w:bCs/>
        </w:rPr>
        <w:t>Annex</w:t>
      </w:r>
      <w:r w:rsidR="00FA2DB2" w:rsidRPr="00100F68">
        <w:rPr>
          <w:b/>
          <w:bCs/>
        </w:rPr>
        <w:t xml:space="preserve"> </w:t>
      </w:r>
      <w:r w:rsidR="003E4E3D" w:rsidRPr="00100F68">
        <w:rPr>
          <w:b/>
          <w:bCs/>
        </w:rPr>
        <w:t>II</w:t>
      </w:r>
      <w:r w:rsidR="002B3D00">
        <w:rPr>
          <w:b/>
          <w:bCs/>
        </w:rPr>
        <w:t xml:space="preserve"> (a) </w:t>
      </w:r>
      <w:r w:rsidR="00811ECA">
        <w:t xml:space="preserve">of the present </w:t>
      </w:r>
      <w:r w:rsidR="00775E55">
        <w:t>document</w:t>
      </w:r>
      <w:r w:rsidR="0063188F" w:rsidRPr="00F410D6">
        <w:t xml:space="preserve"> </w:t>
      </w:r>
      <w:r w:rsidR="00811ECA">
        <w:t xml:space="preserve">contains </w:t>
      </w:r>
      <w:r w:rsidR="00E16F28" w:rsidRPr="00F410D6">
        <w:t xml:space="preserve">the list of voluntary supplementary contributions </w:t>
      </w:r>
      <w:r w:rsidR="00811ECA">
        <w:t xml:space="preserve">paid between </w:t>
      </w:r>
      <w:r w:rsidR="00B60DFE">
        <w:t>1</w:t>
      </w:r>
      <w:r w:rsidR="00FA2DB2">
        <w:t xml:space="preserve"> </w:t>
      </w:r>
      <w:r w:rsidR="00B60DFE">
        <w:t>January</w:t>
      </w:r>
      <w:r w:rsidR="00FA2DB2">
        <w:t xml:space="preserve"> </w:t>
      </w:r>
      <w:r w:rsidR="00B60DFE">
        <w:t>201</w:t>
      </w:r>
      <w:r w:rsidR="00811ECA">
        <w:t>8</w:t>
      </w:r>
      <w:r w:rsidR="00B60DFE">
        <w:t xml:space="preserve"> to 31</w:t>
      </w:r>
      <w:r w:rsidR="00FA2DB2">
        <w:t xml:space="preserve"> </w:t>
      </w:r>
      <w:r w:rsidR="00B60DFE">
        <w:t>December</w:t>
      </w:r>
      <w:r w:rsidR="00FA2DB2">
        <w:t xml:space="preserve"> </w:t>
      </w:r>
      <w:r w:rsidR="00B60DFE">
        <w:t>201</w:t>
      </w:r>
      <w:r w:rsidR="00811ECA">
        <w:t xml:space="preserve">9 for specific purposes, </w:t>
      </w:r>
      <w:r w:rsidR="00811ECA" w:rsidRPr="009D27C7">
        <w:t xml:space="preserve">as </w:t>
      </w:r>
      <w:r w:rsidR="00811ECA">
        <w:t>stipulated</w:t>
      </w:r>
      <w:r w:rsidR="00811ECA" w:rsidRPr="009D27C7">
        <w:t xml:space="preserve"> </w:t>
      </w:r>
      <w:r w:rsidR="00811ECA">
        <w:t>in</w:t>
      </w:r>
      <w:r w:rsidR="00811ECA" w:rsidRPr="009D27C7">
        <w:t xml:space="preserve"> </w:t>
      </w:r>
      <w:r w:rsidR="00811ECA" w:rsidRPr="009D27C7">
        <w:lastRenderedPageBreak/>
        <w:t>Article</w:t>
      </w:r>
      <w:r w:rsidR="00AF5CDD">
        <w:t> </w:t>
      </w:r>
      <w:r w:rsidR="00811ECA" w:rsidRPr="009D27C7">
        <w:t>25.5 of the Convention, following a decision of the Committee</w:t>
      </w:r>
      <w:r w:rsidR="00100F68">
        <w:t xml:space="preserve">. </w:t>
      </w:r>
      <w:r w:rsidR="00CF21E8">
        <w:rPr>
          <w:b/>
          <w:bCs/>
        </w:rPr>
        <w:t>Annex II (b)</w:t>
      </w:r>
      <w:r w:rsidR="00CF21E8">
        <w:t xml:space="preserve"> </w:t>
      </w:r>
      <w:r w:rsidR="00100F68">
        <w:t>lists</w:t>
      </w:r>
      <w:r w:rsidR="00CC619E" w:rsidRPr="003E4E3D">
        <w:t xml:space="preserve"> </w:t>
      </w:r>
      <w:r w:rsidR="002E3B93" w:rsidRPr="003E4E3D">
        <w:t xml:space="preserve">other forms of support </w:t>
      </w:r>
      <w:r w:rsidR="00943E22" w:rsidRPr="003E4E3D">
        <w:t xml:space="preserve">provided </w:t>
      </w:r>
      <w:r w:rsidR="002E3B93" w:rsidRPr="003E4E3D">
        <w:t>by State</w:t>
      </w:r>
      <w:r w:rsidR="00100F68">
        <w:t>s</w:t>
      </w:r>
      <w:r w:rsidR="002E3B93" w:rsidRPr="003E4E3D">
        <w:t xml:space="preserve"> Parties and other entities during the same reporting</w:t>
      </w:r>
      <w:r w:rsidR="002E3B93">
        <w:t xml:space="preserve"> period</w:t>
      </w:r>
      <w:r w:rsidR="00E16F28" w:rsidRPr="00F410D6">
        <w:t xml:space="preserve">. </w:t>
      </w:r>
      <w:r w:rsidR="00745B5E">
        <w:t>In conformity with</w:t>
      </w:r>
      <w:r w:rsidR="002E3B93" w:rsidRPr="00E73EEB">
        <w:t xml:space="preserve"> paragraph</w:t>
      </w:r>
      <w:r w:rsidR="00FA2DB2">
        <w:t xml:space="preserve"> </w:t>
      </w:r>
      <w:r w:rsidR="002E3B93" w:rsidRPr="00E73EEB">
        <w:t>77 of the Operational Directives</w:t>
      </w:r>
      <w:r w:rsidR="002E3B93">
        <w:t xml:space="preserve">, </w:t>
      </w:r>
      <w:hyperlink r:id="rId24" w:history="1">
        <w:r w:rsidR="002E3B93" w:rsidRPr="00AF5CDD">
          <w:rPr>
            <w:rStyle w:val="Lienhypertexte"/>
            <w:color w:val="auto"/>
            <w:u w:val="none"/>
          </w:rPr>
          <w:t xml:space="preserve">an updated </w:t>
        </w:r>
        <w:r w:rsidR="002E3B93" w:rsidRPr="000F3504">
          <w:rPr>
            <w:rStyle w:val="Lienhypertexte"/>
          </w:rPr>
          <w:t>list of donors</w:t>
        </w:r>
      </w:hyperlink>
      <w:r w:rsidR="002E3B93">
        <w:t xml:space="preserve"> </w:t>
      </w:r>
      <w:r w:rsidR="005A4282">
        <w:t>can be</w:t>
      </w:r>
      <w:r w:rsidR="002E3B93">
        <w:t xml:space="preserve"> found </w:t>
      </w:r>
      <w:r w:rsidR="002E3B93" w:rsidRPr="00E73EEB">
        <w:t>on the website of the Convention</w:t>
      </w:r>
      <w:r w:rsidR="006E21A0">
        <w:t>.</w:t>
      </w:r>
    </w:p>
    <w:p w14:paraId="7964914F" w14:textId="7884A7DB" w:rsidR="003C374C" w:rsidRPr="003C374C" w:rsidRDefault="00023505" w:rsidP="003C374C">
      <w:pPr>
        <w:pStyle w:val="Paragraphedeliste"/>
        <w:ind w:left="562" w:hanging="562"/>
      </w:pPr>
      <w:r w:rsidRPr="00100F68">
        <w:rPr>
          <w:b/>
          <w:bCs/>
        </w:rPr>
        <w:t>Annex</w:t>
      </w:r>
      <w:r w:rsidR="00FA2DB2" w:rsidRPr="00100F68">
        <w:rPr>
          <w:b/>
          <w:bCs/>
        </w:rPr>
        <w:t xml:space="preserve"> </w:t>
      </w:r>
      <w:r w:rsidR="003E4E3D" w:rsidRPr="00100F68">
        <w:rPr>
          <w:b/>
          <w:bCs/>
        </w:rPr>
        <w:t>III</w:t>
      </w:r>
      <w:r w:rsidR="003C374C" w:rsidRPr="003C374C">
        <w:t xml:space="preserve"> shows the total expenditure incurred for each </w:t>
      </w:r>
      <w:r w:rsidR="00174EB7">
        <w:t>specific activit</w:t>
      </w:r>
      <w:r w:rsidR="0014477D">
        <w:t>y</w:t>
      </w:r>
      <w:r w:rsidR="00174EB7">
        <w:t>/</w:t>
      </w:r>
      <w:r w:rsidR="003C374C" w:rsidRPr="003C374C">
        <w:t>project</w:t>
      </w:r>
      <w:r w:rsidR="00174EB7">
        <w:t xml:space="preserve"> approved by the Committee</w:t>
      </w:r>
      <w:r w:rsidR="003C374C" w:rsidRPr="003C374C">
        <w:t>, from its beginning until 3</w:t>
      </w:r>
      <w:r w:rsidR="003C374C">
        <w:t xml:space="preserve">1 December </w:t>
      </w:r>
      <w:r w:rsidR="003C374C" w:rsidRPr="003C374C">
        <w:t>2019.</w:t>
      </w:r>
    </w:p>
    <w:p w14:paraId="6FAA9A39" w14:textId="6B131313" w:rsidR="00C47D45" w:rsidRDefault="003C374C" w:rsidP="003C374C">
      <w:pPr>
        <w:pStyle w:val="Paragraphedeliste"/>
        <w:ind w:left="562" w:hanging="562"/>
      </w:pPr>
      <w:r w:rsidRPr="00100F68">
        <w:rPr>
          <w:b/>
          <w:bCs/>
        </w:rPr>
        <w:t>Annex</w:t>
      </w:r>
      <w:r w:rsidR="00FA2DB2" w:rsidRPr="00100F68">
        <w:rPr>
          <w:b/>
          <w:bCs/>
        </w:rPr>
        <w:t xml:space="preserve"> </w:t>
      </w:r>
      <w:r w:rsidRPr="00100F68">
        <w:rPr>
          <w:b/>
          <w:bCs/>
        </w:rPr>
        <w:t>IV</w:t>
      </w:r>
      <w:r w:rsidRPr="00E978E1">
        <w:t xml:space="preserve"> shows</w:t>
      </w:r>
      <w:r w:rsidRPr="0078543D">
        <w:t xml:space="preserve"> the forecasts, based on the Secretariat’s estimation, for the future use of the funds allocated to ongoing </w:t>
      </w:r>
      <w:r w:rsidR="00174EB7">
        <w:t>specific activities/</w:t>
      </w:r>
      <w:r w:rsidRPr="0078543D">
        <w:t xml:space="preserve">projects </w:t>
      </w:r>
      <w:r w:rsidR="00174EB7">
        <w:t>approved by the Committee</w:t>
      </w:r>
      <w:r w:rsidRPr="0078543D">
        <w:t>.</w:t>
      </w:r>
    </w:p>
    <w:bookmarkEnd w:id="7"/>
    <w:p w14:paraId="7AAB2383" w14:textId="127E490F" w:rsidR="003C374C" w:rsidRDefault="003C374C">
      <w:pPr>
        <w:spacing w:after="0"/>
        <w:rPr>
          <w:rFonts w:ascii="Arial" w:hAnsi="Arial" w:cs="Arial"/>
          <w:snapToGrid w:val="0"/>
          <w:szCs w:val="22"/>
          <w:lang w:eastAsia="en-US"/>
        </w:rPr>
      </w:pPr>
      <w:r>
        <w:br w:type="page"/>
      </w:r>
    </w:p>
    <w:p w14:paraId="7EEB7B08" w14:textId="77777777" w:rsidR="00C47D45" w:rsidRPr="00C47D45" w:rsidRDefault="00C47D45" w:rsidP="00C47D45">
      <w:pPr>
        <w:pStyle w:val="Paragraphedeliste"/>
        <w:numPr>
          <w:ilvl w:val="0"/>
          <w:numId w:val="0"/>
        </w:numPr>
        <w:jc w:val="center"/>
        <w:rPr>
          <w:b/>
          <w:u w:val="single"/>
        </w:rPr>
      </w:pPr>
      <w:r w:rsidRPr="00C47D45">
        <w:rPr>
          <w:b/>
          <w:u w:val="single"/>
        </w:rPr>
        <w:lastRenderedPageBreak/>
        <w:t>ANNEX I</w:t>
      </w:r>
    </w:p>
    <w:p w14:paraId="2ADBEBB3" w14:textId="01929C0E" w:rsidR="00AF1C32" w:rsidRPr="000B56F5" w:rsidRDefault="00DA53F5" w:rsidP="002023E2">
      <w:pPr>
        <w:pStyle w:val="Paragraphedeliste"/>
        <w:numPr>
          <w:ilvl w:val="0"/>
          <w:numId w:val="0"/>
        </w:numPr>
        <w:jc w:val="right"/>
        <w:rPr>
          <w:bCs/>
        </w:rPr>
      </w:pPr>
      <w:r w:rsidRPr="000B56F5">
        <w:rPr>
          <w:bCs/>
        </w:rPr>
        <w:t>Statement</w:t>
      </w:r>
      <w:r w:rsidR="002C1911">
        <w:rPr>
          <w:bCs/>
        </w:rPr>
        <w:t xml:space="preserve"> </w:t>
      </w:r>
      <w:r w:rsidRPr="000B56F5">
        <w:rPr>
          <w:bCs/>
        </w:rPr>
        <w:t>I</w:t>
      </w:r>
    </w:p>
    <w:p w14:paraId="6C94F654" w14:textId="679E0947" w:rsidR="007A519A" w:rsidRDefault="001F1441" w:rsidP="001F1441">
      <w:pPr>
        <w:pStyle w:val="Paragraphedeliste"/>
        <w:numPr>
          <w:ilvl w:val="0"/>
          <w:numId w:val="0"/>
        </w:numPr>
        <w:tabs>
          <w:tab w:val="left" w:pos="6237"/>
        </w:tabs>
        <w:jc w:val="center"/>
      </w:pPr>
      <w:r w:rsidRPr="001F1441">
        <w:rPr>
          <w:noProof/>
          <w:lang w:val="fr-FR" w:eastAsia="ja-JP"/>
        </w:rPr>
        <w:drawing>
          <wp:inline distT="0" distB="0" distL="0" distR="0" wp14:anchorId="370B0DBE" wp14:editId="4AA2BE75">
            <wp:extent cx="6120130" cy="52501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5250180"/>
                    </a:xfrm>
                    <a:prstGeom prst="rect">
                      <a:avLst/>
                    </a:prstGeom>
                    <a:noFill/>
                    <a:ln>
                      <a:noFill/>
                    </a:ln>
                  </pic:spPr>
                </pic:pic>
              </a:graphicData>
            </a:graphic>
          </wp:inline>
        </w:drawing>
      </w:r>
      <w:r w:rsidR="00DA53F5" w:rsidRPr="00F410D6">
        <w:br w:type="page"/>
      </w:r>
    </w:p>
    <w:p w14:paraId="3043C4E5" w14:textId="249E591F" w:rsidR="007A519A" w:rsidRDefault="007A519A" w:rsidP="005A4282">
      <w:pPr>
        <w:pStyle w:val="Paragraphedeliste"/>
        <w:numPr>
          <w:ilvl w:val="0"/>
          <w:numId w:val="0"/>
        </w:numPr>
        <w:tabs>
          <w:tab w:val="left" w:pos="6237"/>
        </w:tabs>
        <w:jc w:val="right"/>
      </w:pPr>
      <w:r>
        <w:lastRenderedPageBreak/>
        <w:t>Schedule 1.1</w:t>
      </w:r>
    </w:p>
    <w:p w14:paraId="69CDC2B7" w14:textId="35BBAD85" w:rsidR="001F1441" w:rsidRDefault="001F1441" w:rsidP="001F1441">
      <w:pPr>
        <w:pStyle w:val="Paragraphedeliste"/>
        <w:numPr>
          <w:ilvl w:val="0"/>
          <w:numId w:val="0"/>
        </w:numPr>
        <w:tabs>
          <w:tab w:val="left" w:pos="6237"/>
        </w:tabs>
        <w:jc w:val="center"/>
      </w:pPr>
      <w:r w:rsidRPr="001F1441">
        <w:rPr>
          <w:noProof/>
          <w:lang w:val="fr-FR" w:eastAsia="ja-JP"/>
        </w:rPr>
        <w:drawing>
          <wp:inline distT="0" distB="0" distL="0" distR="0" wp14:anchorId="5033EAE5" wp14:editId="0FFEE34D">
            <wp:extent cx="6120130" cy="7604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130" cy="7604125"/>
                    </a:xfrm>
                    <a:prstGeom prst="rect">
                      <a:avLst/>
                    </a:prstGeom>
                    <a:noFill/>
                    <a:ln>
                      <a:noFill/>
                    </a:ln>
                  </pic:spPr>
                </pic:pic>
              </a:graphicData>
            </a:graphic>
          </wp:inline>
        </w:drawing>
      </w:r>
    </w:p>
    <w:p w14:paraId="51EE0D5D" w14:textId="59A004C0" w:rsidR="00DA53F5" w:rsidRPr="000B56F5" w:rsidRDefault="00DA53F5" w:rsidP="005A4282">
      <w:pPr>
        <w:pStyle w:val="Paragraphedeliste"/>
        <w:numPr>
          <w:ilvl w:val="0"/>
          <w:numId w:val="0"/>
        </w:numPr>
        <w:tabs>
          <w:tab w:val="left" w:pos="6237"/>
        </w:tabs>
        <w:jc w:val="right"/>
        <w:rPr>
          <w:bCs/>
        </w:rPr>
      </w:pPr>
      <w:r w:rsidRPr="00F410D6">
        <w:br w:type="page"/>
      </w:r>
      <w:r w:rsidRPr="000B56F5">
        <w:rPr>
          <w:bCs/>
        </w:rPr>
        <w:lastRenderedPageBreak/>
        <w:t>Statement</w:t>
      </w:r>
      <w:r w:rsidR="002C1911">
        <w:rPr>
          <w:bCs/>
        </w:rPr>
        <w:t xml:space="preserve"> </w:t>
      </w:r>
      <w:r w:rsidRPr="000B56F5">
        <w:rPr>
          <w:bCs/>
        </w:rPr>
        <w:t>II</w:t>
      </w:r>
    </w:p>
    <w:p w14:paraId="348392BC" w14:textId="28BD6820" w:rsidR="005E715E" w:rsidRPr="000B56F5" w:rsidRDefault="001F1441" w:rsidP="00E97DAF">
      <w:pPr>
        <w:pStyle w:val="Paragraphedeliste"/>
        <w:numPr>
          <w:ilvl w:val="0"/>
          <w:numId w:val="0"/>
        </w:numPr>
        <w:jc w:val="right"/>
        <w:rPr>
          <w:bCs/>
        </w:rPr>
      </w:pPr>
      <w:r w:rsidRPr="001F1441">
        <w:rPr>
          <w:noProof/>
          <w:lang w:val="fr-FR" w:eastAsia="ja-JP"/>
        </w:rPr>
        <w:drawing>
          <wp:inline distT="0" distB="0" distL="0" distR="0" wp14:anchorId="368943B8" wp14:editId="381CC3B4">
            <wp:extent cx="6120130" cy="58572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5857240"/>
                    </a:xfrm>
                    <a:prstGeom prst="rect">
                      <a:avLst/>
                    </a:prstGeom>
                    <a:noFill/>
                    <a:ln>
                      <a:noFill/>
                    </a:ln>
                  </pic:spPr>
                </pic:pic>
              </a:graphicData>
            </a:graphic>
          </wp:inline>
        </w:drawing>
      </w:r>
      <w:r w:rsidR="00DA53F5" w:rsidRPr="00F410D6">
        <w:br w:type="page"/>
      </w:r>
      <w:r w:rsidR="00DA53F5" w:rsidRPr="000B56F5">
        <w:rPr>
          <w:bCs/>
        </w:rPr>
        <w:lastRenderedPageBreak/>
        <w:t>Statement</w:t>
      </w:r>
      <w:r w:rsidR="002C1911">
        <w:rPr>
          <w:bCs/>
        </w:rPr>
        <w:t xml:space="preserve"> </w:t>
      </w:r>
      <w:r w:rsidR="00DA53F5" w:rsidRPr="000B56F5">
        <w:rPr>
          <w:bCs/>
        </w:rPr>
        <w:t>III</w:t>
      </w:r>
    </w:p>
    <w:p w14:paraId="36A109FE" w14:textId="00D1242A" w:rsidR="00DD001E" w:rsidRPr="00F410D6" w:rsidRDefault="001F1441" w:rsidP="001C0176">
      <w:pPr>
        <w:pStyle w:val="Paragraphedeliste"/>
        <w:numPr>
          <w:ilvl w:val="0"/>
          <w:numId w:val="0"/>
        </w:numPr>
        <w:jc w:val="center"/>
      </w:pPr>
      <w:r w:rsidRPr="001F1441">
        <w:rPr>
          <w:noProof/>
          <w:lang w:val="fr-FR" w:eastAsia="ja-JP"/>
        </w:rPr>
        <w:drawing>
          <wp:inline distT="0" distB="0" distL="0" distR="0" wp14:anchorId="35B7F13E" wp14:editId="50EDF27C">
            <wp:extent cx="6120130" cy="6104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6104255"/>
                    </a:xfrm>
                    <a:prstGeom prst="rect">
                      <a:avLst/>
                    </a:prstGeom>
                    <a:noFill/>
                    <a:ln>
                      <a:noFill/>
                    </a:ln>
                  </pic:spPr>
                </pic:pic>
              </a:graphicData>
            </a:graphic>
          </wp:inline>
        </w:drawing>
      </w:r>
    </w:p>
    <w:p w14:paraId="5B092AFD" w14:textId="0A0BE3CF" w:rsidR="00C47D45" w:rsidRDefault="00DD001E" w:rsidP="000931F0">
      <w:pPr>
        <w:pStyle w:val="Paragraphedeliste"/>
        <w:numPr>
          <w:ilvl w:val="0"/>
          <w:numId w:val="0"/>
        </w:numPr>
        <w:spacing w:after="240"/>
        <w:jc w:val="center"/>
        <w:rPr>
          <w:b/>
          <w:u w:val="single"/>
        </w:rPr>
      </w:pPr>
      <w:r w:rsidRPr="000B56F5">
        <w:rPr>
          <w:sz w:val="24"/>
          <w:szCs w:val="24"/>
        </w:rPr>
        <w:br w:type="page"/>
      </w:r>
      <w:r w:rsidRPr="000B56F5">
        <w:rPr>
          <w:b/>
          <w:u w:val="single"/>
        </w:rPr>
        <w:lastRenderedPageBreak/>
        <w:t>A</w:t>
      </w:r>
      <w:r w:rsidR="00C47D45" w:rsidRPr="000B56F5">
        <w:rPr>
          <w:b/>
          <w:u w:val="single"/>
        </w:rPr>
        <w:t>NNEX</w:t>
      </w:r>
      <w:r w:rsidR="00E97DAF">
        <w:rPr>
          <w:b/>
          <w:u w:val="single"/>
        </w:rPr>
        <w:t xml:space="preserve"> </w:t>
      </w:r>
      <w:r w:rsidR="00C47D45" w:rsidRPr="000B56F5">
        <w:rPr>
          <w:b/>
          <w:u w:val="single"/>
        </w:rPr>
        <w:t>II</w:t>
      </w:r>
      <w:r w:rsidR="002B3D00">
        <w:rPr>
          <w:b/>
          <w:u w:val="single"/>
        </w:rPr>
        <w:t> (a)</w:t>
      </w:r>
    </w:p>
    <w:p w14:paraId="74EE4A12" w14:textId="77777777" w:rsidR="002B3D00" w:rsidRDefault="00E97DAF" w:rsidP="000931F0">
      <w:pPr>
        <w:pStyle w:val="Paragraphedeliste"/>
        <w:numPr>
          <w:ilvl w:val="0"/>
          <w:numId w:val="0"/>
        </w:numPr>
        <w:spacing w:after="240"/>
        <w:jc w:val="center"/>
        <w:rPr>
          <w:b/>
          <w:u w:val="single"/>
        </w:rPr>
      </w:pPr>
      <w:r w:rsidRPr="00E97DAF">
        <w:rPr>
          <w:noProof/>
          <w:lang w:val="fr-FR" w:eastAsia="ja-JP"/>
        </w:rPr>
        <w:drawing>
          <wp:inline distT="0" distB="0" distL="0" distR="0" wp14:anchorId="42EAB33D" wp14:editId="319370C3">
            <wp:extent cx="6120130" cy="5635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5635625"/>
                    </a:xfrm>
                    <a:prstGeom prst="rect">
                      <a:avLst/>
                    </a:prstGeom>
                    <a:noFill/>
                    <a:ln>
                      <a:noFill/>
                    </a:ln>
                  </pic:spPr>
                </pic:pic>
              </a:graphicData>
            </a:graphic>
          </wp:inline>
        </w:drawing>
      </w:r>
    </w:p>
    <w:p w14:paraId="33E0E758" w14:textId="77777777" w:rsidR="002B3D00" w:rsidRDefault="002B3D00">
      <w:pPr>
        <w:spacing w:after="0"/>
        <w:rPr>
          <w:rFonts w:ascii="Arial" w:hAnsi="Arial" w:cs="Arial"/>
          <w:b/>
          <w:snapToGrid w:val="0"/>
          <w:szCs w:val="22"/>
          <w:u w:val="single"/>
          <w:lang w:eastAsia="en-US"/>
        </w:rPr>
      </w:pPr>
      <w:r>
        <w:rPr>
          <w:b/>
          <w:u w:val="single"/>
        </w:rPr>
        <w:br w:type="page"/>
      </w:r>
    </w:p>
    <w:p w14:paraId="27025983" w14:textId="77777777" w:rsidR="002B3D00" w:rsidRPr="000B56F5" w:rsidRDefault="002B3D00" w:rsidP="002B3D00">
      <w:pPr>
        <w:pStyle w:val="Paragraphedeliste"/>
        <w:numPr>
          <w:ilvl w:val="0"/>
          <w:numId w:val="0"/>
        </w:numPr>
        <w:jc w:val="center"/>
        <w:rPr>
          <w:b/>
          <w:u w:val="single"/>
        </w:rPr>
      </w:pPr>
      <w:r w:rsidRPr="000B56F5">
        <w:rPr>
          <w:b/>
          <w:u w:val="single"/>
        </w:rPr>
        <w:lastRenderedPageBreak/>
        <w:t>ANNEX II (b)</w:t>
      </w:r>
      <w:r w:rsidRPr="004C6C91">
        <w:rPr>
          <w:rStyle w:val="Appelnotedebasdep"/>
        </w:rPr>
        <w:footnoteReference w:id="6"/>
      </w:r>
    </w:p>
    <w:p w14:paraId="35549BE7" w14:textId="128DA87E" w:rsidR="003565A8" w:rsidRDefault="00CF21E8" w:rsidP="002B3D00">
      <w:pPr>
        <w:pStyle w:val="Paragraphedeliste"/>
        <w:numPr>
          <w:ilvl w:val="0"/>
          <w:numId w:val="0"/>
        </w:numPr>
        <w:spacing w:after="240"/>
        <w:jc w:val="center"/>
        <w:rPr>
          <w:b/>
        </w:rPr>
      </w:pPr>
      <w:r>
        <w:rPr>
          <w:b/>
        </w:rPr>
        <w:t>In-kind</w:t>
      </w:r>
      <w:r w:rsidR="002B3D00" w:rsidRPr="00E73EEB">
        <w:rPr>
          <w:b/>
        </w:rPr>
        <w:t xml:space="preserve"> contributions</w:t>
      </w:r>
      <w:r w:rsidR="00F65B73">
        <w:rPr>
          <w:b/>
        </w:rPr>
        <w:t xml:space="preserve"> and secondments</w:t>
      </w:r>
      <w:r w:rsidR="002B3D00" w:rsidRPr="00E73EEB">
        <w:rPr>
          <w:b/>
        </w:rPr>
        <w:t xml:space="preserve"> in support of the 2003 Convention for the Safeguarding</w:t>
      </w:r>
      <w:r w:rsidR="002B3D00">
        <w:rPr>
          <w:b/>
        </w:rPr>
        <w:t xml:space="preserve"> </w:t>
      </w:r>
      <w:r w:rsidR="002B3D00" w:rsidRPr="00E73EEB">
        <w:rPr>
          <w:b/>
        </w:rPr>
        <w:t>of the Intangible Cultural Heritage</w:t>
      </w:r>
      <w:r w:rsidR="002B3D00">
        <w:rPr>
          <w:b/>
        </w:rPr>
        <w:t xml:space="preserve"> </w:t>
      </w:r>
      <w:r w:rsidR="002B3D00" w:rsidRPr="00E73EEB">
        <w:rPr>
          <w:b/>
        </w:rPr>
        <w:t xml:space="preserve">for the period </w:t>
      </w:r>
      <w:r w:rsidR="002B3D00">
        <w:rPr>
          <w:b/>
        </w:rPr>
        <w:t>1 January 201</w:t>
      </w:r>
      <w:r w:rsidR="001E0074">
        <w:rPr>
          <w:b/>
        </w:rPr>
        <w:t>8</w:t>
      </w:r>
      <w:r w:rsidR="002B3D00" w:rsidRPr="00E73EEB">
        <w:rPr>
          <w:b/>
        </w:rPr>
        <w:t xml:space="preserve"> to </w:t>
      </w:r>
      <w:r w:rsidR="002B3D00">
        <w:rPr>
          <w:b/>
        </w:rPr>
        <w:t>31</w:t>
      </w:r>
      <w:r w:rsidR="001E0074">
        <w:rPr>
          <w:b/>
        </w:rPr>
        <w:t> </w:t>
      </w:r>
      <w:r w:rsidR="002B3D00">
        <w:rPr>
          <w:b/>
        </w:rPr>
        <w:t>December 201</w:t>
      </w:r>
      <w:r w:rsidR="001E0074">
        <w:rPr>
          <w:b/>
        </w:rPr>
        <w:t>9</w:t>
      </w:r>
    </w:p>
    <w:p w14:paraId="7E261DBA" w14:textId="77777777" w:rsidR="003565A8" w:rsidRDefault="003565A8" w:rsidP="002B3D00">
      <w:pPr>
        <w:pStyle w:val="Paragraphedeliste"/>
        <w:numPr>
          <w:ilvl w:val="0"/>
          <w:numId w:val="0"/>
        </w:numPr>
        <w:spacing w:after="240"/>
        <w:jc w:val="center"/>
        <w:rPr>
          <w:b/>
        </w:rPr>
      </w:pPr>
    </w:p>
    <w:p w14:paraId="39CF59E5" w14:textId="77777777" w:rsidR="003565A8" w:rsidRPr="00C75E87" w:rsidRDefault="003565A8" w:rsidP="003565A8">
      <w:pPr>
        <w:spacing w:before="360" w:after="60"/>
        <w:rPr>
          <w:rFonts w:ascii="Arial" w:hAnsi="Arial" w:cs="Arial"/>
          <w:b/>
          <w:smallCaps/>
          <w:color w:val="000000"/>
          <w:szCs w:val="22"/>
        </w:rPr>
      </w:pPr>
      <w:r w:rsidRPr="00C75E87">
        <w:rPr>
          <w:rFonts w:ascii="Arial" w:hAnsi="Arial" w:cs="Arial"/>
          <w:b/>
          <w:smallCaps/>
          <w:color w:val="000000"/>
          <w:szCs w:val="22"/>
        </w:rPr>
        <w:t>Loans and Secondments</w:t>
      </w:r>
      <w:r w:rsidRPr="00E73EEB">
        <w:rPr>
          <w:rStyle w:val="Appelnotedebasdep"/>
          <w:rFonts w:ascii="Arial" w:hAnsi="Arial" w:cs="Arial"/>
          <w:b/>
          <w:smallCaps/>
          <w:color w:val="000000"/>
          <w:szCs w:val="22"/>
        </w:rPr>
        <w:footnoteReference w:id="7"/>
      </w:r>
    </w:p>
    <w:tbl>
      <w:tblPr>
        <w:tblW w:w="9072" w:type="dxa"/>
        <w:tblInd w:w="709" w:type="dxa"/>
        <w:tblLook w:val="04A0" w:firstRow="1" w:lastRow="0" w:firstColumn="1" w:lastColumn="0" w:noHBand="0" w:noVBand="1"/>
      </w:tblPr>
      <w:tblGrid>
        <w:gridCol w:w="6487"/>
        <w:gridCol w:w="2585"/>
      </w:tblGrid>
      <w:tr w:rsidR="003565A8" w:rsidRPr="00C75E87" w14:paraId="5F189AA1" w14:textId="77777777" w:rsidTr="003565A8">
        <w:trPr>
          <w:cantSplit/>
        </w:trPr>
        <w:tc>
          <w:tcPr>
            <w:tcW w:w="6487" w:type="dxa"/>
            <w:vAlign w:val="center"/>
            <w:hideMark/>
          </w:tcPr>
          <w:p w14:paraId="62B86E92" w14:textId="77777777" w:rsidR="003565A8" w:rsidRPr="00DF36BC" w:rsidRDefault="003565A8" w:rsidP="006B3B0E">
            <w:pPr>
              <w:spacing w:before="60" w:after="60"/>
              <w:rPr>
                <w:rFonts w:ascii="Arial" w:hAnsi="Arial" w:cs="Arial"/>
                <w:color w:val="000000"/>
                <w:szCs w:val="22"/>
              </w:rPr>
            </w:pPr>
            <w:r w:rsidRPr="00DF36BC">
              <w:rPr>
                <w:rFonts w:ascii="Arial" w:hAnsi="Arial" w:cs="Arial"/>
                <w:color w:val="000000"/>
                <w:szCs w:val="22"/>
              </w:rPr>
              <w:t>China</w:t>
            </w:r>
          </w:p>
        </w:tc>
        <w:tc>
          <w:tcPr>
            <w:tcW w:w="2585" w:type="dxa"/>
            <w:vAlign w:val="center"/>
            <w:hideMark/>
          </w:tcPr>
          <w:p w14:paraId="5876C2B6" w14:textId="720B6165" w:rsidR="003565A8" w:rsidRPr="00DF36BC" w:rsidRDefault="003565A8" w:rsidP="003565A8">
            <w:pPr>
              <w:spacing w:before="60" w:after="60"/>
              <w:jc w:val="right"/>
              <w:rPr>
                <w:rFonts w:ascii="Arial" w:hAnsi="Arial" w:cs="Arial"/>
                <w:color w:val="000000"/>
                <w:szCs w:val="22"/>
              </w:rPr>
            </w:pPr>
            <w:r>
              <w:rPr>
                <w:rFonts w:ascii="Arial" w:hAnsi="Arial" w:cs="Arial"/>
                <w:color w:val="000000"/>
                <w:szCs w:val="22"/>
              </w:rPr>
              <w:t>13</w:t>
            </w:r>
            <w:r w:rsidRPr="00DF36BC">
              <w:rPr>
                <w:rFonts w:ascii="Arial" w:hAnsi="Arial" w:cs="Arial"/>
                <w:color w:val="000000"/>
                <w:szCs w:val="22"/>
              </w:rPr>
              <w:t> months at P-2 level</w:t>
            </w:r>
          </w:p>
        </w:tc>
      </w:tr>
      <w:tr w:rsidR="003565A8" w:rsidRPr="00C75E87" w14:paraId="688D7735" w14:textId="77777777" w:rsidTr="003565A8">
        <w:trPr>
          <w:cantSplit/>
        </w:trPr>
        <w:tc>
          <w:tcPr>
            <w:tcW w:w="6487" w:type="dxa"/>
            <w:vAlign w:val="center"/>
          </w:tcPr>
          <w:p w14:paraId="4DF0FC83" w14:textId="77777777" w:rsidR="003565A8" w:rsidRPr="00DF36BC" w:rsidRDefault="003565A8" w:rsidP="006B3B0E">
            <w:pPr>
              <w:spacing w:before="60" w:after="60"/>
              <w:rPr>
                <w:rFonts w:ascii="Arial" w:hAnsi="Arial" w:cs="Arial"/>
                <w:color w:val="000000"/>
                <w:szCs w:val="22"/>
              </w:rPr>
            </w:pPr>
            <w:r w:rsidRPr="00DF36BC">
              <w:rPr>
                <w:rFonts w:ascii="Arial" w:hAnsi="Arial" w:cs="Arial"/>
                <w:color w:val="000000"/>
                <w:szCs w:val="22"/>
              </w:rPr>
              <w:t>Japan</w:t>
            </w:r>
          </w:p>
        </w:tc>
        <w:tc>
          <w:tcPr>
            <w:tcW w:w="2585" w:type="dxa"/>
            <w:vAlign w:val="center"/>
          </w:tcPr>
          <w:p w14:paraId="31140841" w14:textId="5C890E7C" w:rsidR="003565A8" w:rsidRPr="00DF36BC" w:rsidRDefault="003565A8" w:rsidP="003565A8">
            <w:pPr>
              <w:spacing w:before="60" w:after="60"/>
              <w:jc w:val="right"/>
              <w:rPr>
                <w:rFonts w:ascii="Arial" w:hAnsi="Arial" w:cs="Arial"/>
                <w:color w:val="000000"/>
                <w:szCs w:val="22"/>
              </w:rPr>
            </w:pPr>
            <w:r>
              <w:rPr>
                <w:rFonts w:ascii="Arial" w:hAnsi="Arial" w:cs="Arial"/>
                <w:color w:val="000000"/>
                <w:szCs w:val="22"/>
              </w:rPr>
              <w:t>3</w:t>
            </w:r>
            <w:r w:rsidRPr="00DF36BC">
              <w:rPr>
                <w:rFonts w:ascii="Arial" w:hAnsi="Arial" w:cs="Arial"/>
                <w:color w:val="000000"/>
                <w:szCs w:val="22"/>
              </w:rPr>
              <w:t> months at P-2 level</w:t>
            </w:r>
          </w:p>
        </w:tc>
      </w:tr>
      <w:tr w:rsidR="003565A8" w:rsidRPr="00C75E87" w14:paraId="7E54E28F" w14:textId="77777777" w:rsidTr="003565A8">
        <w:trPr>
          <w:cantSplit/>
        </w:trPr>
        <w:tc>
          <w:tcPr>
            <w:tcW w:w="6487" w:type="dxa"/>
            <w:vAlign w:val="center"/>
          </w:tcPr>
          <w:p w14:paraId="1623250B" w14:textId="3C4FDCE0" w:rsidR="003565A8" w:rsidRPr="00DF36BC" w:rsidRDefault="003565A8" w:rsidP="006B3B0E">
            <w:pPr>
              <w:spacing w:before="60" w:after="60"/>
              <w:rPr>
                <w:rFonts w:ascii="Arial" w:hAnsi="Arial" w:cs="Arial"/>
                <w:color w:val="000000"/>
                <w:szCs w:val="22"/>
              </w:rPr>
            </w:pPr>
            <w:r>
              <w:rPr>
                <w:rFonts w:ascii="Arial" w:hAnsi="Arial" w:cs="Arial"/>
                <w:color w:val="000000"/>
                <w:szCs w:val="22"/>
              </w:rPr>
              <w:t>Singapore</w:t>
            </w:r>
          </w:p>
        </w:tc>
        <w:tc>
          <w:tcPr>
            <w:tcW w:w="2585" w:type="dxa"/>
            <w:vAlign w:val="center"/>
          </w:tcPr>
          <w:p w14:paraId="5D50C2FA" w14:textId="290ABB1C" w:rsidR="003565A8" w:rsidRPr="00DF36BC" w:rsidRDefault="003565A8" w:rsidP="003565A8">
            <w:pPr>
              <w:spacing w:before="60" w:after="60"/>
              <w:jc w:val="right"/>
              <w:rPr>
                <w:rFonts w:ascii="Arial" w:hAnsi="Arial" w:cs="Arial"/>
                <w:color w:val="000000"/>
                <w:szCs w:val="22"/>
              </w:rPr>
            </w:pPr>
            <w:r>
              <w:rPr>
                <w:rFonts w:ascii="Arial" w:hAnsi="Arial" w:cs="Arial"/>
                <w:color w:val="000000"/>
                <w:szCs w:val="22"/>
              </w:rPr>
              <w:t>12</w:t>
            </w:r>
            <w:r w:rsidRPr="00DF36BC">
              <w:rPr>
                <w:rFonts w:ascii="Arial" w:hAnsi="Arial" w:cs="Arial"/>
                <w:color w:val="000000"/>
                <w:szCs w:val="22"/>
              </w:rPr>
              <w:t> months at P-2 level</w:t>
            </w:r>
          </w:p>
        </w:tc>
      </w:tr>
    </w:tbl>
    <w:p w14:paraId="735E2913" w14:textId="09EDAD83" w:rsidR="00727E92" w:rsidRDefault="00727E92" w:rsidP="002B3D00">
      <w:pPr>
        <w:pStyle w:val="Paragraphedeliste"/>
        <w:numPr>
          <w:ilvl w:val="0"/>
          <w:numId w:val="0"/>
        </w:numPr>
        <w:spacing w:after="240"/>
        <w:jc w:val="center"/>
        <w:rPr>
          <w:b/>
          <w:u w:val="single"/>
        </w:rPr>
      </w:pPr>
      <w:r>
        <w:rPr>
          <w:b/>
          <w:u w:val="single"/>
        </w:rPr>
        <w:br w:type="page"/>
      </w:r>
    </w:p>
    <w:p w14:paraId="1B3A755D" w14:textId="77777777" w:rsidR="00EA23BD" w:rsidRDefault="00EA23BD" w:rsidP="000931F0">
      <w:pPr>
        <w:pStyle w:val="Paragraphedeliste"/>
        <w:numPr>
          <w:ilvl w:val="0"/>
          <w:numId w:val="0"/>
        </w:numPr>
        <w:spacing w:after="240"/>
        <w:jc w:val="center"/>
        <w:rPr>
          <w:b/>
          <w:u w:val="single"/>
        </w:rPr>
        <w:sectPr w:rsidR="00EA23BD" w:rsidSect="007C711D">
          <w:headerReference w:type="even" r:id="rId30"/>
          <w:headerReference w:type="default" r:id="rId31"/>
          <w:headerReference w:type="first" r:id="rId32"/>
          <w:pgSz w:w="11906" w:h="16838" w:code="9"/>
          <w:pgMar w:top="1411" w:right="1138" w:bottom="1138" w:left="1138" w:header="403" w:footer="288" w:gutter="0"/>
          <w:cols w:space="708"/>
          <w:titlePg/>
          <w:docGrid w:linePitch="360"/>
        </w:sectPr>
      </w:pPr>
    </w:p>
    <w:p w14:paraId="5BC38C7A" w14:textId="5617E4C6" w:rsidR="002B3D00" w:rsidRPr="002B3D00" w:rsidRDefault="002B3D00">
      <w:pPr>
        <w:spacing w:after="0"/>
        <w:rPr>
          <w:rFonts w:ascii="Arial" w:hAnsi="Arial" w:cs="Arial"/>
          <w:b/>
          <w:snapToGrid w:val="0"/>
          <w:szCs w:val="22"/>
          <w:u w:val="single"/>
          <w:lang w:eastAsia="en-US"/>
        </w:rPr>
      </w:pPr>
    </w:p>
    <w:p w14:paraId="4F419DBA" w14:textId="1E9BD83E" w:rsidR="00EA23BD" w:rsidRDefault="00EA23BD" w:rsidP="00EA23BD">
      <w:pPr>
        <w:pStyle w:val="Paragraphedeliste"/>
        <w:numPr>
          <w:ilvl w:val="0"/>
          <w:numId w:val="0"/>
        </w:numPr>
        <w:jc w:val="center"/>
        <w:rPr>
          <w:b/>
          <w:u w:val="single"/>
          <w:lang w:val="fr-FR"/>
        </w:rPr>
      </w:pPr>
      <w:r w:rsidRPr="00E97DAF">
        <w:rPr>
          <w:b/>
          <w:u w:val="single"/>
          <w:lang w:val="fr-FR"/>
        </w:rPr>
        <w:t>ANNEX III</w:t>
      </w:r>
    </w:p>
    <w:p w14:paraId="4D5F8C7A" w14:textId="3B1A8574" w:rsidR="00EA23BD" w:rsidRDefault="00727E92" w:rsidP="000931F0">
      <w:pPr>
        <w:pStyle w:val="Paragraphedeliste"/>
        <w:numPr>
          <w:ilvl w:val="0"/>
          <w:numId w:val="0"/>
        </w:numPr>
        <w:spacing w:after="240"/>
        <w:jc w:val="center"/>
        <w:rPr>
          <w:b/>
          <w:u w:val="single"/>
        </w:rPr>
      </w:pPr>
      <w:r w:rsidRPr="00727E92">
        <w:rPr>
          <w:noProof/>
          <w:lang w:val="fr-FR" w:eastAsia="ja-JP"/>
        </w:rPr>
        <w:drawing>
          <wp:inline distT="0" distB="0" distL="0" distR="0" wp14:anchorId="3FF41F5A" wp14:editId="47C568DF">
            <wp:extent cx="9246870" cy="5099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46870" cy="5099050"/>
                    </a:xfrm>
                    <a:prstGeom prst="rect">
                      <a:avLst/>
                    </a:prstGeom>
                    <a:noFill/>
                    <a:ln>
                      <a:noFill/>
                    </a:ln>
                  </pic:spPr>
                </pic:pic>
              </a:graphicData>
            </a:graphic>
          </wp:inline>
        </w:drawing>
      </w:r>
    </w:p>
    <w:p w14:paraId="1D4FA8AF" w14:textId="77777777" w:rsidR="00E97DAF" w:rsidRPr="00E97DAF" w:rsidRDefault="00E97DAF" w:rsidP="00C47D45">
      <w:pPr>
        <w:pStyle w:val="Paragraphedeliste"/>
        <w:numPr>
          <w:ilvl w:val="0"/>
          <w:numId w:val="0"/>
        </w:numPr>
        <w:jc w:val="center"/>
        <w:rPr>
          <w:b/>
          <w:u w:val="single"/>
          <w:lang w:val="fr-FR"/>
        </w:rPr>
      </w:pPr>
    </w:p>
    <w:p w14:paraId="255BA496" w14:textId="0AFA6CEF" w:rsidR="00727E92" w:rsidRDefault="00C47D45" w:rsidP="00727E92">
      <w:pPr>
        <w:pStyle w:val="Paragraphedeliste"/>
        <w:pageBreakBefore/>
        <w:numPr>
          <w:ilvl w:val="0"/>
          <w:numId w:val="0"/>
        </w:numPr>
        <w:jc w:val="center"/>
        <w:rPr>
          <w:b/>
          <w:u w:val="single"/>
          <w:lang w:val="fr-FR"/>
        </w:rPr>
      </w:pPr>
      <w:r w:rsidRPr="00E97DAF">
        <w:rPr>
          <w:b/>
          <w:u w:val="single"/>
          <w:lang w:val="fr-FR"/>
        </w:rPr>
        <w:lastRenderedPageBreak/>
        <w:t>ANNEX I</w:t>
      </w:r>
      <w:r w:rsidR="002C1911">
        <w:rPr>
          <w:b/>
          <w:u w:val="single"/>
          <w:lang w:val="fr-FR"/>
        </w:rPr>
        <w:t>V</w:t>
      </w:r>
    </w:p>
    <w:p w14:paraId="28653070" w14:textId="4B595452" w:rsidR="000739B5" w:rsidRPr="00E97DAF" w:rsidRDefault="00727E92" w:rsidP="00DD001E">
      <w:pPr>
        <w:jc w:val="center"/>
        <w:rPr>
          <w:b/>
          <w:lang w:val="fr-FR"/>
        </w:rPr>
      </w:pPr>
      <w:r w:rsidRPr="00727E92">
        <w:rPr>
          <w:noProof/>
          <w:lang w:val="fr-FR" w:eastAsia="ja-JP"/>
        </w:rPr>
        <w:drawing>
          <wp:inline distT="0" distB="0" distL="0" distR="0" wp14:anchorId="1C350B8D" wp14:editId="55201884">
            <wp:extent cx="9184005" cy="36817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84005" cy="3681730"/>
                    </a:xfrm>
                    <a:prstGeom prst="rect">
                      <a:avLst/>
                    </a:prstGeom>
                    <a:noFill/>
                    <a:ln>
                      <a:noFill/>
                    </a:ln>
                  </pic:spPr>
                </pic:pic>
              </a:graphicData>
            </a:graphic>
          </wp:inline>
        </w:drawing>
      </w:r>
    </w:p>
    <w:sectPr w:rsidR="000739B5" w:rsidRPr="00E97DAF" w:rsidSect="00EA23BD">
      <w:pgSz w:w="16838" w:h="11906" w:orient="landscape" w:code="9"/>
      <w:pgMar w:top="1138" w:right="1138" w:bottom="994" w:left="1138" w:header="403" w:footer="28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C959" w16cex:dateUtc="2020-07-22T12:19:00Z"/>
  <w16cex:commentExtensible w16cex:durableId="22C2CD47" w16cex:dateUtc="2020-07-22T12:35:00Z"/>
  <w16cex:commentExtensible w16cex:durableId="22C2CDA0" w16cex:dateUtc="2020-07-22T12:37:00Z"/>
  <w16cex:commentExtensible w16cex:durableId="22C2CDBB" w16cex:dateUtc="2020-07-22T12:37:00Z"/>
  <w16cex:commentExtensible w16cex:durableId="22C2D96E" w16cex:dateUtc="2020-07-22T13:27:00Z"/>
  <w16cex:commentExtensible w16cex:durableId="22C2DAD0" w16cex:dateUtc="2020-07-22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6D391" w14:textId="77777777" w:rsidR="00456408" w:rsidRDefault="00456408" w:rsidP="002938F2">
      <w:r>
        <w:separator/>
      </w:r>
    </w:p>
    <w:p w14:paraId="248F2124" w14:textId="77777777" w:rsidR="00456408" w:rsidRDefault="00456408"/>
  </w:endnote>
  <w:endnote w:type="continuationSeparator" w:id="0">
    <w:p w14:paraId="23E52201" w14:textId="77777777" w:rsidR="00456408" w:rsidRDefault="00456408" w:rsidP="002938F2">
      <w:r>
        <w:continuationSeparator/>
      </w:r>
    </w:p>
    <w:p w14:paraId="28563DCE" w14:textId="77777777" w:rsidR="00456408" w:rsidRDefault="00456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A95DA" w14:textId="77777777" w:rsidR="00456408" w:rsidRDefault="00456408">
      <w:r>
        <w:separator/>
      </w:r>
    </w:p>
  </w:footnote>
  <w:footnote w:type="continuationSeparator" w:id="0">
    <w:p w14:paraId="1A092C37" w14:textId="77777777" w:rsidR="00456408" w:rsidRDefault="00456408" w:rsidP="002938F2">
      <w:r>
        <w:continuationSeparator/>
      </w:r>
    </w:p>
  </w:footnote>
  <w:footnote w:id="1">
    <w:p w14:paraId="4C0F066A" w14:textId="073B8B38" w:rsidR="006C15BD" w:rsidRPr="00C504CD" w:rsidRDefault="006C15BD" w:rsidP="00C504CD">
      <w:pPr>
        <w:pStyle w:val="Notedebasdepage"/>
        <w:tabs>
          <w:tab w:val="left" w:pos="426"/>
        </w:tabs>
        <w:spacing w:after="0" w:line="240" w:lineRule="auto"/>
        <w:ind w:left="426" w:hanging="426"/>
        <w:jc w:val="both"/>
        <w:rPr>
          <w:rFonts w:ascii="Arial" w:hAnsi="Arial" w:cs="Arial"/>
          <w:sz w:val="18"/>
          <w:szCs w:val="18"/>
        </w:rPr>
      </w:pPr>
      <w:r w:rsidRPr="00C504CD">
        <w:rPr>
          <w:rStyle w:val="Appelnotedebasdep"/>
          <w:rFonts w:ascii="Arial" w:eastAsiaTheme="minorHAnsi" w:hAnsi="Arial" w:cs="Arial"/>
          <w:sz w:val="18"/>
          <w:szCs w:val="18"/>
          <w:vertAlign w:val="baseline"/>
          <w:lang w:val="en-US" w:eastAsia="en-US"/>
        </w:rPr>
        <w:footnoteRef/>
      </w:r>
      <w:r w:rsidR="0015084F" w:rsidRPr="00C504CD">
        <w:rPr>
          <w:rStyle w:val="Appelnotedebasdep"/>
          <w:rFonts w:ascii="Arial" w:eastAsiaTheme="minorHAnsi" w:hAnsi="Arial" w:cs="Arial"/>
          <w:sz w:val="18"/>
          <w:szCs w:val="18"/>
          <w:vertAlign w:val="baseline"/>
          <w:lang w:val="en-GB" w:eastAsia="en-US"/>
        </w:rPr>
        <w:t>.</w:t>
      </w:r>
      <w:r w:rsidRPr="00C504CD">
        <w:rPr>
          <w:rStyle w:val="Appelnotedebasdep"/>
          <w:rFonts w:ascii="Arial" w:eastAsiaTheme="minorHAnsi" w:hAnsi="Arial" w:cs="Arial"/>
          <w:sz w:val="18"/>
          <w:szCs w:val="18"/>
          <w:vertAlign w:val="baseline"/>
          <w:lang w:val="en-GB" w:eastAsia="en-US"/>
        </w:rPr>
        <w:tab/>
        <w:t xml:space="preserve">Figures </w:t>
      </w:r>
      <w:r w:rsidR="00495A6C" w:rsidRPr="00C504CD">
        <w:rPr>
          <w:rFonts w:ascii="Arial" w:eastAsiaTheme="minorHAnsi" w:hAnsi="Arial" w:cs="Arial"/>
          <w:sz w:val="18"/>
          <w:szCs w:val="18"/>
          <w:lang w:val="en-GB" w:eastAsia="en-US"/>
        </w:rPr>
        <w:t xml:space="preserve">have been </w:t>
      </w:r>
      <w:r w:rsidRPr="00C504CD">
        <w:rPr>
          <w:rStyle w:val="Appelnotedebasdep"/>
          <w:rFonts w:ascii="Arial" w:eastAsiaTheme="minorHAnsi" w:hAnsi="Arial" w:cs="Arial"/>
          <w:sz w:val="18"/>
          <w:szCs w:val="18"/>
          <w:vertAlign w:val="baseline"/>
          <w:lang w:val="en-GB" w:eastAsia="en-US"/>
        </w:rPr>
        <w:t xml:space="preserve">rounded </w:t>
      </w:r>
      <w:r w:rsidR="00495A6C" w:rsidRPr="00C504CD">
        <w:rPr>
          <w:rStyle w:val="Appelnotedebasdep"/>
          <w:rFonts w:ascii="Arial" w:eastAsiaTheme="minorHAnsi" w:hAnsi="Arial" w:cs="Arial"/>
          <w:sz w:val="18"/>
          <w:szCs w:val="18"/>
          <w:vertAlign w:val="baseline"/>
          <w:lang w:val="en-GB" w:eastAsia="en-US"/>
        </w:rPr>
        <w:t>a</w:t>
      </w:r>
      <w:r w:rsidR="00495A6C" w:rsidRPr="00C504CD">
        <w:rPr>
          <w:rFonts w:ascii="Arial" w:eastAsiaTheme="minorHAnsi" w:hAnsi="Arial" w:cs="Arial"/>
          <w:sz w:val="18"/>
          <w:szCs w:val="18"/>
          <w:lang w:val="en-GB" w:eastAsia="en-US"/>
        </w:rPr>
        <w:t>s</w:t>
      </w:r>
      <w:r w:rsidRPr="00C504CD">
        <w:rPr>
          <w:rStyle w:val="Appelnotedebasdep"/>
          <w:rFonts w:ascii="Arial" w:eastAsiaTheme="minorHAnsi" w:hAnsi="Arial" w:cs="Arial"/>
          <w:sz w:val="18"/>
          <w:szCs w:val="18"/>
          <w:vertAlign w:val="baseline"/>
          <w:lang w:val="en-GB" w:eastAsia="en-US"/>
        </w:rPr>
        <w:t xml:space="preserve"> compared to Financial Statement I, </w:t>
      </w:r>
      <w:r w:rsidRPr="00ED58DF">
        <w:rPr>
          <w:rStyle w:val="Appelnotedebasdep"/>
          <w:rFonts w:ascii="Arial" w:eastAsiaTheme="minorHAnsi" w:hAnsi="Arial" w:cs="Arial"/>
          <w:sz w:val="18"/>
          <w:szCs w:val="18"/>
          <w:vertAlign w:val="baseline"/>
          <w:lang w:val="en-GB" w:eastAsia="en-US"/>
        </w:rPr>
        <w:t xml:space="preserve">pages </w:t>
      </w:r>
      <w:r w:rsidR="00E823F1" w:rsidRPr="00ED58DF">
        <w:rPr>
          <w:rStyle w:val="Appelnotedebasdep"/>
          <w:rFonts w:ascii="Arial" w:eastAsiaTheme="minorHAnsi" w:hAnsi="Arial" w:cs="Arial"/>
          <w:sz w:val="18"/>
          <w:szCs w:val="18"/>
          <w:vertAlign w:val="baseline"/>
          <w:lang w:val="en-GB" w:eastAsia="en-US"/>
        </w:rPr>
        <w:t>6</w:t>
      </w:r>
      <w:r w:rsidRPr="00ED58DF">
        <w:rPr>
          <w:rStyle w:val="Appelnotedebasdep"/>
          <w:rFonts w:ascii="Arial" w:eastAsiaTheme="minorHAnsi" w:hAnsi="Arial" w:cs="Arial"/>
          <w:sz w:val="18"/>
          <w:szCs w:val="18"/>
          <w:vertAlign w:val="baseline"/>
          <w:lang w:val="en-GB" w:eastAsia="en-US"/>
        </w:rPr>
        <w:t>–</w:t>
      </w:r>
      <w:r w:rsidR="00E823F1" w:rsidRPr="00ED58DF">
        <w:rPr>
          <w:rStyle w:val="Appelnotedebasdep"/>
          <w:rFonts w:ascii="Arial" w:eastAsiaTheme="minorHAnsi" w:hAnsi="Arial" w:cs="Arial"/>
          <w:sz w:val="18"/>
          <w:szCs w:val="18"/>
          <w:vertAlign w:val="baseline"/>
          <w:lang w:val="en-GB" w:eastAsia="en-US"/>
        </w:rPr>
        <w:t>7</w:t>
      </w:r>
      <w:r w:rsidRPr="00ED58DF">
        <w:rPr>
          <w:rStyle w:val="Appelnotedebasdep"/>
          <w:rFonts w:ascii="Arial" w:eastAsiaTheme="minorHAnsi" w:hAnsi="Arial" w:cs="Arial"/>
          <w:sz w:val="18"/>
          <w:szCs w:val="18"/>
          <w:vertAlign w:val="baseline"/>
          <w:lang w:val="en-GB" w:eastAsia="en-US"/>
        </w:rPr>
        <w:t>.</w:t>
      </w:r>
    </w:p>
  </w:footnote>
  <w:footnote w:id="2">
    <w:p w14:paraId="5F5EA6B1" w14:textId="2B42D88E" w:rsidR="005974BB" w:rsidRPr="00C504CD" w:rsidRDefault="005974BB" w:rsidP="00C504CD">
      <w:pPr>
        <w:pStyle w:val="Notedebasdepage"/>
        <w:tabs>
          <w:tab w:val="left" w:pos="426"/>
        </w:tabs>
        <w:spacing w:after="0" w:line="240" w:lineRule="auto"/>
        <w:ind w:left="426" w:hanging="426"/>
        <w:jc w:val="both"/>
        <w:rPr>
          <w:rFonts w:ascii="Arial" w:hAnsi="Arial" w:cs="Arial"/>
          <w:sz w:val="18"/>
          <w:szCs w:val="18"/>
        </w:rPr>
      </w:pPr>
      <w:r w:rsidRPr="00C504CD">
        <w:rPr>
          <w:rStyle w:val="Appelnotedebasdep"/>
          <w:rFonts w:ascii="Arial" w:eastAsiaTheme="minorHAnsi" w:hAnsi="Arial" w:cs="Arial"/>
          <w:sz w:val="18"/>
          <w:szCs w:val="18"/>
          <w:vertAlign w:val="baseline"/>
          <w:lang w:val="en-US" w:eastAsia="en-US"/>
        </w:rPr>
        <w:footnoteRef/>
      </w:r>
      <w:r w:rsidRPr="00C504CD">
        <w:rPr>
          <w:rStyle w:val="Appelnotedebasdep"/>
          <w:rFonts w:ascii="Arial" w:eastAsiaTheme="minorHAnsi" w:hAnsi="Arial" w:cs="Arial"/>
          <w:sz w:val="18"/>
          <w:szCs w:val="18"/>
          <w:vertAlign w:val="baseline"/>
          <w:lang w:val="en-US" w:eastAsia="en-US"/>
        </w:rPr>
        <w:t>.</w:t>
      </w:r>
      <w:r w:rsidRPr="00C504CD">
        <w:rPr>
          <w:rStyle w:val="Appelnotedebasdep"/>
          <w:rFonts w:ascii="Arial" w:eastAsiaTheme="minorHAnsi" w:hAnsi="Arial" w:cs="Arial"/>
          <w:sz w:val="18"/>
          <w:szCs w:val="18"/>
          <w:vertAlign w:val="baseline"/>
          <w:lang w:val="en-US" w:eastAsia="en-US"/>
        </w:rPr>
        <w:tab/>
        <w:t xml:space="preserve">In </w:t>
      </w:r>
      <w:r w:rsidR="006C15BD" w:rsidRPr="00C504CD">
        <w:rPr>
          <w:rStyle w:val="Appelnotedebasdep"/>
          <w:rFonts w:ascii="Arial" w:eastAsiaTheme="minorHAnsi" w:hAnsi="Arial" w:cs="Arial"/>
          <w:sz w:val="18"/>
          <w:szCs w:val="18"/>
          <w:vertAlign w:val="baseline"/>
          <w:lang w:val="en-US" w:eastAsia="en-US"/>
        </w:rPr>
        <w:t xml:space="preserve">Financial </w:t>
      </w:r>
      <w:r w:rsidRPr="00C504CD">
        <w:rPr>
          <w:rStyle w:val="Appelnotedebasdep"/>
          <w:rFonts w:ascii="Arial" w:eastAsiaTheme="minorHAnsi" w:hAnsi="Arial" w:cs="Arial"/>
          <w:sz w:val="18"/>
          <w:szCs w:val="18"/>
          <w:vertAlign w:val="baseline"/>
          <w:lang w:val="en-US" w:eastAsia="en-US"/>
        </w:rPr>
        <w:t>Statement</w:t>
      </w:r>
      <w:r w:rsidR="006C15BD" w:rsidRPr="00C504CD">
        <w:rPr>
          <w:rStyle w:val="Appelnotedebasdep"/>
          <w:rFonts w:ascii="Arial" w:eastAsiaTheme="minorHAnsi" w:hAnsi="Arial" w:cs="Arial"/>
          <w:sz w:val="18"/>
          <w:szCs w:val="18"/>
          <w:vertAlign w:val="baseline"/>
          <w:lang w:val="en-US" w:eastAsia="en-US"/>
        </w:rPr>
        <w:t xml:space="preserve"> </w:t>
      </w:r>
      <w:r w:rsidRPr="00C504CD">
        <w:rPr>
          <w:rStyle w:val="Appelnotedebasdep"/>
          <w:rFonts w:ascii="Arial" w:eastAsiaTheme="minorHAnsi" w:hAnsi="Arial" w:cs="Arial"/>
          <w:sz w:val="18"/>
          <w:szCs w:val="18"/>
          <w:vertAlign w:val="baseline"/>
          <w:lang w:val="en-US" w:eastAsia="en-US"/>
        </w:rPr>
        <w:t xml:space="preserve">I, the </w:t>
      </w:r>
      <w:r w:rsidR="006C15BD" w:rsidRPr="00C504CD">
        <w:rPr>
          <w:rStyle w:val="Appelnotedebasdep"/>
          <w:rFonts w:ascii="Arial" w:eastAsiaTheme="minorHAnsi" w:hAnsi="Arial" w:cs="Arial"/>
          <w:sz w:val="18"/>
          <w:szCs w:val="18"/>
          <w:vertAlign w:val="baseline"/>
          <w:lang w:val="en-US" w:eastAsia="en-US"/>
        </w:rPr>
        <w:t xml:space="preserve">assessed </w:t>
      </w:r>
      <w:r w:rsidRPr="00C504CD">
        <w:rPr>
          <w:rStyle w:val="Appelnotedebasdep"/>
          <w:rFonts w:ascii="Arial" w:eastAsiaTheme="minorHAnsi" w:hAnsi="Arial" w:cs="Arial"/>
          <w:sz w:val="18"/>
          <w:szCs w:val="18"/>
          <w:vertAlign w:val="baseline"/>
          <w:lang w:val="en-US" w:eastAsia="en-US"/>
        </w:rPr>
        <w:t>compulsory contributions for the period 201</w:t>
      </w:r>
      <w:r w:rsidR="006C15BD" w:rsidRPr="00C504CD">
        <w:rPr>
          <w:rStyle w:val="Appelnotedebasdep"/>
          <w:rFonts w:ascii="Arial" w:eastAsiaTheme="minorHAnsi" w:hAnsi="Arial" w:cs="Arial"/>
          <w:sz w:val="18"/>
          <w:szCs w:val="18"/>
          <w:vertAlign w:val="baseline"/>
          <w:lang w:val="en-US" w:eastAsia="en-US"/>
        </w:rPr>
        <w:t>8</w:t>
      </w:r>
      <w:r w:rsidRPr="00C504CD">
        <w:rPr>
          <w:rStyle w:val="Appelnotedebasdep"/>
          <w:rFonts w:ascii="Arial" w:eastAsiaTheme="minorHAnsi" w:hAnsi="Arial" w:cs="Arial"/>
          <w:sz w:val="18"/>
          <w:szCs w:val="18"/>
          <w:vertAlign w:val="baseline"/>
          <w:lang w:val="en-US" w:eastAsia="en-US"/>
        </w:rPr>
        <w:t>-201</w:t>
      </w:r>
      <w:r w:rsidR="006C15BD" w:rsidRPr="00C504CD">
        <w:rPr>
          <w:rStyle w:val="Appelnotedebasdep"/>
          <w:rFonts w:ascii="Arial" w:eastAsiaTheme="minorHAnsi" w:hAnsi="Arial" w:cs="Arial"/>
          <w:sz w:val="18"/>
          <w:szCs w:val="18"/>
          <w:vertAlign w:val="baseline"/>
          <w:lang w:val="en-US" w:eastAsia="en-US"/>
        </w:rPr>
        <w:t>9</w:t>
      </w:r>
      <w:r w:rsidRPr="00C504CD">
        <w:rPr>
          <w:rStyle w:val="Appelnotedebasdep"/>
          <w:rFonts w:ascii="Arial" w:eastAsiaTheme="minorHAnsi" w:hAnsi="Arial" w:cs="Arial"/>
          <w:sz w:val="18"/>
          <w:szCs w:val="18"/>
          <w:vertAlign w:val="baseline"/>
          <w:lang w:val="en-US" w:eastAsia="en-US"/>
        </w:rPr>
        <w:t xml:space="preserve"> are shown as income, whether they have been received</w:t>
      </w:r>
      <w:r w:rsidR="006C15BD" w:rsidRPr="00C504CD">
        <w:rPr>
          <w:rStyle w:val="Appelnotedebasdep"/>
          <w:rFonts w:ascii="Arial" w:eastAsiaTheme="minorHAnsi" w:hAnsi="Arial" w:cs="Arial"/>
          <w:sz w:val="18"/>
          <w:szCs w:val="18"/>
          <w:vertAlign w:val="baseline"/>
          <w:lang w:val="en-US" w:eastAsia="en-US"/>
        </w:rPr>
        <w:t xml:space="preserve"> or not</w:t>
      </w:r>
      <w:r w:rsidRPr="00C504CD">
        <w:rPr>
          <w:rStyle w:val="Appelnotedebasdep"/>
          <w:rFonts w:ascii="Arial" w:eastAsiaTheme="minorHAnsi" w:hAnsi="Arial" w:cs="Arial"/>
          <w:sz w:val="18"/>
          <w:szCs w:val="18"/>
          <w:vertAlign w:val="baseline"/>
          <w:lang w:val="en-US" w:eastAsia="en-US"/>
        </w:rPr>
        <w:t xml:space="preserve">; </w:t>
      </w:r>
      <w:r w:rsidR="006C15BD" w:rsidRPr="00C504CD">
        <w:rPr>
          <w:rStyle w:val="Appelnotedebasdep"/>
          <w:rFonts w:ascii="Arial" w:eastAsiaTheme="minorHAnsi" w:hAnsi="Arial" w:cs="Arial"/>
          <w:sz w:val="18"/>
          <w:szCs w:val="18"/>
          <w:vertAlign w:val="baseline"/>
          <w:lang w:val="en-US" w:eastAsia="en-US"/>
        </w:rPr>
        <w:t xml:space="preserve">in Financial </w:t>
      </w:r>
      <w:r w:rsidRPr="00C504CD">
        <w:rPr>
          <w:rStyle w:val="Appelnotedebasdep"/>
          <w:rFonts w:ascii="Arial" w:eastAsiaTheme="minorHAnsi" w:hAnsi="Arial" w:cs="Arial"/>
          <w:sz w:val="18"/>
          <w:szCs w:val="18"/>
          <w:vertAlign w:val="baseline"/>
          <w:lang w:val="en-US" w:eastAsia="en-US"/>
        </w:rPr>
        <w:t>Statement</w:t>
      </w:r>
      <w:r w:rsidR="006C15BD" w:rsidRPr="00C504CD">
        <w:rPr>
          <w:rStyle w:val="Appelnotedebasdep"/>
          <w:rFonts w:ascii="Arial" w:eastAsiaTheme="minorHAnsi" w:hAnsi="Arial" w:cs="Arial"/>
          <w:sz w:val="18"/>
          <w:szCs w:val="18"/>
          <w:vertAlign w:val="baseline"/>
          <w:lang w:val="en-US" w:eastAsia="en-US"/>
        </w:rPr>
        <w:t xml:space="preserve"> </w:t>
      </w:r>
      <w:r w:rsidRPr="00C504CD">
        <w:rPr>
          <w:rStyle w:val="Appelnotedebasdep"/>
          <w:rFonts w:ascii="Arial" w:eastAsiaTheme="minorHAnsi" w:hAnsi="Arial" w:cs="Arial"/>
          <w:sz w:val="18"/>
          <w:szCs w:val="18"/>
          <w:vertAlign w:val="baseline"/>
          <w:lang w:val="en-US" w:eastAsia="en-US"/>
        </w:rPr>
        <w:t>II</w:t>
      </w:r>
      <w:r w:rsidR="006C15BD" w:rsidRPr="00C504CD">
        <w:rPr>
          <w:rStyle w:val="Appelnotedebasdep"/>
          <w:rFonts w:ascii="Arial" w:eastAsiaTheme="minorHAnsi" w:hAnsi="Arial" w:cs="Arial"/>
          <w:sz w:val="18"/>
          <w:szCs w:val="18"/>
          <w:vertAlign w:val="baseline"/>
          <w:lang w:val="en-US" w:eastAsia="en-US"/>
        </w:rPr>
        <w:t xml:space="preserve">, the unpaid </w:t>
      </w:r>
      <w:r w:rsidRPr="00C504CD">
        <w:rPr>
          <w:rStyle w:val="Appelnotedebasdep"/>
          <w:rFonts w:ascii="Arial" w:eastAsiaTheme="minorHAnsi" w:hAnsi="Arial" w:cs="Arial"/>
          <w:sz w:val="18"/>
          <w:szCs w:val="18"/>
          <w:vertAlign w:val="baseline"/>
          <w:lang w:val="en-US" w:eastAsia="en-US"/>
        </w:rPr>
        <w:t xml:space="preserve">amount from States Parties </w:t>
      </w:r>
      <w:r w:rsidR="00103156" w:rsidRPr="00C504CD">
        <w:rPr>
          <w:rStyle w:val="Appelnotedebasdep"/>
          <w:rFonts w:ascii="Arial" w:eastAsiaTheme="minorHAnsi" w:hAnsi="Arial" w:cs="Arial"/>
          <w:sz w:val="18"/>
          <w:szCs w:val="18"/>
          <w:vertAlign w:val="baseline"/>
          <w:lang w:val="en-US" w:eastAsia="en-US"/>
        </w:rPr>
        <w:t xml:space="preserve">due on </w:t>
      </w:r>
      <w:r w:rsidRPr="00C504CD">
        <w:rPr>
          <w:rStyle w:val="Appelnotedebasdep"/>
          <w:rFonts w:ascii="Arial" w:eastAsiaTheme="minorHAnsi" w:hAnsi="Arial" w:cs="Arial"/>
          <w:sz w:val="18"/>
          <w:szCs w:val="18"/>
          <w:vertAlign w:val="baseline"/>
          <w:lang w:val="en-US" w:eastAsia="en-US"/>
        </w:rPr>
        <w:t>31</w:t>
      </w:r>
      <w:r w:rsidR="008E757E" w:rsidRPr="00C504CD">
        <w:rPr>
          <w:rStyle w:val="Appelnotedebasdep"/>
          <w:rFonts w:ascii="Arial" w:eastAsiaTheme="minorHAnsi" w:hAnsi="Arial" w:cs="Arial"/>
          <w:sz w:val="18"/>
          <w:szCs w:val="18"/>
          <w:vertAlign w:val="baseline"/>
          <w:lang w:val="en-US" w:eastAsia="en-US"/>
        </w:rPr>
        <w:t> </w:t>
      </w:r>
      <w:r w:rsidRPr="00C504CD">
        <w:rPr>
          <w:rStyle w:val="Appelnotedebasdep"/>
          <w:rFonts w:ascii="Arial" w:eastAsiaTheme="minorHAnsi" w:hAnsi="Arial" w:cs="Arial"/>
          <w:sz w:val="18"/>
          <w:szCs w:val="18"/>
          <w:vertAlign w:val="baseline"/>
          <w:lang w:val="en-US" w:eastAsia="en-US"/>
        </w:rPr>
        <w:t>December</w:t>
      </w:r>
      <w:r w:rsidR="00103156" w:rsidRPr="00C504CD">
        <w:rPr>
          <w:rStyle w:val="Appelnotedebasdep"/>
          <w:rFonts w:ascii="Arial" w:eastAsiaTheme="minorHAnsi" w:hAnsi="Arial" w:cs="Arial"/>
          <w:sz w:val="18"/>
          <w:szCs w:val="18"/>
          <w:vertAlign w:val="baseline"/>
          <w:lang w:val="en-US" w:eastAsia="en-US"/>
        </w:rPr>
        <w:t xml:space="preserve"> </w:t>
      </w:r>
      <w:r w:rsidRPr="00C504CD">
        <w:rPr>
          <w:rStyle w:val="Appelnotedebasdep"/>
          <w:rFonts w:ascii="Arial" w:eastAsiaTheme="minorHAnsi" w:hAnsi="Arial" w:cs="Arial"/>
          <w:sz w:val="18"/>
          <w:szCs w:val="18"/>
          <w:vertAlign w:val="baseline"/>
          <w:lang w:val="en-US" w:eastAsia="en-US"/>
        </w:rPr>
        <w:t>201</w:t>
      </w:r>
      <w:r w:rsidR="00103156" w:rsidRPr="00C504CD">
        <w:rPr>
          <w:rStyle w:val="Appelnotedebasdep"/>
          <w:rFonts w:ascii="Arial" w:eastAsiaTheme="minorHAnsi" w:hAnsi="Arial" w:cs="Arial"/>
          <w:sz w:val="18"/>
          <w:szCs w:val="18"/>
          <w:vertAlign w:val="baseline"/>
          <w:lang w:val="en-US" w:eastAsia="en-US"/>
        </w:rPr>
        <w:t>9</w:t>
      </w:r>
      <w:r w:rsidRPr="00C504CD">
        <w:rPr>
          <w:rStyle w:val="Appelnotedebasdep"/>
          <w:rFonts w:ascii="Arial" w:eastAsiaTheme="minorHAnsi" w:hAnsi="Arial" w:cs="Arial"/>
          <w:sz w:val="18"/>
          <w:szCs w:val="18"/>
          <w:vertAlign w:val="baseline"/>
          <w:lang w:val="en-US" w:eastAsia="en-US"/>
        </w:rPr>
        <w:t xml:space="preserve"> was US$4</w:t>
      </w:r>
      <w:r w:rsidR="00103156" w:rsidRPr="00C504CD">
        <w:rPr>
          <w:rStyle w:val="Appelnotedebasdep"/>
          <w:rFonts w:ascii="Arial" w:eastAsiaTheme="minorHAnsi" w:hAnsi="Arial" w:cs="Arial"/>
          <w:sz w:val="18"/>
          <w:szCs w:val="18"/>
          <w:vertAlign w:val="baseline"/>
          <w:lang w:val="en-US" w:eastAsia="en-US"/>
        </w:rPr>
        <w:t>3</w:t>
      </w:r>
      <w:r w:rsidRPr="00C504CD">
        <w:rPr>
          <w:rStyle w:val="Appelnotedebasdep"/>
          <w:rFonts w:ascii="Arial" w:eastAsiaTheme="minorHAnsi" w:hAnsi="Arial" w:cs="Arial"/>
          <w:sz w:val="18"/>
          <w:szCs w:val="18"/>
          <w:vertAlign w:val="baseline"/>
          <w:lang w:val="en-US" w:eastAsia="en-US"/>
        </w:rPr>
        <w:t>5,</w:t>
      </w:r>
      <w:r w:rsidR="00103156" w:rsidRPr="00C504CD">
        <w:rPr>
          <w:rStyle w:val="Appelnotedebasdep"/>
          <w:rFonts w:ascii="Arial" w:eastAsiaTheme="minorHAnsi" w:hAnsi="Arial" w:cs="Arial"/>
          <w:sz w:val="18"/>
          <w:szCs w:val="18"/>
          <w:vertAlign w:val="baseline"/>
          <w:lang w:val="en-US" w:eastAsia="en-US"/>
        </w:rPr>
        <w:t>138</w:t>
      </w:r>
      <w:r w:rsidRPr="00C504CD">
        <w:rPr>
          <w:rStyle w:val="Appelnotedebasdep"/>
          <w:rFonts w:ascii="Arial" w:eastAsiaTheme="minorHAnsi" w:hAnsi="Arial" w:cs="Arial"/>
          <w:sz w:val="18"/>
          <w:szCs w:val="18"/>
          <w:vertAlign w:val="baseline"/>
          <w:lang w:val="en-US" w:eastAsia="en-US"/>
        </w:rPr>
        <w:t>.</w:t>
      </w:r>
      <w:r w:rsidR="00103156" w:rsidRPr="00C504CD">
        <w:rPr>
          <w:rStyle w:val="Appelnotedebasdep"/>
          <w:rFonts w:ascii="Arial" w:eastAsiaTheme="minorHAnsi" w:hAnsi="Arial" w:cs="Arial"/>
          <w:sz w:val="18"/>
          <w:szCs w:val="18"/>
          <w:vertAlign w:val="baseline"/>
          <w:lang w:val="en-US" w:eastAsia="en-US"/>
        </w:rPr>
        <w:t xml:space="preserve"> The </w:t>
      </w:r>
      <w:r w:rsidRPr="00C504CD">
        <w:rPr>
          <w:rStyle w:val="Appelnotedebasdep"/>
          <w:rFonts w:ascii="Arial" w:eastAsiaTheme="minorHAnsi" w:hAnsi="Arial" w:cs="Arial"/>
          <w:sz w:val="18"/>
          <w:szCs w:val="18"/>
          <w:vertAlign w:val="baseline"/>
          <w:lang w:val="en-US" w:eastAsia="en-US"/>
        </w:rPr>
        <w:t xml:space="preserve">assessed </w:t>
      </w:r>
      <w:r w:rsidR="00103156" w:rsidRPr="00C504CD">
        <w:rPr>
          <w:rStyle w:val="Appelnotedebasdep"/>
          <w:rFonts w:ascii="Arial" w:eastAsiaTheme="minorHAnsi" w:hAnsi="Arial" w:cs="Arial"/>
          <w:sz w:val="18"/>
          <w:szCs w:val="18"/>
          <w:vertAlign w:val="baseline"/>
          <w:lang w:val="en-US" w:eastAsia="en-US"/>
        </w:rPr>
        <w:t xml:space="preserve">voluntary </w:t>
      </w:r>
      <w:r w:rsidRPr="00C504CD">
        <w:rPr>
          <w:rStyle w:val="Appelnotedebasdep"/>
          <w:rFonts w:ascii="Arial" w:eastAsiaTheme="minorHAnsi" w:hAnsi="Arial" w:cs="Arial"/>
          <w:sz w:val="18"/>
          <w:szCs w:val="18"/>
          <w:vertAlign w:val="baseline"/>
          <w:lang w:val="en-US" w:eastAsia="en-US"/>
        </w:rPr>
        <w:t>contributions a</w:t>
      </w:r>
      <w:r w:rsidR="00103156" w:rsidRPr="00C504CD">
        <w:rPr>
          <w:rStyle w:val="Appelnotedebasdep"/>
          <w:rFonts w:ascii="Arial" w:eastAsiaTheme="minorHAnsi" w:hAnsi="Arial" w:cs="Arial"/>
          <w:sz w:val="18"/>
          <w:szCs w:val="18"/>
          <w:vertAlign w:val="baseline"/>
          <w:lang w:val="en-US" w:eastAsia="en-US"/>
        </w:rPr>
        <w:t xml:space="preserve">ppear as </w:t>
      </w:r>
      <w:r w:rsidRPr="00C504CD">
        <w:rPr>
          <w:rStyle w:val="Appelnotedebasdep"/>
          <w:rFonts w:ascii="Arial" w:eastAsiaTheme="minorHAnsi" w:hAnsi="Arial" w:cs="Arial"/>
          <w:sz w:val="18"/>
          <w:szCs w:val="18"/>
          <w:vertAlign w:val="baseline"/>
          <w:lang w:val="en-US" w:eastAsia="en-US"/>
        </w:rPr>
        <w:t xml:space="preserve">income only </w:t>
      </w:r>
      <w:r w:rsidR="00103156" w:rsidRPr="00C504CD">
        <w:rPr>
          <w:rStyle w:val="Appelnotedebasdep"/>
          <w:rFonts w:ascii="Arial" w:eastAsiaTheme="minorHAnsi" w:hAnsi="Arial" w:cs="Arial"/>
          <w:sz w:val="18"/>
          <w:szCs w:val="18"/>
          <w:vertAlign w:val="baseline"/>
          <w:lang w:val="en-US" w:eastAsia="en-US"/>
        </w:rPr>
        <w:t xml:space="preserve">on the date when they are </w:t>
      </w:r>
      <w:r w:rsidRPr="00C504CD">
        <w:rPr>
          <w:rStyle w:val="Appelnotedebasdep"/>
          <w:rFonts w:ascii="Arial" w:eastAsiaTheme="minorHAnsi" w:hAnsi="Arial" w:cs="Arial"/>
          <w:sz w:val="18"/>
          <w:szCs w:val="18"/>
          <w:vertAlign w:val="baseline"/>
          <w:lang w:val="en-US" w:eastAsia="en-US"/>
        </w:rPr>
        <w:t>received.</w:t>
      </w:r>
    </w:p>
  </w:footnote>
  <w:footnote w:id="3">
    <w:p w14:paraId="6ED65E4A" w14:textId="50ED749C" w:rsidR="0015084F" w:rsidRPr="00C504CD" w:rsidRDefault="0015084F" w:rsidP="00C504CD">
      <w:pPr>
        <w:pStyle w:val="Notedebasdepage"/>
        <w:tabs>
          <w:tab w:val="left" w:pos="426"/>
        </w:tabs>
        <w:spacing w:after="0" w:line="240" w:lineRule="auto"/>
        <w:ind w:left="426" w:hanging="426"/>
        <w:jc w:val="both"/>
        <w:rPr>
          <w:rFonts w:ascii="Arial" w:hAnsi="Arial" w:cs="Arial"/>
          <w:sz w:val="18"/>
          <w:szCs w:val="18"/>
          <w:lang w:val="en-US"/>
        </w:rPr>
      </w:pPr>
      <w:r w:rsidRPr="00C504CD">
        <w:rPr>
          <w:rStyle w:val="Appelnotedebasdep"/>
          <w:rFonts w:ascii="Arial" w:eastAsiaTheme="minorHAnsi" w:hAnsi="Arial" w:cs="Arial"/>
          <w:sz w:val="18"/>
          <w:szCs w:val="18"/>
          <w:vertAlign w:val="baseline"/>
          <w:lang w:val="en-US" w:eastAsia="en-US"/>
        </w:rPr>
        <w:footnoteRef/>
      </w:r>
      <w:r w:rsidRPr="00C504CD">
        <w:rPr>
          <w:rStyle w:val="Appelnotedebasdep"/>
          <w:rFonts w:ascii="Arial" w:eastAsiaTheme="minorHAnsi" w:hAnsi="Arial" w:cs="Arial"/>
          <w:sz w:val="18"/>
          <w:szCs w:val="18"/>
          <w:vertAlign w:val="baseline"/>
          <w:lang w:val="en-US" w:eastAsia="en-US"/>
        </w:rPr>
        <w:t>.</w:t>
      </w:r>
      <w:r w:rsidRPr="00C504CD">
        <w:rPr>
          <w:rStyle w:val="Appelnotedebasdep"/>
          <w:rFonts w:ascii="Arial" w:eastAsiaTheme="minorHAnsi" w:hAnsi="Arial" w:cs="Arial"/>
          <w:sz w:val="18"/>
          <w:szCs w:val="18"/>
          <w:vertAlign w:val="baseline"/>
          <w:lang w:val="en-US" w:eastAsia="en-US"/>
        </w:rPr>
        <w:tab/>
        <w:t>Since its creation in 2010, the sub-fund – intended exclusively to strengthen the human capacities of the Secretariat</w:t>
      </w:r>
      <w:r w:rsidR="0089182A" w:rsidRPr="00C504CD">
        <w:rPr>
          <w:rStyle w:val="Appelnotedebasdep"/>
          <w:rFonts w:ascii="Arial" w:eastAsiaTheme="minorHAnsi" w:hAnsi="Arial" w:cs="Arial"/>
          <w:sz w:val="18"/>
          <w:szCs w:val="18"/>
          <w:vertAlign w:val="baseline"/>
          <w:lang w:val="en-US" w:eastAsia="en-US"/>
        </w:rPr>
        <w:t> </w:t>
      </w:r>
      <w:r w:rsidRPr="00C504CD">
        <w:rPr>
          <w:rStyle w:val="Appelnotedebasdep"/>
          <w:rFonts w:ascii="Arial" w:eastAsiaTheme="minorHAnsi" w:hAnsi="Arial" w:cs="Arial"/>
          <w:sz w:val="18"/>
          <w:szCs w:val="18"/>
          <w:vertAlign w:val="baseline"/>
          <w:lang w:val="en-US" w:eastAsia="en-US"/>
        </w:rPr>
        <w:t>– had received contributions amounting to a total of US$1.5 million</w:t>
      </w:r>
      <w:r w:rsidR="0089182A" w:rsidRPr="00C504CD">
        <w:rPr>
          <w:rStyle w:val="Appelnotedebasdep"/>
          <w:rFonts w:ascii="Arial" w:eastAsiaTheme="minorHAnsi" w:hAnsi="Arial" w:cs="Arial"/>
          <w:sz w:val="18"/>
          <w:szCs w:val="18"/>
          <w:vertAlign w:val="baseline"/>
          <w:lang w:val="en-US" w:eastAsia="en-US"/>
        </w:rPr>
        <w:t xml:space="preserve"> as of 31 December 2019</w:t>
      </w:r>
      <w:r w:rsidRPr="00C504CD">
        <w:rPr>
          <w:rStyle w:val="Appelnotedebasdep"/>
          <w:rFonts w:ascii="Arial" w:eastAsiaTheme="minorHAnsi" w:hAnsi="Arial" w:cs="Arial"/>
          <w:sz w:val="18"/>
          <w:szCs w:val="18"/>
          <w:vertAlign w:val="baseline"/>
          <w:lang w:val="en-US" w:eastAsia="en-US"/>
        </w:rPr>
        <w:t>.</w:t>
      </w:r>
    </w:p>
  </w:footnote>
  <w:footnote w:id="4">
    <w:p w14:paraId="65B80EB8" w14:textId="125891CD" w:rsidR="00DC2D42" w:rsidRPr="009A281E" w:rsidRDefault="00DC2D42" w:rsidP="00C504CD">
      <w:pPr>
        <w:pStyle w:val="Notedebasdepage"/>
        <w:tabs>
          <w:tab w:val="left" w:pos="426"/>
        </w:tabs>
        <w:spacing w:after="0" w:line="240" w:lineRule="auto"/>
        <w:ind w:left="426" w:hanging="426"/>
        <w:jc w:val="both"/>
        <w:rPr>
          <w:rStyle w:val="Appelnotedebasdep"/>
          <w:rFonts w:ascii="Arial" w:eastAsiaTheme="minorHAnsi" w:hAnsi="Arial" w:cs="Arial"/>
          <w:sz w:val="18"/>
          <w:szCs w:val="18"/>
          <w:vertAlign w:val="baseline"/>
          <w:lang w:val="en-GB" w:eastAsia="en-US"/>
        </w:rPr>
      </w:pPr>
      <w:r w:rsidRPr="00C504CD">
        <w:rPr>
          <w:rStyle w:val="Appelnotedebasdep"/>
          <w:rFonts w:ascii="Arial" w:eastAsiaTheme="minorHAnsi" w:hAnsi="Arial" w:cs="Arial"/>
          <w:sz w:val="18"/>
          <w:szCs w:val="18"/>
          <w:vertAlign w:val="baseline"/>
          <w:lang w:val="en-US" w:eastAsia="en-US"/>
        </w:rPr>
        <w:footnoteRef/>
      </w:r>
      <w:r w:rsidRPr="009A281E">
        <w:rPr>
          <w:rStyle w:val="Appelnotedebasdep"/>
          <w:rFonts w:ascii="Arial" w:eastAsiaTheme="minorHAnsi" w:hAnsi="Arial" w:cs="Arial"/>
          <w:sz w:val="18"/>
          <w:szCs w:val="18"/>
          <w:vertAlign w:val="baseline"/>
          <w:lang w:val="en-GB" w:eastAsia="en-US"/>
        </w:rPr>
        <w:t>.</w:t>
      </w:r>
      <w:r w:rsidRPr="009A281E">
        <w:rPr>
          <w:rStyle w:val="Appelnotedebasdep"/>
          <w:rFonts w:ascii="Arial" w:eastAsiaTheme="minorHAnsi" w:hAnsi="Arial" w:cs="Arial"/>
          <w:sz w:val="18"/>
          <w:szCs w:val="18"/>
          <w:vertAlign w:val="baseline"/>
          <w:lang w:val="en-GB" w:eastAsia="en-US"/>
        </w:rPr>
        <w:tab/>
        <w:t xml:space="preserve">Figures </w:t>
      </w:r>
      <w:r w:rsidR="009A281E" w:rsidRPr="009A281E">
        <w:rPr>
          <w:rFonts w:ascii="Arial" w:eastAsiaTheme="minorHAnsi" w:hAnsi="Arial" w:cs="Arial"/>
          <w:sz w:val="18"/>
          <w:szCs w:val="18"/>
          <w:lang w:val="en-GB" w:eastAsia="en-US"/>
        </w:rPr>
        <w:t>hav</w:t>
      </w:r>
      <w:r w:rsidR="009A281E">
        <w:rPr>
          <w:rFonts w:ascii="Arial" w:eastAsiaTheme="minorHAnsi" w:hAnsi="Arial" w:cs="Arial"/>
          <w:sz w:val="18"/>
          <w:szCs w:val="18"/>
          <w:lang w:val="en-GB" w:eastAsia="en-US"/>
        </w:rPr>
        <w:t xml:space="preserve">e been </w:t>
      </w:r>
      <w:r w:rsidRPr="009A281E">
        <w:rPr>
          <w:rStyle w:val="Appelnotedebasdep"/>
          <w:rFonts w:ascii="Arial" w:eastAsiaTheme="minorHAnsi" w:hAnsi="Arial" w:cs="Arial"/>
          <w:sz w:val="18"/>
          <w:szCs w:val="18"/>
          <w:vertAlign w:val="baseline"/>
          <w:lang w:val="en-GB" w:eastAsia="en-US"/>
        </w:rPr>
        <w:t xml:space="preserve">rounded </w:t>
      </w:r>
      <w:r w:rsidR="009A281E" w:rsidRPr="009A281E">
        <w:rPr>
          <w:rStyle w:val="Appelnotedebasdep"/>
          <w:rFonts w:ascii="Arial" w:eastAsiaTheme="minorHAnsi" w:hAnsi="Arial" w:cs="Arial"/>
          <w:sz w:val="18"/>
          <w:szCs w:val="18"/>
          <w:vertAlign w:val="baseline"/>
          <w:lang w:val="en-GB" w:eastAsia="en-US"/>
        </w:rPr>
        <w:t>a</w:t>
      </w:r>
      <w:r w:rsidR="009A281E" w:rsidRPr="009A281E">
        <w:rPr>
          <w:rFonts w:ascii="Arial" w:eastAsiaTheme="minorHAnsi" w:hAnsi="Arial" w:cs="Arial"/>
          <w:sz w:val="18"/>
          <w:szCs w:val="18"/>
          <w:lang w:val="en-GB" w:eastAsia="en-US"/>
        </w:rPr>
        <w:t>s</w:t>
      </w:r>
      <w:r w:rsidRPr="009A281E">
        <w:rPr>
          <w:rStyle w:val="Appelnotedebasdep"/>
          <w:rFonts w:ascii="Arial" w:eastAsiaTheme="minorHAnsi" w:hAnsi="Arial" w:cs="Arial"/>
          <w:sz w:val="18"/>
          <w:szCs w:val="18"/>
          <w:vertAlign w:val="baseline"/>
          <w:lang w:val="en-GB" w:eastAsia="en-US"/>
        </w:rPr>
        <w:t xml:space="preserve"> compared to Financial Statement I, pages </w:t>
      </w:r>
      <w:r w:rsidR="00E823F1" w:rsidRPr="009A281E">
        <w:rPr>
          <w:rStyle w:val="Appelnotedebasdep"/>
          <w:rFonts w:ascii="Arial" w:eastAsiaTheme="minorHAnsi" w:hAnsi="Arial" w:cs="Arial"/>
          <w:sz w:val="18"/>
          <w:szCs w:val="18"/>
          <w:vertAlign w:val="baseline"/>
          <w:lang w:val="en-GB" w:eastAsia="en-US"/>
        </w:rPr>
        <w:t>6</w:t>
      </w:r>
      <w:r w:rsidRPr="009A281E">
        <w:rPr>
          <w:rStyle w:val="Appelnotedebasdep"/>
          <w:rFonts w:ascii="Arial" w:eastAsiaTheme="minorHAnsi" w:hAnsi="Arial" w:cs="Arial"/>
          <w:sz w:val="18"/>
          <w:szCs w:val="18"/>
          <w:vertAlign w:val="baseline"/>
          <w:lang w:val="en-GB" w:eastAsia="en-US"/>
        </w:rPr>
        <w:t>–</w:t>
      </w:r>
      <w:r w:rsidR="00E823F1" w:rsidRPr="009A281E">
        <w:rPr>
          <w:rStyle w:val="Appelnotedebasdep"/>
          <w:rFonts w:ascii="Arial" w:eastAsiaTheme="minorHAnsi" w:hAnsi="Arial" w:cs="Arial"/>
          <w:sz w:val="18"/>
          <w:szCs w:val="18"/>
          <w:vertAlign w:val="baseline"/>
          <w:lang w:val="en-GB" w:eastAsia="en-US"/>
        </w:rPr>
        <w:t>7</w:t>
      </w:r>
      <w:r w:rsidRPr="009A281E">
        <w:rPr>
          <w:rStyle w:val="Appelnotedebasdep"/>
          <w:rFonts w:ascii="Arial" w:eastAsiaTheme="minorHAnsi" w:hAnsi="Arial" w:cs="Arial"/>
          <w:sz w:val="18"/>
          <w:szCs w:val="18"/>
          <w:vertAlign w:val="baseline"/>
          <w:lang w:val="en-GB" w:eastAsia="en-US"/>
        </w:rPr>
        <w:t>.</w:t>
      </w:r>
    </w:p>
  </w:footnote>
  <w:footnote w:id="5">
    <w:p w14:paraId="4D8A0AED" w14:textId="68FC4B14" w:rsidR="001769EA" w:rsidRPr="00C504CD" w:rsidRDefault="001769EA" w:rsidP="00C504CD">
      <w:pPr>
        <w:pStyle w:val="Notedebasdepage"/>
        <w:tabs>
          <w:tab w:val="left" w:pos="426"/>
        </w:tabs>
        <w:spacing w:after="0" w:line="240" w:lineRule="auto"/>
        <w:ind w:left="426" w:hanging="426"/>
        <w:jc w:val="both"/>
        <w:rPr>
          <w:sz w:val="18"/>
          <w:szCs w:val="18"/>
          <w:lang w:val="en-GB"/>
        </w:rPr>
      </w:pPr>
      <w:r w:rsidRPr="00C504CD">
        <w:rPr>
          <w:rStyle w:val="Appelnotedebasdep"/>
          <w:rFonts w:ascii="Arial" w:eastAsiaTheme="minorHAnsi" w:hAnsi="Arial" w:cs="Arial"/>
          <w:sz w:val="18"/>
          <w:szCs w:val="18"/>
          <w:vertAlign w:val="baseline"/>
          <w:lang w:val="en-US" w:eastAsia="en-US"/>
        </w:rPr>
        <w:footnoteRef/>
      </w:r>
      <w:r w:rsidRPr="00C504CD">
        <w:rPr>
          <w:rStyle w:val="Appelnotedebasdep"/>
          <w:rFonts w:ascii="Arial" w:eastAsiaTheme="minorHAnsi" w:hAnsi="Arial" w:cs="Arial"/>
          <w:sz w:val="18"/>
          <w:szCs w:val="18"/>
          <w:vertAlign w:val="baseline"/>
          <w:lang w:val="en-US" w:eastAsia="en-US"/>
        </w:rPr>
        <w:t>.</w:t>
      </w:r>
      <w:r w:rsidRPr="00C504CD">
        <w:rPr>
          <w:rStyle w:val="Appelnotedebasdep"/>
          <w:rFonts w:ascii="Arial" w:eastAsiaTheme="minorHAnsi" w:hAnsi="Arial" w:cs="Arial"/>
          <w:sz w:val="18"/>
          <w:szCs w:val="18"/>
          <w:vertAlign w:val="baseline"/>
          <w:lang w:val="en-US" w:eastAsia="en-US"/>
        </w:rPr>
        <w:tab/>
      </w:r>
      <w:r w:rsidR="00495A6C" w:rsidRPr="00C504CD">
        <w:rPr>
          <w:rStyle w:val="Appelnotedebasdep"/>
          <w:rFonts w:ascii="Arial" w:eastAsiaTheme="minorHAnsi" w:hAnsi="Arial" w:cs="Arial"/>
          <w:sz w:val="18"/>
          <w:szCs w:val="18"/>
          <w:vertAlign w:val="baseline"/>
          <w:lang w:val="en-US" w:eastAsia="en-US"/>
        </w:rPr>
        <w:t xml:space="preserve">This figure </w:t>
      </w:r>
      <w:r w:rsidR="00495A6C" w:rsidRPr="00C504CD">
        <w:rPr>
          <w:rFonts w:ascii="Arial" w:eastAsiaTheme="minorHAnsi" w:hAnsi="Arial" w:cs="Arial"/>
          <w:sz w:val="18"/>
          <w:szCs w:val="18"/>
          <w:lang w:val="en-US" w:eastAsia="en-US"/>
        </w:rPr>
        <w:t xml:space="preserve">reflects International Assistance requests that have materialized into contracts during the reporting period, irrespective of their year of approval </w:t>
      </w:r>
      <w:r w:rsidR="00495A6C" w:rsidRPr="00C504CD">
        <w:rPr>
          <w:rStyle w:val="Appelnotedebasdep"/>
          <w:rFonts w:ascii="Arial" w:eastAsiaTheme="minorHAnsi" w:hAnsi="Arial" w:cs="Arial"/>
          <w:sz w:val="18"/>
          <w:szCs w:val="18"/>
          <w:vertAlign w:val="baseline"/>
          <w:lang w:val="en-US" w:eastAsia="en-US"/>
        </w:rPr>
        <w:t>by the Committee or the Bureau.</w:t>
      </w:r>
    </w:p>
  </w:footnote>
  <w:footnote w:id="6">
    <w:p w14:paraId="0B824018" w14:textId="627510A0" w:rsidR="002B3D00" w:rsidRPr="00C504CD" w:rsidRDefault="002B3D00" w:rsidP="00C504CD">
      <w:pPr>
        <w:pStyle w:val="Notedebasdepage"/>
        <w:tabs>
          <w:tab w:val="left" w:pos="426"/>
        </w:tabs>
        <w:spacing w:after="0" w:line="240" w:lineRule="auto"/>
        <w:ind w:left="426" w:hanging="426"/>
        <w:jc w:val="both"/>
        <w:rPr>
          <w:rStyle w:val="Appelnotedebasdep"/>
          <w:rFonts w:ascii="Arial" w:eastAsiaTheme="minorHAnsi" w:hAnsi="Arial" w:cs="Arial"/>
          <w:sz w:val="18"/>
          <w:szCs w:val="18"/>
          <w:vertAlign w:val="baseline"/>
          <w:lang w:eastAsia="en-US"/>
        </w:rPr>
      </w:pPr>
      <w:r w:rsidRPr="00C504CD">
        <w:rPr>
          <w:rStyle w:val="Appelnotedebasdep"/>
          <w:rFonts w:ascii="Arial" w:eastAsiaTheme="minorHAnsi" w:hAnsi="Arial" w:cs="Arial"/>
          <w:sz w:val="18"/>
          <w:szCs w:val="18"/>
          <w:vertAlign w:val="baseline"/>
          <w:lang w:val="en-US" w:eastAsia="en-US"/>
        </w:rPr>
        <w:footnoteRef/>
      </w:r>
      <w:r w:rsidRPr="00C504CD">
        <w:rPr>
          <w:rStyle w:val="Appelnotedebasdep"/>
          <w:rFonts w:ascii="Arial" w:eastAsiaTheme="minorHAnsi" w:hAnsi="Arial" w:cs="Arial"/>
          <w:sz w:val="18"/>
          <w:szCs w:val="18"/>
          <w:vertAlign w:val="baseline"/>
          <w:lang w:val="en-US" w:eastAsia="en-US"/>
        </w:rPr>
        <w:t>.</w:t>
      </w:r>
      <w:r w:rsidRPr="00C504CD">
        <w:rPr>
          <w:rStyle w:val="Appelnotedebasdep"/>
          <w:rFonts w:ascii="Arial" w:eastAsiaTheme="minorHAnsi" w:hAnsi="Arial" w:cs="Arial"/>
          <w:sz w:val="18"/>
          <w:szCs w:val="18"/>
          <w:vertAlign w:val="baseline"/>
          <w:lang w:val="en-US" w:eastAsia="en-US"/>
        </w:rPr>
        <w:tab/>
        <w:t xml:space="preserve">Annex II(b) issued by the </w:t>
      </w:r>
      <w:r w:rsidR="001E0074" w:rsidRPr="00C504CD">
        <w:rPr>
          <w:rStyle w:val="Appelnotedebasdep"/>
          <w:rFonts w:ascii="Arial" w:eastAsiaTheme="minorHAnsi" w:hAnsi="Arial" w:cs="Arial"/>
          <w:sz w:val="18"/>
          <w:szCs w:val="18"/>
          <w:vertAlign w:val="baseline"/>
          <w:lang w:val="en-US" w:eastAsia="en-US"/>
        </w:rPr>
        <w:t>Living Heritage Entity</w:t>
      </w:r>
      <w:r w:rsidRPr="00C504CD">
        <w:rPr>
          <w:rStyle w:val="Appelnotedebasdep"/>
          <w:rFonts w:ascii="Arial" w:eastAsiaTheme="minorHAnsi" w:hAnsi="Arial" w:cs="Arial"/>
          <w:sz w:val="18"/>
          <w:szCs w:val="18"/>
          <w:vertAlign w:val="baseline"/>
          <w:lang w:val="en-US" w:eastAsia="en-US"/>
        </w:rPr>
        <w:t xml:space="preserve"> (</w:t>
      </w:r>
      <w:r w:rsidR="001E0074" w:rsidRPr="00C504CD">
        <w:rPr>
          <w:rStyle w:val="Appelnotedebasdep"/>
          <w:rFonts w:ascii="Arial" w:eastAsiaTheme="minorHAnsi" w:hAnsi="Arial" w:cs="Arial"/>
          <w:sz w:val="18"/>
          <w:szCs w:val="18"/>
          <w:vertAlign w:val="baseline"/>
          <w:lang w:val="en-US" w:eastAsia="en-US"/>
        </w:rPr>
        <w:t>L</w:t>
      </w:r>
      <w:r w:rsidRPr="00C504CD">
        <w:rPr>
          <w:rStyle w:val="Appelnotedebasdep"/>
          <w:rFonts w:ascii="Arial" w:eastAsiaTheme="minorHAnsi" w:hAnsi="Arial" w:cs="Arial"/>
          <w:sz w:val="18"/>
          <w:szCs w:val="18"/>
          <w:vertAlign w:val="baseline"/>
          <w:lang w:val="en-US" w:eastAsia="en-US"/>
        </w:rPr>
        <w:t>H</w:t>
      </w:r>
      <w:r w:rsidR="001E0074" w:rsidRPr="00C504CD">
        <w:rPr>
          <w:rStyle w:val="Appelnotedebasdep"/>
          <w:rFonts w:ascii="Arial" w:eastAsiaTheme="minorHAnsi" w:hAnsi="Arial" w:cs="Arial"/>
          <w:sz w:val="18"/>
          <w:szCs w:val="18"/>
          <w:vertAlign w:val="baseline"/>
          <w:lang w:val="en-US" w:eastAsia="en-US"/>
        </w:rPr>
        <w:t>E</w:t>
      </w:r>
      <w:r w:rsidRPr="00C504CD">
        <w:rPr>
          <w:rStyle w:val="Appelnotedebasdep"/>
          <w:rFonts w:ascii="Arial" w:eastAsiaTheme="minorHAnsi" w:hAnsi="Arial" w:cs="Arial"/>
          <w:sz w:val="18"/>
          <w:szCs w:val="18"/>
          <w:vertAlign w:val="baseline"/>
          <w:lang w:val="en-US" w:eastAsia="en-US"/>
        </w:rPr>
        <w:t xml:space="preserve">) as a complement to the financial report issued by the </w:t>
      </w:r>
      <w:r w:rsidR="001E0074" w:rsidRPr="00C504CD">
        <w:rPr>
          <w:rStyle w:val="Appelnotedebasdep"/>
          <w:rFonts w:ascii="Arial" w:eastAsiaTheme="minorHAnsi" w:hAnsi="Arial" w:cs="Arial"/>
          <w:sz w:val="18"/>
          <w:szCs w:val="18"/>
          <w:vertAlign w:val="baseline"/>
          <w:lang w:val="en-US" w:eastAsia="en-US"/>
        </w:rPr>
        <w:t xml:space="preserve">Grants Management Section, </w:t>
      </w:r>
      <w:r w:rsidRPr="00C504CD">
        <w:rPr>
          <w:rStyle w:val="Appelnotedebasdep"/>
          <w:rFonts w:ascii="Arial" w:eastAsiaTheme="minorHAnsi" w:hAnsi="Arial" w:cs="Arial"/>
          <w:sz w:val="18"/>
          <w:szCs w:val="18"/>
          <w:vertAlign w:val="baseline"/>
          <w:lang w:val="en-US" w:eastAsia="en-US"/>
        </w:rPr>
        <w:t xml:space="preserve">Bureau of </w:t>
      </w:r>
      <w:r w:rsidR="001E0074" w:rsidRPr="00C504CD">
        <w:rPr>
          <w:rStyle w:val="Appelnotedebasdep"/>
          <w:rFonts w:ascii="Arial" w:eastAsiaTheme="minorHAnsi" w:hAnsi="Arial" w:cs="Arial"/>
          <w:sz w:val="18"/>
          <w:szCs w:val="18"/>
          <w:vertAlign w:val="baseline"/>
          <w:lang w:val="en-US" w:eastAsia="en-US"/>
        </w:rPr>
        <w:t>Strategic Planning</w:t>
      </w:r>
      <w:r w:rsidRPr="00C504CD">
        <w:rPr>
          <w:rStyle w:val="Appelnotedebasdep"/>
          <w:rFonts w:ascii="Arial" w:eastAsiaTheme="minorHAnsi" w:hAnsi="Arial" w:cs="Arial"/>
          <w:sz w:val="18"/>
          <w:szCs w:val="18"/>
          <w:vertAlign w:val="baseline"/>
          <w:lang w:val="en-US" w:eastAsia="en-US"/>
        </w:rPr>
        <w:t xml:space="preserve"> (B</w:t>
      </w:r>
      <w:r w:rsidR="001E0074" w:rsidRPr="00C504CD">
        <w:rPr>
          <w:rStyle w:val="Appelnotedebasdep"/>
          <w:rFonts w:ascii="Arial" w:eastAsiaTheme="minorHAnsi" w:hAnsi="Arial" w:cs="Arial"/>
          <w:sz w:val="18"/>
          <w:szCs w:val="18"/>
          <w:vertAlign w:val="baseline"/>
          <w:lang w:val="en-US" w:eastAsia="en-US"/>
        </w:rPr>
        <w:t>SP</w:t>
      </w:r>
      <w:r w:rsidRPr="00C504CD">
        <w:rPr>
          <w:rStyle w:val="Appelnotedebasdep"/>
          <w:rFonts w:ascii="Arial" w:eastAsiaTheme="minorHAnsi" w:hAnsi="Arial" w:cs="Arial"/>
          <w:sz w:val="18"/>
          <w:szCs w:val="18"/>
          <w:vertAlign w:val="baseline"/>
          <w:lang w:val="en-US" w:eastAsia="en-US"/>
        </w:rPr>
        <w:t>)</w:t>
      </w:r>
      <w:r w:rsidR="001E0074" w:rsidRPr="00C504CD">
        <w:rPr>
          <w:rStyle w:val="Appelnotedebasdep"/>
          <w:rFonts w:ascii="Arial" w:eastAsiaTheme="minorHAnsi" w:hAnsi="Arial" w:cs="Arial"/>
          <w:sz w:val="18"/>
          <w:szCs w:val="18"/>
          <w:vertAlign w:val="baseline"/>
          <w:lang w:val="en-US" w:eastAsia="en-US"/>
        </w:rPr>
        <w:t>.</w:t>
      </w:r>
    </w:p>
  </w:footnote>
  <w:footnote w:id="7">
    <w:p w14:paraId="0ADB63C4" w14:textId="77777777" w:rsidR="003565A8" w:rsidRPr="00C504CD" w:rsidRDefault="003565A8" w:rsidP="00C504CD">
      <w:pPr>
        <w:pStyle w:val="Notedebasdepage"/>
        <w:tabs>
          <w:tab w:val="left" w:pos="426"/>
        </w:tabs>
        <w:spacing w:after="0" w:line="240" w:lineRule="auto"/>
        <w:ind w:left="426" w:hanging="426"/>
        <w:jc w:val="both"/>
        <w:rPr>
          <w:rFonts w:ascii="Arial" w:hAnsi="Arial" w:cs="Arial"/>
          <w:sz w:val="18"/>
          <w:szCs w:val="18"/>
          <w:lang w:val="en-US"/>
        </w:rPr>
      </w:pPr>
      <w:r w:rsidRPr="00C504CD">
        <w:rPr>
          <w:rStyle w:val="Appelnotedebasdep"/>
          <w:rFonts w:ascii="Arial" w:eastAsiaTheme="minorHAnsi" w:hAnsi="Arial" w:cs="Arial"/>
          <w:sz w:val="18"/>
          <w:szCs w:val="18"/>
          <w:vertAlign w:val="baseline"/>
          <w:lang w:val="en-US" w:eastAsia="en-US"/>
        </w:rPr>
        <w:footnoteRef/>
      </w:r>
      <w:r w:rsidRPr="00C504CD">
        <w:rPr>
          <w:rStyle w:val="Appelnotedebasdep"/>
          <w:rFonts w:ascii="Arial" w:eastAsiaTheme="minorHAnsi" w:hAnsi="Arial" w:cs="Arial"/>
          <w:sz w:val="18"/>
          <w:szCs w:val="18"/>
          <w:vertAlign w:val="baseline"/>
          <w:lang w:val="en-US" w:eastAsia="en-US"/>
        </w:rPr>
        <w:t>.</w:t>
      </w:r>
      <w:r w:rsidRPr="00C504CD">
        <w:rPr>
          <w:rStyle w:val="Appelnotedebasdep"/>
          <w:rFonts w:ascii="Arial" w:eastAsiaTheme="minorHAnsi" w:hAnsi="Arial" w:cs="Arial"/>
          <w:sz w:val="18"/>
          <w:szCs w:val="18"/>
          <w:vertAlign w:val="baseline"/>
          <w:lang w:val="en-US" w:eastAsia="en-US"/>
        </w:rPr>
        <w:tab/>
        <w:t>Staff in office during the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3F6B4" w14:textId="16402926" w:rsidR="007C3D0C" w:rsidRPr="008029F3" w:rsidRDefault="002B3D00">
    <w:pPr>
      <w:pStyle w:val="En-tte"/>
      <w:rPr>
        <w:rFonts w:ascii="Arial" w:hAnsi="Arial" w:cs="Arial"/>
        <w:lang w:val="en-US"/>
      </w:rPr>
    </w:pPr>
    <w:r>
      <w:rPr>
        <w:rFonts w:ascii="Arial" w:hAnsi="Arial" w:cs="Arial"/>
        <w:sz w:val="20"/>
        <w:szCs w:val="20"/>
        <w:lang w:val="en-US"/>
      </w:rPr>
      <w:t>LHE</w:t>
    </w:r>
    <w:r w:rsidR="007C3D0C" w:rsidRPr="00A43442">
      <w:rPr>
        <w:rFonts w:ascii="Arial" w:hAnsi="Arial" w:cs="Arial"/>
        <w:sz w:val="20"/>
        <w:szCs w:val="20"/>
        <w:lang w:val="en-US"/>
      </w:rPr>
      <w:t>/</w:t>
    </w:r>
    <w:r w:rsidR="00AD61B7">
      <w:rPr>
        <w:rFonts w:ascii="Arial" w:hAnsi="Arial" w:cs="Arial"/>
        <w:sz w:val="20"/>
        <w:szCs w:val="20"/>
        <w:lang w:val="en-US"/>
      </w:rPr>
      <w:t>20</w:t>
    </w:r>
    <w:r w:rsidR="007C3D0C" w:rsidRPr="00A43442">
      <w:rPr>
        <w:rFonts w:ascii="Arial" w:hAnsi="Arial" w:cs="Arial"/>
        <w:sz w:val="20"/>
        <w:szCs w:val="20"/>
        <w:lang w:val="en-US"/>
      </w:rPr>
      <w:t>/</w:t>
    </w:r>
    <w:r w:rsidR="00AD61B7">
      <w:rPr>
        <w:rFonts w:ascii="Arial" w:hAnsi="Arial" w:cs="Arial"/>
        <w:sz w:val="20"/>
        <w:szCs w:val="20"/>
        <w:lang w:val="en-US"/>
      </w:rPr>
      <w:t>8</w:t>
    </w:r>
    <w:r w:rsidR="007C3D0C" w:rsidRPr="00A43442">
      <w:rPr>
        <w:rFonts w:ascii="Arial" w:hAnsi="Arial" w:cs="Arial"/>
        <w:sz w:val="20"/>
        <w:szCs w:val="20"/>
        <w:lang w:val="en-US"/>
      </w:rPr>
      <w:t>.GA/INF.</w:t>
    </w:r>
    <w:r w:rsidR="00AD61B7">
      <w:rPr>
        <w:rFonts w:ascii="Arial" w:hAnsi="Arial" w:cs="Arial"/>
        <w:sz w:val="20"/>
        <w:szCs w:val="20"/>
        <w:lang w:val="en-US"/>
      </w:rPr>
      <w:t>7</w:t>
    </w:r>
    <w:r w:rsidR="007C3D0C" w:rsidRPr="00A43442">
      <w:rPr>
        <w:rFonts w:ascii="Arial" w:hAnsi="Arial" w:cs="Arial"/>
        <w:sz w:val="20"/>
        <w:szCs w:val="20"/>
        <w:lang w:val="en-US"/>
      </w:rPr>
      <w:t xml:space="preserve"> – page </w:t>
    </w:r>
    <w:r w:rsidR="007C3D0C" w:rsidRPr="00A43442">
      <w:rPr>
        <w:rStyle w:val="Numrodepage"/>
        <w:rFonts w:ascii="Arial" w:hAnsi="Arial" w:cs="Arial"/>
        <w:sz w:val="20"/>
        <w:szCs w:val="20"/>
      </w:rPr>
      <w:fldChar w:fldCharType="begin"/>
    </w:r>
    <w:r w:rsidR="007C3D0C" w:rsidRPr="00A43442">
      <w:rPr>
        <w:rStyle w:val="Numrodepage"/>
        <w:rFonts w:ascii="Arial" w:hAnsi="Arial" w:cs="Arial"/>
        <w:sz w:val="20"/>
        <w:szCs w:val="20"/>
        <w:lang w:val="en-US"/>
      </w:rPr>
      <w:instrText xml:space="preserve"> PAGE </w:instrText>
    </w:r>
    <w:r w:rsidR="007C3D0C" w:rsidRPr="00A43442">
      <w:rPr>
        <w:rStyle w:val="Numrodepage"/>
        <w:rFonts w:ascii="Arial" w:hAnsi="Arial" w:cs="Arial"/>
        <w:sz w:val="20"/>
        <w:szCs w:val="20"/>
      </w:rPr>
      <w:fldChar w:fldCharType="separate"/>
    </w:r>
    <w:r w:rsidR="00E32827">
      <w:rPr>
        <w:rStyle w:val="Numrodepage"/>
        <w:rFonts w:ascii="Arial" w:hAnsi="Arial" w:cs="Arial"/>
        <w:noProof/>
        <w:sz w:val="20"/>
        <w:szCs w:val="20"/>
        <w:lang w:val="en-US"/>
      </w:rPr>
      <w:t>12</w:t>
    </w:r>
    <w:r w:rsidR="007C3D0C" w:rsidRPr="00A43442">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0A73" w14:textId="1A4C939D" w:rsidR="007C3D0C" w:rsidRPr="008029F3" w:rsidRDefault="00F1369C" w:rsidP="008029F3">
    <w:pPr>
      <w:pStyle w:val="En-tte"/>
      <w:jc w:val="right"/>
      <w:rPr>
        <w:rFonts w:ascii="Arial" w:hAnsi="Arial" w:cs="Arial"/>
        <w:lang w:val="en-US"/>
      </w:rPr>
    </w:pPr>
    <w:r>
      <w:rPr>
        <w:rFonts w:ascii="Arial" w:hAnsi="Arial" w:cs="Arial"/>
        <w:sz w:val="20"/>
        <w:szCs w:val="20"/>
        <w:lang w:val="en-US"/>
      </w:rPr>
      <w:t>LHE</w:t>
    </w:r>
    <w:r w:rsidR="001764B7" w:rsidRPr="00A43442">
      <w:rPr>
        <w:rFonts w:ascii="Arial" w:hAnsi="Arial" w:cs="Arial"/>
        <w:sz w:val="20"/>
        <w:szCs w:val="20"/>
        <w:lang w:val="en-US"/>
      </w:rPr>
      <w:t>/</w:t>
    </w:r>
    <w:r w:rsidR="003C374C">
      <w:rPr>
        <w:rFonts w:ascii="Arial" w:hAnsi="Arial" w:cs="Arial"/>
        <w:sz w:val="20"/>
        <w:szCs w:val="20"/>
        <w:lang w:val="en-US"/>
      </w:rPr>
      <w:t>20</w:t>
    </w:r>
    <w:r w:rsidR="001764B7" w:rsidRPr="00A43442">
      <w:rPr>
        <w:rFonts w:ascii="Arial" w:hAnsi="Arial" w:cs="Arial"/>
        <w:sz w:val="20"/>
        <w:szCs w:val="20"/>
        <w:lang w:val="en-US"/>
      </w:rPr>
      <w:t>/</w:t>
    </w:r>
    <w:r w:rsidR="003C374C">
      <w:rPr>
        <w:rFonts w:ascii="Arial" w:hAnsi="Arial" w:cs="Arial"/>
        <w:sz w:val="20"/>
        <w:szCs w:val="20"/>
        <w:lang w:val="en-US"/>
      </w:rPr>
      <w:t>8</w:t>
    </w:r>
    <w:r w:rsidR="001764B7" w:rsidRPr="00A43442">
      <w:rPr>
        <w:rFonts w:ascii="Arial" w:hAnsi="Arial" w:cs="Arial"/>
        <w:sz w:val="20"/>
        <w:szCs w:val="20"/>
        <w:lang w:val="en-US"/>
      </w:rPr>
      <w:t>.GA/INF.</w:t>
    </w:r>
    <w:r w:rsidR="003C374C">
      <w:rPr>
        <w:rFonts w:ascii="Arial" w:hAnsi="Arial" w:cs="Arial"/>
        <w:sz w:val="20"/>
        <w:szCs w:val="20"/>
        <w:lang w:val="en-US"/>
      </w:rPr>
      <w:t>7</w:t>
    </w:r>
    <w:r w:rsidR="007C3D0C" w:rsidRPr="00EF563B">
      <w:rPr>
        <w:rFonts w:ascii="Arial" w:hAnsi="Arial" w:cs="Arial"/>
        <w:sz w:val="20"/>
        <w:szCs w:val="20"/>
        <w:lang w:val="en-US"/>
      </w:rPr>
      <w:t xml:space="preserve"> – page </w:t>
    </w:r>
    <w:r w:rsidR="007C3D0C" w:rsidRPr="00EF563B">
      <w:rPr>
        <w:rStyle w:val="Numrodepage"/>
        <w:rFonts w:ascii="Arial" w:hAnsi="Arial" w:cs="Arial"/>
        <w:sz w:val="20"/>
        <w:szCs w:val="20"/>
      </w:rPr>
      <w:fldChar w:fldCharType="begin"/>
    </w:r>
    <w:r w:rsidR="007C3D0C" w:rsidRPr="00EF563B">
      <w:rPr>
        <w:rStyle w:val="Numrodepage"/>
        <w:rFonts w:ascii="Arial" w:hAnsi="Arial" w:cs="Arial"/>
        <w:sz w:val="20"/>
        <w:szCs w:val="20"/>
        <w:lang w:val="en-US"/>
      </w:rPr>
      <w:instrText xml:space="preserve"> </w:instrText>
    </w:r>
    <w:r w:rsidR="007C3D0C">
      <w:rPr>
        <w:rStyle w:val="Numrodepage"/>
        <w:rFonts w:ascii="Arial" w:hAnsi="Arial" w:cs="Arial"/>
        <w:sz w:val="20"/>
        <w:szCs w:val="20"/>
        <w:lang w:val="en-US"/>
      </w:rPr>
      <w:instrText>PAGE</w:instrText>
    </w:r>
    <w:r w:rsidR="007C3D0C" w:rsidRPr="00EF563B">
      <w:rPr>
        <w:rStyle w:val="Numrodepage"/>
        <w:rFonts w:ascii="Arial" w:hAnsi="Arial" w:cs="Arial"/>
        <w:sz w:val="20"/>
        <w:szCs w:val="20"/>
        <w:lang w:val="en-US"/>
      </w:rPr>
      <w:instrText xml:space="preserve"> </w:instrText>
    </w:r>
    <w:r w:rsidR="007C3D0C" w:rsidRPr="00EF563B">
      <w:rPr>
        <w:rStyle w:val="Numrodepage"/>
        <w:rFonts w:ascii="Arial" w:hAnsi="Arial" w:cs="Arial"/>
        <w:sz w:val="20"/>
        <w:szCs w:val="20"/>
      </w:rPr>
      <w:fldChar w:fldCharType="separate"/>
    </w:r>
    <w:r w:rsidR="00E32827">
      <w:rPr>
        <w:rStyle w:val="Numrodepage"/>
        <w:rFonts w:ascii="Arial" w:hAnsi="Arial" w:cs="Arial"/>
        <w:noProof/>
        <w:sz w:val="20"/>
        <w:szCs w:val="20"/>
        <w:lang w:val="en-US"/>
      </w:rPr>
      <w:t>13</w:t>
    </w:r>
    <w:r w:rsidR="007C3D0C"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905F" w14:textId="77777777" w:rsidR="007C3D0C" w:rsidRPr="008724E5" w:rsidRDefault="009B3DBC">
    <w:pPr>
      <w:pStyle w:val="En-tte"/>
    </w:pPr>
    <w:r>
      <w:rPr>
        <w:noProof/>
        <w:lang w:val="fr-FR" w:eastAsia="ja-JP"/>
      </w:rPr>
      <w:drawing>
        <wp:anchor distT="0" distB="0" distL="114300" distR="114300" simplePos="0" relativeHeight="251657728" behindDoc="0" locked="0" layoutInCell="1" allowOverlap="1" wp14:anchorId="5D4DDE36" wp14:editId="34AE8CFF">
          <wp:simplePos x="0" y="0"/>
          <wp:positionH relativeFrom="column">
            <wp:posOffset>-558165</wp:posOffset>
          </wp:positionH>
          <wp:positionV relativeFrom="paragraph">
            <wp:posOffset>13335</wp:posOffset>
          </wp:positionV>
          <wp:extent cx="2228215" cy="1367790"/>
          <wp:effectExtent l="0" t="0" r="0" b="0"/>
          <wp:wrapNone/>
          <wp:docPr id="17"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363BA" w14:textId="5CED0259" w:rsidR="007C3D0C" w:rsidRPr="00AD61B7" w:rsidRDefault="00AD61B7" w:rsidP="002938F2">
    <w:pPr>
      <w:pStyle w:val="En-tte"/>
      <w:spacing w:after="520"/>
      <w:jc w:val="right"/>
      <w:rPr>
        <w:rFonts w:ascii="Arial" w:hAnsi="Arial" w:cs="Arial"/>
        <w:b/>
        <w:sz w:val="44"/>
        <w:szCs w:val="44"/>
        <w:lang w:val="pt-PT"/>
      </w:rPr>
    </w:pPr>
    <w:r w:rsidRPr="00AD61B7">
      <w:rPr>
        <w:rFonts w:ascii="Arial" w:hAnsi="Arial" w:cs="Arial"/>
        <w:b/>
        <w:sz w:val="44"/>
        <w:szCs w:val="44"/>
        <w:lang w:val="pt-PT"/>
      </w:rPr>
      <w:t>8</w:t>
    </w:r>
    <w:r w:rsidR="007C3D0C" w:rsidRPr="00AD61B7">
      <w:rPr>
        <w:rFonts w:ascii="Arial" w:hAnsi="Arial" w:cs="Arial"/>
        <w:b/>
        <w:sz w:val="44"/>
        <w:szCs w:val="44"/>
        <w:lang w:val="pt-PT"/>
      </w:rPr>
      <w:t xml:space="preserve"> GA</w:t>
    </w:r>
  </w:p>
  <w:p w14:paraId="0235C0E6" w14:textId="539E966C" w:rsidR="007C3D0C" w:rsidRPr="00AD61B7" w:rsidRDefault="00AD61B7" w:rsidP="002D396D">
    <w:pPr>
      <w:spacing w:after="0"/>
      <w:jc w:val="right"/>
      <w:rPr>
        <w:rFonts w:ascii="Arial" w:hAnsi="Arial" w:cs="Arial"/>
        <w:b/>
        <w:szCs w:val="22"/>
        <w:lang w:val="pt-PT"/>
      </w:rPr>
    </w:pPr>
    <w:r w:rsidRPr="00AD61B7">
      <w:rPr>
        <w:rFonts w:ascii="Arial" w:hAnsi="Arial" w:cs="Arial"/>
        <w:b/>
        <w:szCs w:val="22"/>
        <w:lang w:val="pt-PT"/>
      </w:rPr>
      <w:t>LHE</w:t>
    </w:r>
    <w:r w:rsidR="007C3D0C" w:rsidRPr="00AD61B7">
      <w:rPr>
        <w:rFonts w:ascii="Arial" w:hAnsi="Arial" w:cs="Arial"/>
        <w:b/>
        <w:szCs w:val="22"/>
        <w:lang w:val="pt-PT"/>
      </w:rPr>
      <w:t>/</w:t>
    </w:r>
    <w:r w:rsidRPr="00AD61B7">
      <w:rPr>
        <w:rFonts w:ascii="Arial" w:hAnsi="Arial" w:cs="Arial"/>
        <w:b/>
        <w:szCs w:val="22"/>
        <w:lang w:val="pt-PT"/>
      </w:rPr>
      <w:t>20</w:t>
    </w:r>
    <w:r w:rsidR="007C3D0C" w:rsidRPr="00AD61B7">
      <w:rPr>
        <w:rFonts w:ascii="Arial" w:hAnsi="Arial" w:cs="Arial"/>
        <w:b/>
        <w:szCs w:val="22"/>
        <w:lang w:val="pt-PT"/>
      </w:rPr>
      <w:t>/</w:t>
    </w:r>
    <w:r w:rsidR="005B4492">
      <w:rPr>
        <w:rFonts w:ascii="Arial" w:hAnsi="Arial" w:cs="Arial"/>
        <w:b/>
        <w:szCs w:val="22"/>
        <w:lang w:val="pt-PT"/>
      </w:rPr>
      <w:t>8</w:t>
    </w:r>
    <w:r w:rsidR="007C3D0C" w:rsidRPr="00AD61B7">
      <w:rPr>
        <w:rFonts w:ascii="Arial" w:hAnsi="Arial" w:cs="Arial"/>
        <w:b/>
        <w:szCs w:val="22"/>
        <w:lang w:val="pt-PT"/>
      </w:rPr>
      <w:t>.GA/INF.</w:t>
    </w:r>
    <w:r w:rsidRPr="00AD61B7">
      <w:rPr>
        <w:rFonts w:ascii="Arial" w:hAnsi="Arial" w:cs="Arial"/>
        <w:b/>
        <w:szCs w:val="22"/>
        <w:lang w:val="pt-PT"/>
      </w:rPr>
      <w:t>7</w:t>
    </w:r>
  </w:p>
  <w:p w14:paraId="6335E15D" w14:textId="6DD21139" w:rsidR="007C3D0C" w:rsidRPr="00E8780E" w:rsidRDefault="007C3D0C" w:rsidP="007A519A">
    <w:pPr>
      <w:spacing w:after="0"/>
      <w:jc w:val="right"/>
      <w:rPr>
        <w:rFonts w:ascii="Arial" w:hAnsi="Arial" w:cs="Arial"/>
        <w:b/>
        <w:szCs w:val="22"/>
        <w:lang w:val="pt-PT"/>
      </w:rPr>
    </w:pPr>
    <w:r w:rsidRPr="00E8780E">
      <w:rPr>
        <w:rFonts w:ascii="Arial" w:hAnsi="Arial" w:cs="Arial"/>
        <w:b/>
        <w:szCs w:val="22"/>
        <w:lang w:val="pt-PT"/>
      </w:rPr>
      <w:t xml:space="preserve">Paris, </w:t>
    </w:r>
    <w:r w:rsidR="00233509">
      <w:rPr>
        <w:rFonts w:ascii="Arial" w:hAnsi="Arial" w:cs="Arial"/>
        <w:b/>
        <w:szCs w:val="22"/>
        <w:lang w:val="pt-PT"/>
      </w:rPr>
      <w:t>7</w:t>
    </w:r>
    <w:r w:rsidR="00233509" w:rsidRPr="00E8780E">
      <w:rPr>
        <w:rFonts w:ascii="Arial" w:hAnsi="Arial" w:cs="Arial"/>
        <w:b/>
        <w:szCs w:val="22"/>
        <w:lang w:val="pt-PT"/>
      </w:rPr>
      <w:t xml:space="preserve"> </w:t>
    </w:r>
    <w:r w:rsidR="006A4931" w:rsidRPr="00E8780E">
      <w:rPr>
        <w:rFonts w:ascii="Arial" w:hAnsi="Arial" w:cs="Arial"/>
        <w:b/>
        <w:szCs w:val="22"/>
        <w:lang w:val="pt-PT"/>
      </w:rPr>
      <w:t>August</w:t>
    </w:r>
    <w:r w:rsidR="007A519A" w:rsidRPr="00E8780E">
      <w:rPr>
        <w:rFonts w:ascii="Arial" w:hAnsi="Arial" w:cs="Arial"/>
        <w:b/>
        <w:szCs w:val="22"/>
        <w:lang w:val="pt-PT"/>
      </w:rPr>
      <w:t xml:space="preserve"> </w:t>
    </w:r>
    <w:r w:rsidR="0088082E" w:rsidRPr="00E8780E">
      <w:rPr>
        <w:rFonts w:ascii="Arial" w:hAnsi="Arial" w:cs="Arial"/>
        <w:b/>
        <w:szCs w:val="22"/>
        <w:lang w:val="pt-PT"/>
      </w:rPr>
      <w:t>20</w:t>
    </w:r>
    <w:r w:rsidR="00AD61B7" w:rsidRPr="00E8780E">
      <w:rPr>
        <w:rFonts w:ascii="Arial" w:hAnsi="Arial" w:cs="Arial"/>
        <w:b/>
        <w:szCs w:val="22"/>
        <w:lang w:val="pt-PT"/>
      </w:rPr>
      <w:t>20</w:t>
    </w:r>
  </w:p>
  <w:p w14:paraId="25139444" w14:textId="00554BDC" w:rsidR="007C3D0C" w:rsidRDefault="007C3D0C" w:rsidP="002D396D">
    <w:pPr>
      <w:spacing w:after="0"/>
      <w:jc w:val="right"/>
      <w:rPr>
        <w:rFonts w:ascii="Arial" w:hAnsi="Arial" w:cs="Arial"/>
        <w:b/>
        <w:szCs w:val="22"/>
      </w:rPr>
    </w:pPr>
    <w:r w:rsidRPr="00D81948">
      <w:rPr>
        <w:rFonts w:ascii="Arial" w:hAnsi="Arial" w:cs="Arial"/>
        <w:b/>
        <w:szCs w:val="22"/>
      </w:rPr>
      <w:t xml:space="preserve">Original: </w:t>
    </w:r>
    <w:r>
      <w:rPr>
        <w:rFonts w:ascii="Arial" w:hAnsi="Arial" w:cs="Arial"/>
        <w:b/>
        <w:szCs w:val="22"/>
      </w:rPr>
      <w:t>English</w:t>
    </w:r>
  </w:p>
  <w:p w14:paraId="634BF21D" w14:textId="77777777" w:rsidR="00187B6E" w:rsidRPr="00187B6E" w:rsidRDefault="00187B6E" w:rsidP="00187B6E">
    <w:pPr>
      <w:spacing w:after="0"/>
      <w:rPr>
        <w:rFonts w:ascii="Arial" w:hAnsi="Arial" w:cs="Arial"/>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1AC23FD"/>
    <w:multiLevelType w:val="hybridMultilevel"/>
    <w:tmpl w:val="50705A4A"/>
    <w:lvl w:ilvl="0" w:tplc="0AAA5900">
      <w:start w:val="1"/>
      <w:numFmt w:val="decimal"/>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1F70952"/>
    <w:multiLevelType w:val="hybridMultilevel"/>
    <w:tmpl w:val="5D06041C"/>
    <w:lvl w:ilvl="0" w:tplc="D12074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24080"/>
    <w:multiLevelType w:val="hybridMultilevel"/>
    <w:tmpl w:val="51603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F07BFE"/>
    <w:multiLevelType w:val="hybridMultilevel"/>
    <w:tmpl w:val="6CC67502"/>
    <w:lvl w:ilvl="0" w:tplc="3864E48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41BD40C5"/>
    <w:multiLevelType w:val="hybridMultilevel"/>
    <w:tmpl w:val="952C5872"/>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B71665"/>
    <w:multiLevelType w:val="hybridMultilevel"/>
    <w:tmpl w:val="929CF4D0"/>
    <w:lvl w:ilvl="0" w:tplc="D04ECF5C">
      <w:start w:val="1"/>
      <w:numFmt w:val="decimal"/>
      <w:pStyle w:val="Paragraphedeliste"/>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A02196"/>
    <w:multiLevelType w:val="hybridMultilevel"/>
    <w:tmpl w:val="4EDA57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F2EEC"/>
    <w:multiLevelType w:val="hybridMultilevel"/>
    <w:tmpl w:val="2B0E3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4205E8"/>
    <w:multiLevelType w:val="hybridMultilevel"/>
    <w:tmpl w:val="9182B90E"/>
    <w:lvl w:ilvl="0" w:tplc="04090017">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6F2D2B"/>
    <w:multiLevelType w:val="hybridMultilevel"/>
    <w:tmpl w:val="C562D1DC"/>
    <w:lvl w:ilvl="0" w:tplc="1176456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17"/>
  </w:num>
  <w:num w:numId="5">
    <w:abstractNumId w:val="15"/>
  </w:num>
  <w:num w:numId="6">
    <w:abstractNumId w:val="0"/>
  </w:num>
  <w:num w:numId="7">
    <w:abstractNumId w:val="3"/>
  </w:num>
  <w:num w:numId="8">
    <w:abstractNumId w:val="6"/>
  </w:num>
  <w:num w:numId="9">
    <w:abstractNumId w:val="9"/>
  </w:num>
  <w:num w:numId="10">
    <w:abstractNumId w:val="1"/>
  </w:num>
  <w:num w:numId="11">
    <w:abstractNumId w:val="8"/>
  </w:num>
  <w:num w:numId="12">
    <w:abstractNumId w:val="9"/>
  </w:num>
  <w:num w:numId="13">
    <w:abstractNumId w:val="9"/>
  </w:num>
  <w:num w:numId="14">
    <w:abstractNumId w:val="9"/>
  </w:num>
  <w:num w:numId="15">
    <w:abstractNumId w:val="9"/>
  </w:num>
  <w:num w:numId="16">
    <w:abstractNumId w:val="9"/>
  </w:num>
  <w:num w:numId="17">
    <w:abstractNumId w:val="11"/>
  </w:num>
  <w:num w:numId="18">
    <w:abstractNumId w:val="5"/>
  </w:num>
  <w:num w:numId="19">
    <w:abstractNumId w:val="9"/>
  </w:num>
  <w:num w:numId="20">
    <w:abstractNumId w:val="9"/>
  </w:num>
  <w:num w:numId="21">
    <w:abstractNumId w:val="9"/>
  </w:num>
  <w:num w:numId="22">
    <w:abstractNumId w:val="9"/>
  </w:num>
  <w:num w:numId="23">
    <w:abstractNumId w:val="6"/>
    <w:lvlOverride w:ilvl="0">
      <w:startOverride w:val="1"/>
    </w:lvlOverride>
  </w:num>
  <w:num w:numId="24">
    <w:abstractNumId w:val="9"/>
  </w:num>
  <w:num w:numId="25">
    <w:abstractNumId w:val="9"/>
  </w:num>
  <w:num w:numId="26">
    <w:abstractNumId w:val="9"/>
  </w:num>
  <w:num w:numId="27">
    <w:abstractNumId w:val="9"/>
  </w:num>
  <w:num w:numId="28">
    <w:abstractNumId w:val="16"/>
  </w:num>
  <w:num w:numId="29">
    <w:abstractNumId w:val="14"/>
  </w:num>
  <w:num w:numId="30">
    <w:abstractNumId w:val="4"/>
  </w:num>
  <w:num w:numId="31">
    <w:abstractNumId w:val="10"/>
  </w:num>
  <w:num w:numId="32">
    <w:abstractNumId w:val="12"/>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pt-PT" w:vendorID="64" w:dllVersion="6"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GB"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567"/>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96"/>
    <w:rsid w:val="000003ED"/>
    <w:rsid w:val="00000773"/>
    <w:rsid w:val="000016A4"/>
    <w:rsid w:val="000019DB"/>
    <w:rsid w:val="000047CC"/>
    <w:rsid w:val="00006DDD"/>
    <w:rsid w:val="00007073"/>
    <w:rsid w:val="00012043"/>
    <w:rsid w:val="000120FD"/>
    <w:rsid w:val="000150DA"/>
    <w:rsid w:val="00017560"/>
    <w:rsid w:val="00021831"/>
    <w:rsid w:val="00023505"/>
    <w:rsid w:val="00033DB5"/>
    <w:rsid w:val="000352F3"/>
    <w:rsid w:val="000360C7"/>
    <w:rsid w:val="00047E58"/>
    <w:rsid w:val="000515CF"/>
    <w:rsid w:val="00051C59"/>
    <w:rsid w:val="00055D27"/>
    <w:rsid w:val="00057621"/>
    <w:rsid w:val="00060209"/>
    <w:rsid w:val="00061CB2"/>
    <w:rsid w:val="00063EE6"/>
    <w:rsid w:val="00066857"/>
    <w:rsid w:val="000673E9"/>
    <w:rsid w:val="00073900"/>
    <w:rsid w:val="000739B5"/>
    <w:rsid w:val="00073D20"/>
    <w:rsid w:val="000745F7"/>
    <w:rsid w:val="000755E1"/>
    <w:rsid w:val="00082B3E"/>
    <w:rsid w:val="00084BEF"/>
    <w:rsid w:val="00085541"/>
    <w:rsid w:val="000913B0"/>
    <w:rsid w:val="000931F0"/>
    <w:rsid w:val="000A2C3B"/>
    <w:rsid w:val="000A34CE"/>
    <w:rsid w:val="000B52AF"/>
    <w:rsid w:val="000B56F5"/>
    <w:rsid w:val="000B5F6E"/>
    <w:rsid w:val="000C00C7"/>
    <w:rsid w:val="000C1661"/>
    <w:rsid w:val="000C16BE"/>
    <w:rsid w:val="000C3944"/>
    <w:rsid w:val="000C65E4"/>
    <w:rsid w:val="000C7B89"/>
    <w:rsid w:val="000E26B1"/>
    <w:rsid w:val="000E5D1E"/>
    <w:rsid w:val="000E7A8C"/>
    <w:rsid w:val="000F1B54"/>
    <w:rsid w:val="000F3504"/>
    <w:rsid w:val="000F4858"/>
    <w:rsid w:val="00100F68"/>
    <w:rsid w:val="00103156"/>
    <w:rsid w:val="001037E1"/>
    <w:rsid w:val="00105111"/>
    <w:rsid w:val="00106B72"/>
    <w:rsid w:val="0011750D"/>
    <w:rsid w:val="00117946"/>
    <w:rsid w:val="00121510"/>
    <w:rsid w:val="001275B6"/>
    <w:rsid w:val="00131A2D"/>
    <w:rsid w:val="001358AE"/>
    <w:rsid w:val="00135D75"/>
    <w:rsid w:val="001412DE"/>
    <w:rsid w:val="00143C64"/>
    <w:rsid w:val="0014477D"/>
    <w:rsid w:val="00144A4D"/>
    <w:rsid w:val="00147DFC"/>
    <w:rsid w:val="0015084F"/>
    <w:rsid w:val="00151351"/>
    <w:rsid w:val="00152064"/>
    <w:rsid w:val="00157CEB"/>
    <w:rsid w:val="00165E65"/>
    <w:rsid w:val="00167529"/>
    <w:rsid w:val="00172E4E"/>
    <w:rsid w:val="00174B39"/>
    <w:rsid w:val="00174EB7"/>
    <w:rsid w:val="001764B7"/>
    <w:rsid w:val="001769EA"/>
    <w:rsid w:val="001808D6"/>
    <w:rsid w:val="00181704"/>
    <w:rsid w:val="00182574"/>
    <w:rsid w:val="00184D6F"/>
    <w:rsid w:val="00187B6E"/>
    <w:rsid w:val="00193E58"/>
    <w:rsid w:val="00197D99"/>
    <w:rsid w:val="001A378D"/>
    <w:rsid w:val="001A4230"/>
    <w:rsid w:val="001A431C"/>
    <w:rsid w:val="001A7AEE"/>
    <w:rsid w:val="001B2841"/>
    <w:rsid w:val="001B2BB0"/>
    <w:rsid w:val="001B67EB"/>
    <w:rsid w:val="001C0176"/>
    <w:rsid w:val="001C521C"/>
    <w:rsid w:val="001D00B5"/>
    <w:rsid w:val="001D3B29"/>
    <w:rsid w:val="001E0074"/>
    <w:rsid w:val="001E4EEB"/>
    <w:rsid w:val="001F044D"/>
    <w:rsid w:val="001F1441"/>
    <w:rsid w:val="001F37CA"/>
    <w:rsid w:val="00201081"/>
    <w:rsid w:val="002019ED"/>
    <w:rsid w:val="002023E2"/>
    <w:rsid w:val="00213471"/>
    <w:rsid w:val="002259FA"/>
    <w:rsid w:val="00227D89"/>
    <w:rsid w:val="00232B6D"/>
    <w:rsid w:val="00233509"/>
    <w:rsid w:val="002374DE"/>
    <w:rsid w:val="00240372"/>
    <w:rsid w:val="00255177"/>
    <w:rsid w:val="002556CF"/>
    <w:rsid w:val="00256B4E"/>
    <w:rsid w:val="0027198B"/>
    <w:rsid w:val="00275132"/>
    <w:rsid w:val="00281A23"/>
    <w:rsid w:val="00281C9D"/>
    <w:rsid w:val="00286C0C"/>
    <w:rsid w:val="00287032"/>
    <w:rsid w:val="00290D5F"/>
    <w:rsid w:val="002938F2"/>
    <w:rsid w:val="002A1CBC"/>
    <w:rsid w:val="002B3D00"/>
    <w:rsid w:val="002B50BC"/>
    <w:rsid w:val="002B5D8D"/>
    <w:rsid w:val="002C1911"/>
    <w:rsid w:val="002C4850"/>
    <w:rsid w:val="002C5280"/>
    <w:rsid w:val="002D396D"/>
    <w:rsid w:val="002D4649"/>
    <w:rsid w:val="002E3266"/>
    <w:rsid w:val="002E3B93"/>
    <w:rsid w:val="002E62EA"/>
    <w:rsid w:val="002F32BF"/>
    <w:rsid w:val="002F3666"/>
    <w:rsid w:val="0030153A"/>
    <w:rsid w:val="0030548A"/>
    <w:rsid w:val="00320FF9"/>
    <w:rsid w:val="00322A88"/>
    <w:rsid w:val="00326687"/>
    <w:rsid w:val="00335AE5"/>
    <w:rsid w:val="00336F06"/>
    <w:rsid w:val="00337BD6"/>
    <w:rsid w:val="003437FD"/>
    <w:rsid w:val="00343E68"/>
    <w:rsid w:val="00355B36"/>
    <w:rsid w:val="00355DB7"/>
    <w:rsid w:val="003565A8"/>
    <w:rsid w:val="00356DDA"/>
    <w:rsid w:val="00361A08"/>
    <w:rsid w:val="00363995"/>
    <w:rsid w:val="00363EAB"/>
    <w:rsid w:val="00367A4D"/>
    <w:rsid w:val="003714CC"/>
    <w:rsid w:val="00371A22"/>
    <w:rsid w:val="00380959"/>
    <w:rsid w:val="00384D5F"/>
    <w:rsid w:val="003878DF"/>
    <w:rsid w:val="00391CC2"/>
    <w:rsid w:val="0039446E"/>
    <w:rsid w:val="003968A9"/>
    <w:rsid w:val="003B4229"/>
    <w:rsid w:val="003B5684"/>
    <w:rsid w:val="003B71DB"/>
    <w:rsid w:val="003C374C"/>
    <w:rsid w:val="003C62A3"/>
    <w:rsid w:val="003C7051"/>
    <w:rsid w:val="003C7065"/>
    <w:rsid w:val="003D20A6"/>
    <w:rsid w:val="003D3E76"/>
    <w:rsid w:val="003D56A5"/>
    <w:rsid w:val="003E4E3D"/>
    <w:rsid w:val="003E5D80"/>
    <w:rsid w:val="003F1686"/>
    <w:rsid w:val="003F7F4B"/>
    <w:rsid w:val="0040156E"/>
    <w:rsid w:val="004052CA"/>
    <w:rsid w:val="004108B6"/>
    <w:rsid w:val="0041339C"/>
    <w:rsid w:val="00417D89"/>
    <w:rsid w:val="00421C3D"/>
    <w:rsid w:val="00426676"/>
    <w:rsid w:val="00431C5E"/>
    <w:rsid w:val="00434773"/>
    <w:rsid w:val="00444DA2"/>
    <w:rsid w:val="004475B0"/>
    <w:rsid w:val="00447630"/>
    <w:rsid w:val="00450562"/>
    <w:rsid w:val="004543FC"/>
    <w:rsid w:val="00456408"/>
    <w:rsid w:val="00457EDD"/>
    <w:rsid w:val="00462FE8"/>
    <w:rsid w:val="00464A59"/>
    <w:rsid w:val="0046744B"/>
    <w:rsid w:val="00467D19"/>
    <w:rsid w:val="004718D9"/>
    <w:rsid w:val="00471B34"/>
    <w:rsid w:val="00485E13"/>
    <w:rsid w:val="00487AF0"/>
    <w:rsid w:val="00493E01"/>
    <w:rsid w:val="0049436B"/>
    <w:rsid w:val="00495719"/>
    <w:rsid w:val="00495A6C"/>
    <w:rsid w:val="004A5954"/>
    <w:rsid w:val="004B185A"/>
    <w:rsid w:val="004B2EBB"/>
    <w:rsid w:val="004B5B99"/>
    <w:rsid w:val="004C00BD"/>
    <w:rsid w:val="004C0380"/>
    <w:rsid w:val="004C6C91"/>
    <w:rsid w:val="004D17AF"/>
    <w:rsid w:val="004D2D1F"/>
    <w:rsid w:val="004F05D5"/>
    <w:rsid w:val="004F3FF0"/>
    <w:rsid w:val="005016FB"/>
    <w:rsid w:val="00503586"/>
    <w:rsid w:val="005035E7"/>
    <w:rsid w:val="00504E1C"/>
    <w:rsid w:val="005059A3"/>
    <w:rsid w:val="00511D17"/>
    <w:rsid w:val="005123D8"/>
    <w:rsid w:val="0051699F"/>
    <w:rsid w:val="00522EFF"/>
    <w:rsid w:val="00527699"/>
    <w:rsid w:val="005351A5"/>
    <w:rsid w:val="00552E74"/>
    <w:rsid w:val="00560A33"/>
    <w:rsid w:val="00562C05"/>
    <w:rsid w:val="00564908"/>
    <w:rsid w:val="00565DFE"/>
    <w:rsid w:val="00566CAD"/>
    <w:rsid w:val="0057108D"/>
    <w:rsid w:val="005811A3"/>
    <w:rsid w:val="00586520"/>
    <w:rsid w:val="00590B42"/>
    <w:rsid w:val="00594E83"/>
    <w:rsid w:val="005974BB"/>
    <w:rsid w:val="005A4282"/>
    <w:rsid w:val="005A4FE3"/>
    <w:rsid w:val="005A5792"/>
    <w:rsid w:val="005A6B51"/>
    <w:rsid w:val="005A75FE"/>
    <w:rsid w:val="005B32E0"/>
    <w:rsid w:val="005B4492"/>
    <w:rsid w:val="005B5D1B"/>
    <w:rsid w:val="005C0660"/>
    <w:rsid w:val="005C08C0"/>
    <w:rsid w:val="005C7FD8"/>
    <w:rsid w:val="005D4AA0"/>
    <w:rsid w:val="005E031E"/>
    <w:rsid w:val="005E476B"/>
    <w:rsid w:val="005E5275"/>
    <w:rsid w:val="005E715E"/>
    <w:rsid w:val="005E770E"/>
    <w:rsid w:val="005F084E"/>
    <w:rsid w:val="005F0DE9"/>
    <w:rsid w:val="005F4A48"/>
    <w:rsid w:val="00614EE8"/>
    <w:rsid w:val="00616429"/>
    <w:rsid w:val="00623C1A"/>
    <w:rsid w:val="006257D1"/>
    <w:rsid w:val="0063188F"/>
    <w:rsid w:val="00635379"/>
    <w:rsid w:val="00635A05"/>
    <w:rsid w:val="00640FC5"/>
    <w:rsid w:val="00646C65"/>
    <w:rsid w:val="006506E3"/>
    <w:rsid w:val="006515C9"/>
    <w:rsid w:val="00652318"/>
    <w:rsid w:val="0065545A"/>
    <w:rsid w:val="00657CDC"/>
    <w:rsid w:val="00662221"/>
    <w:rsid w:val="0066451D"/>
    <w:rsid w:val="006645A0"/>
    <w:rsid w:val="006667FE"/>
    <w:rsid w:val="00675C18"/>
    <w:rsid w:val="00676781"/>
    <w:rsid w:val="00683463"/>
    <w:rsid w:val="00691F7A"/>
    <w:rsid w:val="00692D05"/>
    <w:rsid w:val="00697357"/>
    <w:rsid w:val="006974F9"/>
    <w:rsid w:val="006A4931"/>
    <w:rsid w:val="006B681A"/>
    <w:rsid w:val="006C1111"/>
    <w:rsid w:val="006C15BD"/>
    <w:rsid w:val="006C39C0"/>
    <w:rsid w:val="006C55BE"/>
    <w:rsid w:val="006C75AF"/>
    <w:rsid w:val="006D7E5B"/>
    <w:rsid w:val="006E21A0"/>
    <w:rsid w:val="006E36A9"/>
    <w:rsid w:val="006E52BE"/>
    <w:rsid w:val="006E57C7"/>
    <w:rsid w:val="006F294A"/>
    <w:rsid w:val="006F461F"/>
    <w:rsid w:val="006F4B28"/>
    <w:rsid w:val="00700324"/>
    <w:rsid w:val="007024D5"/>
    <w:rsid w:val="0070543B"/>
    <w:rsid w:val="00713A15"/>
    <w:rsid w:val="00716011"/>
    <w:rsid w:val="00720710"/>
    <w:rsid w:val="00722604"/>
    <w:rsid w:val="0072307E"/>
    <w:rsid w:val="00727517"/>
    <w:rsid w:val="00727E92"/>
    <w:rsid w:val="007409A4"/>
    <w:rsid w:val="00742627"/>
    <w:rsid w:val="00745B5E"/>
    <w:rsid w:val="00746204"/>
    <w:rsid w:val="00747715"/>
    <w:rsid w:val="00750138"/>
    <w:rsid w:val="00751CC3"/>
    <w:rsid w:val="00753DA3"/>
    <w:rsid w:val="0076103C"/>
    <w:rsid w:val="00764F50"/>
    <w:rsid w:val="0076583F"/>
    <w:rsid w:val="00772D2D"/>
    <w:rsid w:val="00775E55"/>
    <w:rsid w:val="007773A7"/>
    <w:rsid w:val="007819ED"/>
    <w:rsid w:val="00787EA0"/>
    <w:rsid w:val="00790C65"/>
    <w:rsid w:val="00791613"/>
    <w:rsid w:val="00796AB0"/>
    <w:rsid w:val="007A012D"/>
    <w:rsid w:val="007A2F68"/>
    <w:rsid w:val="007A519A"/>
    <w:rsid w:val="007A7D45"/>
    <w:rsid w:val="007B1853"/>
    <w:rsid w:val="007B41E5"/>
    <w:rsid w:val="007C1B00"/>
    <w:rsid w:val="007C3CAC"/>
    <w:rsid w:val="007C3D0C"/>
    <w:rsid w:val="007C711D"/>
    <w:rsid w:val="007C7400"/>
    <w:rsid w:val="007D0988"/>
    <w:rsid w:val="007D31CE"/>
    <w:rsid w:val="007D5BB7"/>
    <w:rsid w:val="007D6FEA"/>
    <w:rsid w:val="007E0621"/>
    <w:rsid w:val="007E0881"/>
    <w:rsid w:val="007E4DAE"/>
    <w:rsid w:val="007F360A"/>
    <w:rsid w:val="007F4B07"/>
    <w:rsid w:val="007F7483"/>
    <w:rsid w:val="008029F3"/>
    <w:rsid w:val="00806B17"/>
    <w:rsid w:val="00811ECA"/>
    <w:rsid w:val="00814B19"/>
    <w:rsid w:val="00822BF1"/>
    <w:rsid w:val="0083488D"/>
    <w:rsid w:val="00840AD1"/>
    <w:rsid w:val="008411AD"/>
    <w:rsid w:val="008429D5"/>
    <w:rsid w:val="008466C3"/>
    <w:rsid w:val="00851458"/>
    <w:rsid w:val="0085571D"/>
    <w:rsid w:val="00860249"/>
    <w:rsid w:val="00860B4B"/>
    <w:rsid w:val="00861A47"/>
    <w:rsid w:val="008707FF"/>
    <w:rsid w:val="008724E5"/>
    <w:rsid w:val="00873F4B"/>
    <w:rsid w:val="008767B0"/>
    <w:rsid w:val="00876AE1"/>
    <w:rsid w:val="0088048E"/>
    <w:rsid w:val="0088082E"/>
    <w:rsid w:val="00881905"/>
    <w:rsid w:val="0088385C"/>
    <w:rsid w:val="00883D72"/>
    <w:rsid w:val="00885ED2"/>
    <w:rsid w:val="00886564"/>
    <w:rsid w:val="0089182A"/>
    <w:rsid w:val="00897A66"/>
    <w:rsid w:val="008D07BF"/>
    <w:rsid w:val="008D4300"/>
    <w:rsid w:val="008E324E"/>
    <w:rsid w:val="008E757E"/>
    <w:rsid w:val="008E7F56"/>
    <w:rsid w:val="008F16C6"/>
    <w:rsid w:val="008F1A0A"/>
    <w:rsid w:val="008F34A1"/>
    <w:rsid w:val="008F4F6E"/>
    <w:rsid w:val="0090381F"/>
    <w:rsid w:val="009121CE"/>
    <w:rsid w:val="0091362A"/>
    <w:rsid w:val="00914E97"/>
    <w:rsid w:val="00915138"/>
    <w:rsid w:val="00916940"/>
    <w:rsid w:val="00920025"/>
    <w:rsid w:val="009220D0"/>
    <w:rsid w:val="00924A13"/>
    <w:rsid w:val="009303FA"/>
    <w:rsid w:val="00930F1B"/>
    <w:rsid w:val="009351D0"/>
    <w:rsid w:val="0093782E"/>
    <w:rsid w:val="00941F83"/>
    <w:rsid w:val="00943DDE"/>
    <w:rsid w:val="00943E22"/>
    <w:rsid w:val="00946FE2"/>
    <w:rsid w:val="00950E8A"/>
    <w:rsid w:val="00952325"/>
    <w:rsid w:val="00952878"/>
    <w:rsid w:val="009538D7"/>
    <w:rsid w:val="00955C4A"/>
    <w:rsid w:val="00965BC4"/>
    <w:rsid w:val="009676AA"/>
    <w:rsid w:val="00971848"/>
    <w:rsid w:val="00972164"/>
    <w:rsid w:val="0097349C"/>
    <w:rsid w:val="00974675"/>
    <w:rsid w:val="00974D46"/>
    <w:rsid w:val="009770B7"/>
    <w:rsid w:val="009775D2"/>
    <w:rsid w:val="00977DC3"/>
    <w:rsid w:val="0099306A"/>
    <w:rsid w:val="009A281E"/>
    <w:rsid w:val="009A4F68"/>
    <w:rsid w:val="009B0C6B"/>
    <w:rsid w:val="009B2655"/>
    <w:rsid w:val="009B3DBC"/>
    <w:rsid w:val="009B4607"/>
    <w:rsid w:val="009B7183"/>
    <w:rsid w:val="009C5C23"/>
    <w:rsid w:val="009C6D4F"/>
    <w:rsid w:val="009D5E38"/>
    <w:rsid w:val="009E3180"/>
    <w:rsid w:val="009F261A"/>
    <w:rsid w:val="009F3117"/>
    <w:rsid w:val="009F3988"/>
    <w:rsid w:val="00A009CA"/>
    <w:rsid w:val="00A022EB"/>
    <w:rsid w:val="00A02EB7"/>
    <w:rsid w:val="00A1010A"/>
    <w:rsid w:val="00A150C7"/>
    <w:rsid w:val="00A22F99"/>
    <w:rsid w:val="00A258D0"/>
    <w:rsid w:val="00A25969"/>
    <w:rsid w:val="00A36534"/>
    <w:rsid w:val="00A3654C"/>
    <w:rsid w:val="00A37D3F"/>
    <w:rsid w:val="00A43442"/>
    <w:rsid w:val="00A50493"/>
    <w:rsid w:val="00A51251"/>
    <w:rsid w:val="00A519A2"/>
    <w:rsid w:val="00A52BE9"/>
    <w:rsid w:val="00A62B0F"/>
    <w:rsid w:val="00A64B40"/>
    <w:rsid w:val="00A6625A"/>
    <w:rsid w:val="00A6732A"/>
    <w:rsid w:val="00A70883"/>
    <w:rsid w:val="00A70C0F"/>
    <w:rsid w:val="00A756FB"/>
    <w:rsid w:val="00A77AEB"/>
    <w:rsid w:val="00A81B23"/>
    <w:rsid w:val="00A82A96"/>
    <w:rsid w:val="00A85A10"/>
    <w:rsid w:val="00A962A0"/>
    <w:rsid w:val="00AA0F8C"/>
    <w:rsid w:val="00AA1588"/>
    <w:rsid w:val="00AA444A"/>
    <w:rsid w:val="00AA5EAA"/>
    <w:rsid w:val="00AB1528"/>
    <w:rsid w:val="00AB1552"/>
    <w:rsid w:val="00AB2E75"/>
    <w:rsid w:val="00AC1196"/>
    <w:rsid w:val="00AC27F5"/>
    <w:rsid w:val="00AC44EF"/>
    <w:rsid w:val="00AC5B2A"/>
    <w:rsid w:val="00AD2267"/>
    <w:rsid w:val="00AD61B7"/>
    <w:rsid w:val="00AE1B18"/>
    <w:rsid w:val="00AE5198"/>
    <w:rsid w:val="00AF0BD4"/>
    <w:rsid w:val="00AF1C32"/>
    <w:rsid w:val="00AF48CA"/>
    <w:rsid w:val="00AF5CDD"/>
    <w:rsid w:val="00B1005F"/>
    <w:rsid w:val="00B11AE3"/>
    <w:rsid w:val="00B13AE2"/>
    <w:rsid w:val="00B23BA6"/>
    <w:rsid w:val="00B24C93"/>
    <w:rsid w:val="00B266C4"/>
    <w:rsid w:val="00B27592"/>
    <w:rsid w:val="00B27C85"/>
    <w:rsid w:val="00B34DAC"/>
    <w:rsid w:val="00B35FB9"/>
    <w:rsid w:val="00B4182F"/>
    <w:rsid w:val="00B43A49"/>
    <w:rsid w:val="00B45C21"/>
    <w:rsid w:val="00B53231"/>
    <w:rsid w:val="00B5544D"/>
    <w:rsid w:val="00B5761D"/>
    <w:rsid w:val="00B60DFE"/>
    <w:rsid w:val="00B6167A"/>
    <w:rsid w:val="00B6186A"/>
    <w:rsid w:val="00B61F8F"/>
    <w:rsid w:val="00B63FE2"/>
    <w:rsid w:val="00B642A7"/>
    <w:rsid w:val="00B670D3"/>
    <w:rsid w:val="00B706BE"/>
    <w:rsid w:val="00B74EEE"/>
    <w:rsid w:val="00B85CC4"/>
    <w:rsid w:val="00B87C76"/>
    <w:rsid w:val="00B93B78"/>
    <w:rsid w:val="00B947AB"/>
    <w:rsid w:val="00B96FB2"/>
    <w:rsid w:val="00B973B5"/>
    <w:rsid w:val="00BA2CD4"/>
    <w:rsid w:val="00BA5145"/>
    <w:rsid w:val="00BB2119"/>
    <w:rsid w:val="00BB4CD7"/>
    <w:rsid w:val="00BC054B"/>
    <w:rsid w:val="00BF0559"/>
    <w:rsid w:val="00BF0FC6"/>
    <w:rsid w:val="00BF114B"/>
    <w:rsid w:val="00BF1A49"/>
    <w:rsid w:val="00BF683C"/>
    <w:rsid w:val="00BF74E2"/>
    <w:rsid w:val="00C00E16"/>
    <w:rsid w:val="00C11CAB"/>
    <w:rsid w:val="00C14508"/>
    <w:rsid w:val="00C34F50"/>
    <w:rsid w:val="00C369CA"/>
    <w:rsid w:val="00C41B9D"/>
    <w:rsid w:val="00C47D45"/>
    <w:rsid w:val="00C504CD"/>
    <w:rsid w:val="00C53A06"/>
    <w:rsid w:val="00C55D1F"/>
    <w:rsid w:val="00C560D0"/>
    <w:rsid w:val="00C56C5D"/>
    <w:rsid w:val="00C570D2"/>
    <w:rsid w:val="00C60906"/>
    <w:rsid w:val="00C611F8"/>
    <w:rsid w:val="00C612C5"/>
    <w:rsid w:val="00C630AC"/>
    <w:rsid w:val="00C6478B"/>
    <w:rsid w:val="00C66707"/>
    <w:rsid w:val="00C7473A"/>
    <w:rsid w:val="00C86D52"/>
    <w:rsid w:val="00C9054C"/>
    <w:rsid w:val="00C96650"/>
    <w:rsid w:val="00CA4F7D"/>
    <w:rsid w:val="00CA6FCF"/>
    <w:rsid w:val="00CB0F37"/>
    <w:rsid w:val="00CB3DA6"/>
    <w:rsid w:val="00CB3F45"/>
    <w:rsid w:val="00CC2BC6"/>
    <w:rsid w:val="00CC3C2F"/>
    <w:rsid w:val="00CC619E"/>
    <w:rsid w:val="00CE126A"/>
    <w:rsid w:val="00CE24A5"/>
    <w:rsid w:val="00CE2586"/>
    <w:rsid w:val="00CE6DE2"/>
    <w:rsid w:val="00CF1C35"/>
    <w:rsid w:val="00CF21E8"/>
    <w:rsid w:val="00CF76A4"/>
    <w:rsid w:val="00D02A61"/>
    <w:rsid w:val="00D061F2"/>
    <w:rsid w:val="00D15FE0"/>
    <w:rsid w:val="00D245CD"/>
    <w:rsid w:val="00D252B3"/>
    <w:rsid w:val="00D25677"/>
    <w:rsid w:val="00D2779D"/>
    <w:rsid w:val="00D30A82"/>
    <w:rsid w:val="00D31584"/>
    <w:rsid w:val="00D404B7"/>
    <w:rsid w:val="00D40B20"/>
    <w:rsid w:val="00D454C3"/>
    <w:rsid w:val="00D51FC8"/>
    <w:rsid w:val="00D52FA8"/>
    <w:rsid w:val="00D542FA"/>
    <w:rsid w:val="00D547A9"/>
    <w:rsid w:val="00D7233B"/>
    <w:rsid w:val="00D74BE6"/>
    <w:rsid w:val="00D76F6A"/>
    <w:rsid w:val="00D809E5"/>
    <w:rsid w:val="00D8131F"/>
    <w:rsid w:val="00D81948"/>
    <w:rsid w:val="00D820DF"/>
    <w:rsid w:val="00D87682"/>
    <w:rsid w:val="00D9126B"/>
    <w:rsid w:val="00D913CE"/>
    <w:rsid w:val="00D9501F"/>
    <w:rsid w:val="00D9641A"/>
    <w:rsid w:val="00D979B7"/>
    <w:rsid w:val="00DA1123"/>
    <w:rsid w:val="00DA53F5"/>
    <w:rsid w:val="00DA620A"/>
    <w:rsid w:val="00DB1DF5"/>
    <w:rsid w:val="00DB50D5"/>
    <w:rsid w:val="00DB572F"/>
    <w:rsid w:val="00DC2D42"/>
    <w:rsid w:val="00DC440E"/>
    <w:rsid w:val="00DD001E"/>
    <w:rsid w:val="00DD38A9"/>
    <w:rsid w:val="00DD5B90"/>
    <w:rsid w:val="00DE2F74"/>
    <w:rsid w:val="00DE5B80"/>
    <w:rsid w:val="00DF0688"/>
    <w:rsid w:val="00DF144A"/>
    <w:rsid w:val="00DF2976"/>
    <w:rsid w:val="00DF36BC"/>
    <w:rsid w:val="00DF3DA3"/>
    <w:rsid w:val="00E04687"/>
    <w:rsid w:val="00E06A00"/>
    <w:rsid w:val="00E10817"/>
    <w:rsid w:val="00E16F28"/>
    <w:rsid w:val="00E21E51"/>
    <w:rsid w:val="00E22742"/>
    <w:rsid w:val="00E22B99"/>
    <w:rsid w:val="00E258D9"/>
    <w:rsid w:val="00E32827"/>
    <w:rsid w:val="00E3515D"/>
    <w:rsid w:val="00E3572C"/>
    <w:rsid w:val="00E375D8"/>
    <w:rsid w:val="00E439CA"/>
    <w:rsid w:val="00E51B44"/>
    <w:rsid w:val="00E5219B"/>
    <w:rsid w:val="00E56876"/>
    <w:rsid w:val="00E605C7"/>
    <w:rsid w:val="00E60D31"/>
    <w:rsid w:val="00E62A2C"/>
    <w:rsid w:val="00E65735"/>
    <w:rsid w:val="00E77AB0"/>
    <w:rsid w:val="00E823F1"/>
    <w:rsid w:val="00E85125"/>
    <w:rsid w:val="00E8636E"/>
    <w:rsid w:val="00E867EF"/>
    <w:rsid w:val="00E8780E"/>
    <w:rsid w:val="00E97DAF"/>
    <w:rsid w:val="00EA198F"/>
    <w:rsid w:val="00EA23BD"/>
    <w:rsid w:val="00EA677C"/>
    <w:rsid w:val="00EB3A0A"/>
    <w:rsid w:val="00EB74FD"/>
    <w:rsid w:val="00EC3AEC"/>
    <w:rsid w:val="00ED25A5"/>
    <w:rsid w:val="00ED58DF"/>
    <w:rsid w:val="00ED5E9D"/>
    <w:rsid w:val="00EE1372"/>
    <w:rsid w:val="00EE7026"/>
    <w:rsid w:val="00EF0BCB"/>
    <w:rsid w:val="00EF0E74"/>
    <w:rsid w:val="00EF44A6"/>
    <w:rsid w:val="00EF609E"/>
    <w:rsid w:val="00F00E8A"/>
    <w:rsid w:val="00F05410"/>
    <w:rsid w:val="00F1369C"/>
    <w:rsid w:val="00F30D4C"/>
    <w:rsid w:val="00F31AD1"/>
    <w:rsid w:val="00F410D6"/>
    <w:rsid w:val="00F4192C"/>
    <w:rsid w:val="00F41D92"/>
    <w:rsid w:val="00F420C3"/>
    <w:rsid w:val="00F46A65"/>
    <w:rsid w:val="00F532F8"/>
    <w:rsid w:val="00F63DDA"/>
    <w:rsid w:val="00F65B73"/>
    <w:rsid w:val="00F65E74"/>
    <w:rsid w:val="00F70858"/>
    <w:rsid w:val="00F7397F"/>
    <w:rsid w:val="00F73ADE"/>
    <w:rsid w:val="00F75949"/>
    <w:rsid w:val="00F81759"/>
    <w:rsid w:val="00F84E2A"/>
    <w:rsid w:val="00F84F1E"/>
    <w:rsid w:val="00F8650B"/>
    <w:rsid w:val="00F865B1"/>
    <w:rsid w:val="00F866B1"/>
    <w:rsid w:val="00F941F0"/>
    <w:rsid w:val="00F94578"/>
    <w:rsid w:val="00F94FF9"/>
    <w:rsid w:val="00FA2DB2"/>
    <w:rsid w:val="00FB4E0F"/>
    <w:rsid w:val="00FD131E"/>
    <w:rsid w:val="00FD2219"/>
    <w:rsid w:val="00FD5516"/>
    <w:rsid w:val="00FE5AC7"/>
    <w:rsid w:val="00FF1521"/>
    <w:rsid w:val="00FF2B1D"/>
    <w:rsid w:val="00FF2D3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6F6888"/>
  <w15:docId w15:val="{6B882465-2B60-4F4E-A060-E0653235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eastAsia="fr-FR"/>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spacing w:after="120"/>
    </w:pPr>
    <w:rPr>
      <w:rFonts w:ascii="Arial" w:eastAsia="Times New Roman" w:hAnsi="Arial" w:cs="Arial"/>
      <w:snapToGrid w:val="0"/>
      <w:sz w:val="22"/>
      <w:szCs w:val="22"/>
      <w:lang w:val="en-GB" w:eastAsia="en-US"/>
    </w:rPr>
  </w:style>
  <w:style w:type="paragraph" w:styleId="Sansinterligne">
    <w:name w:val="No Spacing"/>
    <w:link w:val="SansinterligneCar"/>
    <w:uiPriority w:val="1"/>
    <w:qFormat/>
    <w:rsid w:val="005A5792"/>
    <w:rPr>
      <w:rFonts w:ascii="Times New Roman" w:eastAsia="Times New Roman" w:hAnsi="Times New Roman"/>
      <w:sz w:val="24"/>
      <w:szCs w:val="24"/>
      <w:lang w:val="en-GB" w:eastAsia="en-GB"/>
    </w:rPr>
  </w:style>
  <w:style w:type="character" w:customStyle="1" w:styleId="SansinterligneCar">
    <w:name w:val="Sans interligne Car"/>
    <w:link w:val="Sansinterligne"/>
    <w:uiPriority w:val="1"/>
    <w:locked/>
    <w:rsid w:val="005A5792"/>
    <w:rPr>
      <w:rFonts w:ascii="Times New Roman" w:eastAsia="Times New Roman" w:hAnsi="Times New Roman"/>
      <w:sz w:val="24"/>
      <w:szCs w:val="24"/>
    </w:rPr>
  </w:style>
  <w:style w:type="paragraph" w:customStyle="1" w:styleId="Pranumrotrecommenc1">
    <w:name w:val="Pra numéroté recommencé à 1"/>
    <w:basedOn w:val="Normal"/>
    <w:rsid w:val="005A5792"/>
    <w:pPr>
      <w:tabs>
        <w:tab w:val="num" w:pos="360"/>
      </w:tabs>
      <w:spacing w:after="0"/>
      <w:ind w:left="360" w:hanging="360"/>
    </w:pPr>
    <w:rPr>
      <w:rFonts w:ascii="Arial" w:hAnsi="Arial"/>
      <w:sz w:val="24"/>
      <w:lang w:val="fr-FR"/>
    </w:rPr>
  </w:style>
  <w:style w:type="paragraph" w:styleId="Notedebasdepage">
    <w:name w:val="footnote text"/>
    <w:basedOn w:val="Normal"/>
    <w:link w:val="NotedebasdepageCar"/>
    <w:uiPriority w:val="99"/>
    <w:unhideWhenUsed/>
    <w:rsid w:val="005A5792"/>
    <w:pPr>
      <w:spacing w:after="200" w:line="276" w:lineRule="auto"/>
    </w:pPr>
    <w:rPr>
      <w:rFonts w:ascii="Calibri" w:eastAsia="SimSun" w:hAnsi="Calibri"/>
      <w:sz w:val="20"/>
      <w:szCs w:val="20"/>
      <w:lang w:val="x-none" w:eastAsia="zh-CN"/>
    </w:rPr>
  </w:style>
  <w:style w:type="character" w:customStyle="1" w:styleId="NotedebasdepageCar">
    <w:name w:val="Note de bas de page Car"/>
    <w:link w:val="Notedebasdepage"/>
    <w:uiPriority w:val="99"/>
    <w:rsid w:val="005A5792"/>
    <w:rPr>
      <w:lang w:val="x-none" w:eastAsia="zh-CN"/>
    </w:rPr>
  </w:style>
  <w:style w:type="character" w:styleId="Appelnotedebasdep">
    <w:name w:val="footnote reference"/>
    <w:uiPriority w:val="99"/>
    <w:unhideWhenUsed/>
    <w:rsid w:val="005A5792"/>
    <w:rPr>
      <w:vertAlign w:val="superscript"/>
    </w:rPr>
  </w:style>
  <w:style w:type="paragraph" w:styleId="Paragraphedeliste">
    <w:name w:val="List Paragraph"/>
    <w:basedOn w:val="Marge"/>
    <w:qFormat/>
    <w:rsid w:val="00193E58"/>
    <w:pPr>
      <w:numPr>
        <w:numId w:val="9"/>
      </w:numPr>
      <w:spacing w:after="120"/>
    </w:pPr>
    <w:rPr>
      <w:rFonts w:cs="Arial"/>
      <w:szCs w:val="22"/>
    </w:rPr>
  </w:style>
  <w:style w:type="paragraph" w:customStyle="1" w:styleId="Default">
    <w:name w:val="Default"/>
    <w:link w:val="DefaultChar"/>
    <w:uiPriority w:val="99"/>
    <w:rsid w:val="005A5792"/>
    <w:pPr>
      <w:autoSpaceDE w:val="0"/>
      <w:autoSpaceDN w:val="0"/>
      <w:adjustRightInd w:val="0"/>
    </w:pPr>
    <w:rPr>
      <w:rFonts w:ascii="Arial" w:hAnsi="Arial" w:cs="Arial"/>
      <w:color w:val="000000"/>
      <w:sz w:val="24"/>
      <w:szCs w:val="24"/>
      <w:lang w:eastAsia="zh-CN"/>
    </w:rPr>
  </w:style>
  <w:style w:type="paragraph" w:customStyle="1" w:styleId="Paragraph">
    <w:name w:val="Paragraph"/>
    <w:basedOn w:val="Default"/>
    <w:link w:val="ParagraphChar"/>
    <w:qFormat/>
    <w:rsid w:val="002B50BC"/>
    <w:pPr>
      <w:spacing w:after="240"/>
      <w:jc w:val="both"/>
    </w:pPr>
    <w:rPr>
      <w:bCs/>
      <w:sz w:val="22"/>
      <w:szCs w:val="22"/>
      <w:lang w:val="en-GB"/>
    </w:rPr>
  </w:style>
  <w:style w:type="character" w:customStyle="1" w:styleId="ParagraphChar">
    <w:name w:val="Paragraph Char"/>
    <w:link w:val="Paragraph"/>
    <w:rsid w:val="002B50BC"/>
    <w:rPr>
      <w:rFonts w:ascii="Arial" w:hAnsi="Arial" w:cs="Arial"/>
      <w:bCs/>
      <w:color w:val="000000"/>
      <w:sz w:val="22"/>
      <w:szCs w:val="22"/>
      <w:lang w:eastAsia="zh-CN"/>
    </w:rPr>
  </w:style>
  <w:style w:type="character" w:styleId="Lienhypertexte">
    <w:name w:val="Hyperlink"/>
    <w:unhideWhenUsed/>
    <w:rsid w:val="00691F7A"/>
    <w:rPr>
      <w:color w:val="0000FF"/>
      <w:u w:val="single"/>
    </w:rPr>
  </w:style>
  <w:style w:type="character" w:customStyle="1" w:styleId="hps">
    <w:name w:val="hps"/>
    <w:rsid w:val="00B706BE"/>
  </w:style>
  <w:style w:type="paragraph" w:styleId="Rvision">
    <w:name w:val="Revision"/>
    <w:hidden/>
    <w:uiPriority w:val="99"/>
    <w:semiHidden/>
    <w:rsid w:val="00D9126B"/>
    <w:rPr>
      <w:rFonts w:ascii="Times New Roman" w:eastAsia="Times New Roman" w:hAnsi="Times New Roman"/>
      <w:sz w:val="22"/>
      <w:szCs w:val="24"/>
      <w:lang w:val="en-GB" w:eastAsia="fr-FR"/>
    </w:rPr>
  </w:style>
  <w:style w:type="character" w:styleId="Lienhypertextesuivivisit">
    <w:name w:val="FollowedHyperlink"/>
    <w:semiHidden/>
    <w:unhideWhenUsed/>
    <w:rsid w:val="00E65735"/>
    <w:rPr>
      <w:color w:val="800080"/>
      <w:u w:val="single"/>
    </w:rPr>
  </w:style>
  <w:style w:type="paragraph" w:customStyle="1" w:styleId="COMPara">
    <w:name w:val="COM Para"/>
    <w:qFormat/>
    <w:rsid w:val="003F1686"/>
    <w:pPr>
      <w:spacing w:after="120"/>
      <w:ind w:left="567" w:hanging="567"/>
    </w:pPr>
    <w:rPr>
      <w:rFonts w:ascii="Arial" w:eastAsia="Times New Roman" w:hAnsi="Arial" w:cs="Arial"/>
      <w:snapToGrid w:val="0"/>
      <w:sz w:val="22"/>
      <w:szCs w:val="22"/>
      <w:lang w:val="en-GB" w:eastAsia="en-US"/>
    </w:rPr>
  </w:style>
  <w:style w:type="paragraph" w:customStyle="1" w:styleId="Bullet1">
    <w:name w:val="Bullet_1"/>
    <w:basedOn w:val="Marge"/>
    <w:link w:val="Bullet1Char"/>
    <w:qFormat/>
    <w:rsid w:val="006C1111"/>
    <w:pPr>
      <w:numPr>
        <w:numId w:val="17"/>
      </w:numPr>
      <w:tabs>
        <w:tab w:val="clear" w:pos="567"/>
      </w:tabs>
      <w:spacing w:before="240" w:line="360" w:lineRule="auto"/>
    </w:pPr>
    <w:rPr>
      <w:rFonts w:eastAsia="SimSun" w:cs="Arial"/>
      <w:sz w:val="28"/>
      <w:szCs w:val="28"/>
      <w:lang w:eastAsia="zh-CN"/>
    </w:rPr>
  </w:style>
  <w:style w:type="paragraph" w:customStyle="1" w:styleId="Bullet2">
    <w:name w:val="Bullet_2"/>
    <w:basedOn w:val="Marge"/>
    <w:qFormat/>
    <w:rsid w:val="006C1111"/>
    <w:pPr>
      <w:numPr>
        <w:ilvl w:val="1"/>
        <w:numId w:val="17"/>
      </w:numPr>
      <w:tabs>
        <w:tab w:val="clear" w:pos="567"/>
      </w:tabs>
      <w:spacing w:before="240" w:line="360" w:lineRule="auto"/>
    </w:pPr>
    <w:rPr>
      <w:rFonts w:eastAsia="SimSun" w:cs="Arial"/>
      <w:sz w:val="28"/>
      <w:szCs w:val="28"/>
      <w:lang w:eastAsia="zh-CN"/>
    </w:rPr>
  </w:style>
  <w:style w:type="character" w:customStyle="1" w:styleId="Bullet1Char">
    <w:name w:val="Bullet_1 Char"/>
    <w:link w:val="Bullet1"/>
    <w:rsid w:val="006C1111"/>
    <w:rPr>
      <w:rFonts w:ascii="Arial" w:hAnsi="Arial" w:cs="Arial"/>
      <w:snapToGrid w:val="0"/>
      <w:sz w:val="28"/>
      <w:szCs w:val="28"/>
      <w:lang w:val="en-GB" w:eastAsia="zh-CN"/>
    </w:rPr>
  </w:style>
  <w:style w:type="paragraph" w:customStyle="1" w:styleId="COMParaDecision">
    <w:name w:val="COM Para Decision"/>
    <w:basedOn w:val="Normal"/>
    <w:qFormat/>
    <w:rsid w:val="002E3B93"/>
    <w:pPr>
      <w:autoSpaceDE w:val="0"/>
      <w:autoSpaceDN w:val="0"/>
      <w:adjustRightInd w:val="0"/>
      <w:jc w:val="both"/>
    </w:pPr>
    <w:rPr>
      <w:rFonts w:ascii="Arial" w:eastAsia="SimSun" w:hAnsi="Arial" w:cs="Arial"/>
      <w:szCs w:val="22"/>
      <w:u w:val="single"/>
    </w:rPr>
  </w:style>
  <w:style w:type="paragraph" w:styleId="Notedefin">
    <w:name w:val="endnote text"/>
    <w:basedOn w:val="Normal"/>
    <w:link w:val="NotedefinCar"/>
    <w:semiHidden/>
    <w:unhideWhenUsed/>
    <w:rsid w:val="00A50493"/>
    <w:pPr>
      <w:spacing w:after="0"/>
    </w:pPr>
    <w:rPr>
      <w:sz w:val="20"/>
      <w:szCs w:val="20"/>
    </w:rPr>
  </w:style>
  <w:style w:type="character" w:customStyle="1" w:styleId="NotedefinCar">
    <w:name w:val="Note de fin Car"/>
    <w:basedOn w:val="Policepardfaut"/>
    <w:link w:val="Notedefin"/>
    <w:semiHidden/>
    <w:rsid w:val="00A50493"/>
    <w:rPr>
      <w:rFonts w:ascii="Times New Roman" w:eastAsia="Times New Roman" w:hAnsi="Times New Roman"/>
      <w:lang w:val="en-GB" w:eastAsia="fr-FR"/>
    </w:rPr>
  </w:style>
  <w:style w:type="character" w:styleId="Appeldenotedefin">
    <w:name w:val="endnote reference"/>
    <w:basedOn w:val="Policepardfaut"/>
    <w:semiHidden/>
    <w:unhideWhenUsed/>
    <w:rsid w:val="00A50493"/>
    <w:rPr>
      <w:vertAlign w:val="superscript"/>
    </w:rPr>
  </w:style>
  <w:style w:type="character" w:customStyle="1" w:styleId="UnresolvedMention1">
    <w:name w:val="Unresolved Mention1"/>
    <w:basedOn w:val="Policepardfaut"/>
    <w:uiPriority w:val="99"/>
    <w:semiHidden/>
    <w:unhideWhenUsed/>
    <w:rsid w:val="0015084F"/>
    <w:rPr>
      <w:color w:val="605E5C"/>
      <w:shd w:val="clear" w:color="auto" w:fill="E1DFDD"/>
    </w:rPr>
  </w:style>
  <w:style w:type="character" w:customStyle="1" w:styleId="DefaultChar">
    <w:name w:val="Default Char"/>
    <w:link w:val="Default"/>
    <w:uiPriority w:val="99"/>
    <w:rsid w:val="00275132"/>
    <w:rPr>
      <w:rFonts w:ascii="Arial" w:hAnsi="Arial" w:cs="Arial"/>
      <w:color w:val="000000"/>
      <w:sz w:val="24"/>
      <w:szCs w:val="24"/>
      <w:lang w:eastAsia="zh-CN"/>
    </w:rPr>
  </w:style>
  <w:style w:type="table" w:customStyle="1" w:styleId="TableGrid1">
    <w:name w:val="Table Grid1"/>
    <w:basedOn w:val="TableauNormal"/>
    <w:uiPriority w:val="59"/>
    <w:rsid w:val="00CF21E8"/>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Policepardfaut"/>
    <w:uiPriority w:val="99"/>
    <w:semiHidden/>
    <w:unhideWhenUsed/>
    <w:rsid w:val="00822BF1"/>
    <w:rPr>
      <w:color w:val="605E5C"/>
      <w:shd w:val="clear" w:color="auto" w:fill="E1DFDD"/>
    </w:rPr>
  </w:style>
  <w:style w:type="character" w:customStyle="1" w:styleId="UnresolvedMention">
    <w:name w:val="Unresolved Mention"/>
    <w:basedOn w:val="Policepardfaut"/>
    <w:uiPriority w:val="99"/>
    <w:semiHidden/>
    <w:unhideWhenUsed/>
    <w:rsid w:val="0040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519">
      <w:bodyDiv w:val="1"/>
      <w:marLeft w:val="0"/>
      <w:marRight w:val="0"/>
      <w:marTop w:val="0"/>
      <w:marBottom w:val="0"/>
      <w:divBdr>
        <w:top w:val="none" w:sz="0" w:space="0" w:color="auto"/>
        <w:left w:val="none" w:sz="0" w:space="0" w:color="auto"/>
        <w:bottom w:val="none" w:sz="0" w:space="0" w:color="auto"/>
        <w:right w:val="none" w:sz="0" w:space="0" w:color="auto"/>
      </w:divBdr>
    </w:div>
    <w:div w:id="105395299">
      <w:bodyDiv w:val="1"/>
      <w:marLeft w:val="0"/>
      <w:marRight w:val="0"/>
      <w:marTop w:val="0"/>
      <w:marBottom w:val="0"/>
      <w:divBdr>
        <w:top w:val="none" w:sz="0" w:space="0" w:color="auto"/>
        <w:left w:val="none" w:sz="0" w:space="0" w:color="auto"/>
        <w:bottom w:val="none" w:sz="0" w:space="0" w:color="auto"/>
        <w:right w:val="none" w:sz="0" w:space="0" w:color="auto"/>
      </w:divBdr>
    </w:div>
    <w:div w:id="159010195">
      <w:bodyDiv w:val="1"/>
      <w:marLeft w:val="0"/>
      <w:marRight w:val="0"/>
      <w:marTop w:val="0"/>
      <w:marBottom w:val="0"/>
      <w:divBdr>
        <w:top w:val="none" w:sz="0" w:space="0" w:color="auto"/>
        <w:left w:val="none" w:sz="0" w:space="0" w:color="auto"/>
        <w:bottom w:val="none" w:sz="0" w:space="0" w:color="auto"/>
        <w:right w:val="none" w:sz="0" w:space="0" w:color="auto"/>
      </w:divBdr>
    </w:div>
    <w:div w:id="166796059">
      <w:bodyDiv w:val="1"/>
      <w:marLeft w:val="0"/>
      <w:marRight w:val="0"/>
      <w:marTop w:val="0"/>
      <w:marBottom w:val="0"/>
      <w:divBdr>
        <w:top w:val="none" w:sz="0" w:space="0" w:color="auto"/>
        <w:left w:val="none" w:sz="0" w:space="0" w:color="auto"/>
        <w:bottom w:val="none" w:sz="0" w:space="0" w:color="auto"/>
        <w:right w:val="none" w:sz="0" w:space="0" w:color="auto"/>
      </w:divBdr>
    </w:div>
    <w:div w:id="195235589">
      <w:bodyDiv w:val="1"/>
      <w:marLeft w:val="0"/>
      <w:marRight w:val="0"/>
      <w:marTop w:val="0"/>
      <w:marBottom w:val="0"/>
      <w:divBdr>
        <w:top w:val="none" w:sz="0" w:space="0" w:color="auto"/>
        <w:left w:val="none" w:sz="0" w:space="0" w:color="auto"/>
        <w:bottom w:val="none" w:sz="0" w:space="0" w:color="auto"/>
        <w:right w:val="none" w:sz="0" w:space="0" w:color="auto"/>
      </w:divBdr>
    </w:div>
    <w:div w:id="195390996">
      <w:bodyDiv w:val="1"/>
      <w:marLeft w:val="0"/>
      <w:marRight w:val="0"/>
      <w:marTop w:val="0"/>
      <w:marBottom w:val="0"/>
      <w:divBdr>
        <w:top w:val="none" w:sz="0" w:space="0" w:color="auto"/>
        <w:left w:val="none" w:sz="0" w:space="0" w:color="auto"/>
        <w:bottom w:val="none" w:sz="0" w:space="0" w:color="auto"/>
        <w:right w:val="none" w:sz="0" w:space="0" w:color="auto"/>
      </w:divBdr>
    </w:div>
    <w:div w:id="206068308">
      <w:bodyDiv w:val="1"/>
      <w:marLeft w:val="0"/>
      <w:marRight w:val="0"/>
      <w:marTop w:val="0"/>
      <w:marBottom w:val="0"/>
      <w:divBdr>
        <w:top w:val="none" w:sz="0" w:space="0" w:color="auto"/>
        <w:left w:val="none" w:sz="0" w:space="0" w:color="auto"/>
        <w:bottom w:val="none" w:sz="0" w:space="0" w:color="auto"/>
        <w:right w:val="none" w:sz="0" w:space="0" w:color="auto"/>
      </w:divBdr>
    </w:div>
    <w:div w:id="258298058">
      <w:bodyDiv w:val="1"/>
      <w:marLeft w:val="0"/>
      <w:marRight w:val="0"/>
      <w:marTop w:val="0"/>
      <w:marBottom w:val="0"/>
      <w:divBdr>
        <w:top w:val="none" w:sz="0" w:space="0" w:color="auto"/>
        <w:left w:val="none" w:sz="0" w:space="0" w:color="auto"/>
        <w:bottom w:val="none" w:sz="0" w:space="0" w:color="auto"/>
        <w:right w:val="none" w:sz="0" w:space="0" w:color="auto"/>
      </w:divBdr>
    </w:div>
    <w:div w:id="283855306">
      <w:bodyDiv w:val="1"/>
      <w:marLeft w:val="0"/>
      <w:marRight w:val="0"/>
      <w:marTop w:val="0"/>
      <w:marBottom w:val="0"/>
      <w:divBdr>
        <w:top w:val="none" w:sz="0" w:space="0" w:color="auto"/>
        <w:left w:val="none" w:sz="0" w:space="0" w:color="auto"/>
        <w:bottom w:val="none" w:sz="0" w:space="0" w:color="auto"/>
        <w:right w:val="none" w:sz="0" w:space="0" w:color="auto"/>
      </w:divBdr>
    </w:div>
    <w:div w:id="418216632">
      <w:bodyDiv w:val="1"/>
      <w:marLeft w:val="0"/>
      <w:marRight w:val="0"/>
      <w:marTop w:val="0"/>
      <w:marBottom w:val="0"/>
      <w:divBdr>
        <w:top w:val="none" w:sz="0" w:space="0" w:color="auto"/>
        <w:left w:val="none" w:sz="0" w:space="0" w:color="auto"/>
        <w:bottom w:val="none" w:sz="0" w:space="0" w:color="auto"/>
        <w:right w:val="none" w:sz="0" w:space="0" w:color="auto"/>
      </w:divBdr>
    </w:div>
    <w:div w:id="419451714">
      <w:bodyDiv w:val="1"/>
      <w:marLeft w:val="0"/>
      <w:marRight w:val="0"/>
      <w:marTop w:val="0"/>
      <w:marBottom w:val="0"/>
      <w:divBdr>
        <w:top w:val="none" w:sz="0" w:space="0" w:color="auto"/>
        <w:left w:val="none" w:sz="0" w:space="0" w:color="auto"/>
        <w:bottom w:val="none" w:sz="0" w:space="0" w:color="auto"/>
        <w:right w:val="none" w:sz="0" w:space="0" w:color="auto"/>
      </w:divBdr>
    </w:div>
    <w:div w:id="433670119">
      <w:bodyDiv w:val="1"/>
      <w:marLeft w:val="0"/>
      <w:marRight w:val="0"/>
      <w:marTop w:val="0"/>
      <w:marBottom w:val="0"/>
      <w:divBdr>
        <w:top w:val="none" w:sz="0" w:space="0" w:color="auto"/>
        <w:left w:val="none" w:sz="0" w:space="0" w:color="auto"/>
        <w:bottom w:val="none" w:sz="0" w:space="0" w:color="auto"/>
        <w:right w:val="none" w:sz="0" w:space="0" w:color="auto"/>
      </w:divBdr>
    </w:div>
    <w:div w:id="456413966">
      <w:bodyDiv w:val="1"/>
      <w:marLeft w:val="0"/>
      <w:marRight w:val="0"/>
      <w:marTop w:val="0"/>
      <w:marBottom w:val="0"/>
      <w:divBdr>
        <w:top w:val="none" w:sz="0" w:space="0" w:color="auto"/>
        <w:left w:val="none" w:sz="0" w:space="0" w:color="auto"/>
        <w:bottom w:val="none" w:sz="0" w:space="0" w:color="auto"/>
        <w:right w:val="none" w:sz="0" w:space="0" w:color="auto"/>
      </w:divBdr>
    </w:div>
    <w:div w:id="501892409">
      <w:bodyDiv w:val="1"/>
      <w:marLeft w:val="0"/>
      <w:marRight w:val="0"/>
      <w:marTop w:val="0"/>
      <w:marBottom w:val="0"/>
      <w:divBdr>
        <w:top w:val="none" w:sz="0" w:space="0" w:color="auto"/>
        <w:left w:val="none" w:sz="0" w:space="0" w:color="auto"/>
        <w:bottom w:val="none" w:sz="0" w:space="0" w:color="auto"/>
        <w:right w:val="none" w:sz="0" w:space="0" w:color="auto"/>
      </w:divBdr>
    </w:div>
    <w:div w:id="523635506">
      <w:bodyDiv w:val="1"/>
      <w:marLeft w:val="0"/>
      <w:marRight w:val="0"/>
      <w:marTop w:val="0"/>
      <w:marBottom w:val="0"/>
      <w:divBdr>
        <w:top w:val="none" w:sz="0" w:space="0" w:color="auto"/>
        <w:left w:val="none" w:sz="0" w:space="0" w:color="auto"/>
        <w:bottom w:val="none" w:sz="0" w:space="0" w:color="auto"/>
        <w:right w:val="none" w:sz="0" w:space="0" w:color="auto"/>
      </w:divBdr>
    </w:div>
    <w:div w:id="537663245">
      <w:bodyDiv w:val="1"/>
      <w:marLeft w:val="0"/>
      <w:marRight w:val="0"/>
      <w:marTop w:val="0"/>
      <w:marBottom w:val="0"/>
      <w:divBdr>
        <w:top w:val="none" w:sz="0" w:space="0" w:color="auto"/>
        <w:left w:val="none" w:sz="0" w:space="0" w:color="auto"/>
        <w:bottom w:val="none" w:sz="0" w:space="0" w:color="auto"/>
        <w:right w:val="none" w:sz="0" w:space="0" w:color="auto"/>
      </w:divBdr>
    </w:div>
    <w:div w:id="663630323">
      <w:bodyDiv w:val="1"/>
      <w:marLeft w:val="0"/>
      <w:marRight w:val="0"/>
      <w:marTop w:val="0"/>
      <w:marBottom w:val="0"/>
      <w:divBdr>
        <w:top w:val="none" w:sz="0" w:space="0" w:color="auto"/>
        <w:left w:val="none" w:sz="0" w:space="0" w:color="auto"/>
        <w:bottom w:val="none" w:sz="0" w:space="0" w:color="auto"/>
        <w:right w:val="none" w:sz="0" w:space="0" w:color="auto"/>
      </w:divBdr>
    </w:div>
    <w:div w:id="668752319">
      <w:bodyDiv w:val="1"/>
      <w:marLeft w:val="0"/>
      <w:marRight w:val="0"/>
      <w:marTop w:val="0"/>
      <w:marBottom w:val="0"/>
      <w:divBdr>
        <w:top w:val="none" w:sz="0" w:space="0" w:color="auto"/>
        <w:left w:val="none" w:sz="0" w:space="0" w:color="auto"/>
        <w:bottom w:val="none" w:sz="0" w:space="0" w:color="auto"/>
        <w:right w:val="none" w:sz="0" w:space="0" w:color="auto"/>
      </w:divBdr>
    </w:div>
    <w:div w:id="733700885">
      <w:bodyDiv w:val="1"/>
      <w:marLeft w:val="0"/>
      <w:marRight w:val="0"/>
      <w:marTop w:val="0"/>
      <w:marBottom w:val="0"/>
      <w:divBdr>
        <w:top w:val="none" w:sz="0" w:space="0" w:color="auto"/>
        <w:left w:val="none" w:sz="0" w:space="0" w:color="auto"/>
        <w:bottom w:val="none" w:sz="0" w:space="0" w:color="auto"/>
        <w:right w:val="none" w:sz="0" w:space="0" w:color="auto"/>
      </w:divBdr>
    </w:div>
    <w:div w:id="735782139">
      <w:bodyDiv w:val="1"/>
      <w:marLeft w:val="0"/>
      <w:marRight w:val="0"/>
      <w:marTop w:val="0"/>
      <w:marBottom w:val="0"/>
      <w:divBdr>
        <w:top w:val="none" w:sz="0" w:space="0" w:color="auto"/>
        <w:left w:val="none" w:sz="0" w:space="0" w:color="auto"/>
        <w:bottom w:val="none" w:sz="0" w:space="0" w:color="auto"/>
        <w:right w:val="none" w:sz="0" w:space="0" w:color="auto"/>
      </w:divBdr>
    </w:div>
    <w:div w:id="764230810">
      <w:bodyDiv w:val="1"/>
      <w:marLeft w:val="0"/>
      <w:marRight w:val="0"/>
      <w:marTop w:val="0"/>
      <w:marBottom w:val="0"/>
      <w:divBdr>
        <w:top w:val="none" w:sz="0" w:space="0" w:color="auto"/>
        <w:left w:val="none" w:sz="0" w:space="0" w:color="auto"/>
        <w:bottom w:val="none" w:sz="0" w:space="0" w:color="auto"/>
        <w:right w:val="none" w:sz="0" w:space="0" w:color="auto"/>
      </w:divBdr>
    </w:div>
    <w:div w:id="781845617">
      <w:bodyDiv w:val="1"/>
      <w:marLeft w:val="0"/>
      <w:marRight w:val="0"/>
      <w:marTop w:val="0"/>
      <w:marBottom w:val="0"/>
      <w:divBdr>
        <w:top w:val="none" w:sz="0" w:space="0" w:color="auto"/>
        <w:left w:val="none" w:sz="0" w:space="0" w:color="auto"/>
        <w:bottom w:val="none" w:sz="0" w:space="0" w:color="auto"/>
        <w:right w:val="none" w:sz="0" w:space="0" w:color="auto"/>
      </w:divBdr>
    </w:div>
    <w:div w:id="819542929">
      <w:bodyDiv w:val="1"/>
      <w:marLeft w:val="0"/>
      <w:marRight w:val="0"/>
      <w:marTop w:val="0"/>
      <w:marBottom w:val="0"/>
      <w:divBdr>
        <w:top w:val="none" w:sz="0" w:space="0" w:color="auto"/>
        <w:left w:val="none" w:sz="0" w:space="0" w:color="auto"/>
        <w:bottom w:val="none" w:sz="0" w:space="0" w:color="auto"/>
        <w:right w:val="none" w:sz="0" w:space="0" w:color="auto"/>
      </w:divBdr>
    </w:div>
    <w:div w:id="876552330">
      <w:bodyDiv w:val="1"/>
      <w:marLeft w:val="0"/>
      <w:marRight w:val="0"/>
      <w:marTop w:val="0"/>
      <w:marBottom w:val="0"/>
      <w:divBdr>
        <w:top w:val="none" w:sz="0" w:space="0" w:color="auto"/>
        <w:left w:val="none" w:sz="0" w:space="0" w:color="auto"/>
        <w:bottom w:val="none" w:sz="0" w:space="0" w:color="auto"/>
        <w:right w:val="none" w:sz="0" w:space="0" w:color="auto"/>
      </w:divBdr>
    </w:div>
    <w:div w:id="922957602">
      <w:bodyDiv w:val="1"/>
      <w:marLeft w:val="0"/>
      <w:marRight w:val="0"/>
      <w:marTop w:val="0"/>
      <w:marBottom w:val="0"/>
      <w:divBdr>
        <w:top w:val="none" w:sz="0" w:space="0" w:color="auto"/>
        <w:left w:val="none" w:sz="0" w:space="0" w:color="auto"/>
        <w:bottom w:val="none" w:sz="0" w:space="0" w:color="auto"/>
        <w:right w:val="none" w:sz="0" w:space="0" w:color="auto"/>
      </w:divBdr>
    </w:div>
    <w:div w:id="1018779672">
      <w:bodyDiv w:val="1"/>
      <w:marLeft w:val="0"/>
      <w:marRight w:val="0"/>
      <w:marTop w:val="0"/>
      <w:marBottom w:val="0"/>
      <w:divBdr>
        <w:top w:val="none" w:sz="0" w:space="0" w:color="auto"/>
        <w:left w:val="none" w:sz="0" w:space="0" w:color="auto"/>
        <w:bottom w:val="none" w:sz="0" w:space="0" w:color="auto"/>
        <w:right w:val="none" w:sz="0" w:space="0" w:color="auto"/>
      </w:divBdr>
    </w:div>
    <w:div w:id="1061750762">
      <w:bodyDiv w:val="1"/>
      <w:marLeft w:val="0"/>
      <w:marRight w:val="0"/>
      <w:marTop w:val="0"/>
      <w:marBottom w:val="0"/>
      <w:divBdr>
        <w:top w:val="none" w:sz="0" w:space="0" w:color="auto"/>
        <w:left w:val="none" w:sz="0" w:space="0" w:color="auto"/>
        <w:bottom w:val="none" w:sz="0" w:space="0" w:color="auto"/>
        <w:right w:val="none" w:sz="0" w:space="0" w:color="auto"/>
      </w:divBdr>
    </w:div>
    <w:div w:id="1066420322">
      <w:bodyDiv w:val="1"/>
      <w:marLeft w:val="0"/>
      <w:marRight w:val="0"/>
      <w:marTop w:val="0"/>
      <w:marBottom w:val="0"/>
      <w:divBdr>
        <w:top w:val="none" w:sz="0" w:space="0" w:color="auto"/>
        <w:left w:val="none" w:sz="0" w:space="0" w:color="auto"/>
        <w:bottom w:val="none" w:sz="0" w:space="0" w:color="auto"/>
        <w:right w:val="none" w:sz="0" w:space="0" w:color="auto"/>
      </w:divBdr>
    </w:div>
    <w:div w:id="1081097705">
      <w:bodyDiv w:val="1"/>
      <w:marLeft w:val="0"/>
      <w:marRight w:val="0"/>
      <w:marTop w:val="0"/>
      <w:marBottom w:val="0"/>
      <w:divBdr>
        <w:top w:val="none" w:sz="0" w:space="0" w:color="auto"/>
        <w:left w:val="none" w:sz="0" w:space="0" w:color="auto"/>
        <w:bottom w:val="none" w:sz="0" w:space="0" w:color="auto"/>
        <w:right w:val="none" w:sz="0" w:space="0" w:color="auto"/>
      </w:divBdr>
    </w:div>
    <w:div w:id="1085688393">
      <w:bodyDiv w:val="1"/>
      <w:marLeft w:val="0"/>
      <w:marRight w:val="0"/>
      <w:marTop w:val="0"/>
      <w:marBottom w:val="0"/>
      <w:divBdr>
        <w:top w:val="none" w:sz="0" w:space="0" w:color="auto"/>
        <w:left w:val="none" w:sz="0" w:space="0" w:color="auto"/>
        <w:bottom w:val="none" w:sz="0" w:space="0" w:color="auto"/>
        <w:right w:val="none" w:sz="0" w:space="0" w:color="auto"/>
      </w:divBdr>
    </w:div>
    <w:div w:id="1254507200">
      <w:bodyDiv w:val="1"/>
      <w:marLeft w:val="0"/>
      <w:marRight w:val="0"/>
      <w:marTop w:val="0"/>
      <w:marBottom w:val="0"/>
      <w:divBdr>
        <w:top w:val="none" w:sz="0" w:space="0" w:color="auto"/>
        <w:left w:val="none" w:sz="0" w:space="0" w:color="auto"/>
        <w:bottom w:val="none" w:sz="0" w:space="0" w:color="auto"/>
        <w:right w:val="none" w:sz="0" w:space="0" w:color="auto"/>
      </w:divBdr>
    </w:div>
    <w:div w:id="1256741149">
      <w:bodyDiv w:val="1"/>
      <w:marLeft w:val="0"/>
      <w:marRight w:val="0"/>
      <w:marTop w:val="0"/>
      <w:marBottom w:val="0"/>
      <w:divBdr>
        <w:top w:val="none" w:sz="0" w:space="0" w:color="auto"/>
        <w:left w:val="none" w:sz="0" w:space="0" w:color="auto"/>
        <w:bottom w:val="none" w:sz="0" w:space="0" w:color="auto"/>
        <w:right w:val="none" w:sz="0" w:space="0" w:color="auto"/>
      </w:divBdr>
    </w:div>
    <w:div w:id="1280719515">
      <w:bodyDiv w:val="1"/>
      <w:marLeft w:val="0"/>
      <w:marRight w:val="0"/>
      <w:marTop w:val="0"/>
      <w:marBottom w:val="0"/>
      <w:divBdr>
        <w:top w:val="none" w:sz="0" w:space="0" w:color="auto"/>
        <w:left w:val="none" w:sz="0" w:space="0" w:color="auto"/>
        <w:bottom w:val="none" w:sz="0" w:space="0" w:color="auto"/>
        <w:right w:val="none" w:sz="0" w:space="0" w:color="auto"/>
      </w:divBdr>
    </w:div>
    <w:div w:id="1315060613">
      <w:bodyDiv w:val="1"/>
      <w:marLeft w:val="0"/>
      <w:marRight w:val="0"/>
      <w:marTop w:val="0"/>
      <w:marBottom w:val="0"/>
      <w:divBdr>
        <w:top w:val="none" w:sz="0" w:space="0" w:color="auto"/>
        <w:left w:val="none" w:sz="0" w:space="0" w:color="auto"/>
        <w:bottom w:val="none" w:sz="0" w:space="0" w:color="auto"/>
        <w:right w:val="none" w:sz="0" w:space="0" w:color="auto"/>
      </w:divBdr>
    </w:div>
    <w:div w:id="1325818481">
      <w:bodyDiv w:val="1"/>
      <w:marLeft w:val="0"/>
      <w:marRight w:val="0"/>
      <w:marTop w:val="0"/>
      <w:marBottom w:val="0"/>
      <w:divBdr>
        <w:top w:val="none" w:sz="0" w:space="0" w:color="auto"/>
        <w:left w:val="none" w:sz="0" w:space="0" w:color="auto"/>
        <w:bottom w:val="none" w:sz="0" w:space="0" w:color="auto"/>
        <w:right w:val="none" w:sz="0" w:space="0" w:color="auto"/>
      </w:divBdr>
    </w:div>
    <w:div w:id="1335256134">
      <w:bodyDiv w:val="1"/>
      <w:marLeft w:val="0"/>
      <w:marRight w:val="0"/>
      <w:marTop w:val="0"/>
      <w:marBottom w:val="0"/>
      <w:divBdr>
        <w:top w:val="none" w:sz="0" w:space="0" w:color="auto"/>
        <w:left w:val="none" w:sz="0" w:space="0" w:color="auto"/>
        <w:bottom w:val="none" w:sz="0" w:space="0" w:color="auto"/>
        <w:right w:val="none" w:sz="0" w:space="0" w:color="auto"/>
      </w:divBdr>
    </w:div>
    <w:div w:id="1396707121">
      <w:bodyDiv w:val="1"/>
      <w:marLeft w:val="0"/>
      <w:marRight w:val="0"/>
      <w:marTop w:val="0"/>
      <w:marBottom w:val="0"/>
      <w:divBdr>
        <w:top w:val="none" w:sz="0" w:space="0" w:color="auto"/>
        <w:left w:val="none" w:sz="0" w:space="0" w:color="auto"/>
        <w:bottom w:val="none" w:sz="0" w:space="0" w:color="auto"/>
        <w:right w:val="none" w:sz="0" w:space="0" w:color="auto"/>
      </w:divBdr>
    </w:div>
    <w:div w:id="1425027888">
      <w:bodyDiv w:val="1"/>
      <w:marLeft w:val="0"/>
      <w:marRight w:val="0"/>
      <w:marTop w:val="0"/>
      <w:marBottom w:val="0"/>
      <w:divBdr>
        <w:top w:val="none" w:sz="0" w:space="0" w:color="auto"/>
        <w:left w:val="none" w:sz="0" w:space="0" w:color="auto"/>
        <w:bottom w:val="none" w:sz="0" w:space="0" w:color="auto"/>
        <w:right w:val="none" w:sz="0" w:space="0" w:color="auto"/>
      </w:divBdr>
    </w:div>
    <w:div w:id="1520464102">
      <w:bodyDiv w:val="1"/>
      <w:marLeft w:val="0"/>
      <w:marRight w:val="0"/>
      <w:marTop w:val="0"/>
      <w:marBottom w:val="0"/>
      <w:divBdr>
        <w:top w:val="none" w:sz="0" w:space="0" w:color="auto"/>
        <w:left w:val="none" w:sz="0" w:space="0" w:color="auto"/>
        <w:bottom w:val="none" w:sz="0" w:space="0" w:color="auto"/>
        <w:right w:val="none" w:sz="0" w:space="0" w:color="auto"/>
      </w:divBdr>
    </w:div>
    <w:div w:id="1557473563">
      <w:bodyDiv w:val="1"/>
      <w:marLeft w:val="0"/>
      <w:marRight w:val="0"/>
      <w:marTop w:val="0"/>
      <w:marBottom w:val="0"/>
      <w:divBdr>
        <w:top w:val="none" w:sz="0" w:space="0" w:color="auto"/>
        <w:left w:val="none" w:sz="0" w:space="0" w:color="auto"/>
        <w:bottom w:val="none" w:sz="0" w:space="0" w:color="auto"/>
        <w:right w:val="none" w:sz="0" w:space="0" w:color="auto"/>
      </w:divBdr>
    </w:div>
    <w:div w:id="1559710641">
      <w:bodyDiv w:val="1"/>
      <w:marLeft w:val="0"/>
      <w:marRight w:val="0"/>
      <w:marTop w:val="0"/>
      <w:marBottom w:val="0"/>
      <w:divBdr>
        <w:top w:val="none" w:sz="0" w:space="0" w:color="auto"/>
        <w:left w:val="none" w:sz="0" w:space="0" w:color="auto"/>
        <w:bottom w:val="none" w:sz="0" w:space="0" w:color="auto"/>
        <w:right w:val="none" w:sz="0" w:space="0" w:color="auto"/>
      </w:divBdr>
    </w:div>
    <w:div w:id="1583415769">
      <w:bodyDiv w:val="1"/>
      <w:marLeft w:val="0"/>
      <w:marRight w:val="0"/>
      <w:marTop w:val="0"/>
      <w:marBottom w:val="0"/>
      <w:divBdr>
        <w:top w:val="none" w:sz="0" w:space="0" w:color="auto"/>
        <w:left w:val="none" w:sz="0" w:space="0" w:color="auto"/>
        <w:bottom w:val="none" w:sz="0" w:space="0" w:color="auto"/>
        <w:right w:val="none" w:sz="0" w:space="0" w:color="auto"/>
      </w:divBdr>
    </w:div>
    <w:div w:id="1601450091">
      <w:bodyDiv w:val="1"/>
      <w:marLeft w:val="0"/>
      <w:marRight w:val="0"/>
      <w:marTop w:val="0"/>
      <w:marBottom w:val="0"/>
      <w:divBdr>
        <w:top w:val="none" w:sz="0" w:space="0" w:color="auto"/>
        <w:left w:val="none" w:sz="0" w:space="0" w:color="auto"/>
        <w:bottom w:val="none" w:sz="0" w:space="0" w:color="auto"/>
        <w:right w:val="none" w:sz="0" w:space="0" w:color="auto"/>
      </w:divBdr>
    </w:div>
    <w:div w:id="1650204014">
      <w:bodyDiv w:val="1"/>
      <w:marLeft w:val="0"/>
      <w:marRight w:val="0"/>
      <w:marTop w:val="0"/>
      <w:marBottom w:val="0"/>
      <w:divBdr>
        <w:top w:val="none" w:sz="0" w:space="0" w:color="auto"/>
        <w:left w:val="none" w:sz="0" w:space="0" w:color="auto"/>
        <w:bottom w:val="none" w:sz="0" w:space="0" w:color="auto"/>
        <w:right w:val="none" w:sz="0" w:space="0" w:color="auto"/>
      </w:divBdr>
      <w:divsChild>
        <w:div w:id="958029676">
          <w:marLeft w:val="0"/>
          <w:marRight w:val="0"/>
          <w:marTop w:val="0"/>
          <w:marBottom w:val="0"/>
          <w:divBdr>
            <w:top w:val="none" w:sz="0" w:space="0" w:color="auto"/>
            <w:left w:val="none" w:sz="0" w:space="0" w:color="auto"/>
            <w:bottom w:val="none" w:sz="0" w:space="0" w:color="auto"/>
            <w:right w:val="none" w:sz="0" w:space="0" w:color="auto"/>
          </w:divBdr>
          <w:divsChild>
            <w:div w:id="706416089">
              <w:marLeft w:val="0"/>
              <w:marRight w:val="0"/>
              <w:marTop w:val="0"/>
              <w:marBottom w:val="0"/>
              <w:divBdr>
                <w:top w:val="none" w:sz="0" w:space="0" w:color="auto"/>
                <w:left w:val="none" w:sz="0" w:space="0" w:color="auto"/>
                <w:bottom w:val="none" w:sz="0" w:space="0" w:color="auto"/>
                <w:right w:val="none" w:sz="0" w:space="0" w:color="auto"/>
              </w:divBdr>
              <w:divsChild>
                <w:div w:id="1112242929">
                  <w:marLeft w:val="0"/>
                  <w:marRight w:val="0"/>
                  <w:marTop w:val="0"/>
                  <w:marBottom w:val="0"/>
                  <w:divBdr>
                    <w:top w:val="none" w:sz="0" w:space="0" w:color="auto"/>
                    <w:left w:val="none" w:sz="0" w:space="0" w:color="auto"/>
                    <w:bottom w:val="none" w:sz="0" w:space="0" w:color="auto"/>
                    <w:right w:val="none" w:sz="0" w:space="0" w:color="auto"/>
                  </w:divBdr>
                  <w:divsChild>
                    <w:div w:id="1713726656">
                      <w:marLeft w:val="0"/>
                      <w:marRight w:val="0"/>
                      <w:marTop w:val="0"/>
                      <w:marBottom w:val="0"/>
                      <w:divBdr>
                        <w:top w:val="none" w:sz="0" w:space="0" w:color="auto"/>
                        <w:left w:val="none" w:sz="0" w:space="0" w:color="auto"/>
                        <w:bottom w:val="none" w:sz="0" w:space="0" w:color="auto"/>
                        <w:right w:val="none" w:sz="0" w:space="0" w:color="auto"/>
                      </w:divBdr>
                      <w:divsChild>
                        <w:div w:id="1013218142">
                          <w:marLeft w:val="0"/>
                          <w:marRight w:val="0"/>
                          <w:marTop w:val="0"/>
                          <w:marBottom w:val="0"/>
                          <w:divBdr>
                            <w:top w:val="none" w:sz="0" w:space="0" w:color="auto"/>
                            <w:left w:val="none" w:sz="0" w:space="0" w:color="auto"/>
                            <w:bottom w:val="none" w:sz="0" w:space="0" w:color="auto"/>
                            <w:right w:val="none" w:sz="0" w:space="0" w:color="auto"/>
                          </w:divBdr>
                          <w:divsChild>
                            <w:div w:id="416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11409">
      <w:bodyDiv w:val="1"/>
      <w:marLeft w:val="0"/>
      <w:marRight w:val="0"/>
      <w:marTop w:val="0"/>
      <w:marBottom w:val="0"/>
      <w:divBdr>
        <w:top w:val="none" w:sz="0" w:space="0" w:color="auto"/>
        <w:left w:val="none" w:sz="0" w:space="0" w:color="auto"/>
        <w:bottom w:val="none" w:sz="0" w:space="0" w:color="auto"/>
        <w:right w:val="none" w:sz="0" w:space="0" w:color="auto"/>
      </w:divBdr>
    </w:div>
    <w:div w:id="1669821334">
      <w:bodyDiv w:val="1"/>
      <w:marLeft w:val="0"/>
      <w:marRight w:val="0"/>
      <w:marTop w:val="0"/>
      <w:marBottom w:val="0"/>
      <w:divBdr>
        <w:top w:val="none" w:sz="0" w:space="0" w:color="auto"/>
        <w:left w:val="none" w:sz="0" w:space="0" w:color="auto"/>
        <w:bottom w:val="none" w:sz="0" w:space="0" w:color="auto"/>
        <w:right w:val="none" w:sz="0" w:space="0" w:color="auto"/>
      </w:divBdr>
    </w:div>
    <w:div w:id="1699237547">
      <w:bodyDiv w:val="1"/>
      <w:marLeft w:val="0"/>
      <w:marRight w:val="0"/>
      <w:marTop w:val="0"/>
      <w:marBottom w:val="0"/>
      <w:divBdr>
        <w:top w:val="none" w:sz="0" w:space="0" w:color="auto"/>
        <w:left w:val="none" w:sz="0" w:space="0" w:color="auto"/>
        <w:bottom w:val="none" w:sz="0" w:space="0" w:color="auto"/>
        <w:right w:val="none" w:sz="0" w:space="0" w:color="auto"/>
      </w:divBdr>
    </w:div>
    <w:div w:id="1704868982">
      <w:bodyDiv w:val="1"/>
      <w:marLeft w:val="0"/>
      <w:marRight w:val="0"/>
      <w:marTop w:val="0"/>
      <w:marBottom w:val="0"/>
      <w:divBdr>
        <w:top w:val="none" w:sz="0" w:space="0" w:color="auto"/>
        <w:left w:val="none" w:sz="0" w:space="0" w:color="auto"/>
        <w:bottom w:val="none" w:sz="0" w:space="0" w:color="auto"/>
        <w:right w:val="none" w:sz="0" w:space="0" w:color="auto"/>
      </w:divBdr>
    </w:div>
    <w:div w:id="1711147695">
      <w:bodyDiv w:val="1"/>
      <w:marLeft w:val="0"/>
      <w:marRight w:val="0"/>
      <w:marTop w:val="0"/>
      <w:marBottom w:val="0"/>
      <w:divBdr>
        <w:top w:val="none" w:sz="0" w:space="0" w:color="auto"/>
        <w:left w:val="none" w:sz="0" w:space="0" w:color="auto"/>
        <w:bottom w:val="none" w:sz="0" w:space="0" w:color="auto"/>
        <w:right w:val="none" w:sz="0" w:space="0" w:color="auto"/>
      </w:divBdr>
    </w:div>
    <w:div w:id="1719236476">
      <w:bodyDiv w:val="1"/>
      <w:marLeft w:val="0"/>
      <w:marRight w:val="0"/>
      <w:marTop w:val="0"/>
      <w:marBottom w:val="0"/>
      <w:divBdr>
        <w:top w:val="none" w:sz="0" w:space="0" w:color="auto"/>
        <w:left w:val="none" w:sz="0" w:space="0" w:color="auto"/>
        <w:bottom w:val="none" w:sz="0" w:space="0" w:color="auto"/>
        <w:right w:val="none" w:sz="0" w:space="0" w:color="auto"/>
      </w:divBdr>
    </w:div>
    <w:div w:id="1722291004">
      <w:bodyDiv w:val="1"/>
      <w:marLeft w:val="0"/>
      <w:marRight w:val="0"/>
      <w:marTop w:val="0"/>
      <w:marBottom w:val="0"/>
      <w:divBdr>
        <w:top w:val="none" w:sz="0" w:space="0" w:color="auto"/>
        <w:left w:val="none" w:sz="0" w:space="0" w:color="auto"/>
        <w:bottom w:val="none" w:sz="0" w:space="0" w:color="auto"/>
        <w:right w:val="none" w:sz="0" w:space="0" w:color="auto"/>
      </w:divBdr>
    </w:div>
    <w:div w:id="1802187227">
      <w:bodyDiv w:val="1"/>
      <w:marLeft w:val="0"/>
      <w:marRight w:val="0"/>
      <w:marTop w:val="0"/>
      <w:marBottom w:val="0"/>
      <w:divBdr>
        <w:top w:val="none" w:sz="0" w:space="0" w:color="auto"/>
        <w:left w:val="none" w:sz="0" w:space="0" w:color="auto"/>
        <w:bottom w:val="none" w:sz="0" w:space="0" w:color="auto"/>
        <w:right w:val="none" w:sz="0" w:space="0" w:color="auto"/>
      </w:divBdr>
    </w:div>
    <w:div w:id="183186584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67478548">
      <w:bodyDiv w:val="1"/>
      <w:marLeft w:val="0"/>
      <w:marRight w:val="0"/>
      <w:marTop w:val="0"/>
      <w:marBottom w:val="0"/>
      <w:divBdr>
        <w:top w:val="none" w:sz="0" w:space="0" w:color="auto"/>
        <w:left w:val="none" w:sz="0" w:space="0" w:color="auto"/>
        <w:bottom w:val="none" w:sz="0" w:space="0" w:color="auto"/>
        <w:right w:val="none" w:sz="0" w:space="0" w:color="auto"/>
      </w:divBdr>
    </w:div>
    <w:div w:id="1874151107">
      <w:bodyDiv w:val="1"/>
      <w:marLeft w:val="0"/>
      <w:marRight w:val="0"/>
      <w:marTop w:val="0"/>
      <w:marBottom w:val="0"/>
      <w:divBdr>
        <w:top w:val="none" w:sz="0" w:space="0" w:color="auto"/>
        <w:left w:val="none" w:sz="0" w:space="0" w:color="auto"/>
        <w:bottom w:val="none" w:sz="0" w:space="0" w:color="auto"/>
        <w:right w:val="none" w:sz="0" w:space="0" w:color="auto"/>
      </w:divBdr>
    </w:div>
    <w:div w:id="1909346052">
      <w:bodyDiv w:val="1"/>
      <w:marLeft w:val="0"/>
      <w:marRight w:val="0"/>
      <w:marTop w:val="0"/>
      <w:marBottom w:val="0"/>
      <w:divBdr>
        <w:top w:val="none" w:sz="0" w:space="0" w:color="auto"/>
        <w:left w:val="none" w:sz="0" w:space="0" w:color="auto"/>
        <w:bottom w:val="none" w:sz="0" w:space="0" w:color="auto"/>
        <w:right w:val="none" w:sz="0" w:space="0" w:color="auto"/>
      </w:divBdr>
    </w:div>
    <w:div w:id="2038189380">
      <w:bodyDiv w:val="1"/>
      <w:marLeft w:val="0"/>
      <w:marRight w:val="0"/>
      <w:marTop w:val="0"/>
      <w:marBottom w:val="0"/>
      <w:divBdr>
        <w:top w:val="none" w:sz="0" w:space="0" w:color="auto"/>
        <w:left w:val="none" w:sz="0" w:space="0" w:color="auto"/>
        <w:bottom w:val="none" w:sz="0" w:space="0" w:color="auto"/>
        <w:right w:val="none" w:sz="0" w:space="0" w:color="auto"/>
      </w:divBdr>
    </w:div>
    <w:div w:id="2041784613">
      <w:bodyDiv w:val="1"/>
      <w:marLeft w:val="0"/>
      <w:marRight w:val="0"/>
      <w:marTop w:val="0"/>
      <w:marBottom w:val="0"/>
      <w:divBdr>
        <w:top w:val="none" w:sz="0" w:space="0" w:color="auto"/>
        <w:left w:val="none" w:sz="0" w:space="0" w:color="auto"/>
        <w:bottom w:val="none" w:sz="0" w:space="0" w:color="auto"/>
        <w:right w:val="none" w:sz="0" w:space="0" w:color="auto"/>
      </w:divBdr>
    </w:div>
    <w:div w:id="21048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00192-EN-PDF.pdf" TargetMode="External"/><Relationship Id="rId13" Type="http://schemas.openxmlformats.org/officeDocument/2006/relationships/hyperlink" Target="https://ich.unesco.org/en/Decisions/7.GA/8" TargetMode="External"/><Relationship Id="rId18" Type="http://schemas.openxmlformats.org/officeDocument/2006/relationships/hyperlink" Target="https://ich.unesco.org/doc/src/ITH-18-13.COM_2.BUR-Decisions_Rev.-EN.docx"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www.unesco.org/culture/ich/doc/src/ITH-13-8.COM-Decisions-EN.doc" TargetMode="External"/><Relationship Id="rId34"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http://www.unesco.org/culture/ich/doc/src/ITH-10-3.GA-CONF.201-Resolution%20Rev.-EN.doc" TargetMode="External"/><Relationship Id="rId17" Type="http://schemas.openxmlformats.org/officeDocument/2006/relationships/hyperlink" Target="https://ich.unesco.org/en/Decisions/12.COM/7" TargetMode="External"/><Relationship Id="rId25" Type="http://schemas.openxmlformats.org/officeDocument/2006/relationships/image" Target="media/image1.emf"/><Relationship Id="rId33" Type="http://schemas.openxmlformats.org/officeDocument/2006/relationships/image" Target="media/image7.emf"/><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ich.unesco.org/en/Decisions/8.COM/7.c" TargetMode="External"/><Relationship Id="rId20" Type="http://schemas.openxmlformats.org/officeDocument/2006/relationships/hyperlink" Target="http://www.unesco.org/culture/ich/doc/src/IOS-AUD-2013-06-EN.pdf"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4.COM/6" TargetMode="External"/><Relationship Id="rId24" Type="http://schemas.openxmlformats.org/officeDocument/2006/relationships/hyperlink" Target="https://ich.unesco.org/en/donor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LHE-20-8.GA-6-EN.docx" TargetMode="External"/><Relationship Id="rId23" Type="http://schemas.openxmlformats.org/officeDocument/2006/relationships/hyperlink" Target="https://ich.unesco.org/doc/src/LHE-20-8.GA-6-EN.docx" TargetMode="External"/><Relationship Id="rId28" Type="http://schemas.openxmlformats.org/officeDocument/2006/relationships/image" Target="media/image4.emf"/><Relationship Id="rId36" Type="http://schemas.openxmlformats.org/officeDocument/2006/relationships/theme" Target="theme/theme1.xml"/><Relationship Id="rId10" Type="http://schemas.openxmlformats.org/officeDocument/2006/relationships/hyperlink" Target="https://ich.unesco.org/en/Decisions/13.COM/6" TargetMode="External"/><Relationship Id="rId19" Type="http://schemas.openxmlformats.org/officeDocument/2006/relationships/hyperlink" Target="https://ich.unesco.org/doc/src/LHE-20-8.GA-6-EN.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en/Decisions/7.GA/8" TargetMode="External"/><Relationship Id="rId14" Type="http://schemas.openxmlformats.org/officeDocument/2006/relationships/hyperlink" Target="https://ich.unesco.org/en/Decisions/7.GA/8" TargetMode="External"/><Relationship Id="rId22" Type="http://schemas.openxmlformats.org/officeDocument/2006/relationships/hyperlink" Target="https://ich.unesco.org/en/Decisions/7.GA/8" TargetMode="External"/><Relationship Id="rId27" Type="http://schemas.openxmlformats.org/officeDocument/2006/relationships/image" Target="media/image3.emf"/><Relationship Id="rId30" Type="http://schemas.openxmlformats.org/officeDocument/2006/relationships/header" Target="header1.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E19F-9B8F-4B01-BFF0-78ADA906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2093</Words>
  <Characters>11517</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13583</CharactersWithSpaces>
  <SharedDoc>false</SharedDoc>
  <HLinks>
    <vt:vector size="90" baseType="variant">
      <vt:variant>
        <vt:i4>3539070</vt:i4>
      </vt:variant>
      <vt:variant>
        <vt:i4>42</vt:i4>
      </vt:variant>
      <vt:variant>
        <vt:i4>0</vt:i4>
      </vt:variant>
      <vt:variant>
        <vt:i4>5</vt:i4>
      </vt:variant>
      <vt:variant>
        <vt:lpwstr>http://www.unesco.org/culture/ich/doc/src/ITH-13-8.COM-Decisions-EN.doc</vt:lpwstr>
      </vt:variant>
      <vt:variant>
        <vt:lpwstr/>
      </vt:variant>
      <vt:variant>
        <vt:i4>5898251</vt:i4>
      </vt:variant>
      <vt:variant>
        <vt:i4>39</vt:i4>
      </vt:variant>
      <vt:variant>
        <vt:i4>0</vt:i4>
      </vt:variant>
      <vt:variant>
        <vt:i4>5</vt:i4>
      </vt:variant>
      <vt:variant>
        <vt:lpwstr>http://www.unesco.org/culture/ich/doc/src/IOS-AUD-2013-06-EN.pdf</vt:lpwstr>
      </vt:variant>
      <vt:variant>
        <vt:lpwstr/>
      </vt:variant>
      <vt:variant>
        <vt:i4>6881348</vt:i4>
      </vt:variant>
      <vt:variant>
        <vt:i4>36</vt:i4>
      </vt:variant>
      <vt:variant>
        <vt:i4>0</vt:i4>
      </vt:variant>
      <vt:variant>
        <vt:i4>5</vt:i4>
      </vt:variant>
      <vt:variant>
        <vt:lpwstr>../../../../../2016/2016-06_11 COM 2 BUR/11 COM 2 BUR _Decisions_EN.docx</vt:lpwstr>
      </vt:variant>
      <vt:variant>
        <vt:lpwstr/>
      </vt:variant>
      <vt:variant>
        <vt:i4>2555915</vt:i4>
      </vt:variant>
      <vt:variant>
        <vt:i4>33</vt:i4>
      </vt:variant>
      <vt:variant>
        <vt:i4>0</vt:i4>
      </vt:variant>
      <vt:variant>
        <vt:i4>5</vt:i4>
      </vt:variant>
      <vt:variant>
        <vt:lpwstr>\\hqfs\OurDrive\CLT\ProgrammeExecution\2003Convention\2003-StatutoryMeetings\2016\2016-06_11 COM 2 BUR\11 COM 2 BUR _Decisions_EN.docx</vt:lpwstr>
      </vt:variant>
      <vt:variant>
        <vt:lpwstr/>
      </vt:variant>
      <vt:variant>
        <vt:i4>3539070</vt:i4>
      </vt:variant>
      <vt:variant>
        <vt:i4>30</vt:i4>
      </vt:variant>
      <vt:variant>
        <vt:i4>0</vt:i4>
      </vt:variant>
      <vt:variant>
        <vt:i4>5</vt:i4>
      </vt:variant>
      <vt:variant>
        <vt:lpwstr>http://www.unesco.org/culture/ich/doc/src/ITH-13-8.COM-Decisions-EN.doc</vt:lpwstr>
      </vt:variant>
      <vt:variant>
        <vt:lpwstr/>
      </vt:variant>
      <vt:variant>
        <vt:i4>3539070</vt:i4>
      </vt:variant>
      <vt:variant>
        <vt:i4>27</vt:i4>
      </vt:variant>
      <vt:variant>
        <vt:i4>0</vt:i4>
      </vt:variant>
      <vt:variant>
        <vt:i4>5</vt:i4>
      </vt:variant>
      <vt:variant>
        <vt:lpwstr>http://www.unesco.org/culture/ich/doc/src/ITH-13-8.COM-Decisions-EN.doc</vt:lpwstr>
      </vt:variant>
      <vt:variant>
        <vt:lpwstr/>
      </vt:variant>
      <vt:variant>
        <vt:i4>5570634</vt:i4>
      </vt:variant>
      <vt:variant>
        <vt:i4>24</vt:i4>
      </vt:variant>
      <vt:variant>
        <vt:i4>0</vt:i4>
      </vt:variant>
      <vt:variant>
        <vt:i4>5</vt:i4>
      </vt:variant>
      <vt:variant>
        <vt:lpwstr>../../../../../2016/2016-06_6GA_PARIS/Resolutions/6GA_Resolutions_EN.docx</vt:lpwstr>
      </vt:variant>
      <vt:variant>
        <vt:lpwstr/>
      </vt:variant>
      <vt:variant>
        <vt:i4>5046356</vt:i4>
      </vt:variant>
      <vt:variant>
        <vt:i4>21</vt:i4>
      </vt:variant>
      <vt:variant>
        <vt:i4>0</vt:i4>
      </vt:variant>
      <vt:variant>
        <vt:i4>5</vt:i4>
      </vt:variant>
      <vt:variant>
        <vt:lpwstr>https://ich.unesco.org/en/Resolutions/6.GA/9</vt:lpwstr>
      </vt:variant>
      <vt:variant>
        <vt:lpwstr/>
      </vt:variant>
      <vt:variant>
        <vt:i4>5111832</vt:i4>
      </vt:variant>
      <vt:variant>
        <vt:i4>18</vt:i4>
      </vt:variant>
      <vt:variant>
        <vt:i4>0</vt:i4>
      </vt:variant>
      <vt:variant>
        <vt:i4>5</vt:i4>
      </vt:variant>
      <vt:variant>
        <vt:lpwstr>https://ich.unesco.org/en/Decisions/10.COM/8</vt:lpwstr>
      </vt:variant>
      <vt:variant>
        <vt:lpwstr/>
      </vt:variant>
      <vt:variant>
        <vt:i4>327700</vt:i4>
      </vt:variant>
      <vt:variant>
        <vt:i4>15</vt:i4>
      </vt:variant>
      <vt:variant>
        <vt:i4>0</vt:i4>
      </vt:variant>
      <vt:variant>
        <vt:i4>5</vt:i4>
      </vt:variant>
      <vt:variant>
        <vt:lpwstr>http://www.unesco.org/culture/ich/doc/src/ITH-10-3.GA-CONF.201-Resolution Rev.-EN.doc</vt:lpwstr>
      </vt:variant>
      <vt:variant>
        <vt:lpwstr/>
      </vt:variant>
      <vt:variant>
        <vt:i4>4259864</vt:i4>
      </vt:variant>
      <vt:variant>
        <vt:i4>12</vt:i4>
      </vt:variant>
      <vt:variant>
        <vt:i4>0</vt:i4>
      </vt:variant>
      <vt:variant>
        <vt:i4>5</vt:i4>
      </vt:variant>
      <vt:variant>
        <vt:lpwstr>https://ich.unesco.org/en/Decisions/11.COM/6</vt:lpwstr>
      </vt:variant>
      <vt:variant>
        <vt:lpwstr/>
      </vt:variant>
      <vt:variant>
        <vt:i4>5177368</vt:i4>
      </vt:variant>
      <vt:variant>
        <vt:i4>9</vt:i4>
      </vt:variant>
      <vt:variant>
        <vt:i4>0</vt:i4>
      </vt:variant>
      <vt:variant>
        <vt:i4>5</vt:i4>
      </vt:variant>
      <vt:variant>
        <vt:lpwstr>https://ich.unesco.org/en/Decisions/10.COM/9</vt:lpwstr>
      </vt:variant>
      <vt:variant>
        <vt:lpwstr/>
      </vt:variant>
      <vt:variant>
        <vt:i4>2490480</vt:i4>
      </vt:variant>
      <vt:variant>
        <vt:i4>6</vt:i4>
      </vt:variant>
      <vt:variant>
        <vt:i4>0</vt:i4>
      </vt:variant>
      <vt:variant>
        <vt:i4>5</vt:i4>
      </vt:variant>
      <vt:variant>
        <vt:lpwstr>https://ich.unesco.org/en/Decisions/9.COM/7</vt:lpwstr>
      </vt:variant>
      <vt:variant>
        <vt:lpwstr/>
      </vt:variant>
      <vt:variant>
        <vt:i4>7078006</vt:i4>
      </vt:variant>
      <vt:variant>
        <vt:i4>3</vt:i4>
      </vt:variant>
      <vt:variant>
        <vt:i4>0</vt:i4>
      </vt:variant>
      <vt:variant>
        <vt:i4>5</vt:i4>
      </vt:variant>
      <vt:variant>
        <vt:lpwstr>http://www.unesco.org/culture/ich/doc/src/00192-EN-PDF.pdf</vt:lpwstr>
      </vt:variant>
      <vt:variant>
        <vt:lpwstr/>
      </vt:variant>
      <vt:variant>
        <vt:i4>5570634</vt:i4>
      </vt:variant>
      <vt:variant>
        <vt:i4>0</vt:i4>
      </vt:variant>
      <vt:variant>
        <vt:i4>0</vt:i4>
      </vt:variant>
      <vt:variant>
        <vt:i4>5</vt:i4>
      </vt:variant>
      <vt:variant>
        <vt:lpwstr>../../../../../2016/2016-06_6GA_PARIS/Resolutions/6GA_Resolutions_EN.docx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10</cp:revision>
  <cp:lastPrinted>2020-05-12T07:38:00Z</cp:lastPrinted>
  <dcterms:created xsi:type="dcterms:W3CDTF">2020-07-31T13:31:00Z</dcterms:created>
  <dcterms:modified xsi:type="dcterms:W3CDTF">2020-08-06T18:33:00Z</dcterms:modified>
</cp:coreProperties>
</file>