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39CF" w14:textId="3DB3D155" w:rsidR="00655736" w:rsidRPr="006F1415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7D3F20">
        <w:rPr>
          <w:rFonts w:ascii="Arial" w:hAnsi="Arial"/>
          <w:b/>
          <w:sz w:val="22"/>
          <w:szCs w:val="22"/>
        </w:rPr>
        <w:t>КОНВЕНЦИЯ ОБ ОХРАНЕ</w:t>
      </w:r>
      <w:r w:rsidR="002505AD">
        <w:rPr>
          <w:rFonts w:ascii="Arial" w:hAnsi="Arial"/>
          <w:b/>
          <w:sz w:val="22"/>
          <w:szCs w:val="22"/>
        </w:rPr>
        <w:br/>
      </w:r>
      <w:bookmarkStart w:id="0" w:name="_GoBack"/>
      <w:bookmarkEnd w:id="0"/>
      <w:r w:rsidRPr="006F1415">
        <w:rPr>
          <w:rFonts w:ascii="Arial" w:hAnsi="Arial"/>
          <w:b/>
          <w:sz w:val="22"/>
          <w:szCs w:val="22"/>
        </w:rPr>
        <w:t>НЕМАТЕРИАЛЬНОГО КУЛЬТУРНОГО НАСЛЕДИЯ</w:t>
      </w:r>
    </w:p>
    <w:p w14:paraId="0AF19D55" w14:textId="77777777" w:rsidR="00655736" w:rsidRPr="006F1415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6F1415">
        <w:rPr>
          <w:rFonts w:ascii="Arial" w:hAnsi="Arial"/>
          <w:b/>
          <w:sz w:val="22"/>
          <w:szCs w:val="22"/>
        </w:rPr>
        <w:t>ГЕНЕРАЛЬНАЯ АССАМБЛЕЯ ГОСУДАРСТВ – УЧАСТНИКОВ КОНВЕНЦИИ</w:t>
      </w:r>
    </w:p>
    <w:p w14:paraId="722D8544" w14:textId="77777777" w:rsidR="00D95C4C" w:rsidRPr="007D3F20" w:rsidRDefault="006F41B4" w:rsidP="00D95C4C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7D3F20">
        <w:rPr>
          <w:rFonts w:ascii="Arial" w:hAnsi="Arial"/>
          <w:b/>
          <w:sz w:val="22"/>
          <w:szCs w:val="22"/>
        </w:rPr>
        <w:t>Восьмая сессия</w:t>
      </w:r>
    </w:p>
    <w:p w14:paraId="575E752B" w14:textId="77777777" w:rsidR="00D95C4C" w:rsidRPr="007D3F20" w:rsidRDefault="00D95C4C" w:rsidP="00D95C4C">
      <w:pPr>
        <w:jc w:val="center"/>
        <w:rPr>
          <w:rFonts w:ascii="Arial" w:hAnsi="Arial" w:cs="Arial"/>
          <w:b/>
          <w:sz w:val="22"/>
          <w:szCs w:val="22"/>
        </w:rPr>
      </w:pPr>
      <w:r w:rsidRPr="007D3F20">
        <w:rPr>
          <w:rFonts w:ascii="Arial" w:hAnsi="Arial"/>
          <w:b/>
          <w:sz w:val="22"/>
          <w:szCs w:val="22"/>
        </w:rPr>
        <w:t>Штаб-квартира ЮНЕСКО, зал I</w:t>
      </w:r>
    </w:p>
    <w:p w14:paraId="5DC1C903" w14:textId="56A5F5C0" w:rsidR="00655736" w:rsidRPr="0045498A" w:rsidRDefault="00E14D29" w:rsidP="00D95C4C">
      <w:pPr>
        <w:jc w:val="center"/>
        <w:rPr>
          <w:rFonts w:ascii="Arial" w:hAnsi="Arial" w:cs="Arial"/>
          <w:b/>
          <w:sz w:val="22"/>
          <w:szCs w:val="22"/>
        </w:rPr>
      </w:pPr>
      <w:r w:rsidRPr="00F22EC0">
        <w:rPr>
          <w:rFonts w:ascii="Arial" w:hAnsi="Arial"/>
          <w:b/>
          <w:sz w:val="22"/>
          <w:szCs w:val="22"/>
        </w:rPr>
        <w:t xml:space="preserve">8-10 сентября </w:t>
      </w:r>
      <w:r w:rsidR="00534748" w:rsidRPr="00F22EC0">
        <w:rPr>
          <w:rFonts w:ascii="Arial" w:hAnsi="Arial"/>
          <w:b/>
          <w:sz w:val="22"/>
          <w:szCs w:val="22"/>
        </w:rPr>
        <w:t>2020 г.</w:t>
      </w:r>
    </w:p>
    <w:p w14:paraId="6E49627C" w14:textId="37D19EB7" w:rsidR="00655736" w:rsidRPr="006F1415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6F1415">
        <w:rPr>
          <w:rFonts w:ascii="Arial" w:hAnsi="Arial"/>
          <w:b/>
          <w:sz w:val="22"/>
          <w:szCs w:val="22"/>
          <w:u w:val="single"/>
        </w:rPr>
        <w:t xml:space="preserve">Пункт </w:t>
      </w:r>
      <w:r w:rsidR="00755954" w:rsidRPr="00F22EC0">
        <w:rPr>
          <w:rFonts w:ascii="Arial" w:hAnsi="Arial"/>
          <w:b/>
          <w:sz w:val="22"/>
          <w:szCs w:val="22"/>
          <w:u w:val="single"/>
        </w:rPr>
        <w:t>9</w:t>
      </w:r>
      <w:r w:rsidR="00755954" w:rsidRPr="006F1415">
        <w:rPr>
          <w:rFonts w:ascii="Arial" w:hAnsi="Arial"/>
          <w:b/>
          <w:sz w:val="22"/>
          <w:szCs w:val="22"/>
          <w:u w:val="single"/>
        </w:rPr>
        <w:t xml:space="preserve"> </w:t>
      </w:r>
      <w:r w:rsidRPr="006F1415">
        <w:rPr>
          <w:rFonts w:ascii="Arial" w:hAnsi="Arial"/>
          <w:b/>
          <w:sz w:val="22"/>
          <w:szCs w:val="22"/>
          <w:u w:val="single"/>
        </w:rPr>
        <w:t>предварительной повестки дня:</w:t>
      </w:r>
    </w:p>
    <w:p w14:paraId="10542C8E" w14:textId="6BC3C72A" w:rsidR="002F312A" w:rsidRPr="007D3F20" w:rsidRDefault="002C76E6" w:rsidP="0009575A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</w:rPr>
      </w:pPr>
      <w:r w:rsidRPr="006F1415">
        <w:rPr>
          <w:rFonts w:ascii="Arial" w:hAnsi="Arial"/>
          <w:b/>
          <w:sz w:val="22"/>
          <w:szCs w:val="22"/>
        </w:rPr>
        <w:t xml:space="preserve">Нематериальное культурное наследие в </w:t>
      </w:r>
      <w:r w:rsidRPr="007D3F20">
        <w:rPr>
          <w:rFonts w:ascii="Arial" w:hAnsi="Arial"/>
          <w:b/>
          <w:sz w:val="22"/>
          <w:szCs w:val="22"/>
        </w:rPr>
        <w:t>чрезвычайных ситуаци</w:t>
      </w:r>
      <w:r w:rsidR="002C61EA" w:rsidRPr="007D3F20">
        <w:rPr>
          <w:rFonts w:ascii="Arial" w:hAnsi="Arial"/>
          <w:b/>
          <w:sz w:val="22"/>
          <w:szCs w:val="22"/>
        </w:rPr>
        <w:t xml:space="preserve">ях 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7D3F20" w14:paraId="56074A71" w14:textId="77777777" w:rsidTr="002F312A">
        <w:trPr>
          <w:jc w:val="center"/>
        </w:trPr>
        <w:tc>
          <w:tcPr>
            <w:tcW w:w="5670" w:type="dxa"/>
            <w:vAlign w:val="center"/>
          </w:tcPr>
          <w:p w14:paraId="083E00A8" w14:textId="77777777" w:rsidR="0057439C" w:rsidRPr="007D3F20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F20">
              <w:rPr>
                <w:rFonts w:ascii="Arial" w:hAnsi="Arial"/>
                <w:b/>
                <w:sz w:val="22"/>
                <w:szCs w:val="22"/>
              </w:rPr>
              <w:t>Содержание</w:t>
            </w:r>
          </w:p>
          <w:p w14:paraId="6A965448" w14:textId="47F55FEB" w:rsidR="00274BE9" w:rsidRPr="007D3F20" w:rsidRDefault="00657DBA" w:rsidP="00C65E69">
            <w:pPr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F20">
              <w:rPr>
                <w:rFonts w:ascii="Arial" w:hAnsi="Arial"/>
                <w:sz w:val="22"/>
                <w:szCs w:val="22"/>
              </w:rPr>
              <w:t xml:space="preserve">Комитет проанализировал роль нематериального культурного наследия в условиях чрезвычайных ситуаций за период, охвативший последние четыре цикла. В ходе своей четырнадцатой сессии в 2019 году Комитет утвердил оперативные принципы и методы охраны нематериального культурного наследия в чрезвычайных ситуациях и предложил представить их для рассмотрения на восьмой сессии Генеральной ассамблеи. В настоящем документе </w:t>
            </w:r>
            <w:r w:rsidR="00B8452E" w:rsidRPr="007D3F20">
              <w:rPr>
                <w:rFonts w:ascii="Arial" w:hAnsi="Arial"/>
                <w:sz w:val="22"/>
                <w:szCs w:val="22"/>
              </w:rPr>
              <w:t xml:space="preserve">приведены </w:t>
            </w:r>
            <w:r w:rsidRPr="007D3F20">
              <w:rPr>
                <w:rFonts w:ascii="Arial" w:hAnsi="Arial"/>
                <w:sz w:val="22"/>
                <w:szCs w:val="22"/>
              </w:rPr>
              <w:t>указанные оперативные принципы и методы</w:t>
            </w:r>
            <w:r w:rsidR="00B8452E" w:rsidRPr="007D3F20">
              <w:rPr>
                <w:rFonts w:ascii="Arial" w:hAnsi="Arial"/>
                <w:sz w:val="22"/>
                <w:szCs w:val="22"/>
              </w:rPr>
              <w:t xml:space="preserve"> </w:t>
            </w:r>
            <w:r w:rsidRPr="007D3F20">
              <w:rPr>
                <w:rFonts w:ascii="Arial" w:hAnsi="Arial"/>
                <w:sz w:val="22"/>
                <w:szCs w:val="22"/>
              </w:rPr>
              <w:t xml:space="preserve">в приложении, а также </w:t>
            </w:r>
            <w:r w:rsidR="00B8452E" w:rsidRPr="007D3F20">
              <w:rPr>
                <w:rFonts w:ascii="Arial" w:hAnsi="Arial"/>
                <w:sz w:val="22"/>
                <w:szCs w:val="22"/>
              </w:rPr>
              <w:t xml:space="preserve">содержится информация об истории </w:t>
            </w:r>
            <w:r w:rsidRPr="007D3F20">
              <w:rPr>
                <w:rFonts w:ascii="Arial" w:hAnsi="Arial"/>
                <w:sz w:val="22"/>
                <w:szCs w:val="22"/>
              </w:rPr>
              <w:t>вопроса,</w:t>
            </w:r>
            <w:r w:rsidR="00B8452E" w:rsidRPr="007D3F20">
              <w:rPr>
                <w:rFonts w:ascii="Arial" w:hAnsi="Arial"/>
                <w:sz w:val="22"/>
                <w:szCs w:val="22"/>
              </w:rPr>
              <w:t xml:space="preserve"> содержании </w:t>
            </w:r>
            <w:r w:rsidRPr="007D3F20">
              <w:rPr>
                <w:rFonts w:ascii="Arial" w:hAnsi="Arial"/>
                <w:sz w:val="22"/>
                <w:szCs w:val="22"/>
              </w:rPr>
              <w:t>и актуальности таких принципов и методов в контексте следующего этапа работы.</w:t>
            </w:r>
          </w:p>
          <w:p w14:paraId="4DABE1EE" w14:textId="5CFC9C96" w:rsidR="00657DBA" w:rsidRPr="007D3F20" w:rsidRDefault="00274BE9" w:rsidP="00274BE9">
            <w:pPr>
              <w:pStyle w:val="Sansinterligne2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3F20">
              <w:rPr>
                <w:rFonts w:ascii="Arial" w:hAnsi="Arial"/>
                <w:b/>
                <w:sz w:val="22"/>
                <w:szCs w:val="22"/>
              </w:rPr>
              <w:t>Требуемое</w:t>
            </w:r>
            <w:r w:rsidRPr="007D3F20">
              <w:rPr>
                <w:rFonts w:ascii="Arial" w:hAnsi="Arial"/>
                <w:b/>
                <w:bCs/>
                <w:sz w:val="22"/>
                <w:szCs w:val="22"/>
              </w:rPr>
              <w:t xml:space="preserve"> решение:</w:t>
            </w:r>
            <w:r w:rsidRPr="007D3F20">
              <w:rPr>
                <w:rFonts w:ascii="Arial" w:hAnsi="Arial"/>
                <w:bCs/>
                <w:sz w:val="22"/>
                <w:szCs w:val="22"/>
              </w:rPr>
              <w:t xml:space="preserve"> пункт 14</w:t>
            </w:r>
          </w:p>
        </w:tc>
      </w:tr>
    </w:tbl>
    <w:p w14:paraId="37EAB522" w14:textId="68CD998A" w:rsidR="00183839" w:rsidRPr="007D3F20" w:rsidRDefault="00655736" w:rsidP="00B76414">
      <w:pPr>
        <w:pStyle w:val="GAPara"/>
        <w:numPr>
          <w:ilvl w:val="0"/>
          <w:numId w:val="0"/>
        </w:numPr>
        <w:spacing w:before="360"/>
        <w:jc w:val="both"/>
        <w:rPr>
          <w:b/>
          <w:bCs/>
        </w:rPr>
      </w:pPr>
      <w:r w:rsidRPr="007D3F20">
        <w:br w:type="page"/>
      </w:r>
      <w:r w:rsidRPr="007D3F20">
        <w:rPr>
          <w:b/>
          <w:bCs/>
        </w:rPr>
        <w:lastRenderedPageBreak/>
        <w:t>История вопроса</w:t>
      </w:r>
    </w:p>
    <w:p w14:paraId="4233BCEE" w14:textId="1A66EB54" w:rsidR="00183839" w:rsidRPr="007D3F20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>ЮНЕСКО все чаще слышит призывы помочь государствам-членам, пострадавшим в результате всевозрастающего числа чрезвычайных ситуаций, включая конфликты и бедствия, вызванные опасными природными явлениями и антропогенными катастрофами. В связи с этим Комитет Конвенции 2003 года проанализировал роль нематериального культурного наследия в условиях чрезвычайных ситуаций за установленный прошедший четырехцикличный период (2016–2019 гг.), завершившийся разработкой оперативных принципов и методов охраны нематериального культурного наследия в чрезвычайных ситуациях (см. Приложение).</w:t>
      </w:r>
    </w:p>
    <w:p w14:paraId="5F6058AF" w14:textId="4A394903" w:rsidR="005E6FE6" w:rsidRPr="0045498A" w:rsidRDefault="00183839" w:rsidP="000B585F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>Рассматривая эту тему в первый раз, в ходе своей 11-й сессии в 2016 году, Комитет отметил, что в чрезвычайных ситуациях нематериальное культурное наследие имеет двойственный характер – находится под угрозой и в то же время является мощным инструментом для восстановления и обеспечения устойчивости, и предложил Секретариату продолжить накопление знаний и опыта в данной области. (</w:t>
      </w:r>
      <w:hyperlink r:id="rId8" w:history="1">
        <w:r w:rsidRPr="0045498A">
          <w:rPr>
            <w:rStyle w:val="Hyperlink"/>
            <w:rFonts w:ascii="Arial" w:hAnsi="Arial"/>
            <w:sz w:val="22"/>
            <w:szCs w:val="22"/>
          </w:rPr>
          <w:t>документ ITH/16/11.COM/15</w:t>
        </w:r>
      </w:hyperlink>
      <w:r w:rsidRPr="0045498A">
        <w:rPr>
          <w:rFonts w:ascii="Arial" w:hAnsi="Arial"/>
          <w:sz w:val="22"/>
          <w:szCs w:val="22"/>
        </w:rPr>
        <w:t xml:space="preserve">; </w:t>
      </w:r>
      <w:hyperlink r:id="rId9" w:history="1">
        <w:r w:rsidRPr="0045498A">
          <w:rPr>
            <w:rStyle w:val="Hyperlink"/>
            <w:rFonts w:ascii="Arial" w:hAnsi="Arial"/>
            <w:sz w:val="22"/>
            <w:szCs w:val="22"/>
          </w:rPr>
          <w:t>решение 11.COM 15</w:t>
        </w:r>
      </w:hyperlink>
      <w:r w:rsidRPr="0045498A">
        <w:rPr>
          <w:rFonts w:ascii="Arial" w:hAnsi="Arial"/>
          <w:sz w:val="22"/>
          <w:szCs w:val="22"/>
        </w:rPr>
        <w:t>). На своей двенадцатой сессии в 2017 году Комитет рассмотрел результаты деятельности, осуществленной Секретариатом в отношении конфликтов и бедствий. Он указал на будущее направление, в рамках которого акцент будет делаться на выявление потребностей на местном уровне, и попросил Секретариат активизировать работу над повышением уровня информированности и укреплением потенциала в этой обла</w:t>
      </w:r>
      <w:r w:rsidRPr="006F1415">
        <w:rPr>
          <w:rFonts w:ascii="Arial" w:hAnsi="Arial"/>
          <w:sz w:val="22"/>
          <w:szCs w:val="22"/>
        </w:rPr>
        <w:t>сти, а также усилить сотрудничество с соответствующими учреждениями Организации Объединенных Наций (</w:t>
      </w:r>
      <w:hyperlink r:id="rId10" w:history="1">
        <w:r w:rsidRPr="0045498A">
          <w:rPr>
            <w:rStyle w:val="Hyperlink"/>
            <w:rFonts w:ascii="Arial" w:hAnsi="Arial"/>
            <w:sz w:val="22"/>
            <w:szCs w:val="22"/>
          </w:rPr>
          <w:t>документ ITH/17/12.COM/15</w:t>
        </w:r>
      </w:hyperlink>
      <w:r w:rsidRPr="0045498A">
        <w:rPr>
          <w:rFonts w:ascii="Arial" w:hAnsi="Arial"/>
          <w:sz w:val="22"/>
          <w:szCs w:val="22"/>
        </w:rPr>
        <w:t xml:space="preserve">; </w:t>
      </w:r>
      <w:hyperlink r:id="rId11" w:history="1">
        <w:r w:rsidRPr="0045498A">
          <w:rPr>
            <w:rStyle w:val="Hyperlink"/>
            <w:rFonts w:ascii="Arial" w:hAnsi="Arial"/>
            <w:sz w:val="22"/>
            <w:szCs w:val="22"/>
          </w:rPr>
          <w:t>решение 12.COM 15</w:t>
        </w:r>
      </w:hyperlink>
      <w:r w:rsidRPr="0045498A">
        <w:rPr>
          <w:rFonts w:ascii="Arial" w:hAnsi="Arial"/>
          <w:sz w:val="22"/>
          <w:szCs w:val="22"/>
        </w:rPr>
        <w:t xml:space="preserve">). Опираясь на результаты выполненной работы, в ходе своей тринадцатой сессии в 2018 году Комитет пришел к заключению, что пришло время определить оперативные методы охраны нематериального культурного наследия в чрезвычайных ситуациях, и предложил Секретариату «организовать отдельное совещание экспертов в течение 2019 года, с тем чтобы осмыслить приобретенные знания и опыт и на их основе выработать методологическое руководство для государств-участников и всех остальных соответствующих </w:t>
      </w:r>
      <w:r w:rsidRPr="006F1415">
        <w:rPr>
          <w:rFonts w:ascii="Arial" w:hAnsi="Arial"/>
          <w:sz w:val="22"/>
          <w:szCs w:val="22"/>
        </w:rPr>
        <w:t>заинтересованных сторон на национальном или международном уровне» (</w:t>
      </w:r>
      <w:hyperlink r:id="rId12" w:history="1">
        <w:r w:rsidRPr="0045498A">
          <w:rPr>
            <w:rStyle w:val="Hyperlink"/>
            <w:rFonts w:ascii="Arial" w:hAnsi="Arial"/>
            <w:sz w:val="22"/>
            <w:szCs w:val="22"/>
          </w:rPr>
          <w:t>документ ITH/18/13.COM/11</w:t>
        </w:r>
      </w:hyperlink>
      <w:r w:rsidRPr="0045498A">
        <w:rPr>
          <w:rFonts w:ascii="Arial" w:hAnsi="Arial"/>
          <w:sz w:val="22"/>
          <w:szCs w:val="22"/>
        </w:rPr>
        <w:t xml:space="preserve">; </w:t>
      </w:r>
      <w:hyperlink r:id="rId13" w:history="1">
        <w:r w:rsidRPr="0045498A">
          <w:rPr>
            <w:rStyle w:val="Hyperlink"/>
            <w:rFonts w:ascii="Arial" w:hAnsi="Arial"/>
            <w:sz w:val="22"/>
            <w:szCs w:val="22"/>
          </w:rPr>
          <w:t>решение 13.COM 11</w:t>
        </w:r>
      </w:hyperlink>
      <w:r w:rsidRPr="0045498A">
        <w:rPr>
          <w:rFonts w:ascii="Arial" w:hAnsi="Arial"/>
          <w:sz w:val="22"/>
          <w:szCs w:val="22"/>
        </w:rPr>
        <w:t>).</w:t>
      </w:r>
    </w:p>
    <w:p w14:paraId="1F0CCF35" w14:textId="1FD1FCC9" w:rsidR="00183839" w:rsidRPr="0045498A" w:rsidRDefault="00183839" w:rsidP="000B585F">
      <w:pPr>
        <w:pStyle w:val="COMPara"/>
        <w:numPr>
          <w:ilvl w:val="0"/>
          <w:numId w:val="21"/>
        </w:numPr>
        <w:ind w:left="567" w:hanging="567"/>
      </w:pPr>
      <w:r w:rsidRPr="006F1415">
        <w:t>В связи с этим 21 и 22 мая 2019 года в Штаб-квартире ЮНЕСКО Секретариат организовал совещание экспертов по нематериальному культурному наследию в чрезвычайных ситуациях. Благодаря щедрой поддержке Китайской Народной Республики, в совещании принял участие двадцать один эксперт от всех шести избирательных групп ЮНЕСКО. В рамках подготовки к этому совещанию Секретариат разработал рабочий документ (</w:t>
      </w:r>
      <w:hyperlink r:id="rId14" w:history="1">
        <w:r w:rsidRPr="0045498A">
          <w:rPr>
            <w:rStyle w:val="Hyperlink"/>
          </w:rPr>
          <w:t>документ LHE/19/EXP/2</w:t>
        </w:r>
      </w:hyperlink>
      <w:r w:rsidRPr="0045498A">
        <w:t>), посвященный составлению методологического руководства по охране нематериального культурного наследия в чрезвычайных ситуациях Более подробная информация о дискуссиях, состоявшихся в ходе совещания экспертов, представлена в отчете о совещании (</w:t>
      </w:r>
      <w:hyperlink r:id="rId15" w:history="1">
        <w:r w:rsidRPr="0045498A">
          <w:rPr>
            <w:rStyle w:val="Hyperlink"/>
          </w:rPr>
          <w:t>документ LHE/19/EXP/5</w:t>
        </w:r>
      </w:hyperlink>
      <w:r w:rsidRPr="0045498A">
        <w:t>) и кратких отчетах (</w:t>
      </w:r>
      <w:hyperlink r:id="rId16" w:history="1">
        <w:r w:rsidRPr="0045498A">
          <w:rPr>
            <w:rStyle w:val="Hyperlink"/>
          </w:rPr>
          <w:t>документ LHE/19/14.COM/INF.13</w:t>
        </w:r>
      </w:hyperlink>
      <w:r w:rsidRPr="0045498A">
        <w:t xml:space="preserve">). Эксперты согласовали комплекс оперативных принципов и методов охраны нематериального культурного наследия в чрезвычайных ситуациях, которые, наряду с результатами совещания экспертов, были представлены и утверждены Комитетом в ходе его четырнадцатой сессии </w:t>
      </w:r>
      <w:r w:rsidRPr="006F1415">
        <w:t>в 2019 году (</w:t>
      </w:r>
      <w:hyperlink r:id="rId17" w:history="1">
        <w:r w:rsidRPr="0045498A">
          <w:rPr>
            <w:rStyle w:val="Hyperlink"/>
          </w:rPr>
          <w:t xml:space="preserve">документ LHE/19/14.COM/13 </w:t>
        </w:r>
        <w:proofErr w:type="spellStart"/>
        <w:r w:rsidRPr="0045498A">
          <w:rPr>
            <w:rStyle w:val="Hyperlink"/>
          </w:rPr>
          <w:t>Rev</w:t>
        </w:r>
        <w:proofErr w:type="spellEnd"/>
        <w:r w:rsidRPr="0045498A">
          <w:rPr>
            <w:rStyle w:val="Hyperlink"/>
          </w:rPr>
          <w:t>.</w:t>
        </w:r>
      </w:hyperlink>
      <w:r w:rsidRPr="0045498A">
        <w:t xml:space="preserve">, </w:t>
      </w:r>
      <w:hyperlink r:id="rId18" w:history="1">
        <w:r w:rsidRPr="0045498A">
          <w:rPr>
            <w:rStyle w:val="Hyperlink"/>
          </w:rPr>
          <w:t>решение</w:t>
        </w:r>
        <w:r w:rsidR="001B49DA">
          <w:rPr>
            <w:rStyle w:val="Hyperlink"/>
            <w:lang w:val="fr-FR"/>
          </w:rPr>
          <w:t> </w:t>
        </w:r>
        <w:r w:rsidRPr="0045498A">
          <w:rPr>
            <w:rStyle w:val="Hyperlink"/>
          </w:rPr>
          <w:t>14.COM</w:t>
        </w:r>
        <w:r w:rsidR="001B49DA">
          <w:rPr>
            <w:rStyle w:val="Hyperlink"/>
            <w:lang w:val="fr-FR"/>
          </w:rPr>
          <w:t> </w:t>
        </w:r>
        <w:r w:rsidRPr="0045498A">
          <w:rPr>
            <w:rStyle w:val="Hyperlink"/>
          </w:rPr>
          <w:t>13</w:t>
        </w:r>
      </w:hyperlink>
      <w:r w:rsidRPr="0045498A">
        <w:t>).</w:t>
      </w:r>
    </w:p>
    <w:p w14:paraId="4975EC1C" w14:textId="77777777" w:rsidR="00183839" w:rsidRPr="006F1415" w:rsidRDefault="00183839" w:rsidP="00B76414">
      <w:pPr>
        <w:pStyle w:val="COMPara"/>
        <w:numPr>
          <w:ilvl w:val="0"/>
          <w:numId w:val="22"/>
        </w:numPr>
        <w:spacing w:before="360"/>
        <w:ind w:left="567" w:hanging="567"/>
        <w:rPr>
          <w:b/>
        </w:rPr>
      </w:pPr>
      <w:r w:rsidRPr="006F1415">
        <w:rPr>
          <w:b/>
        </w:rPr>
        <w:t>Оперативные принципы и методы охраны нематериального культурного наследия в чрезвычайных ситуациях</w:t>
      </w:r>
    </w:p>
    <w:p w14:paraId="4BEFCF6E" w14:textId="77777777" w:rsidR="00183839" w:rsidRPr="007D3F20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 xml:space="preserve">Оперативные принципы и методы служат руководящими указаниями, позволяющими государствам-участникам и другим соответствующим заинтересованным сторонам на национальном и международном уровне определить, как обеспечить использование и охрану нематериального культурного наследия в условиях различных видов чрезвычайных ситуаций наиболее эффективным образом. Цель, с которой они были разработаны, заключается не в том, чтобы определить исчерпывающий перечень мер, </w:t>
      </w:r>
      <w:r w:rsidRPr="007D3F20">
        <w:rPr>
          <w:rFonts w:ascii="Arial" w:hAnsi="Arial"/>
          <w:sz w:val="22"/>
          <w:szCs w:val="22"/>
        </w:rPr>
        <w:lastRenderedPageBreak/>
        <w:t>которые следует предпринимать в чрезвычайной ситуации, а в том, чтобы представить основополагающие принципы и методы принятия мер, направленных на охрану нематериального культурного наследия в чрезвычайных ситуациях, которые можно адаптировать с учетом тех или иных обстоятельств.</w:t>
      </w:r>
    </w:p>
    <w:p w14:paraId="49F57FF5" w14:textId="2D2D90D9" w:rsidR="00183839" w:rsidRPr="006F1415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 xml:space="preserve">Оперативные принципы и методы согласуются с положениями </w:t>
      </w:r>
      <w:hyperlink r:id="rId19" w:history="1">
        <w:r w:rsidRPr="0045498A">
          <w:rPr>
            <w:rFonts w:ascii="Arial" w:hAnsi="Arial"/>
            <w:sz w:val="22"/>
            <w:szCs w:val="22"/>
          </w:rPr>
          <w:t>Стратегии укрепления деятельности ЮНЕСКО по защите культуры и поощрению культурного плюрализма в случае вооруженного конфликта</w:t>
        </w:r>
      </w:hyperlink>
      <w:r w:rsidRPr="00F22EC0">
        <w:rPr>
          <w:rStyle w:val="FootnoteReference"/>
          <w:rFonts w:ascii="Arial" w:eastAsia="MS Mincho" w:hAnsi="Arial" w:cs="Arial"/>
          <w:sz w:val="22"/>
          <w:szCs w:val="22"/>
        </w:rPr>
        <w:footnoteReference w:id="1"/>
      </w:r>
      <w:r w:rsidRPr="0045498A">
        <w:rPr>
          <w:rFonts w:ascii="Arial" w:hAnsi="Arial"/>
          <w:sz w:val="22"/>
          <w:szCs w:val="22"/>
        </w:rPr>
        <w:t xml:space="preserve"> и </w:t>
      </w:r>
      <w:hyperlink r:id="rId20" w:history="1">
        <w:r w:rsidRPr="0045498A">
          <w:rPr>
            <w:rFonts w:ascii="Arial" w:hAnsi="Arial"/>
            <w:sz w:val="22"/>
            <w:szCs w:val="22"/>
          </w:rPr>
          <w:t xml:space="preserve"> Добавления к ней, касающегося чрезвычайных ситуаций, связанных с бедствиями, вызванными стихийными бедствиями и антр</w:t>
        </w:r>
        <w:r w:rsidRPr="006F1415">
          <w:rPr>
            <w:rFonts w:ascii="Arial" w:hAnsi="Arial"/>
            <w:sz w:val="22"/>
            <w:szCs w:val="22"/>
          </w:rPr>
          <w:t>опогенными катастрофами</w:t>
        </w:r>
      </w:hyperlink>
      <w:r w:rsidRPr="00F22EC0">
        <w:rPr>
          <w:rStyle w:val="FootnoteReference"/>
          <w:rFonts w:ascii="Arial" w:eastAsia="MS Mincho" w:hAnsi="Arial" w:cs="Arial"/>
          <w:sz w:val="22"/>
          <w:szCs w:val="22"/>
        </w:rPr>
        <w:footnoteReference w:id="2"/>
      </w:r>
      <w:r w:rsidRPr="0045498A">
        <w:rPr>
          <w:rFonts w:ascii="Arial" w:hAnsi="Arial"/>
          <w:sz w:val="22"/>
          <w:szCs w:val="22"/>
        </w:rPr>
        <w:t>. Эксперты согласовали шесть базовых принципов, которые должны лежать в основе всех мер, направленных на охрану и (или) использование нематериального культурного наследия в условиях чрезвычайных ситуаций, и охватывают как конфликтные ситуации, так и бедствия. В дополнение к этому эксперты определили ориентированные на практические действия методы, которые отвечают трем основным этапам предупреждения и ликвидации чрезвычайных ситуаций, – этапам обеспечения готовности, реагирования и в</w:t>
      </w:r>
      <w:r w:rsidRPr="006F1415">
        <w:rPr>
          <w:rFonts w:ascii="Arial" w:hAnsi="Arial"/>
          <w:sz w:val="22"/>
          <w:szCs w:val="22"/>
        </w:rPr>
        <w:t>осстановления, что согласуется с положениями Стратегии ЮНЕСКО.</w:t>
      </w:r>
    </w:p>
    <w:p w14:paraId="6A3AC167" w14:textId="4D365638" w:rsidR="00183839" w:rsidRPr="007D3F20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>В оперативных принципах и методах отражены ключевые элементы предыдущих обсуждений в Комитете, посвященных подходам к охране нематериального культурного наследия в чрезвычайных ситуациях. Во-первых, они подчеркивают двойственный характер нематериального культурного наследия в условиях чрезвычайных ситуаций: с одной стороны, такие ситуации несут в себе прямую угрозу передаче и сохранению нематериального культурного наследия, а с другой стороны, их можно использовать как ресурс для содействия обеспечению готовности, реагированию и восстановлению. Во-вторых, данные оперативные принципы и методы указывают на целесообразность выявления потребностей на местном уровне и применения разработанных с учетом местных особенностей подходов, что может служить отправной точкой при оценке воздействия кризиса на те или иные традиции и обычаи, а также для понимания того, каким образом их сохранение может помочь преодолеть кризис на местном уровне.</w:t>
      </w:r>
    </w:p>
    <w:p w14:paraId="6B1A7FBB" w14:textId="1835378B" w:rsidR="00183839" w:rsidRPr="007D3F20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bCs/>
          <w:sz w:val="22"/>
          <w:szCs w:val="22"/>
        </w:rPr>
        <w:t xml:space="preserve">Поскольку чрезвычайные ситуации представляют собой сложную область с точки зрения предупреждения и ликвидации, к выбору мер общего характера следует подойти серьезно, обязательно адаптировав их с учетом местных обстоятельств и условий. </w:t>
      </w:r>
      <w:r w:rsidRPr="007D3F20">
        <w:rPr>
          <w:rFonts w:ascii="Arial" w:hAnsi="Arial"/>
          <w:sz w:val="22"/>
          <w:szCs w:val="22"/>
        </w:rPr>
        <w:t>При возникновении угрозы для жизни людей необходимо помнить о влиянии, оказываемом на затрагиваемые аспекты. Данные оперативные принципы и методы выдвигают на первый план ведущую роль, которую играют сообщества в определении того, каким образом их нематериальное культурное наследие подвергается воздействию в результате той или иной чрезвычайной ситуации и как они могли бы использовать такую ситуацию в качестве ресурса для решения многочисленных проблем, с которыми они сталкиваются.</w:t>
      </w:r>
      <w:r w:rsidRPr="007D3F20">
        <w:rPr>
          <w:rFonts w:ascii="Arial" w:hAnsi="Arial"/>
          <w:bCs/>
          <w:sz w:val="22"/>
          <w:szCs w:val="22"/>
        </w:rPr>
        <w:t xml:space="preserve"> </w:t>
      </w:r>
      <w:r w:rsidRPr="007D3F20">
        <w:rPr>
          <w:rFonts w:ascii="Arial" w:hAnsi="Arial"/>
          <w:sz w:val="22"/>
          <w:szCs w:val="22"/>
        </w:rPr>
        <w:t>В соответствии с Этическими принципами охраны нематериального культурного наследия до принятия каких бы то ни было оперативных мер на местах необходимо получить разрешение и согласие соответствующего сообщества.</w:t>
      </w:r>
    </w:p>
    <w:p w14:paraId="72A317AD" w14:textId="40B14302" w:rsidR="00183839" w:rsidRPr="007D3F20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>Оперативные принципы и методы служат платформой для привлечения внимания широкого круга соответствующих субъектов к вопросам, которые требуют решения в связи с охраной нематериального культурного наследия в чрезвычайных ситуациях. К таким субъектам принадлежат, в том числе, лица, работающие в области культуры, а также заинтересованные стороны на национальном и международном уровне, участвующие в предупреждении и ликвидации чрезвычайных ситуаций, включая специалистов по обеспечению готовности к бедствиям и оказанию помощи в случае бедствий, гуманитарные организации, неправительственные организации и вооруженные силы.</w:t>
      </w:r>
    </w:p>
    <w:p w14:paraId="75D033AB" w14:textId="0FBB43C0" w:rsidR="00183839" w:rsidRPr="007D3F20" w:rsidRDefault="00183839" w:rsidP="00B76414">
      <w:pPr>
        <w:pStyle w:val="COMPara"/>
        <w:numPr>
          <w:ilvl w:val="0"/>
          <w:numId w:val="22"/>
        </w:numPr>
        <w:spacing w:before="360"/>
        <w:ind w:left="567" w:hanging="567"/>
        <w:rPr>
          <w:b/>
        </w:rPr>
      </w:pPr>
      <w:r w:rsidRPr="007D3F20">
        <w:rPr>
          <w:b/>
        </w:rPr>
        <w:lastRenderedPageBreak/>
        <w:t>Ориентиры в будущем</w:t>
      </w:r>
    </w:p>
    <w:p w14:paraId="4F5B0FA5" w14:textId="5EF7A653" w:rsidR="00183839" w:rsidRPr="007D3F20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>По итогам совещания экспертов и по просьбе Комитета Генеральной Ассамблее предлагается рассмотреть оперативные принципы и методы, изложенные в приложении ниже. Они были разработаны в ответ на потребность в предоставлении государствам-участникам и другим соответствующим заинтересованным сторонам руководящих указаний в отношении значимости охраны нематериального культурного наследия в условиях чрезвычайных ситуаций и возможности использования такого наследия на местном уровне как инструмента для обеспечения устойчивости, восстановления и примирения. Острая необходимость в таком руководстве стала очевидной в этом году с началом пандемии коронавируса COVID-19, которая не только привела к дестабилизации ситуации с сохранением живого наследия, но и продемонстрировала яркие примеры жизнестойкости сообществ во всем мире, использовавших свое наследие как источник солидарности и сплоченности.</w:t>
      </w:r>
    </w:p>
    <w:p w14:paraId="737415C3" w14:textId="02186980" w:rsidR="00183839" w:rsidRPr="007D3F20" w:rsidRDefault="002A7186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eastAsiaTheme="minorHAnsi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>В более широком смысле разработка оперативных принципов и методов знаменует собой переход Секретариата к более оперативной работе над темой чрезвычайных ситуаций.</w:t>
      </w:r>
      <w:r w:rsidRPr="007D3F2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7D3F20">
        <w:rPr>
          <w:rFonts w:ascii="Arial" w:hAnsi="Arial"/>
          <w:sz w:val="22"/>
          <w:szCs w:val="22"/>
        </w:rPr>
        <w:t>Оперативные принципы и методы создают теоретическую и методологическую основу для реализации ряда практических проектов, которые помогут обеспечить непрерывную мобилизацию и охрану нематериального культурного наследия в чрезвычайных ситуациях. С течением времени применение оперативных принципов и методов в различных чрезвычайных ситуациях позволит повысить степень их понимания с учетом всех сложностей, которые создают те или иные чрезвычайные ситуации. В связи с этим Комитет призвал государства-участники и другие соответствующие заинтересованные стороны на национальном и международном уровне внедрить и адаптировать оперативные принципы с учетом своих особенностей.</w:t>
      </w:r>
    </w:p>
    <w:p w14:paraId="4773DE76" w14:textId="11D5F895" w:rsidR="00183839" w:rsidRPr="006F1415" w:rsidRDefault="006E4220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 xml:space="preserve">На этом этапе необходимо будет сформировать специализированный потенциал, отвечающий потребностям различных чрезвычайных ситуаций и задействованных субъектов. Несмотря на то, что оперативные принципы и методы учитывают как конфликтные ситуации, так и ситуации, связанные с бедствиями, между этими двумя видами чрезвычайных ситуаций сохраняются значительные различия. В том, что касается бедствий, удалось достичь определенного прогресса, что стало возможным благодаря разработке материалов по укреплению потенциала, направленных на содействие пониманию взаимосвязи между снижением риска бедствий и составлением перечней нематериального культурного наследия. Кроме того, для обеспечения более глубокого понимания необходимости включения вопроса повышения уровня информированности о бедствиях в работу над составлением перечней на местах были обновлены </w:t>
      </w:r>
      <w:hyperlink r:id="rId21" w:history="1">
        <w:r w:rsidRPr="0045498A">
          <w:rPr>
            <w:rStyle w:val="Hyperlink"/>
            <w:rFonts w:ascii="Arial" w:hAnsi="Arial"/>
            <w:sz w:val="22"/>
            <w:szCs w:val="22"/>
          </w:rPr>
          <w:t>руководящие указания</w:t>
        </w:r>
      </w:hyperlink>
      <w:r w:rsidRPr="0045498A">
        <w:rPr>
          <w:rFonts w:ascii="Arial" w:hAnsi="Arial"/>
          <w:sz w:val="22"/>
          <w:szCs w:val="22"/>
        </w:rPr>
        <w:t xml:space="preserve"> по составлению перечней нематериального культурного наследия. Благодаря щедрому взносу Швейцарии в 2019 году, запланировано принятие дальнейших мер по укреплению потенциала для включения мер по снижению риска бедствий в работу над составлением перечней нематериального культурного наследия. </w:t>
      </w:r>
      <w:r w:rsidRPr="00AC57C2">
        <w:rPr>
          <w:rFonts w:ascii="Arial" w:hAnsi="Arial"/>
          <w:sz w:val="22"/>
          <w:szCs w:val="22"/>
        </w:rPr>
        <w:t>Был также получен добровольный взнос от Азербайджана, направленный на содействие укреплению потенциала в условиях конфликтов.</w:t>
      </w:r>
      <w:r w:rsidRPr="006F1415">
        <w:rPr>
          <w:rFonts w:ascii="Arial" w:hAnsi="Arial"/>
          <w:sz w:val="22"/>
          <w:szCs w:val="22"/>
        </w:rPr>
        <w:t xml:space="preserve"> По предложению Комитета (</w:t>
      </w:r>
      <w:hyperlink r:id="rId22" w:history="1">
        <w:r w:rsidRPr="0045498A">
          <w:rPr>
            <w:rStyle w:val="Hyperlink"/>
            <w:rFonts w:ascii="Arial" w:hAnsi="Arial"/>
            <w:sz w:val="22"/>
            <w:szCs w:val="22"/>
          </w:rPr>
          <w:t>решение 14.COM 13</w:t>
        </w:r>
      </w:hyperlink>
      <w:r w:rsidRPr="0045498A">
        <w:rPr>
          <w:rFonts w:ascii="Arial" w:hAnsi="Arial"/>
          <w:sz w:val="22"/>
          <w:szCs w:val="22"/>
        </w:rPr>
        <w:t>) Секретариат продолжит работу над обеспечением надлежащего планирования и внедрения указанных инициатив и проинформирует Комитет о достигнутом прогрессе.</w:t>
      </w:r>
    </w:p>
    <w:p w14:paraId="432A4230" w14:textId="1D8AF200" w:rsidR="00183839" w:rsidRPr="006F1415" w:rsidRDefault="00183839" w:rsidP="00183839">
      <w:pPr>
        <w:pStyle w:val="COMPara"/>
        <w:numPr>
          <w:ilvl w:val="0"/>
          <w:numId w:val="21"/>
        </w:numPr>
        <w:ind w:left="567" w:hanging="567"/>
        <w:rPr>
          <w:color w:val="000000" w:themeColor="text1"/>
        </w:rPr>
      </w:pPr>
      <w:r w:rsidRPr="006F1415">
        <w:rPr>
          <w:color w:val="000000" w:themeColor="text1"/>
        </w:rPr>
        <w:t xml:space="preserve">Проводимая Секретариатом работа в области чрезвычайных ситуаций способствует осуществлению Организацией более широкой деятельности по защите культуры в условиях чрезвычайных ситуаций. Оперативные принципы и методы направлены на содействие государствам-участникам в осуществлении Конвенции 2003 года в чрезвычайных ситуациях путем повышения степени их готовности к ним и способности реагировать на них. Признавая, что </w:t>
      </w:r>
      <w:r w:rsidRPr="007D3F20">
        <w:rPr>
          <w:color w:val="000000" w:themeColor="text1"/>
        </w:rPr>
        <w:t xml:space="preserve">материальное и нематериальное наследие зачастую неразрывно связано между собой в условиях той или иной чрезвычайной ситуации, они также направлены на содействие усилению сотрудничества и взаимодействия во всех сферах охраны наследия. В связи с этим и по предложению Комитета </w:t>
      </w:r>
      <w:r w:rsidRPr="007D3F20">
        <w:t>(</w:t>
      </w:r>
      <w:hyperlink r:id="rId23" w:history="1">
        <w:r w:rsidRPr="0045498A">
          <w:rPr>
            <w:rStyle w:val="Hyperlink"/>
          </w:rPr>
          <w:t>решение 14.COM 13</w:t>
        </w:r>
      </w:hyperlink>
      <w:r w:rsidRPr="0045498A">
        <w:t>)</w:t>
      </w:r>
      <w:r w:rsidRPr="0045498A">
        <w:rPr>
          <w:color w:val="000000" w:themeColor="text1"/>
        </w:rPr>
        <w:t xml:space="preserve"> Секретариат изучает возможности для усиления </w:t>
      </w:r>
      <w:r w:rsidRPr="0045498A">
        <w:rPr>
          <w:color w:val="000000" w:themeColor="text1"/>
        </w:rPr>
        <w:lastRenderedPageBreak/>
        <w:t xml:space="preserve">взаимодействия с Секретариатом Второго протокола (1999 г.) к Гаагской конвенции о защите культурных ценностей </w:t>
      </w:r>
      <w:r w:rsidRPr="006F1415">
        <w:rPr>
          <w:color w:val="000000" w:themeColor="text1"/>
        </w:rPr>
        <w:t>в случае вооруженного конфликта 1954 года.</w:t>
      </w:r>
    </w:p>
    <w:p w14:paraId="473A05CD" w14:textId="2E28D1FD" w:rsidR="00183839" w:rsidRPr="007D3F20" w:rsidRDefault="00183839" w:rsidP="00183839">
      <w:pPr>
        <w:pStyle w:val="ListParagraph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>Учитывая значительную актуальность данной темы и ее весьма сложный характер, необходимо продолжить работу над определением того, каким образом оперативные принципы и методы можно адаптировать к различным особенностям чрезвычайных ситуаций. Комитет призвал государства-участники продолжить работу над обеспечением охраны нематериального культурного наследия в различных условиях чрезвычайных ситуаций и предложил государствам-участникам внести свой вклад в реализацию ряда практических проектов в контексте внедрения оперативных принципов и методов. Генеральной ассамблее предлагается также рекомендовать государствам-участникам рассмотреть возможность финансово поддержать последующую деятельность в отношении нематериального культурного наследия в чрезвычайных ситуациях, используя при этом те методы, которые они сочтут приемлемыми.</w:t>
      </w:r>
    </w:p>
    <w:p w14:paraId="17FD6590" w14:textId="77777777" w:rsidR="00183839" w:rsidRPr="007D3F20" w:rsidRDefault="00183839" w:rsidP="00183839">
      <w:pPr>
        <w:pStyle w:val="COMPara"/>
        <w:keepNext/>
        <w:numPr>
          <w:ilvl w:val="0"/>
          <w:numId w:val="21"/>
        </w:numPr>
        <w:ind w:left="567" w:hanging="567"/>
      </w:pPr>
      <w:r w:rsidRPr="007D3F20">
        <w:t>Генеральной ассамблее предлагается принять резолюцию следующего содержания:</w:t>
      </w:r>
    </w:p>
    <w:p w14:paraId="6F2E01DA" w14:textId="16D33664" w:rsidR="00183839" w:rsidRPr="00F22EC0" w:rsidRDefault="00183839" w:rsidP="00274BE9">
      <w:pPr>
        <w:pStyle w:val="COMTitleDecision"/>
      </w:pPr>
      <w:r w:rsidRPr="007D3F20">
        <w:t>ПРОЕКТ РЕЗОЛЮЦИИ 8.GA </w:t>
      </w:r>
      <w:r w:rsidR="00755954" w:rsidRPr="00F22EC0">
        <w:t>9</w:t>
      </w:r>
    </w:p>
    <w:p w14:paraId="016AFDFD" w14:textId="35DAC906" w:rsidR="008A1ED4" w:rsidRPr="007D3F20" w:rsidRDefault="008A1ED4" w:rsidP="00274BE9">
      <w:pPr>
        <w:pStyle w:val="GAPreambulaResolution"/>
        <w:ind w:left="0" w:firstLine="567"/>
      </w:pPr>
      <w:r w:rsidRPr="007D3F20">
        <w:t>Генеральная Ассамблея,</w:t>
      </w:r>
    </w:p>
    <w:p w14:paraId="3E46532C" w14:textId="3FDA63B0" w:rsidR="000A2BE0" w:rsidRPr="007D3F20" w:rsidRDefault="000A2BE0" w:rsidP="00274BE9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D3F20">
        <w:rPr>
          <w:rFonts w:ascii="Arial" w:hAnsi="Arial"/>
          <w:sz w:val="22"/>
          <w:szCs w:val="22"/>
          <w:u w:val="single"/>
          <w:shd w:val="clear" w:color="auto" w:fill="FFFFFF"/>
        </w:rPr>
        <w:t>Рассмотрев</w:t>
      </w:r>
      <w:r w:rsidRPr="007D3F20">
        <w:rPr>
          <w:rFonts w:ascii="Arial" w:hAnsi="Arial"/>
          <w:sz w:val="22"/>
          <w:szCs w:val="22"/>
          <w:shd w:val="clear" w:color="auto" w:fill="FFFFFF"/>
        </w:rPr>
        <w:t xml:space="preserve"> документ LHE/20/8.GA/</w:t>
      </w:r>
      <w:r w:rsidR="00755954" w:rsidRPr="00F22EC0">
        <w:rPr>
          <w:rFonts w:ascii="Arial" w:hAnsi="Arial"/>
          <w:sz w:val="22"/>
          <w:szCs w:val="22"/>
          <w:shd w:val="clear" w:color="auto" w:fill="FFFFFF"/>
        </w:rPr>
        <w:t>9</w:t>
      </w:r>
      <w:r w:rsidR="00755954" w:rsidRPr="007D3F20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7D3F20">
        <w:rPr>
          <w:rFonts w:ascii="Arial" w:hAnsi="Arial"/>
          <w:sz w:val="22"/>
          <w:szCs w:val="22"/>
          <w:shd w:val="clear" w:color="auto" w:fill="FFFFFF"/>
        </w:rPr>
        <w:t>и приложение к нему,</w:t>
      </w:r>
    </w:p>
    <w:p w14:paraId="2AF192E8" w14:textId="0B958BE1" w:rsidR="000A2BE0" w:rsidRPr="006F1415" w:rsidRDefault="000A2BE0" w:rsidP="00274BE9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sz w:val="22"/>
          <w:szCs w:val="22"/>
          <w:u w:val="single"/>
          <w:shd w:val="clear" w:color="auto" w:fill="FFFFFF"/>
        </w:rPr>
        <w:t>Ссылаясь</w:t>
      </w:r>
      <w:r w:rsidRPr="007D3F20">
        <w:rPr>
          <w:rFonts w:ascii="Arial" w:hAnsi="Arial"/>
          <w:sz w:val="22"/>
          <w:szCs w:val="22"/>
          <w:shd w:val="clear" w:color="auto" w:fill="FFFFFF"/>
        </w:rPr>
        <w:t xml:space="preserve"> на статью 11 Конвенции, главы VI.3 и VI.4 Оперативного руководства, пятый пункт </w:t>
      </w:r>
      <w:r w:rsidRPr="00164A93">
        <w:rPr>
          <w:rFonts w:ascii="Arial" w:hAnsi="Arial"/>
          <w:sz w:val="22"/>
          <w:szCs w:val="22"/>
          <w:shd w:val="clear" w:color="auto" w:fill="FFFFFF"/>
        </w:rPr>
        <w:t>Этических принципов охраны нематериального культурного наследия, резолюции 38C/48 и 39C/35 Генеральной конференции о Стратегии укрепления деятельности ЮНЕСКО по защите культуры и поощрению культурного плюрализма в случае вооруженного конфликта, предусмотренный ею План действий и Добавление к ней, касающиеся чрезвычайных ситуаций, вызванны</w:t>
      </w:r>
      <w:r w:rsidR="0045498A">
        <w:rPr>
          <w:rFonts w:ascii="Arial" w:hAnsi="Arial"/>
          <w:sz w:val="22"/>
          <w:szCs w:val="22"/>
          <w:shd w:val="clear" w:color="auto" w:fill="FFFFFF"/>
        </w:rPr>
        <w:t>х</w:t>
      </w:r>
      <w:r w:rsidRPr="0045498A">
        <w:rPr>
          <w:rFonts w:ascii="Arial" w:hAnsi="Arial"/>
          <w:sz w:val="22"/>
          <w:szCs w:val="22"/>
          <w:shd w:val="clear" w:color="auto" w:fill="FFFFFF"/>
        </w:rPr>
        <w:t xml:space="preserve"> стихийными </w:t>
      </w:r>
      <w:r w:rsidR="005E17AF" w:rsidRPr="00252BD6">
        <w:rPr>
          <w:rFonts w:ascii="Arial" w:hAnsi="Arial"/>
          <w:sz w:val="22"/>
          <w:szCs w:val="22"/>
          <w:shd w:val="clear" w:color="auto" w:fill="FFFFFF"/>
        </w:rPr>
        <w:t>бедствиями</w:t>
      </w:r>
      <w:r w:rsidR="005E17AF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45498A">
        <w:rPr>
          <w:rFonts w:ascii="Arial" w:hAnsi="Arial"/>
          <w:sz w:val="22"/>
          <w:szCs w:val="22"/>
          <w:shd w:val="clear" w:color="auto" w:fill="FFFFFF"/>
        </w:rPr>
        <w:t xml:space="preserve">и антропогенными </w:t>
      </w:r>
      <w:r w:rsidR="005E17AF">
        <w:rPr>
          <w:rFonts w:ascii="Arial" w:hAnsi="Arial"/>
          <w:sz w:val="22"/>
          <w:szCs w:val="22"/>
          <w:shd w:val="clear" w:color="auto" w:fill="FFFFFF"/>
        </w:rPr>
        <w:t>катастрофами</w:t>
      </w:r>
      <w:r w:rsidRPr="0045498A">
        <w:rPr>
          <w:rFonts w:ascii="Arial" w:hAnsi="Arial"/>
          <w:sz w:val="22"/>
          <w:szCs w:val="22"/>
          <w:shd w:val="clear" w:color="auto" w:fill="FFFFFF"/>
        </w:rPr>
        <w:t>, а также резолюцию 2347 (2017 г.) Совета Безопасности Организации Объединенных Наций и все соответствующие нормы международного гуманитарного права и международного права в области прав человека, включая как договорное, так и обычное право,</w:t>
      </w:r>
    </w:p>
    <w:p w14:paraId="109D928B" w14:textId="7D81566F" w:rsidR="000A2BE0" w:rsidRPr="0045498A" w:rsidRDefault="000A2BE0" w:rsidP="00274BE9">
      <w:pPr>
        <w:numPr>
          <w:ilvl w:val="0"/>
          <w:numId w:val="20"/>
        </w:numPr>
        <w:shd w:val="clear" w:color="auto" w:fill="FFFFFF"/>
        <w:spacing w:before="100" w:beforeAutospacing="1" w:after="120"/>
        <w:ind w:left="1134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1415">
        <w:rPr>
          <w:rFonts w:ascii="Arial" w:hAnsi="Arial"/>
          <w:color w:val="000000" w:themeColor="text1"/>
          <w:sz w:val="22"/>
          <w:szCs w:val="22"/>
          <w:u w:val="single"/>
        </w:rPr>
        <w:t>Выражает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полную поддержку отдельным лицам, группам и сообществам в чрезвычайных ситуациях и признает исключительное мужество и храбрость, проявляемые ими в поиске творческих подходов к сохранению практики и передачи их живого наследия, несмотря на сложности, с кот</w:t>
      </w:r>
      <w:r w:rsidRPr="0045498A">
        <w:rPr>
          <w:rFonts w:ascii="Arial" w:hAnsi="Arial"/>
          <w:color w:val="000000" w:themeColor="text1"/>
          <w:sz w:val="22"/>
          <w:szCs w:val="22"/>
        </w:rPr>
        <w:t>орыми они сталкиваются;</w:t>
      </w:r>
    </w:p>
    <w:p w14:paraId="080BA42F" w14:textId="65DDD9DB" w:rsidR="000A2BE0" w:rsidRPr="0045498A" w:rsidRDefault="000A2BE0" w:rsidP="00274BE9">
      <w:pPr>
        <w:numPr>
          <w:ilvl w:val="0"/>
          <w:numId w:val="20"/>
        </w:numPr>
        <w:shd w:val="clear" w:color="auto" w:fill="FFFFFF"/>
        <w:spacing w:before="100" w:beforeAutospacing="1" w:after="120"/>
        <w:ind w:left="1134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498A">
        <w:rPr>
          <w:rFonts w:ascii="Arial" w:hAnsi="Arial"/>
          <w:color w:val="000000" w:themeColor="text1"/>
          <w:sz w:val="22"/>
          <w:szCs w:val="22"/>
          <w:u w:val="single"/>
        </w:rPr>
        <w:t>Подтверждает</w:t>
      </w:r>
      <w:r w:rsidRPr="0045498A">
        <w:rPr>
          <w:rFonts w:ascii="Arial" w:hAnsi="Arial"/>
          <w:color w:val="000000" w:themeColor="text1"/>
          <w:sz w:val="22"/>
          <w:szCs w:val="22"/>
        </w:rPr>
        <w:t xml:space="preserve"> двойную функцию, которую может выполнять охрана нематериального культурного наследия в чрезвычайных ситуациях как с точки зрения снижения рисков для нематериального культурного наследия как такового, так и в качестве мощного инструмента содействия сообществам в обеспечении готовности к чрезвычайным ситуациям, реагировании на них и восстановлении после них, в том числе от последствий изменения климата;</w:t>
      </w:r>
    </w:p>
    <w:p w14:paraId="07E41262" w14:textId="453607F9" w:rsidR="00AB64EE" w:rsidRPr="007D3F20" w:rsidRDefault="00AB64EE" w:rsidP="00274BE9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</w:rPr>
        <w:t>Высоко оценивает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глубокий анализ, проведенный Комитетом в отношении роли нематериального культурного наследия в условиях чрезвычайных ситуаций, а также сопутствующую работу, выполненную Секретариатом в целях сбора данных посредством тематических исследований, проведения пилотных мероприятий и разработки подхода к укреплению потенциала для создания соответствующей методологической основы в этом направлении;</w:t>
      </w:r>
    </w:p>
    <w:p w14:paraId="41A64FB4" w14:textId="44DCAE8D" w:rsidR="000A2BE0" w:rsidRPr="007D3F20" w:rsidRDefault="000A2BE0" w:rsidP="00274BE9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</w:rPr>
        <w:t>Выражает благодарность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Китайской Народной Республике за ее щедрый вклад в проведение совещания экспертов по вопросам нематериального культурного наследия и чрезвычайных ситуаций, состоявшегося в Штаб-квартире ЮНЕСКО в мае 2019 года;</w:t>
      </w:r>
    </w:p>
    <w:p w14:paraId="244C81D0" w14:textId="612141EB" w:rsidR="000A2BE0" w:rsidRPr="007D3F20" w:rsidRDefault="000A2BE0" w:rsidP="00274BE9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</w:rPr>
        <w:lastRenderedPageBreak/>
        <w:t>Утверждает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оперативные принципы и методы охраны нематериального культурного наследия в чрезвычайных ситуациях, приведенные в приложении к этой резолюции;</w:t>
      </w:r>
    </w:p>
    <w:p w14:paraId="261CBEBD" w14:textId="3E563499" w:rsidR="000A2BE0" w:rsidRPr="006F1415" w:rsidRDefault="000A2BE0" w:rsidP="00274BE9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</w:rPr>
        <w:t>Призывает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государства-участники и все другие соответствующие заинтересованные стороны на национальном и международном уровне предпринять шаги, направленные на </w:t>
      </w:r>
      <w:r w:rsidR="005C3BED"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осуществление 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и адаптацию соответствующих оперативных принципов и методов с учетом </w:t>
      </w:r>
      <w:r w:rsidR="005C3BED"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их контек</w:t>
      </w:r>
      <w:r w:rsidR="005C3BED" w:rsidRPr="00F22EC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с</w:t>
      </w:r>
      <w:r w:rsidR="005C3BED" w:rsidRPr="0045498A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тов</w:t>
      </w:r>
      <w:r w:rsidRPr="006F1415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, а также на осуществление ряда практических проектов, которые будут способствовать обеспечению непрерывной охраны нематериального культурного наследия в чрезвычайных ситуациях;</w:t>
      </w:r>
    </w:p>
    <w:p w14:paraId="789476C9" w14:textId="5FF37845" w:rsidR="00EC6A69" w:rsidRPr="007D3F20" w:rsidRDefault="000A2BE0" w:rsidP="00B06E1B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D3F20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</w:rPr>
        <w:t>Предлагает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Секретариату продолжить разработку подхода к укреплению потенциала для внедрению предлагаемых принципов и методов и повышения уровня информированности об их значимости среди соответствующих заинтересованных сторон, а также изучение взаимосвязи и возможностей для установления сотрудничества с другими конвенциями и программами в области культуры, равно как и с организациями системы ООН и международными органами в соответствующих областях;</w:t>
      </w:r>
      <w:r w:rsidR="00755954" w:rsidRPr="00F22EC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06D8738" w14:textId="28E12679" w:rsidR="00725514" w:rsidRPr="007D3F20" w:rsidRDefault="00725514" w:rsidP="00274BE9">
      <w:pPr>
        <w:pStyle w:val="ListParagraph"/>
        <w:numPr>
          <w:ilvl w:val="0"/>
          <w:numId w:val="20"/>
        </w:numPr>
        <w:spacing w:after="120"/>
        <w:ind w:left="1134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D3F20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</w:rPr>
        <w:t>Призывает далее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государства-участники рассмотреть возможность финансово поддержать последующую деятельность в отношении нематериального культурного наследия в чрезвычайных ситуациях, используя при этом те методы</w:t>
      </w:r>
      <w:r w:rsidR="005C3BED"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 xml:space="preserve"> финансирования</w:t>
      </w:r>
      <w:r w:rsidRPr="007D3F20">
        <w:rPr>
          <w:rFonts w:ascii="Arial" w:hAnsi="Arial"/>
          <w:color w:val="000000" w:themeColor="text1"/>
          <w:sz w:val="22"/>
          <w:szCs w:val="22"/>
          <w:shd w:val="clear" w:color="auto" w:fill="FFFFFF"/>
        </w:rPr>
        <w:t>, которые они сочтут приемлемыми.</w:t>
      </w:r>
    </w:p>
    <w:p w14:paraId="59EA889F" w14:textId="2B9DB044" w:rsidR="00274BE9" w:rsidRPr="007D3F20" w:rsidRDefault="00274BE9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7D3F20">
        <w:br w:type="page"/>
      </w:r>
    </w:p>
    <w:p w14:paraId="1588124F" w14:textId="7609E7B0" w:rsidR="00EC6A69" w:rsidRPr="007D3F20" w:rsidRDefault="00EC6A69" w:rsidP="00534748">
      <w:pPr>
        <w:shd w:val="clear" w:color="auto" w:fill="FFFFFF"/>
        <w:spacing w:after="120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  <w:u w:val="single"/>
        </w:rPr>
        <w:lastRenderedPageBreak/>
        <w:t>ПРИЛОЖЕНИЕ</w:t>
      </w:r>
    </w:p>
    <w:p w14:paraId="20330C4F" w14:textId="77777777" w:rsidR="00EC6A69" w:rsidRPr="007D3F20" w:rsidRDefault="00EC6A69" w:rsidP="00EC6A69">
      <w:pPr>
        <w:shd w:val="clear" w:color="auto" w:fill="FFFFFF"/>
        <w:spacing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Оперативные принципы и методы охраны нематериального культурного наследия в чрезвычайных ситуациях</w:t>
      </w:r>
    </w:p>
    <w:p w14:paraId="616C0199" w14:textId="77777777" w:rsidR="00EC6A69" w:rsidRPr="007D3F20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Во всем мире культурное наследие все больше подвергается воздействию чрезвычайных ситуаций, включая конфликты и бедствия, вызванные опасными природными явлениями и антропогенными катастрофами («стихийные бедствия»). К таким ситуациям относятся, в том числе, угрозы для передачи и сохранения нематериального культурного наследия, формирующего основу для самобытности и благосостояния сообществ, групп и отдельных лиц [далее – «сообщества»]. При возникновении чрезвычайных ситуаций охране нематериального культурного наследия отводится выполнение двойной функции: подвергаясь непосредственной угрозе вследствие чрезвычайных ситуаций, с одной стороны, нематериальное культурное наследие может, с другой стороны, послужить эффективным инструментом для содействия сообществам в обеспечении готовности к чрезвычайным ситуациям, реагировании на них и восстановлении после них.</w:t>
      </w:r>
    </w:p>
    <w:p w14:paraId="07862EB1" w14:textId="77777777" w:rsidR="00EC6A69" w:rsidRPr="007D3F20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Чрезвычайные ситуации представляют собой сложное поле деятельности ввиду разнообразного характера и масштаба вооруженных конфликтов и стихийных бедствий, а также круга заинтересованных сторон. Приведенные далее оперативные принципы и методы служат руководящими указаниями, позволяющими государствам-участникам и другим соответствующим заинтересованным сторонам на национальном и международном уровне определить, как обеспечить использование и охрану нематериального культурного наследия в условиях различных видов чрезвычайных ситуаций наиболее эффективным образом.</w:t>
      </w:r>
    </w:p>
    <w:p w14:paraId="5239658C" w14:textId="255506F7" w:rsidR="00896D4E" w:rsidRPr="0045498A" w:rsidRDefault="00896D4E" w:rsidP="00896D4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D3F20">
        <w:rPr>
          <w:rFonts w:ascii="Arial" w:hAnsi="Arial"/>
          <w:sz w:val="22"/>
          <w:szCs w:val="22"/>
        </w:rPr>
        <w:t xml:space="preserve">Представленные ниже оперативные принципы и методы согласуются с положениями </w:t>
      </w:r>
      <w:hyperlink r:id="rId24" w:history="1">
        <w:r w:rsidRPr="0045498A">
          <w:rPr>
            <w:rFonts w:ascii="Arial" w:hAnsi="Arial"/>
            <w:sz w:val="22"/>
            <w:szCs w:val="22"/>
          </w:rPr>
          <w:t>Стратегии укрепления деятельности ЮНЕСКО по защите культуры и поощрению культурного плюрализма в случае вооруженного конфликта</w:t>
        </w:r>
      </w:hyperlink>
      <w:r w:rsidRPr="00F22EC0">
        <w:rPr>
          <w:rStyle w:val="FootnoteReference"/>
          <w:rFonts w:ascii="Arial" w:eastAsia="MS Mincho" w:hAnsi="Arial" w:cs="Arial"/>
          <w:sz w:val="22"/>
          <w:szCs w:val="22"/>
        </w:rPr>
        <w:footnoteReference w:id="3"/>
      </w:r>
      <w:r w:rsidRPr="0045498A">
        <w:rPr>
          <w:rFonts w:ascii="Arial" w:hAnsi="Arial"/>
          <w:sz w:val="22"/>
          <w:szCs w:val="22"/>
        </w:rPr>
        <w:t xml:space="preserve"> и </w:t>
      </w:r>
      <w:hyperlink r:id="rId25" w:history="1">
        <w:r w:rsidRPr="0045498A">
          <w:rPr>
            <w:rFonts w:ascii="Arial" w:hAnsi="Arial"/>
            <w:sz w:val="22"/>
            <w:szCs w:val="22"/>
          </w:rPr>
          <w:t xml:space="preserve">Добавления к ней, </w:t>
        </w:r>
        <w:r w:rsidR="005E17AF" w:rsidRPr="005E17AF">
          <w:rPr>
            <w:rFonts w:ascii="Arial" w:hAnsi="Arial"/>
            <w:sz w:val="22"/>
            <w:szCs w:val="22"/>
            <w:shd w:val="clear" w:color="auto" w:fill="FFFFFF"/>
          </w:rPr>
          <w:t xml:space="preserve">касающегося </w:t>
        </w:r>
        <w:r w:rsidR="005E17AF" w:rsidRPr="00252BD6">
          <w:rPr>
            <w:rFonts w:ascii="Arial" w:hAnsi="Arial"/>
            <w:sz w:val="22"/>
            <w:szCs w:val="22"/>
            <w:shd w:val="clear" w:color="auto" w:fill="FFFFFF"/>
          </w:rPr>
          <w:t>чрезвычайных ситуаций, вызванны</w:t>
        </w:r>
        <w:r w:rsidR="005E17AF">
          <w:rPr>
            <w:rFonts w:ascii="Arial" w:hAnsi="Arial"/>
            <w:sz w:val="22"/>
            <w:szCs w:val="22"/>
            <w:shd w:val="clear" w:color="auto" w:fill="FFFFFF"/>
          </w:rPr>
          <w:t>х</w:t>
        </w:r>
        <w:r w:rsidR="005E17AF" w:rsidRPr="0045498A">
          <w:rPr>
            <w:rFonts w:ascii="Arial" w:hAnsi="Arial"/>
            <w:sz w:val="22"/>
            <w:szCs w:val="22"/>
            <w:shd w:val="clear" w:color="auto" w:fill="FFFFFF"/>
          </w:rPr>
          <w:t xml:space="preserve"> стихийными </w:t>
        </w:r>
        <w:r w:rsidR="005E17AF" w:rsidRPr="005E17AF">
          <w:rPr>
            <w:rFonts w:ascii="Arial" w:hAnsi="Arial"/>
            <w:sz w:val="22"/>
            <w:szCs w:val="22"/>
            <w:shd w:val="clear" w:color="auto" w:fill="FFFFFF"/>
          </w:rPr>
          <w:t xml:space="preserve">бедствиями </w:t>
        </w:r>
        <w:r w:rsidR="005E17AF" w:rsidRPr="0045498A">
          <w:rPr>
            <w:rFonts w:ascii="Arial" w:hAnsi="Arial"/>
            <w:sz w:val="22"/>
            <w:szCs w:val="22"/>
            <w:shd w:val="clear" w:color="auto" w:fill="FFFFFF"/>
          </w:rPr>
          <w:t>и антропогенными</w:t>
        </w:r>
        <w:r w:rsidR="005E17AF">
          <w:rPr>
            <w:rFonts w:ascii="Arial" w:hAnsi="Arial"/>
            <w:sz w:val="22"/>
            <w:szCs w:val="22"/>
            <w:shd w:val="clear" w:color="auto" w:fill="FFFFFF"/>
          </w:rPr>
          <w:t xml:space="preserve"> </w:t>
        </w:r>
        <w:r w:rsidRPr="0045498A">
          <w:rPr>
            <w:rFonts w:ascii="Arial" w:hAnsi="Arial"/>
            <w:sz w:val="22"/>
            <w:szCs w:val="22"/>
          </w:rPr>
          <w:t>катастрофами</w:t>
        </w:r>
      </w:hyperlink>
      <w:r w:rsidRPr="00F22EC0">
        <w:rPr>
          <w:rStyle w:val="FootnoteReference"/>
          <w:rFonts w:ascii="Arial" w:eastAsia="MS Mincho" w:hAnsi="Arial" w:cs="Arial"/>
          <w:sz w:val="22"/>
          <w:szCs w:val="22"/>
        </w:rPr>
        <w:footnoteReference w:id="4"/>
      </w:r>
      <w:r w:rsidRPr="0045498A">
        <w:rPr>
          <w:rFonts w:ascii="Arial" w:hAnsi="Arial"/>
          <w:sz w:val="22"/>
          <w:szCs w:val="22"/>
        </w:rPr>
        <w:t xml:space="preserve">, а также с положениями резолюции 2347 (2017 г.) Совета Безопасности Организации Объединенных Наций. Кроме того, их следует рассматривать в комплексе с соответствующими положениями принятой в 2003 году Конвенции об охране нематериального культурного наследия и ее Оперативного руководства, в частности </w:t>
      </w:r>
      <w:hyperlink r:id="rId26" w:history="1">
        <w:r w:rsidRPr="0045498A">
          <w:rPr>
            <w:rFonts w:ascii="Arial" w:hAnsi="Arial"/>
            <w:sz w:val="22"/>
            <w:szCs w:val="22"/>
          </w:rPr>
          <w:t>главы VI</w:t>
        </w:r>
        <w:r w:rsidRPr="00F22EC0">
          <w:rPr>
            <w:rStyle w:val="FootnoteReference"/>
            <w:rFonts w:ascii="Arial" w:eastAsia="MS Mincho" w:hAnsi="Arial" w:cs="Arial"/>
            <w:sz w:val="22"/>
            <w:szCs w:val="22"/>
          </w:rPr>
          <w:footnoteReference w:id="5"/>
        </w:r>
        <w:r w:rsidRPr="006F1415">
          <w:rPr>
            <w:rFonts w:ascii="Arial" w:hAnsi="Arial"/>
            <w:sz w:val="22"/>
            <w:szCs w:val="22"/>
          </w:rPr>
          <w:t>, посвященной вопросам охраны нематериального культурного наследия и устойчивого развития на национальном уровне</w:t>
        </w:r>
      </w:hyperlink>
      <w:r w:rsidRPr="0045498A">
        <w:rPr>
          <w:rFonts w:ascii="Arial" w:hAnsi="Arial"/>
          <w:sz w:val="22"/>
          <w:szCs w:val="22"/>
        </w:rPr>
        <w:t>, а также положениями Этических принципов охраны нематериального культурного наследия.</w:t>
      </w:r>
    </w:p>
    <w:p w14:paraId="134D8CB2" w14:textId="77777777" w:rsidR="00EC6A69" w:rsidRPr="006F1415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1415">
        <w:rPr>
          <w:rFonts w:ascii="Arial" w:hAnsi="Arial"/>
          <w:b/>
          <w:bCs/>
          <w:color w:val="000000" w:themeColor="text1"/>
          <w:sz w:val="22"/>
          <w:szCs w:val="22"/>
          <w:u w:val="single"/>
        </w:rPr>
        <w:t>Принципы</w:t>
      </w:r>
    </w:p>
    <w:p w14:paraId="211B3D7E" w14:textId="77777777" w:rsidR="00EC6A69" w:rsidRPr="006F1415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1415">
        <w:rPr>
          <w:rFonts w:ascii="Arial" w:hAnsi="Arial"/>
          <w:color w:val="000000" w:themeColor="text1"/>
          <w:sz w:val="22"/>
          <w:szCs w:val="22"/>
        </w:rPr>
        <w:t>В основе всех мер, направленных на охрану и (или) использование нематериального культурного наследия в чрезвычайных ситуациях, должны лежать следующие принципы:</w:t>
      </w:r>
    </w:p>
    <w:p w14:paraId="2D12C06C" w14:textId="77777777" w:rsidR="00EC6A69" w:rsidRPr="007D3F20" w:rsidRDefault="00EC6A69" w:rsidP="00EC6A69">
      <w:pPr>
        <w:numPr>
          <w:ilvl w:val="0"/>
          <w:numId w:val="23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Нематериальное культурное наследие существует исключительно при условии его использования и передачи соответствующим сообществом и не может быть отделено от его социальной, культурной и экономической жизни. Таким образом, охрана такого наследия неразрывно связана с защитой жизни и благополучия его носителей.</w:t>
      </w:r>
    </w:p>
    <w:p w14:paraId="436CCB2C" w14:textId="77777777" w:rsidR="00EC6A69" w:rsidRPr="007D3F20" w:rsidRDefault="00EC6A69" w:rsidP="00EC6A69">
      <w:pPr>
        <w:numPr>
          <w:ilvl w:val="0"/>
          <w:numId w:val="23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К сообществам, нематериальное культурное наследие которых может пострадать в результате чрезвычайной ситуации, принадлежат лица, оказавшиеся в зоне стихийного бедствия или вооруженного конфликта, перемещенные лица и принимающие их сообщества, а также другие лица и группы, связанные с таким нематериальным культурным наследием.</w:t>
      </w:r>
    </w:p>
    <w:p w14:paraId="3FBB2BF4" w14:textId="77777777" w:rsidR="00EC6A69" w:rsidRPr="007D3F20" w:rsidRDefault="00EC6A69" w:rsidP="00EC6A69">
      <w:pPr>
        <w:numPr>
          <w:ilvl w:val="0"/>
          <w:numId w:val="23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 xml:space="preserve">На всех этапах чрезвычайной ситуации сообществу отводится главная роль в установлении того, что является его нематериальным культурным наследием. Это требует непосредственного вовлечения сообщества в определение того, каким </w:t>
      </w:r>
      <w:r w:rsidRPr="007D3F20">
        <w:rPr>
          <w:rFonts w:ascii="Arial" w:hAnsi="Arial"/>
          <w:color w:val="000000" w:themeColor="text1"/>
          <w:sz w:val="22"/>
          <w:szCs w:val="22"/>
        </w:rPr>
        <w:lastRenderedPageBreak/>
        <w:t>образом его нематериальное культурное наследие могло пострадать в результате чрезвычайной ситуации и какие меры необходимо предпринять для его сохранения, а также каким образом такое сообщество могло бы использовать свое наследие в качестве ресурса для повышения своей устойчивости, содействия своему восстановлению и возрождения доверия и мирного сосуществования как внутри такого сообщества, так и в его отношениях с другими сообществами.</w:t>
      </w:r>
    </w:p>
    <w:p w14:paraId="0A9208BC" w14:textId="77777777" w:rsidR="00EC6A69" w:rsidRPr="007D3F20" w:rsidRDefault="00EC6A69" w:rsidP="00EC6A69">
      <w:pPr>
        <w:numPr>
          <w:ilvl w:val="0"/>
          <w:numId w:val="23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В соответствии с положениями статьи 11 Конвенции государства-участники предпринимают необходимые меры для обеспечения охраны нематериального культурного наследия, представленного на их территории. Это положение применяется независимо от обстоятельств, в том числе в случаях, когда нематериальное культурное наследие подвергается воздействию в результате чрезвычайной ситуации. При этом государства-участники стремятся обеспечить как можно более широкое участие сообществ, включая беженцев, внутренне перемещенных лиц и мигрантов, находящихся на их территории, в соответствующих охранных мероприятиях.</w:t>
      </w:r>
    </w:p>
    <w:p w14:paraId="1F65C6A7" w14:textId="77777777" w:rsidR="00EC6A69" w:rsidRPr="007D3F20" w:rsidRDefault="00EC6A69" w:rsidP="00EC6A69">
      <w:pPr>
        <w:numPr>
          <w:ilvl w:val="0"/>
          <w:numId w:val="23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Заинтересованные стороны на национальном и международном уровне, участвующие в предупреждении и ликвидации чрезвычайных ситуаций, включая специалистов по обеспечению готовности к бедствиям и оказанию помощи в случае бедствий, гуманитарные организации, неправительственные организации и вооруженные силы, играют важную роль в охране пострадавшего нематериального культурного наследия и содействии соответствующим сообществам в использовании такого наследия при обеспечении готовности к чрезвычайным ситуациям и реагировании на них.</w:t>
      </w:r>
    </w:p>
    <w:p w14:paraId="1E82AA8B" w14:textId="77777777" w:rsidR="00EC6A69" w:rsidRPr="007D3F20" w:rsidRDefault="00EC6A69" w:rsidP="00534748">
      <w:pPr>
        <w:numPr>
          <w:ilvl w:val="0"/>
          <w:numId w:val="23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Нематериальное культурное наследие имеет динамичный и адаптивный характер и непрерывно воссоздается сообществом под воздействием окружающей его среды, а также взаимодействия такого сообщества с природой и своей историей, включая возникновение чрезвычайных ситуаций. Какой бы ни была ситуация, усилия, направленные на охрану или использование нематериального культурного наследия, должны учитывать и уважать этот динамичный и адаптивный характер.</w:t>
      </w:r>
    </w:p>
    <w:p w14:paraId="15D560FA" w14:textId="77777777" w:rsidR="00EC6A69" w:rsidRPr="007D3F20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  <w:u w:val="single"/>
        </w:rPr>
        <w:t>Методы</w:t>
      </w:r>
    </w:p>
    <w:p w14:paraId="35F61F6D" w14:textId="77777777" w:rsidR="00EC6A69" w:rsidRPr="007D3F20" w:rsidRDefault="00EC6A69" w:rsidP="0053474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Приведенные ниже методы объединяют между собой вышеупомянутые принципы и определяют меры, соответствующие трем основным этапам цикла, направленного на предупреждение и ликвидацию чрезвычайных ситуаций, – обеспечение готовности, реагирование и восстановление; при этом признается, что все эти этапы могут накладываться друг на друга и иметь разную длительность. Наиболее соответствующие и приемлемые меры с точки зрения того или иного элемента нематериального культурного наследия или связанной с ним ситуации определяются с учетом местных обстоятельств и условий.</w:t>
      </w:r>
    </w:p>
    <w:p w14:paraId="3E2072D0" w14:textId="77777777" w:rsidR="00EC6A69" w:rsidRPr="007D3F20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Обеспечение готовности</w:t>
      </w:r>
    </w:p>
    <w:p w14:paraId="7DE163B6" w14:textId="775F0A51" w:rsidR="00EC6A69" w:rsidRPr="006F1415" w:rsidRDefault="00EC31AF" w:rsidP="00EC6A69">
      <w:pPr>
        <w:numPr>
          <w:ilvl w:val="0"/>
          <w:numId w:val="24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Повышение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уровн</w:t>
      </w:r>
      <w:r>
        <w:rPr>
          <w:rFonts w:ascii="Arial" w:hAnsi="Arial"/>
          <w:color w:val="000000" w:themeColor="text1"/>
          <w:sz w:val="22"/>
          <w:szCs w:val="22"/>
        </w:rPr>
        <w:t>я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 информированности и укреп</w:t>
      </w:r>
      <w:r>
        <w:rPr>
          <w:rFonts w:ascii="Arial" w:hAnsi="Arial"/>
          <w:color w:val="000000" w:themeColor="text1"/>
          <w:sz w:val="22"/>
          <w:szCs w:val="22"/>
        </w:rPr>
        <w:t xml:space="preserve">ление 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потенциал</w:t>
      </w:r>
      <w:r>
        <w:rPr>
          <w:rFonts w:ascii="Arial" w:hAnsi="Arial"/>
          <w:color w:val="000000" w:themeColor="text1"/>
          <w:sz w:val="22"/>
          <w:szCs w:val="22"/>
        </w:rPr>
        <w:t>а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 соответствующих заинтересованных сторон в контексте двойственного характера нематериального культурного наследия в чрезвычайных ситуациях, а также данных принципов и методов.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4ABB2844" w14:textId="4B42824C" w:rsidR="00EC6A69" w:rsidRPr="006F1415" w:rsidRDefault="00EC31AF" w:rsidP="00EC6A69">
      <w:pPr>
        <w:numPr>
          <w:ilvl w:val="0"/>
          <w:numId w:val="24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Предоставление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ресурс</w:t>
      </w:r>
      <w:r>
        <w:rPr>
          <w:rFonts w:ascii="Arial" w:hAnsi="Arial"/>
          <w:color w:val="000000" w:themeColor="text1"/>
          <w:sz w:val="22"/>
          <w:szCs w:val="22"/>
        </w:rPr>
        <w:t>ов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 и поддержк</w:t>
      </w:r>
      <w:r>
        <w:rPr>
          <w:rFonts w:ascii="Arial" w:hAnsi="Arial"/>
          <w:color w:val="000000" w:themeColor="text1"/>
          <w:sz w:val="22"/>
          <w:szCs w:val="22"/>
        </w:rPr>
        <w:t>и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, необходимы</w:t>
      </w:r>
      <w:r>
        <w:rPr>
          <w:rFonts w:ascii="Arial" w:hAnsi="Arial"/>
          <w:color w:val="000000" w:themeColor="text1"/>
          <w:sz w:val="22"/>
          <w:szCs w:val="22"/>
        </w:rPr>
        <w:t>х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 для того, чтобы сообщества могли воспользоваться всеми аспектами снижения риска той или иной чрезвычайной ситуации и обеспечения готовности к ней по согласованию с другими заинтересованными сторонами, особенно в регионах и странах, подверженных возникновению чрезвычайных ситуаций.</w:t>
      </w:r>
    </w:p>
    <w:p w14:paraId="090488F4" w14:textId="3DC44A93" w:rsidR="00EC6A69" w:rsidRPr="006F1415" w:rsidRDefault="00EC6A69" w:rsidP="00EC6A69">
      <w:pPr>
        <w:numPr>
          <w:ilvl w:val="0"/>
          <w:numId w:val="24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Включ</w:t>
      </w:r>
      <w:r w:rsidR="00EC31AF">
        <w:rPr>
          <w:rFonts w:ascii="Arial" w:hAnsi="Arial"/>
          <w:color w:val="000000" w:themeColor="text1"/>
          <w:sz w:val="22"/>
          <w:szCs w:val="22"/>
        </w:rPr>
        <w:t xml:space="preserve">ение </w:t>
      </w:r>
      <w:r w:rsidRPr="006F1415">
        <w:rPr>
          <w:rFonts w:ascii="Arial" w:hAnsi="Arial"/>
          <w:color w:val="000000" w:themeColor="text1"/>
          <w:sz w:val="22"/>
          <w:szCs w:val="22"/>
        </w:rPr>
        <w:t>в перечни нематериального культурного наследия, в соответствии с положениями Конвенции 2003 года, информаци</w:t>
      </w:r>
      <w:r w:rsidR="00EC31AF">
        <w:rPr>
          <w:rFonts w:ascii="Arial" w:hAnsi="Arial"/>
          <w:color w:val="000000" w:themeColor="text1"/>
          <w:sz w:val="22"/>
          <w:szCs w:val="22"/>
        </w:rPr>
        <w:t>и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об уязвимости элементов к потенциальным чрезвычайным ситуациям. Это должна быть, в том числе, информация о способности таких элементов смягчать последствия чрезвычайных ситуаций, а также подробные сведения о соответствующих местах и сообществах, что позволит </w:t>
      </w:r>
      <w:r w:rsidRPr="006F1415">
        <w:rPr>
          <w:rFonts w:ascii="Arial" w:hAnsi="Arial"/>
          <w:color w:val="000000" w:themeColor="text1"/>
          <w:sz w:val="22"/>
          <w:szCs w:val="22"/>
        </w:rPr>
        <w:lastRenderedPageBreak/>
        <w:t>облегчить их выявление и получение доступа к ним при принятии мер реагирования на чрезвычайные ситуации.</w:t>
      </w:r>
    </w:p>
    <w:p w14:paraId="0E06C0BA" w14:textId="0AE46ED3" w:rsidR="00EC6A69" w:rsidRPr="007D3F20" w:rsidRDefault="00EC6A69" w:rsidP="00EC6A69">
      <w:pPr>
        <w:numPr>
          <w:ilvl w:val="0"/>
          <w:numId w:val="24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1415">
        <w:rPr>
          <w:rFonts w:ascii="Arial" w:hAnsi="Arial"/>
          <w:color w:val="000000" w:themeColor="text1"/>
          <w:sz w:val="22"/>
          <w:szCs w:val="22"/>
        </w:rPr>
        <w:t>При составлении планов по охране тех или иных элементов</w:t>
      </w:r>
      <w:r w:rsidR="00EA76CB">
        <w:rPr>
          <w:rFonts w:ascii="Arial" w:hAnsi="Arial"/>
          <w:color w:val="000000" w:themeColor="text1"/>
          <w:sz w:val="22"/>
          <w:szCs w:val="22"/>
        </w:rPr>
        <w:t>,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644B2E">
        <w:rPr>
          <w:rFonts w:ascii="Arial" w:hAnsi="Arial"/>
          <w:color w:val="000000" w:themeColor="text1"/>
          <w:sz w:val="22"/>
          <w:szCs w:val="22"/>
        </w:rPr>
        <w:t xml:space="preserve">разработка </w:t>
      </w:r>
      <w:r w:rsidRPr="006F1415">
        <w:rPr>
          <w:rFonts w:ascii="Arial" w:hAnsi="Arial"/>
          <w:color w:val="000000" w:themeColor="text1"/>
          <w:sz w:val="22"/>
          <w:szCs w:val="22"/>
        </w:rPr>
        <w:t>мер по обеспечению готовности к чрезвычайным ситуациям. Это могут быть, в том числе, превентивные меры по устранению потенциальной уязвимости таких элементов при возникновении чрезвычайной ситуации, подготовительные</w:t>
      </w:r>
      <w:r w:rsidRPr="007D3F20">
        <w:rPr>
          <w:rFonts w:ascii="Arial" w:hAnsi="Arial"/>
          <w:color w:val="000000" w:themeColor="text1"/>
          <w:sz w:val="22"/>
          <w:szCs w:val="22"/>
        </w:rPr>
        <w:t xml:space="preserve"> меры по укреплению и активированию их потенциала, необходимого для смягчения последствий такой ситуации, а также методология оценки обстоятельств задействования соответствующего элемента на этапе принятия мер реагирования на чрезвычайную ситуацию.</w:t>
      </w:r>
    </w:p>
    <w:p w14:paraId="341C4902" w14:textId="18A8C26D" w:rsidR="00EC6A69" w:rsidRPr="006F1415" w:rsidRDefault="00EC6A69" w:rsidP="00EC6A69">
      <w:pPr>
        <w:numPr>
          <w:ilvl w:val="0"/>
          <w:numId w:val="24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Включ</w:t>
      </w:r>
      <w:r w:rsidR="00644B2E">
        <w:rPr>
          <w:rFonts w:ascii="Arial" w:hAnsi="Arial"/>
          <w:color w:val="000000" w:themeColor="text1"/>
          <w:sz w:val="22"/>
          <w:szCs w:val="22"/>
        </w:rPr>
        <w:t xml:space="preserve">ение </w:t>
      </w:r>
      <w:r w:rsidRPr="006F1415">
        <w:rPr>
          <w:rFonts w:ascii="Arial" w:hAnsi="Arial"/>
          <w:color w:val="000000" w:themeColor="text1"/>
          <w:sz w:val="22"/>
          <w:szCs w:val="22"/>
        </w:rPr>
        <w:t>вопрос</w:t>
      </w:r>
      <w:r w:rsidR="00644B2E">
        <w:rPr>
          <w:rFonts w:ascii="Arial" w:hAnsi="Arial"/>
          <w:color w:val="000000" w:themeColor="text1"/>
          <w:sz w:val="22"/>
          <w:szCs w:val="22"/>
        </w:rPr>
        <w:t xml:space="preserve">ов, касающихся </w:t>
      </w:r>
      <w:r w:rsidRPr="006F1415">
        <w:rPr>
          <w:rFonts w:ascii="Arial" w:hAnsi="Arial"/>
          <w:color w:val="000000" w:themeColor="text1"/>
          <w:sz w:val="22"/>
          <w:szCs w:val="22"/>
        </w:rPr>
        <w:t>нематериально</w:t>
      </w:r>
      <w:r w:rsidR="00644B2E">
        <w:rPr>
          <w:rFonts w:ascii="Arial" w:hAnsi="Arial"/>
          <w:color w:val="000000" w:themeColor="text1"/>
          <w:sz w:val="22"/>
          <w:szCs w:val="22"/>
        </w:rPr>
        <w:t>го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культурно</w:t>
      </w:r>
      <w:r w:rsidR="00644B2E">
        <w:rPr>
          <w:rFonts w:ascii="Arial" w:hAnsi="Arial"/>
          <w:color w:val="000000" w:themeColor="text1"/>
          <w:sz w:val="22"/>
          <w:szCs w:val="22"/>
        </w:rPr>
        <w:t>го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наследи</w:t>
      </w:r>
      <w:r w:rsidR="00644B2E">
        <w:rPr>
          <w:rFonts w:ascii="Arial" w:hAnsi="Arial"/>
          <w:color w:val="000000" w:themeColor="text1"/>
          <w:sz w:val="22"/>
          <w:szCs w:val="22"/>
        </w:rPr>
        <w:t>я,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в меры, направленные на снижение риска и обеспечение готовности к чрезвычайным ситуациям на местном, национальном, субрегиональном и региональном уровнях.</w:t>
      </w:r>
    </w:p>
    <w:p w14:paraId="3C29965D" w14:textId="77A62ACF" w:rsidR="00EC6A69" w:rsidRPr="006F1415" w:rsidRDefault="00EC6A69" w:rsidP="00534748">
      <w:pPr>
        <w:numPr>
          <w:ilvl w:val="0"/>
          <w:numId w:val="24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1415">
        <w:rPr>
          <w:rFonts w:ascii="Arial" w:hAnsi="Arial"/>
          <w:color w:val="000000" w:themeColor="text1"/>
          <w:sz w:val="22"/>
          <w:szCs w:val="22"/>
        </w:rPr>
        <w:t>Установ</w:t>
      </w:r>
      <w:r w:rsidR="00644B2E">
        <w:rPr>
          <w:rFonts w:ascii="Arial" w:hAnsi="Arial"/>
          <w:color w:val="000000" w:themeColor="text1"/>
          <w:sz w:val="22"/>
          <w:szCs w:val="22"/>
        </w:rPr>
        <w:t xml:space="preserve">ление </w:t>
      </w:r>
      <w:r w:rsidRPr="006F1415">
        <w:rPr>
          <w:rFonts w:ascii="Arial" w:hAnsi="Arial"/>
          <w:color w:val="000000" w:themeColor="text1"/>
          <w:sz w:val="22"/>
          <w:szCs w:val="22"/>
        </w:rPr>
        <w:t>связ</w:t>
      </w:r>
      <w:r w:rsidR="00644B2E">
        <w:rPr>
          <w:rFonts w:ascii="Arial" w:hAnsi="Arial"/>
          <w:color w:val="000000" w:themeColor="text1"/>
          <w:sz w:val="22"/>
          <w:szCs w:val="22"/>
        </w:rPr>
        <w:t>и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между органами, вовлеченными в охрану нематериального культурного наследия, и органами, отвечающими за обеспечение готовности к чрезвычайным ситуациям.</w:t>
      </w:r>
    </w:p>
    <w:p w14:paraId="227A2FF3" w14:textId="77777777" w:rsidR="00EC6A69" w:rsidRPr="007D3F20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Реагирование</w:t>
      </w:r>
    </w:p>
    <w:p w14:paraId="448E3FAA" w14:textId="4C80AB05" w:rsidR="00EC6A69" w:rsidRPr="006F1415" w:rsidRDefault="00773B88" w:rsidP="00EC6A69">
      <w:pPr>
        <w:numPr>
          <w:ilvl w:val="0"/>
          <w:numId w:val="25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Идентификация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, локализ</w:t>
      </w:r>
      <w:r>
        <w:rPr>
          <w:rFonts w:ascii="Arial" w:hAnsi="Arial"/>
          <w:color w:val="000000" w:themeColor="text1"/>
          <w:sz w:val="22"/>
          <w:szCs w:val="22"/>
        </w:rPr>
        <w:t xml:space="preserve">ация 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и установ</w:t>
      </w:r>
      <w:r>
        <w:rPr>
          <w:rFonts w:ascii="Arial" w:hAnsi="Arial"/>
          <w:color w:val="000000" w:themeColor="text1"/>
          <w:sz w:val="22"/>
          <w:szCs w:val="22"/>
        </w:rPr>
        <w:t xml:space="preserve">ление 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контакт</w:t>
      </w:r>
      <w:r>
        <w:rPr>
          <w:rFonts w:ascii="Arial" w:hAnsi="Arial"/>
          <w:color w:val="000000" w:themeColor="text1"/>
          <w:sz w:val="22"/>
          <w:szCs w:val="22"/>
        </w:rPr>
        <w:t>а,</w:t>
      </w:r>
      <w:r w:rsidRPr="00773B88">
        <w:t xml:space="preserve"> </w:t>
      </w:r>
      <w:r w:rsidRPr="00773B88">
        <w:rPr>
          <w:rFonts w:ascii="Arial" w:hAnsi="Arial"/>
          <w:color w:val="000000" w:themeColor="text1"/>
          <w:sz w:val="22"/>
          <w:szCs w:val="22"/>
        </w:rPr>
        <w:t>как можно скорее</w:t>
      </w:r>
      <w:r>
        <w:rPr>
          <w:rFonts w:ascii="Arial" w:hAnsi="Arial"/>
          <w:color w:val="000000" w:themeColor="text1"/>
          <w:sz w:val="22"/>
          <w:szCs w:val="22"/>
        </w:rPr>
        <w:t>,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 с сообществами, чье нематериальное культурное наследие, как известно, или, вероятно, пострадало в результате воздействия чрезвычайной ситуации.</w:t>
      </w:r>
    </w:p>
    <w:p w14:paraId="202D340D" w14:textId="16D884CD" w:rsidR="00EC6A69" w:rsidRPr="007D3F20" w:rsidRDefault="00EC6A69" w:rsidP="00EC6A69">
      <w:pPr>
        <w:numPr>
          <w:ilvl w:val="0"/>
          <w:numId w:val="25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Определ</w:t>
      </w:r>
      <w:r w:rsidR="00773B88">
        <w:rPr>
          <w:rFonts w:ascii="Arial" w:hAnsi="Arial"/>
          <w:color w:val="000000" w:themeColor="text1"/>
          <w:sz w:val="22"/>
          <w:szCs w:val="22"/>
        </w:rPr>
        <w:t xml:space="preserve">ение </w:t>
      </w:r>
      <w:r w:rsidRPr="006F1415">
        <w:rPr>
          <w:rFonts w:ascii="Arial" w:hAnsi="Arial"/>
          <w:color w:val="000000" w:themeColor="text1"/>
          <w:sz w:val="22"/>
          <w:szCs w:val="22"/>
        </w:rPr>
        <w:t>приоритет</w:t>
      </w:r>
      <w:r w:rsidR="00773B88">
        <w:rPr>
          <w:rFonts w:ascii="Arial" w:hAnsi="Arial"/>
          <w:color w:val="000000" w:themeColor="text1"/>
          <w:sz w:val="22"/>
          <w:szCs w:val="22"/>
        </w:rPr>
        <w:t>ов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в отношении предоставления вовлеченным сообществам ресурсов и поддержки с точки зрения обеспечения их потенциала для выявления и удовлетворения их насущных потребностей в области охраны на основе подхода, разработанного с учетом местных особенностей, а также для использования их нематериального культурного наследия в целях смягчения прямых последствий чрезвычайной ситуации (определение потребностей на местах). В некоторых случаях реализовать такой комплекс мер можно будет только на этапе восстановления.</w:t>
      </w:r>
    </w:p>
    <w:p w14:paraId="0132A1A8" w14:textId="0B6B7AC7" w:rsidR="00EC6A69" w:rsidRPr="007D3F20" w:rsidRDefault="00EC6A69" w:rsidP="00EC6A69">
      <w:pPr>
        <w:numPr>
          <w:ilvl w:val="0"/>
          <w:numId w:val="25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Обеспеч</w:t>
      </w:r>
      <w:r w:rsidR="00773B88">
        <w:rPr>
          <w:rFonts w:ascii="Arial" w:hAnsi="Arial"/>
          <w:color w:val="000000" w:themeColor="text1"/>
          <w:sz w:val="22"/>
          <w:szCs w:val="22"/>
        </w:rPr>
        <w:t xml:space="preserve">ение </w:t>
      </w:r>
      <w:r w:rsidRPr="006F1415">
        <w:rPr>
          <w:rFonts w:ascii="Arial" w:hAnsi="Arial"/>
          <w:color w:val="000000" w:themeColor="text1"/>
          <w:sz w:val="22"/>
          <w:szCs w:val="22"/>
        </w:rPr>
        <w:t>обмен</w:t>
      </w:r>
      <w:r w:rsidR="00773B88">
        <w:rPr>
          <w:rFonts w:ascii="Arial" w:hAnsi="Arial"/>
          <w:color w:val="000000" w:themeColor="text1"/>
          <w:sz w:val="22"/>
          <w:szCs w:val="22"/>
        </w:rPr>
        <w:t>а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информацией внутри пострадавших государств-участников и других заинтересованных сторон, в частности гуманитарных организаций, неправительственных организаций и вооруженных сил, а также между ними, с тем чтобы определить характер и масштаб негативного воздействия на нематериальное культурное наследие и масштаб использования такого наследия для смягчения последствий чрезвычайной ситуации. Это также необходимо для того, чтобы операции по оказанию помощи в полной мере учитывали существующее нематериальное культурное наследие и способствовали его охране.</w:t>
      </w:r>
    </w:p>
    <w:p w14:paraId="0E704FB9" w14:textId="46DBD26A" w:rsidR="00EC6A69" w:rsidRPr="007D3F20" w:rsidRDefault="00767894" w:rsidP="00534748">
      <w:pPr>
        <w:numPr>
          <w:ilvl w:val="0"/>
          <w:numId w:val="25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Проведение</w:t>
      </w:r>
      <w:r w:rsidR="004F7DB3">
        <w:rPr>
          <w:rFonts w:ascii="Arial" w:hAnsi="Arial"/>
          <w:color w:val="000000" w:themeColor="text1"/>
          <w:sz w:val="22"/>
          <w:szCs w:val="22"/>
        </w:rPr>
        <w:t>,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4F7DB3" w:rsidRPr="002800D8">
        <w:rPr>
          <w:rFonts w:ascii="Arial" w:hAnsi="Arial"/>
          <w:color w:val="000000" w:themeColor="text1"/>
          <w:sz w:val="22"/>
          <w:szCs w:val="22"/>
        </w:rPr>
        <w:t>с учетом нематериального культурного наследия</w:t>
      </w:r>
      <w:r w:rsidR="004F7DB3">
        <w:rPr>
          <w:rFonts w:ascii="Arial" w:hAnsi="Arial"/>
          <w:color w:val="000000" w:themeColor="text1"/>
          <w:sz w:val="22"/>
          <w:szCs w:val="22"/>
        </w:rPr>
        <w:t>,</w:t>
      </w:r>
      <w:r w:rsidR="004F7DB3" w:rsidRPr="006F1415" w:rsidDel="00767894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>оценк</w:t>
      </w:r>
      <w:r>
        <w:rPr>
          <w:rFonts w:ascii="Arial" w:hAnsi="Arial"/>
          <w:color w:val="000000" w:themeColor="text1"/>
          <w:sz w:val="22"/>
          <w:szCs w:val="22"/>
        </w:rPr>
        <w:t>и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 потребностей в период после бедствий или конфликтов, в частности в рамках многосторонних международных механизмов реагирования на кризисные ситуации</w:t>
      </w:r>
      <w:r w:rsidR="004F7DB3">
        <w:rPr>
          <w:rFonts w:ascii="Arial" w:hAnsi="Arial"/>
          <w:color w:val="000000" w:themeColor="text1"/>
          <w:sz w:val="22"/>
          <w:szCs w:val="22"/>
        </w:rPr>
        <w:t>.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 Привле</w:t>
      </w:r>
      <w:r>
        <w:rPr>
          <w:rFonts w:ascii="Arial" w:hAnsi="Arial"/>
          <w:color w:val="000000" w:themeColor="text1"/>
          <w:sz w:val="22"/>
          <w:szCs w:val="22"/>
        </w:rPr>
        <w:t xml:space="preserve">чение </w:t>
      </w:r>
      <w:r w:rsidR="00EC6A69" w:rsidRPr="006F1415">
        <w:rPr>
          <w:rFonts w:ascii="Arial" w:hAnsi="Arial"/>
          <w:color w:val="000000" w:themeColor="text1"/>
          <w:sz w:val="22"/>
          <w:szCs w:val="22"/>
        </w:rPr>
        <w:t xml:space="preserve">сообществ к проведению оценки последствий стихийных бедствий и (или) вооруженных конфликтов для </w:t>
      </w:r>
      <w:r w:rsidR="00EC6A69" w:rsidRPr="007D3F20">
        <w:rPr>
          <w:rFonts w:ascii="Arial" w:hAnsi="Arial"/>
          <w:color w:val="000000" w:themeColor="text1"/>
          <w:sz w:val="22"/>
          <w:szCs w:val="22"/>
        </w:rPr>
        <w:t>их нематериального культурного наследия, а также оценки соответствующих экономических потерь и ущерба и последствий для человеческого развития.</w:t>
      </w:r>
    </w:p>
    <w:p w14:paraId="05AF2DB3" w14:textId="77777777" w:rsidR="00EC6A69" w:rsidRPr="007D3F20" w:rsidRDefault="00EC6A69" w:rsidP="00EC6A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Восстановление</w:t>
      </w:r>
    </w:p>
    <w:p w14:paraId="2C78E191" w14:textId="558F996C" w:rsidR="00EC6A69" w:rsidRPr="006F1415" w:rsidRDefault="00EC6A69" w:rsidP="00EC6A69">
      <w:pPr>
        <w:numPr>
          <w:ilvl w:val="0"/>
          <w:numId w:val="26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Определ</w:t>
      </w:r>
      <w:r w:rsidR="00971827">
        <w:rPr>
          <w:rFonts w:ascii="Arial" w:hAnsi="Arial"/>
          <w:color w:val="000000" w:themeColor="text1"/>
          <w:sz w:val="22"/>
          <w:szCs w:val="22"/>
        </w:rPr>
        <w:t xml:space="preserve">ение </w:t>
      </w:r>
      <w:r w:rsidRPr="006F1415">
        <w:rPr>
          <w:rFonts w:ascii="Arial" w:hAnsi="Arial"/>
          <w:color w:val="000000" w:themeColor="text1"/>
          <w:sz w:val="22"/>
          <w:szCs w:val="22"/>
        </w:rPr>
        <w:t>потребност</w:t>
      </w:r>
      <w:r w:rsidR="00971827">
        <w:rPr>
          <w:rFonts w:ascii="Arial" w:hAnsi="Arial"/>
          <w:color w:val="000000" w:themeColor="text1"/>
          <w:sz w:val="22"/>
          <w:szCs w:val="22"/>
        </w:rPr>
        <w:t>ей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сообщества, если это не удалось сделать раньше.</w:t>
      </w:r>
    </w:p>
    <w:p w14:paraId="347235FB" w14:textId="4D0BA2CC" w:rsidR="00EC6A69" w:rsidRPr="006F1415" w:rsidRDefault="00EC6A69" w:rsidP="00EC6A69">
      <w:pPr>
        <w:numPr>
          <w:ilvl w:val="0"/>
          <w:numId w:val="26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По результатам определения потребностей предостав</w:t>
      </w:r>
      <w:r w:rsidR="00971827">
        <w:rPr>
          <w:rFonts w:ascii="Arial" w:hAnsi="Arial"/>
          <w:color w:val="000000" w:themeColor="text1"/>
          <w:sz w:val="22"/>
          <w:szCs w:val="22"/>
        </w:rPr>
        <w:t xml:space="preserve">ление </w:t>
      </w:r>
      <w:r w:rsidRPr="006F1415">
        <w:rPr>
          <w:rFonts w:ascii="Arial" w:hAnsi="Arial"/>
          <w:color w:val="000000" w:themeColor="text1"/>
          <w:sz w:val="22"/>
          <w:szCs w:val="22"/>
        </w:rPr>
        <w:t>сообществам ресурс</w:t>
      </w:r>
      <w:r w:rsidR="00971827">
        <w:rPr>
          <w:rFonts w:ascii="Arial" w:hAnsi="Arial"/>
          <w:color w:val="000000" w:themeColor="text1"/>
          <w:sz w:val="22"/>
          <w:szCs w:val="22"/>
        </w:rPr>
        <w:t>ов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и поддержк</w:t>
      </w:r>
      <w:r w:rsidR="00971827">
        <w:rPr>
          <w:rFonts w:ascii="Arial" w:hAnsi="Arial"/>
          <w:color w:val="000000" w:themeColor="text1"/>
          <w:sz w:val="22"/>
          <w:szCs w:val="22"/>
        </w:rPr>
        <w:t>и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для разработки и реализации направленных на охрану мер или планов в целях укрепления потенциала, необходимого для смягчения последствий в отношении нематериального культурного наследия. Такое взаимодействие следует поддерживать на протяжении всего этапа восстановления, вплоть до начала реализации следующего этапа, направленного на обеспечение готовности, а также при переходе от </w:t>
      </w:r>
      <w:r w:rsidRPr="006F1415">
        <w:rPr>
          <w:rFonts w:ascii="Arial" w:hAnsi="Arial"/>
          <w:color w:val="000000" w:themeColor="text1"/>
          <w:sz w:val="22"/>
          <w:szCs w:val="22"/>
        </w:rPr>
        <w:lastRenderedPageBreak/>
        <w:t>деятельности, основанной на зависимости от гуманитарной помощи, к деятельности, ориентированной на развитие.</w:t>
      </w:r>
    </w:p>
    <w:p w14:paraId="1C8DA628" w14:textId="2664DE0E" w:rsidR="00EC6A69" w:rsidRPr="006F1415" w:rsidRDefault="00EC6A69" w:rsidP="00E776EE">
      <w:pPr>
        <w:numPr>
          <w:ilvl w:val="0"/>
          <w:numId w:val="26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Использ</w:t>
      </w:r>
      <w:r w:rsidR="00971827">
        <w:rPr>
          <w:rFonts w:ascii="Arial" w:hAnsi="Arial"/>
          <w:color w:val="000000" w:themeColor="text1"/>
          <w:sz w:val="22"/>
          <w:szCs w:val="22"/>
        </w:rPr>
        <w:t xml:space="preserve">ование </w:t>
      </w:r>
      <w:r w:rsidRPr="006F1415">
        <w:rPr>
          <w:rFonts w:ascii="Arial" w:hAnsi="Arial"/>
          <w:color w:val="000000" w:themeColor="text1"/>
          <w:sz w:val="22"/>
          <w:szCs w:val="22"/>
        </w:rPr>
        <w:t>нематериально</w:t>
      </w:r>
      <w:r w:rsidR="00971827">
        <w:rPr>
          <w:rFonts w:ascii="Arial" w:hAnsi="Arial"/>
          <w:color w:val="000000" w:themeColor="text1"/>
          <w:sz w:val="22"/>
          <w:szCs w:val="22"/>
        </w:rPr>
        <w:t>го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культурно</w:t>
      </w:r>
      <w:r w:rsidR="00971827">
        <w:rPr>
          <w:rFonts w:ascii="Arial" w:hAnsi="Arial"/>
          <w:color w:val="000000" w:themeColor="text1"/>
          <w:sz w:val="22"/>
          <w:szCs w:val="22"/>
        </w:rPr>
        <w:t>го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наследи</w:t>
      </w:r>
      <w:r w:rsidR="00971827">
        <w:rPr>
          <w:rFonts w:ascii="Arial" w:hAnsi="Arial"/>
          <w:color w:val="000000" w:themeColor="text1"/>
          <w:sz w:val="22"/>
          <w:szCs w:val="22"/>
        </w:rPr>
        <w:t>я</w:t>
      </w:r>
      <w:r w:rsidRPr="006F1415">
        <w:rPr>
          <w:rFonts w:ascii="Arial" w:hAnsi="Arial"/>
          <w:color w:val="000000" w:themeColor="text1"/>
          <w:sz w:val="22"/>
          <w:szCs w:val="22"/>
        </w:rPr>
        <w:t xml:space="preserve"> для содействия диалогу, взаимопониманию и примирению между сообществами и внутри них, в том числе между представителями перемещенных лиц и принимающих сообществ.</w:t>
      </w:r>
    </w:p>
    <w:p w14:paraId="0BBF2FF9" w14:textId="1F1C9A1F" w:rsidR="008A1ED4" w:rsidRPr="007D3F20" w:rsidRDefault="00EC6A69" w:rsidP="003831B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Примечание:</w:t>
      </w:r>
      <w:r w:rsidRPr="007D3F20">
        <w:rPr>
          <w:rFonts w:ascii="Arial" w:hAnsi="Arial"/>
          <w:color w:val="000000" w:themeColor="text1"/>
          <w:sz w:val="22"/>
          <w:szCs w:val="22"/>
        </w:rPr>
        <w:t xml:space="preserve"> Обеспечение ресурсами и оказание финансовой поддержки осуществляются за счет средств различных фондов, деятельность которых связана с чрезвычайными ситуациями, включая Чрезвычайный фонд наследия ЮНЕСКО и Фонд нематериального культурного наследия (международная чрезвычайная помощь). Механизмы составления перечней в соответствии с положениями Конвенции 2003 года могут быть использованы для содействия внедрению и повышения наглядности элементов, способствующих обеспечению готовности к стихийным бедствиям и (или) вооруженным конфликтам, реагированию на них и восстановлению от вызванных ими последствий (Репрезентативный список нематериального культурного наследия человечества, Список нематериального культурного наследия, нуждающегося в срочной охране, а также Реестр передовой практики охраны), а также (или) для привлечения внимания международного сообщества к элементам, подвергающимся особенной угрозе в результате воздействия того или иного стихийного бедствия и (или) вооруженного конфликта (с тем чтобы можно было применить ускоренную процедуру номинации на включение в Список нематериального культурного наследия, нуждающегося в срочной охране, см. критерий U.6 в главе I.1 Оперативного руководства Конвенции 2003 г.).</w:t>
      </w:r>
    </w:p>
    <w:sectPr w:rsidR="008A1ED4" w:rsidRPr="007D3F20" w:rsidSect="00176720">
      <w:headerReference w:type="even" r:id="rId27"/>
      <w:headerReference w:type="default" r:id="rId28"/>
      <w:headerReference w:type="first" r:id="rId2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BD7EB" w14:textId="77777777" w:rsidR="000C1EB1" w:rsidRDefault="000C1EB1" w:rsidP="00655736">
      <w:r>
        <w:separator/>
      </w:r>
    </w:p>
  </w:endnote>
  <w:endnote w:type="continuationSeparator" w:id="0">
    <w:p w14:paraId="152CBCD4" w14:textId="77777777" w:rsidR="000C1EB1" w:rsidRDefault="000C1EB1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80B2" w14:textId="77777777" w:rsidR="000C1EB1" w:rsidRDefault="000C1EB1" w:rsidP="00655736">
      <w:r>
        <w:separator/>
      </w:r>
    </w:p>
  </w:footnote>
  <w:footnote w:type="continuationSeparator" w:id="0">
    <w:p w14:paraId="260EB0BB" w14:textId="77777777" w:rsidR="000C1EB1" w:rsidRDefault="000C1EB1" w:rsidP="00655736">
      <w:r>
        <w:continuationSeparator/>
      </w:r>
    </w:p>
  </w:footnote>
  <w:footnote w:id="1">
    <w:p w14:paraId="6EB5DEB0" w14:textId="5D045BAF" w:rsidR="00183839" w:rsidRPr="00E776EE" w:rsidRDefault="00183839" w:rsidP="00183839">
      <w:pPr>
        <w:pStyle w:val="FootnoteText"/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eastAsia="MS Mincho" w:hAnsi="Arial" w:cs="Arial"/>
          <w:sz w:val="18"/>
          <w:szCs w:val="18"/>
          <w:vertAlign w:val="baseline"/>
        </w:rPr>
        <w:footnoteRef/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ab/>
      </w:r>
      <w:hyperlink r:id="rId1" w:history="1">
        <w:r>
          <w:rPr>
            <w:rStyle w:val="Hyperlink"/>
            <w:rFonts w:ascii="Arial" w:hAnsi="Arial"/>
            <w:sz w:val="18"/>
            <w:szCs w:val="18"/>
          </w:rPr>
          <w:t>https://unesdoc.unesco.org/ark:/48223/pf0000235186</w:t>
        </w:r>
      </w:hyperlink>
    </w:p>
  </w:footnote>
  <w:footnote w:id="2">
    <w:p w14:paraId="522CE672" w14:textId="44ECA5BF" w:rsidR="00183839" w:rsidRPr="00FC1B43" w:rsidRDefault="00183839" w:rsidP="00183839">
      <w:pPr>
        <w:pStyle w:val="FootnoteText"/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eastAsia="MS Mincho" w:hAnsi="Arial" w:cs="Arial"/>
          <w:sz w:val="18"/>
          <w:szCs w:val="18"/>
          <w:vertAlign w:val="baseline"/>
        </w:rPr>
        <w:footnoteRef/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ab/>
      </w:r>
      <w:hyperlink r:id="rId2" w:history="1">
        <w:r>
          <w:rPr>
            <w:rStyle w:val="Hyperlink"/>
            <w:rFonts w:ascii="Arial" w:hAnsi="Arial"/>
            <w:sz w:val="18"/>
            <w:szCs w:val="18"/>
          </w:rPr>
          <w:t>https://unesdoc.unesco.org/ark:/48223/pf0000259805</w:t>
        </w:r>
      </w:hyperlink>
    </w:p>
  </w:footnote>
  <w:footnote w:id="3">
    <w:p w14:paraId="7EF9937B" w14:textId="77777777" w:rsidR="00896D4E" w:rsidRPr="00E776EE" w:rsidRDefault="00896D4E" w:rsidP="00896D4E">
      <w:pPr>
        <w:pStyle w:val="FootnoteText"/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eastAsia="MS Mincho" w:hAnsi="Arial" w:cs="Arial"/>
          <w:sz w:val="18"/>
          <w:szCs w:val="18"/>
          <w:vertAlign w:val="baseline"/>
        </w:rPr>
        <w:footnoteRef/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ab/>
        <w:t xml:space="preserve"> </w:t>
      </w:r>
      <w:hyperlink r:id="rId3" w:history="1">
        <w:r>
          <w:rPr>
            <w:rStyle w:val="Hyperlink"/>
            <w:rFonts w:ascii="Arial" w:hAnsi="Arial"/>
            <w:sz w:val="18"/>
            <w:szCs w:val="18"/>
          </w:rPr>
          <w:t>https://unesdoc.unesco.org/ark:/48223/pf0000235186</w:t>
        </w:r>
      </w:hyperlink>
    </w:p>
  </w:footnote>
  <w:footnote w:id="4">
    <w:p w14:paraId="479BDDE7" w14:textId="77777777" w:rsidR="00896D4E" w:rsidRPr="00E776EE" w:rsidRDefault="00896D4E" w:rsidP="00896D4E">
      <w:pPr>
        <w:pStyle w:val="FootnoteText"/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eastAsia="MS Mincho" w:hAnsi="Arial" w:cs="Arial"/>
          <w:sz w:val="18"/>
          <w:szCs w:val="18"/>
          <w:vertAlign w:val="baseline"/>
        </w:rPr>
        <w:footnoteRef/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ab/>
        <w:t xml:space="preserve"> </w:t>
      </w:r>
      <w:hyperlink r:id="rId4" w:history="1">
        <w:r>
          <w:rPr>
            <w:rStyle w:val="Hyperlink"/>
            <w:rFonts w:ascii="Arial" w:hAnsi="Arial"/>
            <w:sz w:val="18"/>
            <w:szCs w:val="18"/>
          </w:rPr>
          <w:t>https://unesdoc.unesco.org/ark:/48223/pf0000259805</w:t>
        </w:r>
      </w:hyperlink>
    </w:p>
  </w:footnote>
  <w:footnote w:id="5">
    <w:p w14:paraId="419CC973" w14:textId="77777777" w:rsidR="00896D4E" w:rsidRPr="00FA455B" w:rsidRDefault="00896D4E" w:rsidP="00896D4E">
      <w:pPr>
        <w:pStyle w:val="FootnoteText"/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eastAsia="MS Mincho" w:hAnsi="Arial" w:cs="Arial"/>
          <w:sz w:val="18"/>
          <w:szCs w:val="18"/>
          <w:vertAlign w:val="baseline"/>
        </w:rPr>
        <w:footnoteRef/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Style w:val="Hyperlink"/>
          <w:rFonts w:ascii="Arial" w:hAnsi="Arial"/>
          <w:sz w:val="18"/>
          <w:szCs w:val="18"/>
        </w:rPr>
        <w:t>https://ich.unesco.org/doc/src/ICH-Operational_Directives-7.GA-PDF-EN.pdf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5B6C" w14:textId="74E67AE5" w:rsidR="00D95C4C" w:rsidRPr="00C23A97" w:rsidRDefault="006F41B4">
    <w:pPr>
      <w:pStyle w:val="Header"/>
      <w:rPr>
        <w:rFonts w:ascii="Arial" w:hAnsi="Arial" w:cs="Arial"/>
      </w:rPr>
    </w:pPr>
    <w:r>
      <w:rPr>
        <w:rFonts w:ascii="Arial" w:hAnsi="Arial"/>
        <w:sz w:val="20"/>
        <w:szCs w:val="20"/>
      </w:rPr>
      <w:t>LHE/20/8.GA/</w:t>
    </w:r>
    <w:r w:rsidR="00755954">
      <w:rPr>
        <w:rFonts w:ascii="Arial" w:hAnsi="Arial"/>
        <w:sz w:val="20"/>
        <w:szCs w:val="20"/>
        <w:lang w:val="en-US"/>
      </w:rPr>
      <w:t>9</w:t>
    </w:r>
    <w:r w:rsidR="00755954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 xml:space="preserve">– страница </w: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separate"/>
    </w:r>
    <w:r w:rsidR="00AC57C2">
      <w:rPr>
        <w:rStyle w:val="PageNumber"/>
        <w:rFonts w:ascii="Arial" w:hAnsi="Arial" w:cs="Arial"/>
        <w:noProof/>
        <w:sz w:val="20"/>
        <w:szCs w:val="20"/>
      </w:rPr>
      <w:t>10</w: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FAB0F" w14:textId="4358C041" w:rsidR="00D95C4C" w:rsidRPr="0063300C" w:rsidRDefault="00534748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  <w:szCs w:val="20"/>
      </w:rPr>
      <w:t>LHE/20/8.GA/</w:t>
    </w:r>
    <w:r w:rsidR="00755954">
      <w:rPr>
        <w:rFonts w:ascii="Arial" w:hAnsi="Arial"/>
        <w:sz w:val="20"/>
        <w:szCs w:val="20"/>
        <w:lang w:val="en-US"/>
      </w:rPr>
      <w:t>9</w:t>
    </w:r>
    <w:r w:rsidR="00755954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 xml:space="preserve">– страница </w: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separate"/>
    </w:r>
    <w:r w:rsidR="00AC57C2">
      <w:rPr>
        <w:rStyle w:val="PageNumber"/>
        <w:rFonts w:ascii="Arial" w:hAnsi="Arial" w:cs="Arial"/>
        <w:noProof/>
        <w:sz w:val="20"/>
        <w:szCs w:val="20"/>
      </w:rPr>
      <w:t>9</w: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263AD" w14:textId="69C2F525" w:rsidR="00D95C4C" w:rsidRPr="008724E5" w:rsidRDefault="00A61E0D">
    <w:pPr>
      <w:pStyle w:val="Header"/>
    </w:pPr>
    <w:r>
      <w:rPr>
        <w:rFonts w:ascii="Arial" w:hAnsi="Arial" w:cs="Arial"/>
        <w:b/>
        <w:noProof/>
        <w:sz w:val="44"/>
        <w:szCs w:val="44"/>
        <w:lang w:val="en-US" w:eastAsia="en-US"/>
      </w:rPr>
      <w:drawing>
        <wp:anchor distT="0" distB="0" distL="114300" distR="114300" simplePos="0" relativeHeight="251659264" behindDoc="0" locked="0" layoutInCell="1" allowOverlap="1" wp14:anchorId="774387B2" wp14:editId="55BBDDEC">
          <wp:simplePos x="0" y="0"/>
          <wp:positionH relativeFrom="page">
            <wp:posOffset>100965</wp:posOffset>
          </wp:positionH>
          <wp:positionV relativeFrom="page">
            <wp:posOffset>237490</wp:posOffset>
          </wp:positionV>
          <wp:extent cx="2530800" cy="1443600"/>
          <wp:effectExtent l="0" t="0" r="3175" b="4445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E6B3BA" w14:textId="77777777" w:rsidR="00D95C4C" w:rsidRPr="006F144A" w:rsidRDefault="006F41B4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  <w:szCs w:val="44"/>
      </w:rPr>
      <w:t>8 GA</w:t>
    </w:r>
  </w:p>
  <w:p w14:paraId="43899750" w14:textId="6A851F0F" w:rsidR="00D95C4C" w:rsidRPr="00F22EC0" w:rsidRDefault="006F41B4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LHE/20/8.GA/</w:t>
    </w:r>
    <w:r w:rsidR="00755954" w:rsidRPr="00F22EC0">
      <w:rPr>
        <w:rFonts w:ascii="Arial" w:hAnsi="Arial"/>
        <w:b/>
        <w:sz w:val="22"/>
        <w:szCs w:val="22"/>
      </w:rPr>
      <w:t>9</w:t>
    </w:r>
  </w:p>
  <w:p w14:paraId="107EA4C1" w14:textId="10057A0A" w:rsidR="00D95C4C" w:rsidRPr="006F144A" w:rsidRDefault="00D95C4C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Париж, </w:t>
    </w:r>
    <w:r w:rsidR="00E14D29">
      <w:rPr>
        <w:rFonts w:ascii="Arial" w:hAnsi="Arial"/>
        <w:b/>
        <w:sz w:val="22"/>
        <w:szCs w:val="22"/>
      </w:rPr>
      <w:t xml:space="preserve">7 августа </w:t>
    </w:r>
    <w:r>
      <w:rPr>
        <w:rFonts w:ascii="Arial" w:hAnsi="Arial"/>
        <w:b/>
        <w:sz w:val="22"/>
        <w:szCs w:val="22"/>
      </w:rPr>
      <w:t>2020 г.</w:t>
    </w:r>
  </w:p>
  <w:p w14:paraId="6583433F" w14:textId="445C72C3" w:rsidR="00D95C4C" w:rsidRDefault="00D95C4C" w:rsidP="00703FBF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Оригинал: английский</w:t>
    </w:r>
  </w:p>
  <w:p w14:paraId="77B7BE7F" w14:textId="77777777" w:rsidR="00540FE0" w:rsidRPr="00C23A97" w:rsidRDefault="00540FE0" w:rsidP="00540FE0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C4F"/>
    <w:multiLevelType w:val="multilevel"/>
    <w:tmpl w:val="FE16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376431"/>
    <w:multiLevelType w:val="multilevel"/>
    <w:tmpl w:val="F0A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E6E17"/>
    <w:multiLevelType w:val="hybridMultilevel"/>
    <w:tmpl w:val="CD721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F6CDC"/>
    <w:multiLevelType w:val="hybridMultilevel"/>
    <w:tmpl w:val="8A349498"/>
    <w:lvl w:ilvl="0" w:tplc="86F6005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A3E6874"/>
    <w:multiLevelType w:val="multilevel"/>
    <w:tmpl w:val="14F4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55AE9"/>
    <w:multiLevelType w:val="hybridMultilevel"/>
    <w:tmpl w:val="DFE29FF2"/>
    <w:lvl w:ilvl="0" w:tplc="8798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5C76A3"/>
    <w:multiLevelType w:val="hybridMultilevel"/>
    <w:tmpl w:val="4926AA42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63838AA"/>
    <w:multiLevelType w:val="multilevel"/>
    <w:tmpl w:val="1518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82F79"/>
    <w:multiLevelType w:val="hybridMultilevel"/>
    <w:tmpl w:val="EE7243B4"/>
    <w:lvl w:ilvl="0" w:tplc="4F7CB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2"/>
  </w:num>
  <w:num w:numId="5">
    <w:abstractNumId w:val="20"/>
  </w:num>
  <w:num w:numId="6">
    <w:abstractNumId w:val="2"/>
  </w:num>
  <w:num w:numId="7">
    <w:abstractNumId w:val="4"/>
  </w:num>
  <w:num w:numId="8">
    <w:abstractNumId w:val="13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21"/>
  </w:num>
  <w:num w:numId="14">
    <w:abstractNumId w:val="15"/>
  </w:num>
  <w:num w:numId="15">
    <w:abstractNumId w:val="16"/>
  </w:num>
  <w:num w:numId="16">
    <w:abstractNumId w:val="10"/>
  </w:num>
  <w:num w:numId="17">
    <w:abstractNumId w:val="10"/>
  </w:num>
  <w:num w:numId="18">
    <w:abstractNumId w:val="10"/>
  </w:num>
  <w:num w:numId="19">
    <w:abstractNumId w:val="0"/>
  </w:num>
  <w:num w:numId="20">
    <w:abstractNumId w:val="17"/>
  </w:num>
  <w:num w:numId="21">
    <w:abstractNumId w:val="6"/>
  </w:num>
  <w:num w:numId="22">
    <w:abstractNumId w:val="7"/>
  </w:num>
  <w:num w:numId="23">
    <w:abstractNumId w:val="19"/>
  </w:num>
  <w:num w:numId="24">
    <w:abstractNumId w:val="5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48ED"/>
    <w:rsid w:val="00010F9B"/>
    <w:rsid w:val="000117D5"/>
    <w:rsid w:val="00022773"/>
    <w:rsid w:val="0003115A"/>
    <w:rsid w:val="00041A66"/>
    <w:rsid w:val="0005176E"/>
    <w:rsid w:val="00064940"/>
    <w:rsid w:val="000765F7"/>
    <w:rsid w:val="00077AB7"/>
    <w:rsid w:val="00077BE6"/>
    <w:rsid w:val="00081CD8"/>
    <w:rsid w:val="00093F6B"/>
    <w:rsid w:val="0009575A"/>
    <w:rsid w:val="00096FC6"/>
    <w:rsid w:val="000A2BE0"/>
    <w:rsid w:val="000A400D"/>
    <w:rsid w:val="000A7F0E"/>
    <w:rsid w:val="000B585F"/>
    <w:rsid w:val="000C0D61"/>
    <w:rsid w:val="000C1EB1"/>
    <w:rsid w:val="000D05B7"/>
    <w:rsid w:val="000D5ED6"/>
    <w:rsid w:val="000E363F"/>
    <w:rsid w:val="000F21A2"/>
    <w:rsid w:val="000F30BE"/>
    <w:rsid w:val="000F3A3F"/>
    <w:rsid w:val="000F3DC0"/>
    <w:rsid w:val="00102557"/>
    <w:rsid w:val="00134BFA"/>
    <w:rsid w:val="0013706E"/>
    <w:rsid w:val="00144183"/>
    <w:rsid w:val="00163AF8"/>
    <w:rsid w:val="00164A93"/>
    <w:rsid w:val="00164D56"/>
    <w:rsid w:val="00167B10"/>
    <w:rsid w:val="0017402F"/>
    <w:rsid w:val="001749B7"/>
    <w:rsid w:val="00176720"/>
    <w:rsid w:val="00183839"/>
    <w:rsid w:val="00196C1B"/>
    <w:rsid w:val="001B0F73"/>
    <w:rsid w:val="001B49DA"/>
    <w:rsid w:val="001D53A8"/>
    <w:rsid w:val="001D5C04"/>
    <w:rsid w:val="001D7ACC"/>
    <w:rsid w:val="001E1B95"/>
    <w:rsid w:val="001F15DE"/>
    <w:rsid w:val="001F4F41"/>
    <w:rsid w:val="00205974"/>
    <w:rsid w:val="002148B9"/>
    <w:rsid w:val="00222A2D"/>
    <w:rsid w:val="00223029"/>
    <w:rsid w:val="00223670"/>
    <w:rsid w:val="00234745"/>
    <w:rsid w:val="002407AF"/>
    <w:rsid w:val="002505AD"/>
    <w:rsid w:val="00264F79"/>
    <w:rsid w:val="00274BE9"/>
    <w:rsid w:val="002914D2"/>
    <w:rsid w:val="002A7186"/>
    <w:rsid w:val="002C09E3"/>
    <w:rsid w:val="002C61EA"/>
    <w:rsid w:val="002C6E01"/>
    <w:rsid w:val="002C76E6"/>
    <w:rsid w:val="002D3A0B"/>
    <w:rsid w:val="002D6CD4"/>
    <w:rsid w:val="002F312A"/>
    <w:rsid w:val="003033D4"/>
    <w:rsid w:val="00311784"/>
    <w:rsid w:val="00343F1F"/>
    <w:rsid w:val="00345CB4"/>
    <w:rsid w:val="003549B8"/>
    <w:rsid w:val="00355E24"/>
    <w:rsid w:val="00356844"/>
    <w:rsid w:val="003831B8"/>
    <w:rsid w:val="003A42E5"/>
    <w:rsid w:val="003C0B1C"/>
    <w:rsid w:val="003C4344"/>
    <w:rsid w:val="003D069C"/>
    <w:rsid w:val="003D7646"/>
    <w:rsid w:val="003E0A4B"/>
    <w:rsid w:val="003F113A"/>
    <w:rsid w:val="00414643"/>
    <w:rsid w:val="00437869"/>
    <w:rsid w:val="004421E5"/>
    <w:rsid w:val="00452284"/>
    <w:rsid w:val="0045498A"/>
    <w:rsid w:val="00475F9D"/>
    <w:rsid w:val="004856CA"/>
    <w:rsid w:val="004874D2"/>
    <w:rsid w:val="0049705E"/>
    <w:rsid w:val="004A34A0"/>
    <w:rsid w:val="004A60DB"/>
    <w:rsid w:val="004A733A"/>
    <w:rsid w:val="004A7CAE"/>
    <w:rsid w:val="004F7DB3"/>
    <w:rsid w:val="0050316A"/>
    <w:rsid w:val="00513561"/>
    <w:rsid w:val="00514963"/>
    <w:rsid w:val="00520327"/>
    <w:rsid w:val="00526B7B"/>
    <w:rsid w:val="005308CE"/>
    <w:rsid w:val="00534748"/>
    <w:rsid w:val="00540FE0"/>
    <w:rsid w:val="0054691A"/>
    <w:rsid w:val="00567767"/>
    <w:rsid w:val="0057439C"/>
    <w:rsid w:val="005802B3"/>
    <w:rsid w:val="005B0127"/>
    <w:rsid w:val="005B5A6D"/>
    <w:rsid w:val="005B7A35"/>
    <w:rsid w:val="005C3BED"/>
    <w:rsid w:val="005C4B73"/>
    <w:rsid w:val="005D31BF"/>
    <w:rsid w:val="005E17AF"/>
    <w:rsid w:val="005E1D2B"/>
    <w:rsid w:val="005E337C"/>
    <w:rsid w:val="005E6FE6"/>
    <w:rsid w:val="00600D93"/>
    <w:rsid w:val="00610330"/>
    <w:rsid w:val="00620D46"/>
    <w:rsid w:val="0062778F"/>
    <w:rsid w:val="0063300C"/>
    <w:rsid w:val="00644B2E"/>
    <w:rsid w:val="00654049"/>
    <w:rsid w:val="00655736"/>
    <w:rsid w:val="00657DBA"/>
    <w:rsid w:val="00663B8D"/>
    <w:rsid w:val="00667BF9"/>
    <w:rsid w:val="00696C8D"/>
    <w:rsid w:val="006A2AC2"/>
    <w:rsid w:val="006A3617"/>
    <w:rsid w:val="006C19D8"/>
    <w:rsid w:val="006C46BF"/>
    <w:rsid w:val="006E4220"/>
    <w:rsid w:val="006E46E4"/>
    <w:rsid w:val="006F1415"/>
    <w:rsid w:val="006F144A"/>
    <w:rsid w:val="006F3AF2"/>
    <w:rsid w:val="006F41B4"/>
    <w:rsid w:val="00703FBF"/>
    <w:rsid w:val="0070559C"/>
    <w:rsid w:val="00717DA5"/>
    <w:rsid w:val="00725514"/>
    <w:rsid w:val="00744484"/>
    <w:rsid w:val="007540BF"/>
    <w:rsid w:val="00755954"/>
    <w:rsid w:val="00761DA4"/>
    <w:rsid w:val="00763A0D"/>
    <w:rsid w:val="00767894"/>
    <w:rsid w:val="00773188"/>
    <w:rsid w:val="00773B88"/>
    <w:rsid w:val="00775A27"/>
    <w:rsid w:val="00783782"/>
    <w:rsid w:val="00784B8C"/>
    <w:rsid w:val="007916C8"/>
    <w:rsid w:val="007D3F20"/>
    <w:rsid w:val="007F3A9A"/>
    <w:rsid w:val="007F6CA3"/>
    <w:rsid w:val="007F73FA"/>
    <w:rsid w:val="00810730"/>
    <w:rsid w:val="00823A11"/>
    <w:rsid w:val="0083070E"/>
    <w:rsid w:val="0084547F"/>
    <w:rsid w:val="008457C9"/>
    <w:rsid w:val="00846546"/>
    <w:rsid w:val="00852866"/>
    <w:rsid w:val="00853930"/>
    <w:rsid w:val="0085414A"/>
    <w:rsid w:val="0086269D"/>
    <w:rsid w:val="0086543A"/>
    <w:rsid w:val="008724E5"/>
    <w:rsid w:val="00872711"/>
    <w:rsid w:val="00872C38"/>
    <w:rsid w:val="00872F4F"/>
    <w:rsid w:val="00884390"/>
    <w:rsid w:val="00884A9D"/>
    <w:rsid w:val="0088512B"/>
    <w:rsid w:val="00892173"/>
    <w:rsid w:val="008948AA"/>
    <w:rsid w:val="00896D4E"/>
    <w:rsid w:val="008A1ED4"/>
    <w:rsid w:val="008A2B2D"/>
    <w:rsid w:val="008A4E1E"/>
    <w:rsid w:val="008A50FC"/>
    <w:rsid w:val="008B565B"/>
    <w:rsid w:val="008C296C"/>
    <w:rsid w:val="008D4305"/>
    <w:rsid w:val="00901242"/>
    <w:rsid w:val="00913FF0"/>
    <w:rsid w:val="009163A7"/>
    <w:rsid w:val="00936563"/>
    <w:rsid w:val="00937587"/>
    <w:rsid w:val="00946D0B"/>
    <w:rsid w:val="00952013"/>
    <w:rsid w:val="00971827"/>
    <w:rsid w:val="00986EE9"/>
    <w:rsid w:val="009A18CD"/>
    <w:rsid w:val="009B3730"/>
    <w:rsid w:val="009C12D4"/>
    <w:rsid w:val="009D01F8"/>
    <w:rsid w:val="009D7F06"/>
    <w:rsid w:val="00A12558"/>
    <w:rsid w:val="00A13903"/>
    <w:rsid w:val="00A20D4A"/>
    <w:rsid w:val="00A24AF2"/>
    <w:rsid w:val="00A34ED5"/>
    <w:rsid w:val="00A45DBF"/>
    <w:rsid w:val="00A46F39"/>
    <w:rsid w:val="00A61E0D"/>
    <w:rsid w:val="00A645DF"/>
    <w:rsid w:val="00A65C29"/>
    <w:rsid w:val="00A72C96"/>
    <w:rsid w:val="00A73396"/>
    <w:rsid w:val="00A746D4"/>
    <w:rsid w:val="00A755A2"/>
    <w:rsid w:val="00A97DA9"/>
    <w:rsid w:val="00AA6660"/>
    <w:rsid w:val="00AA7ABB"/>
    <w:rsid w:val="00AB2C36"/>
    <w:rsid w:val="00AB64EE"/>
    <w:rsid w:val="00AB70B6"/>
    <w:rsid w:val="00AC57C2"/>
    <w:rsid w:val="00AD1A86"/>
    <w:rsid w:val="00AE103E"/>
    <w:rsid w:val="00AE3DD5"/>
    <w:rsid w:val="00AF0A07"/>
    <w:rsid w:val="00AF4AEC"/>
    <w:rsid w:val="00AF625E"/>
    <w:rsid w:val="00AF7852"/>
    <w:rsid w:val="00B04684"/>
    <w:rsid w:val="00B06E1B"/>
    <w:rsid w:val="00B1281B"/>
    <w:rsid w:val="00B169AD"/>
    <w:rsid w:val="00B22651"/>
    <w:rsid w:val="00B25ECE"/>
    <w:rsid w:val="00B32F18"/>
    <w:rsid w:val="00B34594"/>
    <w:rsid w:val="00B3618C"/>
    <w:rsid w:val="00B361A4"/>
    <w:rsid w:val="00B4538D"/>
    <w:rsid w:val="00B52658"/>
    <w:rsid w:val="00B7133D"/>
    <w:rsid w:val="00B76414"/>
    <w:rsid w:val="00B8452E"/>
    <w:rsid w:val="00B96B09"/>
    <w:rsid w:val="00BA15F5"/>
    <w:rsid w:val="00BA45C8"/>
    <w:rsid w:val="00BB04AF"/>
    <w:rsid w:val="00BB0738"/>
    <w:rsid w:val="00BB575E"/>
    <w:rsid w:val="00BC0628"/>
    <w:rsid w:val="00BD52C9"/>
    <w:rsid w:val="00BE6354"/>
    <w:rsid w:val="00C15009"/>
    <w:rsid w:val="00C2397A"/>
    <w:rsid w:val="00C23A97"/>
    <w:rsid w:val="00C40C77"/>
    <w:rsid w:val="00C42C66"/>
    <w:rsid w:val="00C540C5"/>
    <w:rsid w:val="00C57221"/>
    <w:rsid w:val="00C65E69"/>
    <w:rsid w:val="00C670C5"/>
    <w:rsid w:val="00C70EA7"/>
    <w:rsid w:val="00C726D8"/>
    <w:rsid w:val="00C727AB"/>
    <w:rsid w:val="00C7516E"/>
    <w:rsid w:val="00C75770"/>
    <w:rsid w:val="00CA212E"/>
    <w:rsid w:val="00CA52E5"/>
    <w:rsid w:val="00CA5B5B"/>
    <w:rsid w:val="00CB0C33"/>
    <w:rsid w:val="00D0026B"/>
    <w:rsid w:val="00D00B2B"/>
    <w:rsid w:val="00D04662"/>
    <w:rsid w:val="00D24877"/>
    <w:rsid w:val="00D266A5"/>
    <w:rsid w:val="00D53EAD"/>
    <w:rsid w:val="00D576EF"/>
    <w:rsid w:val="00D579BE"/>
    <w:rsid w:val="00D63B58"/>
    <w:rsid w:val="00D80D6A"/>
    <w:rsid w:val="00D8307B"/>
    <w:rsid w:val="00D95C4C"/>
    <w:rsid w:val="00DA36ED"/>
    <w:rsid w:val="00DB00AC"/>
    <w:rsid w:val="00DC112A"/>
    <w:rsid w:val="00DC237A"/>
    <w:rsid w:val="00DC4D4A"/>
    <w:rsid w:val="00DC645B"/>
    <w:rsid w:val="00DE34F1"/>
    <w:rsid w:val="00DF4942"/>
    <w:rsid w:val="00E125E1"/>
    <w:rsid w:val="00E14164"/>
    <w:rsid w:val="00E14D29"/>
    <w:rsid w:val="00E34409"/>
    <w:rsid w:val="00E46C01"/>
    <w:rsid w:val="00E50AD4"/>
    <w:rsid w:val="00E627B1"/>
    <w:rsid w:val="00E776EE"/>
    <w:rsid w:val="00E9376C"/>
    <w:rsid w:val="00E93ACB"/>
    <w:rsid w:val="00E94283"/>
    <w:rsid w:val="00EA335E"/>
    <w:rsid w:val="00EA528C"/>
    <w:rsid w:val="00EA6E3E"/>
    <w:rsid w:val="00EA76CB"/>
    <w:rsid w:val="00EC31AF"/>
    <w:rsid w:val="00EC6A69"/>
    <w:rsid w:val="00EE4711"/>
    <w:rsid w:val="00EF19A6"/>
    <w:rsid w:val="00EF34E2"/>
    <w:rsid w:val="00EF4F1F"/>
    <w:rsid w:val="00EF69E3"/>
    <w:rsid w:val="00F010E0"/>
    <w:rsid w:val="00F14A7B"/>
    <w:rsid w:val="00F22EC0"/>
    <w:rsid w:val="00F338B7"/>
    <w:rsid w:val="00F53DE9"/>
    <w:rsid w:val="00F576CB"/>
    <w:rsid w:val="00F6623E"/>
    <w:rsid w:val="00F71A02"/>
    <w:rsid w:val="00F86000"/>
    <w:rsid w:val="00FB6630"/>
    <w:rsid w:val="00FD1226"/>
    <w:rsid w:val="00FF2F8D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2CDD75"/>
  <w15:docId w15:val="{1ADCE6E9-4DAA-4319-90BC-A20DF4F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183839"/>
    <w:rPr>
      <w:color w:val="0000FF"/>
      <w:u w:val="single"/>
    </w:rPr>
  </w:style>
  <w:style w:type="paragraph" w:customStyle="1" w:styleId="COMPara">
    <w:name w:val="COM Para"/>
    <w:qFormat/>
    <w:rsid w:val="00183839"/>
    <w:pPr>
      <w:spacing w:after="120"/>
      <w:ind w:left="567" w:hanging="567"/>
      <w:jc w:val="both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183839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183839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838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839"/>
    <w:rPr>
      <w:rFonts w:ascii="Times New Roman" w:eastAsia="Times New Roman" w:hAnsi="Times New Roman"/>
      <w:lang w:val="ru-RU" w:eastAsia="fr-FR"/>
    </w:rPr>
  </w:style>
  <w:style w:type="character" w:styleId="FootnoteReference">
    <w:name w:val="footnote reference"/>
    <w:basedOn w:val="DefaultParagraphFont"/>
    <w:uiPriority w:val="99"/>
    <w:unhideWhenUsed/>
    <w:rsid w:val="0018383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383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C6A69"/>
    <w:pPr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63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10730"/>
    <w:rPr>
      <w:lang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ITH-16-11.COM-15-EN.docx" TargetMode="External"/><Relationship Id="rId13" Type="http://schemas.openxmlformats.org/officeDocument/2006/relationships/hyperlink" Target="https://ich.unesco.org/en/Decisions/13.COM/11" TargetMode="External"/><Relationship Id="rId18" Type="http://schemas.openxmlformats.org/officeDocument/2006/relationships/hyperlink" Target="https://ich.unesco.org/en/Decisions/14.COM/13" TargetMode="External"/><Relationship Id="rId26" Type="http://schemas.openxmlformats.org/officeDocument/2006/relationships/hyperlink" Target="https://ich.unesco.org/doc/src/ICH-Operational_Directives-7.GA-PDF-E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ich.unesco.org/en/guidance-note-on-inventorying-009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ch.unesco.org/doc/src/ITH-18-13.COM-11-EN.docx" TargetMode="External"/><Relationship Id="rId17" Type="http://schemas.openxmlformats.org/officeDocument/2006/relationships/hyperlink" Target="https://ich.unesco.org/doc/src/LHE-19-14.COM-13_REV-EN.docx" TargetMode="External"/><Relationship Id="rId25" Type="http://schemas.openxmlformats.org/officeDocument/2006/relationships/hyperlink" Target="https://unesdoc.unesco.org/ark:/48223/pf0000259805?posInSet=2&amp;queryId=df3a8b4d-303b-4a77-a734-dbb85f794eb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h.unesco.org/doc/src/LHE-19-14.COM-INF.13-EN.docx" TargetMode="External"/><Relationship Id="rId20" Type="http://schemas.openxmlformats.org/officeDocument/2006/relationships/hyperlink" Target="https://unesdoc.unesco.org/ark:/48223/pf0000259805?posInSet=2&amp;queryId=df3a8b4d-303b-4a77-a734-dbb85f794eb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2.COM/15" TargetMode="External"/><Relationship Id="rId24" Type="http://schemas.openxmlformats.org/officeDocument/2006/relationships/hyperlink" Target="https://unesdoc.unesco.org/ark:/48223/pf0000235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doc/src/46083-EN.pdf" TargetMode="External"/><Relationship Id="rId23" Type="http://schemas.openxmlformats.org/officeDocument/2006/relationships/hyperlink" Target="https://ich.unesco.org/en/Decisions/14.COM/13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ch.unesco.org/doc/src/ITH-17-12.COM-15-EN.docx" TargetMode="External"/><Relationship Id="rId19" Type="http://schemas.openxmlformats.org/officeDocument/2006/relationships/hyperlink" Target="https://unesdoc.unesco.org/ark:/48223/pf000023518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Decisions/11.COM/15" TargetMode="External"/><Relationship Id="rId14" Type="http://schemas.openxmlformats.org/officeDocument/2006/relationships/hyperlink" Target="https://ich.unesco.org/doc/src/LHE-19-EXP-2-EN.docx" TargetMode="External"/><Relationship Id="rId22" Type="http://schemas.openxmlformats.org/officeDocument/2006/relationships/hyperlink" Target="https://ich.unesco.org/en/Decisions/14.COM/13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esdoc.unesco.org/ark:/48223/pf0000235186" TargetMode="External"/><Relationship Id="rId2" Type="http://schemas.openxmlformats.org/officeDocument/2006/relationships/hyperlink" Target="https://unesdoc.unesco.org/ark:/48223/pf0000259805" TargetMode="External"/><Relationship Id="rId1" Type="http://schemas.openxmlformats.org/officeDocument/2006/relationships/hyperlink" Target="https://unesdoc.unesco.org/ark:/48223/pf0000235186" TargetMode="External"/><Relationship Id="rId4" Type="http://schemas.openxmlformats.org/officeDocument/2006/relationships/hyperlink" Target="https://unesdoc.unesco.org/ark:/48223/pf000025980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6A29-8F78-42C5-9A36-5AACB2D6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129</TotalTime>
  <Pages>10</Pages>
  <Words>4514</Words>
  <Characters>25735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dc:description/>
  <cp:lastModifiedBy>Thibault, Alice</cp:lastModifiedBy>
  <cp:revision>16</cp:revision>
  <cp:lastPrinted>2020-07-24T17:43:00Z</cp:lastPrinted>
  <dcterms:created xsi:type="dcterms:W3CDTF">2020-07-24T15:30:00Z</dcterms:created>
  <dcterms:modified xsi:type="dcterms:W3CDTF">2020-08-06T16:21:00Z</dcterms:modified>
</cp:coreProperties>
</file>