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ECC1" w14:textId="5449DE3F" w:rsidR="002938F2" w:rsidRPr="00B81A4F" w:rsidRDefault="002938F2" w:rsidP="00AE1B18">
      <w:pPr>
        <w:spacing w:before="1440"/>
        <w:jc w:val="center"/>
        <w:rPr>
          <w:rFonts w:ascii="Arial" w:hAnsi="Arial" w:cs="Arial"/>
          <w:b/>
          <w:szCs w:val="22"/>
        </w:rPr>
      </w:pPr>
      <w:r w:rsidRPr="00B81A4F">
        <w:rPr>
          <w:rFonts w:ascii="Arial" w:hAnsi="Arial" w:cs="Arial"/>
          <w:b/>
          <w:szCs w:val="22"/>
        </w:rPr>
        <w:t>保护非物质文化遗产公约</w:t>
      </w:r>
    </w:p>
    <w:p w14:paraId="2B796F12" w14:textId="4193165C" w:rsidR="002938F2" w:rsidRPr="00B81A4F" w:rsidRDefault="00B81A4F" w:rsidP="00AE1B18">
      <w:pPr>
        <w:spacing w:before="1200"/>
        <w:jc w:val="center"/>
        <w:rPr>
          <w:rFonts w:ascii="Arial" w:hAnsi="Arial" w:cs="Arial"/>
          <w:b/>
          <w:szCs w:val="22"/>
        </w:rPr>
      </w:pPr>
      <w:r w:rsidRPr="00B81A4F">
        <w:rPr>
          <w:rFonts w:ascii="Arial" w:hAnsi="Arial" w:cs="Arial"/>
          <w:b/>
          <w:szCs w:val="22"/>
        </w:rPr>
        <w:t>《保护非物质文化遗产公约》</w:t>
      </w:r>
      <w:r w:rsidR="00E439CA" w:rsidRPr="00B81A4F">
        <w:rPr>
          <w:rFonts w:ascii="Arial" w:hAnsi="Arial" w:cs="Arial"/>
          <w:b/>
          <w:szCs w:val="22"/>
        </w:rPr>
        <w:t>缔约国大会</w:t>
      </w:r>
    </w:p>
    <w:p w14:paraId="6CA6DFE6" w14:textId="77777777" w:rsidR="00E439CA" w:rsidRPr="00B81A4F" w:rsidRDefault="00816FFB" w:rsidP="002D396D">
      <w:pPr>
        <w:spacing w:before="840" w:after="0"/>
        <w:jc w:val="center"/>
        <w:rPr>
          <w:rFonts w:ascii="Arial" w:hAnsi="Arial" w:cs="Arial"/>
          <w:b/>
          <w:szCs w:val="22"/>
        </w:rPr>
      </w:pPr>
      <w:r w:rsidRPr="00B81A4F">
        <w:rPr>
          <w:rFonts w:ascii="Arial" w:hAnsi="Arial" w:cs="Arial"/>
          <w:b/>
          <w:szCs w:val="22"/>
        </w:rPr>
        <w:t>第八次会议</w:t>
      </w:r>
    </w:p>
    <w:p w14:paraId="58E87D01" w14:textId="2E92E3EE" w:rsidR="00E439CA" w:rsidRPr="00B81A4F" w:rsidRDefault="00E439CA" w:rsidP="002D396D">
      <w:pPr>
        <w:spacing w:after="0"/>
        <w:jc w:val="center"/>
        <w:rPr>
          <w:rFonts w:ascii="Arial" w:hAnsi="Arial" w:cs="Arial"/>
          <w:b/>
          <w:szCs w:val="22"/>
        </w:rPr>
      </w:pPr>
      <w:r w:rsidRPr="00B81A4F">
        <w:rPr>
          <w:rFonts w:ascii="Arial" w:hAnsi="Arial" w:cs="Arial"/>
          <w:b/>
          <w:szCs w:val="22"/>
        </w:rPr>
        <w:t>联合国教科文组织总部</w:t>
      </w:r>
      <w:r w:rsidR="003D20CA" w:rsidRPr="00B81A4F">
        <w:rPr>
          <w:rFonts w:ascii="Arial" w:hAnsi="Arial" w:cs="Arial"/>
          <w:b/>
          <w:szCs w:val="22"/>
        </w:rPr>
        <w:t>，</w:t>
      </w:r>
      <w:r w:rsidR="003D20CA" w:rsidRPr="00B81A4F">
        <w:rPr>
          <w:rFonts w:ascii="Arial" w:hAnsi="Arial" w:cs="Arial"/>
          <w:b/>
          <w:szCs w:val="22"/>
        </w:rPr>
        <w:t xml:space="preserve"> </w:t>
      </w:r>
      <w:r w:rsidR="00B81A4F" w:rsidRPr="00B81A4F">
        <w:rPr>
          <w:rFonts w:ascii="Arial" w:hAnsi="Arial" w:cs="Arial"/>
          <w:b/>
          <w:szCs w:val="22"/>
        </w:rPr>
        <w:t>一</w:t>
      </w:r>
      <w:r w:rsidR="003D20CA" w:rsidRPr="00B81A4F">
        <w:rPr>
          <w:rFonts w:ascii="Arial" w:hAnsi="Arial" w:cs="Arial"/>
          <w:b/>
          <w:szCs w:val="22"/>
        </w:rPr>
        <w:t>号会议厅</w:t>
      </w:r>
    </w:p>
    <w:p w14:paraId="6A107257" w14:textId="77777777" w:rsidR="002938F2" w:rsidRPr="00B81A4F" w:rsidRDefault="00E54911" w:rsidP="002D396D">
      <w:pPr>
        <w:spacing w:after="0"/>
        <w:jc w:val="center"/>
        <w:rPr>
          <w:rFonts w:ascii="Arial" w:hAnsi="Arial" w:cs="Arial"/>
          <w:b/>
          <w:szCs w:val="22"/>
        </w:rPr>
      </w:pPr>
      <w:r w:rsidRPr="00B81A4F">
        <w:rPr>
          <w:rFonts w:ascii="Arial" w:hAnsi="Arial" w:cs="Arial"/>
          <w:b/>
          <w:szCs w:val="22"/>
        </w:rPr>
        <w:t>2020</w:t>
      </w:r>
      <w:r w:rsidRPr="00B81A4F">
        <w:rPr>
          <w:rFonts w:ascii="Arial" w:hAnsi="Arial" w:cs="Arial"/>
          <w:b/>
          <w:szCs w:val="22"/>
        </w:rPr>
        <w:t>年</w:t>
      </w:r>
      <w:r w:rsidRPr="00B81A4F">
        <w:rPr>
          <w:rFonts w:ascii="Arial" w:hAnsi="Arial" w:cs="Arial"/>
          <w:b/>
          <w:szCs w:val="22"/>
        </w:rPr>
        <w:t>9</w:t>
      </w:r>
      <w:r w:rsidRPr="00B81A4F">
        <w:rPr>
          <w:rFonts w:ascii="Arial" w:hAnsi="Arial" w:cs="Arial"/>
          <w:b/>
          <w:szCs w:val="22"/>
        </w:rPr>
        <w:t>月</w:t>
      </w:r>
      <w:r w:rsidRPr="00B81A4F">
        <w:rPr>
          <w:rFonts w:ascii="Arial" w:hAnsi="Arial" w:cs="Arial"/>
          <w:b/>
          <w:szCs w:val="22"/>
        </w:rPr>
        <w:t>8</w:t>
      </w:r>
      <w:r w:rsidRPr="00B81A4F">
        <w:rPr>
          <w:rFonts w:ascii="Arial" w:hAnsi="Arial" w:cs="Arial"/>
          <w:b/>
          <w:szCs w:val="22"/>
        </w:rPr>
        <w:t>日至</w:t>
      </w:r>
      <w:r w:rsidRPr="00B81A4F">
        <w:rPr>
          <w:rFonts w:ascii="Arial" w:hAnsi="Arial" w:cs="Arial"/>
          <w:b/>
          <w:szCs w:val="22"/>
        </w:rPr>
        <w:t>10</w:t>
      </w:r>
      <w:r w:rsidRPr="00B81A4F">
        <w:rPr>
          <w:rFonts w:ascii="Arial" w:hAnsi="Arial" w:cs="Arial"/>
          <w:b/>
          <w:szCs w:val="22"/>
        </w:rPr>
        <w:t>日</w:t>
      </w:r>
    </w:p>
    <w:p w14:paraId="13FF71CA" w14:textId="38AA8B74" w:rsidR="003C4701" w:rsidRPr="00B81A4F" w:rsidRDefault="003C4701" w:rsidP="003C4701">
      <w:pPr>
        <w:pStyle w:val="Sansinterligne2"/>
        <w:spacing w:before="1200"/>
        <w:jc w:val="center"/>
        <w:rPr>
          <w:rFonts w:ascii="Arial" w:hAnsi="Arial" w:cs="Arial"/>
          <w:b/>
          <w:sz w:val="22"/>
          <w:szCs w:val="22"/>
          <w:u w:val="single"/>
          <w:lang w:val="en-GB"/>
        </w:rPr>
      </w:pPr>
      <w:r w:rsidRPr="00B81A4F">
        <w:rPr>
          <w:rFonts w:ascii="Arial" w:hAnsi="Arial" w:cs="Arial"/>
          <w:b/>
          <w:sz w:val="22"/>
          <w:szCs w:val="22"/>
          <w:u w:val="single"/>
        </w:rPr>
        <w:t>临时议程项目</w:t>
      </w:r>
      <w:r w:rsidR="003D20CA" w:rsidRPr="00B81A4F">
        <w:rPr>
          <w:rFonts w:ascii="Arial" w:hAnsi="Arial" w:cs="Arial"/>
          <w:b/>
          <w:sz w:val="22"/>
          <w:szCs w:val="22"/>
          <w:u w:val="single"/>
          <w:lang w:val="en-GB"/>
        </w:rPr>
        <w:t>8</w:t>
      </w:r>
      <w:r w:rsidRPr="00B81A4F">
        <w:rPr>
          <w:rFonts w:ascii="Arial" w:hAnsi="Arial" w:cs="Arial"/>
          <w:b/>
          <w:sz w:val="22"/>
          <w:szCs w:val="22"/>
          <w:u w:val="single"/>
          <w:lang w:val="en-GB"/>
        </w:rPr>
        <w:t>：</w:t>
      </w:r>
    </w:p>
    <w:p w14:paraId="299A05BA" w14:textId="77777777" w:rsidR="00157AB2" w:rsidRDefault="00157AB2" w:rsidP="00157AB2">
      <w:pPr>
        <w:ind w:left="1134"/>
        <w:jc w:val="center"/>
        <w:rPr>
          <w:rFonts w:ascii="Arial" w:hAnsi="Arial" w:cs="Arial"/>
          <w:szCs w:val="22"/>
        </w:rPr>
      </w:pPr>
    </w:p>
    <w:p w14:paraId="17922E0E" w14:textId="66822388" w:rsidR="00157AB2" w:rsidRPr="00157AB2" w:rsidRDefault="00157AB2" w:rsidP="00157AB2">
      <w:pPr>
        <w:ind w:left="1134"/>
        <w:jc w:val="center"/>
        <w:rPr>
          <w:rFonts w:ascii="Arial" w:hAnsi="Arial" w:cs="Arial"/>
          <w:b/>
          <w:bCs/>
          <w:szCs w:val="22"/>
        </w:rPr>
      </w:pPr>
      <w:r w:rsidRPr="00157AB2">
        <w:rPr>
          <w:rFonts w:ascii="Arial" w:hAnsi="Arial" w:cs="Arial"/>
          <w:b/>
          <w:bCs/>
          <w:szCs w:val="22"/>
        </w:rPr>
        <w:t>为编制新的《</w:t>
      </w:r>
      <w:r w:rsidRPr="00157AB2">
        <w:rPr>
          <w:rFonts w:ascii="Arial" w:hAnsi="Arial" w:cs="Arial"/>
          <w:b/>
          <w:bCs/>
          <w:szCs w:val="22"/>
        </w:rPr>
        <w:t>2022-2029</w:t>
      </w:r>
      <w:r w:rsidRPr="00157AB2">
        <w:rPr>
          <w:rFonts w:ascii="Arial" w:hAnsi="Arial" w:cs="Arial"/>
          <w:b/>
          <w:bCs/>
          <w:szCs w:val="22"/>
        </w:rPr>
        <w:t>年中期战略》（</w:t>
      </w:r>
      <w:r w:rsidRPr="00157AB2">
        <w:rPr>
          <w:rFonts w:ascii="Arial" w:hAnsi="Arial" w:cs="Arial"/>
          <w:b/>
          <w:bCs/>
          <w:szCs w:val="22"/>
        </w:rPr>
        <w:t>41 C/4</w:t>
      </w:r>
      <w:r w:rsidRPr="00157AB2">
        <w:rPr>
          <w:rFonts w:ascii="Arial" w:hAnsi="Arial" w:cs="Arial"/>
          <w:b/>
          <w:bCs/>
          <w:szCs w:val="22"/>
        </w:rPr>
        <w:t>）和《</w:t>
      </w:r>
      <w:r w:rsidRPr="00157AB2">
        <w:rPr>
          <w:rFonts w:ascii="Arial" w:hAnsi="Arial" w:cs="Arial"/>
          <w:b/>
          <w:bCs/>
          <w:szCs w:val="22"/>
        </w:rPr>
        <w:t>2022-2025</w:t>
      </w:r>
      <w:r w:rsidRPr="00157AB2">
        <w:rPr>
          <w:rFonts w:ascii="Arial" w:hAnsi="Arial" w:cs="Arial"/>
          <w:b/>
          <w:bCs/>
          <w:szCs w:val="22"/>
        </w:rPr>
        <w:t>年计划与预算草案》（</w:t>
      </w:r>
      <w:r w:rsidRPr="00157AB2">
        <w:rPr>
          <w:rFonts w:ascii="Arial" w:hAnsi="Arial" w:cs="Arial"/>
          <w:b/>
          <w:bCs/>
          <w:szCs w:val="22"/>
        </w:rPr>
        <w:t>41 C/5</w:t>
      </w:r>
      <w:r w:rsidRPr="00157AB2">
        <w:rPr>
          <w:rFonts w:ascii="Arial" w:hAnsi="Arial" w:cs="Arial"/>
          <w:b/>
          <w:bCs/>
          <w:szCs w:val="22"/>
        </w:rPr>
        <w:t>）而做出的贡献</w:t>
      </w:r>
    </w:p>
    <w:p w14:paraId="4EE29BDC" w14:textId="77777777" w:rsidR="00157AB2" w:rsidRPr="00674BF2" w:rsidRDefault="00157AB2" w:rsidP="00157AB2">
      <w:pPr>
        <w:ind w:left="1134"/>
        <w:rPr>
          <w:rFonts w:ascii="Arial" w:hAnsi="Arial" w:cs="Arial"/>
          <w:szCs w:val="22"/>
        </w:rPr>
      </w:pP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134AD2" w:rsidRPr="005111C2" w14:paraId="79C6A1A9" w14:textId="77777777" w:rsidTr="000F4457">
        <w:trPr>
          <w:jc w:val="center"/>
        </w:trPr>
        <w:tc>
          <w:tcPr>
            <w:tcW w:w="5669" w:type="dxa"/>
          </w:tcPr>
          <w:p w14:paraId="1B34C12C" w14:textId="672157FA" w:rsidR="00134AD2" w:rsidRPr="005111C2" w:rsidRDefault="003B7FEC" w:rsidP="000F4457">
            <w:pPr>
              <w:pStyle w:val="Sansinterligne"/>
              <w:spacing w:before="200" w:after="200"/>
              <w:ind w:left="284" w:right="284"/>
              <w:jc w:val="center"/>
              <w:rPr>
                <w:rFonts w:ascii="Arial" w:hAnsi="Arial" w:cs="Arial"/>
                <w:b/>
                <w:sz w:val="22"/>
                <w:szCs w:val="22"/>
                <w:lang w:val="en-GB"/>
              </w:rPr>
            </w:pPr>
            <w:r>
              <w:rPr>
                <w:rFonts w:ascii="Arial" w:hAnsi="Arial" w:cs="Arial" w:hint="eastAsia"/>
                <w:b/>
                <w:sz w:val="22"/>
                <w:szCs w:val="22"/>
                <w:lang w:val="en-GB"/>
              </w:rPr>
              <w:t>概述</w:t>
            </w:r>
          </w:p>
          <w:p w14:paraId="5071E7B3" w14:textId="77777777" w:rsidR="005111C2" w:rsidRPr="00B81A4F" w:rsidRDefault="005111C2" w:rsidP="005111C2">
            <w:pPr>
              <w:pStyle w:val="Pranumrotrecommenc1"/>
              <w:tabs>
                <w:tab w:val="clear" w:pos="360"/>
              </w:tabs>
              <w:spacing w:before="200" w:after="200"/>
              <w:ind w:left="0" w:firstLine="0"/>
              <w:jc w:val="both"/>
              <w:rPr>
                <w:rFonts w:cs="Arial"/>
                <w:sz w:val="22"/>
                <w:szCs w:val="22"/>
              </w:rPr>
            </w:pPr>
            <w:r w:rsidRPr="005111C2">
              <w:rPr>
                <w:rFonts w:cs="Arial"/>
                <w:sz w:val="22"/>
                <w:szCs w:val="22"/>
                <w:lang w:val="en-GB"/>
              </w:rPr>
              <w:t>2003</w:t>
            </w:r>
            <w:r w:rsidRPr="00B81A4F">
              <w:rPr>
                <w:rFonts w:cs="Arial"/>
                <w:sz w:val="22"/>
                <w:szCs w:val="22"/>
              </w:rPr>
              <w:t>年《公约》缔约国于</w:t>
            </w:r>
            <w:r w:rsidRPr="005111C2">
              <w:rPr>
                <w:rFonts w:cs="Arial"/>
                <w:sz w:val="22"/>
                <w:szCs w:val="22"/>
                <w:lang w:val="en-GB"/>
              </w:rPr>
              <w:t>2020</w:t>
            </w:r>
            <w:r w:rsidRPr="00B81A4F">
              <w:rPr>
                <w:rFonts w:cs="Arial"/>
                <w:sz w:val="22"/>
                <w:szCs w:val="22"/>
              </w:rPr>
              <w:t>年</w:t>
            </w:r>
            <w:r w:rsidRPr="005111C2">
              <w:rPr>
                <w:rFonts w:cs="Arial"/>
                <w:sz w:val="22"/>
                <w:szCs w:val="22"/>
                <w:lang w:val="en-GB"/>
              </w:rPr>
              <w:t>5</w:t>
            </w:r>
            <w:r w:rsidRPr="00B81A4F">
              <w:rPr>
                <w:rFonts w:cs="Arial"/>
                <w:sz w:val="22"/>
                <w:szCs w:val="22"/>
              </w:rPr>
              <w:t>月参加了一场电子磋商会</w:t>
            </w:r>
            <w:r w:rsidRPr="005111C2">
              <w:rPr>
                <w:rFonts w:cs="Arial"/>
                <w:sz w:val="22"/>
                <w:szCs w:val="22"/>
                <w:lang w:val="en-GB"/>
              </w:rPr>
              <w:t>，</w:t>
            </w:r>
            <w:r w:rsidRPr="00B81A4F">
              <w:rPr>
                <w:rFonts w:cs="Arial"/>
                <w:sz w:val="22"/>
                <w:szCs w:val="22"/>
              </w:rPr>
              <w:t>来帮助制作</w:t>
            </w:r>
            <w:r w:rsidRPr="005111C2">
              <w:rPr>
                <w:rFonts w:cs="Arial"/>
                <w:bCs/>
                <w:sz w:val="22"/>
                <w:szCs w:val="22"/>
                <w:lang w:val="en-GB"/>
              </w:rPr>
              <w:t>2022-2029</w:t>
            </w:r>
            <w:r w:rsidRPr="00B81A4F">
              <w:rPr>
                <w:rFonts w:cs="Arial"/>
                <w:bCs/>
                <w:sz w:val="22"/>
                <w:szCs w:val="22"/>
              </w:rPr>
              <w:t>年中期战略草案</w:t>
            </w:r>
            <w:r w:rsidRPr="005111C2">
              <w:rPr>
                <w:rFonts w:cs="Arial"/>
                <w:bCs/>
                <w:sz w:val="22"/>
                <w:szCs w:val="22"/>
                <w:lang w:val="en-GB"/>
              </w:rPr>
              <w:t>（</w:t>
            </w:r>
            <w:r w:rsidRPr="00B81A4F">
              <w:rPr>
                <w:rFonts w:cs="Arial"/>
                <w:bCs/>
                <w:sz w:val="22"/>
                <w:szCs w:val="22"/>
              </w:rPr>
              <w:t>第</w:t>
            </w:r>
            <w:r w:rsidRPr="005111C2">
              <w:rPr>
                <w:rFonts w:cs="Arial"/>
                <w:bCs/>
                <w:sz w:val="22"/>
                <w:szCs w:val="22"/>
                <w:lang w:val="en-GB"/>
              </w:rPr>
              <w:t>41 C/4</w:t>
            </w:r>
            <w:r w:rsidRPr="00B81A4F">
              <w:rPr>
                <w:rFonts w:cs="Arial"/>
                <w:bCs/>
                <w:sz w:val="22"/>
                <w:szCs w:val="22"/>
              </w:rPr>
              <w:t>号文件</w:t>
            </w:r>
            <w:r w:rsidRPr="005111C2">
              <w:rPr>
                <w:rFonts w:cs="Arial"/>
                <w:bCs/>
                <w:sz w:val="22"/>
                <w:szCs w:val="22"/>
                <w:lang w:val="en-GB"/>
              </w:rPr>
              <w:t>）</w:t>
            </w:r>
            <w:r w:rsidRPr="00B81A4F">
              <w:rPr>
                <w:rFonts w:cs="Arial"/>
                <w:bCs/>
                <w:sz w:val="22"/>
                <w:szCs w:val="22"/>
              </w:rPr>
              <w:t>以及</w:t>
            </w:r>
            <w:r w:rsidRPr="005111C2">
              <w:rPr>
                <w:rFonts w:cs="Arial"/>
                <w:bCs/>
                <w:sz w:val="22"/>
                <w:szCs w:val="22"/>
                <w:lang w:val="en-GB"/>
              </w:rPr>
              <w:t>2022-2025</w:t>
            </w:r>
            <w:r w:rsidRPr="00B81A4F">
              <w:rPr>
                <w:rFonts w:cs="Arial"/>
                <w:bCs/>
                <w:sz w:val="22"/>
                <w:szCs w:val="22"/>
              </w:rPr>
              <w:t>年项目和预算草案</w:t>
            </w:r>
            <w:r w:rsidRPr="005111C2">
              <w:rPr>
                <w:rFonts w:cs="Arial"/>
                <w:bCs/>
                <w:sz w:val="22"/>
                <w:szCs w:val="22"/>
                <w:lang w:val="en-GB"/>
              </w:rPr>
              <w:t>（</w:t>
            </w:r>
            <w:r w:rsidRPr="00B81A4F">
              <w:rPr>
                <w:rFonts w:cs="Arial"/>
                <w:bCs/>
                <w:sz w:val="22"/>
                <w:szCs w:val="22"/>
              </w:rPr>
              <w:t>第</w:t>
            </w:r>
            <w:r w:rsidRPr="005111C2">
              <w:rPr>
                <w:rFonts w:cs="Arial"/>
                <w:bCs/>
                <w:sz w:val="22"/>
                <w:szCs w:val="22"/>
                <w:lang w:val="en-GB"/>
              </w:rPr>
              <w:t>41 C/5</w:t>
            </w:r>
            <w:r w:rsidRPr="00B81A4F">
              <w:rPr>
                <w:rFonts w:cs="Arial"/>
                <w:bCs/>
                <w:sz w:val="22"/>
                <w:szCs w:val="22"/>
              </w:rPr>
              <w:t>号文件</w:t>
            </w:r>
            <w:r w:rsidRPr="005111C2">
              <w:rPr>
                <w:rFonts w:cs="Arial"/>
                <w:bCs/>
                <w:sz w:val="22"/>
                <w:szCs w:val="22"/>
                <w:lang w:val="en-GB"/>
              </w:rPr>
              <w:t>）</w:t>
            </w:r>
            <w:r w:rsidRPr="00B81A4F">
              <w:rPr>
                <w:rFonts w:cs="Arial"/>
                <w:bCs/>
                <w:sz w:val="22"/>
                <w:szCs w:val="22"/>
              </w:rPr>
              <w:t>。此次磋商会是应教科文组织大会</w:t>
            </w:r>
            <w:r w:rsidRPr="00B81A4F">
              <w:rPr>
                <w:rFonts w:cs="Arial"/>
                <w:sz w:val="22"/>
                <w:szCs w:val="22"/>
              </w:rPr>
              <w:t>第三十九届会议的邀请而组织的（</w:t>
            </w:r>
            <w:hyperlink r:id="rId8" w:history="1">
              <w:r w:rsidRPr="00B81A4F">
                <w:rPr>
                  <w:rStyle w:val="Lienhypertexte"/>
                  <w:rFonts w:cs="Arial"/>
                  <w:sz w:val="22"/>
                  <w:szCs w:val="22"/>
                </w:rPr>
                <w:t>第</w:t>
              </w:r>
              <w:r w:rsidRPr="00B81A4F">
                <w:rPr>
                  <w:rStyle w:val="Lienhypertexte"/>
                  <w:rFonts w:cs="Arial"/>
                  <w:sz w:val="22"/>
                  <w:szCs w:val="22"/>
                </w:rPr>
                <w:t>39 C/87</w:t>
              </w:r>
              <w:r w:rsidRPr="00B81A4F">
                <w:rPr>
                  <w:rStyle w:val="Lienhypertexte"/>
                  <w:rFonts w:cs="Arial"/>
                  <w:sz w:val="22"/>
                  <w:szCs w:val="22"/>
                </w:rPr>
                <w:t>号决议</w:t>
              </w:r>
            </w:hyperlink>
            <w:r w:rsidRPr="00B81A4F">
              <w:rPr>
                <w:rFonts w:cs="Arial"/>
                <w:sz w:val="22"/>
                <w:szCs w:val="22"/>
              </w:rPr>
              <w:t>）。本文件提供了与磋商会结果有关的信息。</w:t>
            </w:r>
          </w:p>
          <w:p w14:paraId="3F7EAD2E" w14:textId="3CD292EC" w:rsidR="00134AD2" w:rsidRPr="005111C2" w:rsidRDefault="005111C2" w:rsidP="005111C2">
            <w:pPr>
              <w:pStyle w:val="Pranumrotrecommenc1"/>
              <w:tabs>
                <w:tab w:val="clear" w:pos="360"/>
              </w:tabs>
              <w:spacing w:before="200" w:after="200"/>
              <w:ind w:left="0" w:firstLine="0"/>
              <w:jc w:val="both"/>
              <w:rPr>
                <w:rFonts w:cs="Arial"/>
                <w:sz w:val="22"/>
                <w:szCs w:val="22"/>
              </w:rPr>
            </w:pPr>
            <w:r w:rsidRPr="00B81A4F">
              <w:rPr>
                <w:rFonts w:cs="Arial"/>
                <w:b/>
                <w:sz w:val="22"/>
                <w:szCs w:val="22"/>
              </w:rPr>
              <w:t>需要做出的决定：</w:t>
            </w:r>
            <w:r w:rsidRPr="00B81A4F">
              <w:rPr>
                <w:rFonts w:cs="Arial"/>
                <w:bCs/>
                <w:sz w:val="22"/>
                <w:szCs w:val="22"/>
              </w:rPr>
              <w:t>第</w:t>
            </w:r>
            <w:r w:rsidRPr="00B81A4F">
              <w:rPr>
                <w:rFonts w:cs="Arial"/>
                <w:bCs/>
                <w:sz w:val="22"/>
                <w:szCs w:val="22"/>
              </w:rPr>
              <w:t>17</w:t>
            </w:r>
            <w:r w:rsidRPr="00B81A4F">
              <w:rPr>
                <w:rFonts w:cs="Arial"/>
                <w:bCs/>
                <w:sz w:val="22"/>
                <w:szCs w:val="22"/>
              </w:rPr>
              <w:t>段</w:t>
            </w:r>
          </w:p>
        </w:tc>
      </w:tr>
    </w:tbl>
    <w:p w14:paraId="0AF97AE6" w14:textId="77777777" w:rsidR="009A1672" w:rsidRPr="005111C2" w:rsidRDefault="009A1672">
      <w:pPr>
        <w:spacing w:after="0"/>
        <w:rPr>
          <w:rFonts w:ascii="Arial" w:hAnsi="Arial" w:cs="Arial"/>
          <w:bCs/>
          <w:szCs w:val="22"/>
          <w:lang w:val="fr-FR"/>
        </w:rPr>
      </w:pPr>
      <w:r w:rsidRPr="005111C2">
        <w:rPr>
          <w:rFonts w:hint="eastAsia"/>
          <w:lang w:val="fr-FR"/>
        </w:rPr>
        <w:br w:type="page"/>
      </w:r>
    </w:p>
    <w:p w14:paraId="55E393A7" w14:textId="60CC7DAE" w:rsidR="00EB1C35" w:rsidRPr="00B81A4F" w:rsidRDefault="00EB1C35" w:rsidP="007B624C">
      <w:pPr>
        <w:pStyle w:val="Marge"/>
        <w:numPr>
          <w:ilvl w:val="0"/>
          <w:numId w:val="9"/>
        </w:numPr>
        <w:spacing w:after="120"/>
        <w:ind w:left="567" w:hanging="567"/>
        <w:rPr>
          <w:rFonts w:cs="Arial"/>
          <w:bCs/>
          <w:szCs w:val="22"/>
        </w:rPr>
      </w:pPr>
      <w:r w:rsidRPr="00BC0DA4">
        <w:rPr>
          <w:rFonts w:eastAsiaTheme="minorEastAsia" w:cs="Arial"/>
          <w:lang w:val="fr-FR"/>
        </w:rPr>
        <w:lastRenderedPageBreak/>
        <w:t>2017</w:t>
      </w:r>
      <w:r w:rsidRPr="00B81A4F">
        <w:rPr>
          <w:rFonts w:eastAsiaTheme="minorEastAsia" w:cs="Arial"/>
        </w:rPr>
        <w:t>年联合国教科文组织大会第</w:t>
      </w:r>
      <w:r w:rsidRPr="00BC0DA4">
        <w:rPr>
          <w:rFonts w:eastAsiaTheme="minorEastAsia" w:cs="Arial"/>
          <w:lang w:val="fr-FR"/>
        </w:rPr>
        <w:t>39</w:t>
      </w:r>
      <w:r w:rsidRPr="00B81A4F">
        <w:rPr>
          <w:rFonts w:eastAsiaTheme="minorEastAsia" w:cs="Arial"/>
        </w:rPr>
        <w:t>届会议邀请教科文组织执行局</w:t>
      </w:r>
      <w:r w:rsidRPr="00B81A4F">
        <w:rPr>
          <w:rFonts w:cs="Arial"/>
        </w:rPr>
        <w:t>、总干事和治理机构实施不限成员名额的治理专家工作组的建议</w:t>
      </w:r>
      <w:r w:rsidRPr="00BC0DA4">
        <w:rPr>
          <w:rFonts w:cs="Arial"/>
          <w:lang w:val="fr-FR"/>
        </w:rPr>
        <w:t>（</w:t>
      </w:r>
      <w:hyperlink r:id="rId9" w:history="1">
        <w:r w:rsidRPr="00B81A4F">
          <w:rPr>
            <w:rStyle w:val="Lienhypertexte"/>
            <w:rFonts w:cs="Arial"/>
          </w:rPr>
          <w:t>第</w:t>
        </w:r>
        <w:r w:rsidRPr="00BC0DA4">
          <w:rPr>
            <w:rStyle w:val="Lienhypertexte"/>
            <w:rFonts w:cs="Arial"/>
            <w:lang w:val="fr-FR"/>
          </w:rPr>
          <w:t>39 C/87</w:t>
        </w:r>
        <w:r w:rsidRPr="00B81A4F">
          <w:rPr>
            <w:rStyle w:val="Lienhypertexte"/>
            <w:rFonts w:cs="Arial"/>
          </w:rPr>
          <w:t>号决议</w:t>
        </w:r>
      </w:hyperlink>
      <w:r w:rsidRPr="00BC0DA4">
        <w:rPr>
          <w:rFonts w:cs="Arial"/>
          <w:lang w:val="fr-FR"/>
        </w:rPr>
        <w:t>），</w:t>
      </w:r>
      <w:r w:rsidRPr="00B81A4F">
        <w:rPr>
          <w:rFonts w:cs="Arial"/>
        </w:rPr>
        <w:t>特别是</w:t>
      </w:r>
      <w:hyperlink r:id="rId10" w:history="1">
        <w:r w:rsidRPr="00B81A4F">
          <w:rPr>
            <w:rStyle w:val="Lienhypertexte"/>
            <w:rFonts w:cs="Arial"/>
          </w:rPr>
          <w:t>第</w:t>
        </w:r>
        <w:r w:rsidRPr="00BC0DA4">
          <w:rPr>
            <w:rStyle w:val="Lienhypertexte"/>
            <w:rFonts w:cs="Arial"/>
            <w:lang w:val="fr-FR"/>
          </w:rPr>
          <w:t>39 C/70</w:t>
        </w:r>
        <w:r w:rsidRPr="00B81A4F">
          <w:rPr>
            <w:rStyle w:val="Lienhypertexte"/>
            <w:rFonts w:cs="Arial"/>
          </w:rPr>
          <w:t>号文件</w:t>
        </w:r>
      </w:hyperlink>
      <w:r w:rsidRPr="00B81A4F">
        <w:rPr>
          <w:rFonts w:cs="Arial"/>
        </w:rPr>
        <w:t>中的第</w:t>
      </w:r>
      <w:r w:rsidRPr="00BC0DA4">
        <w:rPr>
          <w:rFonts w:cs="Arial"/>
          <w:lang w:val="fr-FR"/>
        </w:rPr>
        <w:t>74</w:t>
      </w:r>
      <w:r w:rsidRPr="00B81A4F">
        <w:rPr>
          <w:rFonts w:cs="Arial"/>
        </w:rPr>
        <w:t>项建议</w:t>
      </w:r>
      <w:r w:rsidRPr="00BC0DA4">
        <w:rPr>
          <w:rFonts w:cs="Arial"/>
          <w:lang w:val="fr-FR"/>
        </w:rPr>
        <w:t>，</w:t>
      </w:r>
      <w:r w:rsidRPr="00B81A4F">
        <w:rPr>
          <w:rFonts w:cs="Arial"/>
        </w:rPr>
        <w:t>此项建议要求联合国教科文组织的所有国际和政府间机构进行磋商</w:t>
      </w:r>
      <w:r w:rsidRPr="00BC0DA4">
        <w:rPr>
          <w:rFonts w:cs="Arial"/>
          <w:lang w:val="fr-FR"/>
        </w:rPr>
        <w:t>，</w:t>
      </w:r>
      <w:r w:rsidRPr="00B81A4F">
        <w:rPr>
          <w:rFonts w:cs="Arial"/>
        </w:rPr>
        <w:t>为</w:t>
      </w:r>
      <w:r w:rsidRPr="00BC0DA4">
        <w:rPr>
          <w:rFonts w:cs="Arial"/>
          <w:lang w:val="fr-FR"/>
        </w:rPr>
        <w:t>2022-2029</w:t>
      </w:r>
      <w:r w:rsidRPr="00B81A4F">
        <w:rPr>
          <w:rFonts w:cs="Arial"/>
        </w:rPr>
        <w:t>年中期战略草案</w:t>
      </w:r>
      <w:r w:rsidRPr="00BC0DA4">
        <w:rPr>
          <w:rFonts w:cs="Arial"/>
          <w:lang w:val="fr-FR"/>
        </w:rPr>
        <w:t>（</w:t>
      </w:r>
      <w:r w:rsidRPr="00B81A4F">
        <w:rPr>
          <w:rFonts w:cs="Arial"/>
        </w:rPr>
        <w:t>第</w:t>
      </w:r>
      <w:r w:rsidRPr="00BC0DA4">
        <w:rPr>
          <w:rFonts w:cs="Arial"/>
          <w:lang w:val="fr-FR"/>
        </w:rPr>
        <w:t>41 C/4</w:t>
      </w:r>
      <w:r w:rsidRPr="00B81A4F">
        <w:rPr>
          <w:rFonts w:cs="Arial"/>
        </w:rPr>
        <w:t>号文件</w:t>
      </w:r>
      <w:r w:rsidRPr="00BC0DA4">
        <w:rPr>
          <w:rFonts w:cs="Arial"/>
          <w:lang w:val="fr-FR"/>
        </w:rPr>
        <w:t>）</w:t>
      </w:r>
      <w:r w:rsidRPr="00B81A4F">
        <w:rPr>
          <w:rFonts w:cs="Arial"/>
        </w:rPr>
        <w:t>以及</w:t>
      </w:r>
      <w:r w:rsidRPr="00BC0DA4">
        <w:rPr>
          <w:rFonts w:cs="Arial"/>
          <w:lang w:val="fr-FR"/>
        </w:rPr>
        <w:t>2022-2025</w:t>
      </w:r>
      <w:r w:rsidRPr="00B81A4F">
        <w:rPr>
          <w:rFonts w:cs="Arial"/>
        </w:rPr>
        <w:t>年项目和预算草案</w:t>
      </w:r>
      <w:r w:rsidRPr="00BC0DA4">
        <w:rPr>
          <w:rFonts w:cs="Arial"/>
          <w:lang w:val="fr-FR"/>
        </w:rPr>
        <w:t>（</w:t>
      </w:r>
      <w:r w:rsidRPr="00B81A4F">
        <w:rPr>
          <w:rFonts w:cs="Arial"/>
        </w:rPr>
        <w:t>第</w:t>
      </w:r>
      <w:r w:rsidRPr="00BC0DA4">
        <w:rPr>
          <w:rFonts w:cs="Arial"/>
          <w:lang w:val="fr-FR"/>
        </w:rPr>
        <w:t>41 C/5</w:t>
      </w:r>
      <w:r w:rsidRPr="00B81A4F">
        <w:rPr>
          <w:rFonts w:cs="Arial"/>
        </w:rPr>
        <w:t>号文件</w:t>
      </w:r>
      <w:r w:rsidRPr="00BC0DA4">
        <w:rPr>
          <w:rFonts w:cs="Arial"/>
          <w:lang w:val="fr-FR"/>
        </w:rPr>
        <w:t>）</w:t>
      </w:r>
      <w:r w:rsidRPr="00B81A4F">
        <w:rPr>
          <w:rFonts w:cs="Arial"/>
        </w:rPr>
        <w:t>正式提供建议。本文件提供了有关</w:t>
      </w:r>
      <w:r w:rsidR="00B81A4F">
        <w:rPr>
          <w:rFonts w:cs="Arial"/>
        </w:rPr>
        <w:t>2003</w:t>
      </w:r>
      <w:r w:rsidR="00B81A4F">
        <w:rPr>
          <w:rFonts w:cs="Arial"/>
        </w:rPr>
        <w:t>年《公约》</w:t>
      </w:r>
      <w:r w:rsidRPr="00B81A4F">
        <w:rPr>
          <w:rFonts w:cs="Arial"/>
        </w:rPr>
        <w:t>缔约国磋商会的信息。</w:t>
      </w:r>
    </w:p>
    <w:p w14:paraId="7191671C" w14:textId="7DAAA633" w:rsidR="00C71EEF" w:rsidRPr="00B81A4F" w:rsidRDefault="00A50607" w:rsidP="007B624C">
      <w:pPr>
        <w:pStyle w:val="Marge"/>
        <w:numPr>
          <w:ilvl w:val="0"/>
          <w:numId w:val="9"/>
        </w:numPr>
        <w:spacing w:after="120"/>
        <w:ind w:left="567" w:hanging="567"/>
        <w:rPr>
          <w:rFonts w:cs="Arial"/>
          <w:bCs/>
          <w:szCs w:val="22"/>
        </w:rPr>
      </w:pPr>
      <w:r w:rsidRPr="00B81A4F">
        <w:rPr>
          <w:rFonts w:cs="Arial"/>
        </w:rPr>
        <w:t>大会的</w:t>
      </w:r>
      <w:r w:rsidRPr="00B81A4F">
        <w:rPr>
          <w:rStyle w:val="lev"/>
          <w:rFonts w:cs="Arial"/>
          <w:b w:val="0"/>
          <w:color w:val="000000"/>
          <w:szCs w:val="22"/>
          <w:shd w:val="clear" w:color="auto" w:fill="FFFFFF"/>
        </w:rPr>
        <w:t>此次会议</w:t>
      </w:r>
      <w:r w:rsidRPr="00B81A4F">
        <w:rPr>
          <w:rFonts w:cs="Arial"/>
        </w:rPr>
        <w:t>（原定于从</w:t>
      </w:r>
      <w:r w:rsidRPr="00B81A4F">
        <w:rPr>
          <w:rFonts w:cs="Arial"/>
        </w:rPr>
        <w:t>2020</w:t>
      </w:r>
      <w:r w:rsidRPr="00B81A4F">
        <w:rPr>
          <w:rFonts w:cs="Arial"/>
        </w:rPr>
        <w:t>年</w:t>
      </w:r>
      <w:r w:rsidRPr="00B81A4F">
        <w:rPr>
          <w:rFonts w:cs="Arial"/>
        </w:rPr>
        <w:t>6</w:t>
      </w:r>
      <w:r w:rsidRPr="00B81A4F">
        <w:rPr>
          <w:rFonts w:cs="Arial"/>
        </w:rPr>
        <w:t>月</w:t>
      </w:r>
      <w:r w:rsidRPr="00B81A4F">
        <w:rPr>
          <w:rFonts w:cs="Arial"/>
        </w:rPr>
        <w:t>9</w:t>
      </w:r>
      <w:r w:rsidRPr="00B81A4F">
        <w:rPr>
          <w:rFonts w:cs="Arial"/>
        </w:rPr>
        <w:t>日至</w:t>
      </w:r>
      <w:r w:rsidRPr="00B81A4F">
        <w:rPr>
          <w:rFonts w:cs="Arial"/>
        </w:rPr>
        <w:t>11</w:t>
      </w:r>
      <w:r w:rsidRPr="00B81A4F">
        <w:rPr>
          <w:rFonts w:cs="Arial"/>
        </w:rPr>
        <w:t>日召开）本来包含了一项议程，用于缔约国开展讨论，并为他们提供为</w:t>
      </w:r>
      <w:r w:rsidRPr="00B81A4F">
        <w:rPr>
          <w:rFonts w:cs="Arial"/>
        </w:rPr>
        <w:t>41 C/4</w:t>
      </w:r>
      <w:r w:rsidRPr="00B81A4F">
        <w:rPr>
          <w:rFonts w:cs="Arial"/>
        </w:rPr>
        <w:t>和</w:t>
      </w:r>
      <w:r w:rsidRPr="00B81A4F">
        <w:rPr>
          <w:rFonts w:cs="Arial"/>
        </w:rPr>
        <w:t>41 C/5</w:t>
      </w:r>
      <w:r w:rsidRPr="00B81A4F">
        <w:rPr>
          <w:rFonts w:cs="Arial"/>
        </w:rPr>
        <w:t>文件草案的制作贡献建议的机会。然而，由于此次会议改期，而且必须在规定日期（</w:t>
      </w:r>
      <w:r w:rsidRPr="00B81A4F">
        <w:rPr>
          <w:rFonts w:cs="Arial"/>
        </w:rPr>
        <w:t>2020</w:t>
      </w:r>
      <w:r w:rsidRPr="00B81A4F">
        <w:rPr>
          <w:rFonts w:cs="Arial"/>
        </w:rPr>
        <w:t>年</w:t>
      </w:r>
      <w:r w:rsidRPr="00B81A4F">
        <w:rPr>
          <w:rFonts w:cs="Arial"/>
        </w:rPr>
        <w:t>6</w:t>
      </w:r>
      <w:r w:rsidRPr="00B81A4F">
        <w:rPr>
          <w:rFonts w:cs="Arial"/>
        </w:rPr>
        <w:t>月底）前完成与国际和政府间机构的磋商流程，因此</w:t>
      </w:r>
      <w:r w:rsidR="00B81A4F">
        <w:rPr>
          <w:rFonts w:cs="Arial"/>
        </w:rPr>
        <w:t>2003</w:t>
      </w:r>
      <w:r w:rsidR="00B81A4F">
        <w:rPr>
          <w:rFonts w:cs="Arial"/>
        </w:rPr>
        <w:t>年《公约》</w:t>
      </w:r>
      <w:r w:rsidRPr="00B81A4F">
        <w:rPr>
          <w:rFonts w:cs="Arial"/>
        </w:rPr>
        <w:t>秘书处开展了一项电子调查，此项调查开展的时间</w:t>
      </w:r>
      <w:r w:rsidRPr="00B81A4F">
        <w:rPr>
          <w:rFonts w:cs="Arial"/>
          <w:color w:val="000000"/>
          <w:szCs w:val="22"/>
          <w:shd w:val="clear" w:color="auto" w:fill="FFFFFF"/>
        </w:rPr>
        <w:t>是</w:t>
      </w:r>
      <w:r w:rsidRPr="00B81A4F">
        <w:rPr>
          <w:rFonts w:cs="Arial"/>
        </w:rPr>
        <w:t>2020</w:t>
      </w:r>
      <w:r w:rsidRPr="00B81A4F">
        <w:rPr>
          <w:rFonts w:cs="Arial"/>
        </w:rPr>
        <w:t>年</w:t>
      </w:r>
      <w:r w:rsidRPr="00B81A4F">
        <w:rPr>
          <w:rFonts w:cs="Arial"/>
        </w:rPr>
        <w:t>5</w:t>
      </w:r>
      <w:r w:rsidRPr="00B81A4F">
        <w:rPr>
          <w:rFonts w:cs="Arial"/>
        </w:rPr>
        <w:t>月</w:t>
      </w:r>
      <w:r w:rsidRPr="00B81A4F">
        <w:rPr>
          <w:rFonts w:cs="Arial"/>
        </w:rPr>
        <w:t>4</w:t>
      </w:r>
      <w:r w:rsidRPr="00B81A4F">
        <w:rPr>
          <w:rFonts w:cs="Arial"/>
        </w:rPr>
        <w:t>日至</w:t>
      </w:r>
      <w:r w:rsidRPr="00B81A4F">
        <w:rPr>
          <w:rFonts w:cs="Arial"/>
        </w:rPr>
        <w:t>29</w:t>
      </w:r>
      <w:r w:rsidRPr="00B81A4F">
        <w:rPr>
          <w:rFonts w:cs="Arial"/>
        </w:rPr>
        <w:t>日。</w:t>
      </w:r>
    </w:p>
    <w:p w14:paraId="722D913C" w14:textId="01125E23" w:rsidR="00095435" w:rsidRPr="00B81A4F" w:rsidRDefault="00A50607" w:rsidP="007B624C">
      <w:pPr>
        <w:pStyle w:val="Marge"/>
        <w:numPr>
          <w:ilvl w:val="0"/>
          <w:numId w:val="9"/>
        </w:numPr>
        <w:spacing w:after="120"/>
        <w:ind w:left="567" w:hanging="567"/>
        <w:rPr>
          <w:rFonts w:cs="Arial"/>
          <w:bCs/>
          <w:szCs w:val="22"/>
        </w:rPr>
      </w:pPr>
      <w:r w:rsidRPr="00B81A4F">
        <w:rPr>
          <w:rFonts w:cs="Arial"/>
        </w:rPr>
        <w:t>缔约国以</w:t>
      </w:r>
      <w:hyperlink r:id="rId11" w:history="1">
        <w:r w:rsidRPr="00B81A4F">
          <w:rPr>
            <w:rStyle w:val="Lienhypertexte"/>
            <w:rFonts w:cs="Arial"/>
          </w:rPr>
          <w:t>英语</w:t>
        </w:r>
      </w:hyperlink>
      <w:r w:rsidRPr="00B81A4F">
        <w:rPr>
          <w:rFonts w:cs="Arial"/>
        </w:rPr>
        <w:t>或</w:t>
      </w:r>
      <w:hyperlink r:id="rId12" w:history="1">
        <w:r w:rsidRPr="00B81A4F">
          <w:rPr>
            <w:rStyle w:val="Lienhypertexte"/>
            <w:rFonts w:cs="Arial"/>
          </w:rPr>
          <w:t>法语</w:t>
        </w:r>
      </w:hyperlink>
      <w:r w:rsidRPr="00B81A4F">
        <w:rPr>
          <w:rFonts w:cs="Arial"/>
        </w:rPr>
        <w:t>在线完成了此项</w:t>
      </w:r>
      <w:r w:rsidRPr="00B81A4F">
        <w:rPr>
          <w:rFonts w:cs="Arial"/>
          <w:color w:val="000000"/>
          <w:szCs w:val="22"/>
          <w:shd w:val="clear" w:color="auto" w:fill="FFFFFF"/>
        </w:rPr>
        <w:t>调查</w:t>
      </w:r>
      <w:r w:rsidRPr="00B81A4F">
        <w:rPr>
          <w:rFonts w:cs="Arial"/>
        </w:rPr>
        <w:t>，此项调查的回复率很高：</w:t>
      </w:r>
      <w:r w:rsidRPr="00B81A4F">
        <w:rPr>
          <w:rFonts w:cs="Arial"/>
        </w:rPr>
        <w:t>47%</w:t>
      </w:r>
      <w:r w:rsidRPr="00B81A4F">
        <w:rPr>
          <w:rFonts w:cs="Arial"/>
        </w:rPr>
        <w:t>（</w:t>
      </w:r>
      <w:r w:rsidRPr="00B81A4F">
        <w:rPr>
          <w:rFonts w:cs="Arial"/>
        </w:rPr>
        <w:t>178</w:t>
      </w:r>
      <w:r w:rsidRPr="00B81A4F">
        <w:rPr>
          <w:rFonts w:cs="Arial"/>
        </w:rPr>
        <w:t>个缔约国中的</w:t>
      </w:r>
      <w:r w:rsidRPr="00B81A4F">
        <w:rPr>
          <w:rFonts w:cs="Arial"/>
        </w:rPr>
        <w:t>83</w:t>
      </w:r>
      <w:r w:rsidRPr="00B81A4F">
        <w:rPr>
          <w:rFonts w:cs="Arial"/>
        </w:rPr>
        <w:t>个）做出了回答，体现了他们对</w:t>
      </w:r>
      <w:r w:rsidR="00B81A4F">
        <w:rPr>
          <w:rFonts w:cs="Arial"/>
        </w:rPr>
        <w:t>2003</w:t>
      </w:r>
      <w:r w:rsidR="00B81A4F">
        <w:rPr>
          <w:rFonts w:cs="Arial"/>
        </w:rPr>
        <w:t>年《公约》</w:t>
      </w:r>
      <w:r w:rsidRPr="00B81A4F">
        <w:rPr>
          <w:rFonts w:cs="Arial"/>
        </w:rPr>
        <w:t>工作的支持。在这些回答中，</w:t>
      </w:r>
      <w:r w:rsidRPr="00B81A4F">
        <w:rPr>
          <w:rFonts w:cs="Arial"/>
        </w:rPr>
        <w:t>19%</w:t>
      </w:r>
      <w:r w:rsidRPr="00B81A4F">
        <w:rPr>
          <w:rFonts w:cs="Arial"/>
        </w:rPr>
        <w:t>来自选举团</w:t>
      </w:r>
      <w:r w:rsidRPr="00B81A4F">
        <w:rPr>
          <w:rFonts w:cs="Arial"/>
        </w:rPr>
        <w:t>I</w:t>
      </w:r>
      <w:r w:rsidRPr="00B81A4F">
        <w:rPr>
          <w:rFonts w:cs="Arial"/>
        </w:rPr>
        <w:t>，</w:t>
      </w:r>
      <w:r w:rsidRPr="00B81A4F">
        <w:rPr>
          <w:rFonts w:cs="Arial"/>
        </w:rPr>
        <w:t>15%</w:t>
      </w:r>
      <w:r w:rsidRPr="00B81A4F">
        <w:rPr>
          <w:rFonts w:cs="Arial"/>
        </w:rPr>
        <w:t>来自选举团</w:t>
      </w:r>
      <w:r w:rsidRPr="00B81A4F">
        <w:rPr>
          <w:rFonts w:cs="Arial"/>
        </w:rPr>
        <w:t>II</w:t>
      </w:r>
      <w:r w:rsidRPr="00B81A4F">
        <w:rPr>
          <w:rFonts w:cs="Arial"/>
        </w:rPr>
        <w:t>，</w:t>
      </w:r>
      <w:r w:rsidRPr="00B81A4F">
        <w:rPr>
          <w:rFonts w:cs="Arial"/>
        </w:rPr>
        <w:t>17%</w:t>
      </w:r>
      <w:r w:rsidRPr="00B81A4F">
        <w:rPr>
          <w:rFonts w:cs="Arial"/>
        </w:rPr>
        <w:t>来自选举团</w:t>
      </w:r>
      <w:r w:rsidRPr="00B81A4F">
        <w:rPr>
          <w:rFonts w:cs="Arial"/>
        </w:rPr>
        <w:t>III</w:t>
      </w:r>
      <w:r w:rsidRPr="00B81A4F">
        <w:rPr>
          <w:rFonts w:cs="Arial"/>
        </w:rPr>
        <w:t>，</w:t>
      </w:r>
      <w:r w:rsidRPr="00B81A4F">
        <w:rPr>
          <w:rFonts w:cs="Arial"/>
        </w:rPr>
        <w:t>16%</w:t>
      </w:r>
      <w:r w:rsidRPr="00B81A4F">
        <w:rPr>
          <w:rFonts w:cs="Arial"/>
        </w:rPr>
        <w:t>来自选举团</w:t>
      </w:r>
      <w:r w:rsidRPr="00B81A4F">
        <w:rPr>
          <w:rFonts w:cs="Arial"/>
        </w:rPr>
        <w:t>IV</w:t>
      </w:r>
      <w:r w:rsidRPr="00B81A4F">
        <w:rPr>
          <w:rFonts w:cs="Arial"/>
        </w:rPr>
        <w:t>，</w:t>
      </w:r>
      <w:r w:rsidRPr="00B81A4F">
        <w:rPr>
          <w:rFonts w:cs="Arial"/>
        </w:rPr>
        <w:t>25%</w:t>
      </w:r>
      <w:r w:rsidRPr="00B81A4F">
        <w:rPr>
          <w:rFonts w:cs="Arial"/>
        </w:rPr>
        <w:t>来自选举团</w:t>
      </w:r>
      <w:r w:rsidRPr="00B81A4F">
        <w:rPr>
          <w:rFonts w:cs="Arial"/>
        </w:rPr>
        <w:t>V(a)</w:t>
      </w:r>
      <w:r w:rsidRPr="00B81A4F">
        <w:rPr>
          <w:rFonts w:cs="Arial"/>
        </w:rPr>
        <w:t>，</w:t>
      </w:r>
      <w:r w:rsidRPr="00B81A4F">
        <w:rPr>
          <w:rFonts w:cs="Arial"/>
        </w:rPr>
        <w:t>8%</w:t>
      </w:r>
      <w:r w:rsidRPr="00B81A4F">
        <w:rPr>
          <w:rFonts w:cs="Arial"/>
        </w:rPr>
        <w:t>来自选举团</w:t>
      </w:r>
      <w:r w:rsidRPr="00B81A4F">
        <w:rPr>
          <w:rFonts w:cs="Arial"/>
        </w:rPr>
        <w:t>V(b)</w:t>
      </w:r>
      <w:r w:rsidRPr="00B81A4F">
        <w:rPr>
          <w:rFonts w:cs="Arial"/>
        </w:rPr>
        <w:t>。</w:t>
      </w:r>
    </w:p>
    <w:p w14:paraId="65A0C555" w14:textId="6DC360DB" w:rsidR="00024FCD" w:rsidRPr="00B81A4F" w:rsidRDefault="00CD4FD3" w:rsidP="007B624C">
      <w:pPr>
        <w:pStyle w:val="Marge"/>
        <w:numPr>
          <w:ilvl w:val="0"/>
          <w:numId w:val="9"/>
        </w:numPr>
        <w:spacing w:after="120"/>
        <w:ind w:left="567" w:hanging="567"/>
        <w:rPr>
          <w:rFonts w:cs="Arial"/>
          <w:bCs/>
          <w:szCs w:val="22"/>
        </w:rPr>
      </w:pPr>
      <w:r w:rsidRPr="00B81A4F">
        <w:rPr>
          <w:rFonts w:cs="Arial"/>
        </w:rPr>
        <w:t>根据调查收集的答复和数据，秘书处进行了全面分析，以获取对</w:t>
      </w:r>
      <w:r w:rsidR="00B81A4F">
        <w:rPr>
          <w:rFonts w:cs="Arial"/>
        </w:rPr>
        <w:t>2003</w:t>
      </w:r>
      <w:r w:rsidR="00B81A4F">
        <w:rPr>
          <w:rFonts w:cs="Arial"/>
        </w:rPr>
        <w:t>年《公约》</w:t>
      </w:r>
      <w:r w:rsidRPr="00B81A4F">
        <w:rPr>
          <w:rFonts w:cs="Arial"/>
        </w:rPr>
        <w:t>未来工作的战略见解和建议，下文各节会给出这些见解和建议。我们将通过在文化部门层级与各个治理机构开展的相应</w:t>
      </w:r>
      <w:r w:rsidRPr="00B81A4F">
        <w:rPr>
          <w:rFonts w:cs="Arial"/>
          <w:color w:val="000000"/>
          <w:szCs w:val="22"/>
          <w:shd w:val="clear" w:color="auto" w:fill="FFFFFF"/>
        </w:rPr>
        <w:t>磋商</w:t>
      </w:r>
      <w:r w:rsidRPr="00B81A4F">
        <w:rPr>
          <w:rFonts w:cs="Arial"/>
        </w:rPr>
        <w:t>流程来收集大量信息和反馈，将其纳入总干事的</w:t>
      </w:r>
      <w:r w:rsidRPr="00B81A4F">
        <w:rPr>
          <w:rFonts w:cs="Arial"/>
        </w:rPr>
        <w:t>41 C/4</w:t>
      </w:r>
      <w:r w:rsidRPr="00B81A4F">
        <w:rPr>
          <w:rFonts w:cs="Arial"/>
        </w:rPr>
        <w:t>和</w:t>
      </w:r>
      <w:r w:rsidRPr="00B81A4F">
        <w:rPr>
          <w:rFonts w:cs="Arial"/>
        </w:rPr>
        <w:t>41 C/5</w:t>
      </w:r>
      <w:r w:rsidRPr="00B81A4F">
        <w:rPr>
          <w:rFonts w:cs="Arial"/>
        </w:rPr>
        <w:t>文件草案的初步提案内，并将在教科文组织执行局第</w:t>
      </w:r>
      <w:r w:rsidRPr="00B81A4F">
        <w:rPr>
          <w:rFonts w:cs="Arial"/>
        </w:rPr>
        <w:t>210</w:t>
      </w:r>
      <w:r w:rsidRPr="00B81A4F">
        <w:rPr>
          <w:rFonts w:cs="Arial"/>
        </w:rPr>
        <w:t>次会议上进行讨论。</w:t>
      </w:r>
      <w:bookmarkStart w:id="0" w:name="_GoBack"/>
      <w:bookmarkEnd w:id="0"/>
    </w:p>
    <w:p w14:paraId="63BF3E7F" w14:textId="77777777" w:rsidR="00024FCD" w:rsidRPr="00B81A4F" w:rsidRDefault="00024FCD" w:rsidP="007B624C">
      <w:pPr>
        <w:pStyle w:val="Paragraphedeliste"/>
        <w:numPr>
          <w:ilvl w:val="0"/>
          <w:numId w:val="16"/>
        </w:numPr>
        <w:ind w:left="540" w:hanging="540"/>
        <w:jc w:val="both"/>
        <w:rPr>
          <w:rFonts w:ascii="Arial" w:hAnsi="Arial" w:cs="Arial"/>
          <w:b/>
        </w:rPr>
      </w:pPr>
      <w:r w:rsidRPr="00B81A4F">
        <w:rPr>
          <w:rFonts w:ascii="Arial" w:hAnsi="Arial" w:cs="Arial"/>
          <w:b/>
        </w:rPr>
        <w:t>成就和新兴挑战</w:t>
      </w:r>
    </w:p>
    <w:p w14:paraId="3ACD6833" w14:textId="65196CCD" w:rsidR="0021403D" w:rsidRPr="00B81A4F" w:rsidRDefault="00A500D0" w:rsidP="007B624C">
      <w:pPr>
        <w:pStyle w:val="Marge"/>
        <w:numPr>
          <w:ilvl w:val="0"/>
          <w:numId w:val="9"/>
        </w:numPr>
        <w:spacing w:after="120"/>
        <w:ind w:left="567" w:hanging="567"/>
        <w:rPr>
          <w:rFonts w:cs="Arial"/>
          <w:bCs/>
          <w:szCs w:val="22"/>
        </w:rPr>
      </w:pPr>
      <w:r w:rsidRPr="00B81A4F">
        <w:rPr>
          <w:rFonts w:cs="Arial"/>
        </w:rPr>
        <w:t>大多数缔约国表示，《公约》作为文化领域的标准制定者和能力建设者，比作为思想实验室和信息交换中心具有更重要的功能（问题</w:t>
      </w:r>
      <w:r w:rsidRPr="00B81A4F">
        <w:rPr>
          <w:rFonts w:cs="Arial"/>
        </w:rPr>
        <w:t>1</w:t>
      </w:r>
      <w:r w:rsidRPr="00B81A4F">
        <w:rPr>
          <w:rFonts w:cs="Arial"/>
        </w:rPr>
        <w:t>），确认了《公约》突出的规范性和操作性功能。根据这一反馈，以下被认为是当前的</w:t>
      </w:r>
      <w:r w:rsidRPr="00B81A4F">
        <w:rPr>
          <w:rFonts w:cs="Arial"/>
        </w:rPr>
        <w:t>37 C/4</w:t>
      </w:r>
      <w:r w:rsidRPr="00B81A4F">
        <w:rPr>
          <w:rFonts w:cs="Arial"/>
        </w:rPr>
        <w:t>中期战略（</w:t>
      </w:r>
      <w:r w:rsidRPr="00B81A4F">
        <w:rPr>
          <w:rFonts w:cs="Arial"/>
        </w:rPr>
        <w:t>2014-2021</w:t>
      </w:r>
      <w:r w:rsidRPr="00B81A4F">
        <w:rPr>
          <w:rFonts w:cs="Arial"/>
        </w:rPr>
        <w:t>年）期间所取得的最相关成果（问题</w:t>
      </w:r>
      <w:r w:rsidRPr="00B81A4F">
        <w:rPr>
          <w:rFonts w:cs="Arial"/>
        </w:rPr>
        <w:t>2</w:t>
      </w:r>
      <w:r w:rsidRPr="00B81A4F">
        <w:rPr>
          <w:rFonts w:cs="Arial"/>
        </w:rPr>
        <w:t>）：</w:t>
      </w:r>
      <w:r w:rsidR="00FB411F">
        <w:rPr>
          <w:rFonts w:cs="Arial" w:hint="eastAsia"/>
        </w:rPr>
        <w:t>“</w:t>
      </w:r>
      <w:r w:rsidRPr="00B81A4F">
        <w:rPr>
          <w:rFonts w:cs="Arial"/>
        </w:rPr>
        <w:t>社区</w:t>
      </w:r>
      <w:r w:rsidRPr="00B81A4F">
        <w:rPr>
          <w:rFonts w:cs="Arial"/>
          <w:color w:val="000000"/>
          <w:szCs w:val="22"/>
          <w:shd w:val="clear" w:color="auto" w:fill="FFFFFF"/>
        </w:rPr>
        <w:t>参与</w:t>
      </w:r>
      <w:r w:rsidRPr="00B81A4F">
        <w:rPr>
          <w:rFonts w:cs="Arial"/>
        </w:rPr>
        <w:t>保护活态遗产</w:t>
      </w:r>
      <w:r w:rsidR="00FB411F">
        <w:rPr>
          <w:rFonts w:cs="Arial" w:hint="eastAsia"/>
        </w:rPr>
        <w:t>”</w:t>
      </w:r>
      <w:r w:rsidRPr="00B81A4F">
        <w:rPr>
          <w:rFonts w:cs="Arial"/>
        </w:rPr>
        <w:t>（占收到回答的</w:t>
      </w:r>
      <w:r w:rsidRPr="00B81A4F">
        <w:rPr>
          <w:rFonts w:cs="Arial"/>
        </w:rPr>
        <w:t>74%</w:t>
      </w:r>
      <w:r w:rsidRPr="00B81A4F">
        <w:rPr>
          <w:rFonts w:cs="Arial"/>
        </w:rPr>
        <w:t>）、</w:t>
      </w:r>
      <w:r w:rsidR="00FB411F">
        <w:rPr>
          <w:rFonts w:cs="Arial" w:hint="eastAsia"/>
        </w:rPr>
        <w:t>“</w:t>
      </w:r>
      <w:r w:rsidRPr="00B81A4F">
        <w:rPr>
          <w:rFonts w:cs="Arial"/>
        </w:rPr>
        <w:t>加强了机构</w:t>
      </w:r>
      <w:r w:rsidRPr="00B81A4F">
        <w:rPr>
          <w:rFonts w:cs="Arial"/>
        </w:rPr>
        <w:t>/</w:t>
      </w:r>
      <w:r w:rsidRPr="00B81A4F">
        <w:rPr>
          <w:rFonts w:cs="Arial"/>
        </w:rPr>
        <w:t>人们的保护能力</w:t>
      </w:r>
      <w:r w:rsidR="00FB411F">
        <w:rPr>
          <w:rFonts w:cs="Arial" w:hint="eastAsia"/>
        </w:rPr>
        <w:t>”</w:t>
      </w:r>
      <w:r w:rsidRPr="00B81A4F">
        <w:rPr>
          <w:rFonts w:cs="Arial"/>
        </w:rPr>
        <w:t>（</w:t>
      </w:r>
      <w:r w:rsidRPr="00B81A4F">
        <w:rPr>
          <w:rFonts w:cs="Arial"/>
        </w:rPr>
        <w:t>69%</w:t>
      </w:r>
      <w:r w:rsidRPr="00B81A4F">
        <w:rPr>
          <w:rFonts w:cs="Arial"/>
        </w:rPr>
        <w:t>）和</w:t>
      </w:r>
      <w:r w:rsidR="00FB411F">
        <w:rPr>
          <w:rFonts w:cs="Arial" w:hint="eastAsia"/>
        </w:rPr>
        <w:t>“</w:t>
      </w:r>
      <w:r w:rsidRPr="00B81A4F">
        <w:rPr>
          <w:rFonts w:cs="Arial"/>
        </w:rPr>
        <w:t>将保护非物质文化遗产纳入国家政策</w:t>
      </w:r>
      <w:r w:rsidR="00FB411F">
        <w:rPr>
          <w:rFonts w:cs="Arial" w:hint="eastAsia"/>
        </w:rPr>
        <w:t>”</w:t>
      </w:r>
      <w:r w:rsidRPr="00B81A4F">
        <w:rPr>
          <w:rFonts w:cs="Arial"/>
        </w:rPr>
        <w:t>（</w:t>
      </w:r>
      <w:r w:rsidRPr="00B81A4F">
        <w:rPr>
          <w:rFonts w:cs="Arial"/>
        </w:rPr>
        <w:t>65%</w:t>
      </w:r>
      <w:r w:rsidRPr="00B81A4F">
        <w:rPr>
          <w:rFonts w:cs="Arial"/>
        </w:rPr>
        <w:t>）。</w:t>
      </w:r>
    </w:p>
    <w:p w14:paraId="6A5E8417" w14:textId="638DCD3B" w:rsidR="00B866F2" w:rsidRPr="00B81A4F" w:rsidRDefault="0046701E"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与此同时，很多缔约国表示，下列当前存在和正在出现的挑战是下一个方案和预算应该应对的关键问题（问题</w:t>
      </w:r>
      <w:r w:rsidRPr="00B81A4F">
        <w:rPr>
          <w:rFonts w:cs="Arial"/>
          <w:color w:val="000000"/>
          <w:szCs w:val="22"/>
          <w:shd w:val="clear" w:color="auto" w:fill="FFFFFF"/>
        </w:rPr>
        <w:t>4.a</w:t>
      </w:r>
      <w:r w:rsidRPr="00B81A4F">
        <w:rPr>
          <w:rFonts w:cs="Arial"/>
          <w:color w:val="000000"/>
          <w:szCs w:val="22"/>
          <w:shd w:val="clear" w:color="auto" w:fill="FFFFFF"/>
        </w:rPr>
        <w:t>）：</w:t>
      </w:r>
      <w:r w:rsidR="00FB411F">
        <w:rPr>
          <w:rFonts w:cs="Arial" w:hint="eastAsia"/>
          <w:color w:val="000000"/>
          <w:szCs w:val="22"/>
          <w:shd w:val="clear" w:color="auto" w:fill="FFFFFF"/>
        </w:rPr>
        <w:t>“</w:t>
      </w:r>
      <w:r w:rsidRPr="00B81A4F">
        <w:rPr>
          <w:rFonts w:cs="Arial"/>
          <w:color w:val="000000"/>
          <w:szCs w:val="22"/>
          <w:shd w:val="clear" w:color="auto" w:fill="FFFFFF"/>
        </w:rPr>
        <w:t>扩大能力建设方案的覆盖面，并寻找实施能力建设方案的多样化、创新型方式</w:t>
      </w:r>
      <w:r w:rsidR="00FB411F">
        <w:rPr>
          <w:rFonts w:cs="Arial" w:hint="eastAsia"/>
          <w:color w:val="000000"/>
          <w:szCs w:val="22"/>
          <w:shd w:val="clear" w:color="auto" w:fill="FFFFFF"/>
        </w:rPr>
        <w:t>”</w:t>
      </w:r>
      <w:r w:rsidRPr="00B81A4F">
        <w:rPr>
          <w:rFonts w:cs="Arial"/>
        </w:rPr>
        <w:t>（占收到回复的</w:t>
      </w:r>
      <w:r w:rsidRPr="00B81A4F">
        <w:rPr>
          <w:rFonts w:cs="Arial"/>
        </w:rPr>
        <w:t>83%</w:t>
      </w:r>
      <w:r w:rsidRPr="00B81A4F">
        <w:rPr>
          <w:rFonts w:cs="Arial"/>
        </w:rPr>
        <w:t>）；</w:t>
      </w:r>
      <w:r w:rsidR="00FB411F">
        <w:rPr>
          <w:rFonts w:cs="Arial" w:hint="eastAsia"/>
          <w:color w:val="000000"/>
          <w:szCs w:val="22"/>
          <w:shd w:val="clear" w:color="auto" w:fill="FFFFFF"/>
        </w:rPr>
        <w:t>“</w:t>
      </w:r>
      <w:r w:rsidRPr="00B81A4F">
        <w:rPr>
          <w:rFonts w:cs="Arial"/>
          <w:color w:val="000000"/>
          <w:szCs w:val="22"/>
          <w:shd w:val="clear" w:color="auto" w:fill="FFFFFF"/>
        </w:rPr>
        <w:t>监测国家和社区一级《公约》的实施情况</w:t>
      </w:r>
      <w:r w:rsidR="00FB411F">
        <w:rPr>
          <w:rFonts w:cs="Arial" w:hint="eastAsia"/>
          <w:color w:val="000000"/>
          <w:szCs w:val="22"/>
          <w:shd w:val="clear" w:color="auto" w:fill="FFFFFF"/>
        </w:rPr>
        <w:t>”</w:t>
      </w:r>
      <w:r w:rsidRPr="00B81A4F">
        <w:rPr>
          <w:rFonts w:cs="Arial"/>
          <w:color w:val="000000"/>
          <w:szCs w:val="22"/>
          <w:shd w:val="clear" w:color="auto" w:fill="FFFFFF"/>
        </w:rPr>
        <w:t>（</w:t>
      </w:r>
      <w:r w:rsidRPr="00B81A4F">
        <w:rPr>
          <w:rFonts w:cs="Arial"/>
          <w:color w:val="000000"/>
          <w:szCs w:val="22"/>
          <w:shd w:val="clear" w:color="auto" w:fill="FFFFFF"/>
        </w:rPr>
        <w:t>81%</w:t>
      </w:r>
      <w:r w:rsidRPr="00B81A4F">
        <w:rPr>
          <w:rFonts w:cs="Arial"/>
          <w:color w:val="000000"/>
          <w:szCs w:val="22"/>
          <w:shd w:val="clear" w:color="auto" w:fill="FFFFFF"/>
        </w:rPr>
        <w:t>）；以及</w:t>
      </w:r>
      <w:r w:rsidR="00FB411F">
        <w:rPr>
          <w:rFonts w:cs="Arial" w:hint="eastAsia"/>
          <w:color w:val="000000"/>
          <w:szCs w:val="22"/>
          <w:shd w:val="clear" w:color="auto" w:fill="FFFFFF"/>
        </w:rPr>
        <w:t>“</w:t>
      </w:r>
      <w:r w:rsidRPr="00B81A4F">
        <w:rPr>
          <w:rFonts w:cs="Arial"/>
          <w:color w:val="000000"/>
          <w:szCs w:val="22"/>
          <w:shd w:val="clear" w:color="auto" w:fill="FFFFFF"/>
        </w:rPr>
        <w:t>在国家一级继续</w:t>
      </w:r>
      <w:r w:rsidR="004C7A72" w:rsidRPr="00B81A4F">
        <w:rPr>
          <w:rFonts w:cs="Arial"/>
          <w:color w:val="000000"/>
          <w:szCs w:val="22"/>
          <w:shd w:val="clear" w:color="auto" w:fill="FFFFFF"/>
        </w:rPr>
        <w:t>实施</w:t>
      </w:r>
      <w:r w:rsidRPr="00B81A4F">
        <w:rPr>
          <w:rFonts w:cs="Arial"/>
          <w:color w:val="000000"/>
          <w:szCs w:val="22"/>
          <w:shd w:val="clear" w:color="auto" w:fill="FFFFFF"/>
        </w:rPr>
        <w:t>《公约》的项目和机制</w:t>
      </w:r>
      <w:r w:rsidR="00FB411F">
        <w:rPr>
          <w:rFonts w:cs="Arial" w:hint="eastAsia"/>
          <w:color w:val="000000"/>
          <w:szCs w:val="22"/>
          <w:shd w:val="clear" w:color="auto" w:fill="FFFFFF"/>
        </w:rPr>
        <w:t>”</w:t>
      </w:r>
      <w:r w:rsidRPr="00B81A4F">
        <w:rPr>
          <w:rFonts w:cs="Arial"/>
          <w:color w:val="000000"/>
          <w:szCs w:val="22"/>
          <w:shd w:val="clear" w:color="auto" w:fill="FFFFFF"/>
        </w:rPr>
        <w:t>（</w:t>
      </w:r>
      <w:r w:rsidRPr="00B81A4F">
        <w:rPr>
          <w:rFonts w:cs="Arial"/>
          <w:color w:val="000000"/>
          <w:szCs w:val="22"/>
          <w:shd w:val="clear" w:color="auto" w:fill="FFFFFF"/>
        </w:rPr>
        <w:t>79%</w:t>
      </w:r>
      <w:r w:rsidRPr="00B81A4F">
        <w:rPr>
          <w:rFonts w:cs="Arial"/>
          <w:color w:val="000000"/>
          <w:szCs w:val="22"/>
          <w:shd w:val="clear" w:color="auto" w:fill="FFFFFF"/>
        </w:rPr>
        <w:t>）。为了应对这些挑战，缔约国提出的一些具体行动包括：</w:t>
      </w:r>
      <w:proofErr w:type="spellStart"/>
      <w:proofErr w:type="gramStart"/>
      <w:r w:rsidRPr="00B81A4F">
        <w:rPr>
          <w:rFonts w:cs="Arial"/>
          <w:color w:val="000000"/>
          <w:szCs w:val="22"/>
          <w:shd w:val="clear" w:color="auto" w:fill="FFFFFF"/>
        </w:rPr>
        <w:t>i</w:t>
      </w:r>
      <w:proofErr w:type="spellEnd"/>
      <w:r w:rsidRPr="00B81A4F">
        <w:rPr>
          <w:rFonts w:cs="Arial"/>
          <w:color w:val="000000"/>
          <w:szCs w:val="22"/>
          <w:shd w:val="clear" w:color="auto" w:fill="FFFFFF"/>
        </w:rPr>
        <w:t>)</w:t>
      </w:r>
      <w:r w:rsidRPr="00B81A4F">
        <w:rPr>
          <w:rFonts w:cs="Arial"/>
        </w:rPr>
        <w:t>根据社区和国家的需求</w:t>
      </w:r>
      <w:proofErr w:type="gramEnd"/>
      <w:r w:rsidRPr="00B81A4F">
        <w:rPr>
          <w:rFonts w:cs="Arial"/>
        </w:rPr>
        <w:t>，提供定制的能力建设支持；</w:t>
      </w:r>
      <w:r w:rsidRPr="00B81A4F">
        <w:rPr>
          <w:rFonts w:cs="Arial"/>
        </w:rPr>
        <w:t>ii)</w:t>
      </w:r>
      <w:r w:rsidRPr="00B81A4F">
        <w:rPr>
          <w:rFonts w:cs="Arial"/>
        </w:rPr>
        <w:t>采取跨部门、跨机构、多利益相关者的方式来保护非物质文化遗产；以及</w:t>
      </w:r>
      <w:r w:rsidRPr="00B81A4F">
        <w:rPr>
          <w:rFonts w:cs="Arial"/>
        </w:rPr>
        <w:t>iii)</w:t>
      </w:r>
      <w:r w:rsidRPr="00B81A4F">
        <w:rPr>
          <w:rFonts w:cs="Arial"/>
        </w:rPr>
        <w:t>相关行动者之间的知识共享和合作，以加强各国在国家一级的实施（问题</w:t>
      </w:r>
      <w:r w:rsidRPr="00B81A4F">
        <w:rPr>
          <w:rFonts w:cs="Arial"/>
        </w:rPr>
        <w:t>4.b</w:t>
      </w:r>
      <w:r w:rsidRPr="00B81A4F">
        <w:rPr>
          <w:rFonts w:cs="Arial"/>
        </w:rPr>
        <w:t>）。</w:t>
      </w:r>
    </w:p>
    <w:p w14:paraId="24FF982C" w14:textId="058D244B" w:rsidR="00EB1C35" w:rsidRPr="00B81A4F" w:rsidRDefault="00B81A4F" w:rsidP="007B624C">
      <w:pPr>
        <w:pStyle w:val="Paragraphedeliste"/>
        <w:keepNext/>
        <w:numPr>
          <w:ilvl w:val="0"/>
          <w:numId w:val="16"/>
        </w:numPr>
        <w:ind w:left="540" w:hanging="540"/>
        <w:jc w:val="both"/>
        <w:rPr>
          <w:rFonts w:ascii="Arial" w:hAnsi="Arial" w:cs="Arial"/>
          <w:b/>
        </w:rPr>
      </w:pPr>
      <w:r>
        <w:rPr>
          <w:rFonts w:ascii="Arial" w:hAnsi="Arial" w:cs="Arial"/>
          <w:b/>
        </w:rPr>
        <w:t>2003</w:t>
      </w:r>
      <w:r>
        <w:rPr>
          <w:rFonts w:ascii="Arial" w:hAnsi="Arial" w:cs="Arial"/>
          <w:b/>
        </w:rPr>
        <w:t>年《公约》</w:t>
      </w:r>
      <w:r w:rsidR="00AE7A88" w:rsidRPr="00B81A4F">
        <w:rPr>
          <w:rFonts w:ascii="Arial" w:hAnsi="Arial" w:cs="Arial"/>
          <w:b/>
        </w:rPr>
        <w:t>与可持续发展目标</w:t>
      </w:r>
    </w:p>
    <w:p w14:paraId="6DF4CA1E" w14:textId="4AF1087B" w:rsidR="00E70D09" w:rsidRPr="00B81A4F" w:rsidRDefault="00AE7A88"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在整个问卷调查中，缔约国</w:t>
      </w:r>
      <w:r w:rsidR="004C7A72" w:rsidRPr="00B81A4F">
        <w:rPr>
          <w:rFonts w:cs="Arial"/>
          <w:color w:val="000000"/>
          <w:szCs w:val="22"/>
          <w:shd w:val="clear" w:color="auto" w:fill="FFFFFF"/>
        </w:rPr>
        <w:t>均认可</w:t>
      </w:r>
      <w:r w:rsidRPr="00B81A4F">
        <w:rPr>
          <w:rFonts w:cs="Arial"/>
          <w:color w:val="000000"/>
          <w:szCs w:val="22"/>
          <w:shd w:val="clear" w:color="auto" w:fill="FFFFFF"/>
        </w:rPr>
        <w:t>非物质文化遗产具有跨领域性质，并确认其与</w:t>
      </w:r>
      <w:r w:rsidRPr="00B81A4F">
        <w:rPr>
          <w:rFonts w:cs="Arial"/>
          <w:color w:val="000000"/>
          <w:szCs w:val="22"/>
          <w:shd w:val="clear" w:color="auto" w:fill="FFFFFF"/>
        </w:rPr>
        <w:t>2030</w:t>
      </w:r>
      <w:r w:rsidRPr="00B81A4F">
        <w:rPr>
          <w:rFonts w:cs="Arial"/>
          <w:color w:val="000000"/>
          <w:szCs w:val="22"/>
          <w:shd w:val="clear" w:color="auto" w:fill="FFFFFF"/>
        </w:rPr>
        <w:t>年可持续发展议程以及可持续发展目标（</w:t>
      </w:r>
      <w:r w:rsidRPr="00B81A4F">
        <w:rPr>
          <w:rFonts w:cs="Arial"/>
          <w:color w:val="000000"/>
          <w:szCs w:val="22"/>
          <w:shd w:val="clear" w:color="auto" w:fill="FFFFFF"/>
        </w:rPr>
        <w:t>SDG</w:t>
      </w:r>
      <w:r w:rsidRPr="00B81A4F">
        <w:rPr>
          <w:rFonts w:cs="Arial"/>
          <w:color w:val="000000"/>
          <w:szCs w:val="22"/>
          <w:shd w:val="clear" w:color="auto" w:fill="FFFFFF"/>
        </w:rPr>
        <w:t>）具有显著的相关性和一致性。缔约国的反馈还建议将</w:t>
      </w:r>
      <w:r w:rsidR="00FB411F">
        <w:rPr>
          <w:rFonts w:cs="Arial" w:hint="eastAsia"/>
          <w:color w:val="000000"/>
          <w:szCs w:val="22"/>
          <w:shd w:val="clear" w:color="auto" w:fill="FFFFFF"/>
        </w:rPr>
        <w:t>“</w:t>
      </w:r>
      <w:r w:rsidRPr="00B81A4F">
        <w:rPr>
          <w:rFonts w:cs="Arial"/>
          <w:color w:val="000000"/>
          <w:szCs w:val="22"/>
          <w:shd w:val="clear" w:color="auto" w:fill="FFFFFF"/>
        </w:rPr>
        <w:t>在开展能力建设活动中相关部门特定的干预措施</w:t>
      </w:r>
      <w:r w:rsidR="00FB411F">
        <w:rPr>
          <w:rFonts w:cs="Arial" w:hint="eastAsia"/>
          <w:color w:val="000000"/>
          <w:szCs w:val="22"/>
          <w:shd w:val="clear" w:color="auto" w:fill="FFFFFF"/>
        </w:rPr>
        <w:t>”</w:t>
      </w:r>
      <w:r w:rsidRPr="00B81A4F">
        <w:rPr>
          <w:rFonts w:cs="Arial"/>
          <w:color w:val="000000"/>
          <w:szCs w:val="22"/>
          <w:shd w:val="clear" w:color="auto" w:fill="FFFFFF"/>
        </w:rPr>
        <w:t>以及</w:t>
      </w:r>
      <w:r w:rsidR="00FB411F">
        <w:rPr>
          <w:rFonts w:cs="Arial" w:hint="eastAsia"/>
          <w:color w:val="000000"/>
          <w:szCs w:val="22"/>
          <w:shd w:val="clear" w:color="auto" w:fill="FFFFFF"/>
        </w:rPr>
        <w:t>“</w:t>
      </w:r>
      <w:r w:rsidRPr="00B81A4F">
        <w:rPr>
          <w:rFonts w:cs="Arial"/>
          <w:color w:val="000000"/>
          <w:szCs w:val="22"/>
          <w:shd w:val="clear" w:color="auto" w:fill="FFFFFF"/>
        </w:rPr>
        <w:t>有关将非物质文化遗产纳入国家发展规划和政策的切实政策建议</w:t>
      </w:r>
      <w:r w:rsidR="00FB411F">
        <w:rPr>
          <w:rFonts w:cs="Arial" w:hint="eastAsia"/>
          <w:color w:val="000000"/>
          <w:szCs w:val="22"/>
          <w:shd w:val="clear" w:color="auto" w:fill="FFFFFF"/>
        </w:rPr>
        <w:t>”</w:t>
      </w:r>
      <w:r w:rsidRPr="00B81A4F">
        <w:rPr>
          <w:rFonts w:cs="Arial"/>
          <w:color w:val="000000"/>
          <w:szCs w:val="22"/>
          <w:shd w:val="clear" w:color="auto" w:fill="FFFFFF"/>
        </w:rPr>
        <w:t>作为关键行动措施，可以根据</w:t>
      </w:r>
      <w:r w:rsidR="00B81A4F">
        <w:rPr>
          <w:rFonts w:cs="Arial" w:hint="eastAsia"/>
          <w:color w:val="000000"/>
          <w:szCs w:val="22"/>
          <w:shd w:val="clear" w:color="auto" w:fill="FFFFFF"/>
        </w:rPr>
        <w:t>2003</w:t>
      </w:r>
      <w:r w:rsidR="00B81A4F">
        <w:rPr>
          <w:rFonts w:cs="Arial" w:hint="eastAsia"/>
          <w:color w:val="000000"/>
          <w:szCs w:val="22"/>
          <w:shd w:val="clear" w:color="auto" w:fill="FFFFFF"/>
        </w:rPr>
        <w:t>年</w:t>
      </w:r>
      <w:r w:rsidRPr="00B81A4F">
        <w:rPr>
          <w:rFonts w:cs="Arial"/>
          <w:color w:val="000000"/>
          <w:szCs w:val="22"/>
          <w:shd w:val="clear" w:color="auto" w:fill="FFFFFF"/>
        </w:rPr>
        <w:t>《公约》来开展这些措施，从而为缔约国实施</w:t>
      </w:r>
      <w:r w:rsidRPr="00B81A4F">
        <w:rPr>
          <w:rFonts w:cs="Arial"/>
          <w:color w:val="000000"/>
          <w:szCs w:val="22"/>
          <w:shd w:val="clear" w:color="auto" w:fill="FFFFFF"/>
        </w:rPr>
        <w:t>2030</w:t>
      </w:r>
      <w:r w:rsidRPr="00B81A4F">
        <w:rPr>
          <w:rFonts w:cs="Arial"/>
          <w:color w:val="000000"/>
          <w:szCs w:val="22"/>
          <w:shd w:val="clear" w:color="auto" w:fill="FFFFFF"/>
        </w:rPr>
        <w:t>年议程提供支持（问题</w:t>
      </w:r>
      <w:r w:rsidRPr="00B81A4F">
        <w:rPr>
          <w:rFonts w:cs="Arial"/>
          <w:color w:val="000000"/>
          <w:szCs w:val="22"/>
          <w:shd w:val="clear" w:color="auto" w:fill="FFFFFF"/>
        </w:rPr>
        <w:t>6.a</w:t>
      </w:r>
      <w:r w:rsidRPr="00B81A4F">
        <w:rPr>
          <w:rFonts w:cs="Arial"/>
          <w:color w:val="000000"/>
          <w:szCs w:val="22"/>
          <w:shd w:val="clear" w:color="auto" w:fill="FFFFFF"/>
        </w:rPr>
        <w:t>和</w:t>
      </w:r>
      <w:r w:rsidRPr="00B81A4F">
        <w:rPr>
          <w:rFonts w:cs="Arial"/>
          <w:color w:val="000000"/>
          <w:szCs w:val="22"/>
          <w:shd w:val="clear" w:color="auto" w:fill="FFFFFF"/>
        </w:rPr>
        <w:t>6.b</w:t>
      </w:r>
      <w:r w:rsidRPr="00B81A4F">
        <w:rPr>
          <w:rFonts w:cs="Arial"/>
          <w:color w:val="000000"/>
          <w:szCs w:val="22"/>
          <w:shd w:val="clear" w:color="auto" w:fill="FFFFFF"/>
        </w:rPr>
        <w:t>）。在对问题</w:t>
      </w:r>
      <w:r w:rsidRPr="00B81A4F">
        <w:rPr>
          <w:rFonts w:cs="Arial"/>
          <w:color w:val="000000"/>
          <w:szCs w:val="22"/>
          <w:shd w:val="clear" w:color="auto" w:fill="FFFFFF"/>
        </w:rPr>
        <w:t>5.a</w:t>
      </w:r>
      <w:r w:rsidRPr="00B81A4F">
        <w:rPr>
          <w:rFonts w:cs="Arial"/>
          <w:color w:val="000000"/>
          <w:szCs w:val="22"/>
          <w:shd w:val="clear" w:color="auto" w:fill="FFFFFF"/>
        </w:rPr>
        <w:t>和</w:t>
      </w:r>
      <w:r w:rsidRPr="00B81A4F">
        <w:rPr>
          <w:rFonts w:cs="Arial"/>
          <w:color w:val="000000"/>
          <w:szCs w:val="22"/>
          <w:shd w:val="clear" w:color="auto" w:fill="FFFFFF"/>
        </w:rPr>
        <w:t>5.b</w:t>
      </w:r>
      <w:r w:rsidRPr="00B81A4F">
        <w:rPr>
          <w:rFonts w:cs="Arial"/>
          <w:color w:val="000000"/>
          <w:szCs w:val="22"/>
          <w:shd w:val="clear" w:color="auto" w:fill="FFFFFF"/>
        </w:rPr>
        <w:t>的回答（图</w:t>
      </w:r>
      <w:r w:rsidRPr="00B81A4F">
        <w:rPr>
          <w:rFonts w:cs="Arial"/>
          <w:color w:val="000000"/>
          <w:szCs w:val="22"/>
          <w:shd w:val="clear" w:color="auto" w:fill="FFFFFF"/>
        </w:rPr>
        <w:t>1</w:t>
      </w:r>
      <w:r w:rsidRPr="00B81A4F">
        <w:rPr>
          <w:rFonts w:cs="Arial"/>
          <w:color w:val="000000"/>
          <w:szCs w:val="22"/>
          <w:shd w:val="clear" w:color="auto" w:fill="FFFFFF"/>
        </w:rPr>
        <w:t>）中，缔约国强调</w:t>
      </w:r>
      <w:r w:rsidRPr="00B81A4F">
        <w:rPr>
          <w:rFonts w:cs="Arial"/>
          <w:color w:val="000000"/>
          <w:szCs w:val="22"/>
          <w:shd w:val="clear" w:color="auto" w:fill="FFFFFF"/>
        </w:rPr>
        <w:t>SDG 4</w:t>
      </w:r>
      <w:r w:rsidRPr="00B81A4F">
        <w:rPr>
          <w:rFonts w:cs="Arial"/>
          <w:color w:val="000000"/>
          <w:szCs w:val="22"/>
          <w:shd w:val="clear" w:color="auto" w:fill="FFFFFF"/>
        </w:rPr>
        <w:t>、</w:t>
      </w:r>
      <w:r w:rsidRPr="00B81A4F">
        <w:rPr>
          <w:rFonts w:cs="Arial"/>
          <w:color w:val="000000"/>
          <w:szCs w:val="22"/>
          <w:shd w:val="clear" w:color="auto" w:fill="FFFFFF"/>
        </w:rPr>
        <w:t>5</w:t>
      </w:r>
      <w:r w:rsidRPr="00B81A4F">
        <w:rPr>
          <w:rFonts w:cs="Arial"/>
          <w:color w:val="000000"/>
          <w:szCs w:val="22"/>
          <w:shd w:val="clear" w:color="auto" w:fill="FFFFFF"/>
        </w:rPr>
        <w:t>、</w:t>
      </w:r>
      <w:r w:rsidRPr="00B81A4F">
        <w:rPr>
          <w:rFonts w:cs="Arial"/>
          <w:color w:val="000000"/>
          <w:szCs w:val="22"/>
          <w:shd w:val="clear" w:color="auto" w:fill="FFFFFF"/>
        </w:rPr>
        <w:t>8</w:t>
      </w:r>
      <w:r w:rsidRPr="00B81A4F">
        <w:rPr>
          <w:rFonts w:cs="Arial"/>
          <w:color w:val="000000"/>
          <w:szCs w:val="22"/>
          <w:shd w:val="clear" w:color="auto" w:fill="FFFFFF"/>
        </w:rPr>
        <w:t>、</w:t>
      </w:r>
      <w:r w:rsidRPr="00B81A4F">
        <w:rPr>
          <w:rFonts w:cs="Arial"/>
          <w:color w:val="000000"/>
          <w:szCs w:val="22"/>
          <w:shd w:val="clear" w:color="auto" w:fill="FFFFFF"/>
        </w:rPr>
        <w:t>11</w:t>
      </w:r>
      <w:r w:rsidRPr="00B81A4F">
        <w:rPr>
          <w:rFonts w:cs="Arial"/>
          <w:color w:val="000000"/>
          <w:szCs w:val="22"/>
          <w:shd w:val="clear" w:color="auto" w:fill="FFFFFF"/>
        </w:rPr>
        <w:t>、</w:t>
      </w:r>
      <w:r w:rsidRPr="00B81A4F">
        <w:rPr>
          <w:rFonts w:cs="Arial"/>
          <w:color w:val="000000"/>
          <w:szCs w:val="22"/>
          <w:shd w:val="clear" w:color="auto" w:fill="FFFFFF"/>
        </w:rPr>
        <w:t>16</w:t>
      </w:r>
      <w:r w:rsidRPr="00B81A4F">
        <w:rPr>
          <w:rFonts w:cs="Arial"/>
          <w:color w:val="000000"/>
          <w:szCs w:val="22"/>
          <w:shd w:val="clear" w:color="auto" w:fill="FFFFFF"/>
        </w:rPr>
        <w:t>及其相应目标最为相关，包括：</w:t>
      </w:r>
    </w:p>
    <w:p w14:paraId="62FACF1E" w14:textId="17F147CE" w:rsidR="00143DF7" w:rsidRPr="00B81A4F" w:rsidRDefault="00143DF7" w:rsidP="00143DF7">
      <w:pPr>
        <w:pStyle w:val="Paragraphedeliste"/>
        <w:numPr>
          <w:ilvl w:val="0"/>
          <w:numId w:val="11"/>
        </w:numPr>
        <w:spacing w:after="160" w:line="259" w:lineRule="auto"/>
        <w:jc w:val="both"/>
        <w:rPr>
          <w:rFonts w:ascii="Arial" w:hAnsi="Arial" w:cs="Arial"/>
          <w:snapToGrid w:val="0"/>
          <w:color w:val="000000"/>
          <w:szCs w:val="22"/>
          <w:shd w:val="clear" w:color="auto" w:fill="FFFFFF"/>
        </w:rPr>
      </w:pPr>
      <w:r w:rsidRPr="00B81A4F">
        <w:rPr>
          <w:rFonts w:ascii="Arial" w:hAnsi="Arial" w:cs="Arial"/>
          <w:snapToGrid w:val="0"/>
          <w:color w:val="000000"/>
          <w:szCs w:val="22"/>
          <w:shd w:val="clear" w:color="auto" w:fill="FFFFFF"/>
        </w:rPr>
        <w:t>目标</w:t>
      </w:r>
      <w:r w:rsidRPr="00B81A4F">
        <w:rPr>
          <w:rFonts w:ascii="Arial" w:hAnsi="Arial" w:cs="Arial"/>
          <w:snapToGrid w:val="0"/>
          <w:color w:val="000000"/>
          <w:szCs w:val="22"/>
          <w:shd w:val="clear" w:color="auto" w:fill="FFFFFF"/>
        </w:rPr>
        <w:t>4.7</w:t>
      </w:r>
      <w:r w:rsidRPr="00B81A4F">
        <w:rPr>
          <w:rFonts w:ascii="Arial" w:hAnsi="Arial" w:cs="Arial"/>
          <w:snapToGrid w:val="0"/>
          <w:color w:val="000000"/>
          <w:szCs w:val="22"/>
          <w:shd w:val="clear" w:color="auto" w:fill="FFFFFF"/>
        </w:rPr>
        <w:t>可持续发展教育；</w:t>
      </w:r>
    </w:p>
    <w:p w14:paraId="4AE8933B" w14:textId="23E0E865" w:rsidR="00143DF7" w:rsidRPr="00B81A4F" w:rsidRDefault="00143DF7" w:rsidP="00143DF7">
      <w:pPr>
        <w:pStyle w:val="Paragraphedeliste"/>
        <w:numPr>
          <w:ilvl w:val="0"/>
          <w:numId w:val="11"/>
        </w:numPr>
        <w:spacing w:after="160" w:line="259" w:lineRule="auto"/>
        <w:jc w:val="both"/>
        <w:rPr>
          <w:rFonts w:ascii="Arial" w:hAnsi="Arial" w:cs="Arial"/>
          <w:snapToGrid w:val="0"/>
          <w:color w:val="000000"/>
          <w:szCs w:val="22"/>
          <w:shd w:val="clear" w:color="auto" w:fill="FFFFFF"/>
        </w:rPr>
      </w:pPr>
      <w:r w:rsidRPr="00B81A4F">
        <w:rPr>
          <w:rFonts w:ascii="Arial" w:hAnsi="Arial" w:cs="Arial"/>
          <w:snapToGrid w:val="0"/>
          <w:color w:val="000000"/>
          <w:szCs w:val="22"/>
          <w:shd w:val="clear" w:color="auto" w:fill="FFFFFF"/>
        </w:rPr>
        <w:t>目标</w:t>
      </w:r>
      <w:r w:rsidRPr="00B81A4F">
        <w:rPr>
          <w:rFonts w:ascii="Arial" w:hAnsi="Arial" w:cs="Arial"/>
          <w:snapToGrid w:val="0"/>
          <w:color w:val="000000"/>
          <w:szCs w:val="22"/>
          <w:shd w:val="clear" w:color="auto" w:fill="FFFFFF"/>
        </w:rPr>
        <w:t>11.4</w:t>
      </w:r>
      <w:r w:rsidRPr="00B81A4F">
        <w:rPr>
          <w:rFonts w:ascii="Arial" w:hAnsi="Arial" w:cs="Arial"/>
          <w:snapToGrid w:val="0"/>
          <w:color w:val="000000"/>
          <w:szCs w:val="22"/>
          <w:shd w:val="clear" w:color="auto" w:fill="FFFFFF"/>
        </w:rPr>
        <w:t>保护文化和自然遗产；</w:t>
      </w:r>
    </w:p>
    <w:p w14:paraId="57651666" w14:textId="78E57EAF" w:rsidR="00143DF7" w:rsidRPr="00B81A4F" w:rsidRDefault="00143DF7" w:rsidP="00143DF7">
      <w:pPr>
        <w:pStyle w:val="Paragraphedeliste"/>
        <w:numPr>
          <w:ilvl w:val="0"/>
          <w:numId w:val="11"/>
        </w:numPr>
        <w:spacing w:after="160" w:line="259" w:lineRule="auto"/>
        <w:jc w:val="both"/>
        <w:rPr>
          <w:rFonts w:ascii="Arial" w:hAnsi="Arial" w:cs="Arial"/>
          <w:snapToGrid w:val="0"/>
          <w:color w:val="000000"/>
          <w:szCs w:val="22"/>
          <w:shd w:val="clear" w:color="auto" w:fill="FFFFFF"/>
        </w:rPr>
      </w:pPr>
      <w:r w:rsidRPr="00B81A4F">
        <w:rPr>
          <w:rFonts w:ascii="Arial" w:hAnsi="Arial" w:cs="Arial"/>
          <w:snapToGrid w:val="0"/>
          <w:color w:val="000000"/>
          <w:szCs w:val="22"/>
          <w:shd w:val="clear" w:color="auto" w:fill="FFFFFF"/>
        </w:rPr>
        <w:t>目标</w:t>
      </w:r>
      <w:r w:rsidRPr="00B81A4F">
        <w:rPr>
          <w:rFonts w:ascii="Arial" w:hAnsi="Arial" w:cs="Arial"/>
          <w:snapToGrid w:val="0"/>
          <w:color w:val="000000"/>
          <w:szCs w:val="22"/>
          <w:shd w:val="clear" w:color="auto" w:fill="FFFFFF"/>
        </w:rPr>
        <w:t>8.9</w:t>
      </w:r>
      <w:r w:rsidRPr="00B81A4F">
        <w:rPr>
          <w:rFonts w:ascii="Arial" w:hAnsi="Arial" w:cs="Arial"/>
          <w:snapToGrid w:val="0"/>
          <w:color w:val="000000"/>
          <w:szCs w:val="22"/>
          <w:shd w:val="clear" w:color="auto" w:fill="FFFFFF"/>
        </w:rPr>
        <w:t>促进可持续旅游的政策；</w:t>
      </w:r>
    </w:p>
    <w:p w14:paraId="5C04A522" w14:textId="5B60EB4A" w:rsidR="00A22CF6" w:rsidRPr="00B81A4F" w:rsidRDefault="003673A8" w:rsidP="00A22CF6">
      <w:pPr>
        <w:pStyle w:val="Paragraphedeliste"/>
        <w:numPr>
          <w:ilvl w:val="0"/>
          <w:numId w:val="11"/>
        </w:numPr>
        <w:spacing w:after="160" w:line="259" w:lineRule="auto"/>
        <w:jc w:val="both"/>
        <w:rPr>
          <w:rFonts w:ascii="Arial" w:hAnsi="Arial" w:cs="Arial"/>
          <w:snapToGrid w:val="0"/>
          <w:color w:val="000000"/>
          <w:szCs w:val="22"/>
          <w:shd w:val="clear" w:color="auto" w:fill="FFFFFF"/>
        </w:rPr>
      </w:pPr>
      <w:r w:rsidRPr="00B81A4F">
        <w:rPr>
          <w:rFonts w:ascii="Arial" w:hAnsi="Arial" w:cs="Arial"/>
          <w:snapToGrid w:val="0"/>
          <w:color w:val="000000"/>
          <w:szCs w:val="22"/>
          <w:shd w:val="clear" w:color="auto" w:fill="FFFFFF"/>
        </w:rPr>
        <w:t>目标</w:t>
      </w:r>
      <w:r w:rsidRPr="00B81A4F">
        <w:rPr>
          <w:rFonts w:ascii="Arial" w:hAnsi="Arial" w:cs="Arial"/>
          <w:snapToGrid w:val="0"/>
          <w:color w:val="000000"/>
          <w:szCs w:val="22"/>
          <w:shd w:val="clear" w:color="auto" w:fill="FFFFFF"/>
        </w:rPr>
        <w:t>5.1</w:t>
      </w:r>
      <w:r w:rsidRPr="00B81A4F">
        <w:rPr>
          <w:rFonts w:ascii="Arial" w:hAnsi="Arial" w:cs="Arial"/>
          <w:snapToGrid w:val="0"/>
          <w:color w:val="000000"/>
          <w:szCs w:val="22"/>
          <w:shd w:val="clear" w:color="auto" w:fill="FFFFFF"/>
        </w:rPr>
        <w:t>消除对妇女和女孩的歧视；以及</w:t>
      </w:r>
    </w:p>
    <w:p w14:paraId="0D5C80CA" w14:textId="20F34EE9" w:rsidR="00C04D3E" w:rsidRPr="00B81A4F" w:rsidRDefault="008E5CE0" w:rsidP="007B624C">
      <w:pPr>
        <w:pStyle w:val="Paragraphedeliste"/>
        <w:keepLines/>
        <w:numPr>
          <w:ilvl w:val="0"/>
          <w:numId w:val="11"/>
        </w:numPr>
        <w:spacing w:after="160" w:line="259" w:lineRule="auto"/>
        <w:ind w:left="1354"/>
        <w:jc w:val="both"/>
        <w:rPr>
          <w:rFonts w:ascii="Arial" w:hAnsi="Arial" w:cs="Arial"/>
          <w:snapToGrid w:val="0"/>
          <w:color w:val="000000"/>
          <w:szCs w:val="22"/>
          <w:shd w:val="clear" w:color="auto" w:fill="FFFFFF"/>
        </w:rPr>
      </w:pPr>
      <w:r w:rsidRPr="00B81A4F">
        <w:rPr>
          <w:rFonts w:ascii="Arial" w:hAnsi="Arial" w:cs="Arial"/>
          <w:snapToGrid w:val="0"/>
          <w:color w:val="000000"/>
          <w:szCs w:val="22"/>
          <w:shd w:val="clear" w:color="auto" w:fill="FFFFFF"/>
        </w:rPr>
        <w:t>目标</w:t>
      </w:r>
      <w:r w:rsidRPr="00B81A4F">
        <w:rPr>
          <w:rFonts w:ascii="Arial" w:hAnsi="Arial" w:cs="Arial"/>
          <w:snapToGrid w:val="0"/>
          <w:color w:val="000000"/>
          <w:szCs w:val="22"/>
          <w:shd w:val="clear" w:color="auto" w:fill="FFFFFF"/>
        </w:rPr>
        <w:t>16.7</w:t>
      </w:r>
      <w:r w:rsidRPr="00B81A4F">
        <w:rPr>
          <w:rFonts w:ascii="Arial" w:hAnsi="Arial" w:cs="Arial"/>
          <w:snapToGrid w:val="0"/>
          <w:color w:val="000000"/>
          <w:szCs w:val="22"/>
          <w:shd w:val="clear" w:color="auto" w:fill="FFFFFF"/>
        </w:rPr>
        <w:t>确保各级决策的包容性和参与性。</w:t>
      </w:r>
    </w:p>
    <w:p w14:paraId="7D5B8FE5" w14:textId="79E0E933" w:rsidR="00534397" w:rsidRPr="00B81A4F" w:rsidRDefault="008E0C15" w:rsidP="00CC165D">
      <w:pPr>
        <w:pStyle w:val="Marge"/>
        <w:numPr>
          <w:ilvl w:val="0"/>
          <w:numId w:val="9"/>
        </w:numPr>
        <w:spacing w:after="120"/>
        <w:ind w:left="567" w:hanging="567"/>
        <w:rPr>
          <w:rFonts w:cs="Arial"/>
          <w:color w:val="000000"/>
          <w:szCs w:val="22"/>
          <w:shd w:val="clear" w:color="auto" w:fill="FFFFFF"/>
        </w:rPr>
      </w:pPr>
      <w:r w:rsidRPr="00B81A4F">
        <w:rPr>
          <w:rFonts w:cs="Arial"/>
          <w:noProof/>
          <w:lang w:val="fr-FR" w:eastAsia="ja-JP"/>
        </w:rPr>
        <w:lastRenderedPageBreak/>
        <mc:AlternateContent>
          <mc:Choice Requires="wps">
            <w:drawing>
              <wp:anchor distT="0" distB="0" distL="114300" distR="114300" simplePos="0" relativeHeight="251684864" behindDoc="0" locked="0" layoutInCell="1" allowOverlap="1" wp14:anchorId="2CC11F7B" wp14:editId="5BE783D2">
                <wp:simplePos x="0" y="0"/>
                <wp:positionH relativeFrom="margin">
                  <wp:align>left</wp:align>
                </wp:positionH>
                <wp:positionV relativeFrom="paragraph">
                  <wp:posOffset>3124200</wp:posOffset>
                </wp:positionV>
                <wp:extent cx="5925185" cy="2266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5925185" cy="226695"/>
                        </a:xfrm>
                        <a:prstGeom prst="rect">
                          <a:avLst/>
                        </a:prstGeom>
                        <a:solidFill>
                          <a:prstClr val="white"/>
                        </a:solidFill>
                        <a:ln>
                          <a:noFill/>
                        </a:ln>
                      </wps:spPr>
                      <wps:txbx>
                        <w:txbxContent>
                          <w:p w14:paraId="4B1993AA" w14:textId="77777777" w:rsidR="008E0C15" w:rsidRPr="007939CB" w:rsidRDefault="008E0C15" w:rsidP="008E0C15">
                            <w:pPr>
                              <w:pStyle w:val="Lgende"/>
                              <w:rPr>
                                <w:rFonts w:cs="Arial"/>
                                <w:noProof/>
                                <w:color w:val="000000" w:themeColor="text1"/>
                              </w:rPr>
                            </w:pPr>
                            <w:r>
                              <w:rPr>
                                <w:rFonts w:ascii="Arial" w:hAnsi="Arial" w:hint="eastAsia"/>
                                <w:color w:val="000000" w:themeColor="text1"/>
                              </w:rPr>
                              <w:t>图</w:t>
                            </w:r>
                            <w:r w:rsidRPr="008E5CE0">
                              <w:rPr>
                                <w:rFonts w:ascii="Arial" w:hAnsi="Arial" w:cs="Arial" w:hint="eastAsia"/>
                                <w:color w:val="000000" w:themeColor="text1"/>
                              </w:rPr>
                              <w:fldChar w:fldCharType="begin"/>
                            </w:r>
                            <w:r w:rsidRPr="008E5CE0">
                              <w:rPr>
                                <w:rFonts w:ascii="Arial" w:hAnsi="Arial" w:cs="Arial" w:hint="eastAsia"/>
                                <w:color w:val="000000" w:themeColor="text1"/>
                              </w:rPr>
                              <w:instrText xml:space="preserve"> SEQ Figure \* ARABIC </w:instrText>
                            </w:r>
                            <w:r w:rsidRPr="008E5CE0">
                              <w:rPr>
                                <w:rFonts w:ascii="Arial" w:hAnsi="Arial" w:cs="Arial" w:hint="eastAsia"/>
                                <w:color w:val="000000" w:themeColor="text1"/>
                              </w:rPr>
                              <w:fldChar w:fldCharType="separate"/>
                            </w:r>
                            <w:r>
                              <w:rPr>
                                <w:rFonts w:ascii="Arial" w:hAnsi="Arial" w:cs="Arial"/>
                                <w:noProof/>
                                <w:color w:val="000000" w:themeColor="text1"/>
                              </w:rPr>
                              <w:t>1</w:t>
                            </w:r>
                            <w:r w:rsidRPr="008E5CE0">
                              <w:rPr>
                                <w:rFonts w:ascii="Arial" w:hAnsi="Arial" w:cs="Arial" w:hint="eastAsia"/>
                                <w:color w:val="000000" w:themeColor="text1"/>
                              </w:rPr>
                              <w:fldChar w:fldCharType="end"/>
                            </w:r>
                            <w:r>
                              <w:rPr>
                                <w:rFonts w:ascii="Arial" w:hAnsi="Arial" w:hint="eastAsia"/>
                                <w:color w:val="000000" w:themeColor="text1"/>
                              </w:rPr>
                              <w:t>《</w:t>
                            </w:r>
                            <w:r>
                              <w:rPr>
                                <w:rFonts w:ascii="Arial" w:hAnsi="Arial" w:hint="eastAsia"/>
                                <w:color w:val="000000" w:themeColor="text1"/>
                              </w:rPr>
                              <w:t>2003</w:t>
                            </w:r>
                            <w:r>
                              <w:rPr>
                                <w:rFonts w:ascii="Arial" w:hAnsi="Arial" w:hint="eastAsia"/>
                                <w:color w:val="000000" w:themeColor="text1"/>
                              </w:rPr>
                              <w:t>年公约》与可持续发展目标的相关性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C11F7B" id="_x0000_t202" coordsize="21600,21600" o:spt="202" path="m,l,21600r21600,l21600,xe">
                <v:stroke joinstyle="miter"/>
                <v:path gradientshapeok="t" o:connecttype="rect"/>
              </v:shapetype>
              <v:shape id="Text Box 3" o:spid="_x0000_s1026" type="#_x0000_t202" style="position:absolute;left:0;text-align:left;margin-left:0;margin-top:246pt;width:466.55pt;height:17.8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" stroked="f">
                <v:textbox inset="0,0,0,0">
                  <w:txbxContent>
                    <w:p w14:paraId="4B1993AA" w14:textId="77777777" w:rsidR="008E0C15" w:rsidRPr="007939CB" w:rsidRDefault="008E0C15" w:rsidP="008E0C15">
                      <w:pPr>
                        <w:pStyle w:val="Caption"/>
                        <w:rPr>
                          <w:rFonts w:cs="Arial"/>
                          <w:noProof/>
                          <w:color w:val="000000" w:themeColor="text1"/>
                        </w:rPr>
                      </w:pPr>
                      <w:r>
                        <w:rPr>
                          <w:rFonts w:ascii="Arial" w:hAnsi="Arial" w:hint="eastAsia"/>
                          <w:color w:val="000000" w:themeColor="text1"/>
                        </w:rPr>
                        <w:t>图</w:t>
                      </w:r>
                      <w:r w:rsidRPr="008E5CE0">
                        <w:rPr>
                          <w:rFonts w:ascii="Arial" w:hAnsi="Arial" w:cs="Arial" w:hint="eastAsia"/>
                          <w:color w:val="000000" w:themeColor="text1"/>
                        </w:rPr>
                        <w:fldChar w:fldCharType="begin"/>
                      </w:r>
                      <w:r w:rsidRPr="008E5CE0">
                        <w:rPr>
                          <w:rFonts w:ascii="Arial" w:hAnsi="Arial" w:cs="Arial" w:hint="eastAsia"/>
                          <w:color w:val="000000" w:themeColor="text1"/>
                        </w:rPr>
                        <w:instrText xml:space="preserve"> SEQ Figure \* ARABIC </w:instrText>
                      </w:r>
                      <w:r w:rsidRPr="008E5CE0">
                        <w:rPr>
                          <w:rFonts w:ascii="Arial" w:hAnsi="Arial" w:cs="Arial" w:hint="eastAsia"/>
                          <w:color w:val="000000" w:themeColor="text1"/>
                        </w:rPr>
                        <w:fldChar w:fldCharType="separate"/>
                      </w:r>
                      <w:r>
                        <w:rPr>
                          <w:rFonts w:ascii="Arial" w:hAnsi="Arial" w:cs="Arial"/>
                          <w:noProof/>
                          <w:color w:val="000000" w:themeColor="text1"/>
                        </w:rPr>
                        <w:t>1</w:t>
                      </w:r>
                      <w:r w:rsidRPr="008E5CE0">
                        <w:rPr>
                          <w:rFonts w:ascii="Arial" w:hAnsi="Arial" w:cs="Arial" w:hint="eastAsia"/>
                          <w:color w:val="000000" w:themeColor="text1"/>
                        </w:rPr>
                        <w:fldChar w:fldCharType="end"/>
                      </w:r>
                      <w:r>
                        <w:rPr>
                          <w:rFonts w:ascii="Arial" w:hAnsi="Arial" w:hint="eastAsia"/>
                          <w:color w:val="000000" w:themeColor="text1"/>
                        </w:rPr>
                        <w:t>《</w:t>
                      </w:r>
                      <w:r>
                        <w:rPr>
                          <w:rFonts w:ascii="Arial" w:hAnsi="Arial" w:hint="eastAsia"/>
                          <w:color w:val="000000" w:themeColor="text1"/>
                        </w:rPr>
                        <w:t>2003</w:t>
                      </w:r>
                      <w:r>
                        <w:rPr>
                          <w:rFonts w:ascii="Arial" w:hAnsi="Arial" w:hint="eastAsia"/>
                          <w:color w:val="000000" w:themeColor="text1"/>
                        </w:rPr>
                        <w:t>年公约》与可持续发展目标的相关性</w:t>
                      </w:r>
                    </w:p>
                  </w:txbxContent>
                </v:textbox>
                <w10:wrap type="square" anchorx="margin"/>
              </v:shape>
            </w:pict>
          </mc:Fallback>
        </mc:AlternateContent>
      </w:r>
      <w:r w:rsidRPr="00B81A4F">
        <w:rPr>
          <w:rFonts w:cs="Arial"/>
          <w:noProof/>
          <w:lang w:val="fr-FR" w:eastAsia="ja-JP"/>
        </w:rPr>
        <w:drawing>
          <wp:anchor distT="0" distB="0" distL="114300" distR="114300" simplePos="0" relativeHeight="251687936" behindDoc="0" locked="0" layoutInCell="1" allowOverlap="1" wp14:anchorId="005E682F" wp14:editId="68C98CF1">
            <wp:simplePos x="0" y="0"/>
            <wp:positionH relativeFrom="column">
              <wp:posOffset>1270</wp:posOffset>
            </wp:positionH>
            <wp:positionV relativeFrom="paragraph">
              <wp:posOffset>0</wp:posOffset>
            </wp:positionV>
            <wp:extent cx="6115050" cy="2999740"/>
            <wp:effectExtent l="0" t="0" r="0" b="10160"/>
            <wp:wrapSquare wrapText="bothSides"/>
            <wp:docPr id="12" name="Chart 12">
              <a:extLst xmlns:a="http://schemas.openxmlformats.org/drawingml/2006/main">
                <a:ext uri="{FF2B5EF4-FFF2-40B4-BE49-F238E27FC236}">
                  <a16:creationId xmlns:a16="http://schemas.microsoft.com/office/drawing/2014/main" id="{FF7C65D9-512F-454D-802A-27402E860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34397" w:rsidRPr="00B81A4F">
        <w:rPr>
          <w:rFonts w:cs="Arial"/>
          <w:color w:val="000000"/>
          <w:szCs w:val="22"/>
          <w:shd w:val="clear" w:color="auto" w:fill="FFFFFF"/>
        </w:rPr>
        <w:t>缔约国特别强调了目标</w:t>
      </w:r>
      <w:r w:rsidR="00534397" w:rsidRPr="00B81A4F">
        <w:rPr>
          <w:rFonts w:cs="Arial"/>
          <w:color w:val="000000"/>
          <w:szCs w:val="22"/>
          <w:shd w:val="clear" w:color="auto" w:fill="FFFFFF"/>
        </w:rPr>
        <w:t>4.7</w:t>
      </w:r>
      <w:r w:rsidR="00534397" w:rsidRPr="00B81A4F">
        <w:rPr>
          <w:rFonts w:cs="Arial"/>
          <w:color w:val="000000"/>
          <w:szCs w:val="22"/>
          <w:shd w:val="clear" w:color="auto" w:fill="FFFFFF"/>
        </w:rPr>
        <w:t>（</w:t>
      </w:r>
      <w:r w:rsidR="00534397" w:rsidRPr="00B81A4F">
        <w:rPr>
          <w:rFonts w:cs="Arial"/>
          <w:snapToGrid/>
          <w:color w:val="000000"/>
          <w:szCs w:val="22"/>
          <w:shd w:val="clear" w:color="auto" w:fill="FFFFFF"/>
        </w:rPr>
        <w:t>可持续发展教育</w:t>
      </w:r>
      <w:r w:rsidR="00534397" w:rsidRPr="00B81A4F">
        <w:rPr>
          <w:rFonts w:cs="Arial"/>
          <w:color w:val="000000"/>
          <w:szCs w:val="22"/>
          <w:shd w:val="clear" w:color="auto" w:fill="FFFFFF"/>
        </w:rPr>
        <w:t>），高度赞赏了与教育部门在非物质文化遗产和教育方面开展的跨部门工作，此项调查结果还重申缔约国对继续就此主题开展工作的支持（问题</w:t>
      </w:r>
      <w:r w:rsidR="00534397" w:rsidRPr="00B81A4F">
        <w:rPr>
          <w:rFonts w:cs="Arial"/>
          <w:color w:val="000000"/>
          <w:szCs w:val="22"/>
          <w:shd w:val="clear" w:color="auto" w:fill="FFFFFF"/>
        </w:rPr>
        <w:t>5.b</w:t>
      </w:r>
      <w:r w:rsidR="00534397" w:rsidRPr="00B81A4F">
        <w:rPr>
          <w:rFonts w:cs="Arial"/>
          <w:color w:val="000000"/>
          <w:szCs w:val="22"/>
          <w:shd w:val="clear" w:color="auto" w:fill="FFFFFF"/>
        </w:rPr>
        <w:t>、</w:t>
      </w:r>
      <w:r w:rsidR="00534397" w:rsidRPr="00B81A4F">
        <w:rPr>
          <w:rFonts w:cs="Arial"/>
          <w:color w:val="000000"/>
          <w:szCs w:val="22"/>
          <w:shd w:val="clear" w:color="auto" w:fill="FFFFFF"/>
        </w:rPr>
        <w:t>6.b</w:t>
      </w:r>
      <w:r w:rsidR="00534397" w:rsidRPr="00B81A4F">
        <w:rPr>
          <w:rFonts w:cs="Arial"/>
          <w:color w:val="000000"/>
          <w:szCs w:val="22"/>
          <w:shd w:val="clear" w:color="auto" w:fill="FFFFFF"/>
        </w:rPr>
        <w:t>、</w:t>
      </w:r>
      <w:r w:rsidR="00534397" w:rsidRPr="00B81A4F">
        <w:rPr>
          <w:rFonts w:cs="Arial"/>
          <w:color w:val="000000"/>
          <w:szCs w:val="22"/>
          <w:shd w:val="clear" w:color="auto" w:fill="FFFFFF"/>
        </w:rPr>
        <w:t>7.a</w:t>
      </w:r>
      <w:r w:rsidR="00534397" w:rsidRPr="00B81A4F">
        <w:rPr>
          <w:rFonts w:cs="Arial"/>
          <w:color w:val="000000"/>
          <w:szCs w:val="22"/>
          <w:shd w:val="clear" w:color="auto" w:fill="FFFFFF"/>
        </w:rPr>
        <w:t>和</w:t>
      </w:r>
      <w:r w:rsidR="00534397" w:rsidRPr="00B81A4F">
        <w:rPr>
          <w:rFonts w:cs="Arial"/>
          <w:color w:val="000000"/>
          <w:szCs w:val="22"/>
          <w:shd w:val="clear" w:color="auto" w:fill="FFFFFF"/>
        </w:rPr>
        <w:t>9.a</w:t>
      </w:r>
      <w:r w:rsidR="00534397" w:rsidRPr="00B81A4F">
        <w:rPr>
          <w:rFonts w:cs="Arial"/>
          <w:color w:val="000000"/>
          <w:szCs w:val="22"/>
          <w:shd w:val="clear" w:color="auto" w:fill="FFFFFF"/>
        </w:rPr>
        <w:t>）。缔约国强调，将非物质文化遗产纳入正规</w:t>
      </w:r>
      <w:r w:rsidR="00534397" w:rsidRPr="00B81A4F">
        <w:rPr>
          <w:rFonts w:cs="Arial"/>
          <w:color w:val="000000"/>
          <w:szCs w:val="22"/>
          <w:shd w:val="clear" w:color="auto" w:fill="FFFFFF"/>
        </w:rPr>
        <w:t>/</w:t>
      </w:r>
      <w:r w:rsidR="00534397" w:rsidRPr="00B81A4F">
        <w:rPr>
          <w:rFonts w:cs="Arial"/>
          <w:color w:val="000000"/>
          <w:szCs w:val="22"/>
          <w:shd w:val="clear" w:color="auto" w:fill="FFFFFF"/>
        </w:rPr>
        <w:t>非正规教育项目，可以使教育更具包容性和公平性，从而促进终身学习机会（即，有关传统工艺的职业培训）。还强调了通过基于社区的非物质文化遗产方法来确保边缘化和脆弱群体（即，土著人民、流离失所群体）获取教育从而促进建设包容性社会的重要性。</w:t>
      </w:r>
    </w:p>
    <w:p w14:paraId="37C842F6" w14:textId="6936BA7E" w:rsidR="008E5CE0" w:rsidRPr="00B81A4F" w:rsidRDefault="00534397"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通过此次调查，还再次强调了非物质文化遗产在维护社会和平与安全方面的重要作用（问题</w:t>
      </w:r>
      <w:r w:rsidRPr="00B81A4F">
        <w:rPr>
          <w:rFonts w:cs="Arial"/>
          <w:color w:val="000000"/>
          <w:szCs w:val="22"/>
          <w:shd w:val="clear" w:color="auto" w:fill="FFFFFF"/>
        </w:rPr>
        <w:t>7.a</w:t>
      </w:r>
      <w:r w:rsidRPr="00B81A4F">
        <w:rPr>
          <w:rFonts w:cs="Arial"/>
          <w:color w:val="000000"/>
          <w:szCs w:val="22"/>
          <w:shd w:val="clear" w:color="auto" w:fill="FFFFFF"/>
        </w:rPr>
        <w:t>和</w:t>
      </w:r>
      <w:r w:rsidRPr="00B81A4F">
        <w:rPr>
          <w:rFonts w:cs="Arial"/>
          <w:color w:val="000000"/>
          <w:szCs w:val="22"/>
          <w:shd w:val="clear" w:color="auto" w:fill="FFFFFF"/>
        </w:rPr>
        <w:t>7.b</w:t>
      </w:r>
      <w:r w:rsidRPr="00B81A4F">
        <w:rPr>
          <w:rFonts w:cs="Arial"/>
          <w:color w:val="000000"/>
          <w:szCs w:val="22"/>
          <w:shd w:val="clear" w:color="auto" w:fill="FFFFFF"/>
        </w:rPr>
        <w:t>）。缔约国表示，活态遗产是社区之间建立宽容性、复原力、对话和社会凝聚力的重要基础，是促进建设和平社会的有效推动因素（</w:t>
      </w:r>
      <w:r w:rsidRPr="00B81A4F">
        <w:rPr>
          <w:rFonts w:cs="Arial"/>
          <w:color w:val="000000"/>
          <w:szCs w:val="22"/>
          <w:shd w:val="clear" w:color="auto" w:fill="FFFFFF"/>
        </w:rPr>
        <w:t>SDG 16</w:t>
      </w:r>
      <w:r w:rsidRPr="00B81A4F">
        <w:rPr>
          <w:rFonts w:cs="Arial"/>
          <w:color w:val="000000"/>
          <w:szCs w:val="22"/>
          <w:shd w:val="clear" w:color="auto" w:fill="FFFFFF"/>
        </w:rPr>
        <w:t>）。这反映了在紧急情况下针对非物质文化遗产正在开展的工作，其目标是减轻对活态遗产的威胁，并增强其作为复原力和恢复力方面强大工具的作用。</w:t>
      </w:r>
    </w:p>
    <w:p w14:paraId="18BDB5DB" w14:textId="77777777" w:rsidR="00A0186D" w:rsidRPr="00B81A4F" w:rsidRDefault="00A0186D" w:rsidP="007B624C">
      <w:pPr>
        <w:pStyle w:val="Paragraphedeliste"/>
        <w:numPr>
          <w:ilvl w:val="0"/>
          <w:numId w:val="16"/>
        </w:numPr>
        <w:ind w:left="540" w:hanging="540"/>
        <w:jc w:val="both"/>
        <w:rPr>
          <w:rFonts w:ascii="Arial" w:hAnsi="Arial" w:cs="Arial"/>
          <w:b/>
        </w:rPr>
      </w:pPr>
      <w:r w:rsidRPr="00B81A4F">
        <w:rPr>
          <w:rFonts w:ascii="Arial" w:hAnsi="Arial" w:cs="Arial"/>
          <w:b/>
        </w:rPr>
        <w:t>协同效应与合作机遇</w:t>
      </w:r>
    </w:p>
    <w:p w14:paraId="40F647E8" w14:textId="1FBEA91A" w:rsidR="00A0186D" w:rsidRPr="00B81A4F" w:rsidRDefault="00A0186D"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在文化部门之外的教科文组织其他项目中，根据其拟议的主题领域</w:t>
      </w:r>
      <w:r w:rsidR="00B81A4F">
        <w:rPr>
          <w:rFonts w:cs="Arial"/>
          <w:color w:val="000000"/>
          <w:szCs w:val="22"/>
          <w:shd w:val="clear" w:color="auto" w:fill="FFFFFF"/>
        </w:rPr>
        <w:t xml:space="preserve"> </w:t>
      </w:r>
      <w:r w:rsidR="00B81A4F">
        <w:rPr>
          <w:rFonts w:cs="Arial" w:hint="eastAsia"/>
          <w:color w:val="000000"/>
          <w:szCs w:val="22"/>
          <w:shd w:val="clear" w:color="auto" w:fill="FFFFFF"/>
        </w:rPr>
        <w:t>“</w:t>
      </w:r>
      <w:r w:rsidRPr="00B81A4F">
        <w:rPr>
          <w:rFonts w:cs="Arial"/>
          <w:color w:val="000000"/>
          <w:szCs w:val="22"/>
          <w:shd w:val="clear" w:color="auto" w:fill="FFFFFF"/>
        </w:rPr>
        <w:t>非物质文化遗产和环境可持续性</w:t>
      </w:r>
      <w:r w:rsidR="00B81A4F">
        <w:rPr>
          <w:rFonts w:cs="Arial" w:hint="eastAsia"/>
          <w:color w:val="000000"/>
          <w:szCs w:val="22"/>
          <w:shd w:val="clear" w:color="auto" w:fill="FFFFFF"/>
        </w:rPr>
        <w:t>”</w:t>
      </w:r>
      <w:r w:rsidRPr="00B81A4F">
        <w:rPr>
          <w:rFonts w:cs="Arial"/>
          <w:color w:val="000000"/>
          <w:szCs w:val="22"/>
          <w:shd w:val="clear" w:color="auto" w:fill="FFFFFF"/>
        </w:rPr>
        <w:t>，科学部门的人与生物圈计划（</w:t>
      </w:r>
      <w:r w:rsidRPr="00B81A4F">
        <w:rPr>
          <w:rFonts w:cs="Arial"/>
          <w:color w:val="000000"/>
          <w:szCs w:val="22"/>
          <w:shd w:val="clear" w:color="auto" w:fill="FFFFFF"/>
        </w:rPr>
        <w:t>Man and Biosphere Programme</w:t>
      </w:r>
      <w:r w:rsidRPr="00B81A4F">
        <w:rPr>
          <w:rFonts w:cs="Arial"/>
          <w:color w:val="000000"/>
          <w:szCs w:val="22"/>
          <w:shd w:val="clear" w:color="auto" w:fill="FFFFFF"/>
        </w:rPr>
        <w:t>）被认为是</w:t>
      </w:r>
      <w:r w:rsidRPr="00B81A4F">
        <w:rPr>
          <w:rFonts w:cs="Arial"/>
          <w:color w:val="000000"/>
          <w:szCs w:val="22"/>
          <w:shd w:val="clear" w:color="auto" w:fill="FFFFFF"/>
        </w:rPr>
        <w:t>2022-2029</w:t>
      </w:r>
      <w:r w:rsidRPr="00B81A4F">
        <w:rPr>
          <w:rFonts w:cs="Arial"/>
          <w:color w:val="000000"/>
          <w:szCs w:val="22"/>
          <w:shd w:val="clear" w:color="auto" w:fill="FFFFFF"/>
        </w:rPr>
        <w:t>年期间最适合进行合作的项目之一。例如，土著社区的地方和传统知识体系（即公平利用自然资源（水、土地、农业等）以及尊重生态系统和生物多样性）被认为在适应环境挑战和可能减缓气候变化方面具有重要意义（</w:t>
      </w:r>
      <w:r w:rsidRPr="00B81A4F">
        <w:rPr>
          <w:rFonts w:cs="Arial"/>
          <w:color w:val="000000"/>
          <w:szCs w:val="22"/>
          <w:shd w:val="clear" w:color="auto" w:fill="FFFFFF"/>
        </w:rPr>
        <w:t>SDG 12</w:t>
      </w:r>
      <w:r w:rsidRPr="00B81A4F">
        <w:rPr>
          <w:rFonts w:cs="Arial"/>
          <w:color w:val="000000"/>
          <w:szCs w:val="22"/>
          <w:shd w:val="clear" w:color="auto" w:fill="FFFFFF"/>
        </w:rPr>
        <w:t>、</w:t>
      </w:r>
      <w:r w:rsidRPr="00B81A4F">
        <w:rPr>
          <w:rFonts w:cs="Arial"/>
          <w:color w:val="000000"/>
          <w:szCs w:val="22"/>
          <w:shd w:val="clear" w:color="auto" w:fill="FFFFFF"/>
        </w:rPr>
        <w:t>13</w:t>
      </w:r>
      <w:r w:rsidRPr="00B81A4F">
        <w:rPr>
          <w:rFonts w:cs="Arial"/>
          <w:color w:val="000000"/>
          <w:szCs w:val="22"/>
          <w:shd w:val="clear" w:color="auto" w:fill="FFFFFF"/>
        </w:rPr>
        <w:t>和</w:t>
      </w:r>
      <w:r w:rsidRPr="00B81A4F">
        <w:rPr>
          <w:rFonts w:cs="Arial"/>
          <w:color w:val="000000"/>
          <w:szCs w:val="22"/>
          <w:shd w:val="clear" w:color="auto" w:fill="FFFFFF"/>
        </w:rPr>
        <w:t>15</w:t>
      </w:r>
      <w:r w:rsidRPr="00B81A4F">
        <w:rPr>
          <w:rFonts w:cs="Arial"/>
          <w:color w:val="000000"/>
          <w:szCs w:val="22"/>
          <w:shd w:val="clear" w:color="auto" w:fill="FFFFFF"/>
        </w:rPr>
        <w:t>）。</w:t>
      </w:r>
    </w:p>
    <w:p w14:paraId="433175B5" w14:textId="0F720BF5" w:rsidR="00A0186D" w:rsidRPr="00B81A4F" w:rsidRDefault="00A0186D"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在文化部门内，缔约国强调了与教科文组织其他文化公约加强合作和协同作用的重要性，同时还认可了与保护非物质文化遗产有关的整体和社会经济观点（问题</w:t>
      </w:r>
      <w:r w:rsidRPr="00B81A4F">
        <w:rPr>
          <w:rFonts w:cs="Arial"/>
          <w:color w:val="000000"/>
          <w:szCs w:val="22"/>
          <w:shd w:val="clear" w:color="auto" w:fill="FFFFFF"/>
        </w:rPr>
        <w:t>9.a</w:t>
      </w:r>
      <w:r w:rsidRPr="00B81A4F">
        <w:rPr>
          <w:rFonts w:cs="Arial"/>
          <w:color w:val="000000"/>
          <w:szCs w:val="22"/>
          <w:shd w:val="clear" w:color="auto" w:fill="FFFFFF"/>
        </w:rPr>
        <w:t>）。缔约国认为与《</w:t>
      </w:r>
      <w:r w:rsidRPr="00B81A4F">
        <w:rPr>
          <w:rFonts w:cs="Arial"/>
          <w:color w:val="000000"/>
          <w:szCs w:val="22"/>
          <w:shd w:val="clear" w:color="auto" w:fill="FFFFFF"/>
        </w:rPr>
        <w:t>1972</w:t>
      </w:r>
      <w:r w:rsidRPr="00B81A4F">
        <w:rPr>
          <w:rFonts w:cs="Arial"/>
          <w:color w:val="000000"/>
          <w:szCs w:val="22"/>
          <w:shd w:val="clear" w:color="auto" w:fill="FFFFFF"/>
        </w:rPr>
        <w:t>年公约》的合作至关重要，从而寻求采用一种综合的方法来保护文化遗产（</w:t>
      </w:r>
      <w:r w:rsidRPr="00B81A4F">
        <w:rPr>
          <w:rFonts w:cs="Arial"/>
          <w:color w:val="000000"/>
          <w:szCs w:val="22"/>
          <w:shd w:val="clear" w:color="auto" w:fill="FFFFFF"/>
        </w:rPr>
        <w:t>SDG 11</w:t>
      </w:r>
      <w:r w:rsidRPr="00B81A4F">
        <w:rPr>
          <w:rFonts w:cs="Arial"/>
          <w:color w:val="000000"/>
          <w:szCs w:val="22"/>
          <w:shd w:val="clear" w:color="auto" w:fill="FFFFFF"/>
        </w:rPr>
        <w:t>）。</w:t>
      </w:r>
      <w:r w:rsidR="00B81A4F">
        <w:rPr>
          <w:rFonts w:cs="Arial"/>
          <w:color w:val="000000"/>
          <w:szCs w:val="22"/>
          <w:shd w:val="clear" w:color="auto" w:fill="FFFFFF"/>
        </w:rPr>
        <w:t>2003</w:t>
      </w:r>
      <w:r w:rsidR="00B81A4F">
        <w:rPr>
          <w:rFonts w:cs="Arial"/>
          <w:color w:val="000000"/>
          <w:szCs w:val="22"/>
          <w:shd w:val="clear" w:color="auto" w:fill="FFFFFF"/>
        </w:rPr>
        <w:t>年《公约》</w:t>
      </w:r>
      <w:r w:rsidRPr="00B81A4F">
        <w:rPr>
          <w:rFonts w:cs="Arial"/>
          <w:color w:val="000000"/>
          <w:szCs w:val="22"/>
          <w:shd w:val="clear" w:color="auto" w:fill="FFFFFF"/>
        </w:rPr>
        <w:t>基于社区的保护计划以及社区关于自然和宇宙的知识和实践方法预计可以加强有形环境与社区的非物质文化价值及其生计之间的联系。考虑到与手工艺、音乐实践和表演艺术等活态遗产相关的各种经济方面（可以为相关社区提供收入来源），缔约国还提出了</w:t>
      </w:r>
      <w:r w:rsidR="00B81A4F">
        <w:rPr>
          <w:rFonts w:cs="Arial"/>
          <w:color w:val="000000"/>
          <w:szCs w:val="22"/>
          <w:shd w:val="clear" w:color="auto" w:fill="FFFFFF"/>
        </w:rPr>
        <w:t>2003</w:t>
      </w:r>
      <w:r w:rsidR="00B81A4F">
        <w:rPr>
          <w:rFonts w:cs="Arial"/>
          <w:color w:val="000000"/>
          <w:szCs w:val="22"/>
          <w:shd w:val="clear" w:color="auto" w:fill="FFFFFF"/>
        </w:rPr>
        <w:t>年《公约》</w:t>
      </w:r>
      <w:r w:rsidRPr="00B81A4F">
        <w:rPr>
          <w:rFonts w:cs="Arial"/>
          <w:color w:val="000000"/>
          <w:szCs w:val="22"/>
          <w:shd w:val="clear" w:color="auto" w:fill="FFFFFF"/>
        </w:rPr>
        <w:t>和《</w:t>
      </w:r>
      <w:r w:rsidRPr="00B81A4F">
        <w:rPr>
          <w:rFonts w:cs="Arial"/>
          <w:color w:val="000000"/>
          <w:szCs w:val="22"/>
          <w:shd w:val="clear" w:color="auto" w:fill="FFFFFF"/>
        </w:rPr>
        <w:t>2005</w:t>
      </w:r>
      <w:r w:rsidRPr="00B81A4F">
        <w:rPr>
          <w:rFonts w:cs="Arial"/>
          <w:color w:val="000000"/>
          <w:szCs w:val="22"/>
          <w:shd w:val="clear" w:color="auto" w:fill="FFFFFF"/>
        </w:rPr>
        <w:t>年公约》之间开展联合合作的适切性。在尊重活态遗产的社会功能和文化意义的同时，这种联系还可以促进具有包容性和</w:t>
      </w:r>
      <w:proofErr w:type="gramStart"/>
      <w:r w:rsidRPr="00B81A4F">
        <w:rPr>
          <w:rFonts w:cs="Arial"/>
          <w:color w:val="000000"/>
          <w:szCs w:val="22"/>
          <w:shd w:val="clear" w:color="auto" w:fill="FFFFFF"/>
        </w:rPr>
        <w:t>可</w:t>
      </w:r>
      <w:proofErr w:type="gramEnd"/>
      <w:r w:rsidRPr="00B81A4F">
        <w:rPr>
          <w:rFonts w:cs="Arial"/>
          <w:color w:val="000000"/>
          <w:szCs w:val="22"/>
          <w:shd w:val="clear" w:color="auto" w:fill="FFFFFF"/>
        </w:rPr>
        <w:t>持续性的经济增长（</w:t>
      </w:r>
      <w:r w:rsidRPr="00B81A4F">
        <w:rPr>
          <w:rFonts w:cs="Arial"/>
          <w:color w:val="000000"/>
          <w:szCs w:val="22"/>
          <w:shd w:val="clear" w:color="auto" w:fill="FFFFFF"/>
        </w:rPr>
        <w:t>SDG 8</w:t>
      </w:r>
      <w:r w:rsidRPr="00B81A4F">
        <w:rPr>
          <w:rFonts w:cs="Arial"/>
          <w:color w:val="000000"/>
          <w:szCs w:val="22"/>
          <w:shd w:val="clear" w:color="auto" w:fill="FFFFFF"/>
        </w:rPr>
        <w:t>）。</w:t>
      </w:r>
    </w:p>
    <w:p w14:paraId="220ECFBA" w14:textId="5D6AF063" w:rsidR="00D81655" w:rsidRPr="00B81A4F" w:rsidRDefault="00D81655" w:rsidP="00D81655">
      <w:pPr>
        <w:spacing w:after="0"/>
        <w:rPr>
          <w:rFonts w:ascii="Arial" w:hAnsi="Arial" w:cs="Arial"/>
          <w:snapToGrid w:val="0"/>
          <w:color w:val="000000"/>
          <w:szCs w:val="22"/>
          <w:shd w:val="clear" w:color="auto" w:fill="FFFFFF"/>
        </w:rPr>
      </w:pPr>
      <w:r w:rsidRPr="00B81A4F">
        <w:rPr>
          <w:rFonts w:ascii="Arial" w:hAnsi="Arial" w:cs="Arial"/>
          <w:color w:val="000000"/>
          <w:szCs w:val="22"/>
          <w:shd w:val="clear" w:color="auto" w:fill="FFFFFF"/>
        </w:rPr>
        <w:br w:type="page"/>
      </w:r>
    </w:p>
    <w:p w14:paraId="5B7D8635" w14:textId="2B5944BA" w:rsidR="00A0186D" w:rsidRPr="00B81A4F" w:rsidRDefault="00A0186D" w:rsidP="007B624C">
      <w:pPr>
        <w:pStyle w:val="Paragraphedeliste"/>
        <w:numPr>
          <w:ilvl w:val="0"/>
          <w:numId w:val="16"/>
        </w:numPr>
        <w:ind w:left="540" w:hanging="540"/>
        <w:jc w:val="both"/>
        <w:rPr>
          <w:rFonts w:ascii="Arial" w:hAnsi="Arial" w:cs="Arial"/>
          <w:b/>
        </w:rPr>
      </w:pPr>
      <w:r w:rsidRPr="00B81A4F">
        <w:rPr>
          <w:rFonts w:ascii="Arial" w:hAnsi="Arial" w:cs="Arial"/>
          <w:b/>
        </w:rPr>
        <w:lastRenderedPageBreak/>
        <w:t>未来的方向</w:t>
      </w:r>
    </w:p>
    <w:p w14:paraId="167711C2" w14:textId="7472ECB2" w:rsidR="00893FEF" w:rsidRPr="00B81A4F" w:rsidRDefault="00893FEF" w:rsidP="00893FEF">
      <w:pPr>
        <w:pStyle w:val="Marge"/>
        <w:numPr>
          <w:ilvl w:val="0"/>
          <w:numId w:val="9"/>
        </w:numPr>
        <w:spacing w:after="120"/>
        <w:ind w:left="567" w:hanging="567"/>
        <w:rPr>
          <w:rFonts w:cs="Arial"/>
        </w:rPr>
      </w:pPr>
      <w:r w:rsidRPr="00B81A4F">
        <w:rPr>
          <w:rFonts w:cs="Arial"/>
          <w:color w:val="000000"/>
          <w:szCs w:val="22"/>
          <w:shd w:val="clear" w:color="auto" w:fill="FFFFFF"/>
        </w:rPr>
        <w:t>调查的答复显示，缔约国对</w:t>
      </w:r>
      <w:r w:rsidR="00B81A4F">
        <w:rPr>
          <w:rFonts w:cs="Arial"/>
          <w:color w:val="000000"/>
          <w:szCs w:val="22"/>
          <w:shd w:val="clear" w:color="auto" w:fill="FFFFFF"/>
        </w:rPr>
        <w:t>2003</w:t>
      </w:r>
      <w:r w:rsidR="00B81A4F">
        <w:rPr>
          <w:rFonts w:cs="Arial"/>
          <w:color w:val="000000"/>
          <w:szCs w:val="22"/>
          <w:shd w:val="clear" w:color="auto" w:fill="FFFFFF"/>
        </w:rPr>
        <w:t>年《公约》</w:t>
      </w:r>
      <w:r w:rsidRPr="00B81A4F">
        <w:rPr>
          <w:rFonts w:cs="Arial"/>
          <w:color w:val="000000"/>
          <w:szCs w:val="22"/>
          <w:shd w:val="clear" w:color="auto" w:fill="FFFFFF"/>
        </w:rPr>
        <w:t>朝着主题行动方向发展非常感兴趣（图</w:t>
      </w:r>
      <w:r w:rsidRPr="00B81A4F">
        <w:rPr>
          <w:rFonts w:cs="Arial"/>
          <w:color w:val="000000"/>
          <w:szCs w:val="22"/>
          <w:shd w:val="clear" w:color="auto" w:fill="FFFFFF"/>
        </w:rPr>
        <w:t>2</w:t>
      </w:r>
      <w:r w:rsidRPr="00B81A4F">
        <w:rPr>
          <w:rFonts w:cs="Arial"/>
          <w:color w:val="000000"/>
          <w:szCs w:val="22"/>
          <w:shd w:val="clear" w:color="auto" w:fill="FFFFFF"/>
        </w:rPr>
        <w:t>）。除了非物质文化遗产和教育，一系列广泛的主题领域（例如非物质文化遗产和土著人民、气候变化、紧急情况、旅游业和农业</w:t>
      </w:r>
      <w:r w:rsidRPr="00B81A4F">
        <w:rPr>
          <w:rFonts w:cs="Arial"/>
          <w:color w:val="000000"/>
          <w:szCs w:val="22"/>
          <w:shd w:val="clear" w:color="auto" w:fill="FFFFFF"/>
        </w:rPr>
        <w:t>/</w:t>
      </w:r>
      <w:r w:rsidRPr="00B81A4F">
        <w:rPr>
          <w:rFonts w:cs="Arial"/>
          <w:color w:val="000000"/>
          <w:szCs w:val="22"/>
          <w:shd w:val="clear" w:color="auto" w:fill="FFFFFF"/>
        </w:rPr>
        <w:t>粮食安全）被认为对</w:t>
      </w:r>
      <w:r w:rsidR="00B81A4F">
        <w:rPr>
          <w:rFonts w:cs="Arial"/>
          <w:color w:val="000000"/>
          <w:szCs w:val="22"/>
          <w:shd w:val="clear" w:color="auto" w:fill="FFFFFF"/>
        </w:rPr>
        <w:t>2003</w:t>
      </w:r>
      <w:r w:rsidR="00B81A4F">
        <w:rPr>
          <w:rFonts w:cs="Arial"/>
          <w:color w:val="000000"/>
          <w:szCs w:val="22"/>
          <w:shd w:val="clear" w:color="auto" w:fill="FFFFFF"/>
        </w:rPr>
        <w:t>年《公约》</w:t>
      </w:r>
      <w:r w:rsidRPr="00B81A4F">
        <w:rPr>
          <w:rFonts w:cs="Arial"/>
          <w:color w:val="000000"/>
          <w:szCs w:val="22"/>
          <w:shd w:val="clear" w:color="auto" w:fill="FFFFFF"/>
        </w:rPr>
        <w:t>的未来工作具有重要意义（问题</w:t>
      </w:r>
      <w:r w:rsidRPr="00B81A4F">
        <w:rPr>
          <w:rFonts w:cs="Arial"/>
          <w:color w:val="000000"/>
          <w:szCs w:val="22"/>
          <w:shd w:val="clear" w:color="auto" w:fill="FFFFFF"/>
        </w:rPr>
        <w:t>7.a</w:t>
      </w:r>
      <w:r w:rsidRPr="00B81A4F">
        <w:rPr>
          <w:rFonts w:cs="Arial"/>
          <w:color w:val="000000"/>
          <w:szCs w:val="22"/>
          <w:shd w:val="clear" w:color="auto" w:fill="FFFFFF"/>
        </w:rPr>
        <w:t>和</w:t>
      </w:r>
      <w:r w:rsidRPr="00B81A4F">
        <w:rPr>
          <w:rFonts w:cs="Arial"/>
          <w:color w:val="000000"/>
          <w:szCs w:val="22"/>
          <w:shd w:val="clear" w:color="auto" w:fill="FFFFFF"/>
        </w:rPr>
        <w:t>7.b</w:t>
      </w:r>
      <w:r w:rsidRPr="00B81A4F">
        <w:rPr>
          <w:rFonts w:cs="Arial"/>
          <w:color w:val="000000"/>
          <w:szCs w:val="22"/>
          <w:shd w:val="clear" w:color="auto" w:fill="FFFFFF"/>
        </w:rPr>
        <w:t>）。</w:t>
      </w:r>
    </w:p>
    <w:p w14:paraId="1AAE5B6E" w14:textId="7096B0AD" w:rsidR="00893FEF" w:rsidRPr="00B81A4F" w:rsidRDefault="00893FEF" w:rsidP="00893FEF">
      <w:pPr>
        <w:jc w:val="both"/>
        <w:rPr>
          <w:rFonts w:ascii="Arial" w:hAnsi="Arial" w:cs="Arial"/>
          <w:b/>
        </w:rPr>
      </w:pPr>
    </w:p>
    <w:p w14:paraId="3D036FBA" w14:textId="0672AAF1" w:rsidR="00893FEF" w:rsidRPr="00B81A4F" w:rsidRDefault="00893FEF" w:rsidP="00893FEF">
      <w:pPr>
        <w:pStyle w:val="Marge"/>
        <w:spacing w:after="120"/>
        <w:ind w:left="567"/>
        <w:rPr>
          <w:rFonts w:cs="Arial"/>
        </w:rPr>
      </w:pPr>
      <w:r w:rsidRPr="00B81A4F">
        <w:rPr>
          <w:rFonts w:cs="Arial"/>
          <w:noProof/>
          <w:lang w:val="fr-FR" w:eastAsia="ja-JP"/>
        </w:rPr>
        <mc:AlternateContent>
          <mc:Choice Requires="wps">
            <w:drawing>
              <wp:anchor distT="0" distB="0" distL="114300" distR="114300" simplePos="0" relativeHeight="251689984" behindDoc="0" locked="0" layoutInCell="1" allowOverlap="1" wp14:anchorId="2128712A" wp14:editId="642E97E5">
                <wp:simplePos x="0" y="0"/>
                <wp:positionH relativeFrom="margin">
                  <wp:posOffset>407670</wp:posOffset>
                </wp:positionH>
                <wp:positionV relativeFrom="paragraph">
                  <wp:posOffset>3371215</wp:posOffset>
                </wp:positionV>
                <wp:extent cx="5463540" cy="262890"/>
                <wp:effectExtent l="0" t="0" r="3810" b="3810"/>
                <wp:wrapTopAndBottom/>
                <wp:docPr id="6" name="Text Box 6"/>
                <wp:cNvGraphicFramePr/>
                <a:graphic xmlns:a="http://schemas.openxmlformats.org/drawingml/2006/main">
                  <a:graphicData uri="http://schemas.microsoft.com/office/word/2010/wordprocessingShape">
                    <wps:wsp>
                      <wps:cNvSpPr txBox="1"/>
                      <wps:spPr>
                        <a:xfrm>
                          <a:off x="0" y="0"/>
                          <a:ext cx="5463540" cy="262890"/>
                        </a:xfrm>
                        <a:prstGeom prst="rect">
                          <a:avLst/>
                        </a:prstGeom>
                        <a:solidFill>
                          <a:prstClr val="white"/>
                        </a:solidFill>
                        <a:ln>
                          <a:noFill/>
                        </a:ln>
                      </wps:spPr>
                      <wps:txbx>
                        <w:txbxContent>
                          <w:p w14:paraId="27742479" w14:textId="77777777" w:rsidR="00893FEF" w:rsidRPr="007939CB" w:rsidRDefault="00893FEF" w:rsidP="00893FEF">
                            <w:pPr>
                              <w:pStyle w:val="Lgende"/>
                              <w:rPr>
                                <w:rFonts w:cs="Arial"/>
                                <w:noProof/>
                                <w:color w:val="000000" w:themeColor="text1"/>
                              </w:rPr>
                            </w:pPr>
                            <w:r>
                              <w:rPr>
                                <w:rFonts w:ascii="Arial" w:hAnsi="Arial" w:hint="eastAsia"/>
                                <w:color w:val="000000" w:themeColor="text1"/>
                              </w:rPr>
                              <w:t>图</w:t>
                            </w:r>
                            <w:r>
                              <w:rPr>
                                <w:rFonts w:ascii="Arial" w:hAnsi="Arial" w:hint="eastAsia"/>
                                <w:color w:val="000000" w:themeColor="text1"/>
                              </w:rPr>
                              <w:t xml:space="preserve">2: </w:t>
                            </w:r>
                            <w:r>
                              <w:rPr>
                                <w:rFonts w:ascii="Arial" w:hAnsi="Arial" w:hint="eastAsia"/>
                                <w:color w:val="000000" w:themeColor="text1"/>
                              </w:rPr>
                              <w:t>《</w:t>
                            </w:r>
                            <w:r>
                              <w:rPr>
                                <w:rFonts w:ascii="Arial" w:hAnsi="Arial" w:hint="eastAsia"/>
                                <w:color w:val="000000" w:themeColor="text1"/>
                              </w:rPr>
                              <w:t>2003</w:t>
                            </w:r>
                            <w:r>
                              <w:rPr>
                                <w:rFonts w:ascii="Arial" w:hAnsi="Arial" w:hint="eastAsia"/>
                                <w:color w:val="000000" w:themeColor="text1"/>
                              </w:rPr>
                              <w:t>年公约》和主题领域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8712A" id="Text Box 6" o:spid="_x0000_s1027" type="#_x0000_t202" style="position:absolute;left:0;text-align:left;margin-left:32.1pt;margin-top:265.45pt;width:430.2pt;height:20.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" stroked="f">
                <v:textbox inset="0,0,0,0">
                  <w:txbxContent>
                    <w:p w14:paraId="27742479" w14:textId="77777777" w:rsidR="00893FEF" w:rsidRPr="007939CB" w:rsidRDefault="00893FEF" w:rsidP="00893FEF">
                      <w:pPr>
                        <w:pStyle w:val="Caption"/>
                        <w:rPr>
                          <w:rFonts w:cs="Arial"/>
                          <w:noProof/>
                          <w:color w:val="000000" w:themeColor="text1"/>
                        </w:rPr>
                      </w:pPr>
                      <w:r>
                        <w:rPr>
                          <w:rFonts w:ascii="Arial" w:hAnsi="Arial" w:hint="eastAsia"/>
                          <w:color w:val="000000" w:themeColor="text1"/>
                        </w:rPr>
                        <w:t>图</w:t>
                      </w:r>
                      <w:r>
                        <w:rPr>
                          <w:rFonts w:ascii="Arial" w:hAnsi="Arial" w:hint="eastAsia"/>
                          <w:color w:val="000000" w:themeColor="text1"/>
                        </w:rPr>
                        <w:t xml:space="preserve">2: </w:t>
                      </w:r>
                      <w:r>
                        <w:rPr>
                          <w:rFonts w:ascii="Arial" w:hAnsi="Arial" w:hint="eastAsia"/>
                          <w:color w:val="000000" w:themeColor="text1"/>
                        </w:rPr>
                        <w:t>《</w:t>
                      </w:r>
                      <w:r>
                        <w:rPr>
                          <w:rFonts w:ascii="Arial" w:hAnsi="Arial" w:hint="eastAsia"/>
                          <w:color w:val="000000" w:themeColor="text1"/>
                        </w:rPr>
                        <w:t>2003</w:t>
                      </w:r>
                      <w:r>
                        <w:rPr>
                          <w:rFonts w:ascii="Arial" w:hAnsi="Arial" w:hint="eastAsia"/>
                          <w:color w:val="000000" w:themeColor="text1"/>
                        </w:rPr>
                        <w:t>年公约》和主题领域</w:t>
                      </w:r>
                    </w:p>
                  </w:txbxContent>
                </v:textbox>
                <w10:wrap type="topAndBottom" anchorx="margin"/>
              </v:shape>
            </w:pict>
          </mc:Fallback>
        </mc:AlternateContent>
      </w:r>
      <w:r w:rsidRPr="00B81A4F">
        <w:rPr>
          <w:rFonts w:cs="Arial"/>
          <w:noProof/>
          <w:lang w:val="fr-FR" w:eastAsia="ja-JP"/>
        </w:rPr>
        <w:drawing>
          <wp:inline distT="0" distB="0" distL="0" distR="0" wp14:anchorId="6615855D" wp14:editId="7D846832">
            <wp:extent cx="5461000" cy="3219450"/>
            <wp:effectExtent l="0" t="0" r="6350" b="0"/>
            <wp:docPr id="18" name="Chart 18">
              <a:extLst xmlns:a="http://schemas.openxmlformats.org/drawingml/2006/main">
                <a:ext uri="{FF2B5EF4-FFF2-40B4-BE49-F238E27FC236}">
                  <a16:creationId xmlns:a16="http://schemas.microsoft.com/office/drawing/2014/main" id="{B605291A-E074-4EDF-92B0-4AF0C2D20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7AF2FD" w14:textId="350A303E" w:rsidR="00A0186D" w:rsidRPr="00B81A4F" w:rsidRDefault="00A0186D"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与采用跨部门的保护方法相一致，缔约国强调了跨部门和机构间的合作是未来实施</w:t>
      </w:r>
      <w:r w:rsidR="00B81A4F">
        <w:rPr>
          <w:rFonts w:cs="Arial"/>
          <w:color w:val="000000"/>
          <w:szCs w:val="22"/>
          <w:shd w:val="clear" w:color="auto" w:fill="FFFFFF"/>
        </w:rPr>
        <w:t>2003</w:t>
      </w:r>
      <w:r w:rsidR="00B81A4F">
        <w:rPr>
          <w:rFonts w:cs="Arial"/>
          <w:color w:val="000000"/>
          <w:szCs w:val="22"/>
          <w:shd w:val="clear" w:color="auto" w:fill="FFFFFF"/>
        </w:rPr>
        <w:t>年《公约》</w:t>
      </w:r>
      <w:r w:rsidRPr="00B81A4F">
        <w:rPr>
          <w:rFonts w:cs="Arial"/>
          <w:color w:val="000000"/>
          <w:szCs w:val="22"/>
          <w:shd w:val="clear" w:color="auto" w:fill="FFFFFF"/>
        </w:rPr>
        <w:t>的主要操作模式之一。相当数量的缔约国建议，在地方、国家、区域和国际各级建立跨部门战略合作伙伴关系，来促进采取有效的干预措施，保护活态遗产。首先，这些合作可以利用《公约》坚实的实施合作伙伴网络，包括政府机构、社区、民间团体、专家、</w:t>
      </w:r>
      <w:r w:rsidRPr="00B81A4F">
        <w:rPr>
          <w:rFonts w:cs="Arial"/>
          <w:color w:val="000000"/>
          <w:szCs w:val="22"/>
          <w:shd w:val="clear" w:color="auto" w:fill="FFFFFF"/>
        </w:rPr>
        <w:t>2</w:t>
      </w:r>
      <w:r w:rsidRPr="00B81A4F">
        <w:rPr>
          <w:rFonts w:cs="Arial"/>
          <w:color w:val="000000"/>
          <w:szCs w:val="22"/>
          <w:shd w:val="clear" w:color="auto" w:fill="FFFFFF"/>
        </w:rPr>
        <w:t>类中心（问题</w:t>
      </w:r>
      <w:r w:rsidRPr="00B81A4F">
        <w:rPr>
          <w:rFonts w:cs="Arial"/>
          <w:color w:val="000000"/>
          <w:szCs w:val="22"/>
          <w:shd w:val="clear" w:color="auto" w:fill="FFFFFF"/>
        </w:rPr>
        <w:t>10.a</w:t>
      </w:r>
      <w:r w:rsidRPr="00B81A4F">
        <w:rPr>
          <w:rFonts w:cs="Arial"/>
          <w:color w:val="000000"/>
          <w:szCs w:val="22"/>
          <w:shd w:val="clear" w:color="auto" w:fill="FFFFFF"/>
        </w:rPr>
        <w:t>和</w:t>
      </w:r>
      <w:r w:rsidRPr="00B81A4F">
        <w:rPr>
          <w:rFonts w:cs="Arial"/>
          <w:color w:val="000000"/>
          <w:szCs w:val="22"/>
          <w:shd w:val="clear" w:color="auto" w:fill="FFFFFF"/>
        </w:rPr>
        <w:t>10.b</w:t>
      </w:r>
      <w:r w:rsidRPr="00B81A4F">
        <w:rPr>
          <w:rFonts w:cs="Arial"/>
          <w:color w:val="000000"/>
          <w:szCs w:val="22"/>
          <w:shd w:val="clear" w:color="auto" w:fill="FFFFFF"/>
        </w:rPr>
        <w:t>），以及学术界和私营部门。与教育、科学、农业、卫生、旅游、工业等不同部门开展合作，在共同实施《</w:t>
      </w:r>
      <w:r w:rsidRPr="00B81A4F">
        <w:rPr>
          <w:rFonts w:cs="Arial"/>
          <w:color w:val="000000"/>
          <w:szCs w:val="22"/>
          <w:shd w:val="clear" w:color="auto" w:fill="FFFFFF"/>
        </w:rPr>
        <w:t>2030</w:t>
      </w:r>
      <w:r w:rsidRPr="00B81A4F">
        <w:rPr>
          <w:rFonts w:cs="Arial"/>
          <w:color w:val="000000"/>
          <w:szCs w:val="22"/>
          <w:shd w:val="clear" w:color="auto" w:fill="FFFFFF"/>
        </w:rPr>
        <w:t>年议程》方面可以同等地促进部委间合作以及与联合国其他机构的机构间合作。</w:t>
      </w:r>
    </w:p>
    <w:p w14:paraId="77C8AD39" w14:textId="304C065D" w:rsidR="00A0186D" w:rsidRPr="00B81A4F" w:rsidRDefault="00A0186D" w:rsidP="007B624C">
      <w:pPr>
        <w:pStyle w:val="Marge"/>
        <w:numPr>
          <w:ilvl w:val="0"/>
          <w:numId w:val="9"/>
        </w:numPr>
        <w:spacing w:after="120"/>
        <w:ind w:left="567" w:hanging="567"/>
        <w:rPr>
          <w:rFonts w:cs="Arial"/>
          <w:color w:val="000000"/>
          <w:szCs w:val="22"/>
          <w:shd w:val="clear" w:color="auto" w:fill="FFFFFF"/>
        </w:rPr>
      </w:pPr>
      <w:r w:rsidRPr="00B81A4F">
        <w:rPr>
          <w:rFonts w:cs="Arial"/>
          <w:color w:val="000000"/>
          <w:szCs w:val="22"/>
          <w:shd w:val="clear" w:color="auto" w:fill="FFFFFF"/>
        </w:rPr>
        <w:t>在实施两</w:t>
      </w:r>
      <w:proofErr w:type="gramStart"/>
      <w:r w:rsidRPr="00B81A4F">
        <w:rPr>
          <w:rFonts w:cs="Arial"/>
          <w:color w:val="000000"/>
          <w:szCs w:val="22"/>
          <w:shd w:val="clear" w:color="auto" w:fill="FFFFFF"/>
        </w:rPr>
        <w:t>大全球</w:t>
      </w:r>
      <w:proofErr w:type="gramEnd"/>
      <w:r w:rsidRPr="00B81A4F">
        <w:rPr>
          <w:rFonts w:cs="Arial"/>
          <w:color w:val="000000"/>
          <w:szCs w:val="22"/>
          <w:shd w:val="clear" w:color="auto" w:fill="FFFFFF"/>
        </w:rPr>
        <w:t>优先事项（非洲和性别平等）方面（问题</w:t>
      </w:r>
      <w:r w:rsidRPr="00B81A4F">
        <w:rPr>
          <w:rFonts w:cs="Arial"/>
          <w:color w:val="000000"/>
          <w:szCs w:val="22"/>
          <w:shd w:val="clear" w:color="auto" w:fill="FFFFFF"/>
        </w:rPr>
        <w:t>8.a</w:t>
      </w:r>
      <w:r w:rsidRPr="00B81A4F">
        <w:rPr>
          <w:rFonts w:cs="Arial"/>
          <w:color w:val="000000"/>
          <w:szCs w:val="22"/>
          <w:shd w:val="clear" w:color="auto" w:fill="FFFFFF"/>
        </w:rPr>
        <w:t>、</w:t>
      </w:r>
      <w:r w:rsidRPr="00B81A4F">
        <w:rPr>
          <w:rFonts w:cs="Arial"/>
          <w:color w:val="000000"/>
          <w:szCs w:val="22"/>
          <w:shd w:val="clear" w:color="auto" w:fill="FFFFFF"/>
        </w:rPr>
        <w:t>8.b</w:t>
      </w:r>
      <w:r w:rsidRPr="00B81A4F">
        <w:rPr>
          <w:rFonts w:cs="Arial"/>
          <w:color w:val="000000"/>
          <w:szCs w:val="22"/>
          <w:shd w:val="clear" w:color="auto" w:fill="FFFFFF"/>
        </w:rPr>
        <w:t>和</w:t>
      </w:r>
      <w:r w:rsidRPr="00B81A4F">
        <w:rPr>
          <w:rFonts w:cs="Arial"/>
          <w:color w:val="000000"/>
          <w:szCs w:val="22"/>
          <w:shd w:val="clear" w:color="auto" w:fill="FFFFFF"/>
        </w:rPr>
        <w:t>8.c</w:t>
      </w:r>
      <w:r w:rsidRPr="00B81A4F">
        <w:rPr>
          <w:rFonts w:cs="Arial"/>
          <w:color w:val="000000"/>
          <w:szCs w:val="22"/>
          <w:shd w:val="clear" w:color="auto" w:fill="FFFFFF"/>
        </w:rPr>
        <w:t>），也考虑开展跨部门合作（图</w:t>
      </w:r>
      <w:r w:rsidRPr="00B81A4F">
        <w:rPr>
          <w:rFonts w:cs="Arial"/>
          <w:color w:val="000000"/>
          <w:szCs w:val="22"/>
          <w:shd w:val="clear" w:color="auto" w:fill="FFFFFF"/>
        </w:rPr>
        <w:t>3</w:t>
      </w:r>
      <w:r w:rsidRPr="00B81A4F">
        <w:rPr>
          <w:rFonts w:cs="Arial"/>
          <w:color w:val="000000"/>
          <w:szCs w:val="22"/>
          <w:shd w:val="clear" w:color="auto" w:fill="FFFFFF"/>
        </w:rPr>
        <w:t>）。已经观察到《公约》的工作对非洲产生了重大影响。这是在该区域开展富有成效的能力建设行动的结果，缔约国要求今后加强这些行动，同时让社区更多地参与进来。在性别平等方面，此调查显示，通过意识提升倡议和能力建设活动，在将性别问题纳入《公约》方案和机制的主流工作方面仍有改进的余地。为了加强下一个中期战略在非洲的影响，缔约国呼吁青少年积极参与保护和传播活态遗产。青少年和土著人民一起被强调作为《公约》未来工作的主要优先群体（问题</w:t>
      </w:r>
      <w:r w:rsidRPr="00B81A4F">
        <w:rPr>
          <w:rFonts w:cs="Arial"/>
          <w:color w:val="000000"/>
          <w:szCs w:val="22"/>
          <w:shd w:val="clear" w:color="auto" w:fill="FFFFFF"/>
        </w:rPr>
        <w:t>8.d</w:t>
      </w:r>
      <w:r w:rsidRPr="00B81A4F">
        <w:rPr>
          <w:rFonts w:cs="Arial"/>
          <w:color w:val="000000"/>
          <w:szCs w:val="22"/>
          <w:shd w:val="clear" w:color="auto" w:fill="FFFFFF"/>
        </w:rPr>
        <w:t>）。除了青少年赋权，还同等强调了对采取替代性方法和创新保护措施的必要需求，特别是通过数字技术，以一种具有参与性和包容性的方式来促进代际传递。</w:t>
      </w:r>
    </w:p>
    <w:p w14:paraId="7134E5DA" w14:textId="70F95D83" w:rsidR="008E6A53" w:rsidRPr="00B81A4F" w:rsidRDefault="00A22AF6" w:rsidP="00E63926">
      <w:pPr>
        <w:pStyle w:val="Marge"/>
        <w:ind w:right="-1"/>
        <w:rPr>
          <w:rFonts w:cs="Arial"/>
          <w:color w:val="000000"/>
          <w:szCs w:val="22"/>
          <w:shd w:val="clear" w:color="auto" w:fill="FFFFFF"/>
        </w:rPr>
      </w:pPr>
      <w:r w:rsidRPr="00B81A4F">
        <w:rPr>
          <w:rFonts w:cs="Arial"/>
          <w:noProof/>
          <w:lang w:val="fr-FR" w:eastAsia="ja-JP"/>
        </w:rPr>
        <w:lastRenderedPageBreak/>
        <w:drawing>
          <wp:anchor distT="0" distB="0" distL="114300" distR="114300" simplePos="0" relativeHeight="251686912" behindDoc="0" locked="0" layoutInCell="1" allowOverlap="1" wp14:anchorId="51E678AD" wp14:editId="600C1571">
            <wp:simplePos x="0" y="0"/>
            <wp:positionH relativeFrom="margin">
              <wp:posOffset>3284220</wp:posOffset>
            </wp:positionH>
            <wp:positionV relativeFrom="paragraph">
              <wp:posOffset>196215</wp:posOffset>
            </wp:positionV>
            <wp:extent cx="3200400" cy="2470150"/>
            <wp:effectExtent l="0" t="0" r="0" b="6350"/>
            <wp:wrapSquare wrapText="bothSides"/>
            <wp:docPr id="17" name="Chart 17">
              <a:extLst xmlns:a="http://schemas.openxmlformats.org/drawingml/2006/main">
                <a:ext uri="{FF2B5EF4-FFF2-40B4-BE49-F238E27FC236}">
                  <a16:creationId xmlns:a16="http://schemas.microsoft.com/office/drawing/2014/main" id="{A0B14B74-B11C-496F-B576-9CF28C8EA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B81A4F">
        <w:rPr>
          <w:rFonts w:cs="Arial"/>
          <w:noProof/>
          <w:lang w:val="fr-FR" w:eastAsia="ja-JP"/>
        </w:rPr>
        <w:drawing>
          <wp:anchor distT="0" distB="0" distL="114300" distR="114300" simplePos="0" relativeHeight="251685888" behindDoc="0" locked="0" layoutInCell="1" allowOverlap="1" wp14:anchorId="5FFB4E61" wp14:editId="4A9F785A">
            <wp:simplePos x="0" y="0"/>
            <wp:positionH relativeFrom="margin">
              <wp:align>left</wp:align>
            </wp:positionH>
            <wp:positionV relativeFrom="paragraph">
              <wp:posOffset>208915</wp:posOffset>
            </wp:positionV>
            <wp:extent cx="3187700" cy="2495550"/>
            <wp:effectExtent l="0" t="0" r="12700" b="0"/>
            <wp:wrapSquare wrapText="bothSides"/>
            <wp:docPr id="15" name="Chart 15">
              <a:extLst xmlns:a="http://schemas.openxmlformats.org/drawingml/2006/main">
                <a:ext uri="{FF2B5EF4-FFF2-40B4-BE49-F238E27FC236}">
                  <a16:creationId xmlns:a16="http://schemas.microsoft.com/office/drawing/2014/main" id="{B33693D5-80B9-4A2E-BEAD-B120832AD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EF4505" w:rsidRPr="00B81A4F">
        <w:rPr>
          <w:rFonts w:cs="Arial"/>
          <w:noProof/>
          <w:lang w:val="fr-FR" w:eastAsia="ja-JP"/>
        </w:rPr>
        <mc:AlternateContent>
          <mc:Choice Requires="wps">
            <w:drawing>
              <wp:anchor distT="0" distB="0" distL="114300" distR="114300" simplePos="0" relativeHeight="251682816" behindDoc="0" locked="0" layoutInCell="1" allowOverlap="1" wp14:anchorId="2171A926" wp14:editId="74D053D3">
                <wp:simplePos x="0" y="0"/>
                <wp:positionH relativeFrom="margin">
                  <wp:posOffset>370281</wp:posOffset>
                </wp:positionH>
                <wp:positionV relativeFrom="paragraph">
                  <wp:posOffset>2827198</wp:posOffset>
                </wp:positionV>
                <wp:extent cx="5463540" cy="292100"/>
                <wp:effectExtent l="0" t="0" r="3810" b="0"/>
                <wp:wrapSquare wrapText="bothSides"/>
                <wp:docPr id="8" name="Text Box 8"/>
                <wp:cNvGraphicFramePr/>
                <a:graphic xmlns:a="http://schemas.openxmlformats.org/drawingml/2006/main">
                  <a:graphicData uri="http://schemas.microsoft.com/office/word/2010/wordprocessingShape">
                    <wps:wsp>
                      <wps:cNvSpPr txBox="1"/>
                      <wps:spPr>
                        <a:xfrm>
                          <a:off x="0" y="0"/>
                          <a:ext cx="5463540" cy="292100"/>
                        </a:xfrm>
                        <a:prstGeom prst="rect">
                          <a:avLst/>
                        </a:prstGeom>
                        <a:solidFill>
                          <a:prstClr val="white"/>
                        </a:solidFill>
                        <a:ln>
                          <a:noFill/>
                        </a:ln>
                      </wps:spPr>
                      <wps:txbx>
                        <w:txbxContent>
                          <w:p w14:paraId="30F2C273" w14:textId="2C7B4608" w:rsidR="008E6A53" w:rsidRPr="00E63926" w:rsidRDefault="008E6A53" w:rsidP="008E5CE0">
                            <w:pPr>
                              <w:pStyle w:val="Lgende"/>
                              <w:rPr>
                                <w:rFonts w:cs="Arial"/>
                                <w:noProof/>
                                <w:color w:val="000000" w:themeColor="text1"/>
                              </w:rPr>
                            </w:pPr>
                            <w:r>
                              <w:rPr>
                                <w:rFonts w:ascii="Arial" w:hAnsi="Arial" w:hint="eastAsia"/>
                                <w:color w:val="000000" w:themeColor="text1"/>
                              </w:rPr>
                              <w:t>图</w:t>
                            </w:r>
                            <w:r>
                              <w:rPr>
                                <w:rFonts w:ascii="Arial" w:hAnsi="Arial" w:hint="eastAsia"/>
                                <w:color w:val="000000" w:themeColor="text1"/>
                              </w:rPr>
                              <w:t xml:space="preserve">3: </w:t>
                            </w:r>
                            <w:r>
                              <w:rPr>
                                <w:rFonts w:ascii="Arial" w:hAnsi="Arial" w:hint="eastAsia"/>
                                <w:color w:val="000000" w:themeColor="text1"/>
                              </w:rPr>
                              <w:t>《</w:t>
                            </w:r>
                            <w:r>
                              <w:rPr>
                                <w:rFonts w:ascii="Arial" w:hAnsi="Arial" w:hint="eastAsia"/>
                                <w:color w:val="000000" w:themeColor="text1"/>
                              </w:rPr>
                              <w:t>2003</w:t>
                            </w:r>
                            <w:r>
                              <w:rPr>
                                <w:rFonts w:ascii="Arial" w:hAnsi="Arial" w:hint="eastAsia"/>
                                <w:color w:val="000000" w:themeColor="text1"/>
                              </w:rPr>
                              <w:t>年公约》和教科文组织的全球优先事项</w:t>
                            </w:r>
                            <w:r>
                              <w:rPr>
                                <w:rFonts w:ascii="Arial" w:hAnsi="Arial" w:hint="eastAsia"/>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1A926" id="Text Box 8" o:spid="_x0000_s1028" type="#_x0000_t202" style="position:absolute;left:0;text-align:left;margin-left:29.15pt;margin-top:222.6pt;width:430.2pt;height:2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" stroked="f">
                <v:textbox inset="0,0,0,0">
                  <w:txbxContent>
                    <w:p w14:paraId="30F2C273" w14:textId="2C7B4608" w:rsidR="008E6A53" w:rsidRPr="00E63926" w:rsidRDefault="008E6A53" w:rsidP="008E5CE0">
                      <w:pPr>
                        <w:pStyle w:val="Caption"/>
                        <w:rPr>
                          <w:rFonts w:cs="Arial"/>
                          <w:noProof/>
                          <w:color w:val="000000" w:themeColor="text1"/>
                        </w:rPr>
                      </w:pPr>
                      <w:r>
                        <w:rPr>
                          <w:rFonts w:ascii="Arial" w:hAnsi="Arial" w:hint="eastAsia"/>
                          <w:color w:val="000000" w:themeColor="text1"/>
                        </w:rPr>
                        <w:t>图</w:t>
                      </w:r>
                      <w:r>
                        <w:rPr>
                          <w:rFonts w:ascii="Arial" w:hAnsi="Arial" w:hint="eastAsia"/>
                          <w:color w:val="000000" w:themeColor="text1"/>
                        </w:rPr>
                        <w:t xml:space="preserve">3: </w:t>
                      </w:r>
                      <w:r>
                        <w:rPr>
                          <w:rFonts w:ascii="Arial" w:hAnsi="Arial" w:hint="eastAsia"/>
                          <w:color w:val="000000" w:themeColor="text1"/>
                        </w:rPr>
                        <w:t>《</w:t>
                      </w:r>
                      <w:r>
                        <w:rPr>
                          <w:rFonts w:ascii="Arial" w:hAnsi="Arial" w:hint="eastAsia"/>
                          <w:color w:val="000000" w:themeColor="text1"/>
                        </w:rPr>
                        <w:t>2003</w:t>
                      </w:r>
                      <w:r>
                        <w:rPr>
                          <w:rFonts w:ascii="Arial" w:hAnsi="Arial" w:hint="eastAsia"/>
                          <w:color w:val="000000" w:themeColor="text1"/>
                        </w:rPr>
                        <w:t>年公约》和教科文组织的全球优先事项</w:t>
                      </w:r>
                      <w:r>
                        <w:rPr>
                          <w:rFonts w:ascii="Arial" w:hAnsi="Arial" w:hint="eastAsia"/>
                          <w:color w:val="000000" w:themeColor="text1"/>
                        </w:rPr>
                        <w:t xml:space="preserve"> </w:t>
                      </w:r>
                    </w:p>
                  </w:txbxContent>
                </v:textbox>
                <w10:wrap type="square" anchorx="margin"/>
              </v:shape>
            </w:pict>
          </mc:Fallback>
        </mc:AlternateContent>
      </w:r>
    </w:p>
    <w:p w14:paraId="02BE4B9E" w14:textId="35E7C5B7" w:rsidR="00A0186D" w:rsidRPr="00157AB2" w:rsidRDefault="00A0186D" w:rsidP="007B624C">
      <w:pPr>
        <w:pStyle w:val="Marge"/>
        <w:numPr>
          <w:ilvl w:val="0"/>
          <w:numId w:val="9"/>
        </w:numPr>
        <w:spacing w:after="120"/>
        <w:ind w:left="567" w:hanging="567"/>
        <w:rPr>
          <w:rFonts w:cs="Arial"/>
          <w:color w:val="000000"/>
          <w:szCs w:val="22"/>
          <w:shd w:val="clear" w:color="auto" w:fill="FFFFFF"/>
        </w:rPr>
      </w:pPr>
      <w:r w:rsidRPr="00157AB2">
        <w:rPr>
          <w:rFonts w:cs="Arial"/>
          <w:color w:val="000000"/>
          <w:szCs w:val="22"/>
          <w:shd w:val="clear" w:color="auto" w:fill="FFFFFF"/>
        </w:rPr>
        <w:t>通过此项调查产生的另一项重要建议是需要与区域机构建立战略性区域和区域间联盟。缔约国提议将与区域金融机构（例如区域开发银行）的合作作为可以探索的一种关键筹资机会，来为</w:t>
      </w:r>
      <w:r w:rsidR="00B81A4F" w:rsidRPr="00157AB2">
        <w:rPr>
          <w:rFonts w:cs="Arial"/>
          <w:color w:val="000000"/>
          <w:szCs w:val="22"/>
          <w:shd w:val="clear" w:color="auto" w:fill="FFFFFF"/>
        </w:rPr>
        <w:t>2003</w:t>
      </w:r>
      <w:r w:rsidR="00B81A4F" w:rsidRPr="00157AB2">
        <w:rPr>
          <w:rFonts w:cs="Arial"/>
          <w:color w:val="000000"/>
          <w:szCs w:val="22"/>
          <w:shd w:val="clear" w:color="auto" w:fill="FFFFFF"/>
        </w:rPr>
        <w:t>年《公约》</w:t>
      </w:r>
      <w:r w:rsidRPr="00157AB2">
        <w:rPr>
          <w:rFonts w:cs="Arial"/>
          <w:color w:val="000000"/>
          <w:szCs w:val="22"/>
          <w:shd w:val="clear" w:color="auto" w:fill="FFFFFF"/>
        </w:rPr>
        <w:t>调动关键资源（问题</w:t>
      </w:r>
      <w:r w:rsidRPr="00157AB2">
        <w:rPr>
          <w:rFonts w:cs="Arial"/>
          <w:color w:val="000000"/>
          <w:szCs w:val="22"/>
          <w:shd w:val="clear" w:color="auto" w:fill="FFFFFF"/>
        </w:rPr>
        <w:t>11.a</w:t>
      </w:r>
      <w:r w:rsidRPr="00157AB2">
        <w:rPr>
          <w:rFonts w:cs="Arial"/>
          <w:color w:val="000000"/>
          <w:szCs w:val="22"/>
          <w:shd w:val="clear" w:color="auto" w:fill="FFFFFF"/>
        </w:rPr>
        <w:t>和</w:t>
      </w:r>
      <w:r w:rsidRPr="00157AB2">
        <w:rPr>
          <w:rFonts w:cs="Arial"/>
          <w:color w:val="000000"/>
          <w:szCs w:val="22"/>
          <w:shd w:val="clear" w:color="auto" w:fill="FFFFFF"/>
        </w:rPr>
        <w:t>11.b</w:t>
      </w:r>
      <w:r w:rsidRPr="00157AB2">
        <w:rPr>
          <w:rFonts w:cs="Arial"/>
          <w:color w:val="000000"/>
          <w:szCs w:val="22"/>
          <w:shd w:val="clear" w:color="auto" w:fill="FFFFFF"/>
        </w:rPr>
        <w:t>）。</w:t>
      </w:r>
      <w:r w:rsidRPr="00157AB2">
        <w:rPr>
          <w:rFonts w:cs="Arial"/>
          <w:szCs w:val="22"/>
          <w:shd w:val="clear" w:color="auto" w:fill="FFFFFF"/>
        </w:rPr>
        <w:t>在国家和社区层级，人们对保护非物质文化遗产的期望和需求迅速增长，而教科文组织的机构能力和可用资源有限。</w:t>
      </w:r>
      <w:r w:rsidRPr="00157AB2">
        <w:rPr>
          <w:rFonts w:cs="Arial"/>
          <w:color w:val="000000"/>
          <w:szCs w:val="22"/>
          <w:shd w:val="clear" w:color="auto" w:fill="FFFFFF"/>
        </w:rPr>
        <w:t>虽然缔约国仍然认为自愿捐款是为《公约》提供资金的基本来源，但也提到公私合作伙伴关系以及与公司实体和基金会之间针对特定部门的合作伙伴关系也是重要的筹资机会。此外，还建议扩大部门间合作的范围，让高等教育机构和媒体组织更多地参与进来，此外还建议采取具体的筹款倡议，从私人和慈善实体筹集捐款。最后，其他的筹资机会还包括跨不同项目和公约的联合筹资可能性，以及在国家一级同缔约国合作来调动资源。</w:t>
      </w:r>
    </w:p>
    <w:p w14:paraId="59679649" w14:textId="0942B231" w:rsidR="00601D9A" w:rsidRPr="00157AB2" w:rsidRDefault="00607805" w:rsidP="007B624C">
      <w:pPr>
        <w:pStyle w:val="Marge"/>
        <w:numPr>
          <w:ilvl w:val="0"/>
          <w:numId w:val="9"/>
        </w:numPr>
        <w:spacing w:after="120"/>
        <w:ind w:left="567" w:hanging="567"/>
        <w:rPr>
          <w:rStyle w:val="lev"/>
          <w:rFonts w:cs="Arial"/>
          <w:b w:val="0"/>
          <w:bCs w:val="0"/>
          <w:color w:val="000000"/>
          <w:szCs w:val="22"/>
          <w:shd w:val="clear" w:color="auto" w:fill="FFFFFF"/>
        </w:rPr>
      </w:pPr>
      <w:r w:rsidRPr="00157AB2">
        <w:rPr>
          <w:rFonts w:cs="Arial"/>
          <w:color w:val="000000"/>
          <w:szCs w:val="22"/>
          <w:shd w:val="clear" w:color="auto" w:fill="FFFFFF"/>
        </w:rPr>
        <w:t>此项调查结果表明，</w:t>
      </w:r>
      <w:r w:rsidR="00B81A4F" w:rsidRPr="00157AB2">
        <w:rPr>
          <w:rFonts w:cs="Arial"/>
          <w:color w:val="000000"/>
          <w:szCs w:val="22"/>
          <w:shd w:val="clear" w:color="auto" w:fill="FFFFFF"/>
        </w:rPr>
        <w:t>2003</w:t>
      </w:r>
      <w:r w:rsidR="00B81A4F" w:rsidRPr="00157AB2">
        <w:rPr>
          <w:rFonts w:cs="Arial"/>
          <w:color w:val="000000"/>
          <w:szCs w:val="22"/>
          <w:shd w:val="clear" w:color="auto" w:fill="FFFFFF"/>
        </w:rPr>
        <w:t>年《公约》</w:t>
      </w:r>
      <w:r w:rsidRPr="00157AB2">
        <w:rPr>
          <w:rFonts w:cs="Arial"/>
          <w:color w:val="000000"/>
          <w:szCs w:val="22"/>
          <w:shd w:val="clear" w:color="auto" w:fill="FFFFFF"/>
        </w:rPr>
        <w:t>的任务和使命在当今社会仍然具有重要意义，在应对全球性挑战、促进可持续发展方面发挥着重要作用。</w:t>
      </w:r>
      <w:r w:rsidRPr="00157AB2">
        <w:rPr>
          <w:rStyle w:val="lev"/>
          <w:rFonts w:cs="Arial"/>
          <w:b w:val="0"/>
          <w:color w:val="000000" w:themeColor="text1"/>
        </w:rPr>
        <w:t>此项调查涵盖了缔约国希望在</w:t>
      </w:r>
      <w:r w:rsidR="00B81A4F" w:rsidRPr="00157AB2">
        <w:rPr>
          <w:rStyle w:val="lev"/>
          <w:rFonts w:cs="Arial"/>
          <w:b w:val="0"/>
          <w:color w:val="000000" w:themeColor="text1"/>
        </w:rPr>
        <w:t>2003</w:t>
      </w:r>
      <w:r w:rsidR="00B81A4F" w:rsidRPr="00157AB2">
        <w:rPr>
          <w:rStyle w:val="lev"/>
          <w:rFonts w:cs="Arial"/>
          <w:b w:val="0"/>
          <w:color w:val="000000" w:themeColor="text1"/>
        </w:rPr>
        <w:t>年《公约》</w:t>
      </w:r>
      <w:r w:rsidRPr="00157AB2">
        <w:rPr>
          <w:rStyle w:val="lev"/>
          <w:rFonts w:cs="Arial"/>
          <w:b w:val="0"/>
          <w:color w:val="000000" w:themeColor="text1"/>
        </w:rPr>
        <w:t>的未来发展中考虑的多项目关键问题和</w:t>
      </w:r>
      <w:proofErr w:type="gramStart"/>
      <w:r w:rsidRPr="00157AB2">
        <w:rPr>
          <w:rStyle w:val="lev"/>
          <w:rFonts w:cs="Arial"/>
          <w:b w:val="0"/>
          <w:color w:val="000000" w:themeColor="text1"/>
        </w:rPr>
        <w:t>考量</w:t>
      </w:r>
      <w:proofErr w:type="gramEnd"/>
      <w:r w:rsidRPr="00157AB2">
        <w:rPr>
          <w:rStyle w:val="lev"/>
          <w:rFonts w:cs="Arial"/>
          <w:b w:val="0"/>
          <w:color w:val="000000" w:themeColor="text1"/>
        </w:rPr>
        <w:t>因素。预期这些将为思考</w:t>
      </w:r>
      <w:r w:rsidRPr="00157AB2">
        <w:rPr>
          <w:rStyle w:val="lev"/>
          <w:rFonts w:cs="Arial"/>
          <w:b w:val="0"/>
          <w:color w:val="000000" w:themeColor="text1"/>
          <w:szCs w:val="22"/>
        </w:rPr>
        <w:t>战略观点和方案方向</w:t>
      </w:r>
      <w:r w:rsidRPr="00157AB2">
        <w:rPr>
          <w:rStyle w:val="lev"/>
          <w:rFonts w:cs="Arial"/>
          <w:b w:val="0"/>
          <w:color w:val="000000" w:themeColor="text1"/>
        </w:rPr>
        <w:t>以及</w:t>
      </w:r>
      <w:r w:rsidRPr="00157AB2">
        <w:rPr>
          <w:rStyle w:val="lev"/>
          <w:rFonts w:cs="Arial"/>
          <w:b w:val="0"/>
          <w:color w:val="000000" w:themeColor="text1"/>
          <w:szCs w:val="22"/>
        </w:rPr>
        <w:t>为</w:t>
      </w:r>
      <w:r w:rsidRPr="00157AB2">
        <w:rPr>
          <w:rStyle w:val="lev"/>
          <w:rFonts w:cs="Arial"/>
          <w:b w:val="0"/>
          <w:color w:val="000000" w:themeColor="text1"/>
        </w:rPr>
        <w:t>治</w:t>
      </w:r>
      <w:r w:rsidRPr="00157AB2">
        <w:rPr>
          <w:rStyle w:val="lev"/>
          <w:rFonts w:cs="Arial"/>
          <w:b w:val="0"/>
          <w:color w:val="000000" w:themeColor="text1"/>
          <w:szCs w:val="22"/>
        </w:rPr>
        <w:t>理机构为</w:t>
      </w:r>
      <w:r w:rsidR="00B81A4F" w:rsidRPr="00157AB2">
        <w:rPr>
          <w:rStyle w:val="lev"/>
          <w:rFonts w:cs="Arial"/>
          <w:b w:val="0"/>
          <w:color w:val="000000" w:themeColor="text1"/>
          <w:szCs w:val="22"/>
        </w:rPr>
        <w:t>2003</w:t>
      </w:r>
      <w:r w:rsidR="00B81A4F" w:rsidRPr="00157AB2">
        <w:rPr>
          <w:rStyle w:val="lev"/>
          <w:rFonts w:cs="Arial"/>
          <w:b w:val="0"/>
          <w:color w:val="000000" w:themeColor="text1"/>
          <w:szCs w:val="22"/>
        </w:rPr>
        <w:t>年《公约》</w:t>
      </w:r>
      <w:r w:rsidRPr="00157AB2">
        <w:rPr>
          <w:rStyle w:val="lev"/>
          <w:rFonts w:cs="Arial"/>
          <w:b w:val="0"/>
          <w:color w:val="000000" w:themeColor="text1"/>
          <w:szCs w:val="22"/>
        </w:rPr>
        <w:t>在</w:t>
      </w:r>
      <w:r w:rsidRPr="00157AB2">
        <w:rPr>
          <w:rStyle w:val="lev"/>
          <w:rFonts w:cs="Arial"/>
          <w:b w:val="0"/>
          <w:color w:val="000000" w:themeColor="text1"/>
          <w:szCs w:val="22"/>
        </w:rPr>
        <w:t>2022-2029</w:t>
      </w:r>
      <w:r w:rsidRPr="00157AB2">
        <w:rPr>
          <w:rStyle w:val="lev"/>
          <w:rFonts w:cs="Arial"/>
          <w:b w:val="0"/>
          <w:color w:val="000000" w:themeColor="text1"/>
          <w:szCs w:val="22"/>
        </w:rPr>
        <w:t>年期间</w:t>
      </w:r>
      <w:r w:rsidRPr="00157AB2">
        <w:rPr>
          <w:rStyle w:val="lev"/>
          <w:rFonts w:cs="Arial"/>
          <w:b w:val="0"/>
          <w:color w:val="000000" w:themeColor="text1"/>
        </w:rPr>
        <w:t>的</w:t>
      </w:r>
      <w:r w:rsidRPr="00157AB2">
        <w:rPr>
          <w:rStyle w:val="lev"/>
          <w:rFonts w:cs="Arial"/>
          <w:b w:val="0"/>
          <w:color w:val="000000" w:themeColor="text1"/>
          <w:szCs w:val="22"/>
        </w:rPr>
        <w:t>工作做出知情决定提供坚实的基础。</w:t>
      </w:r>
    </w:p>
    <w:p w14:paraId="75FD4219" w14:textId="77777777" w:rsidR="008B1BA4" w:rsidRPr="00157AB2" w:rsidRDefault="008B1BA4" w:rsidP="007B624C">
      <w:pPr>
        <w:pStyle w:val="Marge"/>
        <w:numPr>
          <w:ilvl w:val="0"/>
          <w:numId w:val="9"/>
        </w:numPr>
        <w:spacing w:after="120"/>
        <w:ind w:left="567" w:hanging="567"/>
        <w:rPr>
          <w:rFonts w:cs="Arial"/>
          <w:szCs w:val="22"/>
        </w:rPr>
      </w:pPr>
      <w:r w:rsidRPr="00157AB2">
        <w:rPr>
          <w:rFonts w:cs="Arial"/>
        </w:rPr>
        <w:t>大会希望通过下列决议：</w:t>
      </w:r>
    </w:p>
    <w:p w14:paraId="0FDDA6EE" w14:textId="4C2C6CDF" w:rsidR="008B1BA4" w:rsidRPr="00157AB2" w:rsidRDefault="00157AB2" w:rsidP="008B1BA4">
      <w:pPr>
        <w:pStyle w:val="GATitleResolution"/>
      </w:pPr>
      <w:r w:rsidRPr="00157AB2">
        <w:t>第</w:t>
      </w:r>
      <w:r w:rsidR="008B1BA4" w:rsidRPr="00157AB2">
        <w:t xml:space="preserve">8.GA </w:t>
      </w:r>
      <w:r w:rsidR="006E3129" w:rsidRPr="00157AB2">
        <w:t>8</w:t>
      </w:r>
      <w:r w:rsidR="008B1BA4" w:rsidRPr="00157AB2">
        <w:t>号决议草案</w:t>
      </w:r>
    </w:p>
    <w:p w14:paraId="4559B707" w14:textId="77777777" w:rsidR="008B1BA4" w:rsidRPr="00B81A4F" w:rsidRDefault="008B1BA4" w:rsidP="008B1BA4">
      <w:pPr>
        <w:pStyle w:val="GAPreambulaResolution"/>
      </w:pPr>
      <w:r w:rsidRPr="00B81A4F">
        <w:t>大会，</w:t>
      </w:r>
    </w:p>
    <w:p w14:paraId="1DCF54B9" w14:textId="00EC2536" w:rsidR="008B1BA4" w:rsidRPr="00B81A4F" w:rsidRDefault="008B1BA4" w:rsidP="00073C3A">
      <w:pPr>
        <w:pStyle w:val="COMParaDecision"/>
        <w:numPr>
          <w:ilvl w:val="0"/>
          <w:numId w:val="14"/>
        </w:numPr>
        <w:ind w:left="1134" w:hanging="567"/>
      </w:pPr>
      <w:r w:rsidRPr="00B81A4F">
        <w:t>已经审查了</w:t>
      </w:r>
      <w:r w:rsidRPr="00B81A4F">
        <w:rPr>
          <w:u w:val="none"/>
        </w:rPr>
        <w:t>文件</w:t>
      </w:r>
      <w:r w:rsidRPr="00B81A4F">
        <w:rPr>
          <w:u w:val="none"/>
        </w:rPr>
        <w:t>LHE/20/8.GA/</w:t>
      </w:r>
      <w:r w:rsidR="006E3129" w:rsidRPr="00B81A4F">
        <w:rPr>
          <w:u w:val="none"/>
        </w:rPr>
        <w:t>8</w:t>
      </w:r>
      <w:r w:rsidRPr="00B81A4F">
        <w:rPr>
          <w:u w:val="none"/>
        </w:rPr>
        <w:t>，</w:t>
      </w:r>
    </w:p>
    <w:p w14:paraId="35F1F421" w14:textId="3232C1A5" w:rsidR="008B1BA4" w:rsidRPr="00B81A4F" w:rsidRDefault="00B7060E" w:rsidP="00073C3A">
      <w:pPr>
        <w:pStyle w:val="COMParaDecision"/>
        <w:numPr>
          <w:ilvl w:val="0"/>
          <w:numId w:val="14"/>
        </w:numPr>
        <w:ind w:left="1134" w:hanging="567"/>
      </w:pPr>
      <w:r>
        <w:rPr>
          <w:rFonts w:hint="eastAsia"/>
        </w:rPr>
        <w:t>忆及</w:t>
      </w:r>
      <w:r w:rsidR="008B1BA4" w:rsidRPr="00B81A4F">
        <w:rPr>
          <w:u w:val="none"/>
        </w:rPr>
        <w:t>教科文组织大会（</w:t>
      </w:r>
      <w:r w:rsidR="008B1BA4" w:rsidRPr="00B81A4F">
        <w:rPr>
          <w:u w:val="none"/>
        </w:rPr>
        <w:t>2017</w:t>
      </w:r>
      <w:r w:rsidR="008B1BA4" w:rsidRPr="00B81A4F">
        <w:rPr>
          <w:u w:val="none"/>
        </w:rPr>
        <w:t>年）</w:t>
      </w:r>
      <w:hyperlink r:id="rId17" w:history="1">
        <w:r w:rsidR="008B1BA4" w:rsidRPr="00B81A4F">
          <w:rPr>
            <w:rStyle w:val="Lienhypertexte"/>
          </w:rPr>
          <w:t>第</w:t>
        </w:r>
        <w:r w:rsidR="008B1BA4" w:rsidRPr="00B81A4F">
          <w:rPr>
            <w:rStyle w:val="Lienhypertexte"/>
          </w:rPr>
          <w:t>39 C/87</w:t>
        </w:r>
        <w:r w:rsidR="008B1BA4" w:rsidRPr="00B81A4F">
          <w:rPr>
            <w:rStyle w:val="Lienhypertexte"/>
          </w:rPr>
          <w:t>号决议</w:t>
        </w:r>
      </w:hyperlink>
      <w:r w:rsidR="008B1BA4" w:rsidRPr="00B81A4F">
        <w:rPr>
          <w:bCs/>
          <w:u w:val="none"/>
        </w:rPr>
        <w:t>，</w:t>
      </w:r>
      <w:r w:rsidR="008B1BA4" w:rsidRPr="00B81A4F">
        <w:rPr>
          <w:u w:val="none"/>
        </w:rPr>
        <w:t>此决议邀请教科文组织执行局、总干事和治理机构实施不限成员名额的治理专家工作组的建议，特别是第</w:t>
      </w:r>
      <w:r w:rsidR="008B1BA4" w:rsidRPr="00B81A4F">
        <w:rPr>
          <w:u w:val="none"/>
        </w:rPr>
        <w:t>74</w:t>
      </w:r>
      <w:r w:rsidR="008B1BA4" w:rsidRPr="00B81A4F">
        <w:rPr>
          <w:u w:val="none"/>
        </w:rPr>
        <w:t>项建议，</w:t>
      </w:r>
      <w:r w:rsidR="00B81A4F">
        <w:rPr>
          <w:rFonts w:hint="eastAsia"/>
          <w:u w:val="none"/>
        </w:rPr>
        <w:t>以</w:t>
      </w:r>
      <w:r w:rsidR="00B81A4F" w:rsidRPr="0039658C">
        <w:rPr>
          <w:rStyle w:val="Lienhypertexte"/>
          <w:rFonts w:hint="eastAsia"/>
          <w:bCs/>
          <w:lang w:val="en-US"/>
        </w:rPr>
        <w:t>及第</w:t>
      </w:r>
      <w:hyperlink r:id="rId18" w:history="1">
        <w:r w:rsidR="00B81A4F" w:rsidRPr="005D1751">
          <w:rPr>
            <w:rStyle w:val="Lienhypertexte"/>
            <w:bCs/>
            <w:lang w:val="en-US"/>
          </w:rPr>
          <w:t>14.COM 19</w:t>
        </w:r>
      </w:hyperlink>
      <w:r w:rsidR="00B81A4F">
        <w:rPr>
          <w:rStyle w:val="Lienhypertexte"/>
          <w:bCs/>
          <w:lang w:val="en-US"/>
        </w:rPr>
        <w:t xml:space="preserve"> </w:t>
      </w:r>
      <w:r w:rsidR="00B81A4F">
        <w:rPr>
          <w:rStyle w:val="Lienhypertexte"/>
          <w:rFonts w:hint="eastAsia"/>
          <w:bCs/>
          <w:lang w:val="en-US"/>
        </w:rPr>
        <w:t>号决定</w:t>
      </w:r>
      <w:r w:rsidR="00B81A4F" w:rsidRPr="003E7BF7">
        <w:rPr>
          <w:bCs/>
          <w:u w:val="none"/>
          <w:lang w:val="en-US"/>
        </w:rPr>
        <w:t>,</w:t>
      </w:r>
    </w:p>
    <w:p w14:paraId="1E2F754D" w14:textId="6C8753FF" w:rsidR="0086640F" w:rsidRPr="00B81A4F" w:rsidRDefault="006E3129" w:rsidP="00073C3A">
      <w:pPr>
        <w:pStyle w:val="COMParaDecision"/>
        <w:numPr>
          <w:ilvl w:val="0"/>
          <w:numId w:val="14"/>
        </w:numPr>
        <w:ind w:left="1134" w:hanging="567"/>
      </w:pPr>
      <w:r w:rsidRPr="00B81A4F">
        <w:t>感</w:t>
      </w:r>
      <w:r w:rsidR="00815A32" w:rsidRPr="00B81A4F">
        <w:t>谢</w:t>
      </w:r>
      <w:r w:rsidR="00815A32" w:rsidRPr="00B81A4F">
        <w:rPr>
          <w:u w:val="none"/>
        </w:rPr>
        <w:t>参</w:t>
      </w:r>
      <w:r w:rsidRPr="00B81A4F">
        <w:rPr>
          <w:u w:val="none"/>
        </w:rPr>
        <w:t>与</w:t>
      </w:r>
      <w:r w:rsidR="00815A32" w:rsidRPr="00B81A4F">
        <w:rPr>
          <w:u w:val="none"/>
        </w:rPr>
        <w:t>2022-2029</w:t>
      </w:r>
      <w:r w:rsidR="00815A32" w:rsidRPr="00B81A4F">
        <w:rPr>
          <w:u w:val="none"/>
        </w:rPr>
        <w:t>年中期战略草案（第</w:t>
      </w:r>
      <w:r w:rsidR="00815A32" w:rsidRPr="00B81A4F">
        <w:rPr>
          <w:u w:val="none"/>
        </w:rPr>
        <w:t>41 C/4</w:t>
      </w:r>
      <w:r w:rsidR="00815A32" w:rsidRPr="00B81A4F">
        <w:rPr>
          <w:u w:val="none"/>
        </w:rPr>
        <w:t>号文件）以及</w:t>
      </w:r>
      <w:r w:rsidR="00815A32" w:rsidRPr="00B81A4F">
        <w:rPr>
          <w:u w:val="none"/>
        </w:rPr>
        <w:t>2022-2025</w:t>
      </w:r>
      <w:r w:rsidR="00815A32" w:rsidRPr="00B81A4F">
        <w:rPr>
          <w:u w:val="none"/>
        </w:rPr>
        <w:t>年项目和预算草案（第</w:t>
      </w:r>
      <w:r w:rsidR="00815A32" w:rsidRPr="00B81A4F">
        <w:rPr>
          <w:u w:val="none"/>
        </w:rPr>
        <w:t>41 C/5</w:t>
      </w:r>
      <w:r w:rsidR="00815A32" w:rsidRPr="00B81A4F">
        <w:rPr>
          <w:u w:val="none"/>
        </w:rPr>
        <w:t>号文件）</w:t>
      </w:r>
      <w:r w:rsidRPr="00B81A4F">
        <w:rPr>
          <w:u w:val="none"/>
        </w:rPr>
        <w:t>制定准备</w:t>
      </w:r>
      <w:r w:rsidR="00815A32" w:rsidRPr="00B81A4F">
        <w:rPr>
          <w:u w:val="none"/>
        </w:rPr>
        <w:t>电子磋商会的缔约国，同时对秘书处及时</w:t>
      </w:r>
      <w:proofErr w:type="gramStart"/>
      <w:r w:rsidR="00815A32" w:rsidRPr="00B81A4F">
        <w:rPr>
          <w:u w:val="none"/>
        </w:rPr>
        <w:t>召开磋商</w:t>
      </w:r>
      <w:proofErr w:type="gramEnd"/>
      <w:r w:rsidR="00815A32" w:rsidRPr="00B81A4F">
        <w:rPr>
          <w:u w:val="none"/>
        </w:rPr>
        <w:t>会并完成结果分析</w:t>
      </w:r>
      <w:r w:rsidR="00815A32" w:rsidRPr="00B81A4F">
        <w:t>感谢</w:t>
      </w:r>
      <w:r w:rsidR="00815A32" w:rsidRPr="00B81A4F">
        <w:rPr>
          <w:u w:val="none"/>
        </w:rPr>
        <w:t>；</w:t>
      </w:r>
    </w:p>
    <w:p w14:paraId="1DB3C040" w14:textId="3D4A6523" w:rsidR="00EB0F96" w:rsidRPr="00B81A4F" w:rsidRDefault="00607E30" w:rsidP="00073C3A">
      <w:pPr>
        <w:pStyle w:val="COMParaDecision"/>
        <w:numPr>
          <w:ilvl w:val="0"/>
          <w:numId w:val="14"/>
        </w:numPr>
        <w:ind w:left="1134" w:hanging="567"/>
        <w:rPr>
          <w:u w:val="none"/>
        </w:rPr>
      </w:pPr>
      <w:r w:rsidRPr="00B81A4F">
        <w:t>注意到</w:t>
      </w:r>
      <w:r w:rsidR="0086640F" w:rsidRPr="00B81A4F">
        <w:rPr>
          <w:u w:val="none"/>
        </w:rPr>
        <w:t>磋商会的结果，</w:t>
      </w:r>
      <w:r w:rsidRPr="00B81A4F">
        <w:t>对</w:t>
      </w:r>
      <w:r w:rsidR="0086640F" w:rsidRPr="00B81A4F">
        <w:rPr>
          <w:u w:val="none"/>
        </w:rPr>
        <w:t>通过分析所获取的战略观点、项目方向和具体建议</w:t>
      </w:r>
      <w:r w:rsidRPr="00B81A4F">
        <w:t>表示欢迎</w:t>
      </w:r>
      <w:r w:rsidR="0086640F" w:rsidRPr="00B81A4F">
        <w:rPr>
          <w:u w:val="none"/>
        </w:rPr>
        <w:t>，这些都可以为</w:t>
      </w:r>
      <w:r w:rsidR="00B81A4F">
        <w:rPr>
          <w:u w:val="none"/>
        </w:rPr>
        <w:t>2003</w:t>
      </w:r>
      <w:r w:rsidR="00B81A4F">
        <w:rPr>
          <w:u w:val="none"/>
        </w:rPr>
        <w:t>年《公约》</w:t>
      </w:r>
      <w:r w:rsidR="0086640F" w:rsidRPr="00B81A4F">
        <w:rPr>
          <w:u w:val="none"/>
        </w:rPr>
        <w:t>的未来工作提供指导。</w:t>
      </w:r>
    </w:p>
    <w:sectPr w:rsidR="00EB0F96" w:rsidRPr="00B81A4F" w:rsidSect="007B624C">
      <w:headerReference w:type="even" r:id="rId19"/>
      <w:headerReference w:type="default" r:id="rId20"/>
      <w:headerReference w:type="first" r:id="rId21"/>
      <w:pgSz w:w="11906" w:h="16838" w:code="9"/>
      <w:pgMar w:top="1411" w:right="1138" w:bottom="1138" w:left="1138"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2B7E5" w14:textId="77777777" w:rsidR="0096159F" w:rsidRDefault="0096159F" w:rsidP="002938F2">
      <w:r>
        <w:separator/>
      </w:r>
    </w:p>
    <w:p w14:paraId="5B958D3A" w14:textId="77777777" w:rsidR="0096159F" w:rsidRDefault="0096159F"/>
  </w:endnote>
  <w:endnote w:type="continuationSeparator" w:id="0">
    <w:p w14:paraId="2CD4E759" w14:textId="77777777" w:rsidR="0096159F" w:rsidRDefault="0096159F" w:rsidP="002938F2">
      <w:r>
        <w:continuationSeparator/>
      </w:r>
    </w:p>
    <w:p w14:paraId="7EBC06A3" w14:textId="77777777" w:rsidR="0096159F" w:rsidRDefault="00961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DA6A" w14:textId="77777777" w:rsidR="0096159F" w:rsidRDefault="0096159F" w:rsidP="002938F2">
      <w:r>
        <w:separator/>
      </w:r>
    </w:p>
    <w:p w14:paraId="69BFC6B5" w14:textId="77777777" w:rsidR="0096159F" w:rsidRDefault="0096159F"/>
  </w:footnote>
  <w:footnote w:type="continuationSeparator" w:id="0">
    <w:p w14:paraId="42649598" w14:textId="77777777" w:rsidR="0096159F" w:rsidRDefault="0096159F" w:rsidP="002938F2">
      <w:r>
        <w:continuationSeparator/>
      </w:r>
    </w:p>
    <w:p w14:paraId="27CBB014" w14:textId="77777777" w:rsidR="0096159F" w:rsidRDefault="009615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0C6B" w14:textId="552A34BD" w:rsidR="00B6167A" w:rsidRPr="00B7060E" w:rsidRDefault="00816FFB" w:rsidP="008A4197">
    <w:pPr>
      <w:pStyle w:val="En-tte"/>
      <w:rPr>
        <w:rFonts w:ascii="Arial" w:hAnsi="Arial" w:cs="Arial"/>
        <w:sz w:val="20"/>
        <w:szCs w:val="22"/>
      </w:rPr>
    </w:pPr>
    <w:r>
      <w:rPr>
        <w:rFonts w:ascii="Arial" w:hAnsi="Arial" w:hint="eastAsia"/>
        <w:sz w:val="20"/>
        <w:szCs w:val="20"/>
      </w:rPr>
      <w:t>LHE/20/8.GA/</w:t>
    </w:r>
    <w:r w:rsidR="003D20CA">
      <w:rPr>
        <w:rFonts w:ascii="Arial" w:hAnsi="Arial" w:hint="eastAsia"/>
        <w:sz w:val="20"/>
        <w:szCs w:val="20"/>
      </w:rPr>
      <w:t>8</w:t>
    </w:r>
    <w:r>
      <w:rPr>
        <w:rFonts w:ascii="Arial" w:hAnsi="Arial" w:hint="eastAsia"/>
        <w:sz w:val="20"/>
        <w:szCs w:val="20"/>
      </w:rPr>
      <w:t xml:space="preserve">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sidR="00B6167A" w:rsidRPr="00D81948">
      <w:rPr>
        <w:rStyle w:val="Numrodepage"/>
        <w:rFonts w:ascii="Arial" w:hAnsi="Arial" w:cs="Arial" w:hint="eastAsia"/>
        <w:sz w:val="20"/>
        <w:szCs w:val="20"/>
      </w:rPr>
      <w:fldChar w:fldCharType="begin"/>
    </w:r>
    <w:r w:rsidR="00B6167A" w:rsidRPr="00D81948">
      <w:rPr>
        <w:rStyle w:val="Numrodepage"/>
        <w:rFonts w:ascii="Arial" w:hAnsi="Arial" w:cs="Arial" w:hint="eastAsia"/>
        <w:sz w:val="20"/>
        <w:szCs w:val="20"/>
      </w:rPr>
      <w:instrText xml:space="preserve"> PAGE </w:instrText>
    </w:r>
    <w:r w:rsidR="00B6167A" w:rsidRPr="00D81948">
      <w:rPr>
        <w:rStyle w:val="Numrodepage"/>
        <w:rFonts w:ascii="Arial" w:hAnsi="Arial" w:cs="Arial" w:hint="eastAsia"/>
        <w:sz w:val="20"/>
        <w:szCs w:val="20"/>
      </w:rPr>
      <w:fldChar w:fldCharType="separate"/>
    </w:r>
    <w:r w:rsidR="00BC0DA4">
      <w:rPr>
        <w:rStyle w:val="Numrodepage"/>
        <w:rFonts w:ascii="Arial" w:hAnsi="Arial" w:cs="Arial"/>
        <w:noProof/>
        <w:sz w:val="20"/>
        <w:szCs w:val="20"/>
      </w:rPr>
      <w:t>4</w:t>
    </w:r>
    <w:r w:rsidR="00B6167A" w:rsidRPr="00D81948">
      <w:rPr>
        <w:rStyle w:val="Numrodepage"/>
        <w:rFonts w:ascii="Arial" w:hAnsi="Arial" w:cs="Arial" w:hint="eastAsia"/>
        <w:sz w:val="20"/>
        <w:szCs w:val="20"/>
      </w:rPr>
      <w:fldChar w:fldCharType="end"/>
    </w:r>
    <w:r w:rsidRPr="00B7060E">
      <w:rPr>
        <w:rFonts w:hint="eastAsia"/>
        <w:sz w:val="20"/>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CA81" w14:textId="69A4FED7" w:rsidR="00B6167A" w:rsidRDefault="00F73188" w:rsidP="001B5A9E">
    <w:pPr>
      <w:pStyle w:val="En-tte"/>
      <w:ind w:left="2544" w:firstLine="3828"/>
      <w:jc w:val="right"/>
    </w:pPr>
    <w:r>
      <w:rPr>
        <w:rFonts w:ascii="Arial" w:hAnsi="Arial" w:hint="eastAsia"/>
        <w:sz w:val="20"/>
        <w:szCs w:val="20"/>
      </w:rPr>
      <w:t>LHE/20/8.GA/</w:t>
    </w:r>
    <w:r w:rsidR="003D20CA">
      <w:rPr>
        <w:rFonts w:ascii="Arial" w:hAnsi="Arial" w:hint="eastAsia"/>
        <w:sz w:val="20"/>
        <w:szCs w:val="20"/>
      </w:rPr>
      <w:t>8</w:t>
    </w:r>
    <w:r>
      <w:rPr>
        <w:rFonts w:ascii="Arial" w:hAnsi="Arial" w:hint="eastAsia"/>
        <w:sz w:val="20"/>
        <w:szCs w:val="20"/>
      </w:rPr>
      <w:t xml:space="preserve">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sidR="001E4EEB" w:rsidRPr="00EF563B">
      <w:rPr>
        <w:rStyle w:val="Numrodepage"/>
        <w:rFonts w:ascii="Arial" w:hAnsi="Arial" w:cs="Arial" w:hint="eastAsia"/>
        <w:sz w:val="20"/>
        <w:szCs w:val="20"/>
      </w:rPr>
      <w:fldChar w:fldCharType="begin"/>
    </w:r>
    <w:r w:rsidR="001E4EEB" w:rsidRPr="00EF563B">
      <w:rPr>
        <w:rStyle w:val="Numrodepage"/>
        <w:rFonts w:ascii="Arial" w:hAnsi="Arial" w:cs="Arial" w:hint="eastAsia"/>
        <w:sz w:val="20"/>
        <w:szCs w:val="20"/>
      </w:rPr>
      <w:instrText xml:space="preserve"> </w:instrText>
    </w:r>
    <w:r w:rsidR="001E4EEB">
      <w:rPr>
        <w:rStyle w:val="Numrodepage"/>
        <w:rFonts w:ascii="Arial" w:hAnsi="Arial" w:cs="Arial" w:hint="eastAsia"/>
        <w:sz w:val="20"/>
        <w:szCs w:val="20"/>
      </w:rPr>
      <w:instrText>PAGE</w:instrText>
    </w:r>
    <w:r w:rsidR="001E4EEB" w:rsidRPr="00EF563B">
      <w:rPr>
        <w:rStyle w:val="Numrodepage"/>
        <w:rFonts w:ascii="Arial" w:hAnsi="Arial" w:cs="Arial" w:hint="eastAsia"/>
        <w:sz w:val="20"/>
        <w:szCs w:val="20"/>
      </w:rPr>
      <w:instrText xml:space="preserve"> </w:instrText>
    </w:r>
    <w:r w:rsidR="001E4EEB" w:rsidRPr="00EF563B">
      <w:rPr>
        <w:rStyle w:val="Numrodepage"/>
        <w:rFonts w:ascii="Arial" w:hAnsi="Arial" w:cs="Arial" w:hint="eastAsia"/>
        <w:sz w:val="20"/>
        <w:szCs w:val="20"/>
      </w:rPr>
      <w:fldChar w:fldCharType="separate"/>
    </w:r>
    <w:r w:rsidR="00BC0DA4">
      <w:rPr>
        <w:rStyle w:val="Numrodepage"/>
        <w:rFonts w:ascii="Arial" w:hAnsi="Arial" w:cs="Arial"/>
        <w:noProof/>
        <w:sz w:val="20"/>
        <w:szCs w:val="20"/>
      </w:rPr>
      <w:t>5</w:t>
    </w:r>
    <w:r w:rsidR="001E4EEB" w:rsidRPr="00EF563B">
      <w:rPr>
        <w:rStyle w:val="Numrodepage"/>
        <w:rFonts w:ascii="Arial" w:hAnsi="Arial" w:cs="Arial" w:hint="eastAsia"/>
        <w:sz w:val="20"/>
        <w:szCs w:val="20"/>
      </w:rPr>
      <w:fldChar w:fldCharType="end"/>
    </w:r>
    <w:r w:rsidRPr="00B7060E">
      <w:rPr>
        <w:rFonts w:hint="eastAsia"/>
        <w:sz w:val="20"/>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E0F5" w14:textId="16EA01B2" w:rsidR="00B6167A" w:rsidRPr="008724E5" w:rsidRDefault="00FB63DF">
    <w:pPr>
      <w:pStyle w:val="En-tte"/>
    </w:pPr>
    <w:r w:rsidRPr="009C7ED5">
      <w:rPr>
        <w:rFonts w:cs="Arial"/>
        <w:noProof/>
        <w:lang w:val="fr-FR" w:eastAsia="ja-JP"/>
      </w:rPr>
      <w:drawing>
        <wp:anchor distT="0" distB="0" distL="114300" distR="114300" simplePos="0" relativeHeight="251659776" behindDoc="0" locked="0" layoutInCell="1" allowOverlap="1" wp14:anchorId="5FECCAC7" wp14:editId="00FF88A8">
          <wp:simplePos x="0" y="0"/>
          <wp:positionH relativeFrom="margin">
            <wp:posOffset>-607630</wp:posOffset>
          </wp:positionH>
          <wp:positionV relativeFrom="page">
            <wp:posOffset>133896</wp:posOffset>
          </wp:positionV>
          <wp:extent cx="2394000" cy="1450800"/>
          <wp:effectExtent l="0" t="0" r="6350"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F8DC50" w14:textId="006B63FF" w:rsidR="00B6167A" w:rsidRPr="00FB63DF" w:rsidRDefault="00816FFB" w:rsidP="002938F2">
    <w:pPr>
      <w:pStyle w:val="En-tte"/>
      <w:spacing w:after="520"/>
      <w:jc w:val="right"/>
      <w:rPr>
        <w:rFonts w:ascii="Arial" w:hAnsi="Arial" w:cs="Arial"/>
        <w:b/>
        <w:sz w:val="44"/>
        <w:szCs w:val="44"/>
        <w:lang w:val="pt-PT"/>
      </w:rPr>
    </w:pPr>
    <w:r w:rsidRPr="00FB63DF">
      <w:rPr>
        <w:rFonts w:ascii="Arial" w:hAnsi="Arial" w:hint="eastAsia"/>
        <w:b/>
        <w:sz w:val="44"/>
        <w:szCs w:val="44"/>
        <w:lang w:val="pt-PT"/>
      </w:rPr>
      <w:t>8 GA</w:t>
    </w:r>
  </w:p>
  <w:p w14:paraId="6B28C393" w14:textId="11805A3A" w:rsidR="00B6167A" w:rsidRPr="00FB63DF" w:rsidRDefault="00816FFB" w:rsidP="002D396D">
    <w:pPr>
      <w:spacing w:after="0"/>
      <w:jc w:val="right"/>
      <w:rPr>
        <w:rFonts w:ascii="Arial" w:hAnsi="Arial" w:cs="Arial"/>
        <w:b/>
        <w:szCs w:val="22"/>
        <w:lang w:val="pt-PT"/>
      </w:rPr>
    </w:pPr>
    <w:r w:rsidRPr="00FB63DF">
      <w:rPr>
        <w:rFonts w:ascii="Arial" w:hAnsi="Arial" w:hint="eastAsia"/>
        <w:b/>
        <w:szCs w:val="22"/>
        <w:lang w:val="pt-PT"/>
      </w:rPr>
      <w:t>LHE/20/8.GA/</w:t>
    </w:r>
    <w:r w:rsidR="00FB63DF">
      <w:rPr>
        <w:rFonts w:ascii="Arial" w:hAnsi="Arial" w:hint="eastAsia"/>
        <w:b/>
        <w:szCs w:val="22"/>
        <w:lang w:val="pt-PT"/>
      </w:rPr>
      <w:t>8</w:t>
    </w:r>
  </w:p>
  <w:p w14:paraId="15E3C86E" w14:textId="42155CA8" w:rsidR="00B6167A" w:rsidRPr="00FB63DF" w:rsidRDefault="00B6167A" w:rsidP="002D396D">
    <w:pPr>
      <w:spacing w:after="0"/>
      <w:jc w:val="right"/>
      <w:rPr>
        <w:rFonts w:ascii="Arial" w:hAnsi="Arial" w:cs="Arial"/>
        <w:b/>
        <w:szCs w:val="22"/>
        <w:lang w:val="pt-PT"/>
      </w:rPr>
    </w:pPr>
    <w:r>
      <w:rPr>
        <w:rFonts w:ascii="Arial" w:hAnsi="Arial" w:hint="eastAsia"/>
        <w:b/>
        <w:szCs w:val="22"/>
      </w:rPr>
      <w:t>巴黎</w:t>
    </w:r>
    <w:r w:rsidRPr="00FB63DF">
      <w:rPr>
        <w:rFonts w:ascii="Arial" w:hAnsi="Arial" w:hint="eastAsia"/>
        <w:b/>
        <w:szCs w:val="22"/>
        <w:lang w:val="pt-PT"/>
      </w:rPr>
      <w:t>，</w:t>
    </w:r>
    <w:r w:rsidRPr="00FB63DF">
      <w:rPr>
        <w:rFonts w:ascii="Arial" w:hAnsi="Arial" w:hint="eastAsia"/>
        <w:b/>
        <w:szCs w:val="22"/>
        <w:lang w:val="pt-PT"/>
      </w:rPr>
      <w:t>2020</w:t>
    </w:r>
    <w:r>
      <w:rPr>
        <w:rFonts w:ascii="Arial" w:hAnsi="Arial" w:hint="eastAsia"/>
        <w:b/>
        <w:szCs w:val="22"/>
      </w:rPr>
      <w:t>年</w:t>
    </w:r>
    <w:r w:rsidRPr="00FB63DF">
      <w:rPr>
        <w:rFonts w:ascii="Arial" w:hAnsi="Arial" w:hint="eastAsia"/>
        <w:b/>
        <w:szCs w:val="22"/>
        <w:lang w:val="pt-PT"/>
      </w:rPr>
      <w:t>8</w:t>
    </w:r>
    <w:r>
      <w:rPr>
        <w:rFonts w:ascii="Arial" w:hAnsi="Arial" w:hint="eastAsia"/>
        <w:b/>
        <w:szCs w:val="22"/>
      </w:rPr>
      <w:t>月</w:t>
    </w:r>
    <w:r w:rsidRPr="00FB63DF">
      <w:rPr>
        <w:rFonts w:ascii="Arial" w:hAnsi="Arial" w:hint="eastAsia"/>
        <w:b/>
        <w:szCs w:val="22"/>
        <w:lang w:val="pt-PT"/>
      </w:rPr>
      <w:t>7</w:t>
    </w:r>
    <w:r>
      <w:rPr>
        <w:rFonts w:ascii="Arial" w:hAnsi="Arial" w:hint="eastAsia"/>
        <w:b/>
        <w:szCs w:val="22"/>
      </w:rPr>
      <w:t>日</w:t>
    </w:r>
  </w:p>
  <w:p w14:paraId="5E8CD856" w14:textId="51C75544" w:rsidR="00B6167A" w:rsidRPr="00D81948" w:rsidRDefault="00B6167A" w:rsidP="002D396D">
    <w:pPr>
      <w:spacing w:after="0"/>
      <w:jc w:val="right"/>
      <w:rPr>
        <w:rFonts w:ascii="Arial" w:hAnsi="Arial" w:cs="Arial"/>
        <w:b/>
        <w:szCs w:val="22"/>
      </w:rPr>
    </w:pPr>
    <w:r>
      <w:rPr>
        <w:rFonts w:ascii="Arial" w:hAnsi="Arial" w:hint="eastAsia"/>
        <w:b/>
        <w:szCs w:val="22"/>
      </w:rPr>
      <w:t>原</w:t>
    </w:r>
    <w:r w:rsidR="003B7FEC">
      <w:rPr>
        <w:rFonts w:ascii="Arial" w:hAnsi="Arial" w:hint="eastAsia"/>
        <w:b/>
        <w:szCs w:val="22"/>
      </w:rPr>
      <w:t>文</w:t>
    </w:r>
    <w:r>
      <w:rPr>
        <w:rFonts w:ascii="Arial" w:hAnsi="Arial" w:hint="eastAsia"/>
        <w:b/>
        <w:szCs w:val="22"/>
      </w:rPr>
      <w:t>：英</w:t>
    </w:r>
    <w:r w:rsidR="005E0558">
      <w:rPr>
        <w:rFonts w:ascii="Arial" w:hAnsi="Arial" w:hint="eastAsia"/>
        <w:b/>
        <w:szCs w:val="22"/>
      </w:rPr>
      <w:t>文</w:t>
    </w:r>
  </w:p>
  <w:p w14:paraId="5C5433CE"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566"/>
    <w:multiLevelType w:val="hybridMultilevel"/>
    <w:tmpl w:val="928CACE0"/>
    <w:lvl w:ilvl="0" w:tplc="7AE41318">
      <w:start w:val="1"/>
      <w:numFmt w:val="decimal"/>
      <w:lvlText w:val="%1."/>
      <w:lvlJc w:val="left"/>
      <w:pPr>
        <w:ind w:left="1065" w:hanging="705"/>
      </w:pPr>
      <w:rPr>
        <w:rFonts w:hint="default"/>
        <w:b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74A2B"/>
    <w:multiLevelType w:val="hybridMultilevel"/>
    <w:tmpl w:val="36085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34A4E68"/>
    <w:multiLevelType w:val="hybridMultilevel"/>
    <w:tmpl w:val="865C0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4C4820"/>
    <w:multiLevelType w:val="hybridMultilevel"/>
    <w:tmpl w:val="F6F60272"/>
    <w:lvl w:ilvl="0" w:tplc="5F081C5C">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D8673EF"/>
    <w:multiLevelType w:val="hybridMultilevel"/>
    <w:tmpl w:val="42FAFEEC"/>
    <w:lvl w:ilvl="0" w:tplc="5F081C5C">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D94F71"/>
    <w:multiLevelType w:val="hybridMultilevel"/>
    <w:tmpl w:val="BD42141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F26F19"/>
    <w:multiLevelType w:val="hybridMultilevel"/>
    <w:tmpl w:val="F6F60272"/>
    <w:lvl w:ilvl="0" w:tplc="5F081C5C">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2"/>
  </w:num>
  <w:num w:numId="2">
    <w:abstractNumId w:val="8"/>
  </w:num>
  <w:num w:numId="3">
    <w:abstractNumId w:val="4"/>
  </w:num>
  <w:num w:numId="4">
    <w:abstractNumId w:val="15"/>
  </w:num>
  <w:num w:numId="5">
    <w:abstractNumId w:val="13"/>
  </w:num>
  <w:num w:numId="6">
    <w:abstractNumId w:val="3"/>
  </w:num>
  <w:num w:numId="7">
    <w:abstractNumId w:val="5"/>
  </w:num>
  <w:num w:numId="8">
    <w:abstractNumId w:val="7"/>
  </w:num>
  <w:num w:numId="9">
    <w:abstractNumId w:val="10"/>
  </w:num>
  <w:num w:numId="10">
    <w:abstractNumId w:val="11"/>
  </w:num>
  <w:num w:numId="11">
    <w:abstractNumId w:val="14"/>
  </w:num>
  <w:num w:numId="12">
    <w:abstractNumId w:val="6"/>
  </w:num>
  <w:num w:numId="13">
    <w:abstractNumId w:val="16"/>
  </w:num>
  <w:num w:numId="14">
    <w:abstractNumId w:val="9"/>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pt-PT" w:vendorID="64" w:dllVersion="0" w:nlCheck="1" w:checkStyle="0"/>
  <w:activeWritingStyle w:appName="MSWord" w:lang="fr-FR" w:vendorID="64" w:dllVersion="0" w:nlCheck="1" w:checkStyle="0"/>
  <w:activeWritingStyle w:appName="MSWord" w:lang="zh-CN" w:vendorID="64" w:dllVersion="5" w:nlCheck="1" w:checkStyle="1"/>
  <w:activeWritingStyle w:appName="MSWord" w:lang="zh-CN" w:vendorID="64" w:dllVersion="131077"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pt-PT"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EB"/>
    <w:rsid w:val="000016A4"/>
    <w:rsid w:val="000019DB"/>
    <w:rsid w:val="00002139"/>
    <w:rsid w:val="000047CC"/>
    <w:rsid w:val="000120FD"/>
    <w:rsid w:val="00015B24"/>
    <w:rsid w:val="00017491"/>
    <w:rsid w:val="00021831"/>
    <w:rsid w:val="00024FCD"/>
    <w:rsid w:val="00027089"/>
    <w:rsid w:val="00047E58"/>
    <w:rsid w:val="00062E09"/>
    <w:rsid w:val="00073C3A"/>
    <w:rsid w:val="00073D20"/>
    <w:rsid w:val="000755E1"/>
    <w:rsid w:val="0008296D"/>
    <w:rsid w:val="00085541"/>
    <w:rsid w:val="00086DE5"/>
    <w:rsid w:val="000879D0"/>
    <w:rsid w:val="00092171"/>
    <w:rsid w:val="00095435"/>
    <w:rsid w:val="000A34CE"/>
    <w:rsid w:val="000B064A"/>
    <w:rsid w:val="000B2C3B"/>
    <w:rsid w:val="000C65E4"/>
    <w:rsid w:val="000C7382"/>
    <w:rsid w:val="000D4D81"/>
    <w:rsid w:val="000E1A3F"/>
    <w:rsid w:val="000E4C83"/>
    <w:rsid w:val="000E7331"/>
    <w:rsid w:val="000F32EF"/>
    <w:rsid w:val="00106B72"/>
    <w:rsid w:val="00112D4A"/>
    <w:rsid w:val="00113D76"/>
    <w:rsid w:val="0011750D"/>
    <w:rsid w:val="0012098C"/>
    <w:rsid w:val="00124165"/>
    <w:rsid w:val="00125789"/>
    <w:rsid w:val="00134AD2"/>
    <w:rsid w:val="001412DE"/>
    <w:rsid w:val="00142E36"/>
    <w:rsid w:val="00143DF7"/>
    <w:rsid w:val="00144A4D"/>
    <w:rsid w:val="00151351"/>
    <w:rsid w:val="00157AB2"/>
    <w:rsid w:val="00166119"/>
    <w:rsid w:val="0017263D"/>
    <w:rsid w:val="00174B39"/>
    <w:rsid w:val="00182E36"/>
    <w:rsid w:val="001866B2"/>
    <w:rsid w:val="00195DCE"/>
    <w:rsid w:val="001A431C"/>
    <w:rsid w:val="001B0CD0"/>
    <w:rsid w:val="001B1A09"/>
    <w:rsid w:val="001B5A9E"/>
    <w:rsid w:val="001B67B6"/>
    <w:rsid w:val="001C1A1C"/>
    <w:rsid w:val="001C6F46"/>
    <w:rsid w:val="001C70BF"/>
    <w:rsid w:val="001D00B5"/>
    <w:rsid w:val="001D3B29"/>
    <w:rsid w:val="001D418B"/>
    <w:rsid w:val="001D576C"/>
    <w:rsid w:val="001E43F0"/>
    <w:rsid w:val="001E4EEB"/>
    <w:rsid w:val="001F37CA"/>
    <w:rsid w:val="00200CDE"/>
    <w:rsid w:val="00205ADD"/>
    <w:rsid w:val="0021403D"/>
    <w:rsid w:val="00214EE8"/>
    <w:rsid w:val="00217BED"/>
    <w:rsid w:val="0022107E"/>
    <w:rsid w:val="00221BBC"/>
    <w:rsid w:val="00226547"/>
    <w:rsid w:val="00242463"/>
    <w:rsid w:val="00246ADE"/>
    <w:rsid w:val="002556D1"/>
    <w:rsid w:val="00265CE3"/>
    <w:rsid w:val="0027198B"/>
    <w:rsid w:val="00271E76"/>
    <w:rsid w:val="002806B1"/>
    <w:rsid w:val="00282138"/>
    <w:rsid w:val="00282E56"/>
    <w:rsid w:val="0028447B"/>
    <w:rsid w:val="00286C0C"/>
    <w:rsid w:val="0028722D"/>
    <w:rsid w:val="00290373"/>
    <w:rsid w:val="00290CD1"/>
    <w:rsid w:val="00290D5F"/>
    <w:rsid w:val="00291566"/>
    <w:rsid w:val="002938F2"/>
    <w:rsid w:val="002B078B"/>
    <w:rsid w:val="002B6FE6"/>
    <w:rsid w:val="002C5280"/>
    <w:rsid w:val="002C667C"/>
    <w:rsid w:val="002C7613"/>
    <w:rsid w:val="002D28A5"/>
    <w:rsid w:val="002D396D"/>
    <w:rsid w:val="002D5454"/>
    <w:rsid w:val="002E263B"/>
    <w:rsid w:val="002E27C3"/>
    <w:rsid w:val="002E2801"/>
    <w:rsid w:val="002E42BC"/>
    <w:rsid w:val="002E6FDA"/>
    <w:rsid w:val="002F63C3"/>
    <w:rsid w:val="00306999"/>
    <w:rsid w:val="00310E9B"/>
    <w:rsid w:val="00313031"/>
    <w:rsid w:val="0033349E"/>
    <w:rsid w:val="00336F99"/>
    <w:rsid w:val="00354372"/>
    <w:rsid w:val="00363995"/>
    <w:rsid w:val="003673A8"/>
    <w:rsid w:val="00374A8F"/>
    <w:rsid w:val="0038158C"/>
    <w:rsid w:val="00382D31"/>
    <w:rsid w:val="0038378C"/>
    <w:rsid w:val="00384F4E"/>
    <w:rsid w:val="0039276F"/>
    <w:rsid w:val="0039442E"/>
    <w:rsid w:val="0039446E"/>
    <w:rsid w:val="0039658C"/>
    <w:rsid w:val="003A2CF8"/>
    <w:rsid w:val="003A3B27"/>
    <w:rsid w:val="003B4EDD"/>
    <w:rsid w:val="003B6504"/>
    <w:rsid w:val="003B7FEC"/>
    <w:rsid w:val="003C4701"/>
    <w:rsid w:val="003C7065"/>
    <w:rsid w:val="003D20CA"/>
    <w:rsid w:val="003D2CB1"/>
    <w:rsid w:val="003D7A23"/>
    <w:rsid w:val="003E2DB9"/>
    <w:rsid w:val="003E5785"/>
    <w:rsid w:val="003F5E6C"/>
    <w:rsid w:val="003F69A7"/>
    <w:rsid w:val="00405589"/>
    <w:rsid w:val="00406759"/>
    <w:rsid w:val="004108B6"/>
    <w:rsid w:val="0041164A"/>
    <w:rsid w:val="00416EA4"/>
    <w:rsid w:val="0042061D"/>
    <w:rsid w:val="00424A37"/>
    <w:rsid w:val="00434773"/>
    <w:rsid w:val="0044195A"/>
    <w:rsid w:val="00441DAD"/>
    <w:rsid w:val="004561B1"/>
    <w:rsid w:val="0046701E"/>
    <w:rsid w:val="004717E2"/>
    <w:rsid w:val="00471B34"/>
    <w:rsid w:val="0048325A"/>
    <w:rsid w:val="00490A3E"/>
    <w:rsid w:val="00490A5C"/>
    <w:rsid w:val="00490DBC"/>
    <w:rsid w:val="00496E6D"/>
    <w:rsid w:val="004B4614"/>
    <w:rsid w:val="004C4CEA"/>
    <w:rsid w:val="004C4F65"/>
    <w:rsid w:val="004C7041"/>
    <w:rsid w:val="004C779A"/>
    <w:rsid w:val="004C7A72"/>
    <w:rsid w:val="004C7D8D"/>
    <w:rsid w:val="004E402F"/>
    <w:rsid w:val="004E42C6"/>
    <w:rsid w:val="004F129F"/>
    <w:rsid w:val="004F7A38"/>
    <w:rsid w:val="005016FB"/>
    <w:rsid w:val="005040D5"/>
    <w:rsid w:val="00504BE4"/>
    <w:rsid w:val="005105B4"/>
    <w:rsid w:val="005111C2"/>
    <w:rsid w:val="00511D17"/>
    <w:rsid w:val="00512A9E"/>
    <w:rsid w:val="0051699F"/>
    <w:rsid w:val="0053211C"/>
    <w:rsid w:val="00534397"/>
    <w:rsid w:val="00534557"/>
    <w:rsid w:val="00544C09"/>
    <w:rsid w:val="0054572E"/>
    <w:rsid w:val="005506E6"/>
    <w:rsid w:val="00556686"/>
    <w:rsid w:val="00562940"/>
    <w:rsid w:val="00563404"/>
    <w:rsid w:val="00566AFC"/>
    <w:rsid w:val="00571BF8"/>
    <w:rsid w:val="0057480D"/>
    <w:rsid w:val="00574810"/>
    <w:rsid w:val="00582093"/>
    <w:rsid w:val="00585F41"/>
    <w:rsid w:val="005B1AB4"/>
    <w:rsid w:val="005B1C93"/>
    <w:rsid w:val="005C0660"/>
    <w:rsid w:val="005D1CE9"/>
    <w:rsid w:val="005D2006"/>
    <w:rsid w:val="005D38FE"/>
    <w:rsid w:val="005D7C67"/>
    <w:rsid w:val="005E0558"/>
    <w:rsid w:val="005E0F76"/>
    <w:rsid w:val="005E6EF1"/>
    <w:rsid w:val="005F02F3"/>
    <w:rsid w:val="005F0B72"/>
    <w:rsid w:val="005F12D2"/>
    <w:rsid w:val="005F4BC1"/>
    <w:rsid w:val="00601D9A"/>
    <w:rsid w:val="00607805"/>
    <w:rsid w:val="00607E30"/>
    <w:rsid w:val="00624B13"/>
    <w:rsid w:val="00634359"/>
    <w:rsid w:val="006373BA"/>
    <w:rsid w:val="00640E7F"/>
    <w:rsid w:val="006515C9"/>
    <w:rsid w:val="00652318"/>
    <w:rsid w:val="00654089"/>
    <w:rsid w:val="006606EC"/>
    <w:rsid w:val="00671D9F"/>
    <w:rsid w:val="006772B8"/>
    <w:rsid w:val="00680A74"/>
    <w:rsid w:val="0069658E"/>
    <w:rsid w:val="006A1AEA"/>
    <w:rsid w:val="006C66E1"/>
    <w:rsid w:val="006D2293"/>
    <w:rsid w:val="006D3630"/>
    <w:rsid w:val="006D4494"/>
    <w:rsid w:val="006E3129"/>
    <w:rsid w:val="006E394C"/>
    <w:rsid w:val="006E4345"/>
    <w:rsid w:val="006E7A4B"/>
    <w:rsid w:val="006F4893"/>
    <w:rsid w:val="007020AB"/>
    <w:rsid w:val="007045E8"/>
    <w:rsid w:val="00707BB3"/>
    <w:rsid w:val="00714CAA"/>
    <w:rsid w:val="00720FE0"/>
    <w:rsid w:val="00733991"/>
    <w:rsid w:val="0073659A"/>
    <w:rsid w:val="00740E3A"/>
    <w:rsid w:val="00746204"/>
    <w:rsid w:val="007472A1"/>
    <w:rsid w:val="007474AA"/>
    <w:rsid w:val="00747715"/>
    <w:rsid w:val="00747A7F"/>
    <w:rsid w:val="00750138"/>
    <w:rsid w:val="007524E2"/>
    <w:rsid w:val="00753DA3"/>
    <w:rsid w:val="00757593"/>
    <w:rsid w:val="00764F50"/>
    <w:rsid w:val="00765184"/>
    <w:rsid w:val="00765E55"/>
    <w:rsid w:val="0077297B"/>
    <w:rsid w:val="00772A69"/>
    <w:rsid w:val="00772F87"/>
    <w:rsid w:val="00790C65"/>
    <w:rsid w:val="007924E6"/>
    <w:rsid w:val="007939CB"/>
    <w:rsid w:val="007A0A32"/>
    <w:rsid w:val="007A3FC5"/>
    <w:rsid w:val="007A47BE"/>
    <w:rsid w:val="007A7D45"/>
    <w:rsid w:val="007B2084"/>
    <w:rsid w:val="007B37BD"/>
    <w:rsid w:val="007B5B67"/>
    <w:rsid w:val="007B624C"/>
    <w:rsid w:val="007B708D"/>
    <w:rsid w:val="007C1B00"/>
    <w:rsid w:val="007D31CE"/>
    <w:rsid w:val="007D3A7A"/>
    <w:rsid w:val="007D4A00"/>
    <w:rsid w:val="007D5BB7"/>
    <w:rsid w:val="007E0621"/>
    <w:rsid w:val="007F0611"/>
    <w:rsid w:val="007F4B07"/>
    <w:rsid w:val="00803BBB"/>
    <w:rsid w:val="0080400B"/>
    <w:rsid w:val="008060F9"/>
    <w:rsid w:val="00815A32"/>
    <w:rsid w:val="00816FFB"/>
    <w:rsid w:val="008203E3"/>
    <w:rsid w:val="008214C9"/>
    <w:rsid w:val="00822958"/>
    <w:rsid w:val="00823AD6"/>
    <w:rsid w:val="008240C3"/>
    <w:rsid w:val="00830E83"/>
    <w:rsid w:val="008328EC"/>
    <w:rsid w:val="0083488D"/>
    <w:rsid w:val="00836DFB"/>
    <w:rsid w:val="00845DBF"/>
    <w:rsid w:val="008466C3"/>
    <w:rsid w:val="00846C71"/>
    <w:rsid w:val="00847964"/>
    <w:rsid w:val="00851458"/>
    <w:rsid w:val="00861A47"/>
    <w:rsid w:val="00862FB1"/>
    <w:rsid w:val="0086640F"/>
    <w:rsid w:val="008707FF"/>
    <w:rsid w:val="008724E5"/>
    <w:rsid w:val="008749EE"/>
    <w:rsid w:val="008766E2"/>
    <w:rsid w:val="00876C7D"/>
    <w:rsid w:val="00880BDA"/>
    <w:rsid w:val="00887CD2"/>
    <w:rsid w:val="00893FEF"/>
    <w:rsid w:val="008A40BA"/>
    <w:rsid w:val="008A4197"/>
    <w:rsid w:val="008B1BA4"/>
    <w:rsid w:val="008B2AAE"/>
    <w:rsid w:val="008B4EFA"/>
    <w:rsid w:val="008B6F22"/>
    <w:rsid w:val="008C7CE4"/>
    <w:rsid w:val="008E0622"/>
    <w:rsid w:val="008E079C"/>
    <w:rsid w:val="008E0C15"/>
    <w:rsid w:val="008E358B"/>
    <w:rsid w:val="008E5CE0"/>
    <w:rsid w:val="008E6A53"/>
    <w:rsid w:val="008E7F56"/>
    <w:rsid w:val="008F16C6"/>
    <w:rsid w:val="008F34A1"/>
    <w:rsid w:val="00902452"/>
    <w:rsid w:val="009027D7"/>
    <w:rsid w:val="0091154A"/>
    <w:rsid w:val="009121CE"/>
    <w:rsid w:val="009224B5"/>
    <w:rsid w:val="00931CD7"/>
    <w:rsid w:val="009375B4"/>
    <w:rsid w:val="009439DE"/>
    <w:rsid w:val="00953B33"/>
    <w:rsid w:val="00955326"/>
    <w:rsid w:val="009608E0"/>
    <w:rsid w:val="0096127E"/>
    <w:rsid w:val="0096159F"/>
    <w:rsid w:val="00961ED8"/>
    <w:rsid w:val="009636E4"/>
    <w:rsid w:val="0097349C"/>
    <w:rsid w:val="00981397"/>
    <w:rsid w:val="009850EA"/>
    <w:rsid w:val="00994BF2"/>
    <w:rsid w:val="0099728E"/>
    <w:rsid w:val="009A1672"/>
    <w:rsid w:val="009A390C"/>
    <w:rsid w:val="009A5D19"/>
    <w:rsid w:val="009B7AD1"/>
    <w:rsid w:val="009C0C8C"/>
    <w:rsid w:val="009C36B1"/>
    <w:rsid w:val="009C6548"/>
    <w:rsid w:val="009D2106"/>
    <w:rsid w:val="009D5E38"/>
    <w:rsid w:val="009E3D4C"/>
    <w:rsid w:val="009E4649"/>
    <w:rsid w:val="009F3988"/>
    <w:rsid w:val="009F5807"/>
    <w:rsid w:val="009F5A98"/>
    <w:rsid w:val="00A0186D"/>
    <w:rsid w:val="00A04469"/>
    <w:rsid w:val="00A070C5"/>
    <w:rsid w:val="00A12F21"/>
    <w:rsid w:val="00A150C7"/>
    <w:rsid w:val="00A1530E"/>
    <w:rsid w:val="00A17D5B"/>
    <w:rsid w:val="00A205B1"/>
    <w:rsid w:val="00A22AF6"/>
    <w:rsid w:val="00A22CF6"/>
    <w:rsid w:val="00A25989"/>
    <w:rsid w:val="00A25E42"/>
    <w:rsid w:val="00A276E0"/>
    <w:rsid w:val="00A31199"/>
    <w:rsid w:val="00A37CD6"/>
    <w:rsid w:val="00A413EC"/>
    <w:rsid w:val="00A500D0"/>
    <w:rsid w:val="00A50607"/>
    <w:rsid w:val="00A510EA"/>
    <w:rsid w:val="00A519A2"/>
    <w:rsid w:val="00A63976"/>
    <w:rsid w:val="00A6577C"/>
    <w:rsid w:val="00A662A6"/>
    <w:rsid w:val="00A67368"/>
    <w:rsid w:val="00A70883"/>
    <w:rsid w:val="00A77AEB"/>
    <w:rsid w:val="00A806FB"/>
    <w:rsid w:val="00A81922"/>
    <w:rsid w:val="00A94386"/>
    <w:rsid w:val="00A94DA8"/>
    <w:rsid w:val="00AA444A"/>
    <w:rsid w:val="00AB1528"/>
    <w:rsid w:val="00AC1448"/>
    <w:rsid w:val="00AC1AE0"/>
    <w:rsid w:val="00AC5EA8"/>
    <w:rsid w:val="00AD34DF"/>
    <w:rsid w:val="00AD521E"/>
    <w:rsid w:val="00AD6B2E"/>
    <w:rsid w:val="00AE1B18"/>
    <w:rsid w:val="00AE3E09"/>
    <w:rsid w:val="00AE4D70"/>
    <w:rsid w:val="00AE7A88"/>
    <w:rsid w:val="00AF1C32"/>
    <w:rsid w:val="00AF53DB"/>
    <w:rsid w:val="00AF62E6"/>
    <w:rsid w:val="00B11AE3"/>
    <w:rsid w:val="00B13327"/>
    <w:rsid w:val="00B2226C"/>
    <w:rsid w:val="00B25DE0"/>
    <w:rsid w:val="00B40FE6"/>
    <w:rsid w:val="00B43AF8"/>
    <w:rsid w:val="00B43C28"/>
    <w:rsid w:val="00B46D5D"/>
    <w:rsid w:val="00B47C79"/>
    <w:rsid w:val="00B51D90"/>
    <w:rsid w:val="00B54431"/>
    <w:rsid w:val="00B6167A"/>
    <w:rsid w:val="00B65DEB"/>
    <w:rsid w:val="00B7060E"/>
    <w:rsid w:val="00B767B5"/>
    <w:rsid w:val="00B8133F"/>
    <w:rsid w:val="00B81A4F"/>
    <w:rsid w:val="00B866F2"/>
    <w:rsid w:val="00B973B5"/>
    <w:rsid w:val="00BA2A4B"/>
    <w:rsid w:val="00BA408C"/>
    <w:rsid w:val="00BB6EDC"/>
    <w:rsid w:val="00BC0DA4"/>
    <w:rsid w:val="00BC6B5B"/>
    <w:rsid w:val="00BD200A"/>
    <w:rsid w:val="00BE253E"/>
    <w:rsid w:val="00BE4B21"/>
    <w:rsid w:val="00BE7F28"/>
    <w:rsid w:val="00C0135D"/>
    <w:rsid w:val="00C037FF"/>
    <w:rsid w:val="00C04D3E"/>
    <w:rsid w:val="00C11411"/>
    <w:rsid w:val="00C26E59"/>
    <w:rsid w:val="00C34820"/>
    <w:rsid w:val="00C4246C"/>
    <w:rsid w:val="00C43D17"/>
    <w:rsid w:val="00C51ECD"/>
    <w:rsid w:val="00C54B89"/>
    <w:rsid w:val="00C61206"/>
    <w:rsid w:val="00C6478B"/>
    <w:rsid w:val="00C66EC3"/>
    <w:rsid w:val="00C714B0"/>
    <w:rsid w:val="00C71561"/>
    <w:rsid w:val="00C71EEF"/>
    <w:rsid w:val="00C80AAE"/>
    <w:rsid w:val="00C85E65"/>
    <w:rsid w:val="00C93E73"/>
    <w:rsid w:val="00C96128"/>
    <w:rsid w:val="00CA327F"/>
    <w:rsid w:val="00CA4D92"/>
    <w:rsid w:val="00CB0F37"/>
    <w:rsid w:val="00CB505D"/>
    <w:rsid w:val="00CB5648"/>
    <w:rsid w:val="00CB7470"/>
    <w:rsid w:val="00CC165D"/>
    <w:rsid w:val="00CC2BC6"/>
    <w:rsid w:val="00CD0A4A"/>
    <w:rsid w:val="00CD4FD3"/>
    <w:rsid w:val="00CD72BE"/>
    <w:rsid w:val="00CE2586"/>
    <w:rsid w:val="00CE621A"/>
    <w:rsid w:val="00CE7774"/>
    <w:rsid w:val="00D03C12"/>
    <w:rsid w:val="00D04614"/>
    <w:rsid w:val="00D05FA8"/>
    <w:rsid w:val="00D062D1"/>
    <w:rsid w:val="00D07D4A"/>
    <w:rsid w:val="00D121B4"/>
    <w:rsid w:val="00D32800"/>
    <w:rsid w:val="00D3460C"/>
    <w:rsid w:val="00D35800"/>
    <w:rsid w:val="00D404B7"/>
    <w:rsid w:val="00D4211E"/>
    <w:rsid w:val="00D44833"/>
    <w:rsid w:val="00D44924"/>
    <w:rsid w:val="00D44F74"/>
    <w:rsid w:val="00D51005"/>
    <w:rsid w:val="00D511C3"/>
    <w:rsid w:val="00D53470"/>
    <w:rsid w:val="00D55A46"/>
    <w:rsid w:val="00D61D29"/>
    <w:rsid w:val="00D620D1"/>
    <w:rsid w:val="00D704D2"/>
    <w:rsid w:val="00D753C7"/>
    <w:rsid w:val="00D7700D"/>
    <w:rsid w:val="00D8068F"/>
    <w:rsid w:val="00D809E5"/>
    <w:rsid w:val="00D81655"/>
    <w:rsid w:val="00D81948"/>
    <w:rsid w:val="00D827A3"/>
    <w:rsid w:val="00D83AC8"/>
    <w:rsid w:val="00D915CE"/>
    <w:rsid w:val="00D9501F"/>
    <w:rsid w:val="00D960E5"/>
    <w:rsid w:val="00DB1FB5"/>
    <w:rsid w:val="00DB3539"/>
    <w:rsid w:val="00DB50D5"/>
    <w:rsid w:val="00DB751E"/>
    <w:rsid w:val="00DC6BDF"/>
    <w:rsid w:val="00DD2A85"/>
    <w:rsid w:val="00DD2CDF"/>
    <w:rsid w:val="00DE7F70"/>
    <w:rsid w:val="00DF3DA3"/>
    <w:rsid w:val="00E002D9"/>
    <w:rsid w:val="00E06A00"/>
    <w:rsid w:val="00E137DA"/>
    <w:rsid w:val="00E15B25"/>
    <w:rsid w:val="00E174CA"/>
    <w:rsid w:val="00E17983"/>
    <w:rsid w:val="00E22B99"/>
    <w:rsid w:val="00E25616"/>
    <w:rsid w:val="00E258D9"/>
    <w:rsid w:val="00E40ACD"/>
    <w:rsid w:val="00E439CA"/>
    <w:rsid w:val="00E46AB5"/>
    <w:rsid w:val="00E5219B"/>
    <w:rsid w:val="00E54911"/>
    <w:rsid w:val="00E61E1A"/>
    <w:rsid w:val="00E63926"/>
    <w:rsid w:val="00E70D09"/>
    <w:rsid w:val="00E70DB9"/>
    <w:rsid w:val="00E72EBE"/>
    <w:rsid w:val="00E80B1C"/>
    <w:rsid w:val="00E816BA"/>
    <w:rsid w:val="00E83D55"/>
    <w:rsid w:val="00E84C88"/>
    <w:rsid w:val="00E8636A"/>
    <w:rsid w:val="00E87C3B"/>
    <w:rsid w:val="00E90638"/>
    <w:rsid w:val="00E91406"/>
    <w:rsid w:val="00E976C4"/>
    <w:rsid w:val="00EA198F"/>
    <w:rsid w:val="00EA6810"/>
    <w:rsid w:val="00EA690C"/>
    <w:rsid w:val="00EB0F96"/>
    <w:rsid w:val="00EB1C35"/>
    <w:rsid w:val="00EB1EB6"/>
    <w:rsid w:val="00EC0002"/>
    <w:rsid w:val="00EC0CB5"/>
    <w:rsid w:val="00ED095D"/>
    <w:rsid w:val="00ED644B"/>
    <w:rsid w:val="00EE365E"/>
    <w:rsid w:val="00EE4FB2"/>
    <w:rsid w:val="00EE7CCB"/>
    <w:rsid w:val="00EF0BCB"/>
    <w:rsid w:val="00EF0E74"/>
    <w:rsid w:val="00EF4505"/>
    <w:rsid w:val="00EF50DD"/>
    <w:rsid w:val="00EF5C8E"/>
    <w:rsid w:val="00F00E8A"/>
    <w:rsid w:val="00F02335"/>
    <w:rsid w:val="00F02B83"/>
    <w:rsid w:val="00F05DF6"/>
    <w:rsid w:val="00F11FC5"/>
    <w:rsid w:val="00F14FDB"/>
    <w:rsid w:val="00F25003"/>
    <w:rsid w:val="00F30CE1"/>
    <w:rsid w:val="00F311CF"/>
    <w:rsid w:val="00F328C9"/>
    <w:rsid w:val="00F36627"/>
    <w:rsid w:val="00F4088C"/>
    <w:rsid w:val="00F43B29"/>
    <w:rsid w:val="00F469D5"/>
    <w:rsid w:val="00F5423D"/>
    <w:rsid w:val="00F63DDA"/>
    <w:rsid w:val="00F63F88"/>
    <w:rsid w:val="00F70858"/>
    <w:rsid w:val="00F70E7C"/>
    <w:rsid w:val="00F73188"/>
    <w:rsid w:val="00F7397F"/>
    <w:rsid w:val="00F75949"/>
    <w:rsid w:val="00F80633"/>
    <w:rsid w:val="00F82D0E"/>
    <w:rsid w:val="00F873A6"/>
    <w:rsid w:val="00F91609"/>
    <w:rsid w:val="00F917B6"/>
    <w:rsid w:val="00F941F0"/>
    <w:rsid w:val="00F955FD"/>
    <w:rsid w:val="00FA04DB"/>
    <w:rsid w:val="00FA1B10"/>
    <w:rsid w:val="00FA2217"/>
    <w:rsid w:val="00FA2384"/>
    <w:rsid w:val="00FA3848"/>
    <w:rsid w:val="00FA4A9D"/>
    <w:rsid w:val="00FA5CB8"/>
    <w:rsid w:val="00FA6CBB"/>
    <w:rsid w:val="00FA6EB8"/>
    <w:rsid w:val="00FB297F"/>
    <w:rsid w:val="00FB411F"/>
    <w:rsid w:val="00FB63DF"/>
    <w:rsid w:val="00FC3980"/>
    <w:rsid w:val="00FC63C8"/>
    <w:rsid w:val="00FC72BF"/>
    <w:rsid w:val="00FD2A3C"/>
    <w:rsid w:val="00FE2A52"/>
    <w:rsid w:val="00FE57C8"/>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020A6D"/>
  <w15:docId w15:val="{946455BF-428B-4C9E-8000-E58E28D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rPr>
  </w:style>
  <w:style w:type="paragraph" w:styleId="Titre5">
    <w:name w:val="heading 5"/>
    <w:basedOn w:val="Normal"/>
    <w:link w:val="Titre5Car"/>
    <w:uiPriority w:val="9"/>
    <w:qFormat/>
    <w:rsid w:val="00A22CF6"/>
    <w:pPr>
      <w:spacing w:before="100" w:beforeAutospacing="1" w:after="100" w:afterAutospacing="1"/>
      <w:outlineLvl w:val="4"/>
    </w:pPr>
    <w:rPr>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spacing w:after="0"/>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eastAsia="SimSun" w:hAnsi="Tahoma" w:cs="Tahoma"/>
      <w:sz w:val="16"/>
      <w:szCs w:val="16"/>
      <w:lang w:val="en-GB"/>
    </w:rPr>
  </w:style>
  <w:style w:type="paragraph" w:customStyle="1" w:styleId="Sansinterligne1">
    <w:name w:val="Sans interligne1"/>
    <w:uiPriority w:val="1"/>
    <w:qFormat/>
    <w:rsid w:val="006C3FFC"/>
    <w:rPr>
      <w:rFonts w:ascii="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SimSun" w:hAnsi="Arial"/>
      <w:b/>
      <w:bCs/>
      <w:snapToGrid w:val="0"/>
      <w:sz w:val="22"/>
      <w:szCs w:val="24"/>
      <w:lang w:val="en-GB" w:eastAsia="zh-CN"/>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hAnsi="Arial"/>
      <w:snapToGrid w:val="0"/>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uiPriority w:val="99"/>
    <w:rsid w:val="00B11AE3"/>
    <w:rPr>
      <w:sz w:val="16"/>
      <w:szCs w:val="16"/>
    </w:rPr>
  </w:style>
  <w:style w:type="paragraph" w:styleId="Commentaire">
    <w:name w:val="annotation text"/>
    <w:basedOn w:val="Normal"/>
    <w:link w:val="CommentaireCar"/>
    <w:uiPriority w:val="99"/>
    <w:rsid w:val="00B11AE3"/>
    <w:rPr>
      <w:sz w:val="20"/>
      <w:szCs w:val="20"/>
    </w:rPr>
  </w:style>
  <w:style w:type="character" w:customStyle="1" w:styleId="CommentaireCar">
    <w:name w:val="Commentaire Car"/>
    <w:link w:val="Commentaire"/>
    <w:uiPriority w:val="99"/>
    <w:rsid w:val="00B11AE3"/>
    <w:rPr>
      <w:rFonts w:ascii="Times New Roman" w:eastAsia="SimSu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SimSun" w:hAnsi="Times New Roman"/>
      <w:b/>
      <w:bCs/>
      <w:lang w:val="en-GB"/>
    </w:rPr>
  </w:style>
  <w:style w:type="paragraph" w:customStyle="1" w:styleId="1GAPara">
    <w:name w:val="1. GA Para"/>
    <w:qFormat/>
    <w:rsid w:val="00E22B99"/>
    <w:pPr>
      <w:numPr>
        <w:numId w:val="8"/>
      </w:numPr>
      <w:spacing w:after="120"/>
      <w:ind w:left="567" w:hanging="567"/>
    </w:pPr>
    <w:rPr>
      <w:rFonts w:ascii="Arial" w:hAnsi="Arial" w:cs="Arial"/>
      <w:snapToGrid w:val="0"/>
      <w:sz w:val="22"/>
      <w:szCs w:val="22"/>
      <w:lang w:val="en-GB"/>
    </w:rPr>
  </w:style>
  <w:style w:type="paragraph" w:styleId="Sansinterligne">
    <w:name w:val="No Spacing"/>
    <w:link w:val="SansinterligneCar"/>
    <w:uiPriority w:val="1"/>
    <w:qFormat/>
    <w:rsid w:val="000C7382"/>
    <w:rPr>
      <w:rFonts w:ascii="Times New Roman" w:hAnsi="Times New Roman"/>
      <w:sz w:val="24"/>
      <w:szCs w:val="24"/>
    </w:rPr>
  </w:style>
  <w:style w:type="character" w:styleId="Lienhypertexte">
    <w:name w:val="Hyperlink"/>
    <w:uiPriority w:val="99"/>
    <w:rsid w:val="000C7382"/>
    <w:rPr>
      <w:color w:val="0000FF"/>
      <w:u w:val="single"/>
    </w:rPr>
  </w:style>
  <w:style w:type="character" w:styleId="lev">
    <w:name w:val="Strong"/>
    <w:aliases w:val="Text"/>
    <w:uiPriority w:val="22"/>
    <w:qFormat/>
    <w:rsid w:val="000C7382"/>
    <w:rPr>
      <w:b/>
      <w:bCs/>
    </w:rPr>
  </w:style>
  <w:style w:type="paragraph" w:customStyle="1" w:styleId="Sansinterligne2">
    <w:name w:val="Sans interligne2"/>
    <w:uiPriority w:val="1"/>
    <w:rsid w:val="003C4701"/>
    <w:rPr>
      <w:rFonts w:ascii="Times New Roman" w:hAnsi="Times New Roman"/>
      <w:sz w:val="24"/>
      <w:szCs w:val="24"/>
    </w:rPr>
  </w:style>
  <w:style w:type="character" w:customStyle="1" w:styleId="SansinterligneCar">
    <w:name w:val="Sans interligne Car"/>
    <w:link w:val="Sansinterligne"/>
    <w:uiPriority w:val="1"/>
    <w:locked/>
    <w:rsid w:val="00134AD2"/>
    <w:rPr>
      <w:rFonts w:ascii="Times New Roman" w:eastAsia="SimSun" w:hAnsi="Times New Roman"/>
      <w:sz w:val="24"/>
      <w:szCs w:val="24"/>
    </w:rPr>
  </w:style>
  <w:style w:type="paragraph" w:customStyle="1" w:styleId="Pranumrotrecommenc1">
    <w:name w:val="Pra numéroté recommencé à 1"/>
    <w:basedOn w:val="Normal"/>
    <w:rsid w:val="00134AD2"/>
    <w:pPr>
      <w:tabs>
        <w:tab w:val="num" w:pos="360"/>
      </w:tabs>
      <w:spacing w:after="0"/>
      <w:ind w:left="360" w:hanging="360"/>
    </w:pPr>
    <w:rPr>
      <w:rFonts w:ascii="Arial" w:hAnsi="Arial"/>
      <w:sz w:val="24"/>
      <w:lang w:val="fr-FR"/>
    </w:rPr>
  </w:style>
  <w:style w:type="paragraph" w:customStyle="1" w:styleId="Default">
    <w:name w:val="Default"/>
    <w:rsid w:val="00876C7D"/>
    <w:pPr>
      <w:autoSpaceDE w:val="0"/>
      <w:autoSpaceDN w:val="0"/>
      <w:adjustRightInd w:val="0"/>
    </w:pPr>
    <w:rPr>
      <w:rFonts w:ascii="Arial" w:hAnsi="Arial" w:cs="Arial"/>
      <w:color w:val="000000"/>
      <w:sz w:val="24"/>
      <w:szCs w:val="24"/>
      <w:lang w:val="en-US"/>
    </w:rPr>
  </w:style>
  <w:style w:type="paragraph" w:styleId="Paragraphedeliste">
    <w:name w:val="List Paragraph"/>
    <w:basedOn w:val="Normal"/>
    <w:uiPriority w:val="34"/>
    <w:qFormat/>
    <w:rsid w:val="0008296D"/>
    <w:pPr>
      <w:ind w:left="720"/>
      <w:contextualSpacing/>
    </w:pPr>
  </w:style>
  <w:style w:type="paragraph" w:customStyle="1" w:styleId="GATitleResolution">
    <w:name w:val="GA Title Resolution"/>
    <w:basedOn w:val="Normal"/>
    <w:qFormat/>
    <w:rsid w:val="008B1BA4"/>
    <w:pPr>
      <w:keepNext/>
      <w:spacing w:before="240"/>
      <w:ind w:left="567"/>
      <w:jc w:val="both"/>
    </w:pPr>
    <w:rPr>
      <w:rFonts w:ascii="Arial" w:hAnsi="Arial" w:cs="Arial"/>
      <w:b/>
      <w:szCs w:val="22"/>
    </w:rPr>
  </w:style>
  <w:style w:type="paragraph" w:customStyle="1" w:styleId="GAPreambulaResolution">
    <w:name w:val="GA Preambula Resolution"/>
    <w:basedOn w:val="Normal"/>
    <w:qFormat/>
    <w:rsid w:val="008B1BA4"/>
    <w:pPr>
      <w:keepNext/>
      <w:ind w:left="567"/>
      <w:jc w:val="both"/>
    </w:pPr>
    <w:rPr>
      <w:rFonts w:ascii="Arial" w:hAnsi="Arial" w:cs="Arial"/>
      <w:szCs w:val="22"/>
    </w:rPr>
  </w:style>
  <w:style w:type="paragraph" w:customStyle="1" w:styleId="GAParaResolution">
    <w:name w:val="GA Para Resolution"/>
    <w:basedOn w:val="Normal"/>
    <w:qFormat/>
    <w:rsid w:val="008B1BA4"/>
    <w:pPr>
      <w:numPr>
        <w:numId w:val="14"/>
      </w:numPr>
      <w:autoSpaceDE w:val="0"/>
      <w:autoSpaceDN w:val="0"/>
      <w:adjustRightInd w:val="0"/>
      <w:jc w:val="both"/>
    </w:pPr>
    <w:rPr>
      <w:rFonts w:ascii="Arial" w:hAnsi="Arial" w:cs="Arial"/>
      <w:szCs w:val="22"/>
      <w:u w:val="single"/>
    </w:rPr>
  </w:style>
  <w:style w:type="paragraph" w:customStyle="1" w:styleId="COMParaDecision">
    <w:name w:val="COM Para Decision"/>
    <w:basedOn w:val="Normal"/>
    <w:qFormat/>
    <w:rsid w:val="008B1BA4"/>
    <w:pPr>
      <w:autoSpaceDE w:val="0"/>
      <w:autoSpaceDN w:val="0"/>
      <w:adjustRightInd w:val="0"/>
      <w:ind w:left="1134" w:hanging="567"/>
      <w:jc w:val="both"/>
    </w:pPr>
    <w:rPr>
      <w:rFonts w:ascii="Arial" w:hAnsi="Arial" w:cs="Arial"/>
      <w:szCs w:val="22"/>
      <w:u w:val="single"/>
    </w:rPr>
  </w:style>
  <w:style w:type="paragraph" w:customStyle="1" w:styleId="COMPara">
    <w:name w:val="COM Para"/>
    <w:qFormat/>
    <w:rsid w:val="00F43B29"/>
    <w:pPr>
      <w:spacing w:after="120"/>
      <w:ind w:left="360" w:hanging="360"/>
    </w:pPr>
    <w:rPr>
      <w:rFonts w:ascii="Arial" w:hAnsi="Arial" w:cs="Arial"/>
      <w:snapToGrid w:val="0"/>
      <w:sz w:val="22"/>
      <w:szCs w:val="22"/>
      <w:lang w:val="en-GB"/>
    </w:rPr>
  </w:style>
  <w:style w:type="table" w:customStyle="1" w:styleId="TableGrid1">
    <w:name w:val="Table Grid1"/>
    <w:basedOn w:val="TableauNormal"/>
    <w:next w:val="Grilledutableau"/>
    <w:uiPriority w:val="59"/>
    <w:rsid w:val="00C3482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suivivisit">
    <w:name w:val="FollowedHyperlink"/>
    <w:basedOn w:val="Policepardfaut"/>
    <w:semiHidden/>
    <w:unhideWhenUsed/>
    <w:rsid w:val="00815A32"/>
    <w:rPr>
      <w:color w:val="800080" w:themeColor="followedHyperlink"/>
      <w:u w:val="single"/>
    </w:rPr>
  </w:style>
  <w:style w:type="paragraph" w:styleId="Rvision">
    <w:name w:val="Revision"/>
    <w:hidden/>
    <w:semiHidden/>
    <w:rsid w:val="00A50607"/>
    <w:rPr>
      <w:rFonts w:ascii="Times New Roman" w:hAnsi="Times New Roman"/>
      <w:sz w:val="22"/>
      <w:szCs w:val="24"/>
      <w:lang w:val="en-GB"/>
    </w:rPr>
  </w:style>
  <w:style w:type="character" w:customStyle="1" w:styleId="Titre5Car">
    <w:name w:val="Titre 5 Car"/>
    <w:basedOn w:val="Policepardfaut"/>
    <w:link w:val="Titre5"/>
    <w:uiPriority w:val="9"/>
    <w:rsid w:val="00A22CF6"/>
    <w:rPr>
      <w:rFonts w:ascii="Times New Roman" w:eastAsia="SimSun" w:hAnsi="Times New Roman"/>
      <w:b/>
      <w:bCs/>
      <w:lang w:val="en-US" w:eastAsia="zh-CN"/>
    </w:rPr>
  </w:style>
  <w:style w:type="paragraph" w:styleId="Lgende">
    <w:name w:val="caption"/>
    <w:basedOn w:val="Normal"/>
    <w:next w:val="Normal"/>
    <w:unhideWhenUsed/>
    <w:qFormat/>
    <w:rsid w:val="00AD521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596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0889" TargetMode="External"/><Relationship Id="rId13" Type="http://schemas.openxmlformats.org/officeDocument/2006/relationships/chart" Target="charts/chart1.xml"/><Relationship Id="rId18" Type="http://schemas.openxmlformats.org/officeDocument/2006/relationships/hyperlink" Target="https://ich.unesco.org/en/Decisions/14.COM/19"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doc/src/48435-FR.pdf" TargetMode="External"/><Relationship Id="rId17" Type="http://schemas.openxmlformats.org/officeDocument/2006/relationships/hyperlink" Target="https://unesdoc.unesco.org/ark:/48223/pf0000260889"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48435-EN.pdf"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s://unesdoc.unesco.org/ark:/48223/pf00002600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esdoc.unesco.org/ark:/48223/pf0000260889" TargetMode="External"/><Relationship Id="rId14" Type="http://schemas.openxmlformats.org/officeDocument/2006/relationships/chart" Target="charts/chart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20\2020-06_8.GA_PARIS\Documents\08_8GA_Contribution%20to%20the%20preparation%20of%2041C4%20and%2041C5\_CHINESE%20GRAPHS\Question%205.a%20-%20SDG%20graph%20and%20pie%20char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20\2020-06_8.GA_PARIS\Documents\08_8GA_Contribution%20to%20the%20preparation%20of%2041C4%20and%2041C5\_CHINESE%20GRAPHS\Question%207.a%20-%20thematic%20area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20\2020-06_8.GA_PARIS\Documents\08_8GA_Contribution%20to%20the%20preparation%20of%2041C4%20and%2041C5\_CHINESE%20GRAPHS\Pie%20charts%208.a-Priority%20Africa%20&amp;%20Gender%20Equality.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20\2020-06_8.GA_PARIS\Documents\08_8GA_Contribution%20to%20the%20preparation%20of%2041C4%20and%2041C5\_CHINESE%20GRAPHS\Pie%20charts%208.a-Priority%20Africa%20&amp;%20Gender%20Equalit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SimSun"/>
                <a:ea typeface="SimSun"/>
                <a:cs typeface="SimSun"/>
              </a:defRPr>
            </a:pPr>
            <a:r>
              <a:rPr lang="zh-CN" altLang="en-US"/>
              <a:t>最相关的可持续发展目标</a:t>
            </a:r>
          </a:p>
        </c:rich>
      </c:tx>
      <c:layout>
        <c:manualLayout>
          <c:xMode val="edge"/>
          <c:yMode val="edge"/>
          <c:x val="0.35772371949441278"/>
          <c:y val="3.4990791896869246E-2"/>
        </c:manualLayout>
      </c:layout>
      <c:overlay val="0"/>
      <c:spPr>
        <a:noFill/>
        <a:ln w="25400">
          <a:noFill/>
        </a:ln>
      </c:spPr>
    </c:title>
    <c:autoTitleDeleted val="0"/>
    <c:plotArea>
      <c:layout>
        <c:manualLayout>
          <c:layoutTarget val="inner"/>
          <c:xMode val="edge"/>
          <c:yMode val="edge"/>
          <c:x val="0.36495039665692675"/>
          <c:y val="0.12542053644649204"/>
          <c:w val="0.5706674516152771"/>
          <c:h val="0.83222379272870317"/>
        </c:manualLayout>
      </c:layout>
      <c:barChart>
        <c:barDir val="bar"/>
        <c:grouping val="clustered"/>
        <c:varyColors val="0"/>
        <c:ser>
          <c:idx val="0"/>
          <c:order val="0"/>
          <c:spPr>
            <a:solidFill>
              <a:srgbClr val="4472C4"/>
            </a:solidFill>
            <a:ln w="25400">
              <a:noFill/>
            </a:ln>
          </c:spPr>
          <c:invertIfNegative val="0"/>
          <c:dPt>
            <c:idx val="0"/>
            <c:invertIfNegative val="0"/>
            <c:bubble3D val="0"/>
            <c:spPr>
              <a:solidFill>
                <a:srgbClr val="4472C4"/>
              </a:solidFill>
              <a:ln w="12700">
                <a:noFill/>
                <a:prstDash val="solid"/>
              </a:ln>
            </c:spPr>
            <c:extLst>
              <c:ext xmlns:c16="http://schemas.microsoft.com/office/drawing/2014/chart" uri="{C3380CC4-5D6E-409C-BE32-E72D297353CC}">
                <c16:uniqueId val="{00000001-039B-4DFD-9366-B52D3E523DE4}"/>
              </c:ext>
            </c:extLst>
          </c:dPt>
          <c:dPt>
            <c:idx val="1"/>
            <c:invertIfNegative val="0"/>
            <c:bubble3D val="0"/>
            <c:spPr>
              <a:solidFill>
                <a:srgbClr val="4472C4"/>
              </a:solidFill>
              <a:ln w="12700">
                <a:noFill/>
                <a:prstDash val="solid"/>
              </a:ln>
            </c:spPr>
            <c:extLst>
              <c:ext xmlns:c16="http://schemas.microsoft.com/office/drawing/2014/chart" uri="{C3380CC4-5D6E-409C-BE32-E72D297353CC}">
                <c16:uniqueId val="{00000003-039B-4DFD-9366-B52D3E523DE4}"/>
              </c:ext>
            </c:extLst>
          </c:dPt>
          <c:dPt>
            <c:idx val="2"/>
            <c:invertIfNegative val="0"/>
            <c:bubble3D val="0"/>
            <c:spPr>
              <a:solidFill>
                <a:srgbClr val="4472C4"/>
              </a:solidFill>
              <a:ln w="12700">
                <a:noFill/>
                <a:prstDash val="solid"/>
              </a:ln>
            </c:spPr>
            <c:extLst>
              <c:ext xmlns:c16="http://schemas.microsoft.com/office/drawing/2014/chart" uri="{C3380CC4-5D6E-409C-BE32-E72D297353CC}">
                <c16:uniqueId val="{00000005-039B-4DFD-9366-B52D3E523DE4}"/>
              </c:ext>
            </c:extLst>
          </c:dPt>
          <c:dPt>
            <c:idx val="3"/>
            <c:invertIfNegative val="0"/>
            <c:bubble3D val="0"/>
            <c:spPr>
              <a:solidFill>
                <a:srgbClr val="4472C4"/>
              </a:solidFill>
              <a:ln w="12700">
                <a:noFill/>
                <a:prstDash val="solid"/>
              </a:ln>
            </c:spPr>
            <c:extLst>
              <c:ext xmlns:c16="http://schemas.microsoft.com/office/drawing/2014/chart" uri="{C3380CC4-5D6E-409C-BE32-E72D297353CC}">
                <c16:uniqueId val="{00000007-039B-4DFD-9366-B52D3E523DE4}"/>
              </c:ext>
            </c:extLst>
          </c:dPt>
          <c:dPt>
            <c:idx val="4"/>
            <c:invertIfNegative val="0"/>
            <c:bubble3D val="0"/>
            <c:spPr>
              <a:solidFill>
                <a:srgbClr val="4472C4"/>
              </a:solidFill>
              <a:ln w="12700">
                <a:noFill/>
                <a:prstDash val="solid"/>
              </a:ln>
            </c:spPr>
            <c:extLst>
              <c:ext xmlns:c16="http://schemas.microsoft.com/office/drawing/2014/chart" uri="{C3380CC4-5D6E-409C-BE32-E72D297353CC}">
                <c16:uniqueId val="{00000009-039B-4DFD-9366-B52D3E523DE4}"/>
              </c:ext>
            </c:extLst>
          </c:dPt>
          <c:dPt>
            <c:idx val="12"/>
            <c:invertIfNegative val="0"/>
            <c:bubble3D val="0"/>
            <c:spPr>
              <a:solidFill>
                <a:srgbClr val="4472C4"/>
              </a:solidFill>
              <a:ln w="12700">
                <a:solidFill>
                  <a:srgbClr val="FF0000"/>
                </a:solidFill>
              </a:ln>
            </c:spPr>
            <c:extLst>
              <c:ext xmlns:c16="http://schemas.microsoft.com/office/drawing/2014/chart" uri="{C3380CC4-5D6E-409C-BE32-E72D297353CC}">
                <c16:uniqueId val="{0000000B-039B-4DFD-9366-B52D3E523DE4}"/>
              </c:ext>
            </c:extLst>
          </c:dPt>
          <c:dPt>
            <c:idx val="13"/>
            <c:invertIfNegative val="0"/>
            <c:bubble3D val="0"/>
            <c:spPr>
              <a:solidFill>
                <a:srgbClr val="4472C4"/>
              </a:solidFill>
              <a:ln w="12700">
                <a:solidFill>
                  <a:srgbClr val="FF0000"/>
                </a:solidFill>
              </a:ln>
            </c:spPr>
            <c:extLst>
              <c:ext xmlns:c16="http://schemas.microsoft.com/office/drawing/2014/chart" uri="{C3380CC4-5D6E-409C-BE32-E72D297353CC}">
                <c16:uniqueId val="{0000000D-039B-4DFD-9366-B52D3E523DE4}"/>
              </c:ext>
            </c:extLst>
          </c:dPt>
          <c:dPt>
            <c:idx val="14"/>
            <c:invertIfNegative val="0"/>
            <c:bubble3D val="0"/>
            <c:spPr>
              <a:solidFill>
                <a:srgbClr val="4472C4"/>
              </a:solidFill>
              <a:ln w="12700">
                <a:solidFill>
                  <a:srgbClr val="FF0000"/>
                </a:solidFill>
              </a:ln>
            </c:spPr>
            <c:extLst>
              <c:ext xmlns:c16="http://schemas.microsoft.com/office/drawing/2014/chart" uri="{C3380CC4-5D6E-409C-BE32-E72D297353CC}">
                <c16:uniqueId val="{0000000F-039B-4DFD-9366-B52D3E523DE4}"/>
              </c:ext>
            </c:extLst>
          </c:dPt>
          <c:dPt>
            <c:idx val="15"/>
            <c:invertIfNegative val="0"/>
            <c:bubble3D val="0"/>
            <c:spPr>
              <a:solidFill>
                <a:srgbClr val="4472C4"/>
              </a:solidFill>
              <a:ln w="12700">
                <a:solidFill>
                  <a:srgbClr val="FF0000"/>
                </a:solidFill>
              </a:ln>
            </c:spPr>
            <c:extLst>
              <c:ext xmlns:c16="http://schemas.microsoft.com/office/drawing/2014/chart" uri="{C3380CC4-5D6E-409C-BE32-E72D297353CC}">
                <c16:uniqueId val="{00000011-039B-4DFD-9366-B52D3E523DE4}"/>
              </c:ext>
            </c:extLst>
          </c:dPt>
          <c:dPt>
            <c:idx val="16"/>
            <c:invertIfNegative val="0"/>
            <c:bubble3D val="0"/>
            <c:spPr>
              <a:solidFill>
                <a:srgbClr val="4472C4"/>
              </a:solidFill>
              <a:ln w="12700">
                <a:solidFill>
                  <a:srgbClr val="FF0000"/>
                </a:solidFill>
              </a:ln>
            </c:spPr>
            <c:extLst>
              <c:ext xmlns:c16="http://schemas.microsoft.com/office/drawing/2014/chart" uri="{C3380CC4-5D6E-409C-BE32-E72D297353CC}">
                <c16:uniqueId val="{00000013-039B-4DFD-9366-B52D3E523DE4}"/>
              </c:ext>
            </c:extLst>
          </c:dPt>
          <c:dLbls>
            <c:dLbl>
              <c:idx val="0"/>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1-039B-4DFD-9366-B52D3E523DE4}"/>
                </c:ext>
              </c:extLst>
            </c:dLbl>
            <c:dLbl>
              <c:idx val="1"/>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3-039B-4DFD-9366-B52D3E523DE4}"/>
                </c:ext>
              </c:extLst>
            </c:dLbl>
            <c:dLbl>
              <c:idx val="2"/>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5-039B-4DFD-9366-B52D3E523DE4}"/>
                </c:ext>
              </c:extLst>
            </c:dLbl>
            <c:dLbl>
              <c:idx val="3"/>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7-039B-4DFD-9366-B52D3E523DE4}"/>
                </c:ext>
              </c:extLst>
            </c:dLbl>
            <c:dLbl>
              <c:idx val="4"/>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9-039B-4DFD-9366-B52D3E523DE4}"/>
                </c:ext>
              </c:extLst>
            </c:dLbl>
            <c:dLbl>
              <c:idx val="5"/>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4-039B-4DFD-9366-B52D3E523DE4}"/>
                </c:ext>
              </c:extLst>
            </c:dLbl>
            <c:dLbl>
              <c:idx val="6"/>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5-039B-4DFD-9366-B52D3E523DE4}"/>
                </c:ext>
              </c:extLst>
            </c:dLbl>
            <c:dLbl>
              <c:idx val="7"/>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6-039B-4DFD-9366-B52D3E523DE4}"/>
                </c:ext>
              </c:extLst>
            </c:dLbl>
            <c:dLbl>
              <c:idx val="8"/>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7-039B-4DFD-9366-B52D3E523DE4}"/>
                </c:ext>
              </c:extLst>
            </c:dLbl>
            <c:dLbl>
              <c:idx val="9"/>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8-039B-4DFD-9366-B52D3E523DE4}"/>
                </c:ext>
              </c:extLst>
            </c:dLbl>
            <c:dLbl>
              <c:idx val="10"/>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9-039B-4DFD-9366-B52D3E523DE4}"/>
                </c:ext>
              </c:extLst>
            </c:dLbl>
            <c:dLbl>
              <c:idx val="11"/>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1A-039B-4DFD-9366-B52D3E523DE4}"/>
                </c:ext>
              </c:extLst>
            </c:dLbl>
            <c:dLbl>
              <c:idx val="12"/>
              <c:layout/>
              <c:tx>
                <c:rich>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fld id="{B76DD5AA-FF63-4AF2-B902-86E64531483A}" type="VALUE">
                      <a:rPr lang="en-US" sz="800" b="1">
                        <a:latin typeface="Arial" panose="020B0604020202020204" pitchFamily="34" charset="0"/>
                        <a:cs typeface="Arial" panose="020B0604020202020204" pitchFamily="34" charset="0"/>
                      </a:rPr>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t>[VALEUR]</a:t>
                    </a:fld>
                    <a:endParaRPr lang="fr-FR"/>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039B-4DFD-9366-B52D3E523DE4}"/>
                </c:ext>
              </c:extLst>
            </c:dLbl>
            <c:dLbl>
              <c:idx val="13"/>
              <c:layout/>
              <c:tx>
                <c:rich>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fld id="{7A345253-5B86-4F12-B5CA-005919AC083D}" type="VALUE">
                      <a:rPr lang="en-US" sz="800" b="1">
                        <a:latin typeface="Arial" panose="020B0604020202020204" pitchFamily="34" charset="0"/>
                        <a:cs typeface="Arial" panose="020B0604020202020204" pitchFamily="34" charset="0"/>
                      </a:rPr>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t>[VALEUR]</a:t>
                    </a:fld>
                    <a:endParaRPr lang="fr-FR"/>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D-039B-4DFD-9366-B52D3E523DE4}"/>
                </c:ext>
              </c:extLst>
            </c:dLbl>
            <c:dLbl>
              <c:idx val="14"/>
              <c:layout/>
              <c:tx>
                <c:rich>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fld id="{DBFE0F1E-61BF-4847-BC4A-FB4F0E98846D}" type="VALUE">
                      <a:rPr lang="en-US" sz="800" b="1">
                        <a:latin typeface="Arial" panose="020B0604020202020204" pitchFamily="34" charset="0"/>
                        <a:cs typeface="Arial" panose="020B0604020202020204" pitchFamily="34" charset="0"/>
                      </a:rPr>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t>[VALEUR]</a:t>
                    </a:fld>
                    <a:endParaRPr lang="fr-FR"/>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F-039B-4DFD-9366-B52D3E523DE4}"/>
                </c:ext>
              </c:extLst>
            </c:dLbl>
            <c:dLbl>
              <c:idx val="15"/>
              <c:layout/>
              <c:tx>
                <c:rich>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fld id="{36D9BB9B-20BE-4564-B141-691A73AD4B18}" type="VALUE">
                      <a:rPr lang="en-US" sz="800" b="1">
                        <a:latin typeface="Arial" panose="020B0604020202020204" pitchFamily="34" charset="0"/>
                        <a:cs typeface="Arial" panose="020B0604020202020204" pitchFamily="34" charset="0"/>
                      </a:rPr>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t>[VALEUR]</a:t>
                    </a:fld>
                    <a:endParaRPr lang="fr-FR"/>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1-039B-4DFD-9366-B52D3E523DE4}"/>
                </c:ext>
              </c:extLst>
            </c:dLbl>
            <c:dLbl>
              <c:idx val="16"/>
              <c:layout>
                <c:manualLayout>
                  <c:x val="0"/>
                  <c:y val="-4.2337002540220343E-3"/>
                </c:manualLayout>
              </c:layout>
              <c:tx>
                <c:rich>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fld id="{60B03494-A62E-4DB9-A28B-A48114FA166E}" type="VALUE">
                      <a:rPr lang="en-US" sz="800" b="1">
                        <a:latin typeface="Arial" panose="020B0604020202020204" pitchFamily="34" charset="0"/>
                        <a:cs typeface="Arial" panose="020B0604020202020204" pitchFamily="34" charset="0"/>
                      </a:rPr>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t>[VALEUR]</a:t>
                    </a:fld>
                    <a:endParaRPr lang="fr-FR"/>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3-039B-4DFD-9366-B52D3E523DE4}"/>
                </c:ext>
              </c:extLst>
            </c:dLbl>
            <c:spPr>
              <a:noFill/>
              <a:ln w="25400">
                <a:noFill/>
              </a:ln>
            </c:spPr>
            <c:txPr>
              <a:bodyPr wrap="square" lIns="38100" tIns="19050" rIns="38100" bIns="19050" anchor="ctr">
                <a:spAutoFit/>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 (2)'!$D$1:$D$17</c:f>
              <c:strCache>
                <c:ptCount val="17"/>
                <c:pt idx="0">
                  <c:v>SDG7：经济适用的清洁能源 </c:v>
                </c:pt>
                <c:pt idx="1">
                  <c:v>SDG6：清洁饮水和卫生设施 </c:v>
                </c:pt>
                <c:pt idx="2">
                  <c:v>SDG10：减少不平等</c:v>
                </c:pt>
                <c:pt idx="3">
                  <c:v>SDG9：产业、创新和基础设施</c:v>
                </c:pt>
                <c:pt idx="4">
                  <c:v>SDG14：水下生物</c:v>
                </c:pt>
                <c:pt idx="5">
                  <c:v>SDG1：无贫穷 </c:v>
                </c:pt>
                <c:pt idx="6">
                  <c:v>SDG17：促进目标实现的伙伴关系</c:v>
                </c:pt>
                <c:pt idx="7">
                  <c:v>SDG13：气候行动</c:v>
                </c:pt>
                <c:pt idx="8">
                  <c:v>SDG2：零饥饿</c:v>
                </c:pt>
                <c:pt idx="9">
                  <c:v>SDG3：良好健康与福祉 </c:v>
                </c:pt>
                <c:pt idx="10">
                  <c:v>SDG12：负责任消费和生产 </c:v>
                </c:pt>
                <c:pt idx="11">
                  <c:v>SDG15：陆地生物</c:v>
                </c:pt>
                <c:pt idx="12">
                  <c:v>SDG16：和平、正义与强大机构</c:v>
                </c:pt>
                <c:pt idx="13">
                  <c:v>SDG5：性别平等 </c:v>
                </c:pt>
                <c:pt idx="14">
                  <c:v>SDG8：体面工作和经济增长</c:v>
                </c:pt>
                <c:pt idx="15">
                  <c:v>SDG11：可持续城市和社区</c:v>
                </c:pt>
                <c:pt idx="16">
                  <c:v>SDG4：优质教育 </c:v>
                </c:pt>
              </c:strCache>
            </c:strRef>
          </c:cat>
          <c:val>
            <c:numRef>
              <c:f>'Sheet1 (2)'!$E$1:$E$17</c:f>
              <c:numCache>
                <c:formatCode>0.00%</c:formatCode>
                <c:ptCount val="17"/>
                <c:pt idx="0">
                  <c:v>4.6511627906976744E-2</c:v>
                </c:pt>
                <c:pt idx="1">
                  <c:v>0.12790697674418605</c:v>
                </c:pt>
                <c:pt idx="2">
                  <c:v>0.15116279069767441</c:v>
                </c:pt>
                <c:pt idx="3">
                  <c:v>0.17441860465116277</c:v>
                </c:pt>
                <c:pt idx="4">
                  <c:v>0.20930232558139536</c:v>
                </c:pt>
                <c:pt idx="5">
                  <c:v>0.22093023255813954</c:v>
                </c:pt>
                <c:pt idx="6">
                  <c:v>0.27906976744186046</c:v>
                </c:pt>
                <c:pt idx="7">
                  <c:v>0.30232558139534882</c:v>
                </c:pt>
                <c:pt idx="8">
                  <c:v>0.32558139534883723</c:v>
                </c:pt>
                <c:pt idx="9">
                  <c:v>0.33720930232558138</c:v>
                </c:pt>
                <c:pt idx="10">
                  <c:v>0.36046511627906974</c:v>
                </c:pt>
                <c:pt idx="11">
                  <c:v>0.39534883720930231</c:v>
                </c:pt>
                <c:pt idx="12">
                  <c:v>0.46511627906976744</c:v>
                </c:pt>
                <c:pt idx="13">
                  <c:v>0.47674418604651164</c:v>
                </c:pt>
                <c:pt idx="14">
                  <c:v>0.47674418604651164</c:v>
                </c:pt>
                <c:pt idx="15">
                  <c:v>0.51162790697674421</c:v>
                </c:pt>
                <c:pt idx="16">
                  <c:v>0.56976744186046513</c:v>
                </c:pt>
              </c:numCache>
            </c:numRef>
          </c:val>
          <c:extLst>
            <c:ext xmlns:c16="http://schemas.microsoft.com/office/drawing/2014/chart" uri="{C3380CC4-5D6E-409C-BE32-E72D297353CC}">
              <c16:uniqueId val="{0000001B-039B-4DFD-9366-B52D3E523DE4}"/>
            </c:ext>
          </c:extLst>
        </c:ser>
        <c:dLbls>
          <c:showLegendKey val="0"/>
          <c:showVal val="0"/>
          <c:showCatName val="0"/>
          <c:showSerName val="0"/>
          <c:showPercent val="0"/>
          <c:showBubbleSize val="0"/>
        </c:dLbls>
        <c:gapWidth val="150"/>
        <c:overlap val="-35"/>
        <c:axId val="506194880"/>
        <c:axId val="1"/>
      </c:barChart>
      <c:catAx>
        <c:axId val="506194880"/>
        <c:scaling>
          <c:orientation val="minMax"/>
        </c:scaling>
        <c:delete val="0"/>
        <c:axPos val="l"/>
        <c:numFmt formatCode="General" sourceLinked="1"/>
        <c:majorTickMark val="none"/>
        <c:minorTickMark val="none"/>
        <c:tickLblPos val="nextTo"/>
        <c:spPr>
          <a:ln w="3175">
            <a:solidFill>
              <a:srgbClr val="C0C0C0"/>
            </a:solidFill>
            <a:prstDash val="solid"/>
          </a:ln>
        </c:spPr>
        <c:txPr>
          <a:bodyPr rot="0" vert="horz"/>
          <a:lstStyle/>
          <a:p>
            <a:pPr rtl="0">
              <a:defRPr sz="900" b="0" i="0" u="none" strike="noStrike" baseline="0">
                <a:solidFill>
                  <a:srgbClr val="333333"/>
                </a:solidFill>
                <a:latin typeface="SimSun"/>
                <a:ea typeface="SimSun"/>
                <a:cs typeface="SimSun"/>
              </a:defRPr>
            </a:pPr>
            <a:endParaRPr lang="fr-FR"/>
          </a:p>
        </c:txPr>
        <c:crossAx val="1"/>
        <c:crosses val="autoZero"/>
        <c:auto val="1"/>
        <c:lblAlgn val="ctr"/>
        <c:lblOffset val="100"/>
        <c:tickLblSkip val="1"/>
        <c:tickMarkSkip val="1"/>
        <c:noMultiLvlLbl val="0"/>
      </c:catAx>
      <c:valAx>
        <c:axId val="1"/>
        <c:scaling>
          <c:orientation val="minMax"/>
        </c:scaling>
        <c:delete val="1"/>
        <c:axPos val="b"/>
        <c:numFmt formatCode="0.00%" sourceLinked="1"/>
        <c:majorTickMark val="out"/>
        <c:minorTickMark val="none"/>
        <c:tickLblPos val="nextTo"/>
        <c:crossAx val="506194880"/>
        <c:crossesAt val="1"/>
        <c:crossBetween val="between"/>
      </c:valAx>
      <c:spPr>
        <a:noFill/>
        <a:ln w="25400">
          <a:noFill/>
        </a:ln>
      </c:spPr>
    </c:plotArea>
    <c:plotVisOnly val="1"/>
    <c:dispBlanksAs val="gap"/>
    <c:showDLblsOverMax val="0"/>
  </c:chart>
  <c:spPr>
    <a:solidFill>
      <a:srgbClr val="FFFFFF"/>
    </a:solidFill>
    <a:ln w="3175">
      <a:solidFill>
        <a:srgbClr val="C0C0C0"/>
      </a:solidFill>
      <a:prstDash val="solid"/>
    </a:ln>
  </c:spPr>
  <c:txPr>
    <a:bodyPr/>
    <a:lstStyle/>
    <a:p>
      <a:pPr>
        <a:defRPr sz="1000" b="0" i="0" u="none" strike="noStrike" baseline="0">
          <a:solidFill>
            <a:srgbClr val="000000"/>
          </a:solidFill>
          <a:latin typeface="Calibri"/>
          <a:ea typeface="Calibri"/>
          <a:cs typeface="Calibri"/>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61794019933555"/>
          <c:y val="4.4871935321311979E-2"/>
          <c:w val="0.87873754152823924"/>
          <c:h val="0.44871935321311979"/>
        </c:manualLayout>
      </c:layout>
      <c:barChart>
        <c:barDir val="col"/>
        <c:grouping val="clustered"/>
        <c:varyColors val="0"/>
        <c:ser>
          <c:idx val="0"/>
          <c:order val="0"/>
          <c:spPr>
            <a:solidFill>
              <a:srgbClr val="4472C4"/>
            </a:solidFill>
            <a:ln w="25400">
              <a:noFill/>
            </a:ln>
          </c:spPr>
          <c:invertIfNegative val="0"/>
          <c:dLbls>
            <c:dLbl>
              <c:idx val="0"/>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0-9CF2-4878-9FF2-72E32B736C43}"/>
                </c:ext>
              </c:extLst>
            </c:dLbl>
            <c:dLbl>
              <c:idx val="1"/>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1-9CF2-4878-9FF2-72E32B736C43}"/>
                </c:ext>
              </c:extLst>
            </c:dLbl>
            <c:dLbl>
              <c:idx val="2"/>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2-9CF2-4878-9FF2-72E32B736C43}"/>
                </c:ext>
              </c:extLst>
            </c:dLbl>
            <c:dLbl>
              <c:idx val="3"/>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3-9CF2-4878-9FF2-72E32B736C43}"/>
                </c:ext>
              </c:extLst>
            </c:dLbl>
            <c:dLbl>
              <c:idx val="4"/>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4-9CF2-4878-9FF2-72E32B736C43}"/>
                </c:ext>
              </c:extLst>
            </c:dLbl>
            <c:dLbl>
              <c:idx val="5"/>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5-9CF2-4878-9FF2-72E32B736C43}"/>
                </c:ext>
              </c:extLst>
            </c:dLbl>
            <c:dLbl>
              <c:idx val="6"/>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6-9CF2-4878-9FF2-72E32B736C43}"/>
                </c:ext>
              </c:extLst>
            </c:dLbl>
            <c:dLbl>
              <c:idx val="7"/>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7-9CF2-4878-9FF2-72E32B736C43}"/>
                </c:ext>
              </c:extLst>
            </c:dLbl>
            <c:dLbl>
              <c:idx val="8"/>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8-9CF2-4878-9FF2-72E32B736C43}"/>
                </c:ext>
              </c:extLst>
            </c:dLbl>
            <c:dLbl>
              <c:idx val="9"/>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9-9CF2-4878-9FF2-72E32B736C43}"/>
                </c:ext>
              </c:extLst>
            </c:dLbl>
            <c:dLbl>
              <c:idx val="10"/>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A-9CF2-4878-9FF2-72E32B736C43}"/>
                </c:ext>
              </c:extLst>
            </c:dLbl>
            <c:dLbl>
              <c:idx val="11"/>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B-9CF2-4878-9FF2-72E32B736C43}"/>
                </c:ext>
              </c:extLst>
            </c:dLbl>
            <c:dLbl>
              <c:idx val="12"/>
              <c:spPr>
                <a:noFill/>
                <a:ln w="25400">
                  <a:noFill/>
                </a:ln>
              </c:spPr>
              <c:txPr>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extLst>
                <c:ext xmlns:c16="http://schemas.microsoft.com/office/drawing/2014/chart" uri="{C3380CC4-5D6E-409C-BE32-E72D297353CC}">
                  <c16:uniqueId val="{0000000C-9CF2-4878-9FF2-72E32B736C43}"/>
                </c:ext>
              </c:extLst>
            </c:dLbl>
            <c:spPr>
              <a:noFill/>
              <a:ln w="25400">
                <a:noFill/>
              </a:ln>
            </c:spPr>
            <c:txPr>
              <a:bodyPr wrap="square" lIns="38100" tIns="19050" rIns="38100" bIns="19050" anchor="ctr">
                <a:spAutoFit/>
              </a:bodyPr>
              <a:lstStyle/>
              <a:p>
                <a:pPr algn="ctr" rtl="0">
                  <a:defRPr sz="800" b="0" i="0" u="none" strike="noStrike" baseline="0">
                    <a:solidFill>
                      <a:srgbClr val="333333"/>
                    </a:solidFill>
                    <a:latin typeface="Arial" panose="020B0604020202020204" pitchFamily="34" charset="0"/>
                    <a:ea typeface="SimSun"/>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'results-survey194358'!$A$23:$A$35</c:f>
              <c:strCache>
                <c:ptCount val="13"/>
                <c:pt idx="0">
                  <c:v>非物质文化遗产与教育</c:v>
                </c:pt>
                <c:pt idx="1">
                  <c:v>非物质文化遗产与土著居民</c:v>
                </c:pt>
                <c:pt idx="2">
                  <c:v>非物质文化遗产与气候变化</c:v>
                </c:pt>
                <c:pt idx="3">
                  <c:v>非物质文化遗产和紧急事件</c:v>
                </c:pt>
                <c:pt idx="4">
                  <c:v>非物质文化遗产与旅游</c:v>
                </c:pt>
                <c:pt idx="5">
                  <c:v>非物质文化遗产与青少年</c:v>
                </c:pt>
                <c:pt idx="6">
                  <c:v>非物质文化遗产与农业和/或粮食安全</c:v>
                </c:pt>
                <c:pt idx="7">
                  <c:v>非物质文化遗产和商业化</c:v>
                </c:pt>
                <c:pt idx="8">
                  <c:v>非物质文化遗产与数字科技</c:v>
                </c:pt>
                <c:pt idx="9">
                  <c:v>非物质文化遗产与卫生</c:v>
                </c:pt>
                <c:pt idx="10">
                  <c:v>非物质文化遗产与城市</c:v>
                </c:pt>
                <c:pt idx="11">
                  <c:v>非物质文化遗产与生物多样性</c:v>
                </c:pt>
                <c:pt idx="12">
                  <c:v>非物质文化遗产与性别</c:v>
                </c:pt>
              </c:strCache>
            </c:strRef>
          </c:cat>
          <c:val>
            <c:numRef>
              <c:f>'results-survey194358'!$B$23:$B$35</c:f>
              <c:numCache>
                <c:formatCode>0.00%</c:formatCode>
                <c:ptCount val="13"/>
                <c:pt idx="0">
                  <c:v>0.79069767441860461</c:v>
                </c:pt>
                <c:pt idx="1">
                  <c:v>0.41860465116279072</c:v>
                </c:pt>
                <c:pt idx="2">
                  <c:v>0.39534883720930231</c:v>
                </c:pt>
                <c:pt idx="3">
                  <c:v>0.37209302325581395</c:v>
                </c:pt>
                <c:pt idx="4">
                  <c:v>0.37209302325581395</c:v>
                </c:pt>
                <c:pt idx="5">
                  <c:v>0.36046511627906974</c:v>
                </c:pt>
                <c:pt idx="6">
                  <c:v>0.26744186046511625</c:v>
                </c:pt>
                <c:pt idx="7">
                  <c:v>0.23255813953488372</c:v>
                </c:pt>
                <c:pt idx="8">
                  <c:v>0.20930232558139536</c:v>
                </c:pt>
                <c:pt idx="9">
                  <c:v>0.16279069767441862</c:v>
                </c:pt>
                <c:pt idx="10">
                  <c:v>0.15116279069767441</c:v>
                </c:pt>
                <c:pt idx="11">
                  <c:v>0.13953488372093023</c:v>
                </c:pt>
                <c:pt idx="12">
                  <c:v>9.3023255813953487E-2</c:v>
                </c:pt>
              </c:numCache>
            </c:numRef>
          </c:val>
          <c:extLst>
            <c:ext xmlns:c16="http://schemas.microsoft.com/office/drawing/2014/chart" uri="{C3380CC4-5D6E-409C-BE32-E72D297353CC}">
              <c16:uniqueId val="{0000000D-9CF2-4878-9FF2-72E32B736C43}"/>
            </c:ext>
          </c:extLst>
        </c:ser>
        <c:dLbls>
          <c:showLegendKey val="0"/>
          <c:showVal val="0"/>
          <c:showCatName val="0"/>
          <c:showSerName val="0"/>
          <c:showPercent val="0"/>
          <c:showBubbleSize val="0"/>
        </c:dLbls>
        <c:gapWidth val="150"/>
        <c:overlap val="-25"/>
        <c:axId val="340077520"/>
        <c:axId val="1"/>
      </c:barChart>
      <c:catAx>
        <c:axId val="340077520"/>
        <c:scaling>
          <c:orientation val="minMax"/>
        </c:scaling>
        <c:delete val="0"/>
        <c:axPos val="b"/>
        <c:numFmt formatCode="General" sourceLinked="1"/>
        <c:majorTickMark val="none"/>
        <c:minorTickMark val="none"/>
        <c:tickLblPos val="nextTo"/>
        <c:spPr>
          <a:ln w="3175">
            <a:solidFill>
              <a:srgbClr val="C0C0C0"/>
            </a:solidFill>
            <a:prstDash val="solid"/>
          </a:ln>
        </c:spPr>
        <c:txPr>
          <a:bodyPr rot="-2700000" vert="horz"/>
          <a:lstStyle/>
          <a:p>
            <a:pPr rtl="0">
              <a:defRPr sz="900" b="0" i="0" u="none" strike="noStrike" baseline="0">
                <a:solidFill>
                  <a:srgbClr val="333333"/>
                </a:solidFill>
                <a:latin typeface="SimSun"/>
                <a:ea typeface="SimSun"/>
                <a:cs typeface="SimSun"/>
              </a:defRPr>
            </a:pPr>
            <a:endParaRPr lang="fr-FR"/>
          </a:p>
        </c:txPr>
        <c:crossAx val="1"/>
        <c:crosses val="autoZero"/>
        <c:auto val="1"/>
        <c:lblAlgn val="ctr"/>
        <c:lblOffset val="100"/>
        <c:tickLblSkip val="1"/>
        <c:tickMarkSkip val="1"/>
        <c:noMultiLvlLbl val="0"/>
      </c:catAx>
      <c:valAx>
        <c:axId val="1"/>
        <c:scaling>
          <c:orientation val="minMax"/>
        </c:scaling>
        <c:delete val="1"/>
        <c:axPos val="l"/>
        <c:numFmt formatCode="0.00%" sourceLinked="1"/>
        <c:majorTickMark val="out"/>
        <c:minorTickMark val="none"/>
        <c:tickLblPos val="nextTo"/>
        <c:crossAx val="340077520"/>
        <c:crossesAt val="1"/>
        <c:crossBetween val="between"/>
      </c:valAx>
      <c:spPr>
        <a:noFill/>
        <a:ln w="25400">
          <a:noFill/>
        </a:ln>
      </c:spPr>
    </c:plotArea>
    <c:plotVisOnly val="1"/>
    <c:dispBlanksAs val="gap"/>
    <c:showDLblsOverMax val="0"/>
  </c:chart>
  <c:spPr>
    <a:solidFill>
      <a:srgbClr val="FFFFFF"/>
    </a:solidFill>
    <a:ln w="3175">
      <a:solidFill>
        <a:srgbClr val="C0C0C0"/>
      </a:solidFill>
      <a:prstDash val="solid"/>
    </a:ln>
  </c:spPr>
  <c:txPr>
    <a:bodyPr/>
    <a:lstStyle/>
    <a:p>
      <a:pPr>
        <a:defRPr sz="1000" b="0" i="0" u="none" strike="noStrike" baseline="0">
          <a:solidFill>
            <a:srgbClr val="000000"/>
          </a:solidFill>
          <a:latin typeface="Calibri"/>
          <a:ea typeface="Calibri"/>
          <a:cs typeface="Calibri"/>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900" b="0" i="0" u="none" strike="noStrike" baseline="0">
                <a:solidFill>
                  <a:srgbClr val="000000"/>
                </a:solidFill>
                <a:latin typeface="Calibri"/>
                <a:ea typeface="Calibri"/>
                <a:cs typeface="Calibri"/>
              </a:defRPr>
            </a:pPr>
            <a:r>
              <a:rPr lang="en-US" altLang="zh-CN" sz="1400" b="1" i="0" u="none" strike="noStrike" baseline="0">
                <a:solidFill>
                  <a:srgbClr val="333333"/>
                </a:solidFill>
                <a:latin typeface="SimSun"/>
                <a:ea typeface="SimSun"/>
              </a:rPr>
              <a:t>2003</a:t>
            </a:r>
            <a:r>
              <a:rPr lang="zh-CN" altLang="en-US" sz="1400" b="1" i="0" u="none" strike="noStrike" baseline="0">
                <a:solidFill>
                  <a:srgbClr val="333333"/>
                </a:solidFill>
                <a:latin typeface="SimSun"/>
                <a:ea typeface="SimSun"/>
              </a:rPr>
              <a:t>公约与</a:t>
            </a:r>
            <a:r>
              <a:rPr lang="en-US" sz="1400" b="1" i="0" u="none" strike="noStrike" baseline="0">
                <a:solidFill>
                  <a:srgbClr val="333333"/>
                </a:solidFill>
                <a:latin typeface="SimSun"/>
                <a:ea typeface="SimSun"/>
              </a:rPr>
              <a:t>优先事项性别平等 </a:t>
            </a:r>
          </a:p>
        </c:rich>
      </c:tx>
      <c:layout>
        <c:manualLayout>
          <c:xMode val="edge"/>
          <c:yMode val="edge"/>
          <c:x val="0.1388888888888889"/>
          <c:y val="8.9191749488897437E-2"/>
        </c:manualLayout>
      </c:layout>
      <c:overlay val="0"/>
      <c:spPr>
        <a:noFill/>
        <a:ln w="25400">
          <a:noFill/>
        </a:ln>
      </c:spPr>
    </c:title>
    <c:autoTitleDeleted val="0"/>
    <c:plotArea>
      <c:layout>
        <c:manualLayout>
          <c:layoutTarget val="inner"/>
          <c:xMode val="edge"/>
          <c:yMode val="edge"/>
          <c:x val="0.19419010988969967"/>
          <c:y val="0.29333349247693818"/>
          <c:w val="0.37767682789571511"/>
          <c:h val="0.54888918668033126"/>
        </c:manualLayout>
      </c:layout>
      <c:pieChart>
        <c:varyColors val="1"/>
        <c:ser>
          <c:idx val="0"/>
          <c:order val="0"/>
          <c:spPr>
            <a:solidFill>
              <a:srgbClr val="4472C4"/>
            </a:solidFill>
            <a:ln w="12700">
              <a:solidFill>
                <a:srgbClr val="FFFFFF"/>
              </a:solidFill>
              <a:prstDash val="solid"/>
            </a:ln>
          </c:spPr>
          <c:dPt>
            <c:idx val="0"/>
            <c:bubble3D val="0"/>
            <c:extLst>
              <c:ext xmlns:c16="http://schemas.microsoft.com/office/drawing/2014/chart" uri="{C3380CC4-5D6E-409C-BE32-E72D297353CC}">
                <c16:uniqueId val="{00000000-021D-487A-A6CB-30D58D02E358}"/>
              </c:ext>
            </c:extLst>
          </c:dPt>
          <c:dPt>
            <c:idx val="1"/>
            <c:bubble3D val="0"/>
            <c:spPr>
              <a:solidFill>
                <a:srgbClr val="C04E48"/>
              </a:solidFill>
              <a:ln w="12700">
                <a:solidFill>
                  <a:srgbClr val="FFFFFF"/>
                </a:solidFill>
                <a:prstDash val="solid"/>
              </a:ln>
            </c:spPr>
            <c:extLst>
              <c:ext xmlns:c16="http://schemas.microsoft.com/office/drawing/2014/chart" uri="{C3380CC4-5D6E-409C-BE32-E72D297353CC}">
                <c16:uniqueId val="{00000002-021D-487A-A6CB-30D58D02E358}"/>
              </c:ext>
            </c:extLst>
          </c:dPt>
          <c:dPt>
            <c:idx val="2"/>
            <c:bubble3D val="0"/>
            <c:spPr>
              <a:solidFill>
                <a:srgbClr val="92D050"/>
              </a:solidFill>
              <a:ln w="12700">
                <a:solidFill>
                  <a:srgbClr val="FFFFFF"/>
                </a:solidFill>
                <a:prstDash val="solid"/>
              </a:ln>
            </c:spPr>
            <c:extLst>
              <c:ext xmlns:c16="http://schemas.microsoft.com/office/drawing/2014/chart" uri="{C3380CC4-5D6E-409C-BE32-E72D297353CC}">
                <c16:uniqueId val="{00000004-021D-487A-A6CB-30D58D02E358}"/>
              </c:ext>
            </c:extLst>
          </c:dPt>
          <c:dLbls>
            <c:dLbl>
              <c:idx val="0"/>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0-021D-487A-A6CB-30D58D02E358}"/>
                </c:ext>
              </c:extLst>
            </c:dLbl>
            <c:dLbl>
              <c:idx val="1"/>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2-021D-487A-A6CB-30D58D02E358}"/>
                </c:ext>
              </c:extLst>
            </c:dLbl>
            <c:dLbl>
              <c:idx val="2"/>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4-021D-487A-A6CB-30D58D02E358}"/>
                </c:ext>
              </c:extLst>
            </c:dLbl>
            <c:numFmt formatCode="General" sourceLinked="0"/>
            <c:spPr>
              <a:noFill/>
              <a:ln w="25400">
                <a:noFill/>
              </a:ln>
            </c:spPr>
            <c:txPr>
              <a:bodyPr wrap="square" lIns="38100" tIns="19050" rIns="38100" bIns="19050" anchor="ctr">
                <a:spAutoFit/>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showLeaderLines val="1"/>
            <c:leaderLines>
              <c:spPr>
                <a:ln w="3175">
                  <a:solidFill>
                    <a:srgbClr val="969696"/>
                  </a:solidFill>
                  <a:prstDash val="solid"/>
                </a:ln>
              </c:spPr>
            </c:leaderLines>
            <c:extLst>
              <c:ext xmlns:c15="http://schemas.microsoft.com/office/drawing/2012/chart" uri="{CE6537A1-D6FC-4f65-9D91-7224C49458BB}"/>
            </c:extLst>
          </c:dLbls>
          <c:cat>
            <c:strLit>
              <c:ptCount val="3"/>
              <c:pt idx="0">
                <c:v>高影响</c:v>
              </c:pt>
              <c:pt idx="1">
                <c:v>中度影响</c:v>
              </c:pt>
              <c:pt idx="2">
                <c:v>低影响</c:v>
              </c:pt>
            </c:strLit>
          </c:cat>
          <c:val>
            <c:numLit>
              <c:formatCode>General</c:formatCode>
              <c:ptCount val="3"/>
              <c:pt idx="0">
                <c:v>25</c:v>
              </c:pt>
              <c:pt idx="1">
                <c:v>53</c:v>
              </c:pt>
              <c:pt idx="2">
                <c:v>8</c:v>
              </c:pt>
            </c:numLit>
          </c:val>
          <c:extLst>
            <c:ext xmlns:c16="http://schemas.microsoft.com/office/drawing/2014/chart" uri="{C3380CC4-5D6E-409C-BE32-E72D297353CC}">
              <c16:uniqueId val="{00000005-021D-487A-A6CB-30D58D02E358}"/>
            </c:ext>
          </c:extLst>
        </c:ser>
        <c:ser>
          <c:idx val="1"/>
          <c:order val="1"/>
          <c:spPr>
            <a:solidFill>
              <a:srgbClr val="ED7D31"/>
            </a:solidFill>
            <a:ln w="12700">
              <a:solidFill>
                <a:srgbClr val="FFFFFF"/>
              </a:solidFill>
              <a:prstDash val="solid"/>
            </a:ln>
          </c:spPr>
          <c:dPt>
            <c:idx val="0"/>
            <c:bubble3D val="0"/>
            <c:spPr>
              <a:solidFill>
                <a:srgbClr val="4472C4"/>
              </a:solidFill>
              <a:ln w="12700">
                <a:solidFill>
                  <a:srgbClr val="FFFFFF"/>
                </a:solidFill>
                <a:prstDash val="solid"/>
              </a:ln>
            </c:spPr>
            <c:extLst>
              <c:ext xmlns:c16="http://schemas.microsoft.com/office/drawing/2014/chart" uri="{C3380CC4-5D6E-409C-BE32-E72D297353CC}">
                <c16:uniqueId val="{00000007-021D-487A-A6CB-30D58D02E358}"/>
              </c:ext>
            </c:extLst>
          </c:dPt>
          <c:dPt>
            <c:idx val="1"/>
            <c:bubble3D val="0"/>
            <c:extLst>
              <c:ext xmlns:c16="http://schemas.microsoft.com/office/drawing/2014/chart" uri="{C3380CC4-5D6E-409C-BE32-E72D297353CC}">
                <c16:uniqueId val="{00000008-021D-487A-A6CB-30D58D02E358}"/>
              </c:ext>
            </c:extLst>
          </c:dPt>
          <c:dPt>
            <c:idx val="2"/>
            <c:bubble3D val="0"/>
            <c:spPr>
              <a:solidFill>
                <a:srgbClr val="A5A5A5"/>
              </a:solidFill>
              <a:ln w="12700">
                <a:solidFill>
                  <a:srgbClr val="FFFFFF"/>
                </a:solidFill>
                <a:prstDash val="solid"/>
              </a:ln>
            </c:spPr>
            <c:extLst>
              <c:ext xmlns:c16="http://schemas.microsoft.com/office/drawing/2014/chart" uri="{C3380CC4-5D6E-409C-BE32-E72D297353CC}">
                <c16:uniqueId val="{0000000A-021D-487A-A6CB-30D58D02E358}"/>
              </c:ext>
            </c:extLst>
          </c:dPt>
          <c:dLbls>
            <c:dLbl>
              <c:idx val="0"/>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7-021D-487A-A6CB-30D58D02E358}"/>
                </c:ext>
              </c:extLst>
            </c:dLbl>
            <c:dLbl>
              <c:idx val="1"/>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8-021D-487A-A6CB-30D58D02E358}"/>
                </c:ext>
              </c:extLst>
            </c:dLbl>
            <c:dLbl>
              <c:idx val="2"/>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A-021D-487A-A6CB-30D58D02E358}"/>
                </c:ext>
              </c:extLst>
            </c:dLbl>
            <c:numFmt formatCode="General" sourceLinked="0"/>
            <c:spPr>
              <a:noFill/>
              <a:ln w="25400">
                <a:noFill/>
              </a:ln>
            </c:spPr>
            <c:txPr>
              <a:bodyPr wrap="square" lIns="38100" tIns="19050" rIns="38100" bIns="19050" anchor="ctr">
                <a:spAutoFit/>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showLeaderLines val="1"/>
            <c:leaderLines>
              <c:spPr>
                <a:ln w="3175">
                  <a:solidFill>
                    <a:srgbClr val="969696"/>
                  </a:solidFill>
                  <a:prstDash val="solid"/>
                </a:ln>
              </c:spPr>
            </c:leaderLines>
            <c:extLst>
              <c:ext xmlns:c15="http://schemas.microsoft.com/office/drawing/2012/chart" uri="{CE6537A1-D6FC-4f65-9D91-7224C49458BB}"/>
            </c:extLst>
          </c:dLbls>
          <c:cat>
            <c:strLit>
              <c:ptCount val="3"/>
              <c:pt idx="0">
                <c:v>高影响</c:v>
              </c:pt>
              <c:pt idx="1">
                <c:v>中度影响</c:v>
              </c:pt>
              <c:pt idx="2">
                <c:v>低影响</c:v>
              </c:pt>
            </c:strLit>
          </c:cat>
          <c:val>
            <c:numLit>
              <c:formatCode>0.00%</c:formatCode>
              <c:ptCount val="3"/>
              <c:pt idx="0">
                <c:v>0.29069767441860467</c:v>
              </c:pt>
              <c:pt idx="1">
                <c:v>0.61627906976744184</c:v>
              </c:pt>
              <c:pt idx="2">
                <c:v>9.3023255813953487E-2</c:v>
              </c:pt>
            </c:numLit>
          </c:val>
          <c:extLst>
            <c:ext xmlns:c16="http://schemas.microsoft.com/office/drawing/2014/chart" uri="{C3380CC4-5D6E-409C-BE32-E72D297353CC}">
              <c16:uniqueId val="{0000000B-021D-487A-A6CB-30D58D02E358}"/>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6299893570834754"/>
          <c:y val="0.46000024956610763"/>
          <c:w val="0.22018406160721851"/>
          <c:h val="0.22000011935770364"/>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fr-FR"/>
        </a:p>
      </c:txPr>
    </c:legend>
    <c:plotVisOnly val="1"/>
    <c:dispBlanksAs val="zero"/>
    <c:showDLblsOverMax val="0"/>
  </c:chart>
  <c:spPr>
    <a:solidFill>
      <a:srgbClr val="FFFFFF"/>
    </a:solidFill>
    <a:ln w="3175">
      <a:solidFill>
        <a:srgbClr val="C0C0C0"/>
      </a:solidFill>
      <a:prstDash val="solid"/>
    </a:ln>
  </c:spPr>
  <c:txPr>
    <a:bodyPr/>
    <a:lstStyle/>
    <a:p>
      <a:pPr>
        <a:defRPr sz="900" b="0" i="0" u="none" strike="noStrike" baseline="0">
          <a:solidFill>
            <a:srgbClr val="000000"/>
          </a:solidFill>
          <a:latin typeface="Calibri"/>
          <a:ea typeface="Calibri"/>
          <a:cs typeface="Calibri"/>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400" b="0" i="0" u="none" strike="noStrike" baseline="0">
                <a:solidFill>
                  <a:srgbClr val="333333"/>
                </a:solidFill>
                <a:latin typeface="SimSun"/>
                <a:ea typeface="SimSun"/>
                <a:cs typeface="SimSun"/>
              </a:defRPr>
            </a:pPr>
            <a:r>
              <a:rPr lang="en-US" altLang="zh-CN" b="1"/>
              <a:t>2003</a:t>
            </a:r>
            <a:r>
              <a:rPr lang="zh-CN" altLang="en-US" b="1"/>
              <a:t>公约与非洲优先</a:t>
            </a:r>
          </a:p>
        </c:rich>
      </c:tx>
      <c:layout>
        <c:manualLayout>
          <c:xMode val="edge"/>
          <c:yMode val="edge"/>
          <c:x val="0.23619506227060263"/>
          <c:y val="8.8752379235038356E-2"/>
        </c:manualLayout>
      </c:layout>
      <c:overlay val="0"/>
      <c:spPr>
        <a:noFill/>
        <a:ln w="25400">
          <a:noFill/>
        </a:ln>
      </c:spPr>
    </c:title>
    <c:autoTitleDeleted val="0"/>
    <c:plotArea>
      <c:layout>
        <c:manualLayout>
          <c:layoutTarget val="inner"/>
          <c:xMode val="edge"/>
          <c:yMode val="edge"/>
          <c:x val="0.19419010988969967"/>
          <c:y val="0.29175946547884185"/>
          <c:w val="0.37767682789571511"/>
          <c:h val="0.55011135857461024"/>
        </c:manualLayout>
      </c:layout>
      <c:pieChart>
        <c:varyColors val="1"/>
        <c:ser>
          <c:idx val="0"/>
          <c:order val="0"/>
          <c:spPr>
            <a:solidFill>
              <a:srgbClr val="4472C4"/>
            </a:solidFill>
            <a:ln w="12700">
              <a:solidFill>
                <a:srgbClr val="FFFFFF"/>
              </a:solidFill>
              <a:prstDash val="solid"/>
            </a:ln>
          </c:spPr>
          <c:dPt>
            <c:idx val="0"/>
            <c:bubble3D val="0"/>
            <c:spPr>
              <a:solidFill>
                <a:schemeClr val="accent1"/>
              </a:solidFill>
              <a:ln w="12700">
                <a:solidFill>
                  <a:srgbClr val="FFFFFF"/>
                </a:solidFill>
                <a:prstDash val="solid"/>
              </a:ln>
            </c:spPr>
            <c:extLst>
              <c:ext xmlns:c16="http://schemas.microsoft.com/office/drawing/2014/chart" uri="{C3380CC4-5D6E-409C-BE32-E72D297353CC}">
                <c16:uniqueId val="{00000001-4D7B-4943-BA4C-CCD101E0FA3D}"/>
              </c:ext>
            </c:extLst>
          </c:dPt>
          <c:dPt>
            <c:idx val="1"/>
            <c:bubble3D val="0"/>
            <c:spPr>
              <a:solidFill>
                <a:srgbClr val="C04E48"/>
              </a:solidFill>
              <a:ln w="12700">
                <a:solidFill>
                  <a:srgbClr val="FFFFFF"/>
                </a:solidFill>
                <a:prstDash val="solid"/>
              </a:ln>
            </c:spPr>
            <c:extLst>
              <c:ext xmlns:c16="http://schemas.microsoft.com/office/drawing/2014/chart" uri="{C3380CC4-5D6E-409C-BE32-E72D297353CC}">
                <c16:uniqueId val="{00000003-4D7B-4943-BA4C-CCD101E0FA3D}"/>
              </c:ext>
            </c:extLst>
          </c:dPt>
          <c:dPt>
            <c:idx val="2"/>
            <c:bubble3D val="0"/>
            <c:spPr>
              <a:solidFill>
                <a:srgbClr val="92D050"/>
              </a:solidFill>
              <a:ln w="12700">
                <a:solidFill>
                  <a:srgbClr val="FFFFFF"/>
                </a:solidFill>
                <a:prstDash val="solid"/>
              </a:ln>
            </c:spPr>
            <c:extLst>
              <c:ext xmlns:c16="http://schemas.microsoft.com/office/drawing/2014/chart" uri="{C3380CC4-5D6E-409C-BE32-E72D297353CC}">
                <c16:uniqueId val="{00000005-4D7B-4943-BA4C-CCD101E0FA3D}"/>
              </c:ext>
            </c:extLst>
          </c:dPt>
          <c:dLbls>
            <c:dLbl>
              <c:idx val="0"/>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1-4D7B-4943-BA4C-CCD101E0FA3D}"/>
                </c:ext>
              </c:extLst>
            </c:dLbl>
            <c:dLbl>
              <c:idx val="1"/>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3-4D7B-4943-BA4C-CCD101E0FA3D}"/>
                </c:ext>
              </c:extLst>
            </c:dLbl>
            <c:dLbl>
              <c:idx val="2"/>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5-4D7B-4943-BA4C-CCD101E0FA3D}"/>
                </c:ext>
              </c:extLst>
            </c:dLbl>
            <c:numFmt formatCode="General" sourceLinked="0"/>
            <c:spPr>
              <a:noFill/>
              <a:ln w="25400">
                <a:noFill/>
              </a:ln>
            </c:spPr>
            <c:txPr>
              <a:bodyPr wrap="square" lIns="38100" tIns="19050" rIns="38100" bIns="19050" anchor="ctr">
                <a:spAutoFit/>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showLeaderLines val="1"/>
            <c:leaderLines>
              <c:spPr>
                <a:ln w="3175">
                  <a:solidFill>
                    <a:srgbClr val="969696"/>
                  </a:solidFill>
                  <a:prstDash val="solid"/>
                </a:ln>
              </c:spPr>
            </c:leaderLines>
            <c:extLst>
              <c:ext xmlns:c15="http://schemas.microsoft.com/office/drawing/2012/chart" uri="{CE6537A1-D6FC-4f65-9D91-7224C49458BB}"/>
            </c:extLst>
          </c:dLbls>
          <c:cat>
            <c:strLit>
              <c:ptCount val="3"/>
              <c:pt idx="0">
                <c:v>高影响</c:v>
              </c:pt>
              <c:pt idx="1">
                <c:v>中度影响</c:v>
              </c:pt>
              <c:pt idx="2">
                <c:v>低影响</c:v>
              </c:pt>
            </c:strLit>
          </c:cat>
          <c:val>
            <c:numLit>
              <c:formatCode>General</c:formatCode>
              <c:ptCount val="3"/>
              <c:pt idx="0">
                <c:v>45</c:v>
              </c:pt>
              <c:pt idx="1">
                <c:v>33</c:v>
              </c:pt>
              <c:pt idx="2">
                <c:v>8</c:v>
              </c:pt>
            </c:numLit>
          </c:val>
          <c:extLst>
            <c:ext xmlns:c16="http://schemas.microsoft.com/office/drawing/2014/chart" uri="{C3380CC4-5D6E-409C-BE32-E72D297353CC}">
              <c16:uniqueId val="{00000006-4D7B-4943-BA4C-CCD101E0FA3D}"/>
            </c:ext>
          </c:extLst>
        </c:ser>
        <c:ser>
          <c:idx val="1"/>
          <c:order val="1"/>
          <c:spPr>
            <a:solidFill>
              <a:srgbClr val="ED7D31"/>
            </a:solidFill>
            <a:ln w="12700">
              <a:solidFill>
                <a:srgbClr val="FFFFFF"/>
              </a:solidFill>
              <a:prstDash val="solid"/>
            </a:ln>
          </c:spPr>
          <c:dPt>
            <c:idx val="0"/>
            <c:bubble3D val="0"/>
            <c:spPr>
              <a:solidFill>
                <a:srgbClr val="4472C4"/>
              </a:solidFill>
              <a:ln w="12700">
                <a:solidFill>
                  <a:srgbClr val="FFFFFF"/>
                </a:solidFill>
                <a:prstDash val="solid"/>
              </a:ln>
            </c:spPr>
            <c:extLst>
              <c:ext xmlns:c16="http://schemas.microsoft.com/office/drawing/2014/chart" uri="{C3380CC4-5D6E-409C-BE32-E72D297353CC}">
                <c16:uniqueId val="{00000008-4D7B-4943-BA4C-CCD101E0FA3D}"/>
              </c:ext>
            </c:extLst>
          </c:dPt>
          <c:dPt>
            <c:idx val="1"/>
            <c:bubble3D val="0"/>
            <c:extLst>
              <c:ext xmlns:c16="http://schemas.microsoft.com/office/drawing/2014/chart" uri="{C3380CC4-5D6E-409C-BE32-E72D297353CC}">
                <c16:uniqueId val="{00000009-4D7B-4943-BA4C-CCD101E0FA3D}"/>
              </c:ext>
            </c:extLst>
          </c:dPt>
          <c:dPt>
            <c:idx val="2"/>
            <c:bubble3D val="0"/>
            <c:spPr>
              <a:solidFill>
                <a:srgbClr val="A5A5A5"/>
              </a:solidFill>
              <a:ln w="12700">
                <a:solidFill>
                  <a:srgbClr val="FFFFFF"/>
                </a:solidFill>
                <a:prstDash val="solid"/>
              </a:ln>
            </c:spPr>
            <c:extLst>
              <c:ext xmlns:c16="http://schemas.microsoft.com/office/drawing/2014/chart" uri="{C3380CC4-5D6E-409C-BE32-E72D297353CC}">
                <c16:uniqueId val="{0000000B-4D7B-4943-BA4C-CCD101E0FA3D}"/>
              </c:ext>
            </c:extLst>
          </c:dPt>
          <c:dLbls>
            <c:dLbl>
              <c:idx val="0"/>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8-4D7B-4943-BA4C-CCD101E0FA3D}"/>
                </c:ext>
              </c:extLst>
            </c:dLbl>
            <c:dLbl>
              <c:idx val="1"/>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9-4D7B-4943-BA4C-CCD101E0FA3D}"/>
                </c:ext>
              </c:extLst>
            </c:dLbl>
            <c:dLbl>
              <c:idx val="2"/>
              <c:numFmt formatCode="General" sourceLinked="0"/>
              <c:spPr>
                <a:noFill/>
                <a:ln w="25400">
                  <a:noFill/>
                </a:ln>
              </c:spPr>
              <c:txPr>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extLst>
                <c:ext xmlns:c16="http://schemas.microsoft.com/office/drawing/2014/chart" uri="{C3380CC4-5D6E-409C-BE32-E72D297353CC}">
                  <c16:uniqueId val="{0000000B-4D7B-4943-BA4C-CCD101E0FA3D}"/>
                </c:ext>
              </c:extLst>
            </c:dLbl>
            <c:numFmt formatCode="General" sourceLinked="0"/>
            <c:spPr>
              <a:noFill/>
              <a:ln w="25400">
                <a:noFill/>
              </a:ln>
            </c:spPr>
            <c:txPr>
              <a:bodyPr wrap="square" lIns="38100" tIns="19050" rIns="38100" bIns="19050" anchor="ctr">
                <a:spAutoFit/>
              </a:bodyPr>
              <a:lstStyle/>
              <a:p>
                <a:pPr algn="ctr" rtl="0">
                  <a:defRPr sz="900" b="0" i="0" u="none" strike="noStrike" baseline="0">
                    <a:solidFill>
                      <a:srgbClr val="333333"/>
                    </a:solidFill>
                    <a:latin typeface="SimSun"/>
                    <a:ea typeface="SimSun"/>
                    <a:cs typeface="SimSun"/>
                  </a:defRPr>
                </a:pPr>
                <a:endParaRPr lang="fr-FR"/>
              </a:p>
            </c:txPr>
            <c:showLegendKey val="0"/>
            <c:showVal val="0"/>
            <c:showCatName val="0"/>
            <c:showSerName val="0"/>
            <c:showPercent val="1"/>
            <c:showBubbleSize val="0"/>
            <c:showLeaderLines val="1"/>
            <c:leaderLines>
              <c:spPr>
                <a:ln w="3175">
                  <a:solidFill>
                    <a:srgbClr val="969696"/>
                  </a:solidFill>
                  <a:prstDash val="solid"/>
                </a:ln>
              </c:spPr>
            </c:leaderLines>
            <c:extLst>
              <c:ext xmlns:c15="http://schemas.microsoft.com/office/drawing/2012/chart" uri="{CE6537A1-D6FC-4f65-9D91-7224C49458BB}"/>
            </c:extLst>
          </c:dLbls>
          <c:cat>
            <c:strLit>
              <c:ptCount val="3"/>
              <c:pt idx="0">
                <c:v>高影响</c:v>
              </c:pt>
              <c:pt idx="1">
                <c:v>中度影响</c:v>
              </c:pt>
              <c:pt idx="2">
                <c:v>低影响</c:v>
              </c:pt>
            </c:strLit>
          </c:cat>
          <c:val>
            <c:numLit>
              <c:formatCode>0.00%</c:formatCode>
              <c:ptCount val="3"/>
              <c:pt idx="0">
                <c:v>0.52325581395348841</c:v>
              </c:pt>
              <c:pt idx="1">
                <c:v>0.38372093023255816</c:v>
              </c:pt>
              <c:pt idx="2">
                <c:v>9.3023255813953487E-2</c:v>
              </c:pt>
            </c:numLit>
          </c:val>
          <c:extLst>
            <c:ext xmlns:c16="http://schemas.microsoft.com/office/drawing/2014/chart" uri="{C3380CC4-5D6E-409C-BE32-E72D297353CC}">
              <c16:uniqueId val="{0000000C-4D7B-4943-BA4C-CCD101E0FA3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6299893570834754"/>
          <c:y val="0.45879732739420936"/>
          <c:w val="0.22018406160721851"/>
          <c:h val="0.22048997772828507"/>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fr-FR"/>
        </a:p>
      </c:txPr>
    </c:legend>
    <c:plotVisOnly val="1"/>
    <c:dispBlanksAs val="zero"/>
    <c:showDLblsOverMax val="0"/>
  </c:chart>
  <c:spPr>
    <a:solidFill>
      <a:srgbClr val="FFFFFF"/>
    </a:solidFill>
    <a:ln w="3175">
      <a:solidFill>
        <a:srgbClr val="C0C0C0"/>
      </a:solidFill>
      <a:prstDash val="solid"/>
    </a:ln>
  </c:spPr>
  <c:txPr>
    <a:bodyPr/>
    <a:lstStyle/>
    <a:p>
      <a:pPr>
        <a:defRPr sz="900" b="0" i="0" u="none" strike="noStrike" baseline="0">
          <a:solidFill>
            <a:srgbClr val="000000"/>
          </a:solidFill>
          <a:latin typeface="Calibri"/>
          <a:ea typeface="Calibri"/>
          <a:cs typeface="Calibri"/>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F7E4-A85A-495B-9CB0-09B6DE46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document_EN.dotx</Template>
  <TotalTime>106</TotalTime>
  <Pages>5</Pages>
  <Words>755</Words>
  <Characters>4155</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21</cp:revision>
  <cp:lastPrinted>2020-07-10T08:35:00Z</cp:lastPrinted>
  <dcterms:created xsi:type="dcterms:W3CDTF">2020-08-01T10:35:00Z</dcterms:created>
  <dcterms:modified xsi:type="dcterms:W3CDTF">2020-08-07T16:29:00Z</dcterms:modified>
</cp:coreProperties>
</file>