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5173E" w14:textId="77777777" w:rsidR="00F65B63" w:rsidRDefault="00F65B63" w:rsidP="0066154F">
      <w:pPr>
        <w:tabs>
          <w:tab w:val="left" w:pos="0"/>
        </w:tabs>
        <w:snapToGrid w:val="0"/>
        <w:spacing w:before="1440"/>
        <w:contextualSpacing/>
        <w:rPr>
          <w:rFonts w:ascii="Arial" w:hAnsi="Arial" w:cs="Arial"/>
          <w:b/>
          <w:sz w:val="22"/>
          <w:szCs w:val="22"/>
        </w:rPr>
      </w:pPr>
    </w:p>
    <w:p w14:paraId="0F35EB05" w14:textId="1F0F163A" w:rsidR="0033636A" w:rsidRPr="0033636A" w:rsidRDefault="0033636A" w:rsidP="00FF1949">
      <w:pPr>
        <w:tabs>
          <w:tab w:val="left" w:pos="0"/>
        </w:tabs>
        <w:snapToGrid w:val="0"/>
        <w:spacing w:before="1440"/>
        <w:contextualSpacing/>
        <w:jc w:val="center"/>
        <w:rPr>
          <w:rFonts w:ascii="Arial" w:hAnsi="Arial" w:cs="Arial"/>
          <w:b/>
          <w:sz w:val="22"/>
          <w:szCs w:val="22"/>
        </w:rPr>
      </w:pPr>
      <w:r>
        <w:rPr>
          <w:rFonts w:ascii="Arial" w:hAnsi="Arial" w:cs="Arial"/>
          <w:b/>
          <w:sz w:val="22"/>
          <w:szCs w:val="22"/>
        </w:rPr>
        <w:t>CONVENTION POUR LA SAUVEGARDE</w:t>
      </w:r>
      <w:r w:rsidR="00FF1949">
        <w:rPr>
          <w:rFonts w:ascii="Arial" w:hAnsi="Arial" w:cs="Arial"/>
          <w:b/>
          <w:sz w:val="22"/>
          <w:szCs w:val="22"/>
        </w:rPr>
        <w:br/>
      </w:r>
      <w:r>
        <w:rPr>
          <w:rFonts w:ascii="Arial" w:hAnsi="Arial" w:cs="Arial"/>
          <w:b/>
          <w:sz w:val="22"/>
          <w:szCs w:val="22"/>
        </w:rPr>
        <w:t>DU</w:t>
      </w:r>
      <w:r w:rsidR="00FF1949">
        <w:rPr>
          <w:rFonts w:ascii="Arial" w:hAnsi="Arial" w:cs="Arial"/>
          <w:b/>
          <w:sz w:val="22"/>
          <w:szCs w:val="22"/>
        </w:rPr>
        <w:t xml:space="preserve"> </w:t>
      </w:r>
      <w:r w:rsidRPr="0033636A">
        <w:rPr>
          <w:rFonts w:ascii="Arial" w:hAnsi="Arial" w:cs="Arial"/>
          <w:b/>
          <w:sz w:val="22"/>
          <w:szCs w:val="22"/>
        </w:rPr>
        <w:t>PATRIMOINE CULTUREL IMMATÉRIEL</w:t>
      </w:r>
    </w:p>
    <w:p w14:paraId="48DC17CC" w14:textId="77777777" w:rsidR="00655736" w:rsidRPr="00414643" w:rsidRDefault="00D95C4C" w:rsidP="001740D7">
      <w:pPr>
        <w:spacing w:before="1200"/>
        <w:jc w:val="center"/>
        <w:rPr>
          <w:rFonts w:ascii="Arial" w:hAnsi="Arial" w:cs="Arial"/>
          <w:b/>
          <w:sz w:val="22"/>
          <w:szCs w:val="22"/>
        </w:rPr>
      </w:pPr>
      <w:r>
        <w:rPr>
          <w:rFonts w:ascii="Arial" w:hAnsi="Arial"/>
          <w:b/>
          <w:sz w:val="22"/>
          <w:szCs w:val="22"/>
        </w:rPr>
        <w:t>ASSEMBLÉE GÉNÉRALE DES ÉTATS PARTIES À LA CONVENTION</w:t>
      </w:r>
    </w:p>
    <w:p w14:paraId="3E89BE1B" w14:textId="77777777" w:rsidR="00D95C4C" w:rsidRPr="00FD624F" w:rsidRDefault="00065199" w:rsidP="001740D7">
      <w:pPr>
        <w:spacing w:before="840"/>
        <w:jc w:val="center"/>
        <w:rPr>
          <w:rFonts w:ascii="Arial" w:hAnsi="Arial" w:cs="Arial"/>
          <w:b/>
          <w:sz w:val="22"/>
          <w:szCs w:val="22"/>
        </w:rPr>
      </w:pPr>
      <w:r>
        <w:rPr>
          <w:rFonts w:ascii="Arial" w:hAnsi="Arial"/>
          <w:b/>
          <w:sz w:val="22"/>
          <w:szCs w:val="22"/>
        </w:rPr>
        <w:t>Huitième session</w:t>
      </w:r>
    </w:p>
    <w:p w14:paraId="454EF936" w14:textId="3A7F0FC5" w:rsidR="00D95C4C" w:rsidRPr="00FD624F" w:rsidRDefault="00D95C4C" w:rsidP="001740D7">
      <w:pPr>
        <w:jc w:val="center"/>
        <w:rPr>
          <w:rFonts w:ascii="Arial" w:hAnsi="Arial" w:cs="Arial"/>
          <w:b/>
          <w:sz w:val="22"/>
          <w:szCs w:val="22"/>
        </w:rPr>
      </w:pPr>
      <w:r>
        <w:rPr>
          <w:rFonts w:ascii="Arial" w:hAnsi="Arial"/>
          <w:b/>
          <w:sz w:val="22"/>
          <w:szCs w:val="22"/>
        </w:rPr>
        <w:t>Siège de l</w:t>
      </w:r>
      <w:r w:rsidR="00796EEE">
        <w:rPr>
          <w:rFonts w:ascii="Arial" w:hAnsi="Arial"/>
          <w:b/>
          <w:sz w:val="22"/>
          <w:szCs w:val="22"/>
        </w:rPr>
        <w:t>’</w:t>
      </w:r>
      <w:r>
        <w:rPr>
          <w:rFonts w:ascii="Arial" w:hAnsi="Arial"/>
          <w:b/>
          <w:sz w:val="22"/>
          <w:szCs w:val="22"/>
        </w:rPr>
        <w:t>UNESCO, Salle I</w:t>
      </w:r>
    </w:p>
    <w:p w14:paraId="01BB5993" w14:textId="77777777" w:rsidR="00655736" w:rsidRPr="00414643" w:rsidRDefault="000F365A" w:rsidP="001740D7">
      <w:pPr>
        <w:jc w:val="center"/>
        <w:rPr>
          <w:rFonts w:ascii="Arial" w:hAnsi="Arial" w:cs="Arial"/>
          <w:b/>
          <w:sz w:val="22"/>
          <w:szCs w:val="22"/>
        </w:rPr>
      </w:pPr>
      <w:r>
        <w:rPr>
          <w:rFonts w:ascii="Arial" w:hAnsi="Arial"/>
          <w:b/>
          <w:sz w:val="22"/>
          <w:szCs w:val="22"/>
        </w:rPr>
        <w:t>8 – 10 septembre 2020</w:t>
      </w:r>
    </w:p>
    <w:p w14:paraId="0B67FE6C" w14:textId="2D1DD7BC" w:rsidR="00655736" w:rsidRPr="00414643" w:rsidRDefault="00655736" w:rsidP="001740D7">
      <w:pPr>
        <w:pStyle w:val="Sansinterligne2"/>
        <w:spacing w:before="1200"/>
        <w:jc w:val="center"/>
        <w:rPr>
          <w:rFonts w:ascii="Arial" w:hAnsi="Arial" w:cs="Arial"/>
          <w:b/>
          <w:sz w:val="22"/>
          <w:szCs w:val="22"/>
        </w:rPr>
      </w:pPr>
      <w:r>
        <w:rPr>
          <w:rFonts w:ascii="Arial" w:hAnsi="Arial"/>
          <w:b/>
          <w:sz w:val="22"/>
          <w:szCs w:val="22"/>
          <w:u w:val="single"/>
        </w:rPr>
        <w:t>Point 7 de l</w:t>
      </w:r>
      <w:r w:rsidR="00796EEE">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2F983A8C" w14:textId="77777777" w:rsidR="002F312A" w:rsidRPr="00576E1D" w:rsidRDefault="00576E1D" w:rsidP="001740D7">
      <w:pPr>
        <w:pStyle w:val="Sansinterligne2"/>
        <w:spacing w:after="1200"/>
        <w:jc w:val="center"/>
        <w:rPr>
          <w:rFonts w:ascii="Arial" w:hAnsi="Arial" w:cs="Arial"/>
          <w:b/>
          <w:sz w:val="22"/>
          <w:szCs w:val="22"/>
        </w:rPr>
      </w:pPr>
      <w:r>
        <w:rPr>
          <w:rFonts w:ascii="Arial" w:hAnsi="Arial"/>
          <w:b/>
          <w:sz w:val="22"/>
          <w:szCs w:val="22"/>
        </w:rPr>
        <w:t>Utilisation des ressources du Fonds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111EC060" w14:textId="77777777" w:rsidTr="002F312A">
        <w:trPr>
          <w:jc w:val="center"/>
        </w:trPr>
        <w:tc>
          <w:tcPr>
            <w:tcW w:w="5670" w:type="dxa"/>
            <w:vAlign w:val="center"/>
          </w:tcPr>
          <w:p w14:paraId="7E0AD800" w14:textId="77777777" w:rsidR="0057439C" w:rsidRDefault="0057439C" w:rsidP="001740D7">
            <w:pPr>
              <w:pStyle w:val="Sansinterligne1"/>
              <w:spacing w:before="200" w:after="200"/>
              <w:jc w:val="center"/>
              <w:rPr>
                <w:rFonts w:ascii="Arial" w:hAnsi="Arial" w:cs="Arial"/>
                <w:b/>
                <w:sz w:val="22"/>
                <w:szCs w:val="22"/>
              </w:rPr>
            </w:pPr>
            <w:r>
              <w:rPr>
                <w:rFonts w:ascii="Arial" w:hAnsi="Arial"/>
                <w:b/>
                <w:sz w:val="22"/>
                <w:szCs w:val="22"/>
              </w:rPr>
              <w:t>Résumé</w:t>
            </w:r>
          </w:p>
          <w:p w14:paraId="010D7014" w14:textId="458F85FC" w:rsidR="00576E1D" w:rsidRPr="00576E1D" w:rsidRDefault="00576E1D" w:rsidP="001740D7">
            <w:pPr>
              <w:pStyle w:val="Sansinterligne1"/>
              <w:jc w:val="both"/>
              <w:rPr>
                <w:rFonts w:ascii="Arial" w:hAnsi="Arial" w:cs="Arial"/>
                <w:sz w:val="22"/>
                <w:szCs w:val="22"/>
              </w:rPr>
            </w:pPr>
            <w:r>
              <w:rPr>
                <w:rFonts w:ascii="Arial" w:hAnsi="Arial"/>
                <w:sz w:val="22"/>
                <w:szCs w:val="22"/>
              </w:rPr>
              <w:t>L</w:t>
            </w:r>
            <w:r w:rsidR="00796EEE">
              <w:rPr>
                <w:rFonts w:ascii="Arial" w:hAnsi="Arial"/>
                <w:sz w:val="22"/>
                <w:szCs w:val="22"/>
              </w:rPr>
              <w:t>’</w:t>
            </w:r>
            <w:r>
              <w:rPr>
                <w:rFonts w:ascii="Arial" w:hAnsi="Arial"/>
                <w:sz w:val="22"/>
                <w:szCs w:val="22"/>
              </w:rPr>
              <w:t>article 7(c) de la Convention prévoit que le Comité prépare et soumette à l</w:t>
            </w:r>
            <w:r w:rsidR="00796EEE">
              <w:rPr>
                <w:rFonts w:ascii="Arial" w:hAnsi="Arial"/>
                <w:sz w:val="22"/>
                <w:szCs w:val="22"/>
              </w:rPr>
              <w:t>’</w:t>
            </w:r>
            <w:r>
              <w:rPr>
                <w:rFonts w:ascii="Arial" w:hAnsi="Arial"/>
                <w:sz w:val="22"/>
                <w:szCs w:val="22"/>
              </w:rPr>
              <w:t>approbation de l</w:t>
            </w:r>
            <w:r w:rsidR="00796EEE">
              <w:rPr>
                <w:rFonts w:ascii="Arial" w:hAnsi="Arial"/>
                <w:sz w:val="22"/>
                <w:szCs w:val="22"/>
              </w:rPr>
              <w:t>’</w:t>
            </w:r>
            <w:r>
              <w:rPr>
                <w:rFonts w:ascii="Arial" w:hAnsi="Arial"/>
                <w:sz w:val="22"/>
                <w:szCs w:val="22"/>
              </w:rPr>
              <w:t>Assemblée générale un projet de plan d</w:t>
            </w:r>
            <w:r w:rsidR="00796EEE">
              <w:rPr>
                <w:rFonts w:ascii="Arial" w:hAnsi="Arial"/>
                <w:sz w:val="22"/>
                <w:szCs w:val="22"/>
              </w:rPr>
              <w:t>’</w:t>
            </w:r>
            <w:r>
              <w:rPr>
                <w:rFonts w:ascii="Arial" w:hAnsi="Arial"/>
                <w:sz w:val="22"/>
                <w:szCs w:val="22"/>
              </w:rPr>
              <w:t>utilisation des ressources du Fonds. Le présent document contient ce projet de plan, tel que recommandé par le Comité pour la période 2020-2021 et le premier semestre de 2022 (annexe </w:t>
            </w:r>
            <w:r w:rsidR="007402CA">
              <w:rPr>
                <w:rFonts w:ascii="Arial" w:hAnsi="Arial"/>
                <w:sz w:val="22"/>
                <w:szCs w:val="22"/>
              </w:rPr>
              <w:t>I</w:t>
            </w:r>
            <w:r>
              <w:rPr>
                <w:rFonts w:ascii="Arial" w:hAnsi="Arial"/>
                <w:sz w:val="22"/>
                <w:szCs w:val="22"/>
              </w:rPr>
              <w:t>).</w:t>
            </w:r>
          </w:p>
          <w:p w14:paraId="7B9152B4" w14:textId="5C8198FF" w:rsidR="00655736" w:rsidRPr="00414643" w:rsidRDefault="00FB6630" w:rsidP="001740D7">
            <w:pPr>
              <w:pStyle w:val="Sansinterligne2"/>
              <w:spacing w:before="120" w:after="120"/>
              <w:jc w:val="both"/>
              <w:rPr>
                <w:rFonts w:ascii="Arial" w:hAnsi="Arial" w:cs="Arial"/>
                <w:b/>
                <w:sz w:val="22"/>
                <w:szCs w:val="22"/>
              </w:rPr>
            </w:pPr>
            <w:r>
              <w:rPr>
                <w:rFonts w:ascii="Arial" w:hAnsi="Arial"/>
                <w:b/>
                <w:sz w:val="22"/>
                <w:szCs w:val="22"/>
              </w:rPr>
              <w:t>Décision requise :</w:t>
            </w:r>
            <w:r>
              <w:rPr>
                <w:rFonts w:ascii="Arial" w:hAnsi="Arial"/>
                <w:bCs/>
                <w:sz w:val="22"/>
                <w:szCs w:val="22"/>
              </w:rPr>
              <w:t xml:space="preserve"> paragraphe </w:t>
            </w:r>
            <w:r w:rsidR="0011604E">
              <w:rPr>
                <w:rFonts w:ascii="Arial" w:hAnsi="Arial"/>
                <w:bCs/>
                <w:sz w:val="22"/>
                <w:szCs w:val="22"/>
              </w:rPr>
              <w:t>49</w:t>
            </w:r>
          </w:p>
        </w:tc>
      </w:tr>
    </w:tbl>
    <w:p w14:paraId="63C6E0FD" w14:textId="77777777" w:rsidR="00176720" w:rsidRDefault="00655736" w:rsidP="001740D7">
      <w:pPr>
        <w:pStyle w:val="GAPara"/>
        <w:numPr>
          <w:ilvl w:val="0"/>
          <w:numId w:val="0"/>
        </w:numPr>
        <w:jc w:val="both"/>
      </w:pPr>
      <w:r>
        <w:br w:type="page"/>
      </w:r>
    </w:p>
    <w:p w14:paraId="5FB23A00" w14:textId="77777777" w:rsidR="00AD0571" w:rsidRPr="00AD0571" w:rsidRDefault="00AD0571" w:rsidP="00C21695">
      <w:pPr>
        <w:pStyle w:val="COMPara"/>
        <w:numPr>
          <w:ilvl w:val="0"/>
          <w:numId w:val="7"/>
        </w:numPr>
        <w:spacing w:before="360"/>
        <w:ind w:left="567" w:hanging="567"/>
        <w:rPr>
          <w:b/>
          <w:bCs/>
        </w:rPr>
      </w:pPr>
      <w:r>
        <w:rPr>
          <w:b/>
          <w:bCs/>
        </w:rPr>
        <w:lastRenderedPageBreak/>
        <w:t>Contexte</w:t>
      </w:r>
    </w:p>
    <w:p w14:paraId="53680803" w14:textId="18FB4DF3" w:rsidR="00800AC7" w:rsidRDefault="00576E1D" w:rsidP="00C21695">
      <w:pPr>
        <w:pStyle w:val="COMPara"/>
        <w:numPr>
          <w:ilvl w:val="0"/>
          <w:numId w:val="5"/>
        </w:numPr>
        <w:tabs>
          <w:tab w:val="left" w:pos="567"/>
        </w:tabs>
        <w:ind w:left="567" w:hanging="567"/>
        <w:jc w:val="both"/>
      </w:pPr>
      <w:r>
        <w:t>Au titre de l</w:t>
      </w:r>
      <w:r w:rsidR="00796EEE">
        <w:t>’</w:t>
      </w:r>
      <w:r>
        <w:t>article 7(c) de la Convention, le Comité doit « préparer et soumettre à l</w:t>
      </w:r>
      <w:r w:rsidR="00796EEE">
        <w:t>’</w:t>
      </w:r>
      <w:r>
        <w:t>approbation de l</w:t>
      </w:r>
      <w:r w:rsidR="00796EEE">
        <w:t>’</w:t>
      </w:r>
      <w:r>
        <w:t>Assemblée générale un projet d</w:t>
      </w:r>
      <w:r w:rsidR="00796EEE">
        <w:t>’</w:t>
      </w:r>
      <w:r>
        <w:t>utilisation des ressources du</w:t>
      </w:r>
      <w:r w:rsidR="009B1AA3">
        <w:t xml:space="preserve"> [Compte spécial</w:t>
      </w:r>
      <w:r>
        <w:t xml:space="preserve"> </w:t>
      </w:r>
      <w:r w:rsidR="009B1AA3">
        <w:t xml:space="preserve">du] </w:t>
      </w:r>
      <w:r>
        <w:t xml:space="preserve">Fonds </w:t>
      </w:r>
      <w:r w:rsidR="009B1AA3">
        <w:t>[</w:t>
      </w:r>
      <w:r>
        <w:t>du patrimoine culturel immatériel (ci-après « le Fonds »)</w:t>
      </w:r>
      <w:r w:rsidR="00522073">
        <w:t>]</w:t>
      </w:r>
      <w:r>
        <w:t>, conformément à l</w:t>
      </w:r>
      <w:r w:rsidR="00796EEE">
        <w:t>’</w:t>
      </w:r>
      <w:r>
        <w:t xml:space="preserve">article 25 » de la Convention. Le projet de plan (ci-après « le Plan »), soumis par le Comité conformément à sa </w:t>
      </w:r>
      <w:hyperlink r:id="rId8" w:history="1">
        <w:r>
          <w:rPr>
            <w:rStyle w:val="Lienhypertexte"/>
          </w:rPr>
          <w:t>décision 14.COM 7</w:t>
        </w:r>
      </w:hyperlink>
      <w:r>
        <w:t xml:space="preserve"> et annexé au présent document, a été préparé en conformité avec les orientations figurant au chapitre II.1 des Directives opérationnelles et en s</w:t>
      </w:r>
      <w:r w:rsidR="00796EEE">
        <w:t>’</w:t>
      </w:r>
      <w:r>
        <w:t>appuyant sur l</w:t>
      </w:r>
      <w:r w:rsidR="00796EEE">
        <w:t>’</w:t>
      </w:r>
      <w:r>
        <w:t>expérience de mise en œuvre du plan des exercices biennaux précédents. Le rapport financier pour la période du 1</w:t>
      </w:r>
      <w:r w:rsidRPr="00FF1949">
        <w:rPr>
          <w:vertAlign w:val="superscript"/>
        </w:rPr>
        <w:t>er</w:t>
      </w:r>
      <w:r w:rsidRPr="00FF1949">
        <w:t xml:space="preserve"> janvier 2018 au 31 décembre 2019 est disponible dans le </w:t>
      </w:r>
      <w:hyperlink r:id="rId9" w:history="1">
        <w:r w:rsidRPr="00FF1949">
          <w:rPr>
            <w:rStyle w:val="Lienhypertexte"/>
          </w:rPr>
          <w:t xml:space="preserve">document </w:t>
        </w:r>
        <w:r w:rsidR="005D2FB9" w:rsidRPr="00FF1949">
          <w:rPr>
            <w:rStyle w:val="Lienhypertexte"/>
          </w:rPr>
          <w:t>LHE</w:t>
        </w:r>
        <w:r w:rsidRPr="00FF1949">
          <w:rPr>
            <w:rStyle w:val="Lienhypertexte"/>
          </w:rPr>
          <w:t>/20/8.GA/INF.7</w:t>
        </w:r>
      </w:hyperlink>
      <w:r w:rsidRPr="00FF1949">
        <w:t>, accompagné</w:t>
      </w:r>
      <w:r>
        <w:t xml:space="preserve"> d</w:t>
      </w:r>
      <w:r w:rsidR="00796EEE">
        <w:t>’</w:t>
      </w:r>
      <w:r>
        <w:t>une note explicative.</w:t>
      </w:r>
    </w:p>
    <w:p w14:paraId="59083826" w14:textId="7BC2E0F2" w:rsidR="00800AC7" w:rsidRPr="000C3818" w:rsidRDefault="00800AC7" w:rsidP="00C21695">
      <w:pPr>
        <w:pStyle w:val="COMPara"/>
        <w:numPr>
          <w:ilvl w:val="0"/>
          <w:numId w:val="5"/>
        </w:numPr>
        <w:tabs>
          <w:tab w:val="left" w:pos="567"/>
        </w:tabs>
        <w:ind w:left="567" w:hanging="567"/>
        <w:jc w:val="both"/>
      </w:pPr>
      <w:r>
        <w:t>Conformément à l</w:t>
      </w:r>
      <w:r w:rsidR="00796EEE">
        <w:t>’</w:t>
      </w:r>
      <w:r>
        <w:t>article 2 du Règlement financier du Fonds, « l</w:t>
      </w:r>
      <w:r w:rsidR="00796EEE">
        <w:t>’</w:t>
      </w:r>
      <w:r>
        <w:t>exercice financier [du Fonds] correspond à celui de l</w:t>
      </w:r>
      <w:r w:rsidR="00796EEE">
        <w:t>’</w:t>
      </w:r>
      <w:r>
        <w:t>UNESCO ». Toutefois, l</w:t>
      </w:r>
      <w:r w:rsidR="00796EEE">
        <w:t>’</w:t>
      </w:r>
      <w:r>
        <w:t>Assemblée générale des États parties à la Convention se réunit en session ordinaire les années paires, six mois environ après le début de l</w:t>
      </w:r>
      <w:r w:rsidR="00796EEE">
        <w:t>’</w:t>
      </w:r>
      <w:r>
        <w:t>exercice financier de l</w:t>
      </w:r>
      <w:r w:rsidR="00796EEE">
        <w:t>’</w:t>
      </w:r>
      <w:r>
        <w:t>UNESCO. Il est donc demandé à l</w:t>
      </w:r>
      <w:r w:rsidR="00796EEE">
        <w:t>’</w:t>
      </w:r>
      <w:r>
        <w:t>Assemblée générale d</w:t>
      </w:r>
      <w:r w:rsidR="00796EEE">
        <w:t>’</w:t>
      </w:r>
      <w:r>
        <w:t>approuver un Plan couvrant la période du 1</w:t>
      </w:r>
      <w:r>
        <w:rPr>
          <w:vertAlign w:val="superscript"/>
        </w:rPr>
        <w:t>er</w:t>
      </w:r>
      <w:r>
        <w:t> janvier 2020 au 31 décembre 2021 ; ainsi que le budget provisoire pour les six premiers mois de l</w:t>
      </w:r>
      <w:r w:rsidR="00796EEE">
        <w:t>’</w:t>
      </w:r>
      <w:r>
        <w:t>exercice financier suivant, soit du 1</w:t>
      </w:r>
      <w:r>
        <w:rPr>
          <w:vertAlign w:val="superscript"/>
        </w:rPr>
        <w:t>er</w:t>
      </w:r>
      <w:r>
        <w:t> janvier 2022 au 30 juin 2022. Le budget provisoire pour le premier semestre de 2020, adopté par la septième session de l</w:t>
      </w:r>
      <w:r w:rsidR="00796EEE">
        <w:t>’</w:t>
      </w:r>
      <w:r>
        <w:t>Assemblée générale (</w:t>
      </w:r>
      <w:hyperlink r:id="rId10" w:history="1">
        <w:r>
          <w:rPr>
            <w:rStyle w:val="Lienhypertexte"/>
          </w:rPr>
          <w:t>résolution 7.GA 8</w:t>
        </w:r>
      </w:hyperlink>
      <w:r>
        <w:t>), sera remplacé par le présent Plan lorsqu</w:t>
      </w:r>
      <w:r w:rsidR="00796EEE">
        <w:t>’</w:t>
      </w:r>
      <w:r>
        <w:t>il aura été approuvé par la présente session de l</w:t>
      </w:r>
      <w:r w:rsidR="00796EEE">
        <w:t>’</w:t>
      </w:r>
      <w:r>
        <w:t>Assemblée générale.</w:t>
      </w:r>
    </w:p>
    <w:p w14:paraId="75BF9B09" w14:textId="4BE66B79" w:rsidR="00B65D85" w:rsidRPr="00B65D85" w:rsidRDefault="005D2FB9" w:rsidP="00C21695">
      <w:pPr>
        <w:pStyle w:val="COMPara"/>
        <w:numPr>
          <w:ilvl w:val="0"/>
          <w:numId w:val="5"/>
        </w:numPr>
        <w:tabs>
          <w:tab w:val="left" w:pos="567"/>
        </w:tabs>
        <w:ind w:left="567" w:hanging="567"/>
        <w:jc w:val="both"/>
        <w:rPr>
          <w:bCs/>
        </w:rPr>
      </w:pPr>
      <w:r>
        <w:t>À</w:t>
      </w:r>
      <w:r w:rsidR="00803B62">
        <w:t xml:space="preserve"> la fin de l</w:t>
      </w:r>
      <w:r w:rsidR="00796EEE">
        <w:t>’</w:t>
      </w:r>
      <w:r w:rsidR="00803B62">
        <w:t>année 2019, le solde des fonds disponibles pour les activités du programme était de 7 840 379 dollars des États-Unis, à l</w:t>
      </w:r>
      <w:r w:rsidR="00796EEE">
        <w:t>’</w:t>
      </w:r>
      <w:r w:rsidR="00803B62">
        <w:t xml:space="preserve">exclusion du Fonds de réserve. </w:t>
      </w:r>
      <w:r w:rsidR="00B65D85">
        <w:t>Il est proposé que</w:t>
      </w:r>
      <w:r w:rsidR="00803B62">
        <w:t xml:space="preserve"> l</w:t>
      </w:r>
      <w:r w:rsidR="00796EEE">
        <w:t>’</w:t>
      </w:r>
      <w:r w:rsidR="00803B62">
        <w:t>Assemblée générale alloue les fonds</w:t>
      </w:r>
      <w:r w:rsidR="00B65D85">
        <w:t xml:space="preserve"> </w:t>
      </w:r>
      <w:r w:rsidR="00803B62">
        <w:t>à</w:t>
      </w:r>
      <w:r w:rsidR="00B65D85">
        <w:t xml:space="preserve"> chaque ligne budgétaire en pourcentage du total des ressources disponibles, et non en valeur absolue. Cela permettra</w:t>
      </w:r>
      <w:r w:rsidR="00803B62">
        <w:t>, en cas de besoin, aux contributions obligatoires reçues au cours du biennium d</w:t>
      </w:r>
      <w:r w:rsidR="00796EEE">
        <w:t>’</w:t>
      </w:r>
      <w:r w:rsidR="00803B62">
        <w:t xml:space="preserve">être affectées à chaque ligne budgétaire en fonction des pourcentages approuvés. De cette manière, le Comité pourra </w:t>
      </w:r>
      <w:r w:rsidR="00B65D85">
        <w:t>utiliser toute contribution volontaire supplémentaire importante sans restriction (telle que prévue à l</w:t>
      </w:r>
      <w:r w:rsidR="00796EEE">
        <w:t>’</w:t>
      </w:r>
      <w:r w:rsidR="00B65D85">
        <w:t>article 27 de la Convention) qui pourrait être créditée au profit du Fonds au cours de l</w:t>
      </w:r>
      <w:r w:rsidR="00796EEE">
        <w:t>’</w:t>
      </w:r>
      <w:r w:rsidR="00B65D85">
        <w:t>exercice biennal. Dans le même temps, il est également proposé que l</w:t>
      </w:r>
      <w:r w:rsidR="00796EEE">
        <w:t>’</w:t>
      </w:r>
      <w:r w:rsidR="00B65D85">
        <w:t>Assemblée générale, comme elle l</w:t>
      </w:r>
      <w:r w:rsidR="00796EEE">
        <w:t>’</w:t>
      </w:r>
      <w:r w:rsidR="00B65D85">
        <w:t>a fait lors de précédentes sessions, autorise le Comité à en faire immédiatement usage, dès réception, en appliquant les pourcentages définis dans le Plan.</w:t>
      </w:r>
    </w:p>
    <w:p w14:paraId="52ABACF7" w14:textId="3C00C79D" w:rsidR="00B65D85" w:rsidRPr="0062665D" w:rsidRDefault="00876545" w:rsidP="00C21695">
      <w:pPr>
        <w:pStyle w:val="COMPara"/>
        <w:numPr>
          <w:ilvl w:val="0"/>
          <w:numId w:val="5"/>
        </w:numPr>
        <w:tabs>
          <w:tab w:val="left" w:pos="567"/>
        </w:tabs>
        <w:ind w:left="567" w:hanging="567"/>
        <w:jc w:val="both"/>
      </w:pPr>
      <w:r>
        <w:t>En outre, il est encore une fois demandé à l</w:t>
      </w:r>
      <w:r w:rsidR="00796EEE">
        <w:t>’</w:t>
      </w:r>
      <w:r>
        <w:t>Assemblée générale d</w:t>
      </w:r>
      <w:r w:rsidR="00796EEE">
        <w:t>’</w:t>
      </w:r>
      <w:r>
        <w:t>autoriser le Comité à faire immédiatement usage des contributions se rapportant à des projets spécifiques, pourvu que ces projets entrent dans le cadre des deux priorités de financement approuvées par le Comité pour la période 2018-2021 (</w:t>
      </w:r>
      <w:hyperlink r:id="rId11" w:history="1">
        <w:r>
          <w:rPr>
            <w:rStyle w:val="Lienhypertexte"/>
          </w:rPr>
          <w:t>décision 12.</w:t>
        </w:r>
        <w:r w:rsidR="005D2FB9">
          <w:rPr>
            <w:rStyle w:val="Lienhypertexte"/>
          </w:rPr>
          <w:t>COM </w:t>
        </w:r>
        <w:r>
          <w:rPr>
            <w:rStyle w:val="Lienhypertexte"/>
          </w:rPr>
          <w:t>6</w:t>
        </w:r>
      </w:hyperlink>
      <w:r>
        <w:t>) : « Renforcement des capacités de sauvegarde du patrimoine culturel immatériel et de contribution au développement durable » et « Sauvegarde du patrimoine culturel immatériel dans l</w:t>
      </w:r>
      <w:r w:rsidR="00796EEE">
        <w:t>’</w:t>
      </w:r>
      <w:r>
        <w:t>éducation formelle et non formelle ». La liste de ces contributions et des autres contributions volontaires supplémentaires</w:t>
      </w:r>
      <w:r w:rsidRPr="00FF1949">
        <w:t>, ainsi que la liste des donateurs, figurent dans le document d</w:t>
      </w:r>
      <w:r w:rsidR="00796EEE" w:rsidRPr="00FF1949">
        <w:t>’</w:t>
      </w:r>
      <w:r w:rsidRPr="00FF1949">
        <w:t xml:space="preserve">information </w:t>
      </w:r>
      <w:hyperlink r:id="rId12" w:history="1">
        <w:r w:rsidRPr="00FF1949">
          <w:rPr>
            <w:rStyle w:val="Lienhypertexte"/>
          </w:rPr>
          <w:t>LHE/20/8.GA/INF.7</w:t>
        </w:r>
      </w:hyperlink>
      <w:r w:rsidRPr="00FF1949">
        <w:t>.</w:t>
      </w:r>
    </w:p>
    <w:p w14:paraId="1F1773F2" w14:textId="0128369F" w:rsidR="00576E1D" w:rsidRPr="00DC490B" w:rsidRDefault="00576E1D" w:rsidP="000278F0">
      <w:pPr>
        <w:pStyle w:val="COMPara"/>
        <w:numPr>
          <w:ilvl w:val="0"/>
          <w:numId w:val="5"/>
        </w:numPr>
        <w:tabs>
          <w:tab w:val="left" w:pos="567"/>
        </w:tabs>
        <w:ind w:left="567" w:hanging="567"/>
        <w:jc w:val="both"/>
      </w:pPr>
      <w:r>
        <w:t>Afin de mieux comprendre le contexte du plan proposé pour l</w:t>
      </w:r>
      <w:r w:rsidR="00796EEE">
        <w:t>’</w:t>
      </w:r>
      <w:r>
        <w:t>utilisation des ressources du Fonds du patrimoine culturel immatériel pour la période 2020-2021 (</w:t>
      </w:r>
      <w:hyperlink w:anchor="III_Plan" w:history="1">
        <w:r>
          <w:rPr>
            <w:rStyle w:val="Lienhypertexte"/>
          </w:rPr>
          <w:t>Partie III</w:t>
        </w:r>
      </w:hyperlink>
      <w:r>
        <w:t>), le présent document fournit un aperçu de la situation actuelle du Fonds et de son évolution (</w:t>
      </w:r>
      <w:hyperlink w:anchor="II_Status" w:history="1">
        <w:r>
          <w:rPr>
            <w:rStyle w:val="Lienhypertexte"/>
          </w:rPr>
          <w:t>Partie II</w:t>
        </w:r>
      </w:hyperlink>
      <w:r>
        <w:t>). Il décrit également les mesures prises pour assurer la continuité des travaux du Secrétariat après le report de la huitième session de l</w:t>
      </w:r>
      <w:r w:rsidR="00796EEE">
        <w:t>’</w:t>
      </w:r>
      <w:r>
        <w:t>Assemblée générale de juin à septembre 2020 (</w:t>
      </w:r>
      <w:hyperlink w:anchor="IV_Continuity_Measures" w:history="1">
        <w:r>
          <w:rPr>
            <w:rStyle w:val="Lienhypertexte"/>
          </w:rPr>
          <w:t>Partie IV</w:t>
        </w:r>
      </w:hyperlink>
      <w:r>
        <w:t>). La cinquième section propose un nouvel objectif annuel pour le sous-fonds (</w:t>
      </w:r>
      <w:hyperlink w:anchor="V_Subfund" w:history="1">
        <w:r>
          <w:rPr>
            <w:rStyle w:val="Lienhypertexte"/>
          </w:rPr>
          <w:t>Partie V</w:t>
        </w:r>
      </w:hyperlink>
      <w:r>
        <w:t>). La sixième section porte sur le maintien d</w:t>
      </w:r>
      <w:r w:rsidR="00796EEE">
        <w:t>’</w:t>
      </w:r>
      <w:r>
        <w:t xml:space="preserve">un taux de gestion à 0 pour cent pour toutes les contributions </w:t>
      </w:r>
      <w:r w:rsidR="005D2FB9">
        <w:t xml:space="preserve">mises en recouvrement </w:t>
      </w:r>
      <w:r>
        <w:t>(</w:t>
      </w:r>
      <w:hyperlink w:anchor="VI_Management_Cost" w:history="1">
        <w:r>
          <w:rPr>
            <w:rStyle w:val="Lienhypertexte"/>
          </w:rPr>
          <w:t>Partie VI</w:t>
        </w:r>
      </w:hyperlink>
      <w:r>
        <w:t>). Enfin, ce document propose des révisions du Règlement financier du Fonds conformément aux décisions du Conseil exécutif de l</w:t>
      </w:r>
      <w:r w:rsidR="00796EEE">
        <w:t>’</w:t>
      </w:r>
      <w:r>
        <w:t>UNESCO concernant les règlements financiers des comptes spéciaux (</w:t>
      </w:r>
      <w:hyperlink w:anchor="VII_Financial_Regulations" w:history="1">
        <w:r>
          <w:rPr>
            <w:rStyle w:val="Lienhypertexte"/>
          </w:rPr>
          <w:t>Partie VII</w:t>
        </w:r>
      </w:hyperlink>
      <w:r>
        <w:t>).</w:t>
      </w:r>
    </w:p>
    <w:p w14:paraId="61C7DA30" w14:textId="77777777" w:rsidR="00576E1D" w:rsidRPr="00E73F49" w:rsidRDefault="00576E1D" w:rsidP="002A0DB0">
      <w:pPr>
        <w:pStyle w:val="COMPara"/>
        <w:keepNext/>
        <w:keepLines/>
        <w:numPr>
          <w:ilvl w:val="0"/>
          <w:numId w:val="7"/>
        </w:numPr>
        <w:spacing w:before="360"/>
        <w:ind w:left="567" w:hanging="567"/>
      </w:pPr>
      <w:bookmarkStart w:id="0" w:name="II_Status"/>
      <w:bookmarkEnd w:id="0"/>
      <w:r>
        <w:rPr>
          <w:b/>
          <w:bCs/>
          <w:szCs w:val="24"/>
        </w:rPr>
        <w:lastRenderedPageBreak/>
        <w:t>SITUATION ACTUELLE ET ÉVOLUTION</w:t>
      </w:r>
    </w:p>
    <w:p w14:paraId="4B0A4405" w14:textId="2BE9D769" w:rsidR="00576E1D" w:rsidRPr="00DB375D" w:rsidRDefault="00576E1D" w:rsidP="002A0DB0">
      <w:pPr>
        <w:pStyle w:val="COMPara"/>
        <w:keepNext/>
        <w:keepLines/>
        <w:numPr>
          <w:ilvl w:val="0"/>
          <w:numId w:val="5"/>
        </w:numPr>
        <w:tabs>
          <w:tab w:val="left" w:pos="567"/>
        </w:tabs>
        <w:ind w:left="567" w:hanging="567"/>
        <w:jc w:val="both"/>
      </w:pPr>
      <w:r>
        <w:t>En se fondant sur le rapport finan</w:t>
      </w:r>
      <w:r w:rsidRPr="00FF1949">
        <w:t>cier pour la période du 1</w:t>
      </w:r>
      <w:r w:rsidRPr="00FF1949">
        <w:rPr>
          <w:vertAlign w:val="superscript"/>
        </w:rPr>
        <w:t>er</w:t>
      </w:r>
      <w:r w:rsidRPr="00FF1949">
        <w:t> janvier 2018 au 31 décembre 2019 (</w:t>
      </w:r>
      <w:hyperlink r:id="rId13" w:history="1">
        <w:r w:rsidRPr="00FF1949">
          <w:rPr>
            <w:rStyle w:val="Lienhypertexte"/>
          </w:rPr>
          <w:t>document LHE/20/8.GA/INF.7</w:t>
        </w:r>
      </w:hyperlink>
      <w:r w:rsidRPr="00FF1949">
        <w:t>) et</w:t>
      </w:r>
      <w:r>
        <w:t xml:space="preserve"> sur l</w:t>
      </w:r>
      <w:r w:rsidR="00796EEE">
        <w:t>’</w:t>
      </w:r>
      <w:r>
        <w:t>analyse présentée dans le document </w:t>
      </w:r>
      <w:hyperlink r:id="rId14" w:history="1">
        <w:r>
          <w:rPr>
            <w:rStyle w:val="Lienhypertexte"/>
          </w:rPr>
          <w:t>ITH/18/7.GA/8</w:t>
        </w:r>
      </w:hyperlink>
      <w:r>
        <w:t>, cette section décrit l</w:t>
      </w:r>
      <w:r w:rsidR="00796EEE">
        <w:t>’</w:t>
      </w:r>
      <w:r>
        <w:t>évolution des recettes et des dépenses du Fonds jusqu</w:t>
      </w:r>
      <w:r w:rsidR="00796EEE">
        <w:t>’</w:t>
      </w:r>
      <w:r>
        <w:t>au 31 décembre 2019.</w:t>
      </w:r>
    </w:p>
    <w:p w14:paraId="63E052D3" w14:textId="40F9DA23" w:rsidR="00092FA8" w:rsidRDefault="00E05364" w:rsidP="0028775E">
      <w:pPr>
        <w:pStyle w:val="COMPara"/>
        <w:numPr>
          <w:ilvl w:val="0"/>
          <w:numId w:val="5"/>
        </w:numPr>
        <w:tabs>
          <w:tab w:val="left" w:pos="567"/>
        </w:tabs>
        <w:ind w:left="567" w:hanging="567"/>
        <w:jc w:val="both"/>
      </w:pPr>
      <w:r>
        <w:t>Au cours de l</w:t>
      </w:r>
      <w:r w:rsidR="00796EEE">
        <w:t>’</w:t>
      </w:r>
      <w:r>
        <w:t xml:space="preserve">exercice biennal 2018-2019, les dépenses </w:t>
      </w:r>
      <w:r w:rsidR="006C4CA7">
        <w:t xml:space="preserve">pour les activités du programme </w:t>
      </w:r>
      <w:r>
        <w:t>ont pour la première fois dépassé 5 millions de dollars des États-Unis et représentent 149 % des contributions obligatoires dues au titre de l</w:t>
      </w:r>
      <w:r w:rsidR="00796EEE">
        <w:t>’</w:t>
      </w:r>
      <w:r>
        <w:t>exercice 2018-2019 (voir la Figure 1 ci-dessous). Cette augmentation des dépenses est liée à l</w:t>
      </w:r>
      <w:r w:rsidR="00796EEE">
        <w:t>’</w:t>
      </w:r>
      <w:r>
        <w:t xml:space="preserve">amélioration de la capacité </w:t>
      </w:r>
      <w:r w:rsidR="005D2FB9">
        <w:t>d’exécution</w:t>
      </w:r>
      <w:r>
        <w:t>. Il convient de remarquer que cela a entraîné une baisse du solde des fonds</w:t>
      </w:r>
      <w:r w:rsidR="006C4CA7">
        <w:t xml:space="preserve"> à la fin de l</w:t>
      </w:r>
      <w:r w:rsidR="00796EEE">
        <w:t>’</w:t>
      </w:r>
      <w:r w:rsidR="006C4CA7">
        <w:t>année 2019</w:t>
      </w:r>
      <w:r>
        <w:t xml:space="preserve">, </w:t>
      </w:r>
      <w:r w:rsidR="006C4CA7">
        <w:t>par rapport à la période précédente.</w:t>
      </w:r>
    </w:p>
    <w:p w14:paraId="2FD64EC8" w14:textId="5F9EF126" w:rsidR="00576E1D" w:rsidRPr="000407D0" w:rsidRDefault="006B3702" w:rsidP="001740D7">
      <w:pPr>
        <w:pStyle w:val="COMPara"/>
        <w:tabs>
          <w:tab w:val="left" w:pos="567"/>
        </w:tabs>
        <w:ind w:left="567" w:firstLine="0"/>
        <w:jc w:val="both"/>
      </w:pPr>
      <w:r>
        <w:rPr>
          <w:noProof/>
          <w:lang w:eastAsia="ja-JP"/>
        </w:rPr>
        <w:drawing>
          <wp:inline distT="0" distB="0" distL="0" distR="0" wp14:anchorId="760304D5" wp14:editId="0577461D">
            <wp:extent cx="5766597" cy="333794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01339" cy="3358057"/>
                    </a:xfrm>
                    <a:prstGeom prst="rect">
                      <a:avLst/>
                    </a:prstGeom>
                    <a:noFill/>
                  </pic:spPr>
                </pic:pic>
              </a:graphicData>
            </a:graphic>
          </wp:inline>
        </w:drawing>
      </w:r>
    </w:p>
    <w:p w14:paraId="4B99183C" w14:textId="77777777" w:rsidR="00576E1D" w:rsidRPr="0004143A" w:rsidRDefault="00576E1D" w:rsidP="001740D7">
      <w:pPr>
        <w:pStyle w:val="COMPara"/>
        <w:tabs>
          <w:tab w:val="left" w:pos="567"/>
        </w:tabs>
        <w:spacing w:after="0"/>
        <w:ind w:left="567" w:firstLine="0"/>
        <w:jc w:val="both"/>
        <w:rPr>
          <w:noProof/>
        </w:rPr>
      </w:pPr>
      <w:r>
        <w:rPr>
          <w:noProof/>
          <w:lang w:eastAsia="ja-JP"/>
        </w:rPr>
        <mc:AlternateContent>
          <mc:Choice Requires="wps">
            <w:drawing>
              <wp:inline distT="0" distB="0" distL="0" distR="0" wp14:anchorId="2479074F" wp14:editId="521A22F6">
                <wp:extent cx="5708508" cy="300251"/>
                <wp:effectExtent l="0" t="0" r="6985" b="508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08" cy="300251"/>
                        </a:xfrm>
                        <a:prstGeom prst="rect">
                          <a:avLst/>
                        </a:prstGeom>
                        <a:solidFill>
                          <a:srgbClr val="FFFFFF"/>
                        </a:solidFill>
                        <a:ln w="9525">
                          <a:noFill/>
                          <a:miter lim="800000"/>
                          <a:headEnd/>
                          <a:tailEnd/>
                        </a:ln>
                      </wps:spPr>
                      <wps:txbx>
                        <w:txbxContent>
                          <w:p w14:paraId="05526F83" w14:textId="6E9C56E9" w:rsidR="009E45EB" w:rsidRPr="000B21E2" w:rsidRDefault="009E45EB" w:rsidP="00AF436C">
                            <w:pPr>
                              <w:tabs>
                                <w:tab w:val="left" w:pos="0"/>
                              </w:tabs>
                              <w:spacing w:after="120"/>
                              <w:ind w:right="201"/>
                              <w:rPr>
                                <w:rFonts w:ascii="Arial" w:hAnsi="Arial" w:cs="Arial"/>
                                <w:sz w:val="16"/>
                                <w:szCs w:val="16"/>
                              </w:rPr>
                            </w:pPr>
                            <w:r>
                              <w:rPr>
                                <w:rFonts w:ascii="Arial" w:hAnsi="Arial"/>
                                <w:b/>
                                <w:sz w:val="16"/>
                                <w:szCs w:val="16"/>
                              </w:rPr>
                              <w:t xml:space="preserve">Figure 1 : </w:t>
                            </w:r>
                            <w:r>
                              <w:rPr>
                                <w:rFonts w:ascii="Arial" w:hAnsi="Arial"/>
                                <w:sz w:val="16"/>
                                <w:szCs w:val="16"/>
                              </w:rPr>
                              <w:t>Évolution des dépenses du Fonds (2010-2019)</w:t>
                            </w:r>
                          </w:p>
                        </w:txbxContent>
                      </wps:txbx>
                      <wps:bodyPr rot="0" vert="horz" wrap="square" lIns="91440" tIns="45720" rIns="91440" bIns="45720" anchor="t" anchorCtr="0">
                        <a:noAutofit/>
                      </wps:bodyPr>
                    </wps:wsp>
                  </a:graphicData>
                </a:graphic>
              </wp:inline>
            </w:drawing>
          </mc:Choice>
          <mc:Fallback>
            <w:pict>
              <v:shapetype w14:anchorId="2479074F" id="_x0000_t202" coordsize="21600,21600" o:spt="202" path="m,l,21600r21600,l21600,xe">
                <v:stroke joinstyle="miter"/>
                <v:path gradientshapeok="t" o:connecttype="rect"/>
              </v:shapetype>
              <v:shape id="Zone de texte 2" o:spid="_x0000_s1026" type="#_x0000_t202" style="width:44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" stroked="f">
                <v:textbox>
                  <w:txbxContent>
                    <w:p w14:paraId="05526F83" w14:textId="6E9C56E9" w:rsidR="009E45EB" w:rsidRPr="000B21E2" w:rsidRDefault="009E45EB" w:rsidP="00AF436C">
                      <w:pPr>
                        <w:tabs>
                          <w:tab w:val="left" w:pos="0"/>
                        </w:tabs>
                        <w:spacing w:after="120"/>
                        <w:ind w:right="201"/>
                        <w:rPr>
                          <w:rFonts w:ascii="Arial" w:hAnsi="Arial" w:cs="Arial"/>
                          <w:sz w:val="16"/>
                          <w:szCs w:val="16"/>
                        </w:rPr>
                      </w:pPr>
                      <w:r>
                        <w:rPr>
                          <w:rFonts w:ascii="Arial" w:hAnsi="Arial"/>
                          <w:b/>
                          <w:sz w:val="16"/>
                          <w:szCs w:val="16"/>
                        </w:rPr>
                        <w:t xml:space="preserve">Figure 1 : </w:t>
                      </w:r>
                      <w:r>
                        <w:rPr>
                          <w:rFonts w:ascii="Arial" w:hAnsi="Arial"/>
                          <w:sz w:val="16"/>
                          <w:szCs w:val="16"/>
                        </w:rPr>
                        <w:t>Évolution des dépenses du Fonds (2010-2019)</w:t>
                      </w:r>
                    </w:p>
                  </w:txbxContent>
                </v:textbox>
                <w10:anchorlock/>
              </v:shape>
            </w:pict>
          </mc:Fallback>
        </mc:AlternateContent>
      </w:r>
    </w:p>
    <w:p w14:paraId="4B439DDF" w14:textId="164724AC" w:rsidR="00CE1E82" w:rsidRPr="0004143A" w:rsidRDefault="005F0F59" w:rsidP="00C21695">
      <w:pPr>
        <w:pStyle w:val="COMPara"/>
        <w:numPr>
          <w:ilvl w:val="0"/>
          <w:numId w:val="5"/>
        </w:numPr>
        <w:tabs>
          <w:tab w:val="left" w:pos="567"/>
        </w:tabs>
        <w:ind w:left="567" w:hanging="567"/>
        <w:jc w:val="both"/>
      </w:pPr>
      <w:r>
        <w:t>L</w:t>
      </w:r>
      <w:r w:rsidR="00796EEE">
        <w:t>’</w:t>
      </w:r>
      <w:r>
        <w:t>une des caractéristiques marquantes de l</w:t>
      </w:r>
      <w:r w:rsidR="00796EEE">
        <w:t>’</w:t>
      </w:r>
      <w:r>
        <w:t>utilisation du Fonds pendant l</w:t>
      </w:r>
      <w:r w:rsidR="00796EEE">
        <w:t>’</w:t>
      </w:r>
      <w:r>
        <w:t>exercice biennal 2018-2019 concerne l</w:t>
      </w:r>
      <w:r w:rsidR="00796EEE">
        <w:t>’</w:t>
      </w:r>
      <w:r>
        <w:t xml:space="preserve">utilisation des </w:t>
      </w:r>
      <w:r>
        <w:rPr>
          <w:b/>
        </w:rPr>
        <w:t>mécanismes d</w:t>
      </w:r>
      <w:r w:rsidR="00796EEE">
        <w:rPr>
          <w:b/>
        </w:rPr>
        <w:t>’</w:t>
      </w:r>
      <w:r>
        <w:rPr>
          <w:b/>
        </w:rPr>
        <w:t>assistance internationale</w:t>
      </w:r>
      <w:r>
        <w:t>, correspondant aux lignes budgétaires 1, 1.1 et 2 (voir la Figure 2 ci-dessous) : elle a considérablement augmenté (116 %) par rapport à l</w:t>
      </w:r>
      <w:r w:rsidR="00796EEE">
        <w:t>’</w:t>
      </w:r>
      <w:r>
        <w:t>exercice biennal précédent. Quant au taux de dépenses,</w:t>
      </w:r>
      <w:r w:rsidR="00043F97">
        <w:t xml:space="preserve"> </w:t>
      </w:r>
      <w:r>
        <w:t>qui s</w:t>
      </w:r>
      <w:r w:rsidR="00796EEE">
        <w:t>’</w:t>
      </w:r>
      <w:r>
        <w:t>établissait à 52 % au 31 décembre 2019, il n</w:t>
      </w:r>
      <w:r w:rsidR="00796EEE">
        <w:t>’</w:t>
      </w:r>
      <w:r>
        <w:t>avait jamais été aussi élevé depuis 2010, tant en montant nominal qu</w:t>
      </w:r>
      <w:r w:rsidR="00796EEE">
        <w:t>’</w:t>
      </w:r>
      <w:r>
        <w:t>en pourcentage. Il existe trois principales raisons à ce résultat positif : 1) l</w:t>
      </w:r>
      <w:r w:rsidR="00796EEE">
        <w:t>’</w:t>
      </w:r>
      <w:r>
        <w:t>augmentation du plafond des demandes d</w:t>
      </w:r>
      <w:r w:rsidR="00796EEE">
        <w:t>’</w:t>
      </w:r>
      <w:r>
        <w:t xml:space="preserve">assistance internationale pouvant être présentées au Bureau de 25 000 dollars des États-Unis à 100 000 dollars des États-Unis </w:t>
      </w:r>
      <w:hyperlink r:id="rId16" w:history="1">
        <w:r w:rsidRPr="002A0DB0">
          <w:rPr>
            <w:rStyle w:val="Lienhypertexte"/>
            <w:color w:val="auto"/>
            <w:u w:val="none"/>
          </w:rPr>
          <w:t>(</w:t>
        </w:r>
        <w:r>
          <w:rPr>
            <w:rStyle w:val="Lienhypertexte"/>
          </w:rPr>
          <w:t>résolution 6.GA 7</w:t>
        </w:r>
        <w:r w:rsidRPr="002A0DB0">
          <w:rPr>
            <w:rStyle w:val="Lienhypertexte"/>
            <w:color w:val="auto"/>
            <w:u w:val="none"/>
          </w:rPr>
          <w:t>)</w:t>
        </w:r>
      </w:hyperlink>
      <w:r>
        <w:t> ; 2) l</w:t>
      </w:r>
      <w:r w:rsidR="00796EEE">
        <w:t>’</w:t>
      </w:r>
      <w:r>
        <w:t>augmentation de 90 % (par rapport à l</w:t>
      </w:r>
      <w:r w:rsidR="00796EEE">
        <w:t>’</w:t>
      </w:r>
      <w:r>
        <w:t>exercice biennal 2016-2017</w:t>
      </w:r>
      <w:r w:rsidR="00CE1E82" w:rsidRPr="0004143A">
        <w:rPr>
          <w:rStyle w:val="Appelnotedebasdep"/>
        </w:rPr>
        <w:footnoteReference w:id="1"/>
      </w:r>
      <w:r>
        <w:t>) des demandes examinées par le Bureau, les recommandations correspondantes étant préparées par le Secrétariat ; et 3) le maintien d</w:t>
      </w:r>
      <w:r w:rsidR="00796EEE">
        <w:t>’</w:t>
      </w:r>
      <w:r>
        <w:t>un taux relativement élevé d</w:t>
      </w:r>
      <w:r w:rsidR="00796EEE">
        <w:t>’</w:t>
      </w:r>
      <w:r>
        <w:t>approbation des demandes par le Bureau (70 % des demandes examinées par le Bureau en 2018 et 2019 ont été approuvées), preuve de la qualité globalement satisfaisante des demandes reçues par le Secrétariat.</w:t>
      </w:r>
    </w:p>
    <w:p w14:paraId="7C0C5950" w14:textId="2AA8CABB" w:rsidR="00884576" w:rsidRPr="0004143A" w:rsidRDefault="00BD4545" w:rsidP="001740D7">
      <w:pPr>
        <w:pStyle w:val="COMPara"/>
        <w:tabs>
          <w:tab w:val="left" w:pos="567"/>
        </w:tabs>
        <w:ind w:left="567" w:firstLine="0"/>
        <w:jc w:val="both"/>
      </w:pPr>
      <w:r>
        <w:rPr>
          <w:noProof/>
          <w:lang w:eastAsia="ja-JP"/>
        </w:rPr>
        <w:lastRenderedPageBreak/>
        <w:drawing>
          <wp:inline distT="0" distB="0" distL="0" distR="0" wp14:anchorId="3EE8C435" wp14:editId="2C66FA46">
            <wp:extent cx="5705475" cy="28187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6517" cy="2839029"/>
                    </a:xfrm>
                    <a:prstGeom prst="rect">
                      <a:avLst/>
                    </a:prstGeom>
                    <a:noFill/>
                  </pic:spPr>
                </pic:pic>
              </a:graphicData>
            </a:graphic>
          </wp:inline>
        </w:drawing>
      </w:r>
    </w:p>
    <w:p w14:paraId="00CB4216" w14:textId="77777777" w:rsidR="00CE1E82" w:rsidRPr="0004143A" w:rsidRDefault="00CE1E82" w:rsidP="001740D7">
      <w:pPr>
        <w:pStyle w:val="COMPara"/>
        <w:tabs>
          <w:tab w:val="left" w:pos="567"/>
        </w:tabs>
        <w:ind w:left="567" w:firstLine="0"/>
        <w:jc w:val="both"/>
      </w:pPr>
      <w:r>
        <w:rPr>
          <w:noProof/>
          <w:lang w:eastAsia="ja-JP"/>
        </w:rPr>
        <mc:AlternateContent>
          <mc:Choice Requires="wps">
            <w:drawing>
              <wp:inline distT="0" distB="0" distL="0" distR="0" wp14:anchorId="402B72CA" wp14:editId="5DDF7F54">
                <wp:extent cx="5238750" cy="1404620"/>
                <wp:effectExtent l="0" t="0" r="0"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1BAB5646" w14:textId="77777777" w:rsidR="009E45EB" w:rsidRPr="000B21E2" w:rsidRDefault="009E45EB" w:rsidP="00CE1E82">
                            <w:pPr>
                              <w:ind w:right="201"/>
                              <w:rPr>
                                <w:rFonts w:ascii="Arial" w:hAnsi="Arial" w:cs="Arial"/>
                                <w:sz w:val="16"/>
                                <w:szCs w:val="16"/>
                              </w:rPr>
                            </w:pPr>
                            <w:r>
                              <w:rPr>
                                <w:rFonts w:ascii="Arial" w:hAnsi="Arial"/>
                                <w:b/>
                                <w:sz w:val="16"/>
                                <w:szCs w:val="16"/>
                              </w:rPr>
                              <w:t xml:space="preserve">Figure 2 : </w:t>
                            </w:r>
                            <w:r>
                              <w:rPr>
                                <w:rFonts w:ascii="Arial" w:hAnsi="Arial"/>
                                <w:sz w:val="16"/>
                                <w:szCs w:val="16"/>
                              </w:rPr>
                              <w:t>Taux de dépenses de l’assistance internationale et de l’assistance préparatoire</w:t>
                            </w:r>
                          </w:p>
                        </w:txbxContent>
                      </wps:txbx>
                      <wps:bodyPr rot="0" vert="horz" wrap="square" lIns="91440" tIns="45720" rIns="91440" bIns="45720" anchor="t" anchorCtr="0">
                        <a:spAutoFit/>
                      </wps:bodyPr>
                    </wps:wsp>
                  </a:graphicData>
                </a:graphic>
              </wp:inline>
            </w:drawing>
          </mc:Choice>
          <mc:Fallback>
            <w:pict>
              <v:shape w14:anchorId="402B72CA" id="_x0000_s1027" type="#_x0000_t202" style="width: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" stroked="f">
                <v:textbox style="mso-fit-shape-to-text:t">
                  <w:txbxContent>
                    <w:p w14:paraId="1BAB5646" w14:textId="77777777" w:rsidR="009E45EB" w:rsidRPr="000B21E2" w:rsidRDefault="009E45EB" w:rsidP="00CE1E82">
                      <w:pPr>
                        <w:ind w:right="201"/>
                        <w:rPr>
                          <w:rFonts w:ascii="Arial" w:hAnsi="Arial" w:cs="Arial"/>
                          <w:sz w:val="16"/>
                          <w:szCs w:val="16"/>
                        </w:rPr>
                      </w:pPr>
                      <w:r>
                        <w:rPr>
                          <w:rFonts w:ascii="Arial" w:hAnsi="Arial"/>
                          <w:b/>
                          <w:sz w:val="16"/>
                          <w:szCs w:val="16"/>
                        </w:rPr>
                        <w:t xml:space="preserve">Figure 2 : </w:t>
                      </w:r>
                      <w:r>
                        <w:rPr>
                          <w:rFonts w:ascii="Arial" w:hAnsi="Arial"/>
                          <w:sz w:val="16"/>
                          <w:szCs w:val="16"/>
                        </w:rPr>
                        <w:t>Taux de dépenses de l’assistance internationale et de l’assistance préparatoire</w:t>
                      </w:r>
                    </w:p>
                  </w:txbxContent>
                </v:textbox>
                <w10:anchorlock/>
              </v:shape>
            </w:pict>
          </mc:Fallback>
        </mc:AlternateContent>
      </w:r>
    </w:p>
    <w:p w14:paraId="10B2E863" w14:textId="6A2CB9A2" w:rsidR="00BE5818" w:rsidRPr="0004143A" w:rsidRDefault="00BE5818" w:rsidP="001740D7">
      <w:pPr>
        <w:pStyle w:val="GAPara"/>
        <w:keepNext/>
        <w:numPr>
          <w:ilvl w:val="0"/>
          <w:numId w:val="0"/>
        </w:numPr>
        <w:spacing w:before="240"/>
        <w:jc w:val="both"/>
      </w:pPr>
      <w:r>
        <w:rPr>
          <w:b/>
          <w:bCs/>
        </w:rPr>
        <w:t xml:space="preserve">Contributions </w:t>
      </w:r>
      <w:r w:rsidR="00BD4545">
        <w:rPr>
          <w:b/>
          <w:bCs/>
        </w:rPr>
        <w:t>mises en recouvrement</w:t>
      </w:r>
    </w:p>
    <w:p w14:paraId="3A89DFC1" w14:textId="0B26CA4A" w:rsidR="00576E1D" w:rsidRPr="005F7152" w:rsidRDefault="00576E1D" w:rsidP="00680B7E">
      <w:pPr>
        <w:pStyle w:val="COMPara"/>
        <w:numPr>
          <w:ilvl w:val="0"/>
          <w:numId w:val="5"/>
        </w:numPr>
        <w:tabs>
          <w:tab w:val="left" w:pos="567"/>
        </w:tabs>
        <w:spacing w:before="120"/>
        <w:ind w:left="567" w:hanging="567"/>
        <w:jc w:val="both"/>
      </w:pPr>
      <w:r>
        <w:t xml:space="preserve">Il convient de rappeler que le </w:t>
      </w:r>
      <w:r>
        <w:rPr>
          <w:b/>
        </w:rPr>
        <w:t>versement de contributions</w:t>
      </w:r>
      <w:r>
        <w:t xml:space="preserve"> est une obligation pour tous les États parties ayant ratifié la Convention, conformément à l</w:t>
      </w:r>
      <w:r w:rsidR="00796EEE">
        <w:t>’</w:t>
      </w:r>
      <w:r>
        <w:t xml:space="preserve">article 26. Au 31 décembre 2019, les arriérés de </w:t>
      </w:r>
      <w:r>
        <w:rPr>
          <w:b/>
          <w:bCs/>
        </w:rPr>
        <w:t>contributions obligatoires</w:t>
      </w:r>
      <w:r>
        <w:t xml:space="preserve"> s</w:t>
      </w:r>
      <w:r w:rsidR="00796EEE">
        <w:t>’</w:t>
      </w:r>
      <w:r>
        <w:t xml:space="preserve">élevaient à </w:t>
      </w:r>
      <w:r w:rsidR="00BD4545">
        <w:t>435 318</w:t>
      </w:r>
      <w:r>
        <w:t xml:space="preserve"> dollars des États-Unis (contre </w:t>
      </w:r>
      <w:r w:rsidR="00BD4545">
        <w:t>455 </w:t>
      </w:r>
      <w:r>
        <w:t>0</w:t>
      </w:r>
      <w:r w:rsidR="00BD4545">
        <w:t>33</w:t>
      </w:r>
      <w:r>
        <w:t> dollars des États-Unis au 31 décembre 2017), dont 202 682 dollars des États-Unis correspond</w:t>
      </w:r>
      <w:r w:rsidR="006B3702">
        <w:t>ai</w:t>
      </w:r>
      <w:r>
        <w:t xml:space="preserve">ent à des contributions impayées des années </w:t>
      </w:r>
      <w:r w:rsidR="006B3702">
        <w:t>antérieures à 2019</w:t>
      </w:r>
      <w:r>
        <w:t xml:space="preserve">. Depuis 2016, le montant des contributions impayées </w:t>
      </w:r>
      <w:r w:rsidR="006B3702">
        <w:t>demeure</w:t>
      </w:r>
      <w:r>
        <w:t xml:space="preserve"> autour de 400 000 dollars des États-Unis. Au 31 décembre 2019, 82 États parties (47 %) n</w:t>
      </w:r>
      <w:r w:rsidR="00796EEE">
        <w:t>’</w:t>
      </w:r>
      <w:r>
        <w:t>avaient pas encore versé leur contribution pour 2019. Parmi ceux-là, 46 États parties (27 %) n</w:t>
      </w:r>
      <w:r w:rsidR="00796EEE">
        <w:t>’</w:t>
      </w:r>
      <w:r>
        <w:t xml:space="preserve">avaient pas payé non plus leur contribution pour les années antérieures </w:t>
      </w:r>
      <w:r w:rsidR="006B3702">
        <w:t>à 2019</w:t>
      </w:r>
      <w:r>
        <w:t xml:space="preserve"> (voir </w:t>
      </w:r>
      <w:hyperlink r:id="rId18" w:history="1">
        <w:r w:rsidR="00BD4545" w:rsidRPr="00BD4545">
          <w:rPr>
            <w:rStyle w:val="Lienhypertexte"/>
          </w:rPr>
          <w:t>l</w:t>
        </w:r>
        <w:r w:rsidR="00796EEE">
          <w:rPr>
            <w:rStyle w:val="Lienhypertexte"/>
          </w:rPr>
          <w:t>’</w:t>
        </w:r>
        <w:r w:rsidR="00BD4545" w:rsidRPr="00BD4545">
          <w:rPr>
            <w:rStyle w:val="Lienhypertexte"/>
          </w:rPr>
          <w:t>État des contributions obligatoires au 31 décembre 2019</w:t>
        </w:r>
      </w:hyperlink>
      <w:r w:rsidR="00BD4545">
        <w:t>).</w:t>
      </w:r>
      <w:bookmarkStart w:id="1" w:name="_Ref47620987"/>
      <w:r w:rsidRPr="00130731">
        <w:rPr>
          <w:rStyle w:val="Appelnotedebasdep"/>
        </w:rPr>
        <w:footnoteReference w:id="2"/>
      </w:r>
      <w:bookmarkEnd w:id="1"/>
      <w:r>
        <w:t xml:space="preserve"> En ce qui concerne les </w:t>
      </w:r>
      <w:r>
        <w:rPr>
          <w:b/>
        </w:rPr>
        <w:t>contributions volontaires</w:t>
      </w:r>
      <w:r w:rsidR="00BD4545">
        <w:rPr>
          <w:b/>
        </w:rPr>
        <w:t xml:space="preserve"> </w:t>
      </w:r>
      <w:r w:rsidR="006B3702" w:rsidRPr="006B3702">
        <w:t>d</w:t>
      </w:r>
      <w:r w:rsidRPr="006B3702">
        <w:t>es États parties</w:t>
      </w:r>
      <w:r>
        <w:t xml:space="preserve"> </w:t>
      </w:r>
      <w:r w:rsidR="006B3702" w:rsidRPr="002A0DB0">
        <w:rPr>
          <w:bCs/>
        </w:rPr>
        <w:t>mises en recouvrement</w:t>
      </w:r>
      <w:r w:rsidR="006B3702">
        <w:t xml:space="preserve"> </w:t>
      </w:r>
      <w:r>
        <w:t>conformément à l</w:t>
      </w:r>
      <w:r w:rsidR="00796EEE">
        <w:t>’</w:t>
      </w:r>
      <w:r>
        <w:t xml:space="preserve">article 26.2 de la Convention, une comparaison sur les six dernières années montre que les </w:t>
      </w:r>
      <w:r w:rsidR="006B3702">
        <w:t>versements</w:t>
      </w:r>
      <w:r>
        <w:t xml:space="preserve"> représentent en moyenne 63 % des sommes attendues.</w:t>
      </w:r>
      <w:r w:rsidR="00742D4F" w:rsidRPr="00E71D5F">
        <w:rPr>
          <w:rStyle w:val="Appelnotedebasdep"/>
        </w:rPr>
        <w:fldChar w:fldCharType="begin"/>
      </w:r>
      <w:r w:rsidR="00742D4F" w:rsidRPr="002A0DB0">
        <w:rPr>
          <w:vertAlign w:val="superscript"/>
        </w:rPr>
        <w:instrText xml:space="preserve"> NOTEREF _Ref47620987 \h </w:instrText>
      </w:r>
      <w:r w:rsidR="00742D4F" w:rsidRPr="002A0DB0">
        <w:rPr>
          <w:rStyle w:val="Appelnotedebasdep"/>
        </w:rPr>
        <w:instrText xml:space="preserve"> \* MERGEFORMAT </w:instrText>
      </w:r>
      <w:r w:rsidR="00742D4F" w:rsidRPr="00E71D5F">
        <w:rPr>
          <w:rStyle w:val="Appelnotedebasdep"/>
        </w:rPr>
      </w:r>
      <w:r w:rsidR="00742D4F" w:rsidRPr="00E71D5F">
        <w:rPr>
          <w:rStyle w:val="Appelnotedebasdep"/>
        </w:rPr>
        <w:fldChar w:fldCharType="separate"/>
      </w:r>
      <w:r w:rsidR="00742D4F" w:rsidRPr="002A0DB0">
        <w:rPr>
          <w:vertAlign w:val="superscript"/>
        </w:rPr>
        <w:t>2</w:t>
      </w:r>
      <w:r w:rsidR="00742D4F" w:rsidRPr="00E71D5F">
        <w:rPr>
          <w:rStyle w:val="Appelnotedebasdep"/>
        </w:rPr>
        <w:fldChar w:fldCharType="end"/>
      </w:r>
    </w:p>
    <w:p w14:paraId="5659C086" w14:textId="77777777" w:rsidR="008E71C1" w:rsidRPr="00130731" w:rsidRDefault="008E71C1" w:rsidP="00B702ED">
      <w:pPr>
        <w:pStyle w:val="GAPara"/>
        <w:numPr>
          <w:ilvl w:val="0"/>
          <w:numId w:val="0"/>
        </w:numPr>
        <w:spacing w:before="240"/>
        <w:jc w:val="both"/>
        <w:rPr>
          <w:b/>
          <w:bCs/>
        </w:rPr>
      </w:pPr>
      <w:r>
        <w:rPr>
          <w:b/>
          <w:bCs/>
        </w:rPr>
        <w:t>Perspectives pour les futurs cycles budgétaires</w:t>
      </w:r>
    </w:p>
    <w:p w14:paraId="4C3BA8E6" w14:textId="7B9B2D6B" w:rsidR="008E71C1" w:rsidRDefault="00130731" w:rsidP="00B702ED">
      <w:pPr>
        <w:pStyle w:val="COMPara"/>
        <w:numPr>
          <w:ilvl w:val="0"/>
          <w:numId w:val="5"/>
        </w:numPr>
        <w:tabs>
          <w:tab w:val="left" w:pos="567"/>
        </w:tabs>
        <w:ind w:left="567" w:hanging="567"/>
        <w:jc w:val="both"/>
      </w:pPr>
      <w:r>
        <w:t xml:space="preserve">Après dix années de hausse continue, le </w:t>
      </w:r>
      <w:r w:rsidR="00BD4545">
        <w:t>solde du Fonds en fin d</w:t>
      </w:r>
      <w:r w:rsidR="00796EEE">
        <w:t>’</w:t>
      </w:r>
      <w:r w:rsidR="00BD4545">
        <w:t xml:space="preserve">année </w:t>
      </w:r>
      <w:r>
        <w:t>a diminué pour la première fois et devrait</w:t>
      </w:r>
      <w:r w:rsidR="00BD4545">
        <w:t xml:space="preserve"> également diminu</w:t>
      </w:r>
      <w:r w:rsidR="009D665E">
        <w:t>er</w:t>
      </w:r>
      <w:r w:rsidR="00BD4545">
        <w:t xml:space="preserve"> à la fin du biennium 2020</w:t>
      </w:r>
      <w:r w:rsidR="00980EFA">
        <w:t>-</w:t>
      </w:r>
      <w:r w:rsidR="00BD4545">
        <w:t>2021</w:t>
      </w:r>
      <w:r>
        <w:t>. Cette évolution prévue est un signe positif sur le plan opérationnel. Elle montre qu</w:t>
      </w:r>
      <w:r w:rsidR="00796EEE">
        <w:t>’</w:t>
      </w:r>
      <w:r>
        <w:t>il est plus facile pour les États d</w:t>
      </w:r>
      <w:r w:rsidR="00796EEE">
        <w:t>’</w:t>
      </w:r>
      <w:r>
        <w:t>accéder à des fonds finançant des programmes et projets qui contribuent à la sauvegarde du patrimoine vivant, mais aussi que la capacité de réponse des organes directeurs de la Convention et du Secrétariat à leurs demandes s</w:t>
      </w:r>
      <w:r w:rsidR="00796EEE">
        <w:t>’</w:t>
      </w:r>
      <w:r>
        <w:t>est améliorée. Toutefois, elle signifie aussi que les ressources financières disponibles pour soutenir les efforts des États en matière de sauvegarde du patrimoine culturel immatériel vont probablement diminuer à l</w:t>
      </w:r>
      <w:r w:rsidR="00796EEE">
        <w:t>’</w:t>
      </w:r>
      <w:r>
        <w:t>avenir, même si cela ne suscite pas d</w:t>
      </w:r>
      <w:r w:rsidR="00796EEE">
        <w:t>’</w:t>
      </w:r>
      <w:r>
        <w:t>inquiétude dans l</w:t>
      </w:r>
      <w:r w:rsidR="00796EEE">
        <w:t>’</w:t>
      </w:r>
      <w:r>
        <w:t>immédiat. D</w:t>
      </w:r>
      <w:r w:rsidR="00796EEE">
        <w:t>’</w:t>
      </w:r>
      <w:r>
        <w:t>un autre côté, maintenant que le Fonds est dans une situation plus favorable sur le plan opérationnel, la Convention est plus à même de solliciter des contributions volontaires supplémentaires.</w:t>
      </w:r>
    </w:p>
    <w:p w14:paraId="27CB5FB1" w14:textId="74F93639" w:rsidR="00576E1D" w:rsidRPr="00785AA3" w:rsidRDefault="003E4E50" w:rsidP="000D16BE">
      <w:pPr>
        <w:pStyle w:val="Titre4"/>
        <w:numPr>
          <w:ilvl w:val="0"/>
          <w:numId w:val="17"/>
        </w:numPr>
        <w:spacing w:before="240" w:after="120"/>
        <w:ind w:left="567" w:hanging="567"/>
        <w:jc w:val="both"/>
      </w:pPr>
      <w:bookmarkStart w:id="2" w:name="III_Plan"/>
      <w:bookmarkEnd w:id="2"/>
      <w:r>
        <w:lastRenderedPageBreak/>
        <w:t xml:space="preserve">LIGNES BUDGÉTAIRES ET ALLOCATIONS POUR </w:t>
      </w:r>
      <w:r w:rsidR="00900DC6">
        <w:t>LE BIENNIUM</w:t>
      </w:r>
      <w:r>
        <w:t xml:space="preserve"> 40 C/5 (2020-2021)</w:t>
      </w:r>
    </w:p>
    <w:p w14:paraId="4022BE80" w14:textId="03F11C9D" w:rsidR="006F12CD" w:rsidRPr="001A34BE" w:rsidRDefault="003E4E50" w:rsidP="00C21695">
      <w:pPr>
        <w:pStyle w:val="COMPara"/>
        <w:keepLines/>
        <w:numPr>
          <w:ilvl w:val="0"/>
          <w:numId w:val="5"/>
        </w:numPr>
        <w:tabs>
          <w:tab w:val="left" w:pos="567"/>
        </w:tabs>
        <w:ind w:left="567" w:hanging="567"/>
        <w:jc w:val="both"/>
      </w:pPr>
      <w:r>
        <w:t>La proposition d</w:t>
      </w:r>
      <w:r w:rsidR="00796EEE">
        <w:t>’</w:t>
      </w:r>
      <w:r>
        <w:t>allocation des fonds pour l</w:t>
      </w:r>
      <w:r w:rsidR="00796EEE">
        <w:t>’</w:t>
      </w:r>
      <w:r>
        <w:t xml:space="preserve">exercice biennal 40 C/5 (2020-2021) suit une structure basée sur des lignes budgétaires, déjà utilisée pour les exercices précédents équivalents. Ces lignes budgétaires peuvent être réparties en </w:t>
      </w:r>
      <w:r w:rsidR="00BD4545">
        <w:t xml:space="preserve">trois </w:t>
      </w:r>
      <w:r>
        <w:t>catégories de dépenses concernant : a) l</w:t>
      </w:r>
      <w:r w:rsidR="00796EEE">
        <w:t>’</w:t>
      </w:r>
      <w:r>
        <w:t>assistance internationale ; b) les « autres fonctions du Comité » telles que décrites à l</w:t>
      </w:r>
      <w:r w:rsidR="00796EEE">
        <w:t>’</w:t>
      </w:r>
      <w:r>
        <w:t>article 7 de la Convention ;</w:t>
      </w:r>
      <w:r w:rsidR="00BD4545">
        <w:t xml:space="preserve"> et</w:t>
      </w:r>
      <w:r>
        <w:t xml:space="preserve"> c) la participation aux réunions des organes directeurs et l</w:t>
      </w:r>
      <w:r w:rsidR="00796EEE">
        <w:t>’</w:t>
      </w:r>
      <w:r>
        <w:t>assistance au Comité. Le pourcentage alloué à chaque ligne budgétaire proposé ici est à peu près le même que pour l</w:t>
      </w:r>
      <w:r w:rsidR="00796EEE">
        <w:t>’</w:t>
      </w:r>
      <w:r>
        <w:t>exercice biennal précédent ; les variations ne sont que mineures</w:t>
      </w:r>
      <w:r w:rsidR="00BD4545">
        <w:t xml:space="preserve"> et prennent en compte la diminution de 9 % des fonds disponibles à la fin du </w:t>
      </w:r>
      <w:r w:rsidR="00980EFA">
        <w:t>biennium 2018-2019 (7,84 millions de dollars des États-Unis) en comparaison de la fin du biennium 2016-2017 (8,59 millions de dollars des États-Unis).</w:t>
      </w:r>
    </w:p>
    <w:p w14:paraId="0FF30CFE" w14:textId="77777777" w:rsidR="00233695" w:rsidRPr="007D6EA3" w:rsidRDefault="00233695" w:rsidP="001740D7">
      <w:pPr>
        <w:pStyle w:val="GAPara"/>
        <w:keepNext/>
        <w:numPr>
          <w:ilvl w:val="0"/>
          <w:numId w:val="0"/>
        </w:numPr>
        <w:spacing w:before="240"/>
        <w:jc w:val="both"/>
      </w:pPr>
      <w:r>
        <w:rPr>
          <w:b/>
          <w:bCs/>
        </w:rPr>
        <w:t>Assistance internationale</w:t>
      </w:r>
    </w:p>
    <w:p w14:paraId="7A46339A" w14:textId="12B26A6B" w:rsidR="00576E1D" w:rsidRPr="001A34BE" w:rsidRDefault="008E7D2C" w:rsidP="00C21695">
      <w:pPr>
        <w:pStyle w:val="COMPara"/>
        <w:numPr>
          <w:ilvl w:val="0"/>
          <w:numId w:val="5"/>
        </w:numPr>
        <w:tabs>
          <w:tab w:val="left" w:pos="567"/>
        </w:tabs>
        <w:ind w:left="567" w:hanging="567"/>
        <w:jc w:val="both"/>
      </w:pPr>
      <w:r>
        <w:t>Il est proposé que la majorité des ressources soit affectée à l</w:t>
      </w:r>
      <w:r w:rsidR="00796EEE">
        <w:t>’</w:t>
      </w:r>
      <w:r>
        <w:t>octroi de l</w:t>
      </w:r>
      <w:r w:rsidR="00796EEE">
        <w:t>’</w:t>
      </w:r>
      <w:r>
        <w:t>assistance internationale aux États parties, en vue de soutenir les efforts nationaux déployés en matière de sauvegarde du patrimoine culturel immatériel (</w:t>
      </w:r>
      <w:r>
        <w:rPr>
          <w:b/>
        </w:rPr>
        <w:t>lignes budgétaires 1, 1.1 et 2</w:t>
      </w:r>
      <w:r>
        <w:t>). Le pourcentage cumulé de ces trois lignes (64,75 %) est le même que pour l</w:t>
      </w:r>
      <w:r w:rsidR="00796EEE">
        <w:t>’</w:t>
      </w:r>
      <w:r>
        <w:t>exercice biennal précédent.</w:t>
      </w:r>
    </w:p>
    <w:p w14:paraId="72369826" w14:textId="71E29C71" w:rsidR="00576E1D" w:rsidRPr="00FC62B4" w:rsidRDefault="00980EFA" w:rsidP="00C21695">
      <w:pPr>
        <w:pStyle w:val="COMPara"/>
        <w:numPr>
          <w:ilvl w:val="0"/>
          <w:numId w:val="5"/>
        </w:numPr>
        <w:tabs>
          <w:tab w:val="left" w:pos="567"/>
        </w:tabs>
        <w:ind w:left="567" w:hanging="567"/>
        <w:jc w:val="both"/>
      </w:pPr>
      <w:r>
        <w:t>Dans le cadre de ce pourcentage combiné</w:t>
      </w:r>
      <w:r w:rsidR="00252447">
        <w:t xml:space="preserve">, 51,96 % </w:t>
      </w:r>
      <w:r>
        <w:t xml:space="preserve">du montant total à allouer globalement </w:t>
      </w:r>
      <w:r w:rsidR="00F92447">
        <w:t>sont prévus</w:t>
      </w:r>
      <w:r>
        <w:t xml:space="preserve"> pour le</w:t>
      </w:r>
      <w:r w:rsidR="00252447">
        <w:t xml:space="preserve"> soutien fourni aux États pour les programmes et projets de sauvegarde (</w:t>
      </w:r>
      <w:r w:rsidR="00252447">
        <w:rPr>
          <w:b/>
        </w:rPr>
        <w:t>ligne budgétaire 1</w:t>
      </w:r>
      <w:r w:rsidR="00252447">
        <w:t>).</w:t>
      </w:r>
      <w:r>
        <w:t xml:space="preserve"> C</w:t>
      </w:r>
      <w:r w:rsidR="00252447">
        <w:t>ette allocation devrait permettre au Fonds de maintenir au même niveau le soutien apporté aux États par le biais de l</w:t>
      </w:r>
      <w:r w:rsidR="00796EEE">
        <w:t>’</w:t>
      </w:r>
      <w:r w:rsidR="00252447">
        <w:t>assistance internationale, si le nombre de demandes reçues reste stable pendant la période 2020-2021.</w:t>
      </w:r>
    </w:p>
    <w:p w14:paraId="3377D7BA" w14:textId="0F6CEC8E" w:rsidR="00576E1D" w:rsidRDefault="00576E1D" w:rsidP="00C21695">
      <w:pPr>
        <w:pStyle w:val="COMPara"/>
        <w:numPr>
          <w:ilvl w:val="0"/>
          <w:numId w:val="5"/>
        </w:numPr>
        <w:tabs>
          <w:tab w:val="left" w:pos="567"/>
        </w:tabs>
        <w:ind w:left="567" w:hanging="567"/>
        <w:jc w:val="both"/>
      </w:pPr>
      <w:r>
        <w:t>Lors de sa septième session en juin 2018, l</w:t>
      </w:r>
      <w:r w:rsidR="00796EEE">
        <w:t>’</w:t>
      </w:r>
      <w:r>
        <w:t>Assemblée générale a approuvé la création de trois postes à durée déterminée financés à l</w:t>
      </w:r>
      <w:r w:rsidR="00796EEE">
        <w:t>’</w:t>
      </w:r>
      <w:r>
        <w:t>aide de fonds extrabudgétaires (</w:t>
      </w:r>
      <w:hyperlink r:id="rId19" w:history="1">
        <w:r>
          <w:rPr>
            <w:rStyle w:val="Lienhypertexte"/>
          </w:rPr>
          <w:t>résolution 7.GA 8</w:t>
        </w:r>
      </w:hyperlink>
      <w:r>
        <w:t>), pour former une équipe dédiée à l</w:t>
      </w:r>
      <w:r w:rsidR="00796EEE">
        <w:t>’</w:t>
      </w:r>
      <w:r>
        <w:t>opérationnalisation de la mise en œuvre des mécanismes d</w:t>
      </w:r>
      <w:r w:rsidR="00796EEE">
        <w:t>’</w:t>
      </w:r>
      <w:r>
        <w:t>assistance internationale. Il est proposé que 10,79 % des ressources du Fonds soient affectées à la prise en charge des coûts de ces trois postes (</w:t>
      </w:r>
      <w:r>
        <w:rPr>
          <w:b/>
        </w:rPr>
        <w:t>ligne</w:t>
      </w:r>
      <w:r w:rsidR="00FF1949">
        <w:rPr>
          <w:b/>
        </w:rPr>
        <w:t> </w:t>
      </w:r>
      <w:r>
        <w:rPr>
          <w:b/>
        </w:rPr>
        <w:t>budgétaire 1.1</w:t>
      </w:r>
      <w:r>
        <w:t>).</w:t>
      </w:r>
    </w:p>
    <w:p w14:paraId="179BC008" w14:textId="3008322D" w:rsidR="00576E1D" w:rsidRPr="00132F09" w:rsidRDefault="00576E1D" w:rsidP="00C21695">
      <w:pPr>
        <w:pStyle w:val="COMPara"/>
        <w:numPr>
          <w:ilvl w:val="0"/>
          <w:numId w:val="5"/>
        </w:numPr>
        <w:tabs>
          <w:tab w:val="left" w:pos="567"/>
        </w:tabs>
        <w:ind w:left="567" w:hanging="567"/>
        <w:jc w:val="both"/>
      </w:pPr>
      <w:r>
        <w:t>En outre, il est proposé que 2 % des fonds soient consacrés à l</w:t>
      </w:r>
      <w:r w:rsidR="00796EEE">
        <w:t>’</w:t>
      </w:r>
      <w:r>
        <w:t>octroi de l</w:t>
      </w:r>
      <w:r w:rsidR="00796EEE">
        <w:t>’</w:t>
      </w:r>
      <w:r>
        <w:t>assistance préparatoire (</w:t>
      </w:r>
      <w:r>
        <w:rPr>
          <w:b/>
        </w:rPr>
        <w:t>ligne budgétaire 2</w:t>
      </w:r>
      <w:r>
        <w:t>). En plus de l</w:t>
      </w:r>
      <w:r w:rsidR="00796EEE">
        <w:t>’</w:t>
      </w:r>
      <w:r>
        <w:t>assistance préparatoire pour l</w:t>
      </w:r>
      <w:r w:rsidR="00796EEE">
        <w:t>’</w:t>
      </w:r>
      <w:r>
        <w:t>élaboration de dossiers de candidature, le Comité a décidé d</w:t>
      </w:r>
      <w:r w:rsidR="00796EEE">
        <w:t>’</w:t>
      </w:r>
      <w:r>
        <w:t>utiliser cette ligne afin de fournir une assistance technique aux États parties pour la préparation de leurs demandes d</w:t>
      </w:r>
      <w:r w:rsidR="00796EEE">
        <w:t>’</w:t>
      </w:r>
      <w:r>
        <w:t>assistance internationale.</w:t>
      </w:r>
      <w:r w:rsidR="00900DC6">
        <w:rPr>
          <w:rStyle w:val="Appelnotedebasdep"/>
        </w:rPr>
        <w:footnoteReference w:id="3"/>
      </w:r>
      <w:r>
        <w:t xml:space="preserve"> Étant donné que l</w:t>
      </w:r>
      <w:r w:rsidR="00796EEE">
        <w:t>’</w:t>
      </w:r>
      <w:r>
        <w:t>assistance préparatoire est relativement peu utilisée (taux de dépenses de 15,</w:t>
      </w:r>
      <w:r w:rsidR="00900DC6">
        <w:t>5</w:t>
      </w:r>
      <w:r>
        <w:t> % pour 2018-2019) et que les États ont davantage sollicité l</w:t>
      </w:r>
      <w:r w:rsidR="00796EEE">
        <w:t>’</w:t>
      </w:r>
      <w:r>
        <w:t>assistance technique que l</w:t>
      </w:r>
      <w:r w:rsidR="00796EEE">
        <w:t>’</w:t>
      </w:r>
      <w:r>
        <w:t xml:space="preserve">assistance préparatoire dans sa forme traditionnelle, il est proposé que </w:t>
      </w:r>
      <w:r w:rsidR="00980EFA">
        <w:t>le budget alloué</w:t>
      </w:r>
      <w:r>
        <w:t xml:space="preserve"> à cette ligne continuent de servir à l</w:t>
      </w:r>
      <w:r w:rsidR="00796EEE">
        <w:t>’</w:t>
      </w:r>
      <w:r>
        <w:t>octroi de l</w:t>
      </w:r>
      <w:r w:rsidR="00796EEE">
        <w:t>’</w:t>
      </w:r>
      <w:r>
        <w:t>assistance technique.</w:t>
      </w:r>
    </w:p>
    <w:p w14:paraId="4D22B4FE" w14:textId="77777777" w:rsidR="00233695" w:rsidRPr="009C1BB3" w:rsidRDefault="00233695" w:rsidP="001740D7">
      <w:pPr>
        <w:pStyle w:val="GAPara"/>
        <w:keepNext/>
        <w:numPr>
          <w:ilvl w:val="0"/>
          <w:numId w:val="0"/>
        </w:numPr>
        <w:spacing w:before="240"/>
        <w:rPr>
          <w:b/>
          <w:bCs/>
        </w:rPr>
      </w:pPr>
      <w:r>
        <w:rPr>
          <w:b/>
          <w:bCs/>
        </w:rPr>
        <w:t>« Autres fonctions du Comité »</w:t>
      </w:r>
    </w:p>
    <w:p w14:paraId="4786560E" w14:textId="672B6EB8" w:rsidR="00AF11E4" w:rsidRDefault="001022B2" w:rsidP="00C21695">
      <w:pPr>
        <w:pStyle w:val="COMPara"/>
        <w:numPr>
          <w:ilvl w:val="0"/>
          <w:numId w:val="5"/>
        </w:numPr>
        <w:tabs>
          <w:tab w:val="left" w:pos="567"/>
        </w:tabs>
        <w:ind w:left="567" w:hanging="567"/>
        <w:jc w:val="both"/>
      </w:pPr>
      <w:r>
        <w:rPr>
          <w:b/>
          <w:bCs/>
        </w:rPr>
        <w:t>La ligne budgétaire 3</w:t>
      </w:r>
      <w:r>
        <w:t>, « Autres fonctions du Comité », sera maintenue à 20 % afin de renforcer les travaux lancés pendant l</w:t>
      </w:r>
      <w:r w:rsidR="00796EEE">
        <w:t>’</w:t>
      </w:r>
      <w:r>
        <w:t>exercice biennal actuel Les fonctions en question sont définies à l</w:t>
      </w:r>
      <w:r w:rsidR="00796EEE">
        <w:t>’</w:t>
      </w:r>
      <w:r>
        <w:t>article 7 de la Convention et le Secrétariat emploie ces fonds pour assister le Comité dans ses fonctions, conformément à l</w:t>
      </w:r>
      <w:r w:rsidR="00796EEE">
        <w:t>’</w:t>
      </w:r>
      <w:r>
        <w:t>article 10 de la Convention. Autrement dit, ces fonds serviront en premier lieu à promouvoir les objectifs de la Convention, encourager et assurer le suivi de sa mise en œuvre (article 7 [a]).</w:t>
      </w:r>
    </w:p>
    <w:p w14:paraId="07A03281" w14:textId="4579B633" w:rsidR="00D52471" w:rsidRDefault="00080F75" w:rsidP="002A0DB0">
      <w:pPr>
        <w:pStyle w:val="COMPara"/>
        <w:keepLines/>
        <w:numPr>
          <w:ilvl w:val="0"/>
          <w:numId w:val="5"/>
        </w:numPr>
        <w:tabs>
          <w:tab w:val="left" w:pos="567"/>
        </w:tabs>
        <w:ind w:left="567" w:hanging="567"/>
        <w:jc w:val="both"/>
      </w:pPr>
      <w:r>
        <w:lastRenderedPageBreak/>
        <w:t>Lor</w:t>
      </w:r>
      <w:r w:rsidR="00461153">
        <w:t>s de sa quatorzième session en </w:t>
      </w:r>
      <w:r>
        <w:t>2019, le Comité a présenté une nouvelle procédure d</w:t>
      </w:r>
      <w:r w:rsidR="00796EEE">
        <w:t>’</w:t>
      </w:r>
      <w:r>
        <w:t>approbation du plan de dépenses des fonds alloués au titre de la ligne budgétaire 3 (</w:t>
      </w:r>
      <w:hyperlink r:id="rId20" w:history="1">
        <w:r>
          <w:rPr>
            <w:rStyle w:val="Lienhypertexte"/>
            <w:bCs/>
          </w:rPr>
          <w:t>décision 14.COM 7</w:t>
        </w:r>
      </w:hyperlink>
      <w:r w:rsidR="005316FC" w:rsidRPr="002A0DB0">
        <w:rPr>
          <w:rStyle w:val="Lienhypertexte"/>
          <w:bCs/>
          <w:color w:val="auto"/>
          <w:u w:val="none"/>
        </w:rPr>
        <w:t>).</w:t>
      </w:r>
      <w:r>
        <w:t>Jusqu</w:t>
      </w:r>
      <w:r w:rsidR="00796EEE">
        <w:t>’</w:t>
      </w:r>
      <w:r>
        <w:t>à l</w:t>
      </w:r>
      <w:r w:rsidR="00796EEE">
        <w:t>’</w:t>
      </w:r>
      <w:r>
        <w:t>exercice biennal 2018-2019, le Comité déléguait à son Bureau le pouvoir de décider de l</w:t>
      </w:r>
      <w:r w:rsidR="00796EEE">
        <w:t>’</w:t>
      </w:r>
      <w:r>
        <w:t xml:space="preserve">utilisation des fonds alloués au titre de la ligne budgétaire 3, sur la base des propositions spécifiques préparées par le Secrétariat (la </w:t>
      </w:r>
      <w:hyperlink r:id="rId21" w:history="1">
        <w:r>
          <w:rPr>
            <w:rStyle w:val="Lienhypertexte"/>
            <w:bCs/>
          </w:rPr>
          <w:t>décision 12.COM 7</w:t>
        </w:r>
      </w:hyperlink>
      <w:r>
        <w:t xml:space="preserve"> en est l</w:t>
      </w:r>
      <w:r w:rsidR="00796EEE">
        <w:t>’</w:t>
      </w:r>
      <w:r>
        <w:t>exemple le plus récent). À partir de l</w:t>
      </w:r>
      <w:r w:rsidR="00796EEE">
        <w:t>’</w:t>
      </w:r>
      <w:r>
        <w:t>exercice biennal 2020-2021, le Comité a demandé que le Secrétariat présente pour examen à la seizième session du Comité et à chaque session suivante lors des années impaires, une ventilation en pourcentage de la ligne budgétaire 3 du Plan, « Autres fonctions du Comité », en termes de résultats escomptés conformément au C/5 approuvé, en vue de sa présentation pour approbation par la session suivante de l</w:t>
      </w:r>
      <w:r w:rsidR="00796EEE">
        <w:t>’</w:t>
      </w:r>
      <w:r>
        <w:t>Assemblée générale (</w:t>
      </w:r>
      <w:hyperlink r:id="rId22" w:history="1">
        <w:r>
          <w:rPr>
            <w:rStyle w:val="Lienhypertexte"/>
            <w:bCs/>
          </w:rPr>
          <w:t>décision 14.COM 7</w:t>
        </w:r>
      </w:hyperlink>
      <w:r>
        <w:t>). Dans la même décision le Comité a demandé, à titre transitoire, une ventilation en pourcentage de la ligne budgétaire 3 du Plan, « Autres fonctions du Comité », en termes de résultats escomptés conformément au C/5 approuvé, pour examen par l</w:t>
      </w:r>
      <w:r w:rsidR="00796EEE">
        <w:t>’</w:t>
      </w:r>
      <w:r>
        <w:t xml:space="preserve">Assemblée générale lors de sa </w:t>
      </w:r>
      <w:r w:rsidR="00A81F92">
        <w:t xml:space="preserve">présente </w:t>
      </w:r>
      <w:r>
        <w:t>session actuelle.</w:t>
      </w:r>
    </w:p>
    <w:p w14:paraId="27BE230E" w14:textId="0D903F7F" w:rsidR="00D46EC3" w:rsidRDefault="0010309F" w:rsidP="00D46EC3">
      <w:pPr>
        <w:pStyle w:val="COMPara"/>
        <w:numPr>
          <w:ilvl w:val="0"/>
          <w:numId w:val="5"/>
        </w:numPr>
        <w:tabs>
          <w:tab w:val="left" w:pos="567"/>
        </w:tabs>
        <w:ind w:left="567" w:hanging="567"/>
        <w:jc w:val="both"/>
      </w:pPr>
      <w:r>
        <w:rPr>
          <w:b/>
          <w:bCs/>
        </w:rPr>
        <w:t>Justifications stratégiques</w:t>
      </w:r>
      <w:r w:rsidR="00D271EB">
        <w:rPr>
          <w:b/>
          <w:bCs/>
        </w:rPr>
        <w:t>.</w:t>
      </w:r>
      <w:r>
        <w:t xml:space="preserve"> </w:t>
      </w:r>
      <w:r>
        <w:rPr>
          <w:rStyle w:val="hps"/>
        </w:rPr>
        <w:t>Le plan proposé pour cette ligne budgétaire s</w:t>
      </w:r>
      <w:r w:rsidR="00796EEE">
        <w:rPr>
          <w:rStyle w:val="hps"/>
        </w:rPr>
        <w:t>’</w:t>
      </w:r>
      <w:r>
        <w:rPr>
          <w:rStyle w:val="hps"/>
        </w:rPr>
        <w:t>appuie sur les enseignements tirés des activités mises en œuvre au cours de l</w:t>
      </w:r>
      <w:r w:rsidR="00796EEE">
        <w:rPr>
          <w:rStyle w:val="hps"/>
        </w:rPr>
        <w:t>’</w:t>
      </w:r>
      <w:r>
        <w:rPr>
          <w:rStyle w:val="hps"/>
        </w:rPr>
        <w:t>exercice précédent. Pour garantir la cohérence avec le 40 C/5 approuvé et l</w:t>
      </w:r>
      <w:r w:rsidR="00796EEE">
        <w:rPr>
          <w:rStyle w:val="hps"/>
        </w:rPr>
        <w:t>’</w:t>
      </w:r>
      <w:r>
        <w:rPr>
          <w:rStyle w:val="hps"/>
        </w:rPr>
        <w:t>intégration avec les rapports associés soumis aux organes directeurs de la Convention et de l</w:t>
      </w:r>
      <w:r w:rsidR="00796EEE">
        <w:rPr>
          <w:rStyle w:val="hps"/>
        </w:rPr>
        <w:t>’</w:t>
      </w:r>
      <w:r>
        <w:rPr>
          <w:rStyle w:val="hps"/>
        </w:rPr>
        <w:t xml:space="preserve">UNESCO, les résultats escomptés (ER) proposés sont alignés sur les </w:t>
      </w:r>
      <w:hyperlink r:id="rId23" w:history="1">
        <w:r>
          <w:rPr>
            <w:rStyle w:val="Lienhypertexte"/>
          </w:rPr>
          <w:t>indicateurs de performance</w:t>
        </w:r>
      </w:hyperlink>
      <w:r>
        <w:rPr>
          <w:rStyle w:val="hps"/>
        </w:rPr>
        <w:t xml:space="preserve"> définis dans le 40 C/5 pour le Grand programme IV Culture, Axe d</w:t>
      </w:r>
      <w:r w:rsidR="00796EEE">
        <w:rPr>
          <w:rStyle w:val="hps"/>
        </w:rPr>
        <w:t>’</w:t>
      </w:r>
      <w:r>
        <w:rPr>
          <w:rStyle w:val="hps"/>
        </w:rPr>
        <w:t>action 2, ER 6 « Identification et sauvegarde du patrimoine culturel immatériel par les États membres et les communautés, notamment par la mise en œuvre effective de la Convention de 2003 ». Par ailleurs, étant donné que la proposition présentée en annexe couvre l</w:t>
      </w:r>
      <w:r w:rsidR="00796EEE">
        <w:rPr>
          <w:rStyle w:val="hps"/>
        </w:rPr>
        <w:t>’</w:t>
      </w:r>
      <w:r>
        <w:rPr>
          <w:rStyle w:val="hps"/>
        </w:rPr>
        <w:t>intégralité de l</w:t>
      </w:r>
      <w:r w:rsidR="00796EEE">
        <w:rPr>
          <w:rStyle w:val="hps"/>
        </w:rPr>
        <w:t>’</w:t>
      </w:r>
      <w:r>
        <w:rPr>
          <w:rStyle w:val="hps"/>
        </w:rPr>
        <w:t>exercice biennal 2020-2021 et remplace le plan de dépenses provisoire précédemment approuvé par le Bureau du Comité pour les six premiers mois de 2020 (</w:t>
      </w:r>
      <w:hyperlink r:id="rId24" w:history="1">
        <w:r>
          <w:rPr>
            <w:rStyle w:val="Lienhypertexte"/>
          </w:rPr>
          <w:t>décision 14.COM 2.BUR 3</w:t>
        </w:r>
      </w:hyperlink>
      <w:r>
        <w:t>)</w:t>
      </w:r>
      <w:r>
        <w:rPr>
          <w:rStyle w:val="hps"/>
        </w:rPr>
        <w:t>, les ER tiennent également compte des travaux accomplis pendant le premier semestre 2020.</w:t>
      </w:r>
    </w:p>
    <w:p w14:paraId="44539FA9" w14:textId="694F91CD" w:rsidR="00D52471" w:rsidRPr="00252447" w:rsidRDefault="005820DD" w:rsidP="00C21695">
      <w:pPr>
        <w:pStyle w:val="COMPara"/>
        <w:numPr>
          <w:ilvl w:val="0"/>
          <w:numId w:val="5"/>
        </w:numPr>
        <w:tabs>
          <w:tab w:val="left" w:pos="567"/>
        </w:tabs>
        <w:ind w:left="567" w:hanging="567"/>
        <w:jc w:val="both"/>
      </w:pPr>
      <w:r>
        <w:t>Les fonds alloués à cette ligne budgétaire continueront d</w:t>
      </w:r>
      <w:r w:rsidR="00796EEE">
        <w:t>’</w:t>
      </w:r>
      <w:r>
        <w:t>assurer un soutien essentiel pour un certain nombre d</w:t>
      </w:r>
      <w:r w:rsidR="00796EEE">
        <w:t>’</w:t>
      </w:r>
      <w:r>
        <w:t>actions transversales et en amont, ayant un effet global à long terme sur la mise en œuvre de la Convention. Plus précisément, ils seront mis au service d</w:t>
      </w:r>
      <w:r w:rsidR="00796EEE">
        <w:t>’</w:t>
      </w:r>
      <w:r>
        <w:t>orientations transversales visant à :</w:t>
      </w:r>
    </w:p>
    <w:p w14:paraId="5720EC7C" w14:textId="0F568CD9" w:rsidR="00D52471" w:rsidRPr="0072422D" w:rsidRDefault="00D52471" w:rsidP="00D52471">
      <w:pPr>
        <w:pStyle w:val="GAPara"/>
        <w:numPr>
          <w:ilvl w:val="0"/>
          <w:numId w:val="16"/>
        </w:numPr>
        <w:ind w:left="1134" w:hanging="567"/>
        <w:jc w:val="both"/>
      </w:pPr>
      <w:r>
        <w:t xml:space="preserve">Mettre en lumière </w:t>
      </w:r>
      <w:r w:rsidR="00D271EB">
        <w:t>la contribution</w:t>
      </w:r>
      <w:r>
        <w:t xml:space="preserve"> que peut </w:t>
      </w:r>
      <w:r w:rsidR="00D271EB">
        <w:t xml:space="preserve">apporter </w:t>
      </w:r>
      <w:r>
        <w:t xml:space="preserve">la sauvegarde du patrimoine vivant pour </w:t>
      </w:r>
      <w:r w:rsidR="00D271EB">
        <w:t xml:space="preserve">maintenir </w:t>
      </w:r>
      <w:r>
        <w:t>la diversité culturelle mondiale et répondre à un grand nombre d</w:t>
      </w:r>
      <w:r w:rsidR="00796EEE">
        <w:t>’</w:t>
      </w:r>
      <w:r>
        <w:t>enjeux du développement durable définis dans le Programme 2030 : cela inclut les efforts déployés en vue de mieux intégrer le patrimoine vivant dans les programmes plus larges de l</w:t>
      </w:r>
      <w:r w:rsidR="00796EEE">
        <w:t>’</w:t>
      </w:r>
      <w:r>
        <w:t>UNESCO et de renforcer sa contribution à la réalisation des ODD, en particulier ceux qui concernent l</w:t>
      </w:r>
      <w:r w:rsidR="00796EEE">
        <w:t>’</w:t>
      </w:r>
      <w:r>
        <w:t>éducation, le genre, le changement climatique, les peuples autochtones et les jeunes ;</w:t>
      </w:r>
    </w:p>
    <w:p w14:paraId="251D45F0" w14:textId="77777777" w:rsidR="007C2112" w:rsidRDefault="007C2112" w:rsidP="007C2112">
      <w:pPr>
        <w:pStyle w:val="GAPara"/>
        <w:numPr>
          <w:ilvl w:val="0"/>
          <w:numId w:val="16"/>
        </w:numPr>
        <w:ind w:left="1134" w:hanging="567"/>
        <w:jc w:val="both"/>
      </w:pPr>
      <w:r>
        <w:t>Rechercher des moyens de mobiliser les ressources financières de la Convention pour répondre aux demandes croissantes de ses organes directeurs et de la communauté internationale ;</w:t>
      </w:r>
    </w:p>
    <w:p w14:paraId="6F10C973" w14:textId="580B6A3C" w:rsidR="00D52471" w:rsidRDefault="00314146" w:rsidP="00D52471">
      <w:pPr>
        <w:pStyle w:val="GAPara"/>
        <w:numPr>
          <w:ilvl w:val="0"/>
          <w:numId w:val="16"/>
        </w:numPr>
        <w:ind w:left="1134" w:hanging="567"/>
        <w:jc w:val="both"/>
      </w:pPr>
      <w:r>
        <w:t>Améliorer la visibilité de la Convention et l</w:t>
      </w:r>
      <w:r w:rsidR="00796EEE">
        <w:t>’</w:t>
      </w:r>
      <w:r>
        <w:t>accessibilité des informations grâce à l</w:t>
      </w:r>
      <w:r w:rsidR="00796EEE">
        <w:t>’</w:t>
      </w:r>
      <w:r>
        <w:t>optimisation du site Internet mais aussi à des initiatives d</w:t>
      </w:r>
      <w:r w:rsidR="00796EEE">
        <w:t>’</w:t>
      </w:r>
      <w:r>
        <w:t>information et de communication ;</w:t>
      </w:r>
    </w:p>
    <w:p w14:paraId="720D22A2" w14:textId="59EB6001" w:rsidR="007C2112" w:rsidRPr="0072422D" w:rsidRDefault="007C2112" w:rsidP="007C2112">
      <w:pPr>
        <w:pStyle w:val="GAPara"/>
        <w:numPr>
          <w:ilvl w:val="0"/>
          <w:numId w:val="16"/>
        </w:numPr>
        <w:ind w:left="1134" w:hanging="567"/>
        <w:jc w:val="both"/>
      </w:pPr>
      <w:r>
        <w:t>Accompagner la réflexion sur les enjeux fondamentaux identifiés par le Comité comme étant cruciaux pour la progression de la Convention, notamment en ce qui concerne l</w:t>
      </w:r>
      <w:r w:rsidR="00796EEE">
        <w:t>’</w:t>
      </w:r>
      <w:r>
        <w:t>avenir des mécanismes d</w:t>
      </w:r>
      <w:r w:rsidR="00796EEE">
        <w:t>’</w:t>
      </w:r>
      <w:r>
        <w:t xml:space="preserve">inscription sur les listes, les implications économiques des activités liées au patrimoine vivant et la participation accrue de la société civile et des ONG ; </w:t>
      </w:r>
    </w:p>
    <w:p w14:paraId="7CF68361" w14:textId="77777777" w:rsidR="007C2112" w:rsidRPr="00CA334F" w:rsidRDefault="007C2112" w:rsidP="007C2112">
      <w:pPr>
        <w:pStyle w:val="GAPara"/>
        <w:numPr>
          <w:ilvl w:val="0"/>
          <w:numId w:val="16"/>
        </w:numPr>
        <w:ind w:left="1134" w:hanging="567"/>
        <w:jc w:val="both"/>
      </w:pPr>
      <w:r>
        <w:t>Poursuivre la transition entamée du programme global de renforcement des capacités, afin de soutenir les États et les communautés dans leur mise en œuvre de la Convention au niveau national grâce à des partenariats institutionnels plus diversifiés, mais aussi grâce à des formations aux contenus et aux formats plus variés.</w:t>
      </w:r>
    </w:p>
    <w:p w14:paraId="181B1B0C" w14:textId="58B4077E" w:rsidR="00CE26EE" w:rsidRPr="00CA334F" w:rsidRDefault="00582D3E" w:rsidP="00C21695">
      <w:pPr>
        <w:pStyle w:val="COMPara"/>
        <w:numPr>
          <w:ilvl w:val="0"/>
          <w:numId w:val="5"/>
        </w:numPr>
        <w:tabs>
          <w:tab w:val="left" w:pos="567"/>
        </w:tabs>
        <w:ind w:left="567" w:hanging="567"/>
        <w:jc w:val="both"/>
      </w:pPr>
      <w:r>
        <w:rPr>
          <w:rStyle w:val="hps"/>
          <w:b/>
        </w:rPr>
        <w:lastRenderedPageBreak/>
        <w:t>Ventilation par résultat escompté</w:t>
      </w:r>
      <w:r w:rsidR="00D271EB">
        <w:rPr>
          <w:rStyle w:val="hps"/>
          <w:b/>
        </w:rPr>
        <w:t>.</w:t>
      </w:r>
      <w:r>
        <w:rPr>
          <w:rStyle w:val="hps"/>
        </w:rPr>
        <w:t xml:space="preserve"> Les quatre résultats escomptés (ER) restent les mêmes que pour l</w:t>
      </w:r>
      <w:r w:rsidR="00796EEE">
        <w:rPr>
          <w:rStyle w:val="hps"/>
        </w:rPr>
        <w:t>’</w:t>
      </w:r>
      <w:r>
        <w:rPr>
          <w:rStyle w:val="hps"/>
        </w:rPr>
        <w:t>exercice biennal précédent, conformément au 40 C/5. Le budget proposé pour l</w:t>
      </w:r>
      <w:r w:rsidR="00796EEE">
        <w:rPr>
          <w:rStyle w:val="hps"/>
        </w:rPr>
        <w:t>’</w:t>
      </w:r>
      <w:r>
        <w:rPr>
          <w:rStyle w:val="hps"/>
        </w:rPr>
        <w:t>exercice biennal actuel vise à équilibrer l</w:t>
      </w:r>
      <w:r w:rsidR="00796EEE">
        <w:rPr>
          <w:rStyle w:val="hps"/>
        </w:rPr>
        <w:t>’</w:t>
      </w:r>
      <w:r>
        <w:rPr>
          <w:rStyle w:val="hps"/>
        </w:rPr>
        <w:t>allocation des fonds entre ces ER :</w:t>
      </w:r>
    </w:p>
    <w:tbl>
      <w:tblPr>
        <w:tblW w:w="7938" w:type="dxa"/>
        <w:tblInd w:w="1276" w:type="dxa"/>
        <w:tblLook w:val="04A0" w:firstRow="1" w:lastRow="0" w:firstColumn="1" w:lastColumn="0" w:noHBand="0" w:noVBand="1"/>
      </w:tblPr>
      <w:tblGrid>
        <w:gridCol w:w="4249"/>
        <w:gridCol w:w="1229"/>
        <w:gridCol w:w="1230"/>
        <w:gridCol w:w="1230"/>
      </w:tblGrid>
      <w:tr w:rsidR="009D1A8D" w:rsidRPr="00601B38" w14:paraId="01F7FFBA" w14:textId="77777777" w:rsidTr="00E07554">
        <w:tc>
          <w:tcPr>
            <w:tcW w:w="4249" w:type="dxa"/>
            <w:shd w:val="clear" w:color="auto" w:fill="BFBFBF"/>
          </w:tcPr>
          <w:p w14:paraId="62E96A1B" w14:textId="77777777" w:rsidR="009D1A8D" w:rsidRPr="009D1A8D" w:rsidRDefault="009D1A8D" w:rsidP="00FB0B14">
            <w:pPr>
              <w:keepNext/>
              <w:spacing w:before="60" w:after="60"/>
              <w:rPr>
                <w:rFonts w:ascii="Arial" w:hAnsi="Arial" w:cs="Arial"/>
                <w:b/>
                <w:sz w:val="20"/>
                <w:szCs w:val="20"/>
              </w:rPr>
            </w:pPr>
            <w:r>
              <w:rPr>
                <w:rFonts w:ascii="Arial" w:hAnsi="Arial"/>
                <w:b/>
                <w:sz w:val="20"/>
                <w:szCs w:val="20"/>
              </w:rPr>
              <w:t>Résultat escompté</w:t>
            </w:r>
          </w:p>
        </w:tc>
        <w:tc>
          <w:tcPr>
            <w:tcW w:w="1229" w:type="dxa"/>
            <w:shd w:val="clear" w:color="auto" w:fill="BFBFBF"/>
          </w:tcPr>
          <w:p w14:paraId="2F988A57" w14:textId="572394A1" w:rsidR="009D1A8D" w:rsidRPr="009D1A8D" w:rsidRDefault="009D1A8D" w:rsidP="0066154F">
            <w:pPr>
              <w:keepNext/>
              <w:spacing w:before="60" w:after="60"/>
              <w:jc w:val="center"/>
              <w:rPr>
                <w:rFonts w:ascii="Arial" w:hAnsi="Arial" w:cs="Arial"/>
                <w:b/>
                <w:sz w:val="20"/>
                <w:szCs w:val="20"/>
              </w:rPr>
            </w:pPr>
            <w:r>
              <w:rPr>
                <w:rFonts w:ascii="Arial" w:hAnsi="Arial"/>
                <w:b/>
                <w:sz w:val="20"/>
                <w:szCs w:val="20"/>
              </w:rPr>
              <w:t>2018</w:t>
            </w:r>
            <w:r w:rsidR="0066154F">
              <w:rPr>
                <w:rFonts w:ascii="Arial" w:hAnsi="Arial"/>
                <w:b/>
                <w:sz w:val="20"/>
                <w:szCs w:val="20"/>
              </w:rPr>
              <w:t>–</w:t>
            </w:r>
            <w:r>
              <w:rPr>
                <w:rFonts w:ascii="Arial" w:hAnsi="Arial"/>
                <w:b/>
                <w:sz w:val="20"/>
                <w:szCs w:val="20"/>
              </w:rPr>
              <w:t>2019</w:t>
            </w:r>
            <w:r w:rsidR="00980EFA">
              <w:rPr>
                <w:rStyle w:val="Appelnotedebasdep"/>
                <w:rFonts w:ascii="Arial" w:hAnsi="Arial"/>
                <w:b/>
                <w:sz w:val="20"/>
                <w:szCs w:val="20"/>
              </w:rPr>
              <w:footnoteReference w:id="4"/>
            </w:r>
          </w:p>
        </w:tc>
        <w:tc>
          <w:tcPr>
            <w:tcW w:w="1230" w:type="dxa"/>
            <w:shd w:val="clear" w:color="auto" w:fill="BFBFBF"/>
          </w:tcPr>
          <w:p w14:paraId="0A00011A" w14:textId="611532D9" w:rsidR="009D1A8D" w:rsidRPr="009D1A8D" w:rsidRDefault="009D1A8D" w:rsidP="00FB0B14">
            <w:pPr>
              <w:keepNext/>
              <w:spacing w:before="60" w:after="60"/>
              <w:jc w:val="center"/>
              <w:rPr>
                <w:rFonts w:ascii="Arial" w:hAnsi="Arial" w:cs="Arial"/>
                <w:b/>
                <w:sz w:val="20"/>
                <w:szCs w:val="20"/>
              </w:rPr>
            </w:pPr>
            <w:r>
              <w:rPr>
                <w:rFonts w:ascii="Arial" w:hAnsi="Arial"/>
                <w:b/>
                <w:sz w:val="20"/>
                <w:szCs w:val="20"/>
              </w:rPr>
              <w:t>1</w:t>
            </w:r>
            <w:r>
              <w:rPr>
                <w:rFonts w:ascii="Arial" w:hAnsi="Arial"/>
                <w:b/>
                <w:sz w:val="20"/>
                <w:szCs w:val="20"/>
                <w:vertAlign w:val="superscript"/>
              </w:rPr>
              <w:t>er</w:t>
            </w:r>
            <w:r>
              <w:rPr>
                <w:rFonts w:ascii="Arial" w:hAnsi="Arial"/>
                <w:b/>
                <w:sz w:val="20"/>
                <w:szCs w:val="20"/>
              </w:rPr>
              <w:t xml:space="preserve"> janvier - 30 juin 2020</w:t>
            </w:r>
            <w:r w:rsidR="00980EFA">
              <w:rPr>
                <w:rStyle w:val="Appelnotedebasdep"/>
                <w:rFonts w:ascii="Arial" w:hAnsi="Arial"/>
                <w:b/>
                <w:sz w:val="20"/>
                <w:szCs w:val="20"/>
              </w:rPr>
              <w:footnoteReference w:id="5"/>
            </w:r>
          </w:p>
        </w:tc>
        <w:tc>
          <w:tcPr>
            <w:tcW w:w="1230" w:type="dxa"/>
            <w:shd w:val="clear" w:color="auto" w:fill="BFBFBF"/>
          </w:tcPr>
          <w:p w14:paraId="3D36FF96" w14:textId="239C8420" w:rsidR="009D1A8D" w:rsidRPr="009D1A8D" w:rsidRDefault="009D1A8D" w:rsidP="0066154F">
            <w:pPr>
              <w:keepNext/>
              <w:spacing w:before="60" w:after="60"/>
              <w:jc w:val="center"/>
              <w:rPr>
                <w:rFonts w:ascii="Arial" w:hAnsi="Arial" w:cs="Arial"/>
                <w:b/>
                <w:sz w:val="20"/>
                <w:szCs w:val="20"/>
              </w:rPr>
            </w:pPr>
            <w:r>
              <w:rPr>
                <w:rFonts w:ascii="Arial" w:hAnsi="Arial"/>
                <w:b/>
                <w:sz w:val="20"/>
                <w:szCs w:val="20"/>
              </w:rPr>
              <w:t>2020</w:t>
            </w:r>
            <w:r w:rsidR="0066154F">
              <w:rPr>
                <w:rFonts w:ascii="Arial" w:hAnsi="Arial"/>
                <w:b/>
                <w:sz w:val="20"/>
                <w:szCs w:val="20"/>
              </w:rPr>
              <w:sym w:font="Symbol" w:char="F02D"/>
            </w:r>
            <w:r>
              <w:rPr>
                <w:rFonts w:ascii="Arial" w:hAnsi="Arial"/>
                <w:b/>
                <w:sz w:val="20"/>
                <w:szCs w:val="20"/>
              </w:rPr>
              <w:t>2021</w:t>
            </w:r>
          </w:p>
        </w:tc>
      </w:tr>
      <w:tr w:rsidR="009D1A8D" w:rsidRPr="00601B38" w14:paraId="65829CA6" w14:textId="77777777" w:rsidTr="00E07554">
        <w:tc>
          <w:tcPr>
            <w:tcW w:w="4249" w:type="dxa"/>
            <w:shd w:val="clear" w:color="auto" w:fill="auto"/>
          </w:tcPr>
          <w:p w14:paraId="221A3B12" w14:textId="73AB4823" w:rsidR="009D1A8D" w:rsidRPr="009D1A8D" w:rsidRDefault="009D1A8D" w:rsidP="00FB0B14">
            <w:pPr>
              <w:keepNext/>
              <w:spacing w:before="60" w:after="60"/>
              <w:rPr>
                <w:rFonts w:ascii="Arial" w:hAnsi="Arial" w:cs="Arial"/>
                <w:sz w:val="20"/>
                <w:szCs w:val="20"/>
              </w:rPr>
            </w:pPr>
            <w:r>
              <w:rPr>
                <w:rFonts w:ascii="Arial" w:hAnsi="Arial"/>
                <w:sz w:val="20"/>
                <w:szCs w:val="20"/>
              </w:rPr>
              <w:t>ER 1 : Bonne gouvernance de la Convention de 2003 facilitée par l</w:t>
            </w:r>
            <w:r w:rsidR="00796EEE">
              <w:rPr>
                <w:rFonts w:ascii="Arial" w:hAnsi="Arial"/>
                <w:sz w:val="20"/>
                <w:szCs w:val="20"/>
              </w:rPr>
              <w:t>’</w:t>
            </w:r>
            <w:r>
              <w:rPr>
                <w:rFonts w:ascii="Arial" w:hAnsi="Arial"/>
                <w:sz w:val="20"/>
                <w:szCs w:val="20"/>
              </w:rPr>
              <w:t>amélioration du suivi et des services de gestion des connaissances</w:t>
            </w:r>
          </w:p>
        </w:tc>
        <w:tc>
          <w:tcPr>
            <w:tcW w:w="1229" w:type="dxa"/>
          </w:tcPr>
          <w:p w14:paraId="6358D35E" w14:textId="77777777" w:rsidR="009D1A8D" w:rsidRPr="009D1A8D" w:rsidRDefault="003C5FE9" w:rsidP="00FB0B14">
            <w:pPr>
              <w:keepNext/>
              <w:spacing w:before="60" w:after="60"/>
              <w:jc w:val="center"/>
              <w:rPr>
                <w:rFonts w:ascii="Arial" w:hAnsi="Arial" w:cs="Arial"/>
                <w:sz w:val="20"/>
                <w:szCs w:val="20"/>
              </w:rPr>
            </w:pPr>
            <w:r>
              <w:rPr>
                <w:rFonts w:ascii="Arial" w:hAnsi="Arial"/>
                <w:sz w:val="20"/>
                <w:szCs w:val="20"/>
              </w:rPr>
              <w:t>20 %</w:t>
            </w:r>
          </w:p>
        </w:tc>
        <w:tc>
          <w:tcPr>
            <w:tcW w:w="1230" w:type="dxa"/>
          </w:tcPr>
          <w:p w14:paraId="61B1A5F9" w14:textId="77777777" w:rsidR="009D1A8D" w:rsidRPr="009D1A8D" w:rsidRDefault="009D1A8D" w:rsidP="00FB0B14">
            <w:pPr>
              <w:keepNext/>
              <w:spacing w:before="60" w:after="60"/>
              <w:jc w:val="center"/>
              <w:rPr>
                <w:rFonts w:ascii="Arial" w:hAnsi="Arial" w:cs="Arial"/>
                <w:sz w:val="20"/>
                <w:szCs w:val="20"/>
              </w:rPr>
            </w:pPr>
            <w:r>
              <w:rPr>
                <w:rFonts w:ascii="Arial" w:hAnsi="Arial"/>
                <w:sz w:val="20"/>
                <w:szCs w:val="20"/>
              </w:rPr>
              <w:t>23 %</w:t>
            </w:r>
          </w:p>
        </w:tc>
        <w:tc>
          <w:tcPr>
            <w:tcW w:w="1230" w:type="dxa"/>
            <w:shd w:val="clear" w:color="auto" w:fill="auto"/>
          </w:tcPr>
          <w:p w14:paraId="77391FB7" w14:textId="77777777" w:rsidR="009D1A8D" w:rsidRPr="00B702ED" w:rsidRDefault="008C7D30" w:rsidP="00FB0B14">
            <w:pPr>
              <w:keepNext/>
              <w:spacing w:before="60" w:after="60"/>
              <w:jc w:val="center"/>
              <w:rPr>
                <w:rFonts w:ascii="Arial" w:hAnsi="Arial" w:cs="Arial"/>
                <w:sz w:val="20"/>
                <w:szCs w:val="20"/>
              </w:rPr>
            </w:pPr>
            <w:r>
              <w:rPr>
                <w:rFonts w:ascii="Arial" w:hAnsi="Arial"/>
                <w:sz w:val="20"/>
                <w:szCs w:val="20"/>
              </w:rPr>
              <w:t>27 %</w:t>
            </w:r>
          </w:p>
        </w:tc>
      </w:tr>
      <w:tr w:rsidR="009D1A8D" w:rsidRPr="00601B38" w14:paraId="59799326" w14:textId="77777777" w:rsidTr="00E07554">
        <w:tc>
          <w:tcPr>
            <w:tcW w:w="4249" w:type="dxa"/>
            <w:shd w:val="clear" w:color="auto" w:fill="auto"/>
          </w:tcPr>
          <w:p w14:paraId="5EC07F2B" w14:textId="06662A6A" w:rsidR="009D1A8D" w:rsidRPr="009D1A8D" w:rsidRDefault="009D1A8D" w:rsidP="00FB0B14">
            <w:pPr>
              <w:keepNext/>
              <w:spacing w:before="60" w:after="60"/>
              <w:rPr>
                <w:rFonts w:ascii="Arial" w:hAnsi="Arial" w:cs="Arial"/>
                <w:sz w:val="20"/>
                <w:szCs w:val="20"/>
              </w:rPr>
            </w:pPr>
            <w:r>
              <w:rPr>
                <w:rFonts w:ascii="Arial" w:hAnsi="Arial"/>
                <w:sz w:val="20"/>
                <w:szCs w:val="20"/>
              </w:rPr>
              <w:t xml:space="preserve">ER 2 : Mise en œuvre de la Convention dans les États membres encouragée par un programme de renforcement des capacités consolidé </w:t>
            </w:r>
          </w:p>
        </w:tc>
        <w:tc>
          <w:tcPr>
            <w:tcW w:w="1229" w:type="dxa"/>
          </w:tcPr>
          <w:p w14:paraId="19DB7FEC" w14:textId="77777777" w:rsidR="009D1A8D" w:rsidRPr="009D1A8D" w:rsidRDefault="003C5FE9" w:rsidP="00FB0B14">
            <w:pPr>
              <w:keepNext/>
              <w:spacing w:before="60" w:after="60"/>
              <w:jc w:val="center"/>
              <w:rPr>
                <w:rFonts w:ascii="Arial" w:hAnsi="Arial" w:cs="Arial"/>
                <w:sz w:val="20"/>
                <w:szCs w:val="20"/>
              </w:rPr>
            </w:pPr>
            <w:r>
              <w:rPr>
                <w:rFonts w:ascii="Arial" w:hAnsi="Arial"/>
                <w:sz w:val="20"/>
                <w:szCs w:val="20"/>
              </w:rPr>
              <w:t>36 %</w:t>
            </w:r>
          </w:p>
        </w:tc>
        <w:tc>
          <w:tcPr>
            <w:tcW w:w="1230" w:type="dxa"/>
          </w:tcPr>
          <w:p w14:paraId="14C73869" w14:textId="77777777" w:rsidR="009D1A8D" w:rsidRPr="009D1A8D" w:rsidRDefault="009D1A8D" w:rsidP="00FB0B14">
            <w:pPr>
              <w:keepNext/>
              <w:spacing w:before="60" w:after="60"/>
              <w:jc w:val="center"/>
              <w:rPr>
                <w:rFonts w:ascii="Arial" w:hAnsi="Arial" w:cs="Arial"/>
                <w:sz w:val="20"/>
                <w:szCs w:val="20"/>
              </w:rPr>
            </w:pPr>
            <w:r>
              <w:rPr>
                <w:rFonts w:ascii="Arial" w:hAnsi="Arial"/>
                <w:sz w:val="20"/>
                <w:szCs w:val="20"/>
              </w:rPr>
              <w:t>43 %</w:t>
            </w:r>
          </w:p>
        </w:tc>
        <w:tc>
          <w:tcPr>
            <w:tcW w:w="1230" w:type="dxa"/>
            <w:shd w:val="clear" w:color="auto" w:fill="auto"/>
          </w:tcPr>
          <w:p w14:paraId="39CBC60C" w14:textId="77777777" w:rsidR="009D1A8D" w:rsidRPr="00B702ED" w:rsidRDefault="008C7D30" w:rsidP="00FB0B14">
            <w:pPr>
              <w:keepNext/>
              <w:spacing w:before="60" w:after="60"/>
              <w:jc w:val="center"/>
              <w:rPr>
                <w:rFonts w:ascii="Arial" w:hAnsi="Arial" w:cs="Arial"/>
                <w:sz w:val="20"/>
                <w:szCs w:val="20"/>
              </w:rPr>
            </w:pPr>
            <w:r>
              <w:rPr>
                <w:rFonts w:ascii="Arial" w:hAnsi="Arial"/>
                <w:sz w:val="20"/>
                <w:szCs w:val="20"/>
              </w:rPr>
              <w:t>33 %</w:t>
            </w:r>
          </w:p>
        </w:tc>
      </w:tr>
      <w:tr w:rsidR="009D1A8D" w:rsidRPr="00601B38" w14:paraId="33D1F39B" w14:textId="77777777" w:rsidTr="00E07554">
        <w:tc>
          <w:tcPr>
            <w:tcW w:w="4249" w:type="dxa"/>
            <w:shd w:val="clear" w:color="auto" w:fill="auto"/>
          </w:tcPr>
          <w:p w14:paraId="280EFC03" w14:textId="77777777" w:rsidR="009D1A8D" w:rsidRPr="009D1A8D" w:rsidRDefault="009D1A8D" w:rsidP="00FB0B14">
            <w:pPr>
              <w:keepNext/>
              <w:spacing w:before="60" w:after="60"/>
              <w:rPr>
                <w:rFonts w:ascii="Arial" w:hAnsi="Arial" w:cs="Arial"/>
                <w:sz w:val="20"/>
                <w:szCs w:val="20"/>
              </w:rPr>
            </w:pPr>
            <w:r>
              <w:rPr>
                <w:rFonts w:ascii="Arial" w:hAnsi="Arial"/>
                <w:sz w:val="20"/>
                <w:szCs w:val="20"/>
              </w:rPr>
              <w:t>ER 3 : Intégration du patrimoine culturel immatériel dans des programmes, des politiques et des plans de développement soutenue</w:t>
            </w:r>
          </w:p>
        </w:tc>
        <w:tc>
          <w:tcPr>
            <w:tcW w:w="1229" w:type="dxa"/>
          </w:tcPr>
          <w:p w14:paraId="61E6C572" w14:textId="77777777" w:rsidR="009D1A8D" w:rsidRPr="009D1A8D" w:rsidRDefault="003C5FE9" w:rsidP="00FB0B14">
            <w:pPr>
              <w:keepNext/>
              <w:spacing w:before="60" w:after="60"/>
              <w:jc w:val="center"/>
              <w:rPr>
                <w:rFonts w:ascii="Arial" w:hAnsi="Arial" w:cs="Arial"/>
                <w:sz w:val="20"/>
                <w:szCs w:val="20"/>
              </w:rPr>
            </w:pPr>
            <w:r>
              <w:rPr>
                <w:rFonts w:ascii="Arial" w:hAnsi="Arial"/>
                <w:sz w:val="20"/>
                <w:szCs w:val="20"/>
              </w:rPr>
              <w:t>17 %</w:t>
            </w:r>
          </w:p>
        </w:tc>
        <w:tc>
          <w:tcPr>
            <w:tcW w:w="1230" w:type="dxa"/>
          </w:tcPr>
          <w:p w14:paraId="6D3195C1" w14:textId="77777777" w:rsidR="009D1A8D" w:rsidRPr="009D1A8D" w:rsidRDefault="009D1A8D" w:rsidP="00FB0B14">
            <w:pPr>
              <w:keepNext/>
              <w:spacing w:before="60" w:after="60"/>
              <w:jc w:val="center"/>
              <w:rPr>
                <w:rFonts w:ascii="Arial" w:hAnsi="Arial" w:cs="Arial"/>
                <w:sz w:val="20"/>
                <w:szCs w:val="20"/>
              </w:rPr>
            </w:pPr>
            <w:r>
              <w:rPr>
                <w:rFonts w:ascii="Arial" w:hAnsi="Arial"/>
                <w:sz w:val="20"/>
                <w:szCs w:val="20"/>
              </w:rPr>
              <w:t>14 %</w:t>
            </w:r>
          </w:p>
        </w:tc>
        <w:tc>
          <w:tcPr>
            <w:tcW w:w="1230" w:type="dxa"/>
            <w:shd w:val="clear" w:color="auto" w:fill="auto"/>
          </w:tcPr>
          <w:p w14:paraId="224B0A2C" w14:textId="77777777" w:rsidR="009D1A8D" w:rsidRPr="00B702ED" w:rsidRDefault="008C7D30" w:rsidP="00FB0B14">
            <w:pPr>
              <w:keepNext/>
              <w:spacing w:before="60" w:after="60"/>
              <w:jc w:val="center"/>
              <w:rPr>
                <w:rFonts w:ascii="Arial" w:hAnsi="Arial" w:cs="Arial"/>
                <w:sz w:val="20"/>
                <w:szCs w:val="20"/>
              </w:rPr>
            </w:pPr>
            <w:r>
              <w:rPr>
                <w:rFonts w:ascii="Arial" w:hAnsi="Arial"/>
                <w:sz w:val="20"/>
                <w:szCs w:val="20"/>
              </w:rPr>
              <w:t>13 %</w:t>
            </w:r>
          </w:p>
        </w:tc>
      </w:tr>
      <w:tr w:rsidR="009D1A8D" w:rsidRPr="00601B38" w14:paraId="0E0CE194" w14:textId="77777777" w:rsidTr="00E07554">
        <w:tc>
          <w:tcPr>
            <w:tcW w:w="4249" w:type="dxa"/>
            <w:shd w:val="clear" w:color="auto" w:fill="auto"/>
          </w:tcPr>
          <w:p w14:paraId="187B4EF0" w14:textId="1FC2A3EC" w:rsidR="009D1A8D" w:rsidRPr="009D1A8D" w:rsidRDefault="009D1A8D" w:rsidP="00FB0B14">
            <w:pPr>
              <w:keepNext/>
              <w:spacing w:before="60" w:after="60"/>
              <w:rPr>
                <w:rFonts w:ascii="Arial" w:hAnsi="Arial" w:cs="Arial"/>
                <w:sz w:val="20"/>
                <w:szCs w:val="20"/>
              </w:rPr>
            </w:pPr>
            <w:r>
              <w:rPr>
                <w:rFonts w:ascii="Arial" w:hAnsi="Arial"/>
                <w:sz w:val="20"/>
                <w:szCs w:val="20"/>
              </w:rPr>
              <w:t>ER 4 : Objectifs de la Convention promus par des actions de sensibilisation et d</w:t>
            </w:r>
            <w:r w:rsidR="00796EEE">
              <w:rPr>
                <w:rFonts w:ascii="Arial" w:hAnsi="Arial"/>
                <w:sz w:val="20"/>
                <w:szCs w:val="20"/>
              </w:rPr>
              <w:t>’</w:t>
            </w:r>
            <w:r>
              <w:rPr>
                <w:rFonts w:ascii="Arial" w:hAnsi="Arial"/>
                <w:sz w:val="20"/>
                <w:szCs w:val="20"/>
              </w:rPr>
              <w:t>information</w:t>
            </w:r>
          </w:p>
        </w:tc>
        <w:tc>
          <w:tcPr>
            <w:tcW w:w="1229" w:type="dxa"/>
          </w:tcPr>
          <w:p w14:paraId="4D90078E" w14:textId="77777777" w:rsidR="009D1A8D" w:rsidRPr="009D1A8D" w:rsidRDefault="003C5FE9" w:rsidP="00FB0B14">
            <w:pPr>
              <w:keepNext/>
              <w:spacing w:before="60" w:after="60"/>
              <w:jc w:val="center"/>
              <w:rPr>
                <w:rFonts w:ascii="Arial" w:hAnsi="Arial" w:cs="Arial"/>
                <w:sz w:val="20"/>
                <w:szCs w:val="20"/>
              </w:rPr>
            </w:pPr>
            <w:r>
              <w:rPr>
                <w:rFonts w:ascii="Arial" w:hAnsi="Arial"/>
                <w:sz w:val="20"/>
                <w:szCs w:val="20"/>
              </w:rPr>
              <w:t>27 %</w:t>
            </w:r>
          </w:p>
        </w:tc>
        <w:tc>
          <w:tcPr>
            <w:tcW w:w="1230" w:type="dxa"/>
          </w:tcPr>
          <w:p w14:paraId="297EBF89" w14:textId="77777777" w:rsidR="009D1A8D" w:rsidRPr="009D1A8D" w:rsidRDefault="00461153" w:rsidP="00FB0B14">
            <w:pPr>
              <w:keepNext/>
              <w:spacing w:before="60" w:after="60"/>
              <w:jc w:val="center"/>
              <w:rPr>
                <w:rFonts w:ascii="Arial" w:hAnsi="Arial" w:cs="Arial"/>
                <w:sz w:val="20"/>
                <w:szCs w:val="20"/>
              </w:rPr>
            </w:pPr>
            <w:r>
              <w:rPr>
                <w:rFonts w:ascii="Arial" w:hAnsi="Arial"/>
                <w:sz w:val="20"/>
                <w:szCs w:val="20"/>
              </w:rPr>
              <w:t>20</w:t>
            </w:r>
            <w:r w:rsidR="009D1A8D">
              <w:rPr>
                <w:rFonts w:ascii="Arial" w:hAnsi="Arial"/>
                <w:sz w:val="20"/>
                <w:szCs w:val="20"/>
              </w:rPr>
              <w:t> %</w:t>
            </w:r>
          </w:p>
        </w:tc>
        <w:tc>
          <w:tcPr>
            <w:tcW w:w="1230" w:type="dxa"/>
            <w:shd w:val="clear" w:color="auto" w:fill="auto"/>
          </w:tcPr>
          <w:p w14:paraId="7E86A24A" w14:textId="77777777" w:rsidR="009D1A8D" w:rsidRPr="00B702ED" w:rsidRDefault="008C7D30" w:rsidP="00FB0B14">
            <w:pPr>
              <w:keepNext/>
              <w:spacing w:before="60" w:after="60"/>
              <w:jc w:val="center"/>
              <w:rPr>
                <w:rFonts w:ascii="Arial" w:hAnsi="Arial" w:cs="Arial"/>
                <w:sz w:val="20"/>
                <w:szCs w:val="20"/>
              </w:rPr>
            </w:pPr>
            <w:r>
              <w:rPr>
                <w:rFonts w:ascii="Arial" w:hAnsi="Arial"/>
                <w:sz w:val="20"/>
                <w:szCs w:val="20"/>
              </w:rPr>
              <w:t>27 %</w:t>
            </w:r>
          </w:p>
        </w:tc>
      </w:tr>
      <w:tr w:rsidR="009D1A8D" w:rsidRPr="00601B38" w14:paraId="48A734BD" w14:textId="77777777" w:rsidTr="00E07554">
        <w:tc>
          <w:tcPr>
            <w:tcW w:w="4249" w:type="dxa"/>
            <w:shd w:val="clear" w:color="auto" w:fill="auto"/>
          </w:tcPr>
          <w:p w14:paraId="1F36A570" w14:textId="77777777" w:rsidR="009D1A8D" w:rsidRPr="009D1A8D" w:rsidRDefault="009D1A8D" w:rsidP="00FB0B14">
            <w:pPr>
              <w:keepNext/>
              <w:spacing w:before="60" w:after="60"/>
              <w:jc w:val="both"/>
              <w:rPr>
                <w:rFonts w:ascii="Arial" w:hAnsi="Arial" w:cs="Arial"/>
                <w:sz w:val="20"/>
                <w:szCs w:val="20"/>
              </w:rPr>
            </w:pPr>
            <w:r>
              <w:rPr>
                <w:rFonts w:ascii="Arial" w:hAnsi="Arial"/>
                <w:sz w:val="20"/>
                <w:szCs w:val="20"/>
              </w:rPr>
              <w:t>Budget total</w:t>
            </w:r>
          </w:p>
        </w:tc>
        <w:tc>
          <w:tcPr>
            <w:tcW w:w="1229" w:type="dxa"/>
          </w:tcPr>
          <w:p w14:paraId="0E7575C9" w14:textId="77777777" w:rsidR="009D1A8D" w:rsidRPr="009D1A8D" w:rsidRDefault="009D1A8D" w:rsidP="00FB0B14">
            <w:pPr>
              <w:keepNext/>
              <w:spacing w:before="60" w:after="60"/>
              <w:jc w:val="center"/>
              <w:rPr>
                <w:rFonts w:ascii="Arial" w:hAnsi="Arial" w:cs="Arial"/>
                <w:sz w:val="20"/>
                <w:szCs w:val="20"/>
              </w:rPr>
            </w:pPr>
            <w:r>
              <w:rPr>
                <w:rFonts w:ascii="Arial" w:hAnsi="Arial"/>
                <w:sz w:val="20"/>
                <w:szCs w:val="20"/>
              </w:rPr>
              <w:t>100 %</w:t>
            </w:r>
          </w:p>
        </w:tc>
        <w:tc>
          <w:tcPr>
            <w:tcW w:w="1230" w:type="dxa"/>
          </w:tcPr>
          <w:p w14:paraId="4B34470F" w14:textId="77777777" w:rsidR="009D1A8D" w:rsidRPr="009D1A8D" w:rsidRDefault="009D1A8D" w:rsidP="00FB0B14">
            <w:pPr>
              <w:keepNext/>
              <w:spacing w:before="60" w:after="60"/>
              <w:jc w:val="center"/>
              <w:rPr>
                <w:rFonts w:ascii="Arial" w:hAnsi="Arial" w:cs="Arial"/>
                <w:sz w:val="20"/>
                <w:szCs w:val="20"/>
              </w:rPr>
            </w:pPr>
            <w:r>
              <w:rPr>
                <w:rFonts w:ascii="Arial" w:hAnsi="Arial"/>
                <w:sz w:val="20"/>
                <w:szCs w:val="20"/>
              </w:rPr>
              <w:t>100 %</w:t>
            </w:r>
          </w:p>
        </w:tc>
        <w:tc>
          <w:tcPr>
            <w:tcW w:w="1230" w:type="dxa"/>
            <w:shd w:val="clear" w:color="auto" w:fill="auto"/>
          </w:tcPr>
          <w:p w14:paraId="2F96D647" w14:textId="77777777" w:rsidR="009D1A8D" w:rsidRPr="00601B38" w:rsidRDefault="009D1A8D" w:rsidP="00FB0B14">
            <w:pPr>
              <w:keepNext/>
              <w:spacing w:before="60" w:after="60"/>
              <w:jc w:val="center"/>
              <w:rPr>
                <w:rFonts w:ascii="Arial" w:hAnsi="Arial" w:cs="Arial"/>
                <w:sz w:val="20"/>
                <w:szCs w:val="20"/>
                <w:highlight w:val="magenta"/>
              </w:rPr>
            </w:pPr>
            <w:r>
              <w:rPr>
                <w:rFonts w:ascii="Arial" w:hAnsi="Arial"/>
                <w:sz w:val="20"/>
                <w:szCs w:val="20"/>
              </w:rPr>
              <w:t>100 %</w:t>
            </w:r>
          </w:p>
        </w:tc>
      </w:tr>
    </w:tbl>
    <w:p w14:paraId="519F136C" w14:textId="1875E639" w:rsidR="00E07554" w:rsidRPr="005820DD" w:rsidRDefault="00E07554" w:rsidP="00C21695">
      <w:pPr>
        <w:pStyle w:val="COMPara"/>
        <w:numPr>
          <w:ilvl w:val="0"/>
          <w:numId w:val="5"/>
        </w:numPr>
        <w:tabs>
          <w:tab w:val="left" w:pos="567"/>
        </w:tabs>
        <w:spacing w:before="240"/>
        <w:ind w:left="567" w:hanging="567"/>
        <w:jc w:val="both"/>
      </w:pPr>
      <w:r>
        <w:t>Afin d</w:t>
      </w:r>
      <w:r w:rsidR="00796EEE">
        <w:t>’</w:t>
      </w:r>
      <w:r>
        <w:t>éviter des interruptions ou des retards d</w:t>
      </w:r>
      <w:r w:rsidR="00796EEE">
        <w:t>’</w:t>
      </w:r>
      <w:r>
        <w:t>exécution et conformément à la résolution adoptée par la Conférence générale lors de sa quarantième session en novembre 2019, autorisant la Directrice générale à opérer des virements de crédits entre articles budgétaires liés au Programme ordinaire dans la limite de 5 % des crédits initialement ouverts au titre du 40 C/5</w:t>
      </w:r>
      <w:r w:rsidRPr="005820DD">
        <w:rPr>
          <w:rStyle w:val="Appelnotedebasdep"/>
        </w:rPr>
        <w:footnoteReference w:id="6"/>
      </w:r>
      <w:r>
        <w:t>, le Comité a autorisé le Secrétariat à effectuer des transferts entre les activités relevant de la ligne budgétaire 3 à concurrence d</w:t>
      </w:r>
      <w:r w:rsidR="00796EEE">
        <w:t>’</w:t>
      </w:r>
      <w:r>
        <w:t>un montant cumulé équivalent à 5 pour cent de l</w:t>
      </w:r>
      <w:r w:rsidR="00796EEE">
        <w:t>’</w:t>
      </w:r>
      <w:r>
        <w:t>allocation initiale totale (</w:t>
      </w:r>
      <w:hyperlink r:id="rId25" w:history="1">
        <w:r>
          <w:rPr>
            <w:rStyle w:val="Lienhypertexte"/>
          </w:rPr>
          <w:t>décision 14.COM 7</w:t>
        </w:r>
      </w:hyperlink>
      <w:r>
        <w:t xml:space="preserve">). </w:t>
      </w:r>
      <w:r w:rsidR="00980EFA">
        <w:t>Sur la base du montant indicatif du budget tel qu</w:t>
      </w:r>
      <w:r w:rsidR="00796EEE">
        <w:t>’</w:t>
      </w:r>
      <w:r w:rsidR="00980EFA">
        <w:t>indiqué en annexe I, c</w:t>
      </w:r>
      <w:r>
        <w:t>ela représente</w:t>
      </w:r>
      <w:r w:rsidR="00980EFA">
        <w:t>rait</w:t>
      </w:r>
      <w:r>
        <w:t xml:space="preserve"> 78 403 dollars des États-Unis. Le cas échéant, le Secrétariat est alors tenu d</w:t>
      </w:r>
      <w:r w:rsidR="00796EEE">
        <w:t>’</w:t>
      </w:r>
      <w:r>
        <w:t>informer le Comité par écrit des détails et des raisons de ces transferts, lors de la session suivante.</w:t>
      </w:r>
    </w:p>
    <w:p w14:paraId="5EB8EB20" w14:textId="3BDD46E0" w:rsidR="00CE26EE" w:rsidRPr="00E07554" w:rsidRDefault="00CE26EE" w:rsidP="001740D7">
      <w:pPr>
        <w:pStyle w:val="Titre2"/>
        <w:tabs>
          <w:tab w:val="left" w:pos="567"/>
        </w:tabs>
        <w:snapToGrid w:val="0"/>
        <w:spacing w:before="360" w:after="240"/>
        <w:ind w:left="567"/>
        <w:jc w:val="both"/>
        <w:rPr>
          <w:rStyle w:val="hps"/>
          <w:rFonts w:ascii="Times New Roman" w:hAnsi="Times New Roman"/>
          <w:bCs w:val="0"/>
          <w:iCs w:val="0"/>
          <w:sz w:val="24"/>
          <w:szCs w:val="24"/>
        </w:rPr>
      </w:pPr>
      <w:r>
        <w:rPr>
          <w:rFonts w:ascii="Arial" w:hAnsi="Arial"/>
          <w:bCs w:val="0"/>
          <w:i w:val="0"/>
          <w:iCs w:val="0"/>
          <w:snapToGrid w:val="0"/>
          <w:sz w:val="22"/>
          <w:szCs w:val="22"/>
        </w:rPr>
        <w:t>Résultat escompté 1 : Bonne gouvernance de la Convention de 2003 facilitée par l</w:t>
      </w:r>
      <w:r w:rsidR="00796EEE">
        <w:rPr>
          <w:rFonts w:ascii="Arial" w:hAnsi="Arial"/>
          <w:bCs w:val="0"/>
          <w:i w:val="0"/>
          <w:iCs w:val="0"/>
          <w:snapToGrid w:val="0"/>
          <w:sz w:val="22"/>
          <w:szCs w:val="22"/>
        </w:rPr>
        <w:t>’</w:t>
      </w:r>
      <w:r>
        <w:rPr>
          <w:rFonts w:ascii="Arial" w:hAnsi="Arial"/>
          <w:bCs w:val="0"/>
          <w:i w:val="0"/>
          <w:iCs w:val="0"/>
          <w:snapToGrid w:val="0"/>
          <w:sz w:val="22"/>
          <w:szCs w:val="22"/>
        </w:rPr>
        <w:t>amélioration du suivi et des services de gestion des connaissances</w:t>
      </w:r>
    </w:p>
    <w:p w14:paraId="7721231B" w14:textId="4AA1C7E8" w:rsidR="00E07554" w:rsidRPr="00B702ED" w:rsidRDefault="00E07554">
      <w:pPr>
        <w:pStyle w:val="COMPara"/>
        <w:numPr>
          <w:ilvl w:val="0"/>
          <w:numId w:val="5"/>
        </w:numPr>
        <w:tabs>
          <w:tab w:val="left" w:pos="567"/>
        </w:tabs>
        <w:ind w:left="567" w:hanging="567"/>
        <w:jc w:val="both"/>
        <w:rPr>
          <w:rStyle w:val="hps"/>
          <w:rFonts w:ascii="Cambria" w:hAnsi="Cambria" w:cs="Times New Roman"/>
          <w:b/>
          <w:bCs/>
          <w:i/>
          <w:iCs/>
          <w:snapToGrid/>
          <w:sz w:val="28"/>
          <w:szCs w:val="28"/>
        </w:rPr>
      </w:pPr>
      <w:r>
        <w:rPr>
          <w:rStyle w:val="hps"/>
        </w:rPr>
        <w:t>La bonne gouvernance de la Convention de 2003 est essentielle pour que toutes les parties prenantes puissent être efficaces et innovantes dans leurs travaux de mise en œuvre de la Convention aux niveaux national et international. Elle permet aussi de montrer plus largement l</w:t>
      </w:r>
      <w:r w:rsidR="00796EEE">
        <w:rPr>
          <w:rStyle w:val="hps"/>
        </w:rPr>
        <w:t>’</w:t>
      </w:r>
      <w:r>
        <w:rPr>
          <w:rStyle w:val="hps"/>
        </w:rPr>
        <w:t>importance de la sauvegarde du patrimoine vivant en général pour le développement durable. À cette fin, le Secrétariat facilite l</w:t>
      </w:r>
      <w:r w:rsidR="00796EEE">
        <w:rPr>
          <w:rStyle w:val="hps"/>
        </w:rPr>
        <w:t>’</w:t>
      </w:r>
      <w:r>
        <w:rPr>
          <w:rStyle w:val="hps"/>
        </w:rPr>
        <w:t>amélioration continue du suivi et des services de gestion des connaissances, et assure le suivi des décisions du Comité. La réflexion globale sur les mécanismes d</w:t>
      </w:r>
      <w:r w:rsidR="00796EEE">
        <w:rPr>
          <w:rStyle w:val="hps"/>
        </w:rPr>
        <w:t>’</w:t>
      </w:r>
      <w:r>
        <w:rPr>
          <w:rStyle w:val="hps"/>
        </w:rPr>
        <w:t>inscription sur les listes sera un axe majeur pour les deux prochaines années (décisions </w:t>
      </w:r>
      <w:hyperlink r:id="rId26" w:history="1">
        <w:r>
          <w:rPr>
            <w:rStyle w:val="Lienhypertexte"/>
          </w:rPr>
          <w:t>13.COM 6</w:t>
        </w:r>
      </w:hyperlink>
      <w:r>
        <w:rPr>
          <w:rStyle w:val="hps"/>
        </w:rPr>
        <w:t xml:space="preserve">, </w:t>
      </w:r>
      <w:hyperlink r:id="rId27" w:history="1">
        <w:r>
          <w:rPr>
            <w:rStyle w:val="Lienhypertexte"/>
          </w:rPr>
          <w:t>13.COM 10</w:t>
        </w:r>
      </w:hyperlink>
      <w:r>
        <w:rPr>
          <w:rStyle w:val="hps"/>
        </w:rPr>
        <w:t xml:space="preserve"> et </w:t>
      </w:r>
      <w:hyperlink r:id="rId28" w:history="1">
        <w:r>
          <w:rPr>
            <w:rStyle w:val="Lienhypertexte"/>
          </w:rPr>
          <w:t>14.COM 14</w:t>
        </w:r>
      </w:hyperlink>
      <w:r>
        <w:rPr>
          <w:rStyle w:val="hps"/>
        </w:rPr>
        <w:t>). Par conséquent, le Secrétariat continuera à soutenir ce processus, principalement financé par le Japon, notamment en organisant une réunion d</w:t>
      </w:r>
      <w:r w:rsidR="00796EEE">
        <w:rPr>
          <w:rStyle w:val="hps"/>
        </w:rPr>
        <w:t>’</w:t>
      </w:r>
      <w:r>
        <w:rPr>
          <w:rStyle w:val="hps"/>
        </w:rPr>
        <w:t>experts et un groupe de travail intergouvernemental à composition non limitée. De même, en réponse à des recommandations récurrentes de l</w:t>
      </w:r>
      <w:r w:rsidR="00796EEE">
        <w:rPr>
          <w:rStyle w:val="hps"/>
        </w:rPr>
        <w:t>’</w:t>
      </w:r>
      <w:r>
        <w:rPr>
          <w:rStyle w:val="hps"/>
        </w:rPr>
        <w:t>Organe d</w:t>
      </w:r>
      <w:r w:rsidR="00796EEE">
        <w:rPr>
          <w:rStyle w:val="hps"/>
        </w:rPr>
        <w:t>’</w:t>
      </w:r>
      <w:r>
        <w:rPr>
          <w:rStyle w:val="hps"/>
        </w:rPr>
        <w:t>évaluation et à une décision du Comité demandant « au Secrétariat de publier les recommandations de l</w:t>
      </w:r>
      <w:r w:rsidR="00796EEE">
        <w:rPr>
          <w:rStyle w:val="hps"/>
        </w:rPr>
        <w:t>’</w:t>
      </w:r>
      <w:r>
        <w:rPr>
          <w:rStyle w:val="hps"/>
        </w:rPr>
        <w:t xml:space="preserve">Organe </w:t>
      </w:r>
      <w:r>
        <w:rPr>
          <w:rStyle w:val="hps"/>
        </w:rPr>
        <w:lastRenderedPageBreak/>
        <w:t>d</w:t>
      </w:r>
      <w:r w:rsidR="00796EEE">
        <w:rPr>
          <w:rStyle w:val="hps"/>
        </w:rPr>
        <w:t>’</w:t>
      </w:r>
      <w:r>
        <w:rPr>
          <w:rStyle w:val="hps"/>
        </w:rPr>
        <w:t>évaluation sur les mesures de sauvegarde et les bonnes pratiques qui traitent du risque de décontextualisation et de commercialisation excessive des éléments » (</w:t>
      </w:r>
      <w:hyperlink r:id="rId29" w:history="1">
        <w:r>
          <w:rPr>
            <w:rStyle w:val="Lienhypertexte"/>
          </w:rPr>
          <w:t>décision 14.COM 10</w:t>
        </w:r>
      </w:hyperlink>
      <w:r>
        <w:rPr>
          <w:rStyle w:val="hps"/>
        </w:rPr>
        <w:t>), le Secrétariat propose également d</w:t>
      </w:r>
      <w:r w:rsidR="00796EEE">
        <w:rPr>
          <w:rStyle w:val="hps"/>
        </w:rPr>
        <w:t>’</w:t>
      </w:r>
      <w:r>
        <w:rPr>
          <w:rStyle w:val="hps"/>
        </w:rPr>
        <w:t>élaborer des conseils à l</w:t>
      </w:r>
      <w:r w:rsidR="00796EEE">
        <w:rPr>
          <w:rStyle w:val="hps"/>
        </w:rPr>
        <w:t>’</w:t>
      </w:r>
      <w:r>
        <w:rPr>
          <w:rStyle w:val="hps"/>
        </w:rPr>
        <w:t>intention des États parties et des communautés pour les aider à tirer profit du potentiel économique du patrimoine vivant tout en prenant garde aux risques de décontextualisation et de commercialisation excessive.</w:t>
      </w:r>
    </w:p>
    <w:p w14:paraId="4D4CC602" w14:textId="54965F44" w:rsidR="00E07554" w:rsidRDefault="00D66131" w:rsidP="00D66131">
      <w:pPr>
        <w:pStyle w:val="COMPara"/>
        <w:numPr>
          <w:ilvl w:val="0"/>
          <w:numId w:val="5"/>
        </w:numPr>
        <w:tabs>
          <w:tab w:val="left" w:pos="567"/>
        </w:tabs>
        <w:ind w:left="567" w:hanging="567"/>
        <w:jc w:val="both"/>
        <w:rPr>
          <w:rStyle w:val="hps"/>
        </w:rPr>
      </w:pPr>
      <w:r>
        <w:rPr>
          <w:rStyle w:val="hps"/>
        </w:rPr>
        <w:t>Dans l</w:t>
      </w:r>
      <w:r w:rsidR="00796EEE">
        <w:rPr>
          <w:rStyle w:val="hps"/>
        </w:rPr>
        <w:t>’</w:t>
      </w:r>
      <w:r>
        <w:rPr>
          <w:rStyle w:val="hps"/>
        </w:rPr>
        <w:t>ensemble, le Secrétariat considère la gestion des connaissances comme un outil clé afin d</w:t>
      </w:r>
      <w:r w:rsidR="00796EEE">
        <w:rPr>
          <w:rStyle w:val="hps"/>
        </w:rPr>
        <w:t>’</w:t>
      </w:r>
      <w:r>
        <w:rPr>
          <w:rStyle w:val="hps"/>
        </w:rPr>
        <w:t>encourager l</w:t>
      </w:r>
      <w:r w:rsidR="00796EEE">
        <w:rPr>
          <w:rStyle w:val="hps"/>
        </w:rPr>
        <w:t>’</w:t>
      </w:r>
      <w:r>
        <w:rPr>
          <w:rStyle w:val="hps"/>
        </w:rPr>
        <w:t>adoption de nouvelles méthodes de travail pour faire face à des circonstances en perpétuelle évolution et des priorités émergentes. Cette situation renforce la nécessité de continuer à améliorer la gestion des données et de proposer des solutions basées sur le web pour rationaliser les processus courants, par exemple en créant des formulaires en ligne pour les demandes et les candidatures. En outre, les interfaces en ligne rendent possible la collecte, la diffusion et la cartographie d</w:t>
      </w:r>
      <w:r w:rsidR="00796EEE">
        <w:rPr>
          <w:rStyle w:val="hps"/>
        </w:rPr>
        <w:t>’</w:t>
      </w:r>
      <w:r>
        <w:rPr>
          <w:rStyle w:val="hps"/>
        </w:rPr>
        <w:t>informations sur des sujets tels que les domaines de compétences des ONG accréditées (</w:t>
      </w:r>
      <w:hyperlink r:id="rId30" w:history="1">
        <w:r>
          <w:rPr>
            <w:rStyle w:val="Lienhypertexte"/>
          </w:rPr>
          <w:t>décision 14.COM 15</w:t>
        </w:r>
      </w:hyperlink>
      <w:r>
        <w:rPr>
          <w:rStyle w:val="hps"/>
        </w:rPr>
        <w:t>). Ces évolutions pourraient non seulement simplifier et consolider les informations, mais elle</w:t>
      </w:r>
      <w:r w:rsidR="00461153">
        <w:rPr>
          <w:rStyle w:val="hps"/>
        </w:rPr>
        <w:t>s</w:t>
      </w:r>
      <w:r>
        <w:rPr>
          <w:rStyle w:val="hps"/>
        </w:rPr>
        <w:t xml:space="preserve"> les mettraient également à la disposition des multiples parties prenantes. La crise de la COVID-19, pendant laquelle le Secrétariat et un grand nombre d</w:t>
      </w:r>
      <w:r w:rsidR="00796EEE">
        <w:rPr>
          <w:rStyle w:val="hps"/>
        </w:rPr>
        <w:t>’</w:t>
      </w:r>
      <w:r>
        <w:rPr>
          <w:rStyle w:val="hps"/>
        </w:rPr>
        <w:t>acteurs de la Convention (dont l</w:t>
      </w:r>
      <w:r w:rsidR="00796EEE">
        <w:rPr>
          <w:rStyle w:val="hps"/>
        </w:rPr>
        <w:t>’</w:t>
      </w:r>
      <w:r>
        <w:rPr>
          <w:rStyle w:val="hps"/>
        </w:rPr>
        <w:t>Organe d</w:t>
      </w:r>
      <w:r w:rsidR="00796EEE">
        <w:rPr>
          <w:rStyle w:val="hps"/>
        </w:rPr>
        <w:t>’</w:t>
      </w:r>
      <w:r>
        <w:rPr>
          <w:rStyle w:val="hps"/>
        </w:rPr>
        <w:t>évaluation) ont travaillé à domicile, a révélé encore plus nettement que l</w:t>
      </w:r>
      <w:r w:rsidR="00796EEE">
        <w:rPr>
          <w:rStyle w:val="hps"/>
        </w:rPr>
        <w:t>’</w:t>
      </w:r>
      <w:r>
        <w:rPr>
          <w:rStyle w:val="hps"/>
        </w:rPr>
        <w:t>accessibilité en ligne des informations et des outils était essentielle à la continuité des processus statutaires.</w:t>
      </w:r>
    </w:p>
    <w:p w14:paraId="155516AB" w14:textId="0D2E27BE" w:rsidR="00D66131" w:rsidRPr="00E07554" w:rsidRDefault="00D66131" w:rsidP="00D66131">
      <w:pPr>
        <w:pStyle w:val="COMPara"/>
        <w:numPr>
          <w:ilvl w:val="0"/>
          <w:numId w:val="5"/>
        </w:numPr>
        <w:tabs>
          <w:tab w:val="left" w:pos="567"/>
        </w:tabs>
        <w:ind w:left="567" w:hanging="567"/>
        <w:jc w:val="both"/>
        <w:rPr>
          <w:rStyle w:val="hps"/>
        </w:rPr>
      </w:pPr>
      <w:r>
        <w:rPr>
          <w:rStyle w:val="hps"/>
        </w:rPr>
        <w:t>En outre, mettant à profit l</w:t>
      </w:r>
      <w:r w:rsidR="00796EEE">
        <w:rPr>
          <w:rStyle w:val="hps"/>
        </w:rPr>
        <w:t>’</w:t>
      </w:r>
      <w:r>
        <w:rPr>
          <w:rStyle w:val="hps"/>
        </w:rPr>
        <w:t>opérationnalisation accrue des mécanismes d</w:t>
      </w:r>
      <w:r w:rsidR="00796EEE">
        <w:rPr>
          <w:rStyle w:val="hps"/>
        </w:rPr>
        <w:t>’</w:t>
      </w:r>
      <w:r>
        <w:rPr>
          <w:rStyle w:val="hps"/>
        </w:rPr>
        <w:t xml:space="preserve">assistance internationale ces dernières années, la nouvelle équipe chargée de la mise en œuvre et du suivi </w:t>
      </w:r>
      <w:r w:rsidR="0037284E">
        <w:rPr>
          <w:rStyle w:val="hps"/>
        </w:rPr>
        <w:t xml:space="preserve">de la sauvegarde, </w:t>
      </w:r>
      <w:r>
        <w:rPr>
          <w:rStyle w:val="hps"/>
        </w:rPr>
        <w:t>va lancer un suivi renforcé des projets en cours financés par le Fonds et rassembler les enseignements tirés des projets en cours ou achevés. Cela sera rendu possible par la mise en place d</w:t>
      </w:r>
      <w:r w:rsidR="00796EEE">
        <w:rPr>
          <w:rStyle w:val="hps"/>
        </w:rPr>
        <w:t>’</w:t>
      </w:r>
      <w:r>
        <w:rPr>
          <w:rStyle w:val="hps"/>
        </w:rPr>
        <w:t>outils permettant de guider les États parties, mais aussi par l</w:t>
      </w:r>
      <w:r w:rsidR="00796EEE">
        <w:rPr>
          <w:rStyle w:val="hps"/>
        </w:rPr>
        <w:t>’</w:t>
      </w:r>
      <w:r>
        <w:rPr>
          <w:rStyle w:val="hps"/>
        </w:rPr>
        <w:t>amélioration de la collecte des données qualitatives et quantitatives.</w:t>
      </w:r>
    </w:p>
    <w:p w14:paraId="7C534CB9" w14:textId="77777777" w:rsidR="00CE26EE" w:rsidRPr="00E07554" w:rsidRDefault="00CE26EE" w:rsidP="001740D7">
      <w:pPr>
        <w:pStyle w:val="Titre2"/>
        <w:tabs>
          <w:tab w:val="left" w:pos="567"/>
        </w:tabs>
        <w:snapToGrid w:val="0"/>
        <w:spacing w:before="360" w:after="240"/>
        <w:ind w:left="567"/>
        <w:jc w:val="both"/>
        <w:rPr>
          <w:rFonts w:ascii="Arial" w:hAnsi="Arial" w:cs="Arial"/>
          <w:bCs w:val="0"/>
          <w:i w:val="0"/>
          <w:iCs w:val="0"/>
          <w:snapToGrid w:val="0"/>
          <w:sz w:val="22"/>
          <w:szCs w:val="22"/>
        </w:rPr>
      </w:pPr>
      <w:r>
        <w:rPr>
          <w:rFonts w:ascii="Arial" w:hAnsi="Arial"/>
          <w:bCs w:val="0"/>
          <w:i w:val="0"/>
          <w:iCs w:val="0"/>
          <w:snapToGrid w:val="0"/>
          <w:sz w:val="22"/>
          <w:szCs w:val="22"/>
        </w:rPr>
        <w:t>Résultat escompté 2 : Mise en œuvre de la Convention dans les États membres encouragée par un programme de renforcement des capacités consolidé</w:t>
      </w:r>
    </w:p>
    <w:p w14:paraId="22B354AA" w14:textId="7FF5B17B" w:rsidR="00E07554" w:rsidRPr="00E07554" w:rsidRDefault="00E07554" w:rsidP="00C21695">
      <w:pPr>
        <w:pStyle w:val="COMPara"/>
        <w:numPr>
          <w:ilvl w:val="0"/>
          <w:numId w:val="5"/>
        </w:numPr>
        <w:tabs>
          <w:tab w:val="left" w:pos="567"/>
        </w:tabs>
        <w:ind w:left="567" w:hanging="567"/>
        <w:jc w:val="both"/>
        <w:rPr>
          <w:rStyle w:val="hps"/>
        </w:rPr>
      </w:pPr>
      <w:r>
        <w:rPr>
          <w:rStyle w:val="hps"/>
        </w:rPr>
        <w:t>Alors que la Convention élargit son champ d</w:t>
      </w:r>
      <w:r w:rsidR="00796EEE">
        <w:rPr>
          <w:rStyle w:val="hps"/>
        </w:rPr>
        <w:t>’</w:t>
      </w:r>
      <w:r>
        <w:rPr>
          <w:rStyle w:val="hps"/>
        </w:rPr>
        <w:t>action, les besoins en matière de renforcement des capacités restent importants, car les États parties sont confrontés à de nouveaux défis. Dans le même temps, le contexte et les conditions de déploiement du programme de renforcement des capacités évoluent, ce qui nécessite d</w:t>
      </w:r>
      <w:r w:rsidR="00796EEE">
        <w:rPr>
          <w:rStyle w:val="hps"/>
        </w:rPr>
        <w:t>’</w:t>
      </w:r>
      <w:r>
        <w:rPr>
          <w:rStyle w:val="hps"/>
        </w:rPr>
        <w:t>adopter des approches et des stratégies nouvelles. La crise de la COVID-19 – et les restrictions qu</w:t>
      </w:r>
      <w:r w:rsidR="00796EEE">
        <w:rPr>
          <w:rStyle w:val="hps"/>
        </w:rPr>
        <w:t>’</w:t>
      </w:r>
      <w:r>
        <w:rPr>
          <w:rStyle w:val="hps"/>
        </w:rPr>
        <w:t>elle fait peser sur l</w:t>
      </w:r>
      <w:r w:rsidR="00796EEE">
        <w:rPr>
          <w:rStyle w:val="hps"/>
        </w:rPr>
        <w:t>’</w:t>
      </w:r>
      <w:r>
        <w:rPr>
          <w:rStyle w:val="hps"/>
        </w:rPr>
        <w:t>organisation de réunions publiques et les déplacements internationaux – a clairement montré qu</w:t>
      </w:r>
      <w:r w:rsidR="00796EEE">
        <w:rPr>
          <w:rStyle w:val="hps"/>
        </w:rPr>
        <w:t>’</w:t>
      </w:r>
      <w:r>
        <w:rPr>
          <w:rStyle w:val="hps"/>
        </w:rPr>
        <w:t>il était nécessaire d</w:t>
      </w:r>
      <w:r w:rsidR="00796EEE">
        <w:rPr>
          <w:rStyle w:val="hps"/>
        </w:rPr>
        <w:t>’</w:t>
      </w:r>
      <w:r>
        <w:rPr>
          <w:rStyle w:val="hps"/>
        </w:rPr>
        <w:t>adapter le programme de renforcement des capacités.</w:t>
      </w:r>
    </w:p>
    <w:p w14:paraId="54C3B02F" w14:textId="0088EB4A" w:rsidR="005B6123" w:rsidRDefault="00E646ED" w:rsidP="005B6123">
      <w:pPr>
        <w:pStyle w:val="COMPara"/>
        <w:numPr>
          <w:ilvl w:val="0"/>
          <w:numId w:val="5"/>
        </w:numPr>
        <w:tabs>
          <w:tab w:val="left" w:pos="567"/>
        </w:tabs>
        <w:ind w:left="567" w:hanging="567"/>
        <w:jc w:val="both"/>
        <w:rPr>
          <w:rStyle w:val="hps"/>
        </w:rPr>
      </w:pPr>
      <w:r>
        <w:rPr>
          <w:rStyle w:val="hps"/>
        </w:rPr>
        <w:t>Au cours de l</w:t>
      </w:r>
      <w:r w:rsidR="00796EEE">
        <w:rPr>
          <w:rStyle w:val="hps"/>
        </w:rPr>
        <w:t>’</w:t>
      </w:r>
      <w:r>
        <w:rPr>
          <w:rStyle w:val="hps"/>
        </w:rPr>
        <w:t>exercice biennal actuel, le Secrétariat concentrera ses efforts sur un repositionnement stratégique de ce programme pour qu</w:t>
      </w:r>
      <w:r w:rsidR="00796EEE">
        <w:rPr>
          <w:rStyle w:val="hps"/>
        </w:rPr>
        <w:t>’</w:t>
      </w:r>
      <w:r>
        <w:rPr>
          <w:rStyle w:val="hps"/>
        </w:rPr>
        <w:t>il inclue davantage de formations en ligne dans les domaines couverts, en proposant à la fois des modalités d</w:t>
      </w:r>
      <w:r w:rsidR="00796EEE">
        <w:rPr>
          <w:rStyle w:val="hps"/>
        </w:rPr>
        <w:t>’</w:t>
      </w:r>
      <w:r>
        <w:rPr>
          <w:rStyle w:val="hps"/>
        </w:rPr>
        <w:t xml:space="preserve">autoapprentissage et des sessions dispensées par des instructeurs. Compte tenu du large périmètre couvert par le programme depuis son lancement, </w:t>
      </w:r>
      <w:r w:rsidR="002E3CE1">
        <w:rPr>
          <w:rStyle w:val="hps"/>
        </w:rPr>
        <w:t xml:space="preserve">cela représente </w:t>
      </w:r>
      <w:r>
        <w:rPr>
          <w:rStyle w:val="hps"/>
        </w:rPr>
        <w:t xml:space="preserve">un projet très ambitieux qui sera </w:t>
      </w:r>
      <w:r w:rsidRPr="00162C34">
        <w:rPr>
          <w:rStyle w:val="hps"/>
        </w:rPr>
        <w:t>approfondi pendant cet exercice</w:t>
      </w:r>
      <w:r>
        <w:rPr>
          <w:rStyle w:val="hps"/>
        </w:rPr>
        <w:t xml:space="preserve"> biennal. Les activités de renforcement des capacités relatives au cycle de soumission des rapports périodiques en Amérique latine et dans les Caraïbes ont été un succès. Il a permis au Secrétariat de rassembler des connaissances et des compétences utiles pour concevoir, produire et déployer des programmes de formation en ligne. Sous cette forme, le programme peut atteindre et former plus de participants, sans qu</w:t>
      </w:r>
      <w:r w:rsidR="00796EEE">
        <w:rPr>
          <w:rStyle w:val="hps"/>
        </w:rPr>
        <w:t>’</w:t>
      </w:r>
      <w:r>
        <w:rPr>
          <w:rStyle w:val="hps"/>
        </w:rPr>
        <w:t>ils aient à se déplacer ou à se loger, ce qui est non seulement plus économique mais aussi plus respectueux de l</w:t>
      </w:r>
      <w:r w:rsidR="00796EEE">
        <w:rPr>
          <w:rStyle w:val="hps"/>
        </w:rPr>
        <w:t>’</w:t>
      </w:r>
      <w:r>
        <w:rPr>
          <w:rStyle w:val="hps"/>
        </w:rPr>
        <w:t>environnement.</w:t>
      </w:r>
    </w:p>
    <w:p w14:paraId="724ADE47" w14:textId="52D1280A" w:rsidR="00E07554" w:rsidRPr="00E07554" w:rsidRDefault="005B6123" w:rsidP="005B6123">
      <w:pPr>
        <w:pStyle w:val="COMPara"/>
        <w:numPr>
          <w:ilvl w:val="0"/>
          <w:numId w:val="5"/>
        </w:numPr>
        <w:tabs>
          <w:tab w:val="left" w:pos="567"/>
        </w:tabs>
        <w:ind w:left="567" w:hanging="567"/>
        <w:jc w:val="both"/>
        <w:rPr>
          <w:rStyle w:val="hps"/>
        </w:rPr>
      </w:pPr>
      <w:r>
        <w:rPr>
          <w:rStyle w:val="hps"/>
        </w:rPr>
        <w:t>Pour garantir la pérennité du programme de renforcement des capacités à l</w:t>
      </w:r>
      <w:r w:rsidR="00796EEE">
        <w:rPr>
          <w:rStyle w:val="hps"/>
        </w:rPr>
        <w:t>’</w:t>
      </w:r>
      <w:r>
        <w:rPr>
          <w:rStyle w:val="hps"/>
        </w:rPr>
        <w:t>avenir, le Secrétariat continuera d</w:t>
      </w:r>
      <w:r w:rsidR="00796EEE">
        <w:rPr>
          <w:rStyle w:val="hps"/>
        </w:rPr>
        <w:t>’</w:t>
      </w:r>
      <w:r>
        <w:rPr>
          <w:rStyle w:val="hps"/>
        </w:rPr>
        <w:t>assurer le suivi de ses résultats, tout particulièrement ce qui concerne l</w:t>
      </w:r>
      <w:r w:rsidR="00796EEE">
        <w:rPr>
          <w:rStyle w:val="hps"/>
        </w:rPr>
        <w:t>’</w:t>
      </w:r>
      <w:r>
        <w:rPr>
          <w:rStyle w:val="hps"/>
        </w:rPr>
        <w:t>intégration de la sauvegarde du patrimoine culturel immatériel dans les politiques. L</w:t>
      </w:r>
      <w:r w:rsidR="00796EEE">
        <w:rPr>
          <w:rStyle w:val="hps"/>
        </w:rPr>
        <w:t>’</w:t>
      </w:r>
      <w:r>
        <w:rPr>
          <w:rStyle w:val="hps"/>
        </w:rPr>
        <w:t>identification et l</w:t>
      </w:r>
      <w:r w:rsidR="00796EEE">
        <w:rPr>
          <w:rStyle w:val="hps"/>
        </w:rPr>
        <w:t>’</w:t>
      </w:r>
      <w:r>
        <w:rPr>
          <w:rStyle w:val="hps"/>
        </w:rPr>
        <w:t>établissement de partenariats stratégiques avec d</w:t>
      </w:r>
      <w:r w:rsidR="00796EEE">
        <w:rPr>
          <w:rStyle w:val="hps"/>
        </w:rPr>
        <w:t>’</w:t>
      </w:r>
      <w:r>
        <w:rPr>
          <w:rStyle w:val="hps"/>
        </w:rPr>
        <w:t>autres organisations actives dans les domaines de la culture et du patrimoine, dont des centres de catégorie 2 et des universités, restera aussi une priorité. À cet égard, le Secrétariat envisage la création de cours en ligne ouverts à tous (MOOC), moyens innovants d</w:t>
      </w:r>
      <w:r w:rsidR="00796EEE">
        <w:rPr>
          <w:rStyle w:val="hps"/>
        </w:rPr>
        <w:t>’</w:t>
      </w:r>
      <w:r>
        <w:rPr>
          <w:rStyle w:val="hps"/>
        </w:rPr>
        <w:t xml:space="preserve">étendre la portée du programme </w:t>
      </w:r>
      <w:r>
        <w:rPr>
          <w:rStyle w:val="hps"/>
        </w:rPr>
        <w:lastRenderedPageBreak/>
        <w:t>de renforcement des capacités auprès d</w:t>
      </w:r>
      <w:r w:rsidR="00796EEE">
        <w:rPr>
          <w:rStyle w:val="hps"/>
        </w:rPr>
        <w:t>’</w:t>
      </w:r>
      <w:r>
        <w:rPr>
          <w:rStyle w:val="hps"/>
        </w:rPr>
        <w:t>un public plus jeune composé d</w:t>
      </w:r>
      <w:r w:rsidR="00796EEE">
        <w:rPr>
          <w:rStyle w:val="hps"/>
        </w:rPr>
        <w:t>’</w:t>
      </w:r>
      <w:r>
        <w:rPr>
          <w:rStyle w:val="hps"/>
        </w:rPr>
        <w:t>étudiants et de jeunes qui s</w:t>
      </w:r>
      <w:r w:rsidR="00796EEE">
        <w:rPr>
          <w:rStyle w:val="hps"/>
        </w:rPr>
        <w:t>’</w:t>
      </w:r>
      <w:r>
        <w:rPr>
          <w:rStyle w:val="hps"/>
        </w:rPr>
        <w:t>intéressent au patrimoine vivant, ainsi que de responsables gouvernementaux et d</w:t>
      </w:r>
      <w:r w:rsidR="002E3CE1">
        <w:rPr>
          <w:rStyle w:val="hps"/>
        </w:rPr>
        <w:t>’</w:t>
      </w:r>
      <w:r>
        <w:rPr>
          <w:rStyle w:val="hps"/>
        </w:rPr>
        <w:t>ONG.</w:t>
      </w:r>
    </w:p>
    <w:p w14:paraId="3D3E3684" w14:textId="77777777" w:rsidR="00CE26EE" w:rsidRPr="00FB0B14" w:rsidRDefault="00CE26EE" w:rsidP="001740D7">
      <w:pPr>
        <w:pStyle w:val="Titre2"/>
        <w:tabs>
          <w:tab w:val="left" w:pos="567"/>
        </w:tabs>
        <w:snapToGrid w:val="0"/>
        <w:spacing w:before="360" w:after="240"/>
        <w:ind w:left="567"/>
        <w:jc w:val="both"/>
        <w:rPr>
          <w:rFonts w:ascii="Arial" w:hAnsi="Arial" w:cs="Arial"/>
          <w:i w:val="0"/>
          <w:sz w:val="22"/>
          <w:szCs w:val="22"/>
        </w:rPr>
      </w:pPr>
      <w:r>
        <w:rPr>
          <w:rFonts w:ascii="Arial" w:hAnsi="Arial"/>
          <w:bCs w:val="0"/>
          <w:i w:val="0"/>
          <w:iCs w:val="0"/>
          <w:snapToGrid w:val="0"/>
          <w:sz w:val="22"/>
          <w:szCs w:val="22"/>
        </w:rPr>
        <w:t xml:space="preserve">Résultat escompté 3 : </w:t>
      </w:r>
      <w:r>
        <w:rPr>
          <w:rFonts w:ascii="Arial" w:hAnsi="Arial"/>
          <w:i w:val="0"/>
          <w:sz w:val="22"/>
          <w:szCs w:val="22"/>
        </w:rPr>
        <w:t>Intégration du patrimoine culturel immatériel dans des programmes, des politiques et des plans de développement soutenue</w:t>
      </w:r>
    </w:p>
    <w:p w14:paraId="16BE2F03" w14:textId="488C969A" w:rsidR="00E07554" w:rsidRPr="00CC042B" w:rsidRDefault="00CC042B" w:rsidP="00CC042B">
      <w:pPr>
        <w:pStyle w:val="COMPara"/>
        <w:numPr>
          <w:ilvl w:val="0"/>
          <w:numId w:val="5"/>
        </w:numPr>
        <w:tabs>
          <w:tab w:val="left" w:pos="567"/>
        </w:tabs>
        <w:ind w:left="567" w:hanging="567"/>
        <w:jc w:val="both"/>
        <w:rPr>
          <w:rStyle w:val="hps"/>
          <w:bCs/>
        </w:rPr>
      </w:pPr>
      <w:r>
        <w:rPr>
          <w:rStyle w:val="hps"/>
          <w:bCs/>
        </w:rPr>
        <w:t>En réponse à l</w:t>
      </w:r>
      <w:r w:rsidR="00796EEE">
        <w:rPr>
          <w:rStyle w:val="hps"/>
          <w:bCs/>
        </w:rPr>
        <w:t>’</w:t>
      </w:r>
      <w:r>
        <w:rPr>
          <w:rStyle w:val="hps"/>
          <w:bCs/>
        </w:rPr>
        <w:t>adoption par le Comité de deux priorités de financement pour la période 2018-2021 (</w:t>
      </w:r>
      <w:hyperlink r:id="rId31" w:history="1">
        <w:r>
          <w:rPr>
            <w:rStyle w:val="Lienhypertexte"/>
            <w:bCs/>
          </w:rPr>
          <w:t>décision 12.COM 6</w:t>
        </w:r>
      </w:hyperlink>
      <w:r>
        <w:rPr>
          <w:rStyle w:val="hps"/>
          <w:bCs/>
        </w:rPr>
        <w:t>), le Secrétariat a mis au point, ces deux dernières années, l</w:t>
      </w:r>
      <w:r w:rsidR="00796EEE">
        <w:rPr>
          <w:rStyle w:val="hps"/>
          <w:bCs/>
        </w:rPr>
        <w:t>’</w:t>
      </w:r>
      <w:r>
        <w:rPr>
          <w:rStyle w:val="hps"/>
          <w:bCs/>
        </w:rPr>
        <w:t>initiative intersectorielle « Sauvegarde du patrimoine culturel immatériel dans l</w:t>
      </w:r>
      <w:r w:rsidR="00796EEE">
        <w:rPr>
          <w:rStyle w:val="hps"/>
          <w:bCs/>
        </w:rPr>
        <w:t>’</w:t>
      </w:r>
      <w:r>
        <w:rPr>
          <w:rStyle w:val="hps"/>
          <w:bCs/>
        </w:rPr>
        <w:t>éducation formelle et non formelle », qui contribue à l</w:t>
      </w:r>
      <w:r w:rsidR="00796EEE">
        <w:rPr>
          <w:rStyle w:val="hps"/>
          <w:bCs/>
        </w:rPr>
        <w:t>’</w:t>
      </w:r>
      <w:r>
        <w:rPr>
          <w:rStyle w:val="hps"/>
          <w:bCs/>
        </w:rPr>
        <w:t>initiative intersectorielle menée à l</w:t>
      </w:r>
      <w:r w:rsidR="00796EEE">
        <w:rPr>
          <w:rStyle w:val="hps"/>
          <w:bCs/>
        </w:rPr>
        <w:t>’</w:t>
      </w:r>
      <w:r>
        <w:rPr>
          <w:rStyle w:val="hps"/>
          <w:bCs/>
        </w:rPr>
        <w:t>échelle de l</w:t>
      </w:r>
      <w:r w:rsidR="00796EEE">
        <w:rPr>
          <w:rStyle w:val="hps"/>
          <w:bCs/>
        </w:rPr>
        <w:t>’</w:t>
      </w:r>
      <w:r>
        <w:rPr>
          <w:rStyle w:val="hps"/>
          <w:bCs/>
        </w:rPr>
        <w:t>UNESCO, « L</w:t>
      </w:r>
      <w:r w:rsidR="00796EEE">
        <w:rPr>
          <w:rStyle w:val="hps"/>
          <w:bCs/>
        </w:rPr>
        <w:t>’</w:t>
      </w:r>
      <w:r>
        <w:rPr>
          <w:rStyle w:val="hps"/>
          <w:bCs/>
        </w:rPr>
        <w:t>alliance de l</w:t>
      </w:r>
      <w:r w:rsidR="00796EEE">
        <w:rPr>
          <w:rStyle w:val="hps"/>
          <w:bCs/>
        </w:rPr>
        <w:t>’</w:t>
      </w:r>
      <w:r>
        <w:rPr>
          <w:rStyle w:val="hps"/>
          <w:bCs/>
        </w:rPr>
        <w:t>éducation et de la culture en action pour atteindre les ODD ». En amont, le Secrétariat va lancer et poursuivre le développement du centre d</w:t>
      </w:r>
      <w:r w:rsidR="00796EEE">
        <w:rPr>
          <w:rStyle w:val="hps"/>
          <w:bCs/>
        </w:rPr>
        <w:t>’</w:t>
      </w:r>
      <w:r>
        <w:rPr>
          <w:rStyle w:val="hps"/>
          <w:bCs/>
        </w:rPr>
        <w:t>échanges destiné au partage de connaissances, à la coopération et à l</w:t>
      </w:r>
      <w:r w:rsidR="00796EEE">
        <w:rPr>
          <w:rStyle w:val="hps"/>
          <w:bCs/>
        </w:rPr>
        <w:t>’</w:t>
      </w:r>
      <w:r>
        <w:rPr>
          <w:rStyle w:val="hps"/>
          <w:bCs/>
        </w:rPr>
        <w:t>innovation sur le patrimoine culturel immatériel et l</w:t>
      </w:r>
      <w:r w:rsidR="00796EEE">
        <w:rPr>
          <w:rStyle w:val="hps"/>
          <w:bCs/>
        </w:rPr>
        <w:t>’</w:t>
      </w:r>
      <w:r>
        <w:rPr>
          <w:rStyle w:val="hps"/>
          <w:bCs/>
        </w:rPr>
        <w:t>éducation pour faciliter les travaux dans ce domaine à l</w:t>
      </w:r>
      <w:r w:rsidR="00796EEE">
        <w:rPr>
          <w:rStyle w:val="hps"/>
          <w:bCs/>
        </w:rPr>
        <w:t>’</w:t>
      </w:r>
      <w:r>
        <w:rPr>
          <w:rStyle w:val="hps"/>
          <w:bCs/>
        </w:rPr>
        <w:t>échelle mondiale. Les efforts seront intensifiés afin d</w:t>
      </w:r>
      <w:r w:rsidR="00796EEE">
        <w:rPr>
          <w:rStyle w:val="hps"/>
          <w:bCs/>
        </w:rPr>
        <w:t>’</w:t>
      </w:r>
      <w:r>
        <w:rPr>
          <w:rStyle w:val="hps"/>
          <w:bCs/>
        </w:rPr>
        <w:t>établir et de pérenniser les partenariats avec des donateurs, des institutions et des programmes éducatifs internationaux pertinents pour répondre à cette demande croissante, et des activités seront mises au point en conséquence.</w:t>
      </w:r>
    </w:p>
    <w:p w14:paraId="191E3D64" w14:textId="71AAE126" w:rsidR="00E07554" w:rsidRPr="0054167F" w:rsidRDefault="00495844" w:rsidP="00127A03">
      <w:pPr>
        <w:pStyle w:val="COMPara"/>
        <w:numPr>
          <w:ilvl w:val="0"/>
          <w:numId w:val="5"/>
        </w:numPr>
        <w:tabs>
          <w:tab w:val="left" w:pos="567"/>
        </w:tabs>
        <w:ind w:left="567" w:hanging="567"/>
        <w:jc w:val="both"/>
        <w:rPr>
          <w:rStyle w:val="hps"/>
          <w:bCs/>
        </w:rPr>
      </w:pPr>
      <w:r>
        <w:rPr>
          <w:rStyle w:val="hps"/>
          <w:bCs/>
        </w:rPr>
        <w:t>Lors de sa treizième session en 2018, le Comité a reconnu l</w:t>
      </w:r>
      <w:r w:rsidR="00796EEE">
        <w:rPr>
          <w:rStyle w:val="hps"/>
          <w:bCs/>
        </w:rPr>
        <w:t>’</w:t>
      </w:r>
      <w:r>
        <w:rPr>
          <w:rStyle w:val="hps"/>
          <w:bCs/>
        </w:rPr>
        <w:t>importance pour les peuples autochtones du monde d</w:t>
      </w:r>
      <w:r w:rsidR="00796EEE">
        <w:rPr>
          <w:rStyle w:val="hps"/>
          <w:bCs/>
        </w:rPr>
        <w:t>’</w:t>
      </w:r>
      <w:r>
        <w:rPr>
          <w:rStyle w:val="hps"/>
          <w:bCs/>
        </w:rPr>
        <w:t>assurer la durabilité, l</w:t>
      </w:r>
      <w:r w:rsidR="00796EEE">
        <w:rPr>
          <w:rStyle w:val="hps"/>
          <w:bCs/>
        </w:rPr>
        <w:t>’</w:t>
      </w:r>
      <w:r>
        <w:rPr>
          <w:rStyle w:val="hps"/>
          <w:bCs/>
        </w:rPr>
        <w:t>apprentissage, l</w:t>
      </w:r>
      <w:r w:rsidR="00796EEE">
        <w:rPr>
          <w:rStyle w:val="hps"/>
          <w:bCs/>
        </w:rPr>
        <w:t>’</w:t>
      </w:r>
      <w:r>
        <w:rPr>
          <w:rStyle w:val="hps"/>
          <w:bCs/>
        </w:rPr>
        <w:t>utilisation et la transmission de leur langue en tant que vecteur fondamental du patrimoine culturel immatériel</w:t>
      </w:r>
      <w:r w:rsidR="00461153">
        <w:rPr>
          <w:rStyle w:val="hps"/>
          <w:bCs/>
        </w:rPr>
        <w:t xml:space="preserve"> </w:t>
      </w:r>
      <w:r>
        <w:rPr>
          <w:rStyle w:val="hps"/>
          <w:bCs/>
        </w:rPr>
        <w:t>(</w:t>
      </w:r>
      <w:hyperlink r:id="rId32" w:history="1">
        <w:r>
          <w:rPr>
            <w:rStyle w:val="Lienhypertexte"/>
            <w:bCs/>
          </w:rPr>
          <w:t>décision 13.COM 20</w:t>
        </w:r>
      </w:hyperlink>
      <w:r>
        <w:rPr>
          <w:rStyle w:val="hps"/>
          <w:bCs/>
        </w:rPr>
        <w:t>). Conformément à cette décision, le Secrétariat s</w:t>
      </w:r>
      <w:r w:rsidR="00796EEE">
        <w:rPr>
          <w:rStyle w:val="hps"/>
          <w:bCs/>
        </w:rPr>
        <w:t>’</w:t>
      </w:r>
      <w:r>
        <w:rPr>
          <w:rStyle w:val="hps"/>
          <w:bCs/>
        </w:rPr>
        <w:t>adressera aux peuples autochtones et aux associations qui agissent pour l</w:t>
      </w:r>
      <w:r w:rsidR="00796EEE">
        <w:rPr>
          <w:rStyle w:val="hps"/>
          <w:bCs/>
        </w:rPr>
        <w:t>’</w:t>
      </w:r>
      <w:r>
        <w:rPr>
          <w:rStyle w:val="hps"/>
          <w:bCs/>
        </w:rPr>
        <w:t>intégration de leur patrimoine vivant dans les programmes d</w:t>
      </w:r>
      <w:r w:rsidR="00796EEE">
        <w:rPr>
          <w:rStyle w:val="hps"/>
          <w:bCs/>
        </w:rPr>
        <w:t>’</w:t>
      </w:r>
      <w:r>
        <w:rPr>
          <w:rStyle w:val="hps"/>
          <w:bCs/>
        </w:rPr>
        <w:t xml:space="preserve">éducation formelle et non formelle, afin que leurs expériences soient reflétées dans le travail </w:t>
      </w:r>
      <w:r w:rsidRPr="00162C34">
        <w:rPr>
          <w:rStyle w:val="hps"/>
          <w:bCs/>
        </w:rPr>
        <w:t>du centre d</w:t>
      </w:r>
      <w:r w:rsidR="00796EEE" w:rsidRPr="00162C34">
        <w:rPr>
          <w:rStyle w:val="hps"/>
          <w:bCs/>
        </w:rPr>
        <w:t>’</w:t>
      </w:r>
      <w:r w:rsidRPr="00162C34">
        <w:rPr>
          <w:rStyle w:val="hps"/>
          <w:bCs/>
        </w:rPr>
        <w:t>échanges et dans</w:t>
      </w:r>
      <w:r>
        <w:rPr>
          <w:rStyle w:val="hps"/>
          <w:bCs/>
        </w:rPr>
        <w:t xml:space="preserve"> le plan d</w:t>
      </w:r>
      <w:r w:rsidR="00796EEE">
        <w:rPr>
          <w:rStyle w:val="hps"/>
          <w:bCs/>
        </w:rPr>
        <w:t>’</w:t>
      </w:r>
      <w:r>
        <w:rPr>
          <w:rStyle w:val="hps"/>
          <w:bCs/>
        </w:rPr>
        <w:t>action développé par l</w:t>
      </w:r>
      <w:r w:rsidR="00796EEE">
        <w:rPr>
          <w:rStyle w:val="hps"/>
          <w:bCs/>
        </w:rPr>
        <w:t>’</w:t>
      </w:r>
      <w:r>
        <w:rPr>
          <w:rStyle w:val="hps"/>
          <w:bCs/>
        </w:rPr>
        <w:t>UNESCO dans le cadre de la Décennie internationale des peuples autochtones. En outre, le renforcement des synergies entre la Convention de 2003 et les travaux du système des Nations Unies dans le cadre du Programme 2030 sera poursuivi, notamment dans le domaine du changement climatique et de la biodiversité, de nouvelles opportunités apparaissant dans le contexte de la préparation du Cadre mondial de la biodiversité pour l</w:t>
      </w:r>
      <w:r w:rsidR="00796EEE">
        <w:rPr>
          <w:rStyle w:val="hps"/>
          <w:bCs/>
        </w:rPr>
        <w:t>’</w:t>
      </w:r>
      <w:r>
        <w:rPr>
          <w:rStyle w:val="hps"/>
          <w:bCs/>
        </w:rPr>
        <w:t>après-2020 de la Convention sur la diversité biologique.</w:t>
      </w:r>
    </w:p>
    <w:p w14:paraId="3825DAC1" w14:textId="7DC7CEAE" w:rsidR="00CE26EE" w:rsidRPr="0066154F" w:rsidRDefault="00CE26EE" w:rsidP="001740D7">
      <w:pPr>
        <w:pStyle w:val="Titre2"/>
        <w:tabs>
          <w:tab w:val="left" w:pos="567"/>
        </w:tabs>
        <w:snapToGrid w:val="0"/>
        <w:spacing w:before="360" w:after="240"/>
        <w:ind w:left="567"/>
        <w:jc w:val="both"/>
        <w:rPr>
          <w:rStyle w:val="hps"/>
          <w:rFonts w:cs="Arial"/>
          <w:bCs w:val="0"/>
          <w:i w:val="0"/>
          <w:iCs w:val="0"/>
          <w:sz w:val="22"/>
          <w:szCs w:val="22"/>
        </w:rPr>
      </w:pPr>
      <w:r>
        <w:rPr>
          <w:rFonts w:ascii="Arial" w:hAnsi="Arial"/>
          <w:bCs w:val="0"/>
          <w:i w:val="0"/>
          <w:iCs w:val="0"/>
          <w:snapToGrid w:val="0"/>
          <w:sz w:val="22"/>
          <w:szCs w:val="22"/>
        </w:rPr>
        <w:t>Résultat escompté 4 : Objectifs de la Convention promus par des actions de sensibilisation et d</w:t>
      </w:r>
      <w:r w:rsidR="00796EEE">
        <w:rPr>
          <w:rFonts w:ascii="Arial" w:hAnsi="Arial"/>
          <w:bCs w:val="0"/>
          <w:i w:val="0"/>
          <w:iCs w:val="0"/>
          <w:snapToGrid w:val="0"/>
          <w:sz w:val="22"/>
          <w:szCs w:val="22"/>
        </w:rPr>
        <w:t>’</w:t>
      </w:r>
      <w:r>
        <w:rPr>
          <w:rFonts w:ascii="Arial" w:hAnsi="Arial"/>
          <w:bCs w:val="0"/>
          <w:i w:val="0"/>
          <w:iCs w:val="0"/>
          <w:snapToGrid w:val="0"/>
          <w:sz w:val="22"/>
          <w:szCs w:val="22"/>
        </w:rPr>
        <w:t>information</w:t>
      </w:r>
    </w:p>
    <w:p w14:paraId="1F45E526" w14:textId="7D6E48D1" w:rsidR="00E07554" w:rsidRPr="00E07554" w:rsidRDefault="00E07554" w:rsidP="00E63170">
      <w:pPr>
        <w:pStyle w:val="COMPara"/>
        <w:numPr>
          <w:ilvl w:val="0"/>
          <w:numId w:val="5"/>
        </w:numPr>
        <w:tabs>
          <w:tab w:val="left" w:pos="567"/>
        </w:tabs>
        <w:ind w:left="567" w:hanging="567"/>
        <w:jc w:val="both"/>
        <w:rPr>
          <w:bCs/>
        </w:rPr>
      </w:pPr>
      <w:r>
        <w:t>Comme le stipule son article premier, l</w:t>
      </w:r>
      <w:r w:rsidR="00796EEE">
        <w:t>’</w:t>
      </w:r>
      <w:r>
        <w:t>un des principaux buts de la Convention est la sensibilisation aux niveaux local, national et international à l</w:t>
      </w:r>
      <w:r w:rsidR="00796EEE">
        <w:t>’</w:t>
      </w:r>
      <w:r>
        <w:t>importance du patrimoine culturel immatériel. Sur la base des actions menées pendant l</w:t>
      </w:r>
      <w:r w:rsidR="00796EEE">
        <w:t>’</w:t>
      </w:r>
      <w:r>
        <w:t>exercice biennal précédent, le Secrétariat continuera à lancer des actions de communication pour favoriser la sensibilisation et l</w:t>
      </w:r>
      <w:r w:rsidR="00796EEE">
        <w:t>’</w:t>
      </w:r>
      <w:r>
        <w:t>information à tous les niveaux, en particulier au niveau international. De plus, le développement de partenariats institutionnels stratégiques et efficaces restera également essentiel pour promouvoir les objectifs de la Convention. À cet égard, le Secrétariat prévoit de renforcer ses efforts visant à trouver des moyens d</w:t>
      </w:r>
      <w:r w:rsidR="00796EEE">
        <w:t>’</w:t>
      </w:r>
      <w:r>
        <w:t>augmenter les ressources financières reçues pour mettre en œuvre la Convention.</w:t>
      </w:r>
    </w:p>
    <w:p w14:paraId="57749DC6" w14:textId="3CF9ED46" w:rsidR="00E07554" w:rsidRPr="00E07554" w:rsidRDefault="00E07554" w:rsidP="00C21695">
      <w:pPr>
        <w:pStyle w:val="COMPara"/>
        <w:numPr>
          <w:ilvl w:val="0"/>
          <w:numId w:val="5"/>
        </w:numPr>
        <w:tabs>
          <w:tab w:val="left" w:pos="567"/>
        </w:tabs>
        <w:ind w:left="567" w:hanging="567"/>
        <w:jc w:val="both"/>
        <w:rPr>
          <w:bCs/>
        </w:rPr>
      </w:pPr>
      <w:r>
        <w:t xml:space="preserve">Le </w:t>
      </w:r>
      <w:hyperlink r:id="rId33" w:history="1">
        <w:r>
          <w:rPr>
            <w:rStyle w:val="Lienhypertexte"/>
            <w:bCs/>
          </w:rPr>
          <w:t>site Internet de la Convention</w:t>
        </w:r>
      </w:hyperlink>
      <w:r>
        <w:t xml:space="preserve"> est la pierre angulaire du système de diffusion d</w:t>
      </w:r>
      <w:r w:rsidR="00796EEE">
        <w:t>’</w:t>
      </w:r>
      <w:r>
        <w:t>informations sur la Convention et sur sa mise en œuvre, des travaux des organes directeurs aux projets et activités menés au niveau national. La croissance de la Convention – aussi bien sur le plan géographique que sur le plan thématique – a conduit à l</w:t>
      </w:r>
      <w:r w:rsidR="00796EEE">
        <w:t>’</w:t>
      </w:r>
      <w:r>
        <w:t>accumulation d</w:t>
      </w:r>
      <w:r w:rsidR="00796EEE">
        <w:t>’</w:t>
      </w:r>
      <w:r>
        <w:t>une grande quantité d</w:t>
      </w:r>
      <w:r w:rsidR="00796EEE">
        <w:t>’</w:t>
      </w:r>
      <w:r>
        <w:t>informations qui devront être réorganisées. La refonte du site améliorera l</w:t>
      </w:r>
      <w:r w:rsidR="00796EEE">
        <w:t>’</w:t>
      </w:r>
      <w:r>
        <w:t>accessibilité à toutes les informations qu</w:t>
      </w:r>
      <w:r w:rsidR="00796EEE">
        <w:t>’</w:t>
      </w:r>
      <w:r>
        <w:t>il contient, l</w:t>
      </w:r>
      <w:r w:rsidR="00796EEE">
        <w:t>’</w:t>
      </w:r>
      <w:r>
        <w:t xml:space="preserve">accent étant mis sur les liens entre le patrimoine vivant et le développement durable. Fort de la réussite de </w:t>
      </w:r>
      <w:hyperlink r:id="rId34" w:history="1">
        <w:r>
          <w:rPr>
            <w:rStyle w:val="Lienhypertexte"/>
            <w:bCs/>
          </w:rPr>
          <w:t>la plateforme sur le patrimoine vivant dans le contexte de la pandémie de COVID-19</w:t>
        </w:r>
      </w:hyperlink>
      <w:r>
        <w:t xml:space="preserve"> lancée en mai 2020, le Secrétariat renforcer</w:t>
      </w:r>
      <w:r w:rsidR="002E3CE1">
        <w:t>a</w:t>
      </w:r>
      <w:r>
        <w:t xml:space="preserve"> </w:t>
      </w:r>
      <w:r w:rsidR="002E3CE1">
        <w:t xml:space="preserve">également </w:t>
      </w:r>
      <w:r>
        <w:t>la capacité du site Internet de la Convention pour qu</w:t>
      </w:r>
      <w:r w:rsidR="00796EEE">
        <w:t>’</w:t>
      </w:r>
      <w:r>
        <w:t>il fasse office de plateforme d</w:t>
      </w:r>
      <w:r w:rsidR="00796EEE">
        <w:t>’</w:t>
      </w:r>
      <w:r>
        <w:t>échanges et de communication.</w:t>
      </w:r>
    </w:p>
    <w:p w14:paraId="2FD58CE6" w14:textId="7E9FF585" w:rsidR="00E07554" w:rsidRPr="00E07554" w:rsidRDefault="004A3206" w:rsidP="00C21695">
      <w:pPr>
        <w:pStyle w:val="COMPara"/>
        <w:numPr>
          <w:ilvl w:val="0"/>
          <w:numId w:val="5"/>
        </w:numPr>
        <w:tabs>
          <w:tab w:val="left" w:pos="567"/>
        </w:tabs>
        <w:ind w:left="567" w:hanging="567"/>
        <w:jc w:val="both"/>
        <w:rPr>
          <w:bCs/>
        </w:rPr>
      </w:pPr>
      <w:r>
        <w:lastRenderedPageBreak/>
        <w:t>Une large gamme d</w:t>
      </w:r>
      <w:r w:rsidR="00796EEE">
        <w:t>’</w:t>
      </w:r>
      <w:r>
        <w:t>outils et d</w:t>
      </w:r>
      <w:r w:rsidR="00796EEE">
        <w:t>’</w:t>
      </w:r>
      <w:r>
        <w:t>initiatives de communication seront lancés et développés pour atteindre un grand nombre de parties prenantes variées, dont des autorités gouvernementales et des organisations partenaires comme les ONG accréditées et les centres de catégorie 2, ainsi que les communautés. Des outils de communication et des conseils seront élaborés à l</w:t>
      </w:r>
      <w:r w:rsidR="00796EEE">
        <w:t>’</w:t>
      </w:r>
      <w:r>
        <w:t>intention des États parties. Des outils de visualisation interactifs (tels que l</w:t>
      </w:r>
      <w:r w:rsidR="00796EEE">
        <w:t>’</w:t>
      </w:r>
      <w:r>
        <w:t>interface en ligne « Plongez dans le patrimoine culturel immatériel ! »), des expositions – physiques et virtuelles</w:t>
      </w:r>
      <w:r w:rsidR="002E3CE1">
        <w:t> </w:t>
      </w:r>
      <w:r>
        <w:t>– et des brochures électroniques seront préparées et articulées autour de thèmes stratégiques, en particulier le développement durable et les situations d</w:t>
      </w:r>
      <w:r w:rsidR="00796EEE">
        <w:t>’</w:t>
      </w:r>
      <w:r>
        <w:t>urgence. Des efforts spécifiques seront déployés pour s</w:t>
      </w:r>
      <w:r w:rsidR="00796EEE">
        <w:t>’</w:t>
      </w:r>
      <w:r>
        <w:t>adresser à un public plus large que celui de l</w:t>
      </w:r>
      <w:r w:rsidR="00796EEE">
        <w:t>’</w:t>
      </w:r>
      <w:r>
        <w:t>UNESCO et garantir la représentation du patrimoine vivant à l</w:t>
      </w:r>
      <w:r w:rsidR="00796EEE">
        <w:t>’</w:t>
      </w:r>
      <w:r>
        <w:t>occasion d</w:t>
      </w:r>
      <w:r w:rsidR="00796EEE">
        <w:t>’</w:t>
      </w:r>
      <w:r>
        <w:t>au moins un événement international majeur portant sur le développement durable.</w:t>
      </w:r>
    </w:p>
    <w:p w14:paraId="2E8B1079" w14:textId="77777777" w:rsidR="00233695" w:rsidRPr="00233695" w:rsidRDefault="00233695" w:rsidP="001740D7">
      <w:pPr>
        <w:pStyle w:val="GAPara"/>
        <w:keepNext/>
        <w:numPr>
          <w:ilvl w:val="0"/>
          <w:numId w:val="0"/>
        </w:numPr>
        <w:spacing w:before="240"/>
        <w:rPr>
          <w:b/>
          <w:bCs/>
        </w:rPr>
      </w:pPr>
      <w:r>
        <w:rPr>
          <w:b/>
          <w:bCs/>
        </w:rPr>
        <w:t>Participation aux réunions des organes directeurs et assistance au Comité</w:t>
      </w:r>
    </w:p>
    <w:p w14:paraId="2803BF49" w14:textId="6F0AC553" w:rsidR="00576E1D" w:rsidRPr="00EB21CA" w:rsidRDefault="00576E1D" w:rsidP="00C21695">
      <w:pPr>
        <w:pStyle w:val="COMPara"/>
        <w:keepLines/>
        <w:numPr>
          <w:ilvl w:val="0"/>
          <w:numId w:val="5"/>
        </w:numPr>
        <w:tabs>
          <w:tab w:val="left" w:pos="567"/>
        </w:tabs>
        <w:ind w:left="567" w:hanging="567"/>
        <w:jc w:val="both"/>
      </w:pPr>
      <w:r>
        <w:t>La participation d</w:t>
      </w:r>
      <w:r w:rsidR="00796EEE">
        <w:t>’</w:t>
      </w:r>
      <w:r>
        <w:t xml:space="preserve">experts du patrimoine culturel immatériel représentant des États parties en développement aux réunions statutaires est couverte par la </w:t>
      </w:r>
      <w:r>
        <w:rPr>
          <w:b/>
          <w:bCs/>
        </w:rPr>
        <w:t>ligne budgétaire 4</w:t>
      </w:r>
      <w:r>
        <w:t xml:space="preserve"> s</w:t>
      </w:r>
      <w:r w:rsidR="00796EEE">
        <w:t>’</w:t>
      </w:r>
      <w:r>
        <w:t xml:space="preserve">ils sont membres du Comité ou par la </w:t>
      </w:r>
      <w:r>
        <w:rPr>
          <w:b/>
          <w:bCs/>
        </w:rPr>
        <w:t>ligne budgétaire 5</w:t>
      </w:r>
      <w:r>
        <w:t xml:space="preserve"> s</w:t>
      </w:r>
      <w:r w:rsidR="00796EEE">
        <w:t>’</w:t>
      </w:r>
      <w:r>
        <w:t>ils ne le sont pas. La participation d</w:t>
      </w:r>
      <w:r w:rsidR="00796EEE">
        <w:t>’</w:t>
      </w:r>
      <w:r>
        <w:t xml:space="preserve">experts du patrimoine culturel immatériel représentant des ONG accréditées de pays en développement aux sessions du Comité est couverte par la </w:t>
      </w:r>
      <w:r>
        <w:rPr>
          <w:b/>
        </w:rPr>
        <w:t>ligne budgétaire 6</w:t>
      </w:r>
      <w:r>
        <w:t>. Il est proposé que 2,63 %, 3,31 % et 3,31 % soient respectivement dédiés aux lignes budgétaires susmentionnées. Ce léger ajustement des pourcentages vise à garantir un soutien à tous les membres éligibles du Comité, tout en équilibrant dans le même temps l</w:t>
      </w:r>
      <w:r w:rsidR="00796EEE">
        <w:t>’</w:t>
      </w:r>
      <w:r>
        <w:t>aide fournie aux États parties et aux ONG accréditées, compte tenu de l</w:t>
      </w:r>
      <w:r w:rsidR="00796EEE">
        <w:t>’</w:t>
      </w:r>
      <w:r>
        <w:t>augmentation du nombre de ratification ces dernières années.</w:t>
      </w:r>
    </w:p>
    <w:p w14:paraId="32CE1861" w14:textId="4F581BFB" w:rsidR="00C6563D" w:rsidRDefault="0009445E" w:rsidP="00C21695">
      <w:pPr>
        <w:pStyle w:val="COMPara"/>
        <w:numPr>
          <w:ilvl w:val="0"/>
          <w:numId w:val="5"/>
        </w:numPr>
        <w:tabs>
          <w:tab w:val="left" w:pos="567"/>
        </w:tabs>
        <w:ind w:left="567" w:hanging="567"/>
        <w:jc w:val="both"/>
      </w:pPr>
      <w:r>
        <w:t>Lors de sa septième session (</w:t>
      </w:r>
      <w:hyperlink r:id="rId35" w:history="1">
        <w:r>
          <w:rPr>
            <w:rStyle w:val="Lienhypertexte"/>
          </w:rPr>
          <w:t>résolution 7.GA 8</w:t>
        </w:r>
      </w:hyperlink>
      <w:r>
        <w:t>), l</w:t>
      </w:r>
      <w:r w:rsidR="00796EEE">
        <w:t>’</w:t>
      </w:r>
      <w:r>
        <w:t>Assemblée générale a recommandé que le Secrétariat soit autorisé à transférer des fonds entre les lignes budgétaires 4, 5 et 6 jusqu</w:t>
      </w:r>
      <w:r w:rsidR="00796EEE">
        <w:t>’</w:t>
      </w:r>
      <w:r>
        <w:t>à un montant équivalent à 30 % de leur allocation totale initiale. Pendant la période 2018-2019, en septembre et en novembre 2019 respectivement, deux transferts ont été effectués comme suit entre ces trois lignes budgétaires :</w:t>
      </w:r>
    </w:p>
    <w:p w14:paraId="278A184F" w14:textId="00DE61A2" w:rsidR="00500CFC" w:rsidRDefault="00500CFC" w:rsidP="00E63170">
      <w:pPr>
        <w:pStyle w:val="COMPara"/>
        <w:numPr>
          <w:ilvl w:val="1"/>
          <w:numId w:val="5"/>
        </w:numPr>
        <w:tabs>
          <w:tab w:val="left" w:pos="567"/>
        </w:tabs>
        <w:ind w:left="1134" w:hanging="567"/>
        <w:jc w:val="both"/>
      </w:pPr>
      <w:r>
        <w:t>24 866 dollars des États-Unis de la ligne budgétaire 4 à ligne budgétaire 5 (soit 14 % de l</w:t>
      </w:r>
      <w:r w:rsidR="00796EEE">
        <w:t>’</w:t>
      </w:r>
      <w:r>
        <w:t>allocation initiale au titre de la ligne budgétaire 4) ;</w:t>
      </w:r>
    </w:p>
    <w:p w14:paraId="77D344B8" w14:textId="44D78069" w:rsidR="00500CFC" w:rsidRDefault="00500CFC" w:rsidP="00E63170">
      <w:pPr>
        <w:pStyle w:val="COMPara"/>
        <w:numPr>
          <w:ilvl w:val="1"/>
          <w:numId w:val="5"/>
        </w:numPr>
        <w:tabs>
          <w:tab w:val="left" w:pos="567"/>
        </w:tabs>
        <w:ind w:left="1134" w:hanging="567"/>
        <w:jc w:val="both"/>
      </w:pPr>
      <w:r>
        <w:t>45 000 dollars des États-Unis de la ligne budgétaire 6 à ligne budgétaire 5 (soit 13 % de l</w:t>
      </w:r>
      <w:r w:rsidR="00796EEE">
        <w:t>’</w:t>
      </w:r>
      <w:r>
        <w:t>allocation initiale au titre de la ligne budgétaire 6).</w:t>
      </w:r>
    </w:p>
    <w:p w14:paraId="7F00459E" w14:textId="5694B6AE" w:rsidR="0044038D" w:rsidRPr="00E17265" w:rsidRDefault="0044038D" w:rsidP="00C21695">
      <w:pPr>
        <w:pStyle w:val="COMPara"/>
        <w:numPr>
          <w:ilvl w:val="0"/>
          <w:numId w:val="5"/>
        </w:numPr>
        <w:tabs>
          <w:tab w:val="left" w:pos="567"/>
        </w:tabs>
        <w:ind w:left="567" w:hanging="567"/>
        <w:jc w:val="both"/>
      </w:pPr>
      <w:r>
        <w:t>Ces deux transferts ont permis au Fonds de : a) couvrir les frais de déplacement de quarante experts des pays en développement parties à la Convention mais non membres du Comité pour leur participation à la quatorzième session du Comité en 2019 (ligne budgétaire 5) ; b) répondre favorablement à toutes les demandes d</w:t>
      </w:r>
      <w:r w:rsidR="00796EEE">
        <w:t>’</w:t>
      </w:r>
      <w:r>
        <w:t>experts représentant des pays en développement membres du Comité souhaitant assister à la quatorzième session du Comité (ligne budgétaire 4) et c) couvrir les frais de déplacement de 25 experts représentant des organisations non gouvernementales accréditées de pays en développement pour leur participation à cette même session du Comité (ligne budgétaire 6).</w:t>
      </w:r>
    </w:p>
    <w:p w14:paraId="487BCB7D" w14:textId="77777777" w:rsidR="001740D7" w:rsidRDefault="001740D7" w:rsidP="00C21695">
      <w:pPr>
        <w:pStyle w:val="COMPara"/>
        <w:numPr>
          <w:ilvl w:val="0"/>
          <w:numId w:val="5"/>
        </w:numPr>
        <w:tabs>
          <w:tab w:val="left" w:pos="567"/>
        </w:tabs>
        <w:ind w:left="567" w:hanging="567"/>
        <w:jc w:val="both"/>
      </w:pPr>
      <w:r>
        <w:t xml:space="preserve">Il est proposé que la </w:t>
      </w:r>
      <w:r>
        <w:rPr>
          <w:b/>
        </w:rPr>
        <w:t>ligne budgétaire 7</w:t>
      </w:r>
      <w:r>
        <w:t xml:space="preserve"> soit maintenue à 6 % pour couvrir les coûts des services consultatifs fournis à la demande du Comité entre janvier 2020 et décembre 2021.</w:t>
      </w:r>
    </w:p>
    <w:p w14:paraId="503A5573" w14:textId="20177F98" w:rsidR="0009445E" w:rsidRPr="00E17265" w:rsidRDefault="00C31325" w:rsidP="00C21695">
      <w:pPr>
        <w:pStyle w:val="COMPara"/>
        <w:numPr>
          <w:ilvl w:val="0"/>
          <w:numId w:val="5"/>
        </w:numPr>
        <w:tabs>
          <w:tab w:val="left" w:pos="567"/>
        </w:tabs>
        <w:ind w:left="567" w:hanging="567"/>
        <w:jc w:val="both"/>
      </w:pPr>
      <w:r>
        <w:t>Pour la période 2020-2021, l</w:t>
      </w:r>
      <w:r w:rsidR="00796EEE">
        <w:t>’</w:t>
      </w:r>
      <w:r>
        <w:t>intention reste d</w:t>
      </w:r>
      <w:r w:rsidR="00796EEE">
        <w:t>’</w:t>
      </w:r>
      <w:r>
        <w:t>utiliser efficacement les fonds en fonction des besoins de chaque cycle. À cet égard, il a été observé que l</w:t>
      </w:r>
      <w:r w:rsidR="00796EEE">
        <w:t>’</w:t>
      </w:r>
      <w:r>
        <w:t>utilisation des fonds alloués au titre de la ligne budgétaire 7 varie significativement d</w:t>
      </w:r>
      <w:r w:rsidR="00796EEE">
        <w:t>’</w:t>
      </w:r>
      <w:r>
        <w:t>une année à l</w:t>
      </w:r>
      <w:r w:rsidR="00796EEE">
        <w:t>’</w:t>
      </w:r>
      <w:r>
        <w:t>autre, étant donné que l</w:t>
      </w:r>
      <w:r w:rsidR="00796EEE">
        <w:t>’</w:t>
      </w:r>
      <w:r>
        <w:t>éligibilité dépend du pays d</w:t>
      </w:r>
      <w:r w:rsidR="00796EEE">
        <w:t>’</w:t>
      </w:r>
      <w:r>
        <w:t>où proviennent les experts qui composent l</w:t>
      </w:r>
      <w:r w:rsidR="00796EEE">
        <w:t>’</w:t>
      </w:r>
      <w:r>
        <w:t>Organe d</w:t>
      </w:r>
      <w:r w:rsidR="00796EEE">
        <w:t>’</w:t>
      </w:r>
      <w:r>
        <w:t>évaluation. Par conséquent, afin de pouvoir répondre à autant de demandes d</w:t>
      </w:r>
      <w:r w:rsidR="00796EEE">
        <w:t>’</w:t>
      </w:r>
      <w:r>
        <w:t>assistance financière que possible pour toutes les catégories de participants, le Comité a recommandé à l</w:t>
      </w:r>
      <w:r w:rsidR="00796EEE">
        <w:t>’</w:t>
      </w:r>
      <w:r>
        <w:t>Assemblée générale d</w:t>
      </w:r>
      <w:r w:rsidR="00796EEE">
        <w:t>’</w:t>
      </w:r>
      <w:r>
        <w:t xml:space="preserve">autoriser le Secrétariat à transférer des fonds entre les lignes budgétaires 4, 5, 6 </w:t>
      </w:r>
      <w:r w:rsidR="00F7400C">
        <w:t xml:space="preserve">et </w:t>
      </w:r>
      <w:r>
        <w:t>7 jusqu</w:t>
      </w:r>
      <w:r w:rsidR="00796EEE">
        <w:t>’</w:t>
      </w:r>
      <w:r>
        <w:t>à un montant équivalent à 30 pour cent de leur allocation initiale totale (</w:t>
      </w:r>
      <w:hyperlink r:id="rId36" w:history="1">
        <w:r>
          <w:rPr>
            <w:rStyle w:val="Lienhypertexte"/>
          </w:rPr>
          <w:t>décision 14.COM 7</w:t>
        </w:r>
      </w:hyperlink>
      <w:r>
        <w:t>). Dans cette même décision, il a été demandé au Secrétariat d</w:t>
      </w:r>
      <w:r w:rsidR="00796EEE">
        <w:t>’</w:t>
      </w:r>
      <w:r>
        <w:t>informer le Comité et l</w:t>
      </w:r>
      <w:r w:rsidR="00796EEE">
        <w:t>’</w:t>
      </w:r>
      <w:r>
        <w:t>Assemblée générale par écrit des détails et des raisons de ces transferts lors de la session suivante.</w:t>
      </w:r>
    </w:p>
    <w:p w14:paraId="1EA7E419" w14:textId="30F14A31" w:rsidR="00600219" w:rsidRDefault="003F7C52" w:rsidP="000D16BE">
      <w:pPr>
        <w:pStyle w:val="Titre4"/>
        <w:numPr>
          <w:ilvl w:val="0"/>
          <w:numId w:val="17"/>
        </w:numPr>
        <w:spacing w:before="360" w:after="120"/>
        <w:ind w:left="567" w:hanging="567"/>
        <w:jc w:val="both"/>
      </w:pPr>
      <w:bookmarkStart w:id="3" w:name="IV_Continuity_Measures"/>
      <w:bookmarkEnd w:id="3"/>
      <w:r>
        <w:lastRenderedPageBreak/>
        <w:t>MESURES DE CONTINUITÉ PRISES SUITE AU REPORT DE LA HUITIÈME SESSION DE L</w:t>
      </w:r>
      <w:r w:rsidR="00796EEE">
        <w:t>’</w:t>
      </w:r>
      <w:r>
        <w:t>ASSEMBLÉE GÉNÉRALE</w:t>
      </w:r>
    </w:p>
    <w:p w14:paraId="29E64CDA" w14:textId="3105826C" w:rsidR="005D5581" w:rsidRPr="00684D3B" w:rsidRDefault="00684D3B" w:rsidP="0028775E">
      <w:pPr>
        <w:pStyle w:val="COMPara"/>
        <w:numPr>
          <w:ilvl w:val="0"/>
          <w:numId w:val="5"/>
        </w:numPr>
        <w:tabs>
          <w:tab w:val="left" w:pos="567"/>
        </w:tabs>
        <w:ind w:left="567" w:hanging="567"/>
        <w:jc w:val="both"/>
      </w:pPr>
      <w:r>
        <w:t>Compte tenu du report de la huitième session de l</w:t>
      </w:r>
      <w:r w:rsidR="00796EEE">
        <w:t>’</w:t>
      </w:r>
      <w:r>
        <w:t>Assemblée générale en raison de la pandémie de COVID-19, le Secrétariat a été obligé de reprogrammer une partie du budget du Fonds approuvé pour le premier semestre 2020 afin d</w:t>
      </w:r>
      <w:r w:rsidR="00796EEE">
        <w:t>’</w:t>
      </w:r>
      <w:r>
        <w:t>assurer la continuité de ses activités. L</w:t>
      </w:r>
      <w:r w:rsidR="00796EEE">
        <w:t>’</w:t>
      </w:r>
      <w:r>
        <w:t>Assemblée générale, qui devait initialement se tenir du 9 au 11 juin 2020, aurait examiné le présent Plan proposé par le Comité pour l</w:t>
      </w:r>
      <w:r w:rsidR="00796EEE">
        <w:t>’</w:t>
      </w:r>
      <w:r>
        <w:t>utilisation des ressources du Fonds du patrimoine culturel immatériel pour l</w:t>
      </w:r>
      <w:r w:rsidR="00796EEE">
        <w:t>’</w:t>
      </w:r>
      <w:r>
        <w:t>exercice biennal 2020-2021, ainsi que la proposition qu</w:t>
      </w:r>
      <w:r w:rsidR="00796EEE">
        <w:t>’</w:t>
      </w:r>
      <w:r>
        <w:t>un quart du montant établi pour la période de deux ans allant du 1</w:t>
      </w:r>
      <w:r>
        <w:rPr>
          <w:vertAlign w:val="superscript"/>
        </w:rPr>
        <w:t>er</w:t>
      </w:r>
      <w:r>
        <w:t> janvier 2020 au 31 décembre 2021 soit provisoirement alloué au premier semestre de 2022 (</w:t>
      </w:r>
      <w:hyperlink r:id="rId37" w:history="1">
        <w:r>
          <w:rPr>
            <w:rStyle w:val="Lienhypertexte"/>
          </w:rPr>
          <w:t>décision 14.COM 7</w:t>
        </w:r>
      </w:hyperlink>
      <w:r>
        <w:t>).</w:t>
      </w:r>
    </w:p>
    <w:p w14:paraId="031F22C3" w14:textId="60481FDB" w:rsidR="005D5581" w:rsidRPr="00B702ED" w:rsidRDefault="0028775E">
      <w:pPr>
        <w:pStyle w:val="COMPara"/>
        <w:numPr>
          <w:ilvl w:val="0"/>
          <w:numId w:val="5"/>
        </w:numPr>
        <w:tabs>
          <w:tab w:val="left" w:pos="567"/>
        </w:tabs>
        <w:ind w:left="567" w:hanging="567"/>
        <w:jc w:val="both"/>
        <w:rPr>
          <w:strike/>
        </w:rPr>
      </w:pPr>
      <w:r>
        <w:t>Étant donné que, lors de sa septième session, l</w:t>
      </w:r>
      <w:r w:rsidR="00796EEE">
        <w:t>’</w:t>
      </w:r>
      <w:r>
        <w:t>Assemblée générale a approuvé le Plan d</w:t>
      </w:r>
      <w:r w:rsidR="00796EEE">
        <w:t>’</w:t>
      </w:r>
      <w:r>
        <w:t>utilisation des ressources du Fonds pour la période du 1</w:t>
      </w:r>
      <w:r>
        <w:rPr>
          <w:vertAlign w:val="superscript"/>
        </w:rPr>
        <w:t>er</w:t>
      </w:r>
      <w:r>
        <w:t> janvier 2018 au 31 décembre 2019 ainsi que pour la période du 1</w:t>
      </w:r>
      <w:r>
        <w:rPr>
          <w:vertAlign w:val="superscript"/>
        </w:rPr>
        <w:t>er</w:t>
      </w:r>
      <w:r>
        <w:t> janvier 2020 au 30 juin 2020 (</w:t>
      </w:r>
      <w:hyperlink r:id="rId38" w:history="1">
        <w:r>
          <w:rPr>
            <w:rStyle w:val="Lienhypertexte"/>
          </w:rPr>
          <w:t>résolution 7.GA 8</w:t>
        </w:r>
      </w:hyperlink>
      <w:r>
        <w:t xml:space="preserve">), le Secrétariat risquait de voir ses opérations </w:t>
      </w:r>
      <w:r w:rsidR="00F7400C">
        <w:t xml:space="preserve">interrompues </w:t>
      </w:r>
      <w:r>
        <w:t>après le 30 juin 2020. Pour poursuivre ses opérations et à titre transitoire, le Secrétariat a décidé, après avoir consulté les Services centraux de l</w:t>
      </w:r>
      <w:r w:rsidR="00796EEE">
        <w:t>’</w:t>
      </w:r>
      <w:r>
        <w:t>UNESCO, de prolonger la validité du budget approuvé pour les six premiers mois de 2020 jusqu</w:t>
      </w:r>
      <w:r w:rsidR="00796EEE">
        <w:t>’</w:t>
      </w:r>
      <w:r>
        <w:t>à ce que la huitième session de l</w:t>
      </w:r>
      <w:r w:rsidR="00796EEE">
        <w:t>’</w:t>
      </w:r>
      <w:r>
        <w:t>Assemblée générale de la Convention puisse être convoquée. Cette prolongation n</w:t>
      </w:r>
      <w:r w:rsidR="00796EEE">
        <w:t>’</w:t>
      </w:r>
      <w:r>
        <w:t>a pas eu d</w:t>
      </w:r>
      <w:r w:rsidR="00796EEE">
        <w:t>’</w:t>
      </w:r>
      <w:r>
        <w:t>effet sur le budget global de 2 147 </w:t>
      </w:r>
      <w:r w:rsidR="00F7400C">
        <w:t>731 </w:t>
      </w:r>
      <w:r>
        <w:t>dollars des États-Unis approuvé par l</w:t>
      </w:r>
      <w:r w:rsidR="00796EEE">
        <w:t>’</w:t>
      </w:r>
      <w:r>
        <w:t>Assemblée générale pour les six premiers mois de 2020, et n</w:t>
      </w:r>
      <w:r w:rsidR="00796EEE">
        <w:t>’</w:t>
      </w:r>
      <w:r>
        <w:t>a pas de répercussions sur le Plan biennal dans son ensemble ni sur les pourcentages proposés.</w:t>
      </w:r>
    </w:p>
    <w:p w14:paraId="5C8544F7" w14:textId="77777777" w:rsidR="006360C8" w:rsidRDefault="006360C8" w:rsidP="000D16BE">
      <w:pPr>
        <w:pStyle w:val="Titre4"/>
        <w:numPr>
          <w:ilvl w:val="0"/>
          <w:numId w:val="17"/>
        </w:numPr>
        <w:spacing w:before="360" w:after="120"/>
        <w:ind w:left="567" w:hanging="567"/>
        <w:jc w:val="both"/>
        <w:rPr>
          <w:rFonts w:cs="Arial"/>
          <w:szCs w:val="22"/>
        </w:rPr>
      </w:pPr>
      <w:bookmarkStart w:id="4" w:name="V_Subfund"/>
      <w:bookmarkEnd w:id="4"/>
      <w:r>
        <w:t>RENFORCEMENT DES RESSOURCES HUMAINES DU SECRÉTARIAT</w:t>
      </w:r>
    </w:p>
    <w:p w14:paraId="7FB3A56D" w14:textId="49FB094C" w:rsidR="00D85FEE" w:rsidRDefault="00D85FEE" w:rsidP="00C21695">
      <w:pPr>
        <w:pStyle w:val="COMPara"/>
        <w:numPr>
          <w:ilvl w:val="0"/>
          <w:numId w:val="5"/>
        </w:numPr>
        <w:tabs>
          <w:tab w:val="left" w:pos="567"/>
        </w:tabs>
        <w:ind w:left="567" w:hanging="567"/>
        <w:jc w:val="both"/>
      </w:pPr>
      <w:r>
        <w:t>En 2010, l</w:t>
      </w:r>
      <w:r w:rsidR="00796EEE">
        <w:t>’</w:t>
      </w:r>
      <w:r>
        <w:t>Assemblée générale a créé un sous-fonds, dans le cadre du Fonds du patrimoine culturel immatériel, destiné exclusivement au renforcement des capacités humaines du Secrétariat. À l</w:t>
      </w:r>
      <w:r w:rsidR="00796EEE">
        <w:t>’</w:t>
      </w:r>
      <w:r>
        <w:t>époque, l</w:t>
      </w:r>
      <w:r w:rsidR="00796EEE">
        <w:t>’</w:t>
      </w:r>
      <w:r>
        <w:t>Assemblée générale avait estimé qu</w:t>
      </w:r>
      <w:r w:rsidR="00796EEE">
        <w:t>’</w:t>
      </w:r>
      <w:r>
        <w:t>un montant d</w:t>
      </w:r>
      <w:r w:rsidR="00796EEE">
        <w:t>’</w:t>
      </w:r>
      <w:r>
        <w:t>environ 1,1 million de dollars des États-Unis par an était nécessaire à cette fin (</w:t>
      </w:r>
      <w:hyperlink r:id="rId39" w:history="1">
        <w:r>
          <w:rPr>
            <w:rStyle w:val="Lienhypertexte"/>
          </w:rPr>
          <w:t>résolution 3.GA 9</w:t>
        </w:r>
      </w:hyperlink>
      <w:r>
        <w:t>).</w:t>
      </w:r>
    </w:p>
    <w:p w14:paraId="29DE3472" w14:textId="274B7A47" w:rsidR="00D85FEE" w:rsidRDefault="00D85FEE" w:rsidP="00C21695">
      <w:pPr>
        <w:pStyle w:val="COMPara"/>
        <w:numPr>
          <w:ilvl w:val="0"/>
          <w:numId w:val="5"/>
        </w:numPr>
        <w:tabs>
          <w:tab w:val="left" w:pos="567"/>
        </w:tabs>
        <w:ind w:left="567" w:hanging="567"/>
        <w:jc w:val="both"/>
      </w:pPr>
      <w:r>
        <w:t>Reconnaissant que la capacité du Secrétariat à fournir aux États membres des services de qualité dépend en grande partie de ses ressources humaines, des donateurs nombreux et variés ont apporté leur soutien au fil des années. Récemment, ce soutien s</w:t>
      </w:r>
      <w:r w:rsidR="00796EEE">
        <w:t>’</w:t>
      </w:r>
      <w:r>
        <w:t xml:space="preserve">est traduit dans la </w:t>
      </w:r>
      <w:hyperlink r:id="rId40" w:history="1">
        <w:r>
          <w:rPr>
            <w:rStyle w:val="Lienhypertexte"/>
          </w:rPr>
          <w:t>décision 7.GA 8</w:t>
        </w:r>
      </w:hyperlink>
      <w:r>
        <w:t xml:space="preserve"> de l</w:t>
      </w:r>
      <w:r w:rsidR="00796EEE">
        <w:t>’</w:t>
      </w:r>
      <w:r>
        <w:t>Assemblée générale de créer trois nouveaux postes à durée déterminée financés à l</w:t>
      </w:r>
      <w:r w:rsidR="00796EEE">
        <w:t>’</w:t>
      </w:r>
      <w:r>
        <w:t>aide de fonds extrabudgétaires afin de renforcer les ressources humaines du Secrétariat pour la mise en œuvre d</w:t>
      </w:r>
      <w:r w:rsidRPr="00FF1949">
        <w:t>es mécanismes d</w:t>
      </w:r>
      <w:r w:rsidR="00796EEE" w:rsidRPr="00FF1949">
        <w:t>’</w:t>
      </w:r>
      <w:r w:rsidRPr="00FF1949">
        <w:t xml:space="preserve">assistance internationale du Fonds (voir le </w:t>
      </w:r>
      <w:hyperlink r:id="rId41" w:history="1">
        <w:r w:rsidRPr="00FF1949">
          <w:rPr>
            <w:rStyle w:val="Lienhypertexte"/>
          </w:rPr>
          <w:t>document LHE/20/8.GA/INF.7</w:t>
        </w:r>
      </w:hyperlink>
      <w:r w:rsidRPr="00FF1949">
        <w:t>).</w:t>
      </w:r>
      <w:r>
        <w:t xml:space="preserve"> Ces trois postes, auxquels s</w:t>
      </w:r>
      <w:r w:rsidR="00796EEE">
        <w:t>’</w:t>
      </w:r>
      <w:r>
        <w:t>ajoutent les contributions financières et en nature reçues au cours de l</w:t>
      </w:r>
      <w:r w:rsidR="00796EEE">
        <w:t>’</w:t>
      </w:r>
      <w:r>
        <w:t xml:space="preserve">exercice biennal actuel, contribuent à répondre aux besoins identifiés par le </w:t>
      </w:r>
      <w:r w:rsidR="00F56BBE">
        <w:t>S</w:t>
      </w:r>
      <w:r>
        <w:t>ecrétariat en matière de ressources humaines, bien que le montant annuel du sous-fonds (fixé à 1,1 million de dollars des États-Unis) n</w:t>
      </w:r>
      <w:r w:rsidR="00796EEE">
        <w:t>’</w:t>
      </w:r>
      <w:r>
        <w:t>ait pas été atteint.</w:t>
      </w:r>
    </w:p>
    <w:p w14:paraId="4C8EB7FB" w14:textId="77FE6D49" w:rsidR="0081123C" w:rsidRDefault="0081123C" w:rsidP="00C21695">
      <w:pPr>
        <w:pStyle w:val="COMPara"/>
        <w:numPr>
          <w:ilvl w:val="0"/>
          <w:numId w:val="5"/>
        </w:numPr>
        <w:tabs>
          <w:tab w:val="left" w:pos="567"/>
        </w:tabs>
        <w:ind w:left="567" w:hanging="567"/>
        <w:jc w:val="both"/>
      </w:pPr>
      <w:r>
        <w:t>Depuis que cet objectif a été fixé en 2010, la Convention a considérablement étendu sa portée géographique (de 113 États parties à 178 en juillet 2020) et son périmètre thématique. En 2019, le Comité a donc demandé « au Secrétariat de réévaluer ses besoins en ressources humaines et de présenter un nouvel objectif annuel du sous-fonds » en vue de son examen par l</w:t>
      </w:r>
      <w:r w:rsidR="00796EEE">
        <w:t>’</w:t>
      </w:r>
      <w:r>
        <w:t>Assemblée générale lors de la présente session (</w:t>
      </w:r>
      <w:hyperlink r:id="rId42" w:history="1">
        <w:r>
          <w:rPr>
            <w:rStyle w:val="Lienhypertexte"/>
          </w:rPr>
          <w:t>décision 14.COM 6</w:t>
        </w:r>
      </w:hyperlink>
      <w:r>
        <w:t>).</w:t>
      </w:r>
    </w:p>
    <w:p w14:paraId="1A34E55D" w14:textId="2EB387B6" w:rsidR="00D85FEE" w:rsidRDefault="00D85FEE" w:rsidP="005B0C5B">
      <w:pPr>
        <w:pStyle w:val="COMPara"/>
        <w:numPr>
          <w:ilvl w:val="0"/>
          <w:numId w:val="5"/>
        </w:numPr>
        <w:tabs>
          <w:tab w:val="left" w:pos="567"/>
        </w:tabs>
        <w:ind w:left="567" w:hanging="567"/>
        <w:jc w:val="both"/>
      </w:pPr>
      <w:r>
        <w:t>À l</w:t>
      </w:r>
      <w:r w:rsidR="00796EEE">
        <w:t>’</w:t>
      </w:r>
      <w:r>
        <w:t>heure actuelle, dix professionnels et cinq titulaires d</w:t>
      </w:r>
      <w:r w:rsidR="00796EEE">
        <w:t>’</w:t>
      </w:r>
      <w:r>
        <w:t>un emploi général à durée déterminée travaillent au sein de l</w:t>
      </w:r>
      <w:r w:rsidR="00796EEE">
        <w:t>’</w:t>
      </w:r>
      <w:r>
        <w:t>Entité du patrimoine vivant, y compris le Secrétaire de la Convention et les chefs des deux unités (Unité de la gestion du programme et Unité du renforcement des capacités et des politiques du patrimoine), ainsi que les trois titulaires des postes à durée déterminée financés à l</w:t>
      </w:r>
      <w:r w:rsidR="00796EEE">
        <w:t>’</w:t>
      </w:r>
      <w:r>
        <w:t>aide de fonds extrabudgétaires. Cet effectif n</w:t>
      </w:r>
      <w:r w:rsidR="00796EEE">
        <w:t>’</w:t>
      </w:r>
      <w:r>
        <w:t>est pas suffisant pour permettre au Secrétariat d</w:t>
      </w:r>
      <w:r w:rsidR="00796EEE">
        <w:t>’</w:t>
      </w:r>
      <w:r>
        <w:t>assumer l</w:t>
      </w:r>
      <w:r w:rsidR="00796EEE">
        <w:t>’</w:t>
      </w:r>
      <w:r>
        <w:t>ensemble de ses obligations statutaires fondamentales (</w:t>
      </w:r>
      <w:r w:rsidR="003C1AE5">
        <w:t xml:space="preserve">notamment la </w:t>
      </w:r>
      <w:r>
        <w:t>préparation des réunions statutaires et notamment la rédaction des documents ; soutien aux travaux de l</w:t>
      </w:r>
      <w:r w:rsidR="00796EEE">
        <w:t>’</w:t>
      </w:r>
      <w:r>
        <w:t>Organe d</w:t>
      </w:r>
      <w:r w:rsidR="00796EEE">
        <w:t>’</w:t>
      </w:r>
      <w:r>
        <w:t>évaluation ; traitement des candidatures et des demandes d</w:t>
      </w:r>
      <w:r w:rsidR="00796EEE">
        <w:t>’</w:t>
      </w:r>
      <w:r>
        <w:t>accréditation des organisations non gouvernementales ; examen et suivi des rapports périodiques) et ses autres fonctions vitales (fonction de responsable régional, programme de renforcement des capacités, travaux thématiques sur l</w:t>
      </w:r>
      <w:r w:rsidR="00796EEE">
        <w:t>’</w:t>
      </w:r>
      <w:r>
        <w:t xml:space="preserve">éducation et des </w:t>
      </w:r>
      <w:r>
        <w:lastRenderedPageBreak/>
        <w:t>situations d</w:t>
      </w:r>
      <w:r w:rsidR="00796EEE">
        <w:t>’</w:t>
      </w:r>
      <w:r>
        <w:t>urgence, activités d</w:t>
      </w:r>
      <w:r w:rsidR="00796EEE">
        <w:t>’</w:t>
      </w:r>
      <w:r>
        <w:t>information et de communication). Étant donné la situation actuelle, un grand nombre de ces obligations fondamentales et de ces fonctions sont remplies par des agents temporaires sous divers contrats.</w:t>
      </w:r>
    </w:p>
    <w:p w14:paraId="7A4FD7B4" w14:textId="4E0658A4" w:rsidR="0091093B" w:rsidRDefault="005B0C5B" w:rsidP="00C21695">
      <w:pPr>
        <w:pStyle w:val="COMPara"/>
        <w:numPr>
          <w:ilvl w:val="0"/>
          <w:numId w:val="5"/>
        </w:numPr>
        <w:tabs>
          <w:tab w:val="left" w:pos="567"/>
        </w:tabs>
        <w:ind w:left="567" w:hanging="567"/>
        <w:jc w:val="both"/>
      </w:pPr>
      <w:r>
        <w:t>Au regard des frais actuellement encourus par le Secrétariat, l</w:t>
      </w:r>
      <w:r w:rsidR="00796EEE">
        <w:t>’</w:t>
      </w:r>
      <w:r>
        <w:t>objectif annuel du sous-fonds devrait être fixé à 950 000 dollars des États-Unis par an. Cela permettrait au Secrétariat de continuer à répondre de manière appropriée aux besoins émergents et à améliorer la mise en œuvre de la Convention, notamment à travers le déploiement du mécanisme de rapports périodiques ; l</w:t>
      </w:r>
      <w:r w:rsidR="00796EEE">
        <w:t>’</w:t>
      </w:r>
      <w:r>
        <w:t>application d</w:t>
      </w:r>
      <w:r w:rsidR="00796EEE">
        <w:t>’</w:t>
      </w:r>
      <w:r>
        <w:t>un plan d</w:t>
      </w:r>
      <w:r w:rsidR="00796EEE">
        <w:t>’</w:t>
      </w:r>
      <w:r>
        <w:t>information et de communication ; le lancement d</w:t>
      </w:r>
      <w:r w:rsidR="00796EEE">
        <w:t>’</w:t>
      </w:r>
      <w:r>
        <w:t>initiatives thématiques sur « la sauvegarde du patrimoine culturel immatériel dans l</w:t>
      </w:r>
      <w:r w:rsidR="00796EEE">
        <w:t>’</w:t>
      </w:r>
      <w:r>
        <w:t>éducation formelle et non formelle » et « le patrimoine culturel immatériel dans les situations d</w:t>
      </w:r>
      <w:r w:rsidR="00796EEE">
        <w:t>’</w:t>
      </w:r>
      <w:r>
        <w:t>urgence » ; et la réflexion lancée par le Comité sur l</w:t>
      </w:r>
      <w:r w:rsidR="00796EEE">
        <w:t>’</w:t>
      </w:r>
      <w:r>
        <w:t>avenir des mécanismes d</w:t>
      </w:r>
      <w:r w:rsidR="00796EEE">
        <w:t>’</w:t>
      </w:r>
      <w:r>
        <w:t>inscription sur les listes de la Convention. À cette fin, des contributions volontaires au sous-fonds, versées par des États ou des acteurs du secteur privé, restent nécessaires.</w:t>
      </w:r>
    </w:p>
    <w:p w14:paraId="64131A10" w14:textId="77777777" w:rsidR="006360C8" w:rsidRPr="005E29A7" w:rsidRDefault="006360C8" w:rsidP="000D16BE">
      <w:pPr>
        <w:pStyle w:val="Titre4"/>
        <w:numPr>
          <w:ilvl w:val="0"/>
          <w:numId w:val="17"/>
        </w:numPr>
        <w:spacing w:before="360" w:after="120"/>
        <w:ind w:left="567" w:hanging="567"/>
        <w:jc w:val="both"/>
        <w:rPr>
          <w:rFonts w:cs="Arial"/>
          <w:b w:val="0"/>
          <w:szCs w:val="22"/>
        </w:rPr>
      </w:pPr>
      <w:bookmarkStart w:id="5" w:name="VI_Management_Cost"/>
      <w:bookmarkEnd w:id="5"/>
      <w:r>
        <w:t>TAUX DE GESTION DU FONDS</w:t>
      </w:r>
    </w:p>
    <w:p w14:paraId="4BDBB373" w14:textId="1AC0D4F6" w:rsidR="006360C8" w:rsidRPr="00E7332C" w:rsidRDefault="006360C8" w:rsidP="00C21695">
      <w:pPr>
        <w:numPr>
          <w:ilvl w:val="0"/>
          <w:numId w:val="2"/>
        </w:numPr>
        <w:spacing w:after="120"/>
        <w:ind w:left="567" w:hanging="567"/>
        <w:jc w:val="both"/>
        <w:rPr>
          <w:rFonts w:ascii="Arial" w:eastAsia="SimSun" w:hAnsi="Arial" w:cs="Arial"/>
          <w:snapToGrid w:val="0"/>
          <w:sz w:val="22"/>
          <w:szCs w:val="22"/>
        </w:rPr>
      </w:pPr>
      <w:r>
        <w:rPr>
          <w:rFonts w:ascii="Arial" w:hAnsi="Arial"/>
          <w:snapToGrid w:val="0"/>
          <w:sz w:val="22"/>
          <w:szCs w:val="22"/>
        </w:rPr>
        <w:t>Le Fonds, tout comme d</w:t>
      </w:r>
      <w:r w:rsidR="00796EEE">
        <w:rPr>
          <w:rFonts w:ascii="Arial" w:hAnsi="Arial"/>
          <w:snapToGrid w:val="0"/>
          <w:sz w:val="22"/>
          <w:szCs w:val="22"/>
        </w:rPr>
        <w:t>’</w:t>
      </w:r>
      <w:r>
        <w:rPr>
          <w:rFonts w:ascii="Arial" w:hAnsi="Arial"/>
          <w:snapToGrid w:val="0"/>
          <w:sz w:val="22"/>
          <w:szCs w:val="22"/>
        </w:rPr>
        <w:t>autres comptes spéciaux multidonateurs tel</w:t>
      </w:r>
      <w:r w:rsidR="003C1AE5">
        <w:rPr>
          <w:rFonts w:ascii="Arial" w:hAnsi="Arial"/>
          <w:snapToGrid w:val="0"/>
          <w:sz w:val="22"/>
          <w:szCs w:val="22"/>
        </w:rPr>
        <w:t>s</w:t>
      </w:r>
      <w:r>
        <w:rPr>
          <w:rFonts w:ascii="Arial" w:hAnsi="Arial"/>
          <w:snapToGrid w:val="0"/>
          <w:sz w:val="22"/>
          <w:szCs w:val="22"/>
        </w:rPr>
        <w:t xml:space="preserve"> que le Fonds du patrimoine mondial, a bénéficié d</w:t>
      </w:r>
      <w:r w:rsidR="00796EEE">
        <w:rPr>
          <w:rFonts w:ascii="Arial" w:hAnsi="Arial"/>
          <w:snapToGrid w:val="0"/>
          <w:sz w:val="22"/>
          <w:szCs w:val="22"/>
        </w:rPr>
        <w:t>’</w:t>
      </w:r>
      <w:r>
        <w:rPr>
          <w:rFonts w:ascii="Arial" w:hAnsi="Arial"/>
          <w:snapToGrid w:val="0"/>
          <w:sz w:val="22"/>
          <w:szCs w:val="22"/>
        </w:rPr>
        <w:t>un taux de gestion de 0 pour cent pour les contributions réglementaires, accordé par dérogation de la Directrice générale, tandis qu</w:t>
      </w:r>
      <w:r w:rsidR="00796EEE">
        <w:rPr>
          <w:rFonts w:ascii="Arial" w:hAnsi="Arial"/>
          <w:snapToGrid w:val="0"/>
          <w:sz w:val="22"/>
          <w:szCs w:val="22"/>
        </w:rPr>
        <w:t>’</w:t>
      </w:r>
      <w:r>
        <w:rPr>
          <w:rFonts w:ascii="Arial" w:hAnsi="Arial"/>
          <w:snapToGrid w:val="0"/>
          <w:sz w:val="22"/>
          <w:szCs w:val="22"/>
        </w:rPr>
        <w:t>un taux de 10</w:t>
      </w:r>
      <w:r w:rsidR="003C1AE5">
        <w:rPr>
          <w:rFonts w:ascii="Arial" w:hAnsi="Arial"/>
          <w:snapToGrid w:val="0"/>
          <w:sz w:val="22"/>
          <w:szCs w:val="22"/>
        </w:rPr>
        <w:t> pour</w:t>
      </w:r>
      <w:r>
        <w:rPr>
          <w:rFonts w:ascii="Arial" w:hAnsi="Arial"/>
          <w:snapToGrid w:val="0"/>
          <w:sz w:val="22"/>
          <w:szCs w:val="22"/>
        </w:rPr>
        <w:t xml:space="preserve"> cent était </w:t>
      </w:r>
      <w:r w:rsidR="00C27057">
        <w:rPr>
          <w:rFonts w:ascii="Arial" w:hAnsi="Arial"/>
          <w:snapToGrid w:val="0"/>
          <w:sz w:val="22"/>
          <w:szCs w:val="22"/>
        </w:rPr>
        <w:t xml:space="preserve">initialement </w:t>
      </w:r>
      <w:r>
        <w:rPr>
          <w:rFonts w:ascii="Arial" w:hAnsi="Arial"/>
          <w:snapToGrid w:val="0"/>
          <w:sz w:val="22"/>
          <w:szCs w:val="22"/>
        </w:rPr>
        <w:t>appliqué aux contributions volontaires supplémentaires.</w:t>
      </w:r>
    </w:p>
    <w:p w14:paraId="4680223C" w14:textId="041EA7A9" w:rsidR="006360C8" w:rsidRPr="00E7332C" w:rsidRDefault="006360C8" w:rsidP="00C21695">
      <w:pPr>
        <w:pStyle w:val="COMPara"/>
        <w:numPr>
          <w:ilvl w:val="0"/>
          <w:numId w:val="2"/>
        </w:numPr>
        <w:ind w:left="567" w:hanging="567"/>
        <w:jc w:val="both"/>
        <w:rPr>
          <w:rFonts w:eastAsia="SimSun"/>
          <w:bCs/>
        </w:rPr>
      </w:pPr>
      <w:r>
        <w:t>Lors de sa treizième session (</w:t>
      </w:r>
      <w:hyperlink r:id="rId43" w:history="1">
        <w:r>
          <w:rPr>
            <w:rStyle w:val="Lienhypertexte"/>
          </w:rPr>
          <w:t>décision 13.COM 6</w:t>
        </w:r>
      </w:hyperlink>
      <w:r>
        <w:t xml:space="preserve">), le Comité a pris note du document du Conseil exécutif </w:t>
      </w:r>
      <w:hyperlink r:id="rId44" w:history="1">
        <w:r>
          <w:rPr>
            <w:rStyle w:val="Lienhypertexte"/>
          </w:rPr>
          <w:t>204 EX/5 Partie II.E</w:t>
        </w:r>
      </w:hyperlink>
      <w:r>
        <w:t xml:space="preserve"> sur la « Politique de recouvrement des coûts : proposition révisée de politique de taux différentiels concernant les taux de gestion » et de la décision qui lui est associée, selon laquelle le Conseil a décidé d</w:t>
      </w:r>
      <w:r w:rsidR="00796EEE">
        <w:t>’</w:t>
      </w:r>
      <w:r>
        <w:t xml:space="preserve">appliquer </w:t>
      </w:r>
      <w:r w:rsidR="002141B7">
        <w:t>à tous les</w:t>
      </w:r>
      <w:r>
        <w:t xml:space="preserve"> comptes spéciaux multidonateurs un nouveau taux fixé à 7 pour cent. Le document présenté à la 204</w:t>
      </w:r>
      <w:r w:rsidR="003C1AE5" w:rsidRPr="002A0DB0">
        <w:t>eme</w:t>
      </w:r>
      <w:r>
        <w:t xml:space="preserve"> session du Conseil exécutif indiquait que « les nécessaires consultations avec les organes directeurs des États parties à la Convention pour la sauvegarde du patrimoine culturel immatériel et à la Convention du patrimoine mondial se tiendraient entre juin 2018 et novembre 2019 » (voir le document </w:t>
      </w:r>
      <w:hyperlink r:id="rId45" w:history="1">
        <w:r>
          <w:rPr>
            <w:color w:val="0000FF"/>
            <w:u w:val="single"/>
          </w:rPr>
          <w:t>204 EX/5 Partie II.E</w:t>
        </w:r>
      </w:hyperlink>
      <w:r>
        <w:t>, paragraphe 14). Lors de sa quarante-deuxième session en 2018, le Comité du patrimoine mondial a décidé de « recommande</w:t>
      </w:r>
      <w:r w:rsidR="003C1AE5">
        <w:t>[</w:t>
      </w:r>
      <w:r>
        <w:t>r] vivement que le taux de gestion actuel de 0 % continue de s</w:t>
      </w:r>
      <w:r w:rsidR="00796EEE">
        <w:t>’</w:t>
      </w:r>
      <w:r>
        <w:t>appliquer au compte spécial du Fonds du patrimoine mondial » (</w:t>
      </w:r>
      <w:hyperlink r:id="rId46" w:history="1">
        <w:r>
          <w:rPr>
            <w:rStyle w:val="Lienhypertexte"/>
          </w:rPr>
          <w:t>décision 42 COM 14</w:t>
        </w:r>
      </w:hyperlink>
      <w:r>
        <w:t>). Lors de sa quatorzième session (</w:t>
      </w:r>
      <w:hyperlink r:id="rId47" w:history="1">
        <w:r>
          <w:rPr>
            <w:rStyle w:val="Lienhypertexte"/>
          </w:rPr>
          <w:t>décision 14.COM 6</w:t>
        </w:r>
      </w:hyperlink>
      <w:r>
        <w:t>) le Comité de la Convention de 2003 a recommandé « à l</w:t>
      </w:r>
      <w:r w:rsidR="00796EEE">
        <w:t>’</w:t>
      </w:r>
      <w:r>
        <w:t>Assemblée générale d</w:t>
      </w:r>
      <w:r w:rsidR="00796EEE">
        <w:t>’</w:t>
      </w:r>
      <w:r>
        <w:t>approuver l</w:t>
      </w:r>
      <w:bookmarkStart w:id="6" w:name="_Hlk45717823"/>
      <w:r>
        <w:t>e maintien d</w:t>
      </w:r>
      <w:r w:rsidR="00796EEE">
        <w:t>’</w:t>
      </w:r>
      <w:r>
        <w:t>un taux de gestion à 0 pour cent pour toutes les contributions mises en recouvrement</w:t>
      </w:r>
      <w:bookmarkEnd w:id="6"/>
      <w:r>
        <w:t xml:space="preserve"> pour le compte spécial du Fonds du patrimoine culturel immatériel et l</w:t>
      </w:r>
      <w:r w:rsidR="00796EEE">
        <w:t>’</w:t>
      </w:r>
      <w:r>
        <w:t>application d</w:t>
      </w:r>
      <w:r w:rsidR="00796EEE">
        <w:t>’</w:t>
      </w:r>
      <w:r>
        <w:t>un taux de gestion à 7 pour cent pour toutes les autres contributions. »</w:t>
      </w:r>
    </w:p>
    <w:p w14:paraId="3CAE415F" w14:textId="77777777" w:rsidR="00576E1D" w:rsidRPr="009720B8" w:rsidRDefault="00576E1D" w:rsidP="000D16BE">
      <w:pPr>
        <w:pStyle w:val="Titre4"/>
        <w:numPr>
          <w:ilvl w:val="0"/>
          <w:numId w:val="17"/>
        </w:numPr>
        <w:spacing w:before="360" w:after="120"/>
        <w:ind w:left="567" w:hanging="567"/>
        <w:jc w:val="both"/>
        <w:rPr>
          <w:b w:val="0"/>
        </w:rPr>
      </w:pPr>
      <w:bookmarkStart w:id="7" w:name="VII_Financial_Regulations"/>
      <w:bookmarkEnd w:id="7"/>
      <w:r>
        <w:t>ALIGNEMENT DU RÈGLEMENT FINANCIER DES COMPTES SPÉCIAUX</w:t>
      </w:r>
    </w:p>
    <w:p w14:paraId="040EB0BB" w14:textId="13BD03FF" w:rsidR="00E253B5" w:rsidRPr="009720B8" w:rsidRDefault="00576E1D" w:rsidP="00C21695">
      <w:pPr>
        <w:pStyle w:val="COMPara"/>
        <w:numPr>
          <w:ilvl w:val="0"/>
          <w:numId w:val="5"/>
        </w:numPr>
        <w:tabs>
          <w:tab w:val="left" w:pos="567"/>
        </w:tabs>
        <w:ind w:left="567" w:hanging="567"/>
        <w:jc w:val="both"/>
      </w:pPr>
      <w:r>
        <w:t>Lors de sa 200</w:t>
      </w:r>
      <w:r w:rsidR="003C1AE5" w:rsidRPr="002A0DB0">
        <w:t>eme</w:t>
      </w:r>
      <w:r>
        <w:t xml:space="preserve"> session en 2016, le Conseil exécutif de l</w:t>
      </w:r>
      <w:r w:rsidR="00796EEE">
        <w:t>’</w:t>
      </w:r>
      <w:r>
        <w:t xml:space="preserve">UNESCO a approuvé les modèles de règlements financiers pour chaque type de compte spécial, y compris ceux liés à des conventions, conformément à </w:t>
      </w:r>
      <w:hyperlink r:id="rId48" w:history="1">
        <w:r>
          <w:rPr>
            <w:rStyle w:val="Lienhypertexte"/>
          </w:rPr>
          <w:t>l</w:t>
        </w:r>
        <w:r w:rsidR="00796EEE">
          <w:rPr>
            <w:rStyle w:val="Lienhypertexte"/>
          </w:rPr>
          <w:t>’</w:t>
        </w:r>
        <w:r>
          <w:rPr>
            <w:rStyle w:val="Lienhypertexte"/>
          </w:rPr>
          <w:t>annexe IV du document 200EX/19</w:t>
        </w:r>
      </w:hyperlink>
      <w:r>
        <w:t xml:space="preserve"> (</w:t>
      </w:r>
      <w:hyperlink r:id="rId49" w:history="1">
        <w:r>
          <w:rPr>
            <w:rStyle w:val="Lienhypertexte"/>
          </w:rPr>
          <w:t>décision 200 EX/19</w:t>
        </w:r>
      </w:hyperlink>
      <w:r>
        <w:t>). Lors de sa session suivante en 2017, le Conseil exécutif a demandé à la Directrice générale de proposer à l</w:t>
      </w:r>
      <w:r w:rsidR="00796EEE">
        <w:t>’</w:t>
      </w:r>
      <w:r>
        <w:t>organe directeur de chaque compte spécial le réalignement du règlement financier de leur compte spécial respectif avec les modèles de règlements financiers mentionnés ci-dessus (</w:t>
      </w:r>
      <w:hyperlink r:id="rId50" w:history="1">
        <w:r>
          <w:rPr>
            <w:rStyle w:val="Lienhypertexte"/>
          </w:rPr>
          <w:t>décision 201 EX/24</w:t>
        </w:r>
      </w:hyperlink>
      <w:r>
        <w:t>). En 2019, le Comité a demandé au Secrétariat de proposer, pour examen par l</w:t>
      </w:r>
      <w:r w:rsidR="00796EEE">
        <w:t>’</w:t>
      </w:r>
      <w:r>
        <w:t xml:space="preserve">Assemblée générale lors de la </w:t>
      </w:r>
      <w:r w:rsidR="003C1AE5">
        <w:t xml:space="preserve">présente </w:t>
      </w:r>
      <w:r>
        <w:t>session, un projet de révision du Règlement financier (</w:t>
      </w:r>
      <w:hyperlink r:id="rId51" w:history="1">
        <w:r>
          <w:rPr>
            <w:rStyle w:val="Lienhypertexte"/>
          </w:rPr>
          <w:t>décision 14.COM 7</w:t>
        </w:r>
      </w:hyperlink>
      <w:r>
        <w:t>).</w:t>
      </w:r>
    </w:p>
    <w:p w14:paraId="429EB9E5" w14:textId="3131FA23" w:rsidR="00576E1D" w:rsidRPr="009720B8" w:rsidRDefault="005D09CC" w:rsidP="00C21695">
      <w:pPr>
        <w:pStyle w:val="COMPara"/>
        <w:numPr>
          <w:ilvl w:val="0"/>
          <w:numId w:val="5"/>
        </w:numPr>
        <w:tabs>
          <w:tab w:val="left" w:pos="567"/>
        </w:tabs>
        <w:ind w:left="567" w:hanging="567"/>
        <w:jc w:val="both"/>
      </w:pPr>
      <w:r>
        <w:t>Le réalignement du Règlement financier du Fonds nécessite un certain nombre d</w:t>
      </w:r>
      <w:r w:rsidR="00796EEE">
        <w:t>’</w:t>
      </w:r>
      <w:r>
        <w:t>amendements présentés à l</w:t>
      </w:r>
      <w:r w:rsidR="00796EEE">
        <w:t>’</w:t>
      </w:r>
      <w:r>
        <w:t>annexe III. En particulier, tel que proposé, le nouvel article 4 préciserait que l</w:t>
      </w:r>
      <w:r w:rsidR="00796EEE">
        <w:t>’</w:t>
      </w:r>
      <w:r>
        <w:t>Assemblée générale a pouvoir de décider de l</w:t>
      </w:r>
      <w:r w:rsidR="00796EEE">
        <w:t>’</w:t>
      </w:r>
      <w:r>
        <w:t>allocation des ressources du Fonds conformément aux Directives opérationnelles et que le Secrétariat administre le Fonds conformément à la Convention, aux décisions des organes directeurs de la Convention et au Règlement financier. En outre, les nouveaux articles 4.</w:t>
      </w:r>
      <w:r w:rsidR="00C109FA">
        <w:t xml:space="preserve">4 </w:t>
      </w:r>
      <w:r>
        <w:t xml:space="preserve">et 10 proposés formaliseraient la pratique actuelle appliquée en matière de rapports, selon laquelle le Secrétariat rend compte </w:t>
      </w:r>
      <w:r>
        <w:lastRenderedPageBreak/>
        <w:t>de l</w:t>
      </w:r>
      <w:r w:rsidR="00796EEE">
        <w:t>’</w:t>
      </w:r>
      <w:r>
        <w:t>utilisation des ressources à l</w:t>
      </w:r>
      <w:r w:rsidR="00796EEE">
        <w:t>’</w:t>
      </w:r>
      <w:r>
        <w:t>Assemblée générale tous les deux ans. Un nouvel article 11 proposé préciserait les modalités de clôture du Fonds par l</w:t>
      </w:r>
      <w:r w:rsidR="00796EEE">
        <w:t>’</w:t>
      </w:r>
      <w:r>
        <w:t>Assemblée générale. Le Conseil exécutif de l</w:t>
      </w:r>
      <w:r w:rsidR="00796EEE">
        <w:t>’</w:t>
      </w:r>
      <w:r>
        <w:t>UNESCO serait informé de tout amendement au Règlement financier du Fonds (nouvel article 12.1).</w:t>
      </w:r>
    </w:p>
    <w:p w14:paraId="5E4E565D" w14:textId="3A46B92E" w:rsidR="00576E1D" w:rsidRPr="00DC490B" w:rsidRDefault="00576E1D" w:rsidP="00B702ED">
      <w:pPr>
        <w:pStyle w:val="COMPara"/>
        <w:keepNext/>
        <w:keepLines/>
        <w:numPr>
          <w:ilvl w:val="0"/>
          <w:numId w:val="5"/>
        </w:numPr>
        <w:tabs>
          <w:tab w:val="left" w:pos="567"/>
        </w:tabs>
        <w:ind w:left="567" w:hanging="567"/>
        <w:jc w:val="both"/>
      </w:pPr>
      <w:r>
        <w:t>L</w:t>
      </w:r>
      <w:r w:rsidR="00796EEE">
        <w:t>’</w:t>
      </w:r>
      <w:r>
        <w:t>Assemblée générale souhaitera peut-être adopter la résolution suivante :</w:t>
      </w:r>
    </w:p>
    <w:p w14:paraId="7E541542" w14:textId="77777777" w:rsidR="00576E1D" w:rsidRPr="00DC490B" w:rsidRDefault="00576E1D" w:rsidP="00B702ED">
      <w:pPr>
        <w:pStyle w:val="COMTitleDecision"/>
        <w:keepLines/>
        <w:rPr>
          <w:rFonts w:eastAsia="SimSun"/>
        </w:rPr>
      </w:pPr>
      <w:bookmarkStart w:id="8" w:name="_Hlk42187665"/>
      <w:r>
        <w:t>PROJET DE RÉSOLUTION 8.GA 7</w:t>
      </w:r>
    </w:p>
    <w:p w14:paraId="7AC07F42" w14:textId="5EDA972D" w:rsidR="00576E1D" w:rsidRDefault="00576E1D" w:rsidP="00B702ED">
      <w:pPr>
        <w:pStyle w:val="COMPreambulaDecisions"/>
        <w:keepLines/>
      </w:pPr>
      <w:r>
        <w:t>L</w:t>
      </w:r>
      <w:r w:rsidR="00796EEE">
        <w:t>’</w:t>
      </w:r>
      <w:r>
        <w:t>Assemblée générale,</w:t>
      </w:r>
    </w:p>
    <w:p w14:paraId="45DEF199" w14:textId="3AE6AE3E" w:rsidR="000B109B" w:rsidRPr="00BC230C" w:rsidRDefault="000B109B" w:rsidP="00B702ED">
      <w:pPr>
        <w:pStyle w:val="COMParaDecision"/>
        <w:keepNext/>
        <w:keepLines/>
        <w:numPr>
          <w:ilvl w:val="0"/>
          <w:numId w:val="3"/>
        </w:numPr>
        <w:ind w:left="1134" w:hanging="567"/>
        <w:rPr>
          <w:u w:val="none"/>
        </w:rPr>
      </w:pPr>
      <w:r>
        <w:t>Ayant examiné</w:t>
      </w:r>
      <w:r>
        <w:rPr>
          <w:u w:val="none"/>
        </w:rPr>
        <w:t xml:space="preserve"> les documents LHE/20/8.GA/</w:t>
      </w:r>
      <w:r w:rsidRPr="00B743F3">
        <w:rPr>
          <w:u w:val="none"/>
        </w:rPr>
        <w:t>7</w:t>
      </w:r>
      <w:r w:rsidR="00C109FA">
        <w:rPr>
          <w:u w:val="none"/>
        </w:rPr>
        <w:t xml:space="preserve"> Rev.</w:t>
      </w:r>
      <w:r w:rsidRPr="00B743F3">
        <w:rPr>
          <w:u w:val="none"/>
        </w:rPr>
        <w:t xml:space="preserve"> et </w:t>
      </w:r>
      <w:hyperlink r:id="rId52" w:history="1">
        <w:r w:rsidRPr="00B743F3">
          <w:rPr>
            <w:rStyle w:val="Lienhypertexte"/>
          </w:rPr>
          <w:t>LHE/20/8.GA/INF</w:t>
        </w:r>
        <w:r w:rsidR="008A6415" w:rsidRPr="00B743F3">
          <w:rPr>
            <w:rStyle w:val="Lienhypertexte"/>
          </w:rPr>
          <w:t>.7</w:t>
        </w:r>
      </w:hyperlink>
      <w:r w:rsidRPr="00B743F3">
        <w:rPr>
          <w:u w:val="none"/>
        </w:rPr>
        <w:t>,</w:t>
      </w:r>
    </w:p>
    <w:p w14:paraId="14E766B5" w14:textId="432D42FE" w:rsidR="000B109B" w:rsidRPr="00DC490B" w:rsidRDefault="000B109B" w:rsidP="00B702ED">
      <w:pPr>
        <w:pStyle w:val="COMParaDecision"/>
        <w:keepLines/>
        <w:numPr>
          <w:ilvl w:val="0"/>
          <w:numId w:val="3"/>
        </w:numPr>
        <w:ind w:left="1134" w:hanging="567"/>
        <w:rPr>
          <w:u w:val="none"/>
        </w:rPr>
      </w:pPr>
      <w:r>
        <w:t>Rappelant</w:t>
      </w:r>
      <w:r>
        <w:rPr>
          <w:u w:val="none"/>
        </w:rPr>
        <w:t xml:space="preserve"> l</w:t>
      </w:r>
      <w:r w:rsidR="00796EEE">
        <w:rPr>
          <w:u w:val="none"/>
        </w:rPr>
        <w:t>’</w:t>
      </w:r>
      <w:r>
        <w:rPr>
          <w:u w:val="none"/>
        </w:rPr>
        <w:t>article 7(c) de la Convention et les paragraphes 66 et 67 des Directives opérationnelles</w:t>
      </w:r>
      <w:r w:rsidR="008A6415">
        <w:rPr>
          <w:u w:val="none"/>
        </w:rPr>
        <w:t>,</w:t>
      </w:r>
    </w:p>
    <w:p w14:paraId="0C5BE55B" w14:textId="7BDA11C9" w:rsidR="000B109B" w:rsidRPr="00D91A09" w:rsidRDefault="000B109B" w:rsidP="00B702ED">
      <w:pPr>
        <w:pStyle w:val="COMParaDecision"/>
        <w:keepLines/>
        <w:numPr>
          <w:ilvl w:val="0"/>
          <w:numId w:val="3"/>
        </w:numPr>
        <w:ind w:left="1134" w:hanging="567"/>
      </w:pPr>
      <w:r w:rsidRPr="00852F54">
        <w:t xml:space="preserve">Rappelant </w:t>
      </w:r>
      <w:r w:rsidR="00852F54" w:rsidRPr="00852F54">
        <w:t>en outre</w:t>
      </w:r>
      <w:r>
        <w:rPr>
          <w:u w:val="none"/>
        </w:rPr>
        <w:t xml:space="preserve"> la décision 200 EX/19 et la décision 201 EX/24, ainsi que la résolution portant ouverture de crédits pour 2020-2021 adoptée par la Conférence générale lors de sa quarantième session,</w:t>
      </w:r>
    </w:p>
    <w:p w14:paraId="3C7A7EFE" w14:textId="77777777" w:rsidR="000B109B" w:rsidRDefault="000B109B" w:rsidP="00B702ED">
      <w:pPr>
        <w:pStyle w:val="COMParaDecision"/>
        <w:keepNext/>
        <w:keepLines/>
        <w:ind w:left="567" w:firstLine="0"/>
        <w:rPr>
          <w:b/>
          <w:bCs/>
          <w:u w:val="none"/>
        </w:rPr>
      </w:pPr>
      <w:r>
        <w:rPr>
          <w:b/>
          <w:bCs/>
          <w:u w:val="none"/>
        </w:rPr>
        <w:t>Situation et évolution du Fonds</w:t>
      </w:r>
    </w:p>
    <w:p w14:paraId="4266B32F" w14:textId="71979DD1" w:rsidR="000B109B" w:rsidRPr="00BC230C" w:rsidRDefault="000B109B" w:rsidP="00B702ED">
      <w:pPr>
        <w:pStyle w:val="COMParaDecision"/>
        <w:keepLines/>
        <w:numPr>
          <w:ilvl w:val="0"/>
          <w:numId w:val="3"/>
        </w:numPr>
        <w:ind w:left="1134" w:hanging="567"/>
        <w:rPr>
          <w:u w:val="none"/>
        </w:rPr>
      </w:pPr>
      <w:r>
        <w:t>Accueille avec satisfaction</w:t>
      </w:r>
      <w:r>
        <w:rPr>
          <w:u w:val="none"/>
        </w:rPr>
        <w:t xml:space="preserve"> la récente évolution positive de l</w:t>
      </w:r>
      <w:r w:rsidR="00796EEE">
        <w:rPr>
          <w:u w:val="none"/>
        </w:rPr>
        <w:t>’</w:t>
      </w:r>
      <w:r>
        <w:rPr>
          <w:u w:val="none"/>
        </w:rPr>
        <w:t xml:space="preserve">utilisation du Fonds, </w:t>
      </w:r>
      <w:r>
        <w:t>félicite</w:t>
      </w:r>
      <w:r>
        <w:rPr>
          <w:u w:val="none"/>
        </w:rPr>
        <w:t xml:space="preserve"> le Secrétariat pour ses efforts afin d</w:t>
      </w:r>
      <w:r w:rsidR="00796EEE">
        <w:rPr>
          <w:u w:val="none"/>
        </w:rPr>
        <w:t>’</w:t>
      </w:r>
      <w:r>
        <w:rPr>
          <w:u w:val="none"/>
        </w:rPr>
        <w:t xml:space="preserve">intensifier </w:t>
      </w:r>
      <w:r w:rsidRPr="008A6415">
        <w:rPr>
          <w:u w:val="none"/>
        </w:rPr>
        <w:t>la mise en œuvre des</w:t>
      </w:r>
      <w:r>
        <w:rPr>
          <w:u w:val="none"/>
        </w:rPr>
        <w:t xml:space="preserve"> mécanismes d</w:t>
      </w:r>
      <w:r w:rsidR="00796EEE">
        <w:rPr>
          <w:u w:val="none"/>
        </w:rPr>
        <w:t>’</w:t>
      </w:r>
      <w:r>
        <w:rPr>
          <w:u w:val="none"/>
        </w:rPr>
        <w:t xml:space="preserve">assistance internationale, </w:t>
      </w:r>
      <w:r>
        <w:t>prend note</w:t>
      </w:r>
      <w:r>
        <w:rPr>
          <w:u w:val="none"/>
        </w:rPr>
        <w:t xml:space="preserve"> de la constitution d</w:t>
      </w:r>
      <w:r w:rsidR="00796EEE">
        <w:rPr>
          <w:u w:val="none"/>
        </w:rPr>
        <w:t>’</w:t>
      </w:r>
      <w:r>
        <w:rPr>
          <w:u w:val="none"/>
        </w:rPr>
        <w:t xml:space="preserve">une équipe </w:t>
      </w:r>
      <w:r w:rsidR="008A6415">
        <w:rPr>
          <w:u w:val="none"/>
        </w:rPr>
        <w:t xml:space="preserve">dédiée </w:t>
      </w:r>
      <w:r>
        <w:rPr>
          <w:u w:val="none"/>
        </w:rPr>
        <w:t xml:space="preserve">comprenant trois nouveaux postes à durée déterminée, financés par des fonds extrabudgétaires, et </w:t>
      </w:r>
      <w:r>
        <w:t xml:space="preserve">attend avec intérêt </w:t>
      </w:r>
      <w:r>
        <w:rPr>
          <w:u w:val="none"/>
        </w:rPr>
        <w:t>d</w:t>
      </w:r>
      <w:r w:rsidR="00796EEE">
        <w:rPr>
          <w:u w:val="none"/>
        </w:rPr>
        <w:t>’</w:t>
      </w:r>
      <w:r>
        <w:rPr>
          <w:u w:val="none"/>
        </w:rPr>
        <w:t>observer l</w:t>
      </w:r>
      <w:r w:rsidR="00796EEE">
        <w:rPr>
          <w:u w:val="none"/>
        </w:rPr>
        <w:t>’</w:t>
      </w:r>
      <w:r>
        <w:rPr>
          <w:u w:val="none"/>
        </w:rPr>
        <w:t>amélioration du suivi de l</w:t>
      </w:r>
      <w:r w:rsidR="00796EEE">
        <w:rPr>
          <w:u w:val="none"/>
        </w:rPr>
        <w:t>’</w:t>
      </w:r>
      <w:r>
        <w:rPr>
          <w:u w:val="none"/>
        </w:rPr>
        <w:t>impact des projets soutenus par le Fonds ;</w:t>
      </w:r>
    </w:p>
    <w:p w14:paraId="78F4F4E7" w14:textId="40135D52" w:rsidR="000B109B" w:rsidRPr="000B79F5" w:rsidRDefault="000B109B" w:rsidP="00B702ED">
      <w:pPr>
        <w:pStyle w:val="COMParaDecision"/>
        <w:keepLines/>
        <w:numPr>
          <w:ilvl w:val="0"/>
          <w:numId w:val="3"/>
        </w:numPr>
        <w:ind w:left="1134" w:hanging="567"/>
        <w:rPr>
          <w:u w:val="none"/>
        </w:rPr>
      </w:pPr>
      <w:r>
        <w:t>Prend note</w:t>
      </w:r>
      <w:r>
        <w:rPr>
          <w:u w:val="none"/>
        </w:rPr>
        <w:t xml:space="preserve"> des mesures prises par le Secrétariat, sans répercussions sur le Plan biennal dans son ensemble, pour assurer la continuité de ses activités après le report de la huitième session de l</w:t>
      </w:r>
      <w:r w:rsidR="00796EEE">
        <w:rPr>
          <w:u w:val="none"/>
        </w:rPr>
        <w:t>’</w:t>
      </w:r>
      <w:r>
        <w:rPr>
          <w:u w:val="none"/>
        </w:rPr>
        <w:t>Assemblée générale ;</w:t>
      </w:r>
    </w:p>
    <w:p w14:paraId="68643229" w14:textId="2DED0388" w:rsidR="000B109B" w:rsidRPr="000B79F5" w:rsidRDefault="000B109B" w:rsidP="00B702ED">
      <w:pPr>
        <w:pStyle w:val="COMParaDecision"/>
        <w:keepLines/>
        <w:numPr>
          <w:ilvl w:val="0"/>
          <w:numId w:val="3"/>
        </w:numPr>
        <w:ind w:left="1134" w:hanging="567"/>
      </w:pPr>
      <w:r w:rsidRPr="00852F54">
        <w:t>Prend note</w:t>
      </w:r>
      <w:r w:rsidR="00852F54" w:rsidRPr="00852F54">
        <w:t xml:space="preserve"> en outre</w:t>
      </w:r>
      <w:r w:rsidRPr="00852F54">
        <w:rPr>
          <w:u w:val="none"/>
        </w:rPr>
        <w:t xml:space="preserve"> des</w:t>
      </w:r>
      <w:r>
        <w:rPr>
          <w:u w:val="none"/>
        </w:rPr>
        <w:t xml:space="preserve"> donateurs qui ont versé des contributions volontaires supplémentaires depuis sa dernière session, à savoir la République populaire de Chine, la Finlande, le Japon, le Kazakhstan, Monaco, le Monténégro, les Pays-Bas et la Suède, ainsi que du soutien en nature </w:t>
      </w:r>
      <w:r w:rsidR="00326F30">
        <w:rPr>
          <w:u w:val="none"/>
        </w:rPr>
        <w:t>de</w:t>
      </w:r>
      <w:r>
        <w:rPr>
          <w:u w:val="none"/>
        </w:rPr>
        <w:t xml:space="preserve"> la République populaire de Chine, le Japon et Singapour ;</w:t>
      </w:r>
    </w:p>
    <w:p w14:paraId="66E52CA1" w14:textId="5A671F8A" w:rsidR="000B109B" w:rsidRDefault="000B109B" w:rsidP="00B702ED">
      <w:pPr>
        <w:pStyle w:val="COMParaDecision"/>
        <w:keepLines/>
        <w:numPr>
          <w:ilvl w:val="0"/>
          <w:numId w:val="3"/>
        </w:numPr>
        <w:ind w:left="1134" w:hanging="567"/>
        <w:rPr>
          <w:u w:val="none"/>
        </w:rPr>
      </w:pPr>
      <w:r>
        <w:t>Remercie</w:t>
      </w:r>
      <w:r>
        <w:rPr>
          <w:u w:val="none"/>
        </w:rPr>
        <w:t xml:space="preserve"> tous les contributeurs qui ont apporté leur soutien à la Convention et à son Secrétariat, depuis sa dernière session, sous différentes formes, financières ou en nature, comme les contributions volontaires supplémentaires versées au Fonds du patrimoine culturel immatériel </w:t>
      </w:r>
      <w:r w:rsidR="000F3A57">
        <w:rPr>
          <w:u w:val="none"/>
        </w:rPr>
        <w:t xml:space="preserve">et </w:t>
      </w:r>
      <w:r>
        <w:rPr>
          <w:u w:val="none"/>
        </w:rPr>
        <w:t>au sous-fonds pour le renforcement des capacités humaines du Secrétariat, les Fonds-en-dépôt ou le détachement de personnel</w:t>
      </w:r>
      <w:r w:rsidR="00326F30">
        <w:rPr>
          <w:u w:val="none"/>
        </w:rPr>
        <w:t>,</w:t>
      </w:r>
      <w:r>
        <w:rPr>
          <w:u w:val="none"/>
        </w:rPr>
        <w:t xml:space="preserve"> et </w:t>
      </w:r>
      <w:r>
        <w:t>encourage</w:t>
      </w:r>
      <w:r>
        <w:rPr>
          <w:u w:val="none"/>
        </w:rPr>
        <w:t xml:space="preserve"> les autres États à envisager la possibilité de soutenir la Convention selon la modalité de leur choix ;</w:t>
      </w:r>
    </w:p>
    <w:p w14:paraId="00EDFF3F" w14:textId="29FCE931" w:rsidR="000B109B" w:rsidRDefault="000B109B" w:rsidP="00B702ED">
      <w:pPr>
        <w:pStyle w:val="COMParaDecision"/>
        <w:keepNext/>
        <w:keepLines/>
        <w:ind w:left="567" w:firstLine="0"/>
        <w:rPr>
          <w:b/>
          <w:bCs/>
          <w:u w:val="none"/>
        </w:rPr>
      </w:pPr>
      <w:r>
        <w:rPr>
          <w:b/>
          <w:bCs/>
          <w:u w:val="none"/>
        </w:rPr>
        <w:t>Plan d</w:t>
      </w:r>
      <w:r w:rsidR="00796EEE">
        <w:rPr>
          <w:b/>
          <w:bCs/>
          <w:u w:val="none"/>
        </w:rPr>
        <w:t>’</w:t>
      </w:r>
      <w:r>
        <w:rPr>
          <w:b/>
          <w:bCs/>
          <w:u w:val="none"/>
        </w:rPr>
        <w:t>utilisation des ressources du Fonds</w:t>
      </w:r>
    </w:p>
    <w:p w14:paraId="4565D6CC" w14:textId="0215D67F" w:rsidR="000B109B" w:rsidRPr="00527561" w:rsidRDefault="000B109B" w:rsidP="00B702ED">
      <w:pPr>
        <w:pStyle w:val="COMParaDecision"/>
        <w:keepLines/>
        <w:numPr>
          <w:ilvl w:val="0"/>
          <w:numId w:val="3"/>
        </w:numPr>
        <w:ind w:left="1134" w:hanging="567"/>
      </w:pPr>
      <w:r>
        <w:t>Approuve</w:t>
      </w:r>
      <w:r>
        <w:rPr>
          <w:u w:val="none"/>
        </w:rPr>
        <w:t xml:space="preserve"> le Plan d</w:t>
      </w:r>
      <w:r w:rsidR="00796EEE">
        <w:rPr>
          <w:u w:val="none"/>
        </w:rPr>
        <w:t>’</w:t>
      </w:r>
      <w:r>
        <w:rPr>
          <w:u w:val="none"/>
        </w:rPr>
        <w:t xml:space="preserve">utilisation des ressources du Fonds pour la période du </w:t>
      </w:r>
      <w:r w:rsidR="00474558">
        <w:rPr>
          <w:u w:val="none"/>
        </w:rPr>
        <w:t>1er </w:t>
      </w:r>
      <w:r>
        <w:rPr>
          <w:u w:val="none"/>
        </w:rPr>
        <w:t>janvier 2020 au 31 décembre 2021 ainsi que pour la période du 1</w:t>
      </w:r>
      <w:r w:rsidR="00474558">
        <w:rPr>
          <w:u w:val="none"/>
        </w:rPr>
        <w:t>er</w:t>
      </w:r>
      <w:r>
        <w:rPr>
          <w:u w:val="none"/>
        </w:rPr>
        <w:t> janvier </w:t>
      </w:r>
      <w:r w:rsidR="00474558">
        <w:rPr>
          <w:u w:val="none"/>
        </w:rPr>
        <w:t xml:space="preserve">2022 </w:t>
      </w:r>
      <w:r>
        <w:rPr>
          <w:u w:val="none"/>
        </w:rPr>
        <w:t>au 30 juin 2022, qui figure à l</w:t>
      </w:r>
      <w:r w:rsidR="00796EEE">
        <w:rPr>
          <w:u w:val="none"/>
        </w:rPr>
        <w:t>’</w:t>
      </w:r>
      <w:r>
        <w:rPr>
          <w:u w:val="none"/>
        </w:rPr>
        <w:t>annexe I de la présente résolution ;</w:t>
      </w:r>
    </w:p>
    <w:p w14:paraId="6EEE31D1" w14:textId="6AEEF11E" w:rsidR="000B109B" w:rsidRPr="00852F54" w:rsidRDefault="000B109B" w:rsidP="00B702ED">
      <w:pPr>
        <w:pStyle w:val="COMParaDecision"/>
        <w:keepLines/>
        <w:numPr>
          <w:ilvl w:val="0"/>
          <w:numId w:val="3"/>
        </w:numPr>
        <w:ind w:left="1134" w:hanging="567"/>
        <w:rPr>
          <w:u w:val="none"/>
        </w:rPr>
      </w:pPr>
      <w:r>
        <w:t>Comprend</w:t>
      </w:r>
      <w:r>
        <w:rPr>
          <w:u w:val="none"/>
        </w:rPr>
        <w:t xml:space="preserve"> qu</w:t>
      </w:r>
      <w:r w:rsidR="00796EEE">
        <w:rPr>
          <w:u w:val="none"/>
        </w:rPr>
        <w:t>’</w:t>
      </w:r>
      <w:r>
        <w:rPr>
          <w:u w:val="none"/>
        </w:rPr>
        <w:t>elle pourra, lors de sa neuvième session en 2022, réajuster le plan budgétaire du 1</w:t>
      </w:r>
      <w:r w:rsidR="00474558">
        <w:rPr>
          <w:u w:val="none"/>
        </w:rPr>
        <w:t>er</w:t>
      </w:r>
      <w:r>
        <w:rPr>
          <w:u w:val="none"/>
        </w:rPr>
        <w:t> janvier 202</w:t>
      </w:r>
      <w:r w:rsidR="00474558">
        <w:rPr>
          <w:u w:val="none"/>
        </w:rPr>
        <w:t>2</w:t>
      </w:r>
      <w:r>
        <w:rPr>
          <w:u w:val="none"/>
        </w:rPr>
        <w:t xml:space="preserve"> au 30 juin 2022 ;</w:t>
      </w:r>
      <w:r w:rsidR="00C27057">
        <w:rPr>
          <w:u w:val="none"/>
        </w:rPr>
        <w:t xml:space="preserve"> dans le cas où l</w:t>
      </w:r>
      <w:r w:rsidR="00796EEE">
        <w:rPr>
          <w:u w:val="none"/>
        </w:rPr>
        <w:t>’</w:t>
      </w:r>
      <w:r w:rsidR="00C27057">
        <w:rPr>
          <w:u w:val="none"/>
        </w:rPr>
        <w:t xml:space="preserve">Assemblée générale ne </w:t>
      </w:r>
      <w:r w:rsidR="00474558">
        <w:rPr>
          <w:u w:val="none"/>
        </w:rPr>
        <w:t xml:space="preserve">peut </w:t>
      </w:r>
      <w:r w:rsidR="00C27057">
        <w:rPr>
          <w:u w:val="none"/>
        </w:rPr>
        <w:t xml:space="preserve">pas se réunir avant le 30 juin 2022, le Secrétariat est autorisé à poursuivre ses </w:t>
      </w:r>
      <w:r w:rsidR="00C27057" w:rsidRPr="00852F54">
        <w:rPr>
          <w:u w:val="none"/>
        </w:rPr>
        <w:t>activités jusqu</w:t>
      </w:r>
      <w:r w:rsidR="00796EEE" w:rsidRPr="00852F54">
        <w:rPr>
          <w:u w:val="none"/>
        </w:rPr>
        <w:t>’</w:t>
      </w:r>
      <w:r w:rsidR="00C27057" w:rsidRPr="00852F54">
        <w:rPr>
          <w:u w:val="none"/>
        </w:rPr>
        <w:t>à ce que l</w:t>
      </w:r>
      <w:r w:rsidR="00796EEE" w:rsidRPr="00852F54">
        <w:rPr>
          <w:u w:val="none"/>
        </w:rPr>
        <w:t>’</w:t>
      </w:r>
      <w:r w:rsidR="00C27057" w:rsidRPr="00852F54">
        <w:rPr>
          <w:u w:val="none"/>
        </w:rPr>
        <w:t>Assemblée générale soit en mesure de se réunir ;</w:t>
      </w:r>
    </w:p>
    <w:p w14:paraId="42F9FED6" w14:textId="1CC33CB9" w:rsidR="00FA0AB0" w:rsidRPr="00854C99" w:rsidRDefault="00FA0AB0" w:rsidP="00680B7E">
      <w:pPr>
        <w:pStyle w:val="COMParaDecision"/>
        <w:keepLines/>
        <w:numPr>
          <w:ilvl w:val="0"/>
          <w:numId w:val="3"/>
        </w:numPr>
        <w:ind w:left="1134" w:hanging="567"/>
      </w:pPr>
      <w:r w:rsidRPr="00852F54">
        <w:t xml:space="preserve">Prend </w:t>
      </w:r>
      <w:r w:rsidR="00852F54" w:rsidRPr="00852F54">
        <w:t xml:space="preserve">également </w:t>
      </w:r>
      <w:r w:rsidRPr="00852F54">
        <w:t>note</w:t>
      </w:r>
      <w:r w:rsidR="007C45CC" w:rsidRPr="00852F54">
        <w:t xml:space="preserve"> </w:t>
      </w:r>
      <w:r w:rsidRPr="00852F54">
        <w:rPr>
          <w:u w:val="none"/>
        </w:rPr>
        <w:t>de l</w:t>
      </w:r>
      <w:r w:rsidR="00796EEE" w:rsidRPr="00852F54">
        <w:rPr>
          <w:u w:val="none"/>
        </w:rPr>
        <w:t>’</w:t>
      </w:r>
      <w:r w:rsidRPr="00852F54">
        <w:rPr>
          <w:u w:val="none"/>
        </w:rPr>
        <w:t>autorisation</w:t>
      </w:r>
      <w:r>
        <w:rPr>
          <w:u w:val="none"/>
        </w:rPr>
        <w:t xml:space="preserve"> accordée par le Comité au Secrétariat, lors de l</w:t>
      </w:r>
      <w:r w:rsidR="00796EEE">
        <w:rPr>
          <w:u w:val="none"/>
        </w:rPr>
        <w:t>’</w:t>
      </w:r>
      <w:r>
        <w:rPr>
          <w:u w:val="none"/>
        </w:rPr>
        <w:t>utilisation des fonds alloués au titre de la ligne budgétaire 3 du Plan, d</w:t>
      </w:r>
      <w:r w:rsidR="00796EEE">
        <w:rPr>
          <w:u w:val="none"/>
        </w:rPr>
        <w:t>’</w:t>
      </w:r>
      <w:r>
        <w:rPr>
          <w:u w:val="none"/>
        </w:rPr>
        <w:t>effectuer des transferts entre les activités relevant de la ligne budgétaire 3, à concurrence d</w:t>
      </w:r>
      <w:r w:rsidR="00796EEE">
        <w:rPr>
          <w:u w:val="none"/>
        </w:rPr>
        <w:t>’</w:t>
      </w:r>
      <w:r>
        <w:rPr>
          <w:u w:val="none"/>
        </w:rPr>
        <w:t>un montant cumulé équivalent à 5 pour cent de l</w:t>
      </w:r>
      <w:r w:rsidR="00796EEE">
        <w:rPr>
          <w:u w:val="none"/>
        </w:rPr>
        <w:t>’</w:t>
      </w:r>
      <w:r>
        <w:rPr>
          <w:u w:val="none"/>
        </w:rPr>
        <w:t>allocation initiale totale proposée à l</w:t>
      </w:r>
      <w:r w:rsidR="00796EEE">
        <w:rPr>
          <w:u w:val="none"/>
        </w:rPr>
        <w:t>’</w:t>
      </w:r>
      <w:r>
        <w:rPr>
          <w:u w:val="none"/>
        </w:rPr>
        <w:t>Assemblée générale à cette fin ;</w:t>
      </w:r>
    </w:p>
    <w:p w14:paraId="0BB21E67" w14:textId="2AEF6DDF" w:rsidR="000B109B" w:rsidRPr="00527561" w:rsidRDefault="000B109B" w:rsidP="00B702ED">
      <w:pPr>
        <w:pStyle w:val="COMParaDecision"/>
        <w:keepLines/>
        <w:numPr>
          <w:ilvl w:val="0"/>
          <w:numId w:val="3"/>
        </w:numPr>
        <w:ind w:left="1134" w:hanging="567"/>
        <w:rPr>
          <w:u w:val="none"/>
        </w:rPr>
      </w:pPr>
      <w:r>
        <w:lastRenderedPageBreak/>
        <w:t>Autorise</w:t>
      </w:r>
      <w:r>
        <w:rPr>
          <w:u w:val="none"/>
        </w:rPr>
        <w:t xml:space="preserve"> le Comité à utiliser immédiatement toute contribution volontaire supplémentaire qui pourrait être reçue durant ces périodes, comme le prévoit l</w:t>
      </w:r>
      <w:r w:rsidR="00796EEE">
        <w:rPr>
          <w:u w:val="none"/>
        </w:rPr>
        <w:t>’</w:t>
      </w:r>
      <w:r>
        <w:rPr>
          <w:u w:val="none"/>
        </w:rPr>
        <w:t>article 27 de la Convention, conformément aux pourcentages définis par le Plan ;</w:t>
      </w:r>
    </w:p>
    <w:p w14:paraId="4B4513E8" w14:textId="73C45A97" w:rsidR="000B109B" w:rsidRPr="00527561" w:rsidRDefault="000B109B" w:rsidP="00B702ED">
      <w:pPr>
        <w:pStyle w:val="COMParaDecision"/>
        <w:keepLines/>
        <w:numPr>
          <w:ilvl w:val="0"/>
          <w:numId w:val="3"/>
        </w:numPr>
        <w:ind w:left="1134" w:hanging="567"/>
        <w:rPr>
          <w:u w:val="none"/>
        </w:rPr>
      </w:pPr>
      <w:r>
        <w:t xml:space="preserve">Autorise </w:t>
      </w:r>
      <w:r w:rsidR="007C45CC">
        <w:t>en outre</w:t>
      </w:r>
      <w:r w:rsidR="007C45CC">
        <w:rPr>
          <w:u w:val="none"/>
        </w:rPr>
        <w:t xml:space="preserve"> </w:t>
      </w:r>
      <w:r>
        <w:rPr>
          <w:u w:val="none"/>
        </w:rPr>
        <w:t>le Comité à utiliser immédiatement toute contribution qu</w:t>
      </w:r>
      <w:r w:rsidR="00796EEE">
        <w:rPr>
          <w:u w:val="none"/>
        </w:rPr>
        <w:t>’</w:t>
      </w:r>
      <w:r>
        <w:rPr>
          <w:u w:val="none"/>
        </w:rPr>
        <w:t>il pourrait accepter, durant ces périodes, à des fins spécifiques se rapportant à des projets déterminés, pourvu que ces projets aient été approuvés par le Comité avant la réception des fonds, comme le prévoit l</w:t>
      </w:r>
      <w:r w:rsidR="00796EEE">
        <w:rPr>
          <w:u w:val="none"/>
        </w:rPr>
        <w:t>’</w:t>
      </w:r>
      <w:r>
        <w:rPr>
          <w:u w:val="none"/>
        </w:rPr>
        <w:t>article 25.5 de la Convention ;</w:t>
      </w:r>
    </w:p>
    <w:p w14:paraId="341997DA" w14:textId="4ED44DBD" w:rsidR="000B109B" w:rsidRPr="00234FB6" w:rsidRDefault="00D303C5" w:rsidP="00B702ED">
      <w:pPr>
        <w:pStyle w:val="COMParaDecision"/>
        <w:keepLines/>
        <w:numPr>
          <w:ilvl w:val="0"/>
          <w:numId w:val="3"/>
        </w:numPr>
        <w:ind w:left="1134" w:hanging="567"/>
        <w:rPr>
          <w:u w:val="none"/>
        </w:rPr>
      </w:pPr>
      <w:r>
        <w:t xml:space="preserve">Autorise </w:t>
      </w:r>
      <w:r w:rsidR="007C45CC">
        <w:t>également</w:t>
      </w:r>
      <w:r>
        <w:rPr>
          <w:u w:val="none"/>
        </w:rPr>
        <w:t xml:space="preserve"> le Secrétariat à transférer des fonds entre les lignes budgétaires 4, 5, 6 et 7 jusqu</w:t>
      </w:r>
      <w:r w:rsidR="00796EEE">
        <w:rPr>
          <w:u w:val="none"/>
        </w:rPr>
        <w:t>’</w:t>
      </w:r>
      <w:r>
        <w:rPr>
          <w:u w:val="none"/>
        </w:rPr>
        <w:t>à un montant équivalent à 30 pour cent de leur allocation initiale totale, approuvée par l</w:t>
      </w:r>
      <w:r w:rsidR="00796EEE">
        <w:rPr>
          <w:u w:val="none"/>
        </w:rPr>
        <w:t>’</w:t>
      </w:r>
      <w:r>
        <w:rPr>
          <w:u w:val="none"/>
        </w:rPr>
        <w:t xml:space="preserve">Assemblée générale, et </w:t>
      </w:r>
      <w:r>
        <w:t>demande</w:t>
      </w:r>
      <w:r>
        <w:rPr>
          <w:u w:val="none"/>
        </w:rPr>
        <w:t xml:space="preserve"> au Secrétariat d</w:t>
      </w:r>
      <w:r w:rsidR="00796EEE">
        <w:rPr>
          <w:u w:val="none"/>
        </w:rPr>
        <w:t>’</w:t>
      </w:r>
      <w:r>
        <w:rPr>
          <w:u w:val="none"/>
        </w:rPr>
        <w:t>informer le Comité et l</w:t>
      </w:r>
      <w:r w:rsidR="00796EEE">
        <w:rPr>
          <w:u w:val="none"/>
        </w:rPr>
        <w:t>’</w:t>
      </w:r>
      <w:r>
        <w:rPr>
          <w:u w:val="none"/>
        </w:rPr>
        <w:t>Assemblée générale par écrit des détails et des raisons de ces transferts lors de la session suivante ;</w:t>
      </w:r>
    </w:p>
    <w:p w14:paraId="54E3679A" w14:textId="77777777" w:rsidR="000B109B" w:rsidRPr="005A1090" w:rsidRDefault="000B109B" w:rsidP="00B702ED">
      <w:pPr>
        <w:pStyle w:val="COMParaDecision"/>
        <w:keepNext/>
        <w:keepLines/>
        <w:ind w:left="567" w:firstLine="0"/>
        <w:rPr>
          <w:b/>
          <w:bCs/>
          <w:u w:val="none"/>
        </w:rPr>
      </w:pPr>
      <w:r>
        <w:rPr>
          <w:b/>
          <w:bCs/>
          <w:u w:val="none"/>
        </w:rPr>
        <w:t>Sous-fonds pour le renforcement des ressources humaines du Secrétariat</w:t>
      </w:r>
    </w:p>
    <w:p w14:paraId="330A5DE1" w14:textId="061A69AC" w:rsidR="000B109B" w:rsidRPr="00D303C5" w:rsidRDefault="00B5600A" w:rsidP="00B702ED">
      <w:pPr>
        <w:pStyle w:val="COMParaDecision"/>
        <w:keepLines/>
        <w:numPr>
          <w:ilvl w:val="0"/>
          <w:numId w:val="3"/>
        </w:numPr>
        <w:ind w:left="1134" w:hanging="567"/>
      </w:pPr>
      <w:r>
        <w:t>Souligne</w:t>
      </w:r>
      <w:r>
        <w:rPr>
          <w:u w:val="none"/>
        </w:rPr>
        <w:t xml:space="preserve"> la nécessité de renforcer durablement les ressources humaines du Secrétariat pour qu</w:t>
      </w:r>
      <w:r w:rsidR="00796EEE">
        <w:rPr>
          <w:u w:val="none"/>
        </w:rPr>
        <w:t>’</w:t>
      </w:r>
      <w:r>
        <w:rPr>
          <w:u w:val="none"/>
        </w:rPr>
        <w:t xml:space="preserve">il puisse mieux répondre aux attentes et aux besoins des États parties, </w:t>
      </w:r>
      <w:r>
        <w:t>reconnaît</w:t>
      </w:r>
      <w:r>
        <w:rPr>
          <w:u w:val="none"/>
        </w:rPr>
        <w:t xml:space="preserve"> que des fonds d</w:t>
      </w:r>
      <w:r w:rsidR="00796EEE">
        <w:rPr>
          <w:u w:val="none"/>
        </w:rPr>
        <w:t>’</w:t>
      </w:r>
      <w:r>
        <w:rPr>
          <w:u w:val="none"/>
        </w:rPr>
        <w:t>un montant d</w:t>
      </w:r>
      <w:r w:rsidR="00796EEE">
        <w:rPr>
          <w:u w:val="none"/>
        </w:rPr>
        <w:t>’</w:t>
      </w:r>
      <w:r>
        <w:rPr>
          <w:u w:val="none"/>
        </w:rPr>
        <w:t xml:space="preserve">environ 950 000 dollars des États-Unis par an sont nécessaires à cette fin et </w:t>
      </w:r>
      <w:r>
        <w:t>invite</w:t>
      </w:r>
      <w:r>
        <w:rPr>
          <w:u w:val="none"/>
        </w:rPr>
        <w:t xml:space="preserve"> les États parties à verser au sous-fonds des contributions volontaires supplémentaires pour atteindre ce montant annuel ;</w:t>
      </w:r>
    </w:p>
    <w:p w14:paraId="2FC05FE6" w14:textId="77777777" w:rsidR="000B109B" w:rsidRDefault="000B109B" w:rsidP="00B702ED">
      <w:pPr>
        <w:pStyle w:val="COMParaDecision"/>
        <w:keepNext/>
        <w:keepLines/>
        <w:ind w:left="567" w:firstLine="0"/>
        <w:rPr>
          <w:b/>
          <w:bCs/>
          <w:u w:val="none"/>
        </w:rPr>
      </w:pPr>
      <w:r>
        <w:rPr>
          <w:b/>
          <w:bCs/>
          <w:u w:val="none"/>
        </w:rPr>
        <w:t>Taux de gestion</w:t>
      </w:r>
    </w:p>
    <w:p w14:paraId="022BC842" w14:textId="2985786A" w:rsidR="000B109B" w:rsidRPr="00234FB6" w:rsidRDefault="00E71D5F" w:rsidP="00B702ED">
      <w:pPr>
        <w:pStyle w:val="COMParaDecision"/>
        <w:keepLines/>
        <w:numPr>
          <w:ilvl w:val="0"/>
          <w:numId w:val="3"/>
        </w:numPr>
        <w:ind w:left="1134" w:hanging="567"/>
        <w:rPr>
          <w:u w:val="none"/>
        </w:rPr>
      </w:pPr>
      <w:r>
        <w:t>Soutient</w:t>
      </w:r>
      <w:r w:rsidR="000B109B" w:rsidRPr="002A0DB0">
        <w:rPr>
          <w:u w:val="none"/>
        </w:rPr>
        <w:t xml:space="preserve"> </w:t>
      </w:r>
      <w:r w:rsidR="000B109B">
        <w:rPr>
          <w:u w:val="none"/>
        </w:rPr>
        <w:t>le maintien d</w:t>
      </w:r>
      <w:r w:rsidR="00796EEE">
        <w:rPr>
          <w:u w:val="none"/>
        </w:rPr>
        <w:t>’</w:t>
      </w:r>
      <w:r w:rsidR="000B109B">
        <w:rPr>
          <w:u w:val="none"/>
        </w:rPr>
        <w:t>un taux de gestion à 0 pour cent pour toutes les contributions mises en recouvrement pour le compte spécial du Fonds du patrimoine culturel immatériel et l</w:t>
      </w:r>
      <w:r w:rsidR="00796EEE">
        <w:rPr>
          <w:u w:val="none"/>
        </w:rPr>
        <w:t>’</w:t>
      </w:r>
      <w:r w:rsidR="000B109B">
        <w:rPr>
          <w:u w:val="none"/>
        </w:rPr>
        <w:t>application d</w:t>
      </w:r>
      <w:r w:rsidR="00796EEE">
        <w:rPr>
          <w:u w:val="none"/>
        </w:rPr>
        <w:t>’</w:t>
      </w:r>
      <w:r w:rsidR="000B109B">
        <w:rPr>
          <w:u w:val="none"/>
        </w:rPr>
        <w:t>un taux de gestion à 7 pour cent pour toutes les autres contributions ;</w:t>
      </w:r>
    </w:p>
    <w:p w14:paraId="64AE4D50" w14:textId="77777777" w:rsidR="000B109B" w:rsidRPr="00527561" w:rsidRDefault="000B109B" w:rsidP="00B702ED">
      <w:pPr>
        <w:pStyle w:val="COMParaDecision"/>
        <w:keepNext/>
        <w:keepLines/>
        <w:ind w:left="567" w:firstLine="0"/>
        <w:rPr>
          <w:b/>
          <w:bCs/>
          <w:u w:val="none"/>
        </w:rPr>
      </w:pPr>
      <w:r>
        <w:rPr>
          <w:b/>
          <w:bCs/>
          <w:u w:val="none"/>
        </w:rPr>
        <w:t>Règlement financier</w:t>
      </w:r>
    </w:p>
    <w:p w14:paraId="0DD8DEE5" w14:textId="00695480" w:rsidR="000B109B" w:rsidRPr="000B109B" w:rsidRDefault="00D303C5" w:rsidP="00B702ED">
      <w:pPr>
        <w:pStyle w:val="COMParaDecision"/>
        <w:keepLines/>
        <w:numPr>
          <w:ilvl w:val="0"/>
          <w:numId w:val="3"/>
        </w:numPr>
        <w:ind w:left="1134" w:hanging="567"/>
        <w:rPr>
          <w:u w:val="none"/>
        </w:rPr>
      </w:pPr>
      <w:r>
        <w:t>Approuve en outre</w:t>
      </w:r>
      <w:r>
        <w:rPr>
          <w:u w:val="none"/>
        </w:rPr>
        <w:t xml:space="preserve"> les révisions du Règlement financier du Compte spécial pour le Fonds pour la sauvegarde du patrimoine culturel immatériel telles que décrites </w:t>
      </w:r>
      <w:r w:rsidR="00C27057">
        <w:rPr>
          <w:u w:val="none"/>
        </w:rPr>
        <w:t>aux annexes II et </w:t>
      </w:r>
      <w:r>
        <w:rPr>
          <w:u w:val="none"/>
        </w:rPr>
        <w:t>III de la présente résolution, pour qu</w:t>
      </w:r>
      <w:r w:rsidR="00796EEE">
        <w:rPr>
          <w:u w:val="none"/>
        </w:rPr>
        <w:t>’</w:t>
      </w:r>
      <w:r>
        <w:rPr>
          <w:u w:val="none"/>
        </w:rPr>
        <w:t>il corresponde au modèle de règlement financier défini par l</w:t>
      </w:r>
      <w:r w:rsidR="00796EEE">
        <w:rPr>
          <w:u w:val="none"/>
        </w:rPr>
        <w:t>’</w:t>
      </w:r>
      <w:r>
        <w:rPr>
          <w:u w:val="none"/>
        </w:rPr>
        <w:t>UNESCO.</w:t>
      </w:r>
    </w:p>
    <w:bookmarkEnd w:id="8"/>
    <w:p w14:paraId="53EB9FBA" w14:textId="400FE1AC" w:rsidR="00576E1D" w:rsidRPr="009C5C60" w:rsidRDefault="00576E1D" w:rsidP="001740D7">
      <w:pPr>
        <w:pStyle w:val="Annex"/>
        <w:rPr>
          <w:u w:val="single"/>
        </w:rPr>
      </w:pPr>
      <w:r>
        <w:rPr>
          <w:u w:val="single"/>
        </w:rPr>
        <w:lastRenderedPageBreak/>
        <w:t>A</w:t>
      </w:r>
      <w:r w:rsidR="00B743F3">
        <w:rPr>
          <w:u w:val="single"/>
        </w:rPr>
        <w:t>nnexe</w:t>
      </w:r>
      <w:r>
        <w:rPr>
          <w:u w:val="single"/>
        </w:rPr>
        <w:t> I</w:t>
      </w:r>
    </w:p>
    <w:tbl>
      <w:tblPr>
        <w:tblW w:w="5493" w:type="pct"/>
        <w:tblInd w:w="-147" w:type="dxa"/>
        <w:tblLayout w:type="fixed"/>
        <w:tblCellMar>
          <w:left w:w="170" w:type="dxa"/>
          <w:right w:w="170" w:type="dxa"/>
        </w:tblCellMar>
        <w:tblLook w:val="04A0" w:firstRow="1" w:lastRow="0" w:firstColumn="1" w:lastColumn="0" w:noHBand="0" w:noVBand="1"/>
      </w:tblPr>
      <w:tblGrid>
        <w:gridCol w:w="710"/>
        <w:gridCol w:w="4252"/>
        <w:gridCol w:w="1418"/>
        <w:gridCol w:w="948"/>
        <w:gridCol w:w="470"/>
        <w:gridCol w:w="523"/>
        <w:gridCol w:w="893"/>
        <w:gridCol w:w="1369"/>
      </w:tblGrid>
      <w:tr w:rsidR="00884277" w:rsidRPr="00E869B7" w14:paraId="40CC20B7" w14:textId="77777777" w:rsidTr="002A0DB0">
        <w:trPr>
          <w:cantSplit/>
        </w:trPr>
        <w:tc>
          <w:tcPr>
            <w:tcW w:w="3014" w:type="pct"/>
            <w:gridSpan w:val="3"/>
            <w:tcBorders>
              <w:top w:val="single" w:sz="4" w:space="0" w:color="auto"/>
              <w:left w:val="single" w:sz="4" w:space="0" w:color="auto"/>
              <w:bottom w:val="single" w:sz="4" w:space="0" w:color="auto"/>
              <w:right w:val="single" w:sz="4" w:space="0" w:color="auto"/>
            </w:tcBorders>
            <w:shd w:val="clear" w:color="000000" w:fill="D8D8D8"/>
          </w:tcPr>
          <w:p w14:paraId="115B86AD" w14:textId="359D3BA9" w:rsidR="00FA7E04" w:rsidRPr="00BB2DEA" w:rsidRDefault="00FA7E04" w:rsidP="001740D7">
            <w:pPr>
              <w:spacing w:before="120" w:after="120"/>
              <w:jc w:val="center"/>
              <w:rPr>
                <w:rFonts w:ascii="Arial" w:hAnsi="Arial" w:cs="Arial"/>
                <w:b/>
                <w:bCs/>
                <w:sz w:val="18"/>
                <w:szCs w:val="18"/>
              </w:rPr>
            </w:pPr>
            <w:r>
              <w:rPr>
                <w:rFonts w:ascii="Arial" w:hAnsi="Arial"/>
                <w:b/>
                <w:bCs/>
                <w:sz w:val="18"/>
                <w:szCs w:val="18"/>
              </w:rPr>
              <w:t>Projet de plan d</w:t>
            </w:r>
            <w:r w:rsidR="00796EEE">
              <w:rPr>
                <w:rFonts w:ascii="Arial" w:hAnsi="Arial"/>
                <w:b/>
                <w:bCs/>
                <w:sz w:val="18"/>
                <w:szCs w:val="18"/>
              </w:rPr>
              <w:t>’</w:t>
            </w:r>
            <w:r>
              <w:rPr>
                <w:rFonts w:ascii="Arial" w:hAnsi="Arial"/>
                <w:b/>
                <w:bCs/>
                <w:sz w:val="18"/>
                <w:szCs w:val="18"/>
              </w:rPr>
              <w:t>utilisation des ressources du Fonds</w:t>
            </w:r>
          </w:p>
        </w:tc>
        <w:tc>
          <w:tcPr>
            <w:tcW w:w="448" w:type="pct"/>
            <w:tcBorders>
              <w:left w:val="single" w:sz="4" w:space="0" w:color="auto"/>
              <w:bottom w:val="dashed" w:sz="4" w:space="0" w:color="auto"/>
            </w:tcBorders>
          </w:tcPr>
          <w:p w14:paraId="7F4A6818" w14:textId="77777777" w:rsidR="00FA7E04" w:rsidRPr="00043F97" w:rsidRDefault="00FA7E04" w:rsidP="001740D7">
            <w:pPr>
              <w:spacing w:before="120" w:after="120"/>
              <w:jc w:val="center"/>
              <w:rPr>
                <w:rFonts w:ascii="Arial" w:hAnsi="Arial" w:cs="Arial"/>
                <w:b/>
                <w:bCs/>
                <w:sz w:val="18"/>
                <w:szCs w:val="18"/>
              </w:rPr>
            </w:pPr>
          </w:p>
        </w:tc>
        <w:tc>
          <w:tcPr>
            <w:tcW w:w="469" w:type="pct"/>
            <w:gridSpan w:val="2"/>
            <w:tcBorders>
              <w:bottom w:val="dashed" w:sz="4" w:space="0" w:color="auto"/>
            </w:tcBorders>
            <w:shd w:val="clear" w:color="auto" w:fill="auto"/>
          </w:tcPr>
          <w:p w14:paraId="64886B56" w14:textId="77777777" w:rsidR="00FA7E04" w:rsidRPr="00043F97" w:rsidRDefault="00FA7E04" w:rsidP="001740D7">
            <w:pPr>
              <w:spacing w:before="120" w:after="120"/>
              <w:jc w:val="center"/>
              <w:rPr>
                <w:rFonts w:ascii="Arial" w:hAnsi="Arial" w:cs="Arial"/>
                <w:b/>
                <w:bCs/>
                <w:sz w:val="18"/>
                <w:szCs w:val="18"/>
              </w:rPr>
            </w:pPr>
          </w:p>
        </w:tc>
        <w:tc>
          <w:tcPr>
            <w:tcW w:w="1069" w:type="pct"/>
            <w:gridSpan w:val="2"/>
            <w:tcBorders>
              <w:left w:val="nil"/>
              <w:bottom w:val="dashed" w:sz="4" w:space="0" w:color="auto"/>
            </w:tcBorders>
          </w:tcPr>
          <w:p w14:paraId="608A9D94" w14:textId="77777777" w:rsidR="00FA7E04" w:rsidRPr="00043F97" w:rsidRDefault="00FA7E04" w:rsidP="001740D7">
            <w:pPr>
              <w:spacing w:before="120" w:after="120"/>
              <w:jc w:val="center"/>
              <w:rPr>
                <w:rFonts w:ascii="Arial" w:hAnsi="Arial" w:cs="Arial"/>
                <w:b/>
                <w:bCs/>
                <w:sz w:val="18"/>
                <w:szCs w:val="18"/>
              </w:rPr>
            </w:pPr>
          </w:p>
        </w:tc>
      </w:tr>
      <w:tr w:rsidR="00891988" w:rsidRPr="00D74CFC" w14:paraId="5032F897" w14:textId="77777777" w:rsidTr="002A0DB0">
        <w:trPr>
          <w:cantSplit/>
        </w:trPr>
        <w:tc>
          <w:tcPr>
            <w:tcW w:w="23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FE02C" w14:textId="77777777" w:rsidR="00FA7E04" w:rsidRPr="00BB2DEA" w:rsidRDefault="00FA7E04" w:rsidP="00884277">
            <w:pPr>
              <w:spacing w:before="120" w:after="120"/>
              <w:contextualSpacing/>
              <w:jc w:val="both"/>
              <w:rPr>
                <w:rFonts w:ascii="Arial" w:hAnsi="Arial" w:cs="Arial"/>
                <w:sz w:val="18"/>
                <w:szCs w:val="18"/>
              </w:rPr>
            </w:pPr>
            <w:r>
              <w:rPr>
                <w:rFonts w:ascii="Arial" w:hAnsi="Arial"/>
                <w:sz w:val="18"/>
                <w:szCs w:val="18"/>
              </w:rPr>
              <w:t>Pour la période du 1</w:t>
            </w:r>
            <w:r>
              <w:rPr>
                <w:rFonts w:ascii="Arial" w:hAnsi="Arial"/>
                <w:sz w:val="18"/>
                <w:szCs w:val="18"/>
                <w:vertAlign w:val="superscript"/>
              </w:rPr>
              <w:t>er</w:t>
            </w:r>
            <w:r>
              <w:rPr>
                <w:rFonts w:ascii="Arial" w:hAnsi="Arial"/>
                <w:sz w:val="18"/>
                <w:szCs w:val="18"/>
              </w:rPr>
              <w:t> janvier 2020 au 31 décembre 2021, ainsi que pour la période du 1</w:t>
            </w:r>
            <w:r>
              <w:rPr>
                <w:rFonts w:ascii="Arial" w:hAnsi="Arial"/>
                <w:sz w:val="18"/>
                <w:szCs w:val="18"/>
                <w:vertAlign w:val="superscript"/>
              </w:rPr>
              <w:t>er</w:t>
            </w:r>
            <w:r>
              <w:rPr>
                <w:rFonts w:ascii="Arial" w:hAnsi="Arial"/>
                <w:sz w:val="18"/>
                <w:szCs w:val="18"/>
              </w:rPr>
              <w:t> janvier au 30 juin 2022, les ressources du Fonds du patrimoine culturel immatériel peuvent être utilisées pour les activités suivantes :</w:t>
            </w:r>
          </w:p>
        </w:tc>
        <w:tc>
          <w:tcPr>
            <w:tcW w:w="670" w:type="pct"/>
            <w:tcBorders>
              <w:top w:val="single" w:sz="4" w:space="0" w:color="auto"/>
              <w:left w:val="single" w:sz="4" w:space="0" w:color="auto"/>
              <w:bottom w:val="single" w:sz="4" w:space="0" w:color="auto"/>
              <w:right w:val="single" w:sz="4" w:space="0" w:color="auto"/>
            </w:tcBorders>
            <w:vAlign w:val="center"/>
          </w:tcPr>
          <w:p w14:paraId="6617F410" w14:textId="00B6921E" w:rsidR="00FA7E04" w:rsidRPr="00BB2DEA" w:rsidRDefault="00FA7E04" w:rsidP="00FA7E04">
            <w:pPr>
              <w:spacing w:before="120" w:after="120"/>
              <w:contextualSpacing/>
              <w:jc w:val="center"/>
              <w:rPr>
                <w:rFonts w:ascii="Arial" w:hAnsi="Arial" w:cs="Arial"/>
                <w:sz w:val="18"/>
                <w:szCs w:val="18"/>
              </w:rPr>
            </w:pPr>
            <w:r>
              <w:rPr>
                <w:rFonts w:ascii="Arial" w:hAnsi="Arial"/>
                <w:sz w:val="18"/>
                <w:szCs w:val="18"/>
              </w:rPr>
              <w:t xml:space="preserve">% appliqués pour </w:t>
            </w:r>
            <w:r w:rsidR="005029AD">
              <w:rPr>
                <w:rFonts w:ascii="Arial" w:hAnsi="Arial"/>
                <w:sz w:val="18"/>
                <w:szCs w:val="18"/>
              </w:rPr>
              <w:t>le biennium</w:t>
            </w:r>
            <w:r>
              <w:rPr>
                <w:rFonts w:ascii="Arial" w:hAnsi="Arial"/>
                <w:sz w:val="18"/>
                <w:szCs w:val="18"/>
              </w:rPr>
              <w:t xml:space="preserve"> précédent (2018-2019)</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3FFB0239" w14:textId="77777777" w:rsidR="00FA7E04" w:rsidRPr="00B02DF5" w:rsidRDefault="00FA7E04" w:rsidP="00FA7E04">
            <w:pPr>
              <w:spacing w:before="120" w:after="120"/>
              <w:contextualSpacing/>
              <w:jc w:val="center"/>
              <w:rPr>
                <w:sz w:val="18"/>
                <w:szCs w:val="18"/>
              </w:rPr>
            </w:pPr>
            <w:r>
              <w:rPr>
                <w:rFonts w:ascii="Arial" w:hAnsi="Arial"/>
                <w:sz w:val="18"/>
                <w:szCs w:val="18"/>
              </w:rPr>
              <w:t>% du montant total proposé pour 2020-2021</w:t>
            </w:r>
            <w:r w:rsidRPr="00FC7DA9">
              <w:rPr>
                <w:rStyle w:val="Appelnotedebasdep"/>
                <w:rFonts w:ascii="Arial" w:hAnsi="Arial" w:cs="Arial"/>
                <w:sz w:val="18"/>
                <w:szCs w:val="18"/>
                <w:lang w:val="en-GB"/>
              </w:rPr>
              <w:footnoteReference w:id="7"/>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1B911A94" w14:textId="77777777" w:rsidR="00FA7E04" w:rsidRPr="00FC7DA9" w:rsidRDefault="00884277" w:rsidP="00884277">
            <w:pPr>
              <w:spacing w:before="120" w:after="120"/>
              <w:contextualSpacing/>
              <w:jc w:val="center"/>
              <w:rPr>
                <w:rFonts w:ascii="Arial" w:hAnsi="Arial" w:cs="Arial"/>
                <w:sz w:val="18"/>
                <w:szCs w:val="18"/>
              </w:rPr>
            </w:pPr>
            <w:r>
              <w:rPr>
                <w:rFonts w:ascii="Arial" w:hAnsi="Arial"/>
                <w:sz w:val="18"/>
                <w:szCs w:val="18"/>
              </w:rPr>
              <w:t>Montants indicatifs</w:t>
            </w:r>
            <w:r>
              <w:rPr>
                <w:rFonts w:ascii="Arial" w:hAnsi="Arial"/>
                <w:sz w:val="18"/>
                <w:szCs w:val="18"/>
              </w:rPr>
              <w:br/>
              <w:t>2020-2021</w:t>
            </w:r>
          </w:p>
        </w:tc>
        <w:tc>
          <w:tcPr>
            <w:tcW w:w="647" w:type="pct"/>
            <w:tcBorders>
              <w:top w:val="dashed" w:sz="4" w:space="0" w:color="auto"/>
              <w:left w:val="dashed" w:sz="4" w:space="0" w:color="auto"/>
              <w:bottom w:val="dashed" w:sz="4" w:space="0" w:color="auto"/>
              <w:right w:val="dashed" w:sz="4" w:space="0" w:color="auto"/>
            </w:tcBorders>
            <w:vAlign w:val="center"/>
          </w:tcPr>
          <w:p w14:paraId="28B55963" w14:textId="77777777" w:rsidR="00FA7E04" w:rsidRPr="00B02DF5" w:rsidRDefault="00884277" w:rsidP="00FA7E04">
            <w:pPr>
              <w:spacing w:before="120" w:after="120"/>
              <w:contextualSpacing/>
              <w:jc w:val="center"/>
              <w:rPr>
                <w:rFonts w:ascii="Arial" w:hAnsi="Arial" w:cs="Arial"/>
                <w:sz w:val="18"/>
                <w:szCs w:val="18"/>
              </w:rPr>
            </w:pPr>
            <w:r>
              <w:rPr>
                <w:rFonts w:ascii="Arial" w:hAnsi="Arial"/>
                <w:sz w:val="18"/>
                <w:szCs w:val="18"/>
              </w:rPr>
              <w:t>Montants indicatifs</w:t>
            </w:r>
            <w:r>
              <w:rPr>
                <w:rFonts w:ascii="Arial" w:hAnsi="Arial"/>
                <w:sz w:val="18"/>
                <w:szCs w:val="18"/>
              </w:rPr>
              <w:br/>
              <w:t>Jan– Juin 2022</w:t>
            </w:r>
          </w:p>
        </w:tc>
      </w:tr>
      <w:tr w:rsidR="00891988" w:rsidRPr="00AE7DF0" w14:paraId="46A009D7"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79996"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1.</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5D4BFC70" w14:textId="09E1F00E" w:rsidR="00FA7E04" w:rsidRPr="00BB2DEA" w:rsidRDefault="00FA7E04" w:rsidP="008B3BEC">
            <w:pPr>
              <w:spacing w:before="120" w:after="120"/>
              <w:contextualSpacing/>
              <w:rPr>
                <w:rFonts w:ascii="Arial" w:hAnsi="Arial" w:cs="Arial"/>
                <w:sz w:val="18"/>
                <w:szCs w:val="18"/>
              </w:rPr>
            </w:pPr>
            <w:r>
              <w:rPr>
                <w:rFonts w:ascii="Arial" w:hAnsi="Arial"/>
                <w:sz w:val="18"/>
                <w:szCs w:val="18"/>
              </w:rPr>
              <w:t>Assistance internationale, y compris la sauvegarde du patrimoine inscrit sur la Liste du patrimoine culturel immatériel nécessitant une sauvegarde urgente, la préparation d</w:t>
            </w:r>
            <w:r w:rsidR="00796EEE">
              <w:rPr>
                <w:rFonts w:ascii="Arial" w:hAnsi="Arial"/>
                <w:sz w:val="18"/>
                <w:szCs w:val="18"/>
              </w:rPr>
              <w:t>’</w:t>
            </w:r>
            <w:r>
              <w:rPr>
                <w:rFonts w:ascii="Arial" w:hAnsi="Arial"/>
                <w:sz w:val="18"/>
                <w:szCs w:val="18"/>
              </w:rPr>
              <w:t>inventaires et le soutien à d</w:t>
            </w:r>
            <w:r w:rsidR="00796EEE">
              <w:rPr>
                <w:rFonts w:ascii="Arial" w:hAnsi="Arial"/>
                <w:sz w:val="18"/>
                <w:szCs w:val="18"/>
              </w:rPr>
              <w:t>’</w:t>
            </w:r>
            <w:r>
              <w:rPr>
                <w:rFonts w:ascii="Arial" w:hAnsi="Arial"/>
                <w:sz w:val="18"/>
                <w:szCs w:val="18"/>
              </w:rPr>
              <w:t>autres programmes, projets et activités de sauvegarde ;</w:t>
            </w:r>
          </w:p>
        </w:tc>
        <w:tc>
          <w:tcPr>
            <w:tcW w:w="670" w:type="pct"/>
            <w:tcBorders>
              <w:top w:val="single" w:sz="4" w:space="0" w:color="auto"/>
              <w:left w:val="single" w:sz="4" w:space="0" w:color="auto"/>
              <w:bottom w:val="single" w:sz="4" w:space="0" w:color="auto"/>
              <w:right w:val="single" w:sz="4" w:space="0" w:color="auto"/>
            </w:tcBorders>
            <w:vAlign w:val="center"/>
          </w:tcPr>
          <w:p w14:paraId="47203293" w14:textId="77777777" w:rsidR="00FA7E04" w:rsidRDefault="00FA7E04" w:rsidP="00FA7E04">
            <w:pPr>
              <w:spacing w:before="60" w:after="60"/>
              <w:contextualSpacing/>
              <w:jc w:val="center"/>
              <w:rPr>
                <w:rFonts w:ascii="Arial" w:hAnsi="Arial" w:cs="Arial"/>
                <w:sz w:val="18"/>
                <w:szCs w:val="18"/>
              </w:rPr>
            </w:pPr>
            <w:r>
              <w:rPr>
                <w:rFonts w:ascii="Arial" w:hAnsi="Arial"/>
                <w:sz w:val="18"/>
                <w:szCs w:val="18"/>
              </w:rPr>
              <w:t>52,55 %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3940FBBB"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51,96 %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0D0615F8"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4 073 861 $</w:t>
            </w:r>
          </w:p>
        </w:tc>
        <w:tc>
          <w:tcPr>
            <w:tcW w:w="647" w:type="pct"/>
            <w:tcBorders>
              <w:top w:val="dashed" w:sz="4" w:space="0" w:color="auto"/>
              <w:left w:val="dashed" w:sz="4" w:space="0" w:color="auto"/>
              <w:bottom w:val="dashed" w:sz="4" w:space="0" w:color="auto"/>
              <w:right w:val="dashed" w:sz="4" w:space="0" w:color="auto"/>
            </w:tcBorders>
            <w:vAlign w:val="center"/>
          </w:tcPr>
          <w:p w14:paraId="3D858730"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1 018 465 $</w:t>
            </w:r>
          </w:p>
        </w:tc>
      </w:tr>
      <w:tr w:rsidR="00891988" w:rsidRPr="00AE7DF0" w14:paraId="68E62924"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48F0"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1.1</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7A48CBC4" w14:textId="14B0EF4D" w:rsidR="00FA7E04" w:rsidRPr="00BB2DEA" w:rsidRDefault="00FA7E04" w:rsidP="008B3BEC">
            <w:pPr>
              <w:spacing w:before="120" w:after="120"/>
              <w:ind w:right="-1"/>
              <w:contextualSpacing/>
              <w:rPr>
                <w:rFonts w:ascii="Arial" w:hAnsi="Arial" w:cs="Arial"/>
                <w:sz w:val="18"/>
                <w:szCs w:val="18"/>
              </w:rPr>
            </w:pPr>
            <w:r>
              <w:rPr>
                <w:rFonts w:ascii="Arial" w:hAnsi="Arial"/>
                <w:sz w:val="18"/>
                <w:szCs w:val="18"/>
              </w:rPr>
              <w:t>Renforcement des ressources humaines pour améliorer la mise en œuvre des mécanismes d</w:t>
            </w:r>
            <w:r w:rsidR="00796EEE">
              <w:rPr>
                <w:rFonts w:ascii="Arial" w:hAnsi="Arial"/>
                <w:sz w:val="18"/>
                <w:szCs w:val="18"/>
              </w:rPr>
              <w:t>’</w:t>
            </w:r>
            <w:r>
              <w:rPr>
                <w:rFonts w:ascii="Arial" w:hAnsi="Arial"/>
                <w:sz w:val="18"/>
                <w:szCs w:val="18"/>
              </w:rPr>
              <w:t>assistance internationale à travers trois postes à durée déterminée financés à l</w:t>
            </w:r>
            <w:r w:rsidR="00796EEE">
              <w:rPr>
                <w:rFonts w:ascii="Arial" w:hAnsi="Arial"/>
                <w:sz w:val="18"/>
                <w:szCs w:val="18"/>
              </w:rPr>
              <w:t>’</w:t>
            </w:r>
            <w:r>
              <w:rPr>
                <w:rFonts w:ascii="Arial" w:hAnsi="Arial"/>
                <w:sz w:val="18"/>
                <w:szCs w:val="18"/>
              </w:rPr>
              <w:t>aide de fonds extrabudgétaires (un P3, un P2 et un G5) ;</w:t>
            </w:r>
          </w:p>
        </w:tc>
        <w:tc>
          <w:tcPr>
            <w:tcW w:w="670" w:type="pct"/>
            <w:tcBorders>
              <w:top w:val="single" w:sz="4" w:space="0" w:color="auto"/>
              <w:left w:val="single" w:sz="4" w:space="0" w:color="auto"/>
              <w:bottom w:val="single" w:sz="4" w:space="0" w:color="auto"/>
              <w:right w:val="single" w:sz="4" w:space="0" w:color="auto"/>
            </w:tcBorders>
            <w:vAlign w:val="center"/>
          </w:tcPr>
          <w:p w14:paraId="55BE2154" w14:textId="77777777" w:rsidR="00FA7E04" w:rsidRDefault="00FA7E04" w:rsidP="00FA7E04">
            <w:pPr>
              <w:spacing w:before="60" w:after="60"/>
              <w:contextualSpacing/>
              <w:jc w:val="center"/>
              <w:rPr>
                <w:rFonts w:ascii="Arial" w:hAnsi="Arial" w:cs="Arial"/>
                <w:sz w:val="18"/>
                <w:szCs w:val="18"/>
              </w:rPr>
            </w:pPr>
            <w:r>
              <w:rPr>
                <w:rFonts w:ascii="Arial" w:hAnsi="Arial"/>
                <w:sz w:val="18"/>
                <w:szCs w:val="18"/>
              </w:rPr>
              <w:t>8,20 %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7A11688E"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10,79 %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08E51603"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845 977 $</w:t>
            </w:r>
          </w:p>
        </w:tc>
        <w:tc>
          <w:tcPr>
            <w:tcW w:w="647" w:type="pct"/>
            <w:tcBorders>
              <w:top w:val="dashed" w:sz="4" w:space="0" w:color="auto"/>
              <w:left w:val="dashed" w:sz="4" w:space="0" w:color="auto"/>
              <w:bottom w:val="dashed" w:sz="4" w:space="0" w:color="auto"/>
              <w:right w:val="dashed" w:sz="4" w:space="0" w:color="auto"/>
            </w:tcBorders>
            <w:vAlign w:val="center"/>
          </w:tcPr>
          <w:p w14:paraId="578A1F78"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211 494 $</w:t>
            </w:r>
          </w:p>
        </w:tc>
      </w:tr>
      <w:tr w:rsidR="00891988" w:rsidRPr="00AE7DF0" w14:paraId="5782115D"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52F28"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2.</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07AEECA6" w14:textId="3D5E71AE" w:rsidR="00FA7E04" w:rsidRPr="00BB2DEA" w:rsidRDefault="00FA7E04" w:rsidP="008B3BEC">
            <w:pPr>
              <w:spacing w:before="120" w:after="120"/>
              <w:contextualSpacing/>
              <w:rPr>
                <w:rFonts w:ascii="Arial" w:hAnsi="Arial" w:cs="Arial"/>
                <w:sz w:val="18"/>
                <w:szCs w:val="18"/>
              </w:rPr>
            </w:pPr>
            <w:r>
              <w:rPr>
                <w:rFonts w:ascii="Arial" w:hAnsi="Arial"/>
                <w:sz w:val="18"/>
                <w:szCs w:val="18"/>
              </w:rPr>
              <w:t>Assistance préparatoire pour les demandes d</w:t>
            </w:r>
            <w:r w:rsidR="00796EEE">
              <w:rPr>
                <w:rFonts w:ascii="Arial" w:hAnsi="Arial"/>
                <w:sz w:val="18"/>
                <w:szCs w:val="18"/>
              </w:rPr>
              <w:t>’</w:t>
            </w:r>
            <w:r>
              <w:rPr>
                <w:rFonts w:ascii="Arial" w:hAnsi="Arial"/>
                <w:sz w:val="18"/>
                <w:szCs w:val="18"/>
              </w:rPr>
              <w:t>assistance internationale, ainsi que pour les dossiers de candidature à la Liste de sauvegarde urgente et les propositions au Registre de bonnes pratiques de sauvegarde ;</w:t>
            </w:r>
          </w:p>
        </w:tc>
        <w:tc>
          <w:tcPr>
            <w:tcW w:w="670" w:type="pct"/>
            <w:tcBorders>
              <w:top w:val="single" w:sz="4" w:space="0" w:color="auto"/>
              <w:left w:val="single" w:sz="4" w:space="0" w:color="auto"/>
              <w:bottom w:val="single" w:sz="4" w:space="0" w:color="auto"/>
              <w:right w:val="single" w:sz="4" w:space="0" w:color="auto"/>
            </w:tcBorders>
            <w:vAlign w:val="center"/>
          </w:tcPr>
          <w:p w14:paraId="5CB94AFC" w14:textId="77777777" w:rsidR="00FA7E04" w:rsidRDefault="00FA7E04" w:rsidP="00FA7E04">
            <w:pPr>
              <w:spacing w:before="60" w:after="60"/>
              <w:contextualSpacing/>
              <w:jc w:val="center"/>
              <w:rPr>
                <w:rFonts w:ascii="Arial" w:hAnsi="Arial" w:cs="Arial"/>
                <w:sz w:val="18"/>
                <w:szCs w:val="18"/>
              </w:rPr>
            </w:pPr>
            <w:r>
              <w:rPr>
                <w:rFonts w:ascii="Arial" w:hAnsi="Arial"/>
                <w:sz w:val="18"/>
                <w:szCs w:val="18"/>
              </w:rPr>
              <w:t>4,00 %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4B7E859B"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2,00 %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4FD85FE7"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156 808 $</w:t>
            </w:r>
          </w:p>
        </w:tc>
        <w:tc>
          <w:tcPr>
            <w:tcW w:w="647" w:type="pct"/>
            <w:tcBorders>
              <w:top w:val="dashed" w:sz="4" w:space="0" w:color="auto"/>
              <w:left w:val="dashed" w:sz="4" w:space="0" w:color="auto"/>
              <w:bottom w:val="dashed" w:sz="4" w:space="0" w:color="auto"/>
              <w:right w:val="dashed" w:sz="4" w:space="0" w:color="auto"/>
            </w:tcBorders>
            <w:vAlign w:val="center"/>
          </w:tcPr>
          <w:p w14:paraId="3AE3FD88"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39 202 $</w:t>
            </w:r>
          </w:p>
        </w:tc>
      </w:tr>
      <w:tr w:rsidR="00891988" w:rsidRPr="00AE7DF0" w14:paraId="03E41EB2"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0F726"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3.</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587648E4" w14:textId="77103926" w:rsidR="00FA7E04" w:rsidRPr="00BB2DEA" w:rsidRDefault="00FA7E04" w:rsidP="008B3BEC">
            <w:pPr>
              <w:spacing w:before="120" w:after="120"/>
              <w:contextualSpacing/>
              <w:rPr>
                <w:rFonts w:ascii="Arial" w:hAnsi="Arial" w:cs="Arial"/>
                <w:sz w:val="18"/>
                <w:szCs w:val="18"/>
              </w:rPr>
            </w:pPr>
            <w:r>
              <w:rPr>
                <w:rFonts w:ascii="Arial" w:hAnsi="Arial"/>
                <w:sz w:val="18"/>
                <w:szCs w:val="18"/>
              </w:rPr>
              <w:t>Autres fonctions du Comité telles que décrites à l</w:t>
            </w:r>
            <w:r w:rsidR="00796EEE">
              <w:rPr>
                <w:rFonts w:ascii="Arial" w:hAnsi="Arial"/>
                <w:sz w:val="18"/>
                <w:szCs w:val="18"/>
              </w:rPr>
              <w:t>’</w:t>
            </w:r>
            <w:r>
              <w:rPr>
                <w:rFonts w:ascii="Arial" w:hAnsi="Arial"/>
                <w:sz w:val="18"/>
                <w:szCs w:val="18"/>
              </w:rPr>
              <w:t>article 7 de la Convention, visant à promouvoir les objectifs de la Convention et à encourager et assurer le suivi de sa mise en œuvre, à travers notamment le renforcement des capacités en vue d</w:t>
            </w:r>
            <w:r w:rsidR="00796EEE">
              <w:rPr>
                <w:rFonts w:ascii="Arial" w:hAnsi="Arial"/>
                <w:sz w:val="18"/>
                <w:szCs w:val="18"/>
              </w:rPr>
              <w:t>’</w:t>
            </w:r>
            <w:r>
              <w:rPr>
                <w:rFonts w:ascii="Arial" w:hAnsi="Arial"/>
                <w:sz w:val="18"/>
                <w:szCs w:val="18"/>
              </w:rPr>
              <w:t>une sauvegarde efficace du patrimoine culturel immatériel, la sensibilisation à l</w:t>
            </w:r>
            <w:r w:rsidR="00796EEE">
              <w:rPr>
                <w:rFonts w:ascii="Arial" w:hAnsi="Arial"/>
                <w:sz w:val="18"/>
                <w:szCs w:val="18"/>
              </w:rPr>
              <w:t>’</w:t>
            </w:r>
            <w:r>
              <w:rPr>
                <w:rFonts w:ascii="Arial" w:hAnsi="Arial"/>
                <w:sz w:val="18"/>
                <w:szCs w:val="18"/>
              </w:rPr>
              <w:t>importance de ce patrimoine, les conseils sur les bonnes pratiques de sauvegarde et la mise à jour et la publication des Listes et du Registre de bonnes pratiques de sauvegarde</w:t>
            </w:r>
            <w:r w:rsidR="005029AD">
              <w:rPr>
                <w:rFonts w:ascii="Arial" w:hAnsi="Arial"/>
                <w:sz w:val="18"/>
                <w:szCs w:val="18"/>
              </w:rPr>
              <w:t> :</w:t>
            </w:r>
            <w:r>
              <w:rPr>
                <w:rFonts w:ascii="Arial" w:hAnsi="Arial"/>
                <w:sz w:val="18"/>
                <w:szCs w:val="18"/>
              </w:rPr>
              <w:t xml:space="preserve"> </w:t>
            </w:r>
          </w:p>
        </w:tc>
        <w:tc>
          <w:tcPr>
            <w:tcW w:w="670" w:type="pct"/>
            <w:tcBorders>
              <w:top w:val="single" w:sz="4" w:space="0" w:color="auto"/>
              <w:left w:val="single" w:sz="4" w:space="0" w:color="auto"/>
              <w:bottom w:val="single" w:sz="4" w:space="0" w:color="auto"/>
              <w:right w:val="single" w:sz="4" w:space="0" w:color="auto"/>
            </w:tcBorders>
            <w:vAlign w:val="center"/>
          </w:tcPr>
          <w:p w14:paraId="4CD735BC"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20,00 %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77353E24"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20,00 %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509DEAE8"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1 568 076 $</w:t>
            </w:r>
          </w:p>
        </w:tc>
        <w:tc>
          <w:tcPr>
            <w:tcW w:w="647" w:type="pct"/>
            <w:tcBorders>
              <w:top w:val="dashed" w:sz="4" w:space="0" w:color="auto"/>
              <w:left w:val="dashed" w:sz="4" w:space="0" w:color="auto"/>
              <w:bottom w:val="dashed" w:sz="4" w:space="0" w:color="auto"/>
              <w:right w:val="dashed" w:sz="4" w:space="0" w:color="auto"/>
            </w:tcBorders>
            <w:vAlign w:val="center"/>
          </w:tcPr>
          <w:p w14:paraId="55499BA0"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392 019 $</w:t>
            </w:r>
          </w:p>
        </w:tc>
      </w:tr>
      <w:tr w:rsidR="00891988" w:rsidRPr="008B3BEC" w14:paraId="46329692"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17A56C6" w14:textId="77777777" w:rsidR="008B3BEC" w:rsidRPr="008B3BEC" w:rsidRDefault="008B3BEC" w:rsidP="00FA7E04">
            <w:pPr>
              <w:spacing w:before="120" w:after="120"/>
              <w:contextualSpacing/>
              <w:rPr>
                <w:rFonts w:ascii="Arial" w:hAnsi="Arial" w:cs="Arial"/>
                <w:i/>
                <w:iCs/>
                <w:sz w:val="18"/>
                <w:szCs w:val="18"/>
                <w:lang w:val="en-GB"/>
              </w:rPr>
            </w:pPr>
          </w:p>
        </w:tc>
        <w:tc>
          <w:tcPr>
            <w:tcW w:w="20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5FC80B" w14:textId="08396E5F" w:rsidR="008B3BEC" w:rsidRPr="00C278E9" w:rsidRDefault="00C278E9" w:rsidP="00C278E9">
            <w:pPr>
              <w:spacing w:before="120" w:after="120"/>
              <w:ind w:left="250"/>
              <w:contextualSpacing/>
              <w:rPr>
                <w:rFonts w:ascii="Arial" w:hAnsi="Arial" w:cs="Arial"/>
                <w:i/>
                <w:iCs/>
                <w:sz w:val="16"/>
                <w:szCs w:val="16"/>
              </w:rPr>
            </w:pPr>
            <w:r>
              <w:rPr>
                <w:rFonts w:ascii="Arial" w:hAnsi="Arial"/>
                <w:b/>
                <w:bCs/>
                <w:i/>
                <w:iCs/>
                <w:sz w:val="16"/>
                <w:szCs w:val="16"/>
              </w:rPr>
              <w:t>ER 1 :</w:t>
            </w:r>
            <w:r>
              <w:rPr>
                <w:rFonts w:ascii="Arial" w:hAnsi="Arial"/>
                <w:i/>
                <w:iCs/>
                <w:sz w:val="16"/>
                <w:szCs w:val="16"/>
              </w:rPr>
              <w:t xml:space="preserve"> Bonne gouvernance de la Convention de 2003 facilitée par l</w:t>
            </w:r>
            <w:r w:rsidR="00796EEE">
              <w:rPr>
                <w:rFonts w:ascii="Arial" w:hAnsi="Arial"/>
                <w:i/>
                <w:iCs/>
                <w:sz w:val="16"/>
                <w:szCs w:val="16"/>
              </w:rPr>
              <w:t>’</w:t>
            </w:r>
            <w:r>
              <w:rPr>
                <w:rFonts w:ascii="Arial" w:hAnsi="Arial"/>
                <w:i/>
                <w:iCs/>
                <w:sz w:val="16"/>
                <w:szCs w:val="16"/>
              </w:rPr>
              <w:t>amélioration du suivi et des services de gestion des connaissances ;</w:t>
            </w:r>
          </w:p>
        </w:tc>
        <w:tc>
          <w:tcPr>
            <w:tcW w:w="67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8A06DE" w14:textId="77777777" w:rsidR="002F755B" w:rsidRDefault="002F755B" w:rsidP="00FA7E04">
            <w:pPr>
              <w:spacing w:before="60" w:after="60"/>
              <w:contextualSpacing/>
              <w:jc w:val="center"/>
              <w:rPr>
                <w:rFonts w:ascii="Arial" w:hAnsi="Arial" w:cs="Arial"/>
                <w:i/>
                <w:iCs/>
                <w:sz w:val="16"/>
                <w:szCs w:val="16"/>
              </w:rPr>
            </w:pPr>
            <w:r>
              <w:rPr>
                <w:rFonts w:ascii="Arial" w:hAnsi="Arial"/>
                <w:i/>
                <w:iCs/>
                <w:sz w:val="16"/>
                <w:szCs w:val="16"/>
              </w:rPr>
              <w:t>4 %</w:t>
            </w:r>
          </w:p>
          <w:p w14:paraId="20364752" w14:textId="77777777" w:rsidR="008B3BEC" w:rsidRPr="00C278E9" w:rsidRDefault="002F755B" w:rsidP="00FA7E04">
            <w:pPr>
              <w:spacing w:before="60" w:after="60"/>
              <w:contextualSpacing/>
              <w:jc w:val="center"/>
              <w:rPr>
                <w:rFonts w:ascii="Arial" w:hAnsi="Arial" w:cs="Arial"/>
                <w:i/>
                <w:iCs/>
                <w:sz w:val="16"/>
                <w:szCs w:val="16"/>
              </w:rPr>
            </w:pPr>
            <w:r>
              <w:rPr>
                <w:rFonts w:ascii="Arial" w:hAnsi="Arial"/>
                <w:i/>
                <w:iCs/>
                <w:sz w:val="16"/>
                <w:szCs w:val="16"/>
              </w:rPr>
              <w:t>(20 % de la ligne 3)</w:t>
            </w:r>
          </w:p>
        </w:tc>
        <w:tc>
          <w:tcPr>
            <w:tcW w:w="670"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5D5AD201" w14:textId="77777777" w:rsidR="002F755B" w:rsidRDefault="002F755B" w:rsidP="002F755B">
            <w:pPr>
              <w:spacing w:before="60" w:after="60"/>
              <w:contextualSpacing/>
              <w:jc w:val="center"/>
              <w:rPr>
                <w:rFonts w:ascii="Arial" w:hAnsi="Arial" w:cs="Arial"/>
                <w:i/>
                <w:iCs/>
                <w:sz w:val="16"/>
                <w:szCs w:val="16"/>
              </w:rPr>
            </w:pPr>
            <w:r>
              <w:rPr>
                <w:rFonts w:ascii="Arial" w:hAnsi="Arial"/>
                <w:i/>
                <w:iCs/>
                <w:sz w:val="16"/>
                <w:szCs w:val="16"/>
              </w:rPr>
              <w:t>5,4 %</w:t>
            </w:r>
          </w:p>
          <w:p w14:paraId="00375991" w14:textId="77777777" w:rsidR="008B3BEC" w:rsidRPr="00B702ED" w:rsidRDefault="002F755B" w:rsidP="002F755B">
            <w:pPr>
              <w:spacing w:before="60" w:after="60"/>
              <w:contextualSpacing/>
              <w:jc w:val="center"/>
              <w:rPr>
                <w:rFonts w:ascii="Arial" w:hAnsi="Arial" w:cs="Arial"/>
                <w:i/>
                <w:iCs/>
                <w:sz w:val="16"/>
                <w:szCs w:val="16"/>
              </w:rPr>
            </w:pPr>
            <w:r>
              <w:rPr>
                <w:rFonts w:ascii="Arial" w:hAnsi="Arial"/>
                <w:i/>
                <w:iCs/>
                <w:sz w:val="16"/>
                <w:szCs w:val="16"/>
              </w:rPr>
              <w:t>(27 % de la ligne 3)</w:t>
            </w:r>
          </w:p>
        </w:tc>
        <w:tc>
          <w:tcPr>
            <w:tcW w:w="669"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6673C40C"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423 380 $</w:t>
            </w:r>
          </w:p>
        </w:tc>
        <w:tc>
          <w:tcPr>
            <w:tcW w:w="647"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234FF4B"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105 845 $</w:t>
            </w:r>
          </w:p>
        </w:tc>
      </w:tr>
      <w:tr w:rsidR="00891988" w:rsidRPr="008B3BEC" w14:paraId="70120A1D"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DC72CF8" w14:textId="77777777" w:rsidR="008B3BEC" w:rsidRPr="008B3BEC" w:rsidRDefault="008B3BEC" w:rsidP="00FA7E04">
            <w:pPr>
              <w:spacing w:before="120" w:after="120"/>
              <w:contextualSpacing/>
              <w:rPr>
                <w:rFonts w:ascii="Arial" w:hAnsi="Arial" w:cs="Arial"/>
                <w:i/>
                <w:iCs/>
                <w:sz w:val="18"/>
                <w:szCs w:val="18"/>
                <w:lang w:val="en-GB"/>
              </w:rPr>
            </w:pPr>
          </w:p>
        </w:tc>
        <w:tc>
          <w:tcPr>
            <w:tcW w:w="20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14ECF9" w14:textId="77777777" w:rsidR="008B3BEC" w:rsidRPr="00C278E9" w:rsidRDefault="00C278E9" w:rsidP="00C278E9">
            <w:pPr>
              <w:spacing w:before="120" w:after="120"/>
              <w:ind w:left="250"/>
              <w:contextualSpacing/>
              <w:rPr>
                <w:rFonts w:ascii="Arial" w:hAnsi="Arial" w:cs="Arial"/>
                <w:i/>
                <w:iCs/>
                <w:sz w:val="16"/>
                <w:szCs w:val="16"/>
              </w:rPr>
            </w:pPr>
            <w:r>
              <w:rPr>
                <w:rFonts w:ascii="Arial" w:hAnsi="Arial"/>
                <w:b/>
                <w:bCs/>
                <w:i/>
                <w:iCs/>
                <w:sz w:val="16"/>
                <w:szCs w:val="16"/>
              </w:rPr>
              <w:t>ER 2 :</w:t>
            </w:r>
            <w:r>
              <w:rPr>
                <w:rFonts w:ascii="Arial" w:hAnsi="Arial"/>
                <w:i/>
                <w:iCs/>
                <w:sz w:val="16"/>
                <w:szCs w:val="16"/>
              </w:rPr>
              <w:t xml:space="preserve"> Mise en œuvre de la Convention dans les États membres encouragée par un programme de renforcement des capacités consolidé ;</w:t>
            </w:r>
          </w:p>
        </w:tc>
        <w:tc>
          <w:tcPr>
            <w:tcW w:w="67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D40638" w14:textId="77777777" w:rsidR="002F755B" w:rsidRDefault="002F755B" w:rsidP="00FA7E04">
            <w:pPr>
              <w:spacing w:before="60" w:after="60"/>
              <w:contextualSpacing/>
              <w:jc w:val="center"/>
              <w:rPr>
                <w:rFonts w:ascii="Arial" w:hAnsi="Arial" w:cs="Arial"/>
                <w:i/>
                <w:iCs/>
                <w:sz w:val="16"/>
                <w:szCs w:val="16"/>
              </w:rPr>
            </w:pPr>
            <w:r>
              <w:rPr>
                <w:rFonts w:ascii="Arial" w:hAnsi="Arial"/>
                <w:i/>
                <w:iCs/>
                <w:sz w:val="16"/>
                <w:szCs w:val="16"/>
              </w:rPr>
              <w:t>7,2 %</w:t>
            </w:r>
          </w:p>
          <w:p w14:paraId="2EFF4C44" w14:textId="77777777" w:rsidR="002F755B" w:rsidRPr="00C278E9" w:rsidRDefault="002F755B">
            <w:pPr>
              <w:spacing w:before="60" w:after="60"/>
              <w:contextualSpacing/>
              <w:jc w:val="center"/>
              <w:rPr>
                <w:rFonts w:ascii="Arial" w:hAnsi="Arial" w:cs="Arial"/>
                <w:i/>
                <w:iCs/>
                <w:sz w:val="16"/>
                <w:szCs w:val="16"/>
              </w:rPr>
            </w:pPr>
            <w:r>
              <w:rPr>
                <w:rFonts w:ascii="Arial" w:hAnsi="Arial"/>
                <w:i/>
                <w:iCs/>
                <w:sz w:val="16"/>
                <w:szCs w:val="16"/>
              </w:rPr>
              <w:t>(36 % de la ligne 3)</w:t>
            </w:r>
          </w:p>
        </w:tc>
        <w:tc>
          <w:tcPr>
            <w:tcW w:w="670"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31D8FD8" w14:textId="77777777" w:rsidR="002F755B" w:rsidRDefault="002F755B" w:rsidP="00FA7E04">
            <w:pPr>
              <w:spacing w:before="60" w:after="60"/>
              <w:contextualSpacing/>
              <w:jc w:val="center"/>
              <w:rPr>
                <w:rFonts w:ascii="Arial" w:hAnsi="Arial" w:cs="Arial"/>
                <w:i/>
                <w:iCs/>
                <w:sz w:val="16"/>
                <w:szCs w:val="16"/>
              </w:rPr>
            </w:pPr>
            <w:r>
              <w:rPr>
                <w:rFonts w:ascii="Arial" w:hAnsi="Arial"/>
                <w:i/>
                <w:iCs/>
                <w:sz w:val="16"/>
                <w:szCs w:val="16"/>
              </w:rPr>
              <w:t>6,6 %</w:t>
            </w:r>
          </w:p>
          <w:p w14:paraId="7023FB5A" w14:textId="77777777" w:rsidR="008B3BEC" w:rsidRPr="00B702ED" w:rsidRDefault="002F755B" w:rsidP="00FA7E04">
            <w:pPr>
              <w:spacing w:before="60" w:after="60"/>
              <w:contextualSpacing/>
              <w:jc w:val="center"/>
              <w:rPr>
                <w:rFonts w:ascii="Arial" w:hAnsi="Arial" w:cs="Arial"/>
                <w:i/>
                <w:iCs/>
                <w:sz w:val="16"/>
                <w:szCs w:val="16"/>
              </w:rPr>
            </w:pPr>
            <w:r>
              <w:rPr>
                <w:rFonts w:ascii="Arial" w:hAnsi="Arial"/>
                <w:i/>
                <w:iCs/>
                <w:sz w:val="16"/>
                <w:szCs w:val="16"/>
              </w:rPr>
              <w:t>(33 % de la ligne 3)</w:t>
            </w:r>
          </w:p>
        </w:tc>
        <w:tc>
          <w:tcPr>
            <w:tcW w:w="669"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2F6E9A24"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517 465 $</w:t>
            </w:r>
          </w:p>
        </w:tc>
        <w:tc>
          <w:tcPr>
            <w:tcW w:w="647"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11C2707" w14:textId="77777777" w:rsidR="00542F06" w:rsidRPr="00B702ED" w:rsidRDefault="00542F06">
            <w:pPr>
              <w:spacing w:before="60" w:after="60"/>
              <w:contextualSpacing/>
              <w:jc w:val="center"/>
              <w:rPr>
                <w:rFonts w:ascii="Arial" w:hAnsi="Arial" w:cs="Arial"/>
                <w:i/>
                <w:iCs/>
                <w:sz w:val="16"/>
                <w:szCs w:val="16"/>
              </w:rPr>
            </w:pPr>
            <w:r>
              <w:rPr>
                <w:rFonts w:ascii="Arial" w:hAnsi="Arial"/>
                <w:i/>
                <w:iCs/>
                <w:sz w:val="16"/>
                <w:szCs w:val="16"/>
              </w:rPr>
              <w:t>129 366 $</w:t>
            </w:r>
          </w:p>
        </w:tc>
      </w:tr>
      <w:tr w:rsidR="00891988" w:rsidRPr="008B3BEC" w14:paraId="6BD4F47D"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F1ADAD1" w14:textId="77777777" w:rsidR="008B3BEC" w:rsidRPr="008B3BEC" w:rsidRDefault="008B3BEC" w:rsidP="00FA7E04">
            <w:pPr>
              <w:spacing w:before="120" w:after="120"/>
              <w:contextualSpacing/>
              <w:rPr>
                <w:rFonts w:ascii="Arial" w:hAnsi="Arial" w:cs="Arial"/>
                <w:i/>
                <w:iCs/>
                <w:sz w:val="18"/>
                <w:szCs w:val="18"/>
                <w:lang w:val="en-GB"/>
              </w:rPr>
            </w:pPr>
          </w:p>
        </w:tc>
        <w:tc>
          <w:tcPr>
            <w:tcW w:w="20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496D80" w14:textId="77777777" w:rsidR="008B3BEC" w:rsidRPr="00C278E9" w:rsidRDefault="00C278E9" w:rsidP="00C278E9">
            <w:pPr>
              <w:spacing w:before="120" w:after="120"/>
              <w:ind w:left="250"/>
              <w:contextualSpacing/>
              <w:rPr>
                <w:rFonts w:ascii="Arial" w:hAnsi="Arial" w:cs="Arial"/>
                <w:i/>
                <w:iCs/>
                <w:sz w:val="16"/>
                <w:szCs w:val="16"/>
              </w:rPr>
            </w:pPr>
            <w:r>
              <w:rPr>
                <w:rFonts w:ascii="Arial" w:hAnsi="Arial"/>
                <w:b/>
                <w:bCs/>
                <w:i/>
                <w:iCs/>
                <w:sz w:val="16"/>
                <w:szCs w:val="16"/>
              </w:rPr>
              <w:t>ER 3 :</w:t>
            </w:r>
            <w:r>
              <w:rPr>
                <w:rFonts w:ascii="Arial" w:hAnsi="Arial"/>
                <w:i/>
                <w:iCs/>
                <w:sz w:val="16"/>
                <w:szCs w:val="16"/>
              </w:rPr>
              <w:t xml:space="preserve"> Intégration du patrimoine culturel immatériel dans des programmes, des politiques et des plans de développement soutenue ;</w:t>
            </w:r>
          </w:p>
        </w:tc>
        <w:tc>
          <w:tcPr>
            <w:tcW w:w="67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FA9ECA" w14:textId="77777777" w:rsidR="002F755B" w:rsidRDefault="002F755B" w:rsidP="00FA7E04">
            <w:pPr>
              <w:spacing w:before="60" w:after="60"/>
              <w:contextualSpacing/>
              <w:jc w:val="center"/>
              <w:rPr>
                <w:rFonts w:ascii="Arial" w:hAnsi="Arial" w:cs="Arial"/>
                <w:i/>
                <w:iCs/>
                <w:sz w:val="16"/>
                <w:szCs w:val="16"/>
              </w:rPr>
            </w:pPr>
            <w:r>
              <w:rPr>
                <w:rFonts w:ascii="Arial" w:hAnsi="Arial"/>
                <w:i/>
                <w:iCs/>
                <w:sz w:val="16"/>
                <w:szCs w:val="16"/>
              </w:rPr>
              <w:t xml:space="preserve">3,4 % </w:t>
            </w:r>
          </w:p>
          <w:p w14:paraId="5CAA9CAC" w14:textId="77777777" w:rsidR="008B3BEC" w:rsidRPr="00C278E9" w:rsidRDefault="002F755B" w:rsidP="00FA7E04">
            <w:pPr>
              <w:spacing w:before="60" w:after="60"/>
              <w:contextualSpacing/>
              <w:jc w:val="center"/>
              <w:rPr>
                <w:rFonts w:ascii="Arial" w:hAnsi="Arial" w:cs="Arial"/>
                <w:i/>
                <w:iCs/>
                <w:sz w:val="16"/>
                <w:szCs w:val="16"/>
              </w:rPr>
            </w:pPr>
            <w:r>
              <w:rPr>
                <w:rFonts w:ascii="Arial" w:hAnsi="Arial"/>
                <w:i/>
                <w:iCs/>
                <w:sz w:val="16"/>
                <w:szCs w:val="16"/>
              </w:rPr>
              <w:t>(17 % de la ligne 3)</w:t>
            </w:r>
          </w:p>
        </w:tc>
        <w:tc>
          <w:tcPr>
            <w:tcW w:w="670"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84964E7" w14:textId="77777777" w:rsidR="002F755B" w:rsidRDefault="002F755B" w:rsidP="002F755B">
            <w:pPr>
              <w:spacing w:before="60" w:after="60"/>
              <w:contextualSpacing/>
              <w:jc w:val="center"/>
              <w:rPr>
                <w:rFonts w:ascii="Arial" w:hAnsi="Arial" w:cs="Arial"/>
                <w:i/>
                <w:iCs/>
                <w:sz w:val="16"/>
                <w:szCs w:val="16"/>
              </w:rPr>
            </w:pPr>
            <w:r>
              <w:rPr>
                <w:rFonts w:ascii="Arial" w:hAnsi="Arial"/>
                <w:i/>
                <w:iCs/>
                <w:sz w:val="16"/>
                <w:szCs w:val="16"/>
              </w:rPr>
              <w:t>2,6 %</w:t>
            </w:r>
          </w:p>
          <w:p w14:paraId="52B0B368" w14:textId="77777777" w:rsidR="002F755B" w:rsidRPr="00B702ED" w:rsidRDefault="002F755B">
            <w:pPr>
              <w:spacing w:before="60" w:after="60"/>
              <w:contextualSpacing/>
              <w:jc w:val="center"/>
              <w:rPr>
                <w:rFonts w:ascii="Arial" w:hAnsi="Arial" w:cs="Arial"/>
                <w:i/>
                <w:iCs/>
                <w:sz w:val="16"/>
                <w:szCs w:val="16"/>
              </w:rPr>
            </w:pPr>
            <w:r>
              <w:rPr>
                <w:rFonts w:ascii="Arial" w:hAnsi="Arial"/>
                <w:i/>
                <w:iCs/>
                <w:sz w:val="16"/>
                <w:szCs w:val="16"/>
              </w:rPr>
              <w:t>(13 % de la ligne 3)</w:t>
            </w:r>
          </w:p>
        </w:tc>
        <w:tc>
          <w:tcPr>
            <w:tcW w:w="669"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FDF6D2D"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203 850 $</w:t>
            </w:r>
          </w:p>
        </w:tc>
        <w:tc>
          <w:tcPr>
            <w:tcW w:w="647"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196C53BB"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50 962 $</w:t>
            </w:r>
          </w:p>
        </w:tc>
      </w:tr>
      <w:tr w:rsidR="00891988" w:rsidRPr="008B3BEC" w14:paraId="2ECAA934"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3B44B28" w14:textId="77777777" w:rsidR="008B3BEC" w:rsidRPr="008B3BEC" w:rsidRDefault="008B3BEC" w:rsidP="00FA7E04">
            <w:pPr>
              <w:spacing w:before="120" w:after="120"/>
              <w:contextualSpacing/>
              <w:rPr>
                <w:rFonts w:ascii="Arial" w:hAnsi="Arial" w:cs="Arial"/>
                <w:i/>
                <w:iCs/>
                <w:sz w:val="18"/>
                <w:szCs w:val="18"/>
                <w:lang w:val="en-GB"/>
              </w:rPr>
            </w:pPr>
          </w:p>
        </w:tc>
        <w:tc>
          <w:tcPr>
            <w:tcW w:w="20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B41F2A" w14:textId="5EE8A1EB" w:rsidR="008B3BEC" w:rsidRPr="00C278E9" w:rsidRDefault="00C278E9" w:rsidP="00C278E9">
            <w:pPr>
              <w:spacing w:before="120" w:after="120"/>
              <w:ind w:left="250"/>
              <w:contextualSpacing/>
              <w:rPr>
                <w:rFonts w:ascii="Arial" w:hAnsi="Arial" w:cs="Arial"/>
                <w:i/>
                <w:iCs/>
                <w:sz w:val="16"/>
                <w:szCs w:val="16"/>
              </w:rPr>
            </w:pPr>
            <w:r>
              <w:rPr>
                <w:rFonts w:ascii="Arial" w:hAnsi="Arial"/>
                <w:b/>
                <w:bCs/>
                <w:i/>
                <w:iCs/>
                <w:sz w:val="16"/>
                <w:szCs w:val="16"/>
              </w:rPr>
              <w:t>ER 4 :</w:t>
            </w:r>
            <w:r>
              <w:rPr>
                <w:rFonts w:ascii="Arial" w:hAnsi="Arial"/>
                <w:i/>
                <w:iCs/>
                <w:sz w:val="16"/>
                <w:szCs w:val="16"/>
              </w:rPr>
              <w:t xml:space="preserve"> Objectifs de la Convention promus par des actions de sensibilisation et d</w:t>
            </w:r>
            <w:r w:rsidR="00796EEE">
              <w:rPr>
                <w:rFonts w:ascii="Arial" w:hAnsi="Arial"/>
                <w:i/>
                <w:iCs/>
                <w:sz w:val="16"/>
                <w:szCs w:val="16"/>
              </w:rPr>
              <w:t>’</w:t>
            </w:r>
            <w:r>
              <w:rPr>
                <w:rFonts w:ascii="Arial" w:hAnsi="Arial"/>
                <w:i/>
                <w:iCs/>
                <w:sz w:val="16"/>
                <w:szCs w:val="16"/>
              </w:rPr>
              <w:t>information ;</w:t>
            </w:r>
          </w:p>
        </w:tc>
        <w:tc>
          <w:tcPr>
            <w:tcW w:w="67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1C5BBD" w14:textId="77777777" w:rsidR="002F755B" w:rsidRDefault="002F755B" w:rsidP="00FA7E04">
            <w:pPr>
              <w:spacing w:before="60" w:after="60"/>
              <w:contextualSpacing/>
              <w:jc w:val="center"/>
              <w:rPr>
                <w:rFonts w:ascii="Arial" w:hAnsi="Arial" w:cs="Arial"/>
                <w:i/>
                <w:iCs/>
                <w:sz w:val="16"/>
                <w:szCs w:val="16"/>
              </w:rPr>
            </w:pPr>
            <w:r>
              <w:rPr>
                <w:rFonts w:ascii="Arial" w:hAnsi="Arial"/>
                <w:i/>
                <w:iCs/>
                <w:sz w:val="16"/>
                <w:szCs w:val="16"/>
              </w:rPr>
              <w:t>5,4 %</w:t>
            </w:r>
          </w:p>
          <w:p w14:paraId="35F80E18" w14:textId="77777777" w:rsidR="002F755B" w:rsidRPr="00C278E9" w:rsidRDefault="002F755B">
            <w:pPr>
              <w:spacing w:before="60" w:after="60"/>
              <w:contextualSpacing/>
              <w:jc w:val="center"/>
              <w:rPr>
                <w:rFonts w:ascii="Arial" w:hAnsi="Arial" w:cs="Arial"/>
                <w:i/>
                <w:iCs/>
                <w:sz w:val="16"/>
                <w:szCs w:val="16"/>
              </w:rPr>
            </w:pPr>
            <w:r>
              <w:rPr>
                <w:rFonts w:ascii="Arial" w:hAnsi="Arial"/>
                <w:i/>
                <w:iCs/>
                <w:sz w:val="16"/>
                <w:szCs w:val="16"/>
              </w:rPr>
              <w:t>(27 % de la ligne 3)</w:t>
            </w:r>
          </w:p>
        </w:tc>
        <w:tc>
          <w:tcPr>
            <w:tcW w:w="670"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08417D8C" w14:textId="77777777" w:rsidR="002F755B" w:rsidRDefault="002F755B" w:rsidP="002F755B">
            <w:pPr>
              <w:spacing w:before="60" w:after="60"/>
              <w:contextualSpacing/>
              <w:jc w:val="center"/>
              <w:rPr>
                <w:rFonts w:ascii="Arial" w:hAnsi="Arial" w:cs="Arial"/>
                <w:i/>
                <w:iCs/>
                <w:sz w:val="16"/>
                <w:szCs w:val="16"/>
              </w:rPr>
            </w:pPr>
            <w:r>
              <w:rPr>
                <w:rFonts w:ascii="Arial" w:hAnsi="Arial"/>
                <w:i/>
                <w:iCs/>
                <w:sz w:val="16"/>
                <w:szCs w:val="16"/>
              </w:rPr>
              <w:t>5,4 %</w:t>
            </w:r>
          </w:p>
          <w:p w14:paraId="537A1AA2" w14:textId="77777777" w:rsidR="008B3BEC" w:rsidRPr="00B702ED" w:rsidRDefault="002F755B" w:rsidP="002F755B">
            <w:pPr>
              <w:spacing w:before="60" w:after="60"/>
              <w:contextualSpacing/>
              <w:jc w:val="center"/>
              <w:rPr>
                <w:rFonts w:ascii="Arial" w:hAnsi="Arial" w:cs="Arial"/>
                <w:i/>
                <w:iCs/>
                <w:sz w:val="16"/>
                <w:szCs w:val="16"/>
              </w:rPr>
            </w:pPr>
            <w:r>
              <w:rPr>
                <w:rFonts w:ascii="Arial" w:hAnsi="Arial"/>
                <w:i/>
                <w:iCs/>
                <w:sz w:val="16"/>
                <w:szCs w:val="16"/>
              </w:rPr>
              <w:t>(27 % de la ligne 3)</w:t>
            </w:r>
          </w:p>
        </w:tc>
        <w:tc>
          <w:tcPr>
            <w:tcW w:w="669"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E5C8A3A"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423 381 $</w:t>
            </w:r>
          </w:p>
        </w:tc>
        <w:tc>
          <w:tcPr>
            <w:tcW w:w="647"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F2F9097" w14:textId="77777777" w:rsidR="008B3BEC" w:rsidRPr="00B702ED" w:rsidRDefault="00542F06" w:rsidP="009C6B5E">
            <w:pPr>
              <w:spacing w:before="60" w:after="60"/>
              <w:contextualSpacing/>
              <w:jc w:val="center"/>
              <w:rPr>
                <w:rFonts w:ascii="Arial" w:hAnsi="Arial" w:cs="Arial"/>
                <w:i/>
                <w:iCs/>
                <w:sz w:val="16"/>
                <w:szCs w:val="16"/>
              </w:rPr>
            </w:pPr>
            <w:r>
              <w:rPr>
                <w:rFonts w:ascii="Arial" w:hAnsi="Arial"/>
                <w:i/>
                <w:iCs/>
                <w:sz w:val="16"/>
                <w:szCs w:val="16"/>
              </w:rPr>
              <w:t>105 846 $</w:t>
            </w:r>
          </w:p>
        </w:tc>
      </w:tr>
      <w:tr w:rsidR="00891988" w:rsidRPr="00AE7DF0" w14:paraId="130D1B96"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9FA25"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4.</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728E3781" w14:textId="04ADB017" w:rsidR="00FA7E04" w:rsidRPr="00BB2DEA" w:rsidRDefault="00FA7E04" w:rsidP="008B3BEC">
            <w:pPr>
              <w:spacing w:before="120" w:after="120"/>
              <w:contextualSpacing/>
              <w:rPr>
                <w:rFonts w:ascii="Arial" w:hAnsi="Arial" w:cs="Arial"/>
                <w:sz w:val="18"/>
                <w:szCs w:val="18"/>
              </w:rPr>
            </w:pPr>
            <w:r>
              <w:rPr>
                <w:rFonts w:ascii="Arial" w:hAnsi="Arial"/>
                <w:sz w:val="18"/>
                <w:szCs w:val="18"/>
              </w:rPr>
              <w:t>Participation aux sessions du Comité, de son Bureau et de ses organes subsidiaires d</w:t>
            </w:r>
            <w:r w:rsidR="00796EEE">
              <w:rPr>
                <w:rFonts w:ascii="Arial" w:hAnsi="Arial"/>
                <w:sz w:val="18"/>
                <w:szCs w:val="18"/>
              </w:rPr>
              <w:t>’</w:t>
            </w:r>
            <w:r>
              <w:rPr>
                <w:rFonts w:ascii="Arial" w:hAnsi="Arial"/>
                <w:sz w:val="18"/>
                <w:szCs w:val="18"/>
              </w:rPr>
              <w:t>experts du patrimoine culturel immatériel représentant des pays en développement membres du Comité ;</w:t>
            </w:r>
          </w:p>
        </w:tc>
        <w:tc>
          <w:tcPr>
            <w:tcW w:w="670" w:type="pct"/>
            <w:tcBorders>
              <w:top w:val="single" w:sz="4" w:space="0" w:color="auto"/>
              <w:left w:val="single" w:sz="4" w:space="0" w:color="auto"/>
              <w:bottom w:val="single" w:sz="4" w:space="0" w:color="auto"/>
              <w:right w:val="single" w:sz="4" w:space="0" w:color="auto"/>
            </w:tcBorders>
            <w:vAlign w:val="center"/>
          </w:tcPr>
          <w:p w14:paraId="54F43670" w14:textId="446D661C" w:rsidR="00FA7E04" w:rsidRDefault="00C27057" w:rsidP="00FA7E04">
            <w:pPr>
              <w:spacing w:before="60" w:after="60"/>
              <w:contextualSpacing/>
              <w:jc w:val="center"/>
              <w:rPr>
                <w:rFonts w:ascii="Arial" w:hAnsi="Arial" w:cs="Arial"/>
                <w:sz w:val="18"/>
                <w:szCs w:val="18"/>
              </w:rPr>
            </w:pPr>
            <w:r>
              <w:rPr>
                <w:rFonts w:ascii="Arial" w:hAnsi="Arial"/>
                <w:sz w:val="18"/>
                <w:szCs w:val="18"/>
              </w:rPr>
              <w:t>1,71</w:t>
            </w:r>
            <w:r w:rsidR="00FA7E04">
              <w:rPr>
                <w:rFonts w:ascii="Arial" w:hAnsi="Arial"/>
                <w:sz w:val="18"/>
                <w:szCs w:val="18"/>
              </w:rPr>
              <w:t>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37D95A27"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2,63 %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2864607D"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206 202 $</w:t>
            </w:r>
          </w:p>
        </w:tc>
        <w:tc>
          <w:tcPr>
            <w:tcW w:w="647" w:type="pct"/>
            <w:tcBorders>
              <w:top w:val="dashed" w:sz="4" w:space="0" w:color="auto"/>
              <w:left w:val="dashed" w:sz="4" w:space="0" w:color="auto"/>
              <w:bottom w:val="dashed" w:sz="4" w:space="0" w:color="auto"/>
              <w:right w:val="dashed" w:sz="4" w:space="0" w:color="auto"/>
            </w:tcBorders>
            <w:vAlign w:val="center"/>
          </w:tcPr>
          <w:p w14:paraId="2DD6587A"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51 550 $</w:t>
            </w:r>
          </w:p>
        </w:tc>
      </w:tr>
      <w:tr w:rsidR="00891988" w:rsidRPr="00AE7DF0" w14:paraId="300C1F83"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8061B"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5.</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783F37FC" w14:textId="0B928CAB" w:rsidR="00FA7E04" w:rsidRPr="00BB2DEA" w:rsidRDefault="00FA7E04" w:rsidP="008B3BEC">
            <w:pPr>
              <w:spacing w:before="120" w:after="120"/>
              <w:contextualSpacing/>
              <w:rPr>
                <w:rFonts w:ascii="Arial" w:hAnsi="Arial" w:cs="Arial"/>
                <w:sz w:val="18"/>
                <w:szCs w:val="18"/>
              </w:rPr>
            </w:pPr>
            <w:r>
              <w:rPr>
                <w:rFonts w:ascii="Arial" w:hAnsi="Arial"/>
                <w:sz w:val="18"/>
                <w:szCs w:val="18"/>
              </w:rPr>
              <w:t>Participation aux sessions du Comité et de ses organes consultatifs d</w:t>
            </w:r>
            <w:r w:rsidR="00796EEE">
              <w:rPr>
                <w:rFonts w:ascii="Arial" w:hAnsi="Arial"/>
                <w:sz w:val="18"/>
                <w:szCs w:val="18"/>
              </w:rPr>
              <w:t>’</w:t>
            </w:r>
            <w:r>
              <w:rPr>
                <w:rFonts w:ascii="Arial" w:hAnsi="Arial"/>
                <w:sz w:val="18"/>
                <w:szCs w:val="18"/>
              </w:rPr>
              <w:t>experts du patrimoine culturel immatériel représentant des pays en développement parties à la Convention mais non membres du Comité ;</w:t>
            </w:r>
          </w:p>
        </w:tc>
        <w:tc>
          <w:tcPr>
            <w:tcW w:w="670" w:type="pct"/>
            <w:tcBorders>
              <w:top w:val="single" w:sz="4" w:space="0" w:color="auto"/>
              <w:left w:val="single" w:sz="4" w:space="0" w:color="auto"/>
              <w:bottom w:val="single" w:sz="4" w:space="0" w:color="auto"/>
              <w:right w:val="single" w:sz="4" w:space="0" w:color="auto"/>
            </w:tcBorders>
            <w:vAlign w:val="center"/>
          </w:tcPr>
          <w:p w14:paraId="2C53BA41" w14:textId="33F31691" w:rsidR="00FA7E04" w:rsidRDefault="00C27057" w:rsidP="00FA7E04">
            <w:pPr>
              <w:spacing w:before="60" w:after="60"/>
              <w:contextualSpacing/>
              <w:jc w:val="center"/>
              <w:rPr>
                <w:rFonts w:ascii="Arial" w:hAnsi="Arial" w:cs="Arial"/>
                <w:sz w:val="18"/>
                <w:szCs w:val="18"/>
              </w:rPr>
            </w:pPr>
            <w:r>
              <w:rPr>
                <w:rFonts w:ascii="Arial" w:hAnsi="Arial"/>
                <w:sz w:val="18"/>
                <w:szCs w:val="18"/>
              </w:rPr>
              <w:t>4,06</w:t>
            </w:r>
            <w:r w:rsidR="00FA7E04">
              <w:rPr>
                <w:rFonts w:ascii="Arial" w:hAnsi="Arial"/>
                <w:sz w:val="18"/>
                <w:szCs w:val="18"/>
              </w:rPr>
              <w:t>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231D2542"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3,31 %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302B200E"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259 516 $</w:t>
            </w:r>
          </w:p>
        </w:tc>
        <w:tc>
          <w:tcPr>
            <w:tcW w:w="647" w:type="pct"/>
            <w:tcBorders>
              <w:top w:val="dashed" w:sz="4" w:space="0" w:color="auto"/>
              <w:left w:val="dashed" w:sz="4" w:space="0" w:color="auto"/>
              <w:bottom w:val="dashed" w:sz="4" w:space="0" w:color="auto"/>
              <w:right w:val="dashed" w:sz="4" w:space="0" w:color="auto"/>
            </w:tcBorders>
            <w:vAlign w:val="center"/>
          </w:tcPr>
          <w:p w14:paraId="01799314"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64 879 $</w:t>
            </w:r>
          </w:p>
        </w:tc>
      </w:tr>
      <w:tr w:rsidR="00891988" w:rsidRPr="00AE7DF0" w14:paraId="4D97A186"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1B5BD"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lastRenderedPageBreak/>
              <w:t>6.</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1445EE24" w14:textId="21B00EC5" w:rsidR="00FA7E04" w:rsidRPr="00BB2DEA" w:rsidRDefault="00FA7E04" w:rsidP="008B3BEC">
            <w:pPr>
              <w:spacing w:before="120" w:after="120"/>
              <w:contextualSpacing/>
              <w:rPr>
                <w:rFonts w:ascii="Arial" w:hAnsi="Arial" w:cs="Arial"/>
                <w:sz w:val="18"/>
                <w:szCs w:val="18"/>
              </w:rPr>
            </w:pPr>
            <w:r>
              <w:rPr>
                <w:rFonts w:ascii="Arial" w:hAnsi="Arial"/>
                <w:sz w:val="18"/>
                <w:szCs w:val="18"/>
              </w:rPr>
              <w:t>Participation aux sessions du Comité, de son Bureau et de ses organes consultatifs d</w:t>
            </w:r>
            <w:r w:rsidR="00796EEE">
              <w:rPr>
                <w:rFonts w:ascii="Arial" w:hAnsi="Arial"/>
                <w:sz w:val="18"/>
                <w:szCs w:val="18"/>
              </w:rPr>
              <w:t>’</w:t>
            </w:r>
            <w:r>
              <w:rPr>
                <w:rFonts w:ascii="Arial" w:hAnsi="Arial"/>
                <w:sz w:val="18"/>
                <w:szCs w:val="18"/>
              </w:rPr>
              <w:t>organismes publics ou privés et de personnes physiques, notamment de membres de communautés ou de groupes, qui ont été invités par le Comité à prendre part à ces réunions à titre consultatif sur des questions spécifiques, ainsi que d</w:t>
            </w:r>
            <w:r w:rsidR="00796EEE">
              <w:rPr>
                <w:rFonts w:ascii="Arial" w:hAnsi="Arial"/>
                <w:sz w:val="18"/>
                <w:szCs w:val="18"/>
              </w:rPr>
              <w:t>’</w:t>
            </w:r>
            <w:r>
              <w:rPr>
                <w:rFonts w:ascii="Arial" w:hAnsi="Arial"/>
                <w:sz w:val="18"/>
                <w:szCs w:val="18"/>
              </w:rPr>
              <w:t>experts du patrimoine culturel immatériel représentant des ONG accréditées de pays en développement ;</w:t>
            </w:r>
          </w:p>
        </w:tc>
        <w:tc>
          <w:tcPr>
            <w:tcW w:w="670" w:type="pct"/>
            <w:tcBorders>
              <w:top w:val="single" w:sz="4" w:space="0" w:color="auto"/>
              <w:left w:val="single" w:sz="4" w:space="0" w:color="auto"/>
              <w:bottom w:val="single" w:sz="4" w:space="0" w:color="auto"/>
              <w:right w:val="single" w:sz="4" w:space="0" w:color="auto"/>
            </w:tcBorders>
            <w:vAlign w:val="center"/>
          </w:tcPr>
          <w:p w14:paraId="59CD8809" w14:textId="0FB57CB7" w:rsidR="00FA7E04" w:rsidRDefault="00C27057" w:rsidP="00FA7E04">
            <w:pPr>
              <w:spacing w:before="60" w:after="60"/>
              <w:contextualSpacing/>
              <w:jc w:val="center"/>
              <w:rPr>
                <w:rFonts w:ascii="Arial" w:hAnsi="Arial" w:cs="Arial"/>
                <w:sz w:val="18"/>
                <w:szCs w:val="18"/>
              </w:rPr>
            </w:pPr>
            <w:r>
              <w:rPr>
                <w:rFonts w:ascii="Arial" w:hAnsi="Arial"/>
                <w:sz w:val="18"/>
                <w:szCs w:val="18"/>
              </w:rPr>
              <w:t>3,48</w:t>
            </w:r>
            <w:r w:rsidR="00FA7E04">
              <w:rPr>
                <w:rFonts w:ascii="Arial" w:hAnsi="Arial"/>
                <w:sz w:val="18"/>
                <w:szCs w:val="18"/>
              </w:rPr>
              <w:t>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3CE89A82"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3,31 %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427C53E1"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259 516 $</w:t>
            </w:r>
          </w:p>
        </w:tc>
        <w:tc>
          <w:tcPr>
            <w:tcW w:w="647" w:type="pct"/>
            <w:tcBorders>
              <w:top w:val="dashed" w:sz="4" w:space="0" w:color="auto"/>
              <w:left w:val="dashed" w:sz="4" w:space="0" w:color="auto"/>
              <w:bottom w:val="dashed" w:sz="4" w:space="0" w:color="auto"/>
              <w:right w:val="dashed" w:sz="4" w:space="0" w:color="auto"/>
            </w:tcBorders>
            <w:vAlign w:val="center"/>
          </w:tcPr>
          <w:p w14:paraId="36AAB2BC"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64 879 $</w:t>
            </w:r>
          </w:p>
        </w:tc>
      </w:tr>
      <w:tr w:rsidR="00891988" w:rsidRPr="00AE7DF0" w14:paraId="064BB547"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C799B" w14:textId="77777777" w:rsidR="00FA7E04" w:rsidRPr="00BB2DEA" w:rsidRDefault="00FA7E04" w:rsidP="00FA7E04">
            <w:pPr>
              <w:spacing w:before="120" w:after="120"/>
              <w:contextualSpacing/>
              <w:rPr>
                <w:rFonts w:ascii="Arial" w:hAnsi="Arial" w:cs="Arial"/>
                <w:sz w:val="18"/>
                <w:szCs w:val="18"/>
              </w:rPr>
            </w:pPr>
            <w:r>
              <w:rPr>
                <w:rFonts w:ascii="Arial" w:hAnsi="Arial"/>
                <w:sz w:val="18"/>
                <w:szCs w:val="18"/>
              </w:rPr>
              <w:t>7.</w:t>
            </w: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587206AC" w14:textId="24E5A57D" w:rsidR="00FA7E04" w:rsidRPr="00BB2DEA" w:rsidRDefault="00FA7E04" w:rsidP="008B3BEC">
            <w:pPr>
              <w:spacing w:before="120" w:after="120"/>
              <w:contextualSpacing/>
              <w:rPr>
                <w:rFonts w:ascii="Arial" w:hAnsi="Arial" w:cs="Arial"/>
                <w:sz w:val="18"/>
                <w:szCs w:val="18"/>
              </w:rPr>
            </w:pPr>
            <w:r>
              <w:rPr>
                <w:rFonts w:ascii="Arial" w:hAnsi="Arial"/>
                <w:sz w:val="18"/>
                <w:szCs w:val="18"/>
              </w:rPr>
              <w:t>Coûts des services consultatifs devant être fournis à la demande du Comité, y compris l</w:t>
            </w:r>
            <w:r w:rsidR="00796EEE">
              <w:rPr>
                <w:rFonts w:ascii="Arial" w:hAnsi="Arial"/>
                <w:sz w:val="18"/>
                <w:szCs w:val="18"/>
              </w:rPr>
              <w:t>’</w:t>
            </w:r>
            <w:r>
              <w:rPr>
                <w:rFonts w:ascii="Arial" w:hAnsi="Arial"/>
                <w:sz w:val="18"/>
                <w:szCs w:val="18"/>
              </w:rPr>
              <w:t>aide aux pays en développement dont les représentants ont été nommés membres de l</w:t>
            </w:r>
            <w:r w:rsidR="00796EEE">
              <w:rPr>
                <w:rFonts w:ascii="Arial" w:hAnsi="Arial"/>
                <w:sz w:val="18"/>
                <w:szCs w:val="18"/>
              </w:rPr>
              <w:t>’</w:t>
            </w:r>
            <w:r>
              <w:rPr>
                <w:rFonts w:ascii="Arial" w:hAnsi="Arial"/>
                <w:sz w:val="18"/>
                <w:szCs w:val="18"/>
              </w:rPr>
              <w:t>Organe d</w:t>
            </w:r>
            <w:r w:rsidR="00796EEE">
              <w:rPr>
                <w:rFonts w:ascii="Arial" w:hAnsi="Arial"/>
                <w:sz w:val="18"/>
                <w:szCs w:val="18"/>
              </w:rPr>
              <w:t>’</w:t>
            </w:r>
            <w:r>
              <w:rPr>
                <w:rFonts w:ascii="Arial" w:hAnsi="Arial"/>
                <w:sz w:val="18"/>
                <w:szCs w:val="18"/>
              </w:rPr>
              <w:t>évaluation ;</w:t>
            </w:r>
          </w:p>
        </w:tc>
        <w:tc>
          <w:tcPr>
            <w:tcW w:w="670" w:type="pct"/>
            <w:tcBorders>
              <w:top w:val="single" w:sz="4" w:space="0" w:color="auto"/>
              <w:left w:val="single" w:sz="4" w:space="0" w:color="auto"/>
              <w:bottom w:val="single" w:sz="4" w:space="0" w:color="auto"/>
              <w:right w:val="single" w:sz="4" w:space="0" w:color="auto"/>
            </w:tcBorders>
            <w:vAlign w:val="center"/>
          </w:tcPr>
          <w:p w14:paraId="2976ECBF" w14:textId="77777777" w:rsidR="00FA7E04" w:rsidRDefault="00FA7E04" w:rsidP="00FA7E04">
            <w:pPr>
              <w:spacing w:before="60" w:after="60"/>
              <w:contextualSpacing/>
              <w:jc w:val="center"/>
              <w:rPr>
                <w:rFonts w:ascii="Arial" w:hAnsi="Arial" w:cs="Arial"/>
                <w:sz w:val="18"/>
                <w:szCs w:val="18"/>
              </w:rPr>
            </w:pPr>
            <w:r>
              <w:rPr>
                <w:rFonts w:ascii="Arial" w:hAnsi="Arial"/>
                <w:sz w:val="18"/>
                <w:szCs w:val="18"/>
              </w:rPr>
              <w:t>6,00 %</w:t>
            </w:r>
          </w:p>
        </w:tc>
        <w:tc>
          <w:tcPr>
            <w:tcW w:w="670" w:type="pct"/>
            <w:gridSpan w:val="2"/>
            <w:tcBorders>
              <w:top w:val="dashed" w:sz="4" w:space="0" w:color="auto"/>
              <w:left w:val="single" w:sz="4" w:space="0" w:color="auto"/>
              <w:bottom w:val="dashed" w:sz="4" w:space="0" w:color="auto"/>
              <w:right w:val="dashed" w:sz="4" w:space="0" w:color="auto"/>
            </w:tcBorders>
            <w:vAlign w:val="center"/>
          </w:tcPr>
          <w:p w14:paraId="52652351" w14:textId="77777777" w:rsidR="00FA7E04" w:rsidRPr="00B02DF5" w:rsidRDefault="00FA7E04" w:rsidP="00FA7E04">
            <w:pPr>
              <w:spacing w:before="60" w:after="60"/>
              <w:contextualSpacing/>
              <w:jc w:val="center"/>
              <w:rPr>
                <w:rFonts w:ascii="Arial" w:hAnsi="Arial" w:cs="Arial"/>
                <w:sz w:val="18"/>
                <w:szCs w:val="18"/>
              </w:rPr>
            </w:pPr>
            <w:r>
              <w:rPr>
                <w:rFonts w:ascii="Arial" w:hAnsi="Arial"/>
                <w:sz w:val="18"/>
                <w:szCs w:val="18"/>
              </w:rPr>
              <w:t>6,00 %</w:t>
            </w:r>
          </w:p>
        </w:tc>
        <w:tc>
          <w:tcPr>
            <w:tcW w:w="669" w:type="pct"/>
            <w:gridSpan w:val="2"/>
            <w:tcBorders>
              <w:top w:val="dashed" w:sz="4" w:space="0" w:color="auto"/>
              <w:left w:val="dashed" w:sz="4" w:space="0" w:color="auto"/>
              <w:bottom w:val="dashed" w:sz="4" w:space="0" w:color="auto"/>
              <w:right w:val="dashed" w:sz="4" w:space="0" w:color="auto"/>
            </w:tcBorders>
            <w:vAlign w:val="center"/>
          </w:tcPr>
          <w:p w14:paraId="0D08C2A8" w14:textId="77777777" w:rsidR="00FA7E04" w:rsidRPr="00B02DF5" w:rsidRDefault="007038EB" w:rsidP="009C6B5E">
            <w:pPr>
              <w:spacing w:before="60" w:after="60"/>
              <w:contextualSpacing/>
              <w:jc w:val="center"/>
              <w:rPr>
                <w:rFonts w:ascii="Arial" w:hAnsi="Arial" w:cs="Arial"/>
                <w:sz w:val="18"/>
                <w:szCs w:val="18"/>
              </w:rPr>
            </w:pPr>
            <w:r>
              <w:rPr>
                <w:rFonts w:ascii="Arial" w:hAnsi="Arial"/>
                <w:sz w:val="18"/>
                <w:szCs w:val="18"/>
              </w:rPr>
              <w:t>470 423 $</w:t>
            </w:r>
          </w:p>
        </w:tc>
        <w:tc>
          <w:tcPr>
            <w:tcW w:w="647" w:type="pct"/>
            <w:tcBorders>
              <w:top w:val="dashed" w:sz="4" w:space="0" w:color="auto"/>
              <w:left w:val="dashed" w:sz="4" w:space="0" w:color="auto"/>
              <w:bottom w:val="dashed" w:sz="4" w:space="0" w:color="auto"/>
              <w:right w:val="dashed" w:sz="4" w:space="0" w:color="auto"/>
            </w:tcBorders>
            <w:vAlign w:val="center"/>
          </w:tcPr>
          <w:p w14:paraId="24204D8C" w14:textId="77777777" w:rsidR="00FA7E04" w:rsidRPr="00B02DF5" w:rsidRDefault="009C6B5E" w:rsidP="009C6B5E">
            <w:pPr>
              <w:spacing w:before="60" w:after="60"/>
              <w:contextualSpacing/>
              <w:jc w:val="center"/>
              <w:rPr>
                <w:rFonts w:ascii="Arial" w:hAnsi="Arial" w:cs="Arial"/>
                <w:sz w:val="18"/>
                <w:szCs w:val="18"/>
              </w:rPr>
            </w:pPr>
            <w:r>
              <w:rPr>
                <w:rFonts w:ascii="Arial" w:hAnsi="Arial"/>
                <w:sz w:val="18"/>
                <w:szCs w:val="18"/>
              </w:rPr>
              <w:t>117 606 $</w:t>
            </w:r>
          </w:p>
        </w:tc>
      </w:tr>
      <w:tr w:rsidR="00891988" w:rsidRPr="00884277" w14:paraId="6984DBEF" w14:textId="77777777" w:rsidTr="002A0DB0">
        <w:trPr>
          <w:cantSplit/>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767C8" w14:textId="77777777" w:rsidR="00FA7E04" w:rsidRPr="00884277" w:rsidRDefault="00FA7E04" w:rsidP="00FA7E04">
            <w:pPr>
              <w:spacing w:before="120" w:after="120"/>
              <w:contextualSpacing/>
              <w:rPr>
                <w:rFonts w:ascii="Arial" w:hAnsi="Arial" w:cs="Arial"/>
                <w:b/>
                <w:bCs/>
                <w:sz w:val="20"/>
                <w:szCs w:val="20"/>
                <w:lang w:val="en-GB"/>
              </w:rPr>
            </w:pPr>
          </w:p>
        </w:tc>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14:paraId="7F9513FB" w14:textId="77777777" w:rsidR="00FA7E04" w:rsidRPr="009C6B5E" w:rsidRDefault="00884277" w:rsidP="00FA7E04">
            <w:pPr>
              <w:spacing w:before="120" w:after="120"/>
              <w:contextualSpacing/>
              <w:jc w:val="both"/>
              <w:rPr>
                <w:rFonts w:ascii="Arial" w:hAnsi="Arial" w:cs="Arial"/>
                <w:b/>
                <w:bCs/>
                <w:sz w:val="18"/>
                <w:szCs w:val="18"/>
              </w:rPr>
            </w:pPr>
            <w:r>
              <w:rPr>
                <w:rFonts w:ascii="Arial" w:hAnsi="Arial"/>
                <w:b/>
                <w:bCs/>
                <w:sz w:val="18"/>
                <w:szCs w:val="18"/>
              </w:rPr>
              <w:t>TOTAL</w:t>
            </w:r>
          </w:p>
        </w:tc>
        <w:tc>
          <w:tcPr>
            <w:tcW w:w="670" w:type="pct"/>
            <w:tcBorders>
              <w:top w:val="single" w:sz="4" w:space="0" w:color="auto"/>
              <w:left w:val="single" w:sz="4" w:space="0" w:color="auto"/>
              <w:bottom w:val="single" w:sz="4" w:space="0" w:color="auto"/>
              <w:right w:val="single" w:sz="4" w:space="0" w:color="auto"/>
            </w:tcBorders>
            <w:vAlign w:val="center"/>
          </w:tcPr>
          <w:p w14:paraId="152C8A76" w14:textId="77777777" w:rsidR="00FA7E04" w:rsidRPr="009C6B5E" w:rsidRDefault="00FA7E04" w:rsidP="00FA7E04">
            <w:pPr>
              <w:spacing w:before="60" w:after="60"/>
              <w:contextualSpacing/>
              <w:jc w:val="center"/>
              <w:rPr>
                <w:rFonts w:ascii="Arial" w:hAnsi="Arial" w:cs="Arial"/>
                <w:b/>
                <w:bCs/>
                <w:sz w:val="18"/>
                <w:szCs w:val="18"/>
              </w:rPr>
            </w:pPr>
            <w:r>
              <w:rPr>
                <w:rFonts w:ascii="Arial" w:hAnsi="Arial"/>
                <w:b/>
                <w:bCs/>
                <w:sz w:val="18"/>
                <w:szCs w:val="18"/>
              </w:rPr>
              <w:t>100,00 %</w:t>
            </w:r>
          </w:p>
        </w:tc>
        <w:tc>
          <w:tcPr>
            <w:tcW w:w="670" w:type="pct"/>
            <w:gridSpan w:val="2"/>
            <w:tcBorders>
              <w:top w:val="dashed" w:sz="4" w:space="0" w:color="auto"/>
              <w:left w:val="single" w:sz="4" w:space="0" w:color="auto"/>
              <w:bottom w:val="single" w:sz="4" w:space="0" w:color="auto"/>
              <w:right w:val="dashed" w:sz="4" w:space="0" w:color="auto"/>
            </w:tcBorders>
            <w:vAlign w:val="center"/>
          </w:tcPr>
          <w:p w14:paraId="68C8883D" w14:textId="77777777" w:rsidR="00FA7E04" w:rsidRPr="009C6B5E" w:rsidRDefault="00FA7E04" w:rsidP="00FA7E04">
            <w:pPr>
              <w:spacing w:before="60" w:after="60"/>
              <w:contextualSpacing/>
              <w:jc w:val="center"/>
              <w:rPr>
                <w:rFonts w:ascii="Arial" w:hAnsi="Arial" w:cs="Arial"/>
                <w:b/>
                <w:bCs/>
                <w:sz w:val="18"/>
                <w:szCs w:val="18"/>
              </w:rPr>
            </w:pPr>
            <w:r>
              <w:rPr>
                <w:rFonts w:ascii="Arial" w:hAnsi="Arial"/>
                <w:b/>
                <w:bCs/>
                <w:sz w:val="18"/>
                <w:szCs w:val="18"/>
              </w:rPr>
              <w:t>100,00 %</w:t>
            </w:r>
          </w:p>
        </w:tc>
        <w:tc>
          <w:tcPr>
            <w:tcW w:w="669" w:type="pct"/>
            <w:gridSpan w:val="2"/>
            <w:tcBorders>
              <w:top w:val="dashed" w:sz="4" w:space="0" w:color="auto"/>
              <w:left w:val="dashed" w:sz="4" w:space="0" w:color="auto"/>
              <w:bottom w:val="single" w:sz="4" w:space="0" w:color="auto"/>
              <w:right w:val="dashed" w:sz="4" w:space="0" w:color="auto"/>
            </w:tcBorders>
          </w:tcPr>
          <w:p w14:paraId="701F6EEA" w14:textId="77777777" w:rsidR="00FA7E04" w:rsidRPr="009C6B5E" w:rsidRDefault="009C6B5E" w:rsidP="00FA7E04">
            <w:pPr>
              <w:spacing w:before="60" w:after="60"/>
              <w:contextualSpacing/>
              <w:jc w:val="center"/>
              <w:rPr>
                <w:rFonts w:ascii="Arial" w:hAnsi="Arial" w:cs="Arial"/>
                <w:b/>
                <w:bCs/>
                <w:sz w:val="18"/>
                <w:szCs w:val="18"/>
              </w:rPr>
            </w:pPr>
            <w:r>
              <w:rPr>
                <w:rFonts w:ascii="Arial" w:hAnsi="Arial"/>
                <w:b/>
                <w:bCs/>
                <w:sz w:val="18"/>
                <w:szCs w:val="18"/>
              </w:rPr>
              <w:t>7 840 379 $</w:t>
            </w:r>
          </w:p>
        </w:tc>
        <w:tc>
          <w:tcPr>
            <w:tcW w:w="647" w:type="pct"/>
            <w:tcBorders>
              <w:top w:val="dashed" w:sz="4" w:space="0" w:color="auto"/>
              <w:left w:val="dashed" w:sz="4" w:space="0" w:color="auto"/>
              <w:bottom w:val="single" w:sz="4" w:space="0" w:color="auto"/>
              <w:right w:val="dashed" w:sz="4" w:space="0" w:color="auto"/>
            </w:tcBorders>
          </w:tcPr>
          <w:p w14:paraId="00EEF049" w14:textId="77777777" w:rsidR="00FA7E04" w:rsidRPr="009C6B5E" w:rsidRDefault="009C6B5E" w:rsidP="00FA7E04">
            <w:pPr>
              <w:spacing w:before="60" w:after="60"/>
              <w:contextualSpacing/>
              <w:jc w:val="center"/>
              <w:rPr>
                <w:rFonts w:ascii="Arial" w:hAnsi="Arial" w:cs="Arial"/>
                <w:b/>
                <w:bCs/>
                <w:sz w:val="18"/>
                <w:szCs w:val="18"/>
              </w:rPr>
            </w:pPr>
            <w:r>
              <w:rPr>
                <w:rFonts w:ascii="Arial" w:hAnsi="Arial"/>
                <w:b/>
                <w:bCs/>
                <w:sz w:val="18"/>
                <w:szCs w:val="18"/>
              </w:rPr>
              <w:t>1 960 095 $</w:t>
            </w:r>
          </w:p>
        </w:tc>
      </w:tr>
      <w:tr w:rsidR="00FA7E04" w:rsidRPr="00E869B7" w14:paraId="0F0B26F7" w14:textId="77777777"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28F6619A" w14:textId="7FAA8015" w:rsidR="00FA7E04" w:rsidRPr="00BB2DEA" w:rsidRDefault="00FA7E04" w:rsidP="00FA7E04">
            <w:pPr>
              <w:spacing w:before="120" w:after="120"/>
              <w:contextualSpacing/>
              <w:rPr>
                <w:rFonts w:ascii="Arial" w:hAnsi="Arial" w:cs="Arial"/>
                <w:sz w:val="18"/>
                <w:szCs w:val="18"/>
              </w:rPr>
            </w:pPr>
            <w:r>
              <w:rPr>
                <w:rFonts w:ascii="Arial" w:hAnsi="Arial"/>
                <w:sz w:val="18"/>
                <w:szCs w:val="18"/>
              </w:rPr>
              <w:t>Les fonds non engagés à la fin de la période couverte par ce Plan sont reportés sur l</w:t>
            </w:r>
            <w:r w:rsidR="00796EEE">
              <w:rPr>
                <w:rFonts w:ascii="Arial" w:hAnsi="Arial"/>
                <w:sz w:val="18"/>
                <w:szCs w:val="18"/>
              </w:rPr>
              <w:t>’</w:t>
            </w:r>
            <w:r>
              <w:rPr>
                <w:rFonts w:ascii="Arial" w:hAnsi="Arial"/>
                <w:sz w:val="18"/>
                <w:szCs w:val="18"/>
              </w:rPr>
              <w:t>exercice financier suivant et doivent être affectés conformément au Plan approuvé par l</w:t>
            </w:r>
            <w:r w:rsidR="00796EEE">
              <w:rPr>
                <w:rFonts w:ascii="Arial" w:hAnsi="Arial"/>
                <w:sz w:val="18"/>
                <w:szCs w:val="18"/>
              </w:rPr>
              <w:t>’</w:t>
            </w:r>
            <w:r>
              <w:rPr>
                <w:rFonts w:ascii="Arial" w:hAnsi="Arial"/>
                <w:sz w:val="18"/>
                <w:szCs w:val="18"/>
              </w:rPr>
              <w:t>Assemblée générale à ce moment-là.</w:t>
            </w:r>
          </w:p>
        </w:tc>
      </w:tr>
      <w:tr w:rsidR="00FA7E04" w:rsidRPr="00E869B7" w14:paraId="451F7144" w14:textId="77777777"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39E2994A" w14:textId="7176BEAD" w:rsidR="00FA7E04" w:rsidRPr="00BB2DEA" w:rsidRDefault="00FA7E04" w:rsidP="00FA7E04">
            <w:pPr>
              <w:spacing w:before="120" w:after="120"/>
              <w:contextualSpacing/>
              <w:rPr>
                <w:rFonts w:ascii="Arial" w:hAnsi="Arial" w:cs="Arial"/>
                <w:sz w:val="18"/>
                <w:szCs w:val="18"/>
              </w:rPr>
            </w:pPr>
            <w:r>
              <w:rPr>
                <w:rFonts w:ascii="Arial" w:hAnsi="Arial"/>
                <w:sz w:val="18"/>
                <w:szCs w:val="18"/>
              </w:rPr>
              <w:t>Pour la période du 1</w:t>
            </w:r>
            <w:r>
              <w:rPr>
                <w:rFonts w:ascii="Arial" w:hAnsi="Arial"/>
                <w:sz w:val="18"/>
                <w:szCs w:val="18"/>
                <w:vertAlign w:val="superscript"/>
              </w:rPr>
              <w:t>er</w:t>
            </w:r>
            <w:r>
              <w:rPr>
                <w:rFonts w:ascii="Arial" w:hAnsi="Arial"/>
                <w:sz w:val="18"/>
                <w:szCs w:val="18"/>
              </w:rPr>
              <w:t> janvier 2022 au 30 juin 2022, un quart du montant établi pour la période de vingt-quatre mois de l</w:t>
            </w:r>
            <w:r w:rsidR="00796EEE">
              <w:rPr>
                <w:rFonts w:ascii="Arial" w:hAnsi="Arial"/>
                <w:sz w:val="18"/>
                <w:szCs w:val="18"/>
              </w:rPr>
              <w:t>’</w:t>
            </w:r>
            <w:r>
              <w:rPr>
                <w:rFonts w:ascii="Arial" w:hAnsi="Arial"/>
                <w:sz w:val="18"/>
                <w:szCs w:val="18"/>
              </w:rPr>
              <w:t>exercice financier 2020-2021 sera alloué à titre provisoire, sauf pour le Fonds de réserve, dont le montant a été fixé par le Comité à 1 million de dollars des États-Unis (décision 10.COM 8).</w:t>
            </w:r>
          </w:p>
        </w:tc>
      </w:tr>
    </w:tbl>
    <w:p w14:paraId="62491F2F" w14:textId="77777777" w:rsidR="00576E1D" w:rsidRPr="00785AA3" w:rsidRDefault="00576E1D" w:rsidP="001740D7">
      <w:pPr>
        <w:pStyle w:val="COMParaDecision"/>
        <w:ind w:left="0" w:firstLine="0"/>
      </w:pPr>
    </w:p>
    <w:p w14:paraId="2A3E33FA" w14:textId="77777777" w:rsidR="00576E1D" w:rsidRDefault="00576E1D" w:rsidP="001740D7">
      <w:pPr>
        <w:rPr>
          <w:rFonts w:ascii="Arial" w:hAnsi="Arial" w:cs="Arial"/>
          <w:snapToGrid w:val="0"/>
          <w:sz w:val="22"/>
          <w:szCs w:val="22"/>
        </w:rPr>
      </w:pPr>
      <w:r>
        <w:br w:type="page"/>
      </w:r>
    </w:p>
    <w:p w14:paraId="2F5CD8DC" w14:textId="4F1934FA" w:rsidR="00400757" w:rsidRDefault="00912C49" w:rsidP="001740D7">
      <w:pPr>
        <w:pStyle w:val="Annex"/>
        <w:rPr>
          <w:u w:val="single"/>
        </w:rPr>
      </w:pPr>
      <w:r>
        <w:rPr>
          <w:u w:val="single"/>
        </w:rPr>
        <w:lastRenderedPageBreak/>
        <w:t>A</w:t>
      </w:r>
      <w:r w:rsidR="00B743F3">
        <w:rPr>
          <w:u w:val="single"/>
        </w:rPr>
        <w:t>nnexe</w:t>
      </w:r>
      <w:r>
        <w:rPr>
          <w:u w:val="single"/>
        </w:rPr>
        <w:t xml:space="preserve"> II</w:t>
      </w:r>
    </w:p>
    <w:p w14:paraId="7A0EBE0C" w14:textId="07E79662" w:rsidR="008E7C91" w:rsidRPr="00F65B63" w:rsidRDefault="008E7C91" w:rsidP="002A0DB0">
      <w:pPr>
        <w:jc w:val="center"/>
        <w:rPr>
          <w:rFonts w:ascii="Arial" w:hAnsi="Arial" w:cs="Arial"/>
          <w:b/>
        </w:rPr>
      </w:pPr>
      <w:r w:rsidRPr="002A0DB0">
        <w:rPr>
          <w:rFonts w:ascii="Arial" w:hAnsi="Arial"/>
          <w:b/>
          <w:sz w:val="22"/>
          <w:szCs w:val="22"/>
        </w:rPr>
        <w:t>Proposition de révision du Règlement financier du Compte spécial pour</w:t>
      </w:r>
    </w:p>
    <w:p w14:paraId="33FE32DD" w14:textId="06CB676D" w:rsidR="00A432F7" w:rsidRDefault="008E7C91" w:rsidP="002A0DB0">
      <w:pPr>
        <w:pStyle w:val="Sansinterligne"/>
        <w:spacing w:after="480"/>
        <w:jc w:val="center"/>
        <w:rPr>
          <w:rFonts w:ascii="Arial" w:hAnsi="Arial"/>
          <w:b/>
        </w:rPr>
      </w:pPr>
      <w:r w:rsidRPr="00F65B63">
        <w:rPr>
          <w:rFonts w:ascii="Arial" w:hAnsi="Arial"/>
          <w:b/>
        </w:rPr>
        <w:t xml:space="preserve"> le Fonds pour la sauvegarde du </w:t>
      </w:r>
      <w:r w:rsidRPr="002A0DB0">
        <w:rPr>
          <w:rFonts w:ascii="Arial" w:hAnsi="Arial" w:cs="Arial"/>
          <w:b/>
        </w:rPr>
        <w:t>patrimoine</w:t>
      </w:r>
      <w:r w:rsidRPr="002A0DB0">
        <w:rPr>
          <w:rFonts w:ascii="Arial" w:hAnsi="Arial"/>
          <w:b/>
        </w:rPr>
        <w:t xml:space="preserve"> culturel immatériel</w:t>
      </w:r>
      <w:r w:rsidR="005A174E">
        <w:rPr>
          <w:rFonts w:ascii="Arial" w:hAnsi="Arial"/>
          <w:b/>
        </w:rPr>
        <w:t xml:space="preserve"> conformément au </w:t>
      </w:r>
      <w:r w:rsidR="005A174E" w:rsidRPr="005A174E">
        <w:rPr>
          <w:rFonts w:ascii="Arial" w:hAnsi="Arial"/>
          <w:b/>
        </w:rPr>
        <w:t xml:space="preserve">Modèle de règlement financier pour les comptes spéciaux relatifs à des conventions </w:t>
      </w:r>
      <w:r w:rsidR="005A174E">
        <w:rPr>
          <w:rFonts w:ascii="Arial" w:hAnsi="Arial"/>
          <w:b/>
        </w:rPr>
        <w:t>approuvé par le Conseil exécutif de l’UNESCO</w:t>
      </w:r>
    </w:p>
    <w:tbl>
      <w:tblPr>
        <w:tblStyle w:val="Grilledutableau"/>
        <w:tblW w:w="10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215"/>
      </w:tblGrid>
      <w:tr w:rsidR="007B21DA" w:rsidRPr="007B21DA" w14:paraId="48F66790" w14:textId="77777777" w:rsidTr="002A0DB0">
        <w:tc>
          <w:tcPr>
            <w:tcW w:w="1843" w:type="dxa"/>
          </w:tcPr>
          <w:p w14:paraId="04A44188" w14:textId="36761472" w:rsidR="007B21DA" w:rsidRPr="00852F54" w:rsidRDefault="007B21DA" w:rsidP="007B21DA">
            <w:pPr>
              <w:pStyle w:val="Sansinterligne"/>
              <w:spacing w:before="240" w:after="240"/>
              <w:jc w:val="right"/>
              <w:rPr>
                <w:rFonts w:asciiTheme="minorBidi" w:hAnsiTheme="minorBidi"/>
                <w:b/>
                <w:bCs/>
                <w:lang w:val="en-US"/>
              </w:rPr>
            </w:pPr>
            <w:r w:rsidRPr="00852F54">
              <w:rPr>
                <w:rFonts w:ascii="Arial" w:hAnsi="Arial"/>
                <w:b/>
                <w:bCs/>
              </w:rPr>
              <w:t>Article premier</w:t>
            </w:r>
          </w:p>
        </w:tc>
        <w:tc>
          <w:tcPr>
            <w:tcW w:w="8215" w:type="dxa"/>
          </w:tcPr>
          <w:p w14:paraId="2C72BE2C" w14:textId="5B5583C8" w:rsidR="007B21DA" w:rsidRPr="00852F54" w:rsidRDefault="007B21DA" w:rsidP="007B21DA">
            <w:pPr>
              <w:pStyle w:val="Sansinterligne"/>
              <w:spacing w:before="240" w:after="240"/>
              <w:rPr>
                <w:rFonts w:asciiTheme="minorBidi" w:hAnsiTheme="minorBidi"/>
                <w:b/>
                <w:bCs/>
              </w:rPr>
            </w:pPr>
            <w:r w:rsidRPr="00852F54">
              <w:rPr>
                <w:rFonts w:ascii="Arial" w:hAnsi="Arial"/>
                <w:b/>
              </w:rPr>
              <w:t>Établissement d’un Compte spécial</w:t>
            </w:r>
          </w:p>
        </w:tc>
      </w:tr>
      <w:tr w:rsidR="007B21DA" w:rsidRPr="007B21DA" w14:paraId="2BD36EB9" w14:textId="77777777" w:rsidTr="002A0DB0">
        <w:tc>
          <w:tcPr>
            <w:tcW w:w="1843" w:type="dxa"/>
          </w:tcPr>
          <w:p w14:paraId="2FEFE764" w14:textId="7178D7CD" w:rsidR="007B21DA" w:rsidRPr="002A0DB0" w:rsidRDefault="007B21DA" w:rsidP="007B21DA">
            <w:pPr>
              <w:pStyle w:val="Sansinterligne"/>
              <w:spacing w:after="240"/>
              <w:jc w:val="right"/>
              <w:rPr>
                <w:rFonts w:asciiTheme="minorBidi" w:hAnsiTheme="minorBidi"/>
                <w:bCs/>
              </w:rPr>
            </w:pPr>
            <w:r>
              <w:rPr>
                <w:rFonts w:asciiTheme="minorBidi" w:hAnsiTheme="minorBidi"/>
                <w:bCs/>
              </w:rPr>
              <w:t>1.1</w:t>
            </w:r>
          </w:p>
        </w:tc>
        <w:tc>
          <w:tcPr>
            <w:tcW w:w="8215" w:type="dxa"/>
          </w:tcPr>
          <w:p w14:paraId="218CA645" w14:textId="7FBCDFB9" w:rsidR="007B21DA" w:rsidRPr="002A0DB0" w:rsidRDefault="007B21DA" w:rsidP="007B21DA">
            <w:pPr>
              <w:pStyle w:val="Sansinterligne"/>
              <w:spacing w:after="240"/>
              <w:rPr>
                <w:rFonts w:asciiTheme="minorBidi" w:hAnsiTheme="minorBidi"/>
                <w:b/>
              </w:rPr>
            </w:pPr>
            <w:r>
              <w:rPr>
                <w:rFonts w:ascii="Arial" w:hAnsi="Arial"/>
              </w:rPr>
              <w:t>L’article 25 de la Convention pour la sauvegarde du patrimoine culturel immatériel (ci-après dénommée la « Convention ») porte création d’un Fonds dit « Fonds pour la sauvegarde du patrimoine culturel immatériel » (ci-après dénommé le « Fonds »).</w:t>
            </w:r>
          </w:p>
        </w:tc>
      </w:tr>
      <w:tr w:rsidR="007B21DA" w:rsidRPr="007B21DA" w14:paraId="1D484A56" w14:textId="77777777" w:rsidTr="002A0DB0">
        <w:tc>
          <w:tcPr>
            <w:tcW w:w="1843" w:type="dxa"/>
          </w:tcPr>
          <w:p w14:paraId="694B77E3" w14:textId="42889B1E" w:rsidR="007B21DA" w:rsidRPr="00825A9A" w:rsidRDefault="007B21DA" w:rsidP="007B21DA">
            <w:pPr>
              <w:pStyle w:val="Sansinterligne"/>
              <w:spacing w:after="240"/>
              <w:jc w:val="right"/>
              <w:rPr>
                <w:rFonts w:asciiTheme="minorBidi" w:hAnsiTheme="minorBidi"/>
                <w:b/>
                <w:lang w:val="en-US"/>
              </w:rPr>
            </w:pPr>
            <w:r>
              <w:rPr>
                <w:rFonts w:ascii="Arial" w:hAnsi="Arial"/>
              </w:rPr>
              <w:t xml:space="preserve">1.2 </w:t>
            </w:r>
          </w:p>
        </w:tc>
        <w:tc>
          <w:tcPr>
            <w:tcW w:w="8215" w:type="dxa"/>
          </w:tcPr>
          <w:p w14:paraId="0F4320A6" w14:textId="0BDFC76D" w:rsidR="007B21DA" w:rsidRPr="002A0DB0" w:rsidRDefault="007B21DA" w:rsidP="007B21DA">
            <w:pPr>
              <w:pStyle w:val="Sansinterligne"/>
              <w:spacing w:after="240"/>
              <w:rPr>
                <w:rFonts w:asciiTheme="minorBidi" w:hAnsiTheme="minorBidi"/>
                <w:b/>
              </w:rPr>
            </w:pPr>
            <w:r>
              <w:rPr>
                <w:rFonts w:ascii="Arial" w:hAnsi="Arial"/>
              </w:rPr>
              <w:t xml:space="preserve">Conformément à </w:t>
            </w:r>
            <w:r w:rsidRPr="007B21DA">
              <w:rPr>
                <w:rFonts w:ascii="Arial" w:hAnsi="Arial"/>
              </w:rPr>
              <w:t>l</w:t>
            </w:r>
            <w:r w:rsidRPr="002A0DB0">
              <w:rPr>
                <w:rFonts w:ascii="Arial" w:hAnsi="Arial"/>
              </w:rPr>
              <w:t>’article 25 de la Convention et à l’article 6, paragraphes 5 et 6</w:t>
            </w:r>
            <w:r>
              <w:rPr>
                <w:rFonts w:ascii="Arial" w:hAnsi="Arial"/>
              </w:rPr>
              <w:t xml:space="preserve"> du Règlement financier de l’UNESCO, il est créé en vertu du présent un Compte spécial affecté au Fonds pour la sauvegarde du patrimoine culturel immatériel (ci-après dénommé le « Compte spécial »).</w:t>
            </w:r>
          </w:p>
        </w:tc>
      </w:tr>
      <w:tr w:rsidR="007B21DA" w:rsidRPr="007B21DA" w14:paraId="3F9CCBB0" w14:textId="77777777" w:rsidTr="002A0DB0">
        <w:tc>
          <w:tcPr>
            <w:tcW w:w="1843" w:type="dxa"/>
          </w:tcPr>
          <w:p w14:paraId="79588A66" w14:textId="435F48B1" w:rsidR="007B21DA" w:rsidRPr="00825A9A" w:rsidRDefault="007B21DA">
            <w:pPr>
              <w:pStyle w:val="Sansinterligne"/>
              <w:spacing w:after="240"/>
              <w:jc w:val="right"/>
              <w:rPr>
                <w:rFonts w:asciiTheme="minorBidi" w:hAnsiTheme="minorBidi"/>
                <w:b/>
                <w:lang w:val="en-US"/>
              </w:rPr>
            </w:pPr>
            <w:r>
              <w:rPr>
                <w:rFonts w:ascii="Arial" w:hAnsi="Arial"/>
              </w:rPr>
              <w:t>1.3</w:t>
            </w:r>
          </w:p>
        </w:tc>
        <w:tc>
          <w:tcPr>
            <w:tcW w:w="8215" w:type="dxa"/>
          </w:tcPr>
          <w:p w14:paraId="54C25DFE" w14:textId="65B53314" w:rsidR="007B21DA" w:rsidRPr="002A0DB0" w:rsidRDefault="007B21DA" w:rsidP="007B21DA">
            <w:pPr>
              <w:pStyle w:val="Sansinterligne"/>
              <w:spacing w:after="240"/>
              <w:rPr>
                <w:rFonts w:asciiTheme="minorBidi" w:hAnsiTheme="minorBidi"/>
                <w:b/>
              </w:rPr>
            </w:pPr>
            <w:r>
              <w:rPr>
                <w:rFonts w:ascii="Arial" w:hAnsi="Arial"/>
              </w:rPr>
              <w:t>La gestion du Compte spécial est régie par les dispositions ci-après.</w:t>
            </w:r>
          </w:p>
        </w:tc>
      </w:tr>
      <w:tr w:rsidR="007B21DA" w:rsidRPr="00591458" w14:paraId="36D925C0" w14:textId="77777777" w:rsidTr="002A0DB0">
        <w:tc>
          <w:tcPr>
            <w:tcW w:w="1843" w:type="dxa"/>
          </w:tcPr>
          <w:p w14:paraId="7D3F06C9" w14:textId="2DB48EFF" w:rsidR="007B21DA" w:rsidRPr="00825A9A" w:rsidRDefault="007B21DA" w:rsidP="007B21DA">
            <w:pPr>
              <w:pStyle w:val="Sansinterligne"/>
              <w:spacing w:before="240" w:after="240"/>
              <w:jc w:val="right"/>
              <w:rPr>
                <w:rFonts w:asciiTheme="minorBidi" w:hAnsiTheme="minorBidi"/>
                <w:b/>
                <w:lang w:val="en-US"/>
              </w:rPr>
            </w:pPr>
            <w:r>
              <w:rPr>
                <w:rFonts w:ascii="Arial" w:hAnsi="Arial"/>
                <w:b/>
                <w:bCs/>
              </w:rPr>
              <w:t>Article 2</w:t>
            </w:r>
          </w:p>
        </w:tc>
        <w:tc>
          <w:tcPr>
            <w:tcW w:w="8215" w:type="dxa"/>
          </w:tcPr>
          <w:p w14:paraId="75F443C7" w14:textId="6FFDCD29" w:rsidR="007B21DA" w:rsidRPr="00825A9A" w:rsidRDefault="007B21DA" w:rsidP="007B21DA">
            <w:pPr>
              <w:pStyle w:val="Sansinterligne"/>
              <w:spacing w:before="240"/>
              <w:rPr>
                <w:rFonts w:asciiTheme="minorBidi" w:hAnsiTheme="minorBidi"/>
                <w:b/>
                <w:lang w:val="en-US"/>
              </w:rPr>
            </w:pPr>
            <w:r>
              <w:rPr>
                <w:rFonts w:ascii="Arial" w:hAnsi="Arial"/>
                <w:b/>
              </w:rPr>
              <w:t>Exercice financier</w:t>
            </w:r>
          </w:p>
        </w:tc>
      </w:tr>
      <w:tr w:rsidR="007B21DA" w:rsidRPr="007B21DA" w14:paraId="01E202D6" w14:textId="77777777" w:rsidTr="002A0DB0">
        <w:tc>
          <w:tcPr>
            <w:tcW w:w="1843" w:type="dxa"/>
          </w:tcPr>
          <w:p w14:paraId="438A055A" w14:textId="2808C5DC" w:rsidR="007B21DA" w:rsidRPr="007B21DA" w:rsidRDefault="007B21DA" w:rsidP="007B21DA">
            <w:pPr>
              <w:pStyle w:val="Sansinterligne"/>
              <w:spacing w:after="240"/>
              <w:jc w:val="right"/>
              <w:rPr>
                <w:rFonts w:asciiTheme="minorBidi" w:hAnsiTheme="minorBidi"/>
                <w:lang w:val="en-US"/>
              </w:rPr>
            </w:pPr>
            <w:r w:rsidRPr="002A0DB0">
              <w:rPr>
                <w:rFonts w:ascii="Arial" w:hAnsi="Arial"/>
              </w:rPr>
              <w:t>2.1</w:t>
            </w:r>
          </w:p>
        </w:tc>
        <w:tc>
          <w:tcPr>
            <w:tcW w:w="8215" w:type="dxa"/>
          </w:tcPr>
          <w:p w14:paraId="20FC15EE" w14:textId="72812750" w:rsidR="007B21DA" w:rsidRPr="002A0DB0" w:rsidRDefault="007B21DA" w:rsidP="007B21DA">
            <w:pPr>
              <w:pStyle w:val="Sansinterligne"/>
              <w:spacing w:after="240"/>
              <w:rPr>
                <w:rFonts w:asciiTheme="minorBidi" w:hAnsiTheme="minorBidi"/>
              </w:rPr>
            </w:pPr>
            <w:r w:rsidRPr="007B21DA">
              <w:rPr>
                <w:rFonts w:ascii="Arial" w:hAnsi="Arial"/>
              </w:rPr>
              <w:t xml:space="preserve">L’exercice financier </w:t>
            </w:r>
            <w:r w:rsidRPr="002A0DB0">
              <w:rPr>
                <w:rFonts w:ascii="Arial" w:hAnsi="Arial"/>
              </w:rPr>
              <w:t xml:space="preserve">pour les prévisions budgétaires est de deux années civiles consécutives dont la première est une année paire. </w:t>
            </w:r>
          </w:p>
        </w:tc>
      </w:tr>
      <w:tr w:rsidR="007B21DA" w:rsidRPr="007B21DA" w14:paraId="7A1317D5" w14:textId="77777777" w:rsidTr="002A0DB0">
        <w:tc>
          <w:tcPr>
            <w:tcW w:w="1843" w:type="dxa"/>
          </w:tcPr>
          <w:p w14:paraId="56938822" w14:textId="034EF1B5" w:rsidR="007B21DA" w:rsidRPr="007B21DA" w:rsidRDefault="007B21DA" w:rsidP="007B21DA">
            <w:pPr>
              <w:pStyle w:val="Sansinterligne"/>
              <w:spacing w:after="240"/>
              <w:jc w:val="right"/>
              <w:rPr>
                <w:rFonts w:asciiTheme="minorBidi" w:hAnsiTheme="minorBidi"/>
                <w:lang w:val="en-US"/>
              </w:rPr>
            </w:pPr>
            <w:r w:rsidRPr="002A0DB0">
              <w:rPr>
                <w:rFonts w:ascii="Arial" w:hAnsi="Arial"/>
              </w:rPr>
              <w:t>2.2</w:t>
            </w:r>
          </w:p>
        </w:tc>
        <w:tc>
          <w:tcPr>
            <w:tcW w:w="8215" w:type="dxa"/>
          </w:tcPr>
          <w:p w14:paraId="74DA69A0" w14:textId="10E47354" w:rsidR="007B21DA" w:rsidRPr="002A0DB0" w:rsidRDefault="007B21DA" w:rsidP="007B21DA">
            <w:pPr>
              <w:pStyle w:val="Sansinterligne"/>
              <w:spacing w:after="240"/>
              <w:rPr>
                <w:rFonts w:asciiTheme="minorBidi" w:hAnsiTheme="minorBidi"/>
              </w:rPr>
            </w:pPr>
            <w:r w:rsidRPr="002A0DB0">
              <w:rPr>
                <w:rFonts w:ascii="Arial" w:hAnsi="Arial"/>
              </w:rPr>
              <w:t>L’exercice financier pour la comptabilité est d’une année civile.</w:t>
            </w:r>
          </w:p>
        </w:tc>
      </w:tr>
      <w:tr w:rsidR="007B21DA" w:rsidRPr="00591458" w14:paraId="0FBC6DBB" w14:textId="77777777" w:rsidTr="002A0DB0">
        <w:tc>
          <w:tcPr>
            <w:tcW w:w="1843" w:type="dxa"/>
          </w:tcPr>
          <w:p w14:paraId="49863832" w14:textId="6DEA910E" w:rsidR="007B21DA" w:rsidRPr="00825A9A" w:rsidRDefault="007B21DA" w:rsidP="007B21DA">
            <w:pPr>
              <w:pStyle w:val="Sansinterligne"/>
              <w:spacing w:before="240" w:after="240"/>
              <w:jc w:val="right"/>
              <w:rPr>
                <w:rFonts w:asciiTheme="minorBidi" w:hAnsiTheme="minorBidi"/>
                <w:b/>
                <w:lang w:val="en-US"/>
              </w:rPr>
            </w:pPr>
            <w:r>
              <w:rPr>
                <w:rFonts w:ascii="Arial" w:hAnsi="Arial"/>
                <w:b/>
                <w:bCs/>
              </w:rPr>
              <w:t>Article 3</w:t>
            </w:r>
          </w:p>
        </w:tc>
        <w:tc>
          <w:tcPr>
            <w:tcW w:w="8215" w:type="dxa"/>
          </w:tcPr>
          <w:p w14:paraId="3D26ACB5" w14:textId="31AC7BB5" w:rsidR="007B21DA" w:rsidRPr="00825A9A" w:rsidRDefault="007B21DA" w:rsidP="007B21DA">
            <w:pPr>
              <w:pStyle w:val="Sansinterligne"/>
              <w:spacing w:before="240" w:after="240"/>
              <w:rPr>
                <w:rFonts w:asciiTheme="minorBidi" w:hAnsiTheme="minorBidi"/>
                <w:b/>
                <w:lang w:val="en-US"/>
              </w:rPr>
            </w:pPr>
            <w:r>
              <w:rPr>
                <w:rFonts w:asciiTheme="minorBidi" w:hAnsiTheme="minorBidi"/>
                <w:b/>
                <w:lang w:val="en-US"/>
              </w:rPr>
              <w:t>Objectif</w:t>
            </w:r>
          </w:p>
        </w:tc>
      </w:tr>
      <w:tr w:rsidR="007B21DA" w:rsidRPr="007B21DA" w14:paraId="12B56248" w14:textId="77777777" w:rsidTr="002A0DB0">
        <w:tc>
          <w:tcPr>
            <w:tcW w:w="1843" w:type="dxa"/>
          </w:tcPr>
          <w:p w14:paraId="4ACA4778" w14:textId="77777777" w:rsidR="007B21DA" w:rsidRPr="00825A9A" w:rsidRDefault="007B21DA" w:rsidP="007B21DA">
            <w:pPr>
              <w:pStyle w:val="Sansinterligne"/>
              <w:spacing w:after="240"/>
              <w:jc w:val="right"/>
              <w:rPr>
                <w:rFonts w:asciiTheme="minorBidi" w:hAnsiTheme="minorBidi"/>
                <w:b/>
                <w:lang w:val="en-US"/>
              </w:rPr>
            </w:pPr>
          </w:p>
        </w:tc>
        <w:tc>
          <w:tcPr>
            <w:tcW w:w="8215" w:type="dxa"/>
          </w:tcPr>
          <w:p w14:paraId="4D24AAB3" w14:textId="3AE82A04" w:rsidR="007B21DA" w:rsidRPr="002A0DB0" w:rsidRDefault="00D37EE8" w:rsidP="007B21DA">
            <w:pPr>
              <w:pStyle w:val="Sansinterligne"/>
              <w:spacing w:after="240"/>
              <w:rPr>
                <w:rFonts w:asciiTheme="minorBidi" w:hAnsiTheme="minorBidi"/>
                <w:b/>
              </w:rPr>
            </w:pPr>
            <w:r w:rsidRPr="002A0DB0">
              <w:rPr>
                <w:rFonts w:ascii="Arial" w:hAnsi="Arial"/>
              </w:rPr>
              <w:t>Conformément à l’article 25 de la Convention,</w:t>
            </w:r>
            <w:r>
              <w:rPr>
                <w:rFonts w:ascii="Arial" w:hAnsi="Arial"/>
              </w:rPr>
              <w:t xml:space="preserve"> l</w:t>
            </w:r>
            <w:r w:rsidR="007B21DA">
              <w:rPr>
                <w:rFonts w:ascii="Arial" w:hAnsi="Arial"/>
              </w:rPr>
              <w:t xml:space="preserve">e présent Compte spécial a pour objet de recevoir des contributions émanant de sources telles que mentionnées dans </w:t>
            </w:r>
            <w:r w:rsidR="007B21DA" w:rsidRPr="002A0DB0">
              <w:rPr>
                <w:rFonts w:ascii="Arial" w:hAnsi="Arial"/>
              </w:rPr>
              <w:t>l’article 5.1</w:t>
            </w:r>
            <w:r w:rsidR="007B21DA">
              <w:rPr>
                <w:rFonts w:ascii="Arial" w:hAnsi="Arial"/>
              </w:rPr>
              <w:t xml:space="preserve"> ci-après et de réaliser des paiements, en vue de contribuer à la sauvegarde du patrimoine culturel immatériel conformément aux dispositions de la Convention et au présent Règlement.</w:t>
            </w:r>
          </w:p>
        </w:tc>
      </w:tr>
      <w:tr w:rsidR="007B21DA" w:rsidRPr="007B21DA" w14:paraId="113B33E0" w14:textId="77777777" w:rsidTr="002A0DB0">
        <w:tc>
          <w:tcPr>
            <w:tcW w:w="1843" w:type="dxa"/>
          </w:tcPr>
          <w:p w14:paraId="5388220C" w14:textId="661FA4AA" w:rsidR="007B21DA" w:rsidRPr="007B21DA" w:rsidRDefault="007B21DA" w:rsidP="007B21DA">
            <w:pPr>
              <w:pStyle w:val="Sansinterligne"/>
              <w:spacing w:before="240" w:after="240"/>
              <w:jc w:val="right"/>
              <w:rPr>
                <w:rFonts w:asciiTheme="minorBidi" w:hAnsiTheme="minorBidi"/>
                <w:b/>
                <w:bCs/>
                <w:lang w:val="en-US"/>
              </w:rPr>
            </w:pPr>
            <w:r w:rsidRPr="002A0DB0">
              <w:rPr>
                <w:rFonts w:ascii="Arial" w:hAnsi="Arial"/>
                <w:b/>
                <w:bCs/>
              </w:rPr>
              <w:t>Article 4</w:t>
            </w:r>
          </w:p>
        </w:tc>
        <w:tc>
          <w:tcPr>
            <w:tcW w:w="8215" w:type="dxa"/>
          </w:tcPr>
          <w:p w14:paraId="288F018D" w14:textId="0F5C099C" w:rsidR="007B21DA" w:rsidRPr="007B21DA" w:rsidRDefault="007B21DA" w:rsidP="007B21DA">
            <w:pPr>
              <w:pStyle w:val="Sansinterligne"/>
              <w:spacing w:before="240" w:after="240"/>
              <w:rPr>
                <w:rFonts w:asciiTheme="minorBidi" w:hAnsiTheme="minorBidi"/>
                <w:b/>
                <w:lang w:val="en-US"/>
              </w:rPr>
            </w:pPr>
            <w:r w:rsidRPr="002A0DB0">
              <w:rPr>
                <w:rFonts w:ascii="Arial" w:hAnsi="Arial"/>
                <w:b/>
                <w:bCs/>
              </w:rPr>
              <w:t>Gouvernance</w:t>
            </w:r>
          </w:p>
        </w:tc>
      </w:tr>
      <w:tr w:rsidR="007B21DA" w:rsidRPr="007B21DA" w14:paraId="255721FA" w14:textId="77777777" w:rsidTr="002A0DB0">
        <w:tc>
          <w:tcPr>
            <w:tcW w:w="1843" w:type="dxa"/>
          </w:tcPr>
          <w:p w14:paraId="231E2DFE" w14:textId="77777777" w:rsidR="007B21DA" w:rsidRDefault="007B21DA" w:rsidP="007B21DA">
            <w:pPr>
              <w:pStyle w:val="Sansinterligne"/>
              <w:spacing w:after="240"/>
              <w:jc w:val="right"/>
              <w:rPr>
                <w:rFonts w:ascii="Arial" w:hAnsi="Arial"/>
              </w:rPr>
            </w:pPr>
            <w:r w:rsidRPr="002A0DB0">
              <w:rPr>
                <w:rFonts w:ascii="Arial" w:hAnsi="Arial"/>
              </w:rPr>
              <w:t>4.1</w:t>
            </w:r>
            <w:r w:rsidRPr="007B21DA">
              <w:rPr>
                <w:rFonts w:ascii="Arial" w:hAnsi="Arial"/>
              </w:rPr>
              <w:t xml:space="preserve"> </w:t>
            </w:r>
          </w:p>
          <w:p w14:paraId="7525C483" w14:textId="77777777" w:rsidR="009E45EB" w:rsidRPr="007402CA" w:rsidRDefault="009E45EB" w:rsidP="007402CA">
            <w:pPr>
              <w:rPr>
                <w:lang w:val="en-US"/>
              </w:rPr>
            </w:pPr>
          </w:p>
          <w:p w14:paraId="6255ABCF" w14:textId="77777777" w:rsidR="009E45EB" w:rsidRDefault="009E45EB" w:rsidP="009E45EB">
            <w:pPr>
              <w:rPr>
                <w:rFonts w:ascii="Arial" w:eastAsiaTheme="minorHAnsi" w:hAnsi="Arial" w:cstheme="minorBidi"/>
                <w:sz w:val="22"/>
                <w:szCs w:val="22"/>
                <w:lang w:eastAsia="en-US"/>
              </w:rPr>
            </w:pPr>
          </w:p>
          <w:p w14:paraId="2741CDF3" w14:textId="241739C8" w:rsidR="009E45EB" w:rsidRPr="007402CA" w:rsidRDefault="009E45EB" w:rsidP="00C90202">
            <w:pPr>
              <w:pStyle w:val="Sansinterligne"/>
              <w:spacing w:after="240"/>
              <w:jc w:val="right"/>
              <w:rPr>
                <w:lang w:val="en-US"/>
              </w:rPr>
            </w:pPr>
            <w:r>
              <w:rPr>
                <w:lang w:val="en-US"/>
              </w:rPr>
              <w:tab/>
            </w:r>
            <w:r w:rsidRPr="007402CA">
              <w:rPr>
                <w:rFonts w:ascii="Arial" w:hAnsi="Arial"/>
              </w:rPr>
              <w:t>4.2</w:t>
            </w:r>
          </w:p>
        </w:tc>
        <w:tc>
          <w:tcPr>
            <w:tcW w:w="8215" w:type="dxa"/>
          </w:tcPr>
          <w:p w14:paraId="4C3E38A3" w14:textId="77777777" w:rsidR="009E45EB" w:rsidRDefault="007B21DA" w:rsidP="009E45EB">
            <w:pPr>
              <w:pStyle w:val="Sansinterligne"/>
              <w:spacing w:after="240"/>
              <w:rPr>
                <w:rFonts w:ascii="Arial" w:hAnsi="Arial"/>
              </w:rPr>
            </w:pPr>
            <w:r w:rsidRPr="002A0DB0">
              <w:rPr>
                <w:rFonts w:ascii="Arial" w:hAnsi="Arial"/>
              </w:rPr>
              <w:t>L’Assemblée générale des États parties (ci-après dénommée</w:t>
            </w:r>
            <w:r w:rsidRPr="007B21DA">
              <w:rPr>
                <w:rFonts w:ascii="Arial" w:hAnsi="Arial"/>
              </w:rPr>
              <w:t xml:space="preserve"> </w:t>
            </w:r>
            <w:r w:rsidRPr="002A0DB0">
              <w:rPr>
                <w:rFonts w:ascii="Arial" w:hAnsi="Arial"/>
              </w:rPr>
              <w:t>« l’Assemblée générale ») a pouvoir de décider de l’allocation des ressources dans le cadre de ce Compte spécial.</w:t>
            </w:r>
          </w:p>
          <w:p w14:paraId="2286B840" w14:textId="4BBB86FC" w:rsidR="009E45EB" w:rsidRPr="007402CA" w:rsidRDefault="009E45EB" w:rsidP="009E45EB">
            <w:pPr>
              <w:pStyle w:val="Sansinterligne"/>
              <w:spacing w:after="240"/>
              <w:rPr>
                <w:rFonts w:ascii="Arial" w:hAnsi="Arial"/>
              </w:rPr>
            </w:pPr>
            <w:r>
              <w:rPr>
                <w:rFonts w:ascii="Arial" w:hAnsi="Arial"/>
              </w:rPr>
              <w:t>Conformément à l’article 7 de la Convention, le Comité intergouvernemental de sauvegarde du patrimoine culturel immatériel (ci-après « </w:t>
            </w:r>
            <w:r w:rsidR="00C90202">
              <w:rPr>
                <w:rFonts w:ascii="Arial" w:hAnsi="Arial"/>
              </w:rPr>
              <w:t>le Comité ») prépare et soumet à l’approbation de l’Assemblée générale un projet d’utilisation des ressources du Fond, conformément à l’article 25 de la Convention.</w:t>
            </w:r>
          </w:p>
        </w:tc>
      </w:tr>
      <w:tr w:rsidR="007B21DA" w:rsidRPr="007B21DA" w14:paraId="115F0ADE" w14:textId="77777777" w:rsidTr="002A0DB0">
        <w:tc>
          <w:tcPr>
            <w:tcW w:w="1843" w:type="dxa"/>
          </w:tcPr>
          <w:p w14:paraId="0D6814DD" w14:textId="1EDD3268" w:rsidR="007B21DA" w:rsidRPr="007B21DA" w:rsidRDefault="007B21DA" w:rsidP="007B21DA">
            <w:pPr>
              <w:pStyle w:val="Sansinterligne"/>
              <w:spacing w:after="240"/>
              <w:jc w:val="right"/>
              <w:rPr>
                <w:rFonts w:asciiTheme="minorBidi" w:hAnsiTheme="minorBidi"/>
                <w:lang w:val="en-US"/>
              </w:rPr>
            </w:pPr>
            <w:r w:rsidRPr="002A0DB0">
              <w:rPr>
                <w:rFonts w:ascii="Arial" w:hAnsi="Arial"/>
              </w:rPr>
              <w:t>4.</w:t>
            </w:r>
            <w:r w:rsidR="00C90202">
              <w:rPr>
                <w:rFonts w:ascii="Arial" w:hAnsi="Arial"/>
              </w:rPr>
              <w:t>3</w:t>
            </w:r>
          </w:p>
        </w:tc>
        <w:tc>
          <w:tcPr>
            <w:tcW w:w="8215" w:type="dxa"/>
          </w:tcPr>
          <w:p w14:paraId="6CF51622" w14:textId="7D21C7B3" w:rsidR="007B21DA" w:rsidRPr="002A0DB0" w:rsidRDefault="00907D65" w:rsidP="007B21DA">
            <w:pPr>
              <w:pStyle w:val="Sansinterligne"/>
              <w:spacing w:after="240"/>
              <w:rPr>
                <w:rFonts w:asciiTheme="minorBidi" w:hAnsiTheme="minorBidi"/>
              </w:rPr>
            </w:pPr>
            <w:r w:rsidRPr="00205C4A">
              <w:rPr>
                <w:rFonts w:ascii="Arial" w:hAnsi="Arial"/>
              </w:rPr>
              <w:t>Le/la Directeur/Directrice général(e)</w:t>
            </w:r>
            <w:r>
              <w:rPr>
                <w:rFonts w:ascii="Arial" w:hAnsi="Arial"/>
              </w:rPr>
              <w:t xml:space="preserve"> </w:t>
            </w:r>
            <w:r w:rsidR="007B21DA" w:rsidRPr="002A0DB0">
              <w:rPr>
                <w:rFonts w:ascii="Arial" w:hAnsi="Arial"/>
              </w:rPr>
              <w:t xml:space="preserve">gère et administre les fonds du Compte spécial conformément au texte de la Convention, </w:t>
            </w:r>
            <w:r w:rsidR="004607F9">
              <w:rPr>
                <w:rFonts w:ascii="Arial" w:hAnsi="Arial"/>
              </w:rPr>
              <w:t xml:space="preserve">aux Directives opérationnelles, </w:t>
            </w:r>
            <w:r w:rsidR="007B21DA" w:rsidRPr="002A0DB0">
              <w:rPr>
                <w:rFonts w:ascii="Arial" w:hAnsi="Arial"/>
              </w:rPr>
              <w:t>aux décisions approuvées par l’Assemblée générale et le Comité, et au présent Règlement financier.</w:t>
            </w:r>
          </w:p>
        </w:tc>
      </w:tr>
      <w:tr w:rsidR="007B21DA" w:rsidRPr="007B21DA" w14:paraId="217726A3" w14:textId="77777777" w:rsidTr="002A0DB0">
        <w:tc>
          <w:tcPr>
            <w:tcW w:w="1843" w:type="dxa"/>
          </w:tcPr>
          <w:p w14:paraId="0630AB83" w14:textId="26E3877D" w:rsidR="007B21DA" w:rsidRPr="007B21DA" w:rsidRDefault="007B21DA" w:rsidP="007B21DA">
            <w:pPr>
              <w:pStyle w:val="Sansinterligne"/>
              <w:spacing w:after="240"/>
              <w:jc w:val="right"/>
              <w:rPr>
                <w:rFonts w:asciiTheme="minorBidi" w:hAnsiTheme="minorBidi"/>
                <w:lang w:val="en-US"/>
              </w:rPr>
            </w:pPr>
            <w:r w:rsidRPr="002A0DB0">
              <w:rPr>
                <w:rFonts w:ascii="Arial" w:hAnsi="Arial"/>
              </w:rPr>
              <w:lastRenderedPageBreak/>
              <w:t>4.</w:t>
            </w:r>
            <w:r w:rsidR="00C90202">
              <w:rPr>
                <w:rFonts w:ascii="Arial" w:hAnsi="Arial"/>
              </w:rPr>
              <w:t>4</w:t>
            </w:r>
          </w:p>
        </w:tc>
        <w:tc>
          <w:tcPr>
            <w:tcW w:w="8215" w:type="dxa"/>
          </w:tcPr>
          <w:p w14:paraId="1430714C" w14:textId="56F44892" w:rsidR="007B21DA" w:rsidRPr="002A0DB0" w:rsidRDefault="00907D65" w:rsidP="007B21DA">
            <w:pPr>
              <w:spacing w:after="120"/>
              <w:ind w:left="-1" w:firstLine="2"/>
              <w:rPr>
                <w:rFonts w:asciiTheme="minorBidi" w:hAnsiTheme="minorBidi" w:cstheme="minorBidi"/>
                <w:lang w:eastAsia="en-GB"/>
              </w:rPr>
            </w:pPr>
            <w:r w:rsidRPr="00205C4A">
              <w:rPr>
                <w:rFonts w:ascii="Arial" w:hAnsi="Arial"/>
                <w:sz w:val="22"/>
                <w:szCs w:val="22"/>
              </w:rPr>
              <w:t>Le/la Directeur/Directrice général(e)</w:t>
            </w:r>
            <w:r>
              <w:rPr>
                <w:rFonts w:ascii="Arial" w:hAnsi="Arial"/>
                <w:sz w:val="22"/>
                <w:szCs w:val="22"/>
              </w:rPr>
              <w:t xml:space="preserve"> </w:t>
            </w:r>
            <w:r w:rsidR="007B21DA" w:rsidRPr="002A0DB0">
              <w:rPr>
                <w:rFonts w:ascii="Arial" w:hAnsi="Arial"/>
                <w:sz w:val="22"/>
                <w:szCs w:val="22"/>
              </w:rPr>
              <w:t>soumet tous les deux ans à l’Assemblée générale et au Comité les rapports narratifs et financiers comme indiqué à l’article 10 ci-après.</w:t>
            </w:r>
          </w:p>
        </w:tc>
      </w:tr>
      <w:tr w:rsidR="007B21DA" w:rsidRPr="00591458" w14:paraId="47F6C700" w14:textId="77777777" w:rsidTr="002A0DB0">
        <w:tc>
          <w:tcPr>
            <w:tcW w:w="1843" w:type="dxa"/>
          </w:tcPr>
          <w:p w14:paraId="7311ED44" w14:textId="4848A6C0" w:rsidR="007B21DA" w:rsidRPr="00825A9A" w:rsidRDefault="007B21DA" w:rsidP="007B21DA">
            <w:pPr>
              <w:pStyle w:val="Sansinterligne"/>
              <w:spacing w:before="240" w:after="240"/>
              <w:jc w:val="right"/>
              <w:rPr>
                <w:rFonts w:asciiTheme="minorBidi" w:hAnsiTheme="minorBidi"/>
                <w:b/>
                <w:bCs/>
                <w:lang w:val="en-US"/>
              </w:rPr>
            </w:pPr>
            <w:r>
              <w:rPr>
                <w:rFonts w:ascii="Arial" w:hAnsi="Arial"/>
                <w:b/>
                <w:bCs/>
              </w:rPr>
              <w:t>Article </w:t>
            </w:r>
            <w:r w:rsidRPr="002A0DB0">
              <w:rPr>
                <w:rFonts w:ascii="Arial" w:hAnsi="Arial"/>
                <w:b/>
                <w:bCs/>
              </w:rPr>
              <w:t>5</w:t>
            </w:r>
          </w:p>
        </w:tc>
        <w:tc>
          <w:tcPr>
            <w:tcW w:w="8215" w:type="dxa"/>
          </w:tcPr>
          <w:p w14:paraId="11C8306F" w14:textId="7FC89736" w:rsidR="007B21DA" w:rsidRPr="002A0DB0" w:rsidRDefault="007B21DA" w:rsidP="007B21DA">
            <w:pPr>
              <w:pStyle w:val="Sansinterligne"/>
              <w:spacing w:before="240" w:after="240"/>
              <w:rPr>
                <w:rFonts w:asciiTheme="minorBidi" w:hAnsiTheme="minorBidi"/>
                <w:b/>
                <w:lang w:val="en-US"/>
              </w:rPr>
            </w:pPr>
            <w:r>
              <w:rPr>
                <w:rFonts w:ascii="Arial" w:hAnsi="Arial"/>
                <w:b/>
              </w:rPr>
              <w:t>Recettes</w:t>
            </w:r>
          </w:p>
        </w:tc>
      </w:tr>
      <w:tr w:rsidR="007B21DA" w:rsidRPr="007B21DA" w14:paraId="214D9B71" w14:textId="77777777" w:rsidTr="002A0DB0">
        <w:tc>
          <w:tcPr>
            <w:tcW w:w="1843" w:type="dxa"/>
          </w:tcPr>
          <w:p w14:paraId="613D1913" w14:textId="3B5543AE" w:rsidR="007B21DA" w:rsidRPr="007B21DA" w:rsidRDefault="007B21DA" w:rsidP="007B21DA">
            <w:pPr>
              <w:pStyle w:val="Sansinterligne"/>
              <w:spacing w:after="240"/>
              <w:jc w:val="right"/>
              <w:rPr>
                <w:rFonts w:asciiTheme="minorBidi" w:hAnsiTheme="minorBidi"/>
                <w:lang w:val="en-US"/>
              </w:rPr>
            </w:pPr>
            <w:r w:rsidRPr="002A0DB0">
              <w:rPr>
                <w:rFonts w:ascii="Arial" w:hAnsi="Arial"/>
              </w:rPr>
              <w:t>5.1</w:t>
            </w:r>
            <w:r w:rsidRPr="007B21DA">
              <w:rPr>
                <w:rFonts w:ascii="Arial" w:hAnsi="Arial"/>
              </w:rPr>
              <w:t xml:space="preserve"> </w:t>
            </w:r>
          </w:p>
        </w:tc>
        <w:tc>
          <w:tcPr>
            <w:tcW w:w="8215" w:type="dxa"/>
          </w:tcPr>
          <w:p w14:paraId="0D676209" w14:textId="77777777" w:rsidR="007B21DA" w:rsidRPr="007B21DA" w:rsidRDefault="007B21DA" w:rsidP="007B21DA">
            <w:pPr>
              <w:spacing w:after="120"/>
              <w:rPr>
                <w:rFonts w:ascii="Arial" w:hAnsi="Arial" w:cs="Arial"/>
                <w:sz w:val="22"/>
                <w:szCs w:val="22"/>
              </w:rPr>
            </w:pPr>
            <w:r w:rsidRPr="007B21DA">
              <w:rPr>
                <w:rFonts w:ascii="Arial" w:hAnsi="Arial"/>
                <w:sz w:val="22"/>
                <w:szCs w:val="22"/>
              </w:rPr>
              <w:t>Comme le prévoit l’article 25.3 de la Convention, les recettes du Compte spécial sont constituées par :</w:t>
            </w:r>
          </w:p>
          <w:p w14:paraId="5228A326" w14:textId="74D95DA3" w:rsidR="007B21DA" w:rsidRPr="007B21DA" w:rsidRDefault="007B21DA" w:rsidP="007B21D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7B21DA">
              <w:rPr>
                <w:rFonts w:ascii="Arial" w:hAnsi="Arial"/>
                <w:iCs/>
                <w:sz w:val="22"/>
                <w:szCs w:val="22"/>
              </w:rPr>
              <w:t>les contributions des États parties ;</w:t>
            </w:r>
          </w:p>
          <w:p w14:paraId="7C07C543" w14:textId="77777777" w:rsidR="007B21DA" w:rsidRPr="007B21DA" w:rsidRDefault="007B21DA" w:rsidP="007B21D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7B21DA">
              <w:rPr>
                <w:rFonts w:ascii="Arial" w:hAnsi="Arial"/>
                <w:iCs/>
                <w:sz w:val="22"/>
                <w:szCs w:val="22"/>
              </w:rPr>
              <w:t>les fonds alloués à cette fin par la Conférence générale de l’UNESCO ;</w:t>
            </w:r>
          </w:p>
          <w:p w14:paraId="5127A116" w14:textId="77777777" w:rsidR="007B21DA" w:rsidRPr="007B21DA" w:rsidRDefault="007B21DA" w:rsidP="007B21D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7B21DA">
              <w:rPr>
                <w:rFonts w:ascii="Arial" w:hAnsi="Arial"/>
                <w:iCs/>
                <w:sz w:val="22"/>
                <w:szCs w:val="22"/>
              </w:rPr>
              <w:t>les versements, dons ou legs que pourront faire :</w:t>
            </w:r>
          </w:p>
          <w:p w14:paraId="785BABAB" w14:textId="77777777" w:rsidR="007B21DA" w:rsidRPr="007B21DA" w:rsidRDefault="007B21DA" w:rsidP="007B21DA">
            <w:pPr>
              <w:pStyle w:val="Paragraphedeliste"/>
              <w:numPr>
                <w:ilvl w:val="0"/>
                <w:numId w:val="23"/>
              </w:numPr>
              <w:tabs>
                <w:tab w:val="left" w:pos="746"/>
              </w:tabs>
              <w:snapToGrid w:val="0"/>
              <w:spacing w:after="60"/>
              <w:contextualSpacing w:val="0"/>
              <w:rPr>
                <w:rFonts w:ascii="Arial" w:hAnsi="Arial" w:cs="Arial"/>
                <w:sz w:val="22"/>
                <w:szCs w:val="22"/>
              </w:rPr>
            </w:pPr>
            <w:r w:rsidRPr="007B21DA">
              <w:rPr>
                <w:rFonts w:ascii="Arial" w:hAnsi="Arial"/>
                <w:sz w:val="22"/>
                <w:szCs w:val="22"/>
              </w:rPr>
              <w:t xml:space="preserve">d’autres États ; </w:t>
            </w:r>
          </w:p>
          <w:p w14:paraId="6FD5C7CA" w14:textId="77777777" w:rsidR="007B21DA" w:rsidRPr="007B21DA" w:rsidRDefault="007B21DA" w:rsidP="007B21DA">
            <w:pPr>
              <w:pStyle w:val="Paragraphedeliste"/>
              <w:numPr>
                <w:ilvl w:val="0"/>
                <w:numId w:val="23"/>
              </w:numPr>
              <w:tabs>
                <w:tab w:val="left" w:pos="746"/>
              </w:tabs>
              <w:snapToGrid w:val="0"/>
              <w:spacing w:after="60"/>
              <w:ind w:left="746" w:hanging="425"/>
              <w:contextualSpacing w:val="0"/>
              <w:rPr>
                <w:rFonts w:ascii="Arial" w:hAnsi="Arial" w:cs="Arial"/>
                <w:sz w:val="22"/>
                <w:szCs w:val="22"/>
              </w:rPr>
            </w:pPr>
            <w:r w:rsidRPr="007B21DA">
              <w:rPr>
                <w:rFonts w:ascii="Arial" w:hAnsi="Arial"/>
                <w:sz w:val="22"/>
                <w:szCs w:val="22"/>
              </w:rPr>
              <w:t>les organisations et programmes du système des Nations Unies, notamment le Programme des Nations Unies pour le développement, ainsi que d’autres organisations internationales ;</w:t>
            </w:r>
          </w:p>
          <w:p w14:paraId="775E7635" w14:textId="77777777" w:rsidR="007B21DA" w:rsidRPr="007B21DA" w:rsidRDefault="007B21DA" w:rsidP="007B21DA">
            <w:pPr>
              <w:pStyle w:val="Paragraphedeliste"/>
              <w:numPr>
                <w:ilvl w:val="0"/>
                <w:numId w:val="23"/>
              </w:numPr>
              <w:tabs>
                <w:tab w:val="left" w:pos="746"/>
              </w:tabs>
              <w:snapToGrid w:val="0"/>
              <w:spacing w:after="60"/>
              <w:ind w:left="746" w:hanging="425"/>
              <w:contextualSpacing w:val="0"/>
              <w:rPr>
                <w:rFonts w:ascii="Arial" w:hAnsi="Arial" w:cs="Arial"/>
                <w:sz w:val="22"/>
                <w:szCs w:val="22"/>
              </w:rPr>
            </w:pPr>
            <w:r w:rsidRPr="007B21DA">
              <w:rPr>
                <w:rFonts w:ascii="Arial" w:hAnsi="Arial"/>
                <w:sz w:val="22"/>
                <w:szCs w:val="22"/>
              </w:rPr>
              <w:t>des organismes publics ou privés ou des personnes privées ;</w:t>
            </w:r>
          </w:p>
          <w:p w14:paraId="0CEE1715" w14:textId="430A5734" w:rsidR="007B21DA" w:rsidRPr="007B21DA" w:rsidRDefault="007B21DA" w:rsidP="007B21D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7B21DA">
              <w:rPr>
                <w:rFonts w:ascii="Arial" w:hAnsi="Arial"/>
                <w:iCs/>
                <w:sz w:val="22"/>
                <w:szCs w:val="22"/>
              </w:rPr>
              <w:t xml:space="preserve">tout intérêt </w:t>
            </w:r>
            <w:r w:rsidR="004607F9">
              <w:rPr>
                <w:rFonts w:ascii="Arial" w:hAnsi="Arial"/>
                <w:iCs/>
                <w:sz w:val="22"/>
                <w:szCs w:val="22"/>
              </w:rPr>
              <w:t>dû sur les ressources du Compte spécial</w:t>
            </w:r>
            <w:r w:rsidR="007E6ECA">
              <w:rPr>
                <w:rFonts w:ascii="Arial" w:hAnsi="Arial"/>
                <w:iCs/>
                <w:sz w:val="22"/>
                <w:szCs w:val="22"/>
              </w:rPr>
              <w:t> </w:t>
            </w:r>
            <w:r w:rsidRPr="007B21DA">
              <w:rPr>
                <w:rFonts w:ascii="Arial" w:hAnsi="Arial"/>
                <w:iCs/>
                <w:sz w:val="22"/>
                <w:szCs w:val="22"/>
              </w:rPr>
              <w:t>;</w:t>
            </w:r>
          </w:p>
          <w:p w14:paraId="24F840FF" w14:textId="77777777" w:rsidR="007B21DA" w:rsidRPr="007B21DA" w:rsidRDefault="007B21DA" w:rsidP="007B21D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7B21DA">
              <w:rPr>
                <w:rFonts w:ascii="Arial" w:hAnsi="Arial"/>
                <w:iCs/>
                <w:sz w:val="22"/>
                <w:szCs w:val="22"/>
              </w:rPr>
              <w:t>le produit des collectes et les recettes des manifestations organisées au profit du Compte spécial ;</w:t>
            </w:r>
          </w:p>
          <w:p w14:paraId="6ED74BD6" w14:textId="77777777" w:rsidR="007B21DA" w:rsidRPr="002A0DB0" w:rsidRDefault="007B21DA" w:rsidP="007B21DA">
            <w:pPr>
              <w:pStyle w:val="Paragraphedeliste"/>
              <w:numPr>
                <w:ilvl w:val="0"/>
                <w:numId w:val="22"/>
              </w:numPr>
              <w:tabs>
                <w:tab w:val="left" w:pos="567"/>
              </w:tabs>
              <w:suppressAutoHyphens/>
              <w:snapToGrid w:val="0"/>
              <w:spacing w:after="60"/>
              <w:ind w:left="321"/>
              <w:contextualSpacing w:val="0"/>
              <w:rPr>
                <w:rFonts w:ascii="Arial" w:hAnsi="Arial" w:cs="Arial"/>
                <w:iCs/>
                <w:spacing w:val="-3"/>
                <w:sz w:val="22"/>
                <w:szCs w:val="22"/>
              </w:rPr>
            </w:pPr>
            <w:r w:rsidRPr="007B21DA">
              <w:rPr>
                <w:rFonts w:ascii="Arial" w:hAnsi="Arial"/>
                <w:iCs/>
                <w:sz w:val="22"/>
                <w:szCs w:val="22"/>
              </w:rPr>
              <w:t>toutes autres ressources autorisées par le Comité.</w:t>
            </w:r>
          </w:p>
          <w:p w14:paraId="0E850CED" w14:textId="73466681" w:rsidR="007B21DA" w:rsidRPr="002A0DB0" w:rsidRDefault="007B21DA" w:rsidP="002A0DB0">
            <w:pPr>
              <w:pStyle w:val="Paragraphedeliste"/>
              <w:tabs>
                <w:tab w:val="left" w:pos="567"/>
              </w:tabs>
              <w:suppressAutoHyphens/>
              <w:snapToGrid w:val="0"/>
              <w:spacing w:after="60"/>
              <w:ind w:left="321"/>
              <w:contextualSpacing w:val="0"/>
              <w:rPr>
                <w:rFonts w:ascii="Arial" w:hAnsi="Arial" w:cs="Arial"/>
                <w:iCs/>
                <w:spacing w:val="-3"/>
                <w:sz w:val="22"/>
                <w:szCs w:val="22"/>
              </w:rPr>
            </w:pPr>
          </w:p>
        </w:tc>
      </w:tr>
      <w:tr w:rsidR="007B21DA" w:rsidRPr="007B21DA" w14:paraId="7871DAC2" w14:textId="77777777" w:rsidTr="002A0DB0">
        <w:tc>
          <w:tcPr>
            <w:tcW w:w="1843" w:type="dxa"/>
          </w:tcPr>
          <w:p w14:paraId="3951127F" w14:textId="269517D2" w:rsidR="007B21DA" w:rsidRPr="007B21DA" w:rsidRDefault="007B21DA" w:rsidP="007B21DA">
            <w:pPr>
              <w:pStyle w:val="Sansinterligne"/>
              <w:spacing w:after="240"/>
              <w:jc w:val="right"/>
              <w:rPr>
                <w:rFonts w:asciiTheme="minorBidi" w:hAnsiTheme="minorBidi"/>
                <w:lang w:val="en-US"/>
              </w:rPr>
            </w:pPr>
            <w:r w:rsidRPr="002A0DB0">
              <w:rPr>
                <w:rFonts w:ascii="Arial" w:hAnsi="Arial"/>
              </w:rPr>
              <w:t>5.2</w:t>
            </w:r>
          </w:p>
        </w:tc>
        <w:tc>
          <w:tcPr>
            <w:tcW w:w="8215" w:type="dxa"/>
          </w:tcPr>
          <w:p w14:paraId="763F60CF" w14:textId="52ED8869" w:rsidR="007B21DA" w:rsidRPr="002A0DB0" w:rsidRDefault="007B21DA" w:rsidP="007B21DA">
            <w:pPr>
              <w:pStyle w:val="Sansinterligne"/>
              <w:spacing w:after="240"/>
              <w:rPr>
                <w:rFonts w:asciiTheme="minorBidi" w:hAnsiTheme="minorBidi"/>
              </w:rPr>
            </w:pPr>
            <w:r w:rsidRPr="007B21DA">
              <w:rPr>
                <w:rFonts w:ascii="Arial" w:hAnsi="Arial"/>
              </w:rPr>
              <w:t>Comme le prévoit l’article 26.1 de la Convention, les contributions des États parties n’ayant pas procédé à la déclaration visée à l’article 26.2 de la Convention doivent être versées conformément au pourcentage uniforme déterminé par l’Assemblée générale des États parties à la Convention.</w:t>
            </w:r>
          </w:p>
        </w:tc>
      </w:tr>
      <w:tr w:rsidR="007B21DA" w:rsidRPr="00591458" w14:paraId="2D78FB95" w14:textId="77777777" w:rsidTr="002A0DB0">
        <w:tc>
          <w:tcPr>
            <w:tcW w:w="1843" w:type="dxa"/>
          </w:tcPr>
          <w:p w14:paraId="42E24487" w14:textId="3FB515A0" w:rsidR="007B21DA" w:rsidRPr="00825A9A" w:rsidRDefault="007B21DA" w:rsidP="007B21DA">
            <w:pPr>
              <w:pStyle w:val="Sansinterligne"/>
              <w:spacing w:before="240" w:after="240"/>
              <w:jc w:val="right"/>
              <w:rPr>
                <w:rFonts w:asciiTheme="minorBidi" w:hAnsiTheme="minorBidi"/>
                <w:b/>
                <w:bCs/>
                <w:lang w:val="en-US"/>
              </w:rPr>
            </w:pPr>
            <w:r>
              <w:rPr>
                <w:rFonts w:ascii="Arial" w:hAnsi="Arial"/>
                <w:b/>
                <w:bCs/>
              </w:rPr>
              <w:t>Article 6</w:t>
            </w:r>
          </w:p>
        </w:tc>
        <w:tc>
          <w:tcPr>
            <w:tcW w:w="8215" w:type="dxa"/>
          </w:tcPr>
          <w:p w14:paraId="7D6BD937" w14:textId="36A5124C" w:rsidR="007B21DA" w:rsidRPr="002A0DB0" w:rsidRDefault="007B21DA" w:rsidP="007B21DA">
            <w:pPr>
              <w:pStyle w:val="Sansinterligne"/>
              <w:spacing w:before="240" w:after="240"/>
              <w:rPr>
                <w:rFonts w:asciiTheme="minorBidi" w:hAnsiTheme="minorBidi"/>
                <w:b/>
                <w:lang w:val="en-US"/>
              </w:rPr>
            </w:pPr>
            <w:r w:rsidRPr="002A0DB0">
              <w:rPr>
                <w:rFonts w:ascii="Arial" w:hAnsi="Arial"/>
                <w:b/>
              </w:rPr>
              <w:t>Dépenses</w:t>
            </w:r>
          </w:p>
        </w:tc>
      </w:tr>
      <w:tr w:rsidR="007B21DA" w:rsidRPr="007B21DA" w14:paraId="455DA3A6" w14:textId="77777777" w:rsidTr="002A0DB0">
        <w:tc>
          <w:tcPr>
            <w:tcW w:w="1843" w:type="dxa"/>
          </w:tcPr>
          <w:p w14:paraId="15584C7D" w14:textId="10038B01" w:rsidR="007B21DA" w:rsidRPr="007B21DA" w:rsidRDefault="007B21DA" w:rsidP="007B21DA">
            <w:pPr>
              <w:pStyle w:val="Sansinterligne"/>
              <w:spacing w:after="240"/>
              <w:jc w:val="right"/>
              <w:rPr>
                <w:rFonts w:asciiTheme="minorBidi" w:hAnsiTheme="minorBidi"/>
                <w:lang w:val="en-US"/>
              </w:rPr>
            </w:pPr>
            <w:r w:rsidRPr="002A0DB0">
              <w:rPr>
                <w:rFonts w:ascii="Arial" w:hAnsi="Arial"/>
              </w:rPr>
              <w:t>6.1</w:t>
            </w:r>
          </w:p>
        </w:tc>
        <w:tc>
          <w:tcPr>
            <w:tcW w:w="8215" w:type="dxa"/>
          </w:tcPr>
          <w:p w14:paraId="777B0437" w14:textId="01D199BC" w:rsidR="007B21DA" w:rsidRPr="002A0DB0" w:rsidRDefault="00C90202" w:rsidP="007B21DA">
            <w:pPr>
              <w:pStyle w:val="Sansinterligne"/>
              <w:spacing w:after="240"/>
              <w:rPr>
                <w:rFonts w:asciiTheme="minorBidi" w:hAnsiTheme="minorBidi"/>
              </w:rPr>
            </w:pPr>
            <w:r w:rsidRPr="002A0DB0">
              <w:rPr>
                <w:rFonts w:ascii="Arial" w:hAnsi="Arial"/>
              </w:rPr>
              <w:t>L’</w:t>
            </w:r>
            <w:r>
              <w:rPr>
                <w:rFonts w:ascii="Arial" w:hAnsi="Arial"/>
              </w:rPr>
              <w:t>utilisation</w:t>
            </w:r>
            <w:r w:rsidRPr="002A0DB0">
              <w:rPr>
                <w:rFonts w:ascii="Arial" w:hAnsi="Arial"/>
              </w:rPr>
              <w:t xml:space="preserve"> </w:t>
            </w:r>
            <w:r w:rsidR="007B21DA" w:rsidRPr="002A0DB0">
              <w:rPr>
                <w:rFonts w:ascii="Arial" w:hAnsi="Arial"/>
              </w:rPr>
              <w:t>des ressources du Compte spécial est approuvée par l’Assemblée générale tous les deux ans.</w:t>
            </w:r>
          </w:p>
        </w:tc>
      </w:tr>
      <w:tr w:rsidR="007B21DA" w:rsidRPr="007B21DA" w14:paraId="63651112" w14:textId="77777777" w:rsidTr="002A0DB0">
        <w:tc>
          <w:tcPr>
            <w:tcW w:w="1843" w:type="dxa"/>
          </w:tcPr>
          <w:p w14:paraId="345BDFE9" w14:textId="57A917D0" w:rsidR="007B21DA" w:rsidRPr="007B21DA" w:rsidRDefault="007B21DA" w:rsidP="007B21DA">
            <w:pPr>
              <w:pStyle w:val="Sansinterligne"/>
              <w:spacing w:after="240"/>
              <w:jc w:val="right"/>
              <w:rPr>
                <w:rFonts w:asciiTheme="minorBidi" w:hAnsiTheme="minorBidi"/>
                <w:lang w:val="en-US"/>
              </w:rPr>
            </w:pPr>
            <w:r w:rsidRPr="002A0DB0">
              <w:rPr>
                <w:rFonts w:ascii="Arial" w:hAnsi="Arial"/>
              </w:rPr>
              <w:t>6.2</w:t>
            </w:r>
          </w:p>
        </w:tc>
        <w:tc>
          <w:tcPr>
            <w:tcW w:w="8215" w:type="dxa"/>
          </w:tcPr>
          <w:p w14:paraId="43A9C7DC" w14:textId="4C4C2233" w:rsidR="007B21DA" w:rsidRPr="002A0DB0" w:rsidRDefault="007B21DA" w:rsidP="007B21DA">
            <w:pPr>
              <w:pStyle w:val="Sansinterligne"/>
              <w:spacing w:after="240"/>
              <w:rPr>
                <w:rFonts w:asciiTheme="minorBidi" w:hAnsiTheme="minorBidi"/>
              </w:rPr>
            </w:pPr>
            <w:r w:rsidRPr="007B21DA">
              <w:rPr>
                <w:rFonts w:ascii="Arial" w:hAnsi="Arial"/>
              </w:rPr>
              <w:t xml:space="preserve">Le Compte spécial est débité des dépenses effectuées conformément à l’objet défini à l’article 3 ci-dessus, y compris les dépenses administratives directes s’y rapportant expressément </w:t>
            </w:r>
            <w:r w:rsidRPr="002A0DB0">
              <w:rPr>
                <w:rFonts w:ascii="Arial" w:hAnsi="Arial"/>
              </w:rPr>
              <w:t>et les coûts de gestion applicables</w:t>
            </w:r>
            <w:r w:rsidRPr="007B21DA">
              <w:rPr>
                <w:rFonts w:ascii="Arial" w:hAnsi="Arial"/>
              </w:rPr>
              <w:t>.</w:t>
            </w:r>
          </w:p>
        </w:tc>
      </w:tr>
      <w:tr w:rsidR="007B21DA" w:rsidRPr="007B21DA" w14:paraId="1BD743C8" w14:textId="77777777" w:rsidTr="002A0DB0">
        <w:tc>
          <w:tcPr>
            <w:tcW w:w="1843" w:type="dxa"/>
          </w:tcPr>
          <w:p w14:paraId="374CCAB0" w14:textId="33FE5EC6" w:rsidR="007B21DA" w:rsidRPr="007B21DA" w:rsidRDefault="007B21DA" w:rsidP="007B21DA">
            <w:pPr>
              <w:pStyle w:val="Sansinterligne"/>
              <w:spacing w:after="240"/>
              <w:jc w:val="right"/>
              <w:rPr>
                <w:rFonts w:asciiTheme="minorBidi" w:hAnsiTheme="minorBidi"/>
                <w:lang w:val="en-US"/>
              </w:rPr>
            </w:pPr>
            <w:r w:rsidRPr="002A0DB0">
              <w:rPr>
                <w:rFonts w:ascii="Arial" w:hAnsi="Arial"/>
              </w:rPr>
              <w:t>6.3</w:t>
            </w:r>
          </w:p>
        </w:tc>
        <w:tc>
          <w:tcPr>
            <w:tcW w:w="8215" w:type="dxa"/>
          </w:tcPr>
          <w:p w14:paraId="1808920A" w14:textId="6F81D6F4" w:rsidR="007B21DA" w:rsidRPr="002A0DB0" w:rsidRDefault="007B21DA" w:rsidP="007B21DA">
            <w:pPr>
              <w:pStyle w:val="Sansinterligne"/>
              <w:spacing w:after="240"/>
              <w:rPr>
                <w:rFonts w:asciiTheme="minorBidi" w:hAnsiTheme="minorBidi"/>
              </w:rPr>
            </w:pPr>
            <w:r>
              <w:rPr>
                <w:rFonts w:ascii="Arial" w:hAnsi="Arial"/>
              </w:rPr>
              <w:t>Les dépenses sont engagées dans la limite des fonds disponibles.</w:t>
            </w:r>
          </w:p>
        </w:tc>
      </w:tr>
      <w:tr w:rsidR="007B21DA" w:rsidRPr="007B21DA" w14:paraId="5CBB2F31" w14:textId="77777777" w:rsidTr="002A0DB0">
        <w:tc>
          <w:tcPr>
            <w:tcW w:w="1843" w:type="dxa"/>
          </w:tcPr>
          <w:p w14:paraId="2C500156" w14:textId="632042B4" w:rsidR="007B21DA" w:rsidRPr="007B21DA" w:rsidRDefault="007B21DA" w:rsidP="007B21DA">
            <w:pPr>
              <w:pStyle w:val="Sansinterligne"/>
              <w:spacing w:before="240" w:after="240"/>
              <w:jc w:val="right"/>
              <w:rPr>
                <w:rFonts w:asciiTheme="minorBidi" w:hAnsiTheme="minorBidi"/>
                <w:b/>
                <w:lang w:val="en-US"/>
              </w:rPr>
            </w:pPr>
            <w:r w:rsidRPr="007B21DA">
              <w:rPr>
                <w:rFonts w:ascii="Arial" w:hAnsi="Arial"/>
                <w:b/>
              </w:rPr>
              <w:t>Article </w:t>
            </w:r>
            <w:r w:rsidRPr="002A0DB0">
              <w:rPr>
                <w:rFonts w:ascii="Arial" w:hAnsi="Arial"/>
                <w:b/>
              </w:rPr>
              <w:t>7</w:t>
            </w:r>
          </w:p>
        </w:tc>
        <w:tc>
          <w:tcPr>
            <w:tcW w:w="8215" w:type="dxa"/>
          </w:tcPr>
          <w:p w14:paraId="14500421" w14:textId="1DBDE47E" w:rsidR="007B21DA" w:rsidRPr="007B21DA" w:rsidRDefault="007B21DA" w:rsidP="007B21DA">
            <w:pPr>
              <w:pStyle w:val="Sansinterligne"/>
              <w:spacing w:before="240" w:after="240"/>
              <w:rPr>
                <w:rFonts w:asciiTheme="minorBidi" w:hAnsiTheme="minorBidi"/>
                <w:b/>
                <w:lang w:val="en-US"/>
              </w:rPr>
            </w:pPr>
            <w:r>
              <w:rPr>
                <w:rFonts w:ascii="Arial" w:hAnsi="Arial"/>
                <w:b/>
              </w:rPr>
              <w:t>Fonds de réserve</w:t>
            </w:r>
          </w:p>
        </w:tc>
      </w:tr>
      <w:tr w:rsidR="007B21DA" w:rsidRPr="007B21DA" w14:paraId="1F418DBB" w14:textId="77777777" w:rsidTr="002A0DB0">
        <w:tc>
          <w:tcPr>
            <w:tcW w:w="1843" w:type="dxa"/>
          </w:tcPr>
          <w:p w14:paraId="140E5667" w14:textId="77777777" w:rsidR="007B21DA" w:rsidRPr="00825A9A" w:rsidRDefault="007B21DA" w:rsidP="007B21DA">
            <w:pPr>
              <w:pStyle w:val="Sansinterligne"/>
              <w:spacing w:after="240"/>
              <w:jc w:val="right"/>
              <w:rPr>
                <w:rFonts w:asciiTheme="minorBidi" w:hAnsiTheme="minorBidi"/>
                <w:bCs/>
                <w:lang w:val="en-US"/>
              </w:rPr>
            </w:pPr>
          </w:p>
        </w:tc>
        <w:tc>
          <w:tcPr>
            <w:tcW w:w="8215" w:type="dxa"/>
          </w:tcPr>
          <w:p w14:paraId="05155A9B" w14:textId="7FF314AE" w:rsidR="007B21DA" w:rsidRPr="002A0DB0" w:rsidRDefault="007B21DA" w:rsidP="007B21DA">
            <w:pPr>
              <w:pStyle w:val="Sansinterligne"/>
              <w:spacing w:after="240"/>
              <w:rPr>
                <w:rFonts w:asciiTheme="minorBidi" w:hAnsiTheme="minorBidi"/>
                <w:b/>
              </w:rPr>
            </w:pPr>
            <w:r w:rsidRPr="007B21DA">
              <w:rPr>
                <w:rFonts w:ascii="Arial" w:hAnsi="Arial"/>
              </w:rPr>
              <w:t>Il sera créé dans le cadre du Compte spécial un fonds de réserve pour répondre aux demandes d’assistance dans les cas d’extrême urgence tels que prévus aux articles 17.3 et 22.2 de la Convention. Le montant de cette réserve sera déterminé par le Comité.</w:t>
            </w:r>
          </w:p>
        </w:tc>
      </w:tr>
      <w:tr w:rsidR="007B21DA" w:rsidRPr="007B21DA" w14:paraId="3B1DE1A9" w14:textId="77777777" w:rsidTr="002A0DB0">
        <w:tc>
          <w:tcPr>
            <w:tcW w:w="1843" w:type="dxa"/>
          </w:tcPr>
          <w:p w14:paraId="30E6F2DC" w14:textId="2B6D5B03" w:rsidR="007B21DA" w:rsidRPr="002A0DB0" w:rsidRDefault="007B21DA" w:rsidP="002A0DB0">
            <w:pPr>
              <w:pStyle w:val="Sansinterligne"/>
              <w:keepNext/>
              <w:spacing w:before="240" w:after="240"/>
              <w:jc w:val="right"/>
              <w:rPr>
                <w:rFonts w:asciiTheme="minorBidi" w:hAnsiTheme="minorBidi"/>
                <w:b/>
                <w:bCs/>
                <w:lang w:val="en-US"/>
              </w:rPr>
            </w:pPr>
            <w:r w:rsidRPr="007B21DA">
              <w:rPr>
                <w:rFonts w:ascii="Arial" w:hAnsi="Arial"/>
                <w:b/>
                <w:bCs/>
              </w:rPr>
              <w:t>Article </w:t>
            </w:r>
            <w:r w:rsidRPr="002A0DB0">
              <w:rPr>
                <w:rFonts w:ascii="Arial" w:hAnsi="Arial"/>
                <w:b/>
                <w:bCs/>
              </w:rPr>
              <w:t>8</w:t>
            </w:r>
          </w:p>
        </w:tc>
        <w:tc>
          <w:tcPr>
            <w:tcW w:w="8215" w:type="dxa"/>
          </w:tcPr>
          <w:p w14:paraId="26FFB70B" w14:textId="59E80956" w:rsidR="007B21DA" w:rsidRPr="002A0DB0" w:rsidRDefault="007B21DA" w:rsidP="002A0DB0">
            <w:pPr>
              <w:pStyle w:val="Sansinterligne"/>
              <w:keepNext/>
              <w:spacing w:before="240" w:after="240"/>
              <w:rPr>
                <w:rFonts w:asciiTheme="minorBidi" w:hAnsiTheme="minorBidi"/>
                <w:b/>
                <w:bCs/>
                <w:lang w:val="en-US"/>
              </w:rPr>
            </w:pPr>
            <w:r>
              <w:rPr>
                <w:rFonts w:ascii="Arial" w:hAnsi="Arial"/>
                <w:b/>
                <w:bCs/>
              </w:rPr>
              <w:t>Comptabilité</w:t>
            </w:r>
          </w:p>
        </w:tc>
      </w:tr>
      <w:tr w:rsidR="007B21DA" w:rsidRPr="007B21DA" w14:paraId="5BF30DA6" w14:textId="77777777" w:rsidTr="002A0DB0">
        <w:tc>
          <w:tcPr>
            <w:tcW w:w="1843" w:type="dxa"/>
          </w:tcPr>
          <w:p w14:paraId="0466E0DF" w14:textId="4AD312D9" w:rsidR="007B21DA" w:rsidRPr="007B21DA" w:rsidRDefault="007B21DA" w:rsidP="007B21DA">
            <w:pPr>
              <w:pStyle w:val="Sansinterligne"/>
              <w:spacing w:after="240"/>
              <w:jc w:val="right"/>
              <w:rPr>
                <w:rFonts w:asciiTheme="minorBidi" w:hAnsiTheme="minorBidi"/>
                <w:lang w:val="en-US"/>
              </w:rPr>
            </w:pPr>
            <w:r w:rsidRPr="002A0DB0">
              <w:rPr>
                <w:rFonts w:ascii="Arial" w:hAnsi="Arial"/>
              </w:rPr>
              <w:t>8.1</w:t>
            </w:r>
          </w:p>
        </w:tc>
        <w:tc>
          <w:tcPr>
            <w:tcW w:w="8215" w:type="dxa"/>
          </w:tcPr>
          <w:p w14:paraId="79CD81A2" w14:textId="68003EF1" w:rsidR="007B21DA" w:rsidRPr="002A0DB0" w:rsidRDefault="007B21DA" w:rsidP="007B21DA">
            <w:pPr>
              <w:pStyle w:val="Sansinterligne"/>
              <w:spacing w:after="240"/>
              <w:rPr>
                <w:rFonts w:asciiTheme="minorBidi" w:hAnsiTheme="minorBidi"/>
              </w:rPr>
            </w:pPr>
            <w:r w:rsidRPr="002A0DB0">
              <w:rPr>
                <w:rFonts w:ascii="Arial" w:hAnsi="Arial"/>
              </w:rPr>
              <w:t>Des comptes subsidiaires peuvent être établis par l’Assemblée générale et le Comité.</w:t>
            </w:r>
          </w:p>
        </w:tc>
      </w:tr>
      <w:tr w:rsidR="007B21DA" w:rsidRPr="007B21DA" w14:paraId="1B803340" w14:textId="77777777" w:rsidTr="002A0DB0">
        <w:tc>
          <w:tcPr>
            <w:tcW w:w="1843" w:type="dxa"/>
          </w:tcPr>
          <w:p w14:paraId="165F856E" w14:textId="169E5EE6" w:rsidR="007B21DA" w:rsidRPr="007B21DA" w:rsidRDefault="007B21DA" w:rsidP="007B21DA">
            <w:pPr>
              <w:pStyle w:val="Sansinterligne"/>
              <w:spacing w:after="240"/>
              <w:jc w:val="right"/>
              <w:rPr>
                <w:rFonts w:asciiTheme="minorBidi" w:hAnsiTheme="minorBidi"/>
                <w:lang w:val="en-US"/>
              </w:rPr>
            </w:pPr>
            <w:r w:rsidRPr="002A0DB0">
              <w:rPr>
                <w:rFonts w:ascii="Arial" w:hAnsi="Arial"/>
              </w:rPr>
              <w:lastRenderedPageBreak/>
              <w:t>8.2</w:t>
            </w:r>
          </w:p>
        </w:tc>
        <w:tc>
          <w:tcPr>
            <w:tcW w:w="8215" w:type="dxa"/>
          </w:tcPr>
          <w:p w14:paraId="698E848E" w14:textId="129AE948" w:rsidR="007B21DA" w:rsidRPr="002A0DB0" w:rsidRDefault="007B21DA" w:rsidP="007B21DA">
            <w:pPr>
              <w:pStyle w:val="Sansinterligne"/>
              <w:spacing w:after="240"/>
              <w:rPr>
                <w:rFonts w:asciiTheme="minorBidi" w:hAnsiTheme="minorBidi"/>
              </w:rPr>
            </w:pPr>
            <w:r w:rsidRPr="007B21DA">
              <w:rPr>
                <w:rFonts w:ascii="Arial" w:hAnsi="Arial"/>
              </w:rPr>
              <w:t>Le</w:t>
            </w:r>
            <w:r w:rsidR="00907D65">
              <w:rPr>
                <w:rFonts w:ascii="Arial" w:hAnsi="Arial"/>
              </w:rPr>
              <w:t>/la</w:t>
            </w:r>
            <w:r w:rsidRPr="007B21DA">
              <w:rPr>
                <w:rFonts w:ascii="Arial" w:hAnsi="Arial"/>
              </w:rPr>
              <w:t xml:space="preserve"> </w:t>
            </w:r>
            <w:r w:rsidRPr="002A0DB0">
              <w:rPr>
                <w:rFonts w:ascii="Arial" w:hAnsi="Arial"/>
              </w:rPr>
              <w:t>Directeur</w:t>
            </w:r>
            <w:r w:rsidR="00907D65">
              <w:rPr>
                <w:rFonts w:ascii="Arial" w:hAnsi="Arial"/>
              </w:rPr>
              <w:t>/Directrice</w:t>
            </w:r>
            <w:r w:rsidRPr="002A0DB0">
              <w:rPr>
                <w:rFonts w:ascii="Arial" w:hAnsi="Arial"/>
              </w:rPr>
              <w:t xml:space="preserve"> financier</w:t>
            </w:r>
            <w:r w:rsidR="00907D65">
              <w:rPr>
                <w:rFonts w:ascii="Arial" w:hAnsi="Arial"/>
              </w:rPr>
              <w:t>/-ère</w:t>
            </w:r>
            <w:r w:rsidRPr="002A0DB0">
              <w:rPr>
                <w:rFonts w:ascii="Arial" w:hAnsi="Arial"/>
              </w:rPr>
              <w:t xml:space="preserve"> de l’UNESCO</w:t>
            </w:r>
            <w:r w:rsidRPr="007B21DA">
              <w:rPr>
                <w:rFonts w:ascii="Arial" w:hAnsi="Arial"/>
              </w:rPr>
              <w:t xml:space="preserve"> fait tenir la comptabilité nécessaire.</w:t>
            </w:r>
          </w:p>
        </w:tc>
      </w:tr>
      <w:tr w:rsidR="007B21DA" w:rsidRPr="007B21DA" w14:paraId="55E67F6E" w14:textId="77777777" w:rsidTr="002A0DB0">
        <w:tc>
          <w:tcPr>
            <w:tcW w:w="1843" w:type="dxa"/>
          </w:tcPr>
          <w:p w14:paraId="203AD4CD" w14:textId="54435FC4" w:rsidR="007B21DA" w:rsidRPr="007B21DA" w:rsidRDefault="007B21DA" w:rsidP="007B21DA">
            <w:pPr>
              <w:pStyle w:val="Sansinterligne"/>
              <w:spacing w:after="240"/>
              <w:jc w:val="right"/>
              <w:rPr>
                <w:rFonts w:asciiTheme="minorBidi" w:hAnsiTheme="minorBidi"/>
                <w:lang w:val="en-US"/>
              </w:rPr>
            </w:pPr>
            <w:r w:rsidRPr="002A0DB0">
              <w:rPr>
                <w:rFonts w:ascii="Arial" w:hAnsi="Arial"/>
              </w:rPr>
              <w:t>8.3</w:t>
            </w:r>
          </w:p>
        </w:tc>
        <w:tc>
          <w:tcPr>
            <w:tcW w:w="8215" w:type="dxa"/>
          </w:tcPr>
          <w:p w14:paraId="0C0278F1" w14:textId="6811E939" w:rsidR="007B21DA" w:rsidRPr="002A0DB0" w:rsidRDefault="007B21DA" w:rsidP="007B21DA">
            <w:pPr>
              <w:pStyle w:val="Sansinterligne"/>
              <w:spacing w:after="240"/>
              <w:rPr>
                <w:rFonts w:asciiTheme="minorBidi" w:hAnsiTheme="minorBidi"/>
                <w:b/>
                <w:bCs/>
              </w:rPr>
            </w:pPr>
            <w:r>
              <w:rPr>
                <w:rFonts w:ascii="Arial" w:hAnsi="Arial"/>
              </w:rPr>
              <w:t>Tout solde inutilisé en fin d’exercice est reporté à l’exercice suivant.</w:t>
            </w:r>
          </w:p>
        </w:tc>
      </w:tr>
      <w:tr w:rsidR="007B21DA" w:rsidRPr="007B21DA" w14:paraId="44A16D5D" w14:textId="77777777" w:rsidTr="002A0DB0">
        <w:tc>
          <w:tcPr>
            <w:tcW w:w="1843" w:type="dxa"/>
          </w:tcPr>
          <w:p w14:paraId="06B37C8D" w14:textId="08DAAD87" w:rsidR="007B21DA" w:rsidRPr="007B21DA" w:rsidRDefault="007B21DA" w:rsidP="007B21DA">
            <w:pPr>
              <w:pStyle w:val="Sansinterligne"/>
              <w:spacing w:after="240"/>
              <w:jc w:val="right"/>
              <w:rPr>
                <w:rFonts w:asciiTheme="minorBidi" w:hAnsiTheme="minorBidi"/>
                <w:lang w:val="en-US"/>
              </w:rPr>
            </w:pPr>
            <w:r w:rsidRPr="002A0DB0">
              <w:rPr>
                <w:rFonts w:ascii="Arial" w:hAnsi="Arial"/>
              </w:rPr>
              <w:t>8.4</w:t>
            </w:r>
          </w:p>
        </w:tc>
        <w:tc>
          <w:tcPr>
            <w:tcW w:w="8215" w:type="dxa"/>
          </w:tcPr>
          <w:p w14:paraId="2EBDDBAE" w14:textId="51E8FB8C" w:rsidR="007B21DA" w:rsidRPr="002A0DB0" w:rsidRDefault="007B21DA" w:rsidP="007B21DA">
            <w:pPr>
              <w:pStyle w:val="Sansinterligne"/>
              <w:spacing w:after="240"/>
              <w:rPr>
                <w:rFonts w:asciiTheme="minorBidi" w:hAnsiTheme="minorBidi"/>
              </w:rPr>
            </w:pPr>
            <w:r w:rsidRPr="007B21DA">
              <w:rPr>
                <w:rFonts w:ascii="Arial" w:hAnsi="Arial"/>
              </w:rPr>
              <w:t xml:space="preserve">Les comptes du Compte spécial </w:t>
            </w:r>
            <w:r w:rsidRPr="002A0DB0">
              <w:rPr>
                <w:rFonts w:ascii="Arial" w:hAnsi="Arial"/>
              </w:rPr>
              <w:t>font partie des états financiers consolidés présentés pour vérification au Commissaire aux comptes de l’UNESCO</w:t>
            </w:r>
            <w:r>
              <w:rPr>
                <w:rFonts w:ascii="Arial" w:hAnsi="Arial"/>
              </w:rPr>
              <w:t>.</w:t>
            </w:r>
          </w:p>
        </w:tc>
      </w:tr>
      <w:tr w:rsidR="007B21DA" w:rsidRPr="007B21DA" w14:paraId="2A886830" w14:textId="77777777" w:rsidTr="002A0DB0">
        <w:tc>
          <w:tcPr>
            <w:tcW w:w="1843" w:type="dxa"/>
          </w:tcPr>
          <w:p w14:paraId="7FED69BD" w14:textId="6868C13F" w:rsidR="007B21DA" w:rsidRPr="007B21DA" w:rsidRDefault="007B21DA" w:rsidP="007B21DA">
            <w:pPr>
              <w:pStyle w:val="Sansinterligne"/>
              <w:spacing w:after="240"/>
              <w:jc w:val="right"/>
              <w:rPr>
                <w:rFonts w:asciiTheme="minorBidi" w:hAnsiTheme="minorBidi"/>
                <w:lang w:val="en-US"/>
              </w:rPr>
            </w:pPr>
            <w:r w:rsidRPr="002A0DB0">
              <w:rPr>
                <w:rFonts w:ascii="Arial" w:hAnsi="Arial"/>
              </w:rPr>
              <w:t>8.5</w:t>
            </w:r>
          </w:p>
        </w:tc>
        <w:tc>
          <w:tcPr>
            <w:tcW w:w="8215" w:type="dxa"/>
          </w:tcPr>
          <w:p w14:paraId="51FE7983" w14:textId="40FDDDEC" w:rsidR="007B21DA" w:rsidRPr="002A0DB0" w:rsidRDefault="007B21DA" w:rsidP="007B21DA">
            <w:pPr>
              <w:pStyle w:val="Sansinterligne"/>
              <w:spacing w:after="240"/>
              <w:rPr>
                <w:rFonts w:asciiTheme="minorBidi" w:hAnsiTheme="minorBidi"/>
              </w:rPr>
            </w:pPr>
            <w:r w:rsidRPr="007B21DA">
              <w:rPr>
                <w:rFonts w:ascii="Arial" w:hAnsi="Arial"/>
              </w:rPr>
              <w:t>Les contributions en nature sont comptabilisées en dehors du Compte spécial.</w:t>
            </w:r>
          </w:p>
        </w:tc>
      </w:tr>
      <w:tr w:rsidR="007B21DA" w:rsidRPr="007B21DA" w14:paraId="5CBAD1FF" w14:textId="77777777" w:rsidTr="002A0DB0">
        <w:tc>
          <w:tcPr>
            <w:tcW w:w="1843" w:type="dxa"/>
          </w:tcPr>
          <w:p w14:paraId="7A97CFE9" w14:textId="07C02716" w:rsidR="007B21DA" w:rsidRPr="002A0DB0" w:rsidRDefault="007B21DA" w:rsidP="002A0DB0">
            <w:pPr>
              <w:pStyle w:val="Sansinterligne"/>
              <w:spacing w:before="240" w:after="240"/>
              <w:jc w:val="right"/>
              <w:rPr>
                <w:rFonts w:ascii="Arial" w:hAnsi="Arial"/>
                <w:b/>
                <w:bCs/>
              </w:rPr>
            </w:pPr>
            <w:r>
              <w:rPr>
                <w:rFonts w:ascii="Arial" w:hAnsi="Arial"/>
                <w:b/>
                <w:bCs/>
              </w:rPr>
              <w:t>Article 9</w:t>
            </w:r>
          </w:p>
        </w:tc>
        <w:tc>
          <w:tcPr>
            <w:tcW w:w="8215" w:type="dxa"/>
          </w:tcPr>
          <w:p w14:paraId="2D101322" w14:textId="12B06E3F" w:rsidR="007B21DA" w:rsidRPr="002A0DB0" w:rsidRDefault="007B21DA" w:rsidP="002A0DB0">
            <w:pPr>
              <w:pStyle w:val="Sansinterligne"/>
              <w:spacing w:before="240" w:after="240"/>
              <w:rPr>
                <w:rFonts w:ascii="Arial" w:hAnsi="Arial"/>
                <w:b/>
                <w:bCs/>
              </w:rPr>
            </w:pPr>
            <w:r>
              <w:rPr>
                <w:rFonts w:ascii="Arial" w:hAnsi="Arial"/>
                <w:b/>
                <w:bCs/>
              </w:rPr>
              <w:t>Placements</w:t>
            </w:r>
          </w:p>
        </w:tc>
      </w:tr>
      <w:tr w:rsidR="007B21DA" w:rsidRPr="007B21DA" w14:paraId="3246AE18" w14:textId="77777777" w:rsidTr="002A0DB0">
        <w:tc>
          <w:tcPr>
            <w:tcW w:w="1843" w:type="dxa"/>
          </w:tcPr>
          <w:p w14:paraId="06170AE4" w14:textId="5AE71F09" w:rsidR="007B21DA" w:rsidRPr="007B21DA" w:rsidRDefault="007B21DA" w:rsidP="007B21DA">
            <w:pPr>
              <w:pStyle w:val="Sansinterligne"/>
              <w:spacing w:after="240"/>
              <w:jc w:val="right"/>
              <w:rPr>
                <w:rFonts w:asciiTheme="minorBidi" w:hAnsiTheme="minorBidi"/>
                <w:lang w:val="en-US" w:eastAsia="en-GB"/>
              </w:rPr>
            </w:pPr>
            <w:r w:rsidRPr="002A0DB0">
              <w:rPr>
                <w:rFonts w:ascii="Arial" w:hAnsi="Arial"/>
              </w:rPr>
              <w:t>9.1</w:t>
            </w:r>
          </w:p>
        </w:tc>
        <w:tc>
          <w:tcPr>
            <w:tcW w:w="8215" w:type="dxa"/>
          </w:tcPr>
          <w:p w14:paraId="3D098BD8" w14:textId="54A7D33D" w:rsidR="007B21DA" w:rsidRPr="002A0DB0" w:rsidRDefault="00907D65" w:rsidP="007B21DA">
            <w:pPr>
              <w:pStyle w:val="Sansinterligne"/>
              <w:spacing w:after="240"/>
              <w:rPr>
                <w:rFonts w:asciiTheme="minorBidi" w:hAnsiTheme="minorBidi"/>
                <w:spacing w:val="-3"/>
                <w:lang w:eastAsia="en-GB"/>
              </w:rPr>
            </w:pPr>
            <w:r w:rsidRPr="00205C4A">
              <w:rPr>
                <w:rFonts w:ascii="Arial" w:hAnsi="Arial"/>
              </w:rPr>
              <w:t>Le/la Directeur/Directrice général(e)</w:t>
            </w:r>
            <w:r>
              <w:rPr>
                <w:rFonts w:ascii="Arial" w:hAnsi="Arial"/>
              </w:rPr>
              <w:t xml:space="preserve"> est autorisé(e)</w:t>
            </w:r>
            <w:r w:rsidR="007B21DA" w:rsidRPr="007B21DA">
              <w:rPr>
                <w:rFonts w:ascii="Arial" w:hAnsi="Arial"/>
              </w:rPr>
              <w:t xml:space="preserve"> à placer à court terme </w:t>
            </w:r>
            <w:r w:rsidR="007B21DA" w:rsidRPr="002A0DB0">
              <w:rPr>
                <w:rFonts w:ascii="Arial" w:hAnsi="Arial"/>
              </w:rPr>
              <w:t>ou à long terme</w:t>
            </w:r>
            <w:r w:rsidR="007B21DA" w:rsidRPr="007B21DA">
              <w:rPr>
                <w:rFonts w:ascii="Arial" w:hAnsi="Arial"/>
              </w:rPr>
              <w:t xml:space="preserve"> les sommes figurant au crédit du Compte spécial.</w:t>
            </w:r>
          </w:p>
        </w:tc>
      </w:tr>
      <w:tr w:rsidR="007B21DA" w:rsidRPr="0092190F" w14:paraId="4536FF34" w14:textId="77777777" w:rsidTr="002A0DB0">
        <w:tc>
          <w:tcPr>
            <w:tcW w:w="1843" w:type="dxa"/>
          </w:tcPr>
          <w:p w14:paraId="5C919347" w14:textId="2E871446" w:rsidR="007B21DA" w:rsidRPr="002A0DB0" w:rsidRDefault="007B21DA" w:rsidP="002A0DB0">
            <w:pPr>
              <w:pStyle w:val="Sansinterligne"/>
              <w:spacing w:after="240"/>
              <w:jc w:val="right"/>
              <w:rPr>
                <w:rFonts w:asciiTheme="minorBidi" w:hAnsiTheme="minorBidi"/>
                <w:lang w:val="en-US" w:eastAsia="en-GB"/>
              </w:rPr>
            </w:pPr>
            <w:r w:rsidRPr="002A0DB0">
              <w:rPr>
                <w:rFonts w:ascii="Arial" w:hAnsi="Arial"/>
              </w:rPr>
              <w:t>9.2</w:t>
            </w:r>
          </w:p>
        </w:tc>
        <w:tc>
          <w:tcPr>
            <w:tcW w:w="8215" w:type="dxa"/>
          </w:tcPr>
          <w:p w14:paraId="57CBEC59" w14:textId="11CE0843" w:rsidR="007B21DA" w:rsidRPr="002A0DB0" w:rsidRDefault="007B21DA" w:rsidP="002A0DB0">
            <w:pPr>
              <w:pStyle w:val="Sansinterligne"/>
              <w:spacing w:after="240"/>
              <w:rPr>
                <w:rFonts w:asciiTheme="minorBidi" w:hAnsiTheme="minorBidi"/>
                <w:spacing w:val="-3"/>
                <w:lang w:eastAsia="en-GB"/>
              </w:rPr>
            </w:pPr>
            <w:r w:rsidRPr="002A0DB0">
              <w:rPr>
                <w:rFonts w:ascii="Arial" w:hAnsi="Arial"/>
              </w:rPr>
              <w:t>Les recettes provenant de</w:t>
            </w:r>
            <w:r w:rsidRPr="0092190F">
              <w:rPr>
                <w:rFonts w:ascii="Arial" w:hAnsi="Arial"/>
              </w:rPr>
              <w:t xml:space="preserve"> ces placements sont portées au crédit du Compte spécial </w:t>
            </w:r>
            <w:r w:rsidRPr="002A0DB0">
              <w:rPr>
                <w:rFonts w:ascii="Arial" w:hAnsi="Arial"/>
              </w:rPr>
              <w:t>conformément au Règlement d’administration financière de l’UNESCO.</w:t>
            </w:r>
          </w:p>
        </w:tc>
      </w:tr>
      <w:tr w:rsidR="007B21DA" w:rsidRPr="0092190F" w14:paraId="16BDCBF7" w14:textId="77777777" w:rsidTr="002A0DB0">
        <w:tc>
          <w:tcPr>
            <w:tcW w:w="1843" w:type="dxa"/>
          </w:tcPr>
          <w:p w14:paraId="69E944CE" w14:textId="5CDEE424" w:rsidR="007B21DA" w:rsidRPr="002A0DB0" w:rsidRDefault="007B21DA" w:rsidP="002A0DB0">
            <w:pPr>
              <w:pStyle w:val="Sansinterligne"/>
              <w:spacing w:before="240" w:after="240"/>
              <w:jc w:val="right"/>
              <w:rPr>
                <w:rFonts w:asciiTheme="minorBidi" w:hAnsiTheme="minorBidi"/>
                <w:b/>
                <w:bCs/>
                <w:lang w:val="en-US" w:eastAsia="en-GB"/>
              </w:rPr>
            </w:pPr>
            <w:r w:rsidRPr="002A0DB0">
              <w:rPr>
                <w:rFonts w:ascii="Arial" w:hAnsi="Arial"/>
                <w:b/>
                <w:bCs/>
              </w:rPr>
              <w:t>Article 10</w:t>
            </w:r>
          </w:p>
        </w:tc>
        <w:tc>
          <w:tcPr>
            <w:tcW w:w="8215" w:type="dxa"/>
          </w:tcPr>
          <w:p w14:paraId="350187A6" w14:textId="4305EB2A" w:rsidR="007B21DA" w:rsidRPr="0092190F" w:rsidRDefault="007B21DA" w:rsidP="002A0DB0">
            <w:pPr>
              <w:pStyle w:val="Sansinterligne"/>
              <w:spacing w:before="240" w:after="240"/>
              <w:rPr>
                <w:rFonts w:asciiTheme="minorBidi" w:hAnsiTheme="minorBidi"/>
                <w:spacing w:val="-3"/>
                <w:lang w:val="en-US" w:eastAsia="en-GB"/>
              </w:rPr>
            </w:pPr>
            <w:r w:rsidRPr="002A0DB0">
              <w:rPr>
                <w:rFonts w:ascii="Arial" w:hAnsi="Arial"/>
                <w:b/>
              </w:rPr>
              <w:t>Rapports</w:t>
            </w:r>
          </w:p>
        </w:tc>
      </w:tr>
      <w:tr w:rsidR="007B21DA" w:rsidRPr="0092190F" w14:paraId="6F867FC6" w14:textId="77777777" w:rsidTr="002A0DB0">
        <w:tc>
          <w:tcPr>
            <w:tcW w:w="1843" w:type="dxa"/>
          </w:tcPr>
          <w:p w14:paraId="0A468259" w14:textId="1C179FB6" w:rsidR="007B21DA" w:rsidRPr="002A0DB0" w:rsidRDefault="007B21DA" w:rsidP="007B21DA">
            <w:pPr>
              <w:pStyle w:val="Sansinterligne"/>
              <w:spacing w:after="240"/>
              <w:jc w:val="right"/>
              <w:rPr>
                <w:rFonts w:asciiTheme="minorBidi" w:hAnsiTheme="minorBidi"/>
                <w:lang w:val="en-US" w:eastAsia="en-GB"/>
              </w:rPr>
            </w:pPr>
            <w:r w:rsidRPr="002A0DB0">
              <w:rPr>
                <w:rFonts w:ascii="Arial" w:hAnsi="Arial"/>
              </w:rPr>
              <w:t xml:space="preserve">10.1 </w:t>
            </w:r>
          </w:p>
        </w:tc>
        <w:tc>
          <w:tcPr>
            <w:tcW w:w="8215" w:type="dxa"/>
          </w:tcPr>
          <w:p w14:paraId="4E034BF9" w14:textId="18120580" w:rsidR="007B21DA" w:rsidRPr="002A0DB0" w:rsidRDefault="007B21DA" w:rsidP="007B21DA">
            <w:pPr>
              <w:suppressAutoHyphens/>
              <w:spacing w:after="120"/>
              <w:rPr>
                <w:rFonts w:asciiTheme="minorBidi" w:hAnsiTheme="minorBidi"/>
                <w:spacing w:val="-3"/>
                <w:lang w:eastAsia="en-GB"/>
              </w:rPr>
            </w:pPr>
            <w:r w:rsidRPr="002A0DB0">
              <w:rPr>
                <w:rFonts w:ascii="Arial" w:hAnsi="Arial"/>
                <w:sz w:val="22"/>
                <w:szCs w:val="22"/>
              </w:rPr>
              <w:t>Un rapport financier biennal montrant les recettes et les dépenses au titre du Compte spécial est établi et soumis au Comité et à l’Assemblée générale.</w:t>
            </w:r>
          </w:p>
        </w:tc>
      </w:tr>
      <w:tr w:rsidR="007B21DA" w:rsidRPr="0092190F" w14:paraId="3D2866A8" w14:textId="77777777" w:rsidTr="002A0DB0">
        <w:tc>
          <w:tcPr>
            <w:tcW w:w="1843" w:type="dxa"/>
          </w:tcPr>
          <w:p w14:paraId="15E0B37D" w14:textId="23FD84B6" w:rsidR="007B21DA" w:rsidRPr="002A0DB0" w:rsidRDefault="007B21DA" w:rsidP="007B21DA">
            <w:pPr>
              <w:pStyle w:val="Sansinterligne"/>
              <w:spacing w:before="240" w:after="240"/>
              <w:jc w:val="right"/>
              <w:rPr>
                <w:rFonts w:asciiTheme="minorBidi" w:hAnsiTheme="minorBidi"/>
                <w:lang w:val="en-US" w:eastAsia="en-GB"/>
              </w:rPr>
            </w:pPr>
            <w:r w:rsidRPr="002A0DB0">
              <w:rPr>
                <w:rFonts w:ascii="Arial" w:hAnsi="Arial"/>
              </w:rPr>
              <w:t>10.2</w:t>
            </w:r>
          </w:p>
        </w:tc>
        <w:tc>
          <w:tcPr>
            <w:tcW w:w="8215" w:type="dxa"/>
          </w:tcPr>
          <w:p w14:paraId="68526CE4" w14:textId="55A5F243" w:rsidR="007B21DA" w:rsidRPr="002A0DB0" w:rsidRDefault="007B21DA" w:rsidP="007B21DA">
            <w:pPr>
              <w:pStyle w:val="Sansinterligne"/>
              <w:spacing w:before="240" w:after="240"/>
              <w:rPr>
                <w:rFonts w:asciiTheme="minorBidi" w:hAnsiTheme="minorBidi"/>
                <w:spacing w:val="-3"/>
                <w:lang w:eastAsia="en-GB"/>
              </w:rPr>
            </w:pPr>
            <w:r w:rsidRPr="002A0DB0">
              <w:rPr>
                <w:rFonts w:ascii="Arial" w:hAnsi="Arial"/>
              </w:rPr>
              <w:t>Un rapport narratif biennal est soumis au Comité et à l’Assemblée générale.</w:t>
            </w:r>
          </w:p>
        </w:tc>
      </w:tr>
      <w:tr w:rsidR="007B21DA" w:rsidRPr="0092190F" w14:paraId="538FEDBE" w14:textId="77777777" w:rsidTr="002A0DB0">
        <w:tc>
          <w:tcPr>
            <w:tcW w:w="1843" w:type="dxa"/>
          </w:tcPr>
          <w:p w14:paraId="51F71039" w14:textId="29FAC355" w:rsidR="007B21DA" w:rsidRPr="002A0DB0" w:rsidRDefault="007B21DA" w:rsidP="002A0DB0">
            <w:pPr>
              <w:pStyle w:val="Sansinterligne"/>
              <w:spacing w:before="240" w:after="240"/>
              <w:jc w:val="right"/>
              <w:rPr>
                <w:rFonts w:asciiTheme="minorBidi" w:hAnsiTheme="minorBidi"/>
                <w:b/>
                <w:bCs/>
                <w:lang w:val="en-US" w:eastAsia="en-GB"/>
              </w:rPr>
            </w:pPr>
            <w:r w:rsidRPr="002A0DB0">
              <w:rPr>
                <w:rFonts w:ascii="Arial" w:hAnsi="Arial"/>
                <w:b/>
                <w:bCs/>
              </w:rPr>
              <w:t>Article 11</w:t>
            </w:r>
          </w:p>
        </w:tc>
        <w:tc>
          <w:tcPr>
            <w:tcW w:w="8215" w:type="dxa"/>
          </w:tcPr>
          <w:p w14:paraId="0E3648B5" w14:textId="0252158E" w:rsidR="007B21DA" w:rsidRPr="0092190F" w:rsidRDefault="007B21DA" w:rsidP="002A0DB0">
            <w:pPr>
              <w:pStyle w:val="Sansinterligne"/>
              <w:spacing w:before="240" w:after="240"/>
              <w:rPr>
                <w:rFonts w:asciiTheme="minorBidi" w:hAnsiTheme="minorBidi"/>
                <w:spacing w:val="-3"/>
                <w:lang w:val="en-US" w:eastAsia="en-GB"/>
              </w:rPr>
            </w:pPr>
            <w:r w:rsidRPr="002A0DB0">
              <w:rPr>
                <w:rFonts w:ascii="Arial" w:hAnsi="Arial"/>
                <w:b/>
                <w:bCs/>
              </w:rPr>
              <w:t>Clôture du Compte spécial</w:t>
            </w:r>
          </w:p>
        </w:tc>
      </w:tr>
      <w:tr w:rsidR="007B21DA" w:rsidRPr="0092190F" w14:paraId="783BD740" w14:textId="77777777" w:rsidTr="002A0DB0">
        <w:tc>
          <w:tcPr>
            <w:tcW w:w="1843" w:type="dxa"/>
          </w:tcPr>
          <w:p w14:paraId="53A06F62" w14:textId="17131535" w:rsidR="007B21DA" w:rsidRPr="002A0DB0" w:rsidRDefault="007B21DA" w:rsidP="007B21DA">
            <w:pPr>
              <w:pStyle w:val="Sansinterligne"/>
              <w:spacing w:after="240"/>
              <w:jc w:val="right"/>
              <w:rPr>
                <w:rFonts w:asciiTheme="minorBidi" w:hAnsiTheme="minorBidi"/>
                <w:lang w:val="en-US" w:eastAsia="en-GB"/>
              </w:rPr>
            </w:pPr>
            <w:r w:rsidRPr="002A0DB0">
              <w:rPr>
                <w:rFonts w:ascii="Arial" w:hAnsi="Arial"/>
              </w:rPr>
              <w:t xml:space="preserve">11.1 </w:t>
            </w:r>
          </w:p>
        </w:tc>
        <w:tc>
          <w:tcPr>
            <w:tcW w:w="8215" w:type="dxa"/>
          </w:tcPr>
          <w:p w14:paraId="4CDDE8E1" w14:textId="1DE4F7EE" w:rsidR="007B21DA" w:rsidRPr="002A0DB0" w:rsidRDefault="00D778B8" w:rsidP="007B21DA">
            <w:pPr>
              <w:pStyle w:val="Sansinterligne"/>
              <w:spacing w:after="240"/>
              <w:rPr>
                <w:rFonts w:asciiTheme="minorBidi" w:hAnsiTheme="minorBidi"/>
                <w:spacing w:val="-3"/>
                <w:lang w:eastAsia="en-GB"/>
              </w:rPr>
            </w:pPr>
            <w:r w:rsidRPr="00205C4A">
              <w:rPr>
                <w:rFonts w:ascii="Arial" w:hAnsi="Arial"/>
              </w:rPr>
              <w:t>Le/la Directeur/Directrice général(e)</w:t>
            </w:r>
            <w:r>
              <w:rPr>
                <w:rFonts w:ascii="Arial" w:hAnsi="Arial"/>
              </w:rPr>
              <w:t xml:space="preserve"> </w:t>
            </w:r>
            <w:r w:rsidR="007B21DA" w:rsidRPr="002A0DB0">
              <w:rPr>
                <w:rFonts w:ascii="Arial" w:hAnsi="Arial"/>
              </w:rPr>
              <w:t>consulte l’Assemblée générale lorsqu’il estime que le Compte spécial n’a plus de raison d’être. Cette consultation doit inclure une décision relative à l’emploi de tout solde inutilisé.</w:t>
            </w:r>
          </w:p>
        </w:tc>
      </w:tr>
      <w:tr w:rsidR="007B21DA" w:rsidRPr="0092190F" w14:paraId="50154513" w14:textId="77777777" w:rsidTr="002A0DB0">
        <w:tc>
          <w:tcPr>
            <w:tcW w:w="1843" w:type="dxa"/>
          </w:tcPr>
          <w:p w14:paraId="2ABDB873" w14:textId="7886DF99" w:rsidR="007B21DA" w:rsidRPr="002A0DB0" w:rsidRDefault="007B21DA" w:rsidP="007B21DA">
            <w:pPr>
              <w:pStyle w:val="Sansinterligne"/>
              <w:spacing w:before="240" w:after="240"/>
              <w:jc w:val="right"/>
              <w:rPr>
                <w:rFonts w:asciiTheme="minorBidi" w:hAnsiTheme="minorBidi"/>
                <w:lang w:val="en-US" w:eastAsia="en-GB"/>
              </w:rPr>
            </w:pPr>
            <w:r w:rsidRPr="002A0DB0">
              <w:rPr>
                <w:rFonts w:ascii="Arial" w:hAnsi="Arial"/>
              </w:rPr>
              <w:t xml:space="preserve">11.2 </w:t>
            </w:r>
          </w:p>
        </w:tc>
        <w:tc>
          <w:tcPr>
            <w:tcW w:w="8215" w:type="dxa"/>
          </w:tcPr>
          <w:p w14:paraId="4B59D38A" w14:textId="636C6F7D" w:rsidR="007B21DA" w:rsidRPr="002A0DB0" w:rsidRDefault="007B21DA" w:rsidP="007B21DA">
            <w:pPr>
              <w:pStyle w:val="Sansinterligne"/>
              <w:spacing w:before="240" w:after="240"/>
              <w:rPr>
                <w:rFonts w:asciiTheme="minorBidi" w:hAnsiTheme="minorBidi"/>
                <w:spacing w:val="-3"/>
                <w:lang w:eastAsia="en-GB"/>
              </w:rPr>
            </w:pPr>
            <w:r w:rsidRPr="002A0DB0">
              <w:rPr>
                <w:rFonts w:ascii="Arial" w:hAnsi="Arial"/>
              </w:rPr>
              <w:t>La décision de l’Assemblée générale est transmise au Conseil exécutif avant la clôture effective du Compte spécial.</w:t>
            </w:r>
          </w:p>
        </w:tc>
      </w:tr>
      <w:tr w:rsidR="007B21DA" w:rsidRPr="0092190F" w14:paraId="23751A48" w14:textId="77777777" w:rsidTr="002A0DB0">
        <w:tc>
          <w:tcPr>
            <w:tcW w:w="1843" w:type="dxa"/>
          </w:tcPr>
          <w:p w14:paraId="5B07D1FA" w14:textId="33E24A98" w:rsidR="007B21DA" w:rsidRPr="0092190F" w:rsidRDefault="007B21DA" w:rsidP="002A0DB0">
            <w:pPr>
              <w:pStyle w:val="Sansinterligne"/>
              <w:spacing w:before="240" w:after="240"/>
              <w:jc w:val="right"/>
              <w:rPr>
                <w:rFonts w:asciiTheme="minorBidi" w:hAnsiTheme="minorBidi"/>
                <w:b/>
                <w:bCs/>
                <w:u w:val="single"/>
                <w:lang w:val="en-US" w:eastAsia="en-GB"/>
              </w:rPr>
            </w:pPr>
            <w:r w:rsidRPr="0092190F">
              <w:rPr>
                <w:rFonts w:ascii="Arial" w:hAnsi="Arial"/>
                <w:b/>
                <w:bCs/>
              </w:rPr>
              <w:t>Article</w:t>
            </w:r>
            <w:r w:rsidR="0092190F" w:rsidRPr="0092190F">
              <w:rPr>
                <w:rFonts w:ascii="Arial" w:hAnsi="Arial"/>
                <w:b/>
                <w:bCs/>
              </w:rPr>
              <w:t xml:space="preserve"> </w:t>
            </w:r>
            <w:r w:rsidRPr="0092190F">
              <w:rPr>
                <w:rFonts w:ascii="Arial" w:hAnsi="Arial"/>
                <w:b/>
                <w:bCs/>
              </w:rPr>
              <w:t>12</w:t>
            </w:r>
          </w:p>
        </w:tc>
        <w:tc>
          <w:tcPr>
            <w:tcW w:w="8215" w:type="dxa"/>
          </w:tcPr>
          <w:p w14:paraId="560F491F" w14:textId="2D2C41BB" w:rsidR="007B21DA" w:rsidRPr="002A0DB0" w:rsidRDefault="0092190F" w:rsidP="002A0DB0">
            <w:pPr>
              <w:pStyle w:val="Sansinterligne"/>
              <w:spacing w:before="240" w:after="240"/>
              <w:rPr>
                <w:rFonts w:asciiTheme="minorBidi" w:hAnsiTheme="minorBidi"/>
                <w:b/>
                <w:bCs/>
                <w:spacing w:val="-3"/>
                <w:lang w:val="en-US" w:eastAsia="en-GB"/>
              </w:rPr>
            </w:pPr>
            <w:r>
              <w:rPr>
                <w:rFonts w:ascii="Arial" w:hAnsi="Arial"/>
                <w:b/>
                <w:bCs/>
              </w:rPr>
              <w:t>Disposition générale</w:t>
            </w:r>
          </w:p>
        </w:tc>
      </w:tr>
      <w:tr w:rsidR="007B21DA" w:rsidRPr="0092190F" w14:paraId="5C555C20" w14:textId="77777777" w:rsidTr="002A0DB0">
        <w:tc>
          <w:tcPr>
            <w:tcW w:w="1843" w:type="dxa"/>
          </w:tcPr>
          <w:p w14:paraId="5E7E04D6" w14:textId="116B7A0E" w:rsidR="007B21DA" w:rsidRPr="002A0DB0" w:rsidRDefault="007B21DA" w:rsidP="007B21DA">
            <w:pPr>
              <w:pStyle w:val="Sansinterligne"/>
              <w:spacing w:after="240"/>
              <w:jc w:val="right"/>
              <w:rPr>
                <w:rFonts w:asciiTheme="minorBidi" w:hAnsiTheme="minorBidi"/>
                <w:lang w:val="en-US" w:eastAsia="en-GB"/>
              </w:rPr>
            </w:pPr>
            <w:r w:rsidRPr="002A0DB0">
              <w:rPr>
                <w:rFonts w:ascii="Arial" w:hAnsi="Arial"/>
              </w:rPr>
              <w:t xml:space="preserve">12.1 </w:t>
            </w:r>
          </w:p>
        </w:tc>
        <w:tc>
          <w:tcPr>
            <w:tcW w:w="8215" w:type="dxa"/>
          </w:tcPr>
          <w:p w14:paraId="238C66ED" w14:textId="203E1E4B" w:rsidR="007B21DA" w:rsidRPr="002A0DB0" w:rsidRDefault="007B21DA" w:rsidP="007B21DA">
            <w:pPr>
              <w:pStyle w:val="Sansinterligne"/>
              <w:spacing w:after="240"/>
              <w:rPr>
                <w:rFonts w:asciiTheme="minorBidi" w:hAnsiTheme="minorBidi"/>
                <w:spacing w:val="-3"/>
                <w:lang w:eastAsia="en-GB"/>
              </w:rPr>
            </w:pPr>
            <w:r w:rsidRPr="002A0DB0">
              <w:rPr>
                <w:rFonts w:ascii="Arial" w:hAnsi="Arial"/>
              </w:rPr>
              <w:t>Tout amendement au présent Règlement financier est approuvé par l’Assemblée générale. Le Conseil exécutif est informé en conséquence des éventuels amendements.</w:t>
            </w:r>
          </w:p>
        </w:tc>
      </w:tr>
      <w:tr w:rsidR="0092190F" w:rsidRPr="0092190F" w14:paraId="16BE1BA5" w14:textId="77777777" w:rsidTr="002A0DB0">
        <w:tc>
          <w:tcPr>
            <w:tcW w:w="1843" w:type="dxa"/>
          </w:tcPr>
          <w:p w14:paraId="61A17252" w14:textId="618DABD4" w:rsidR="0092190F" w:rsidRPr="0092190F" w:rsidRDefault="0092190F" w:rsidP="007B21DA">
            <w:pPr>
              <w:pStyle w:val="Sansinterligne"/>
              <w:spacing w:after="240"/>
              <w:jc w:val="right"/>
              <w:rPr>
                <w:rFonts w:ascii="Arial" w:hAnsi="Arial"/>
              </w:rPr>
            </w:pPr>
            <w:r>
              <w:rPr>
                <w:rFonts w:ascii="Arial" w:hAnsi="Arial"/>
              </w:rPr>
              <w:t>12.2</w:t>
            </w:r>
          </w:p>
        </w:tc>
        <w:tc>
          <w:tcPr>
            <w:tcW w:w="8215" w:type="dxa"/>
          </w:tcPr>
          <w:p w14:paraId="09AB96A0" w14:textId="3A19ED9C" w:rsidR="0092190F" w:rsidRPr="0092190F" w:rsidRDefault="0092190F" w:rsidP="007B21DA">
            <w:pPr>
              <w:pStyle w:val="Sansinterligne"/>
              <w:spacing w:after="240"/>
              <w:rPr>
                <w:rFonts w:ascii="Arial" w:hAnsi="Arial"/>
              </w:rPr>
            </w:pPr>
            <w:r>
              <w:rPr>
                <w:rFonts w:ascii="Arial" w:hAnsi="Arial"/>
              </w:rPr>
              <w:t>Sauf dispositions contraires du présent Règlement, le Compte spécial est administré conformément aux dispositions du Règlement financier de l’UNESCO.</w:t>
            </w:r>
          </w:p>
        </w:tc>
      </w:tr>
    </w:tbl>
    <w:p w14:paraId="296F43D1" w14:textId="2A736A16" w:rsidR="008E7C91" w:rsidRPr="002A0DB0" w:rsidRDefault="008E7C91" w:rsidP="008E7C91">
      <w:pPr>
        <w:jc w:val="center"/>
        <w:rPr>
          <w:sz w:val="22"/>
          <w:szCs w:val="22"/>
          <w:u w:val="single"/>
        </w:rPr>
        <w:sectPr w:rsidR="008E7C91" w:rsidRPr="002A0DB0" w:rsidSect="00176720">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1134" w:left="1134" w:header="397" w:footer="284" w:gutter="0"/>
          <w:cols w:space="708"/>
          <w:titlePg/>
          <w:docGrid w:linePitch="360"/>
        </w:sectPr>
      </w:pPr>
    </w:p>
    <w:p w14:paraId="2C897D26" w14:textId="77777777" w:rsidR="00A432F7" w:rsidRPr="00A432F7" w:rsidRDefault="00A432F7" w:rsidP="00A432F7">
      <w:pPr>
        <w:pStyle w:val="Sansinterligne"/>
        <w:jc w:val="center"/>
        <w:rPr>
          <w:rFonts w:ascii="Arial" w:hAnsi="Arial" w:cs="Arial"/>
          <w:b/>
        </w:rPr>
      </w:pPr>
      <w:r>
        <w:rPr>
          <w:rFonts w:ascii="Arial" w:hAnsi="Arial"/>
          <w:b/>
        </w:rPr>
        <w:lastRenderedPageBreak/>
        <w:t>Annexe III</w:t>
      </w:r>
    </w:p>
    <w:p w14:paraId="3192D493" w14:textId="77777777" w:rsidR="00A432F7" w:rsidRPr="00043F97" w:rsidRDefault="00A432F7" w:rsidP="00A432F7">
      <w:pPr>
        <w:pStyle w:val="Sansinterligne"/>
        <w:jc w:val="center"/>
        <w:rPr>
          <w:rFonts w:ascii="Arial" w:hAnsi="Arial" w:cs="Arial"/>
          <w:b/>
        </w:rPr>
      </w:pPr>
    </w:p>
    <w:p w14:paraId="68F1E6F6" w14:textId="77777777" w:rsidR="00A432F7" w:rsidRPr="00A432F7" w:rsidRDefault="00A432F7" w:rsidP="00A432F7">
      <w:pPr>
        <w:pStyle w:val="Sansinterligne"/>
        <w:jc w:val="center"/>
        <w:rPr>
          <w:rFonts w:ascii="Arial" w:hAnsi="Arial" w:cs="Arial"/>
          <w:b/>
        </w:rPr>
      </w:pPr>
      <w:r>
        <w:rPr>
          <w:rFonts w:ascii="Arial" w:hAnsi="Arial"/>
          <w:b/>
        </w:rPr>
        <w:t>Révisions proposées du Règlement financier du Compte spécial pour</w:t>
      </w:r>
    </w:p>
    <w:p w14:paraId="23366A39" w14:textId="77777777" w:rsidR="00A432F7" w:rsidRPr="00A432F7" w:rsidRDefault="00A432F7" w:rsidP="00A432F7">
      <w:pPr>
        <w:pStyle w:val="Sansinterligne"/>
        <w:spacing w:after="240"/>
        <w:jc w:val="center"/>
        <w:rPr>
          <w:rFonts w:ascii="Arial" w:hAnsi="Arial" w:cs="Arial"/>
          <w:b/>
        </w:rPr>
      </w:pPr>
      <w:r>
        <w:rPr>
          <w:rFonts w:ascii="Arial" w:hAnsi="Arial"/>
          <w:b/>
        </w:rPr>
        <w:t xml:space="preserve"> le Fonds pour la sauvegarde du patrimoine culturel immatériel, conformément à la décision 200 EX/19</w:t>
      </w:r>
    </w:p>
    <w:tbl>
      <w:tblPr>
        <w:tblStyle w:val="Grilledutableau"/>
        <w:tblW w:w="14170" w:type="dxa"/>
        <w:tblLayout w:type="fixed"/>
        <w:tblLook w:val="04A0" w:firstRow="1" w:lastRow="0" w:firstColumn="1" w:lastColumn="0" w:noHBand="0" w:noVBand="1"/>
      </w:tblPr>
      <w:tblGrid>
        <w:gridCol w:w="1129"/>
        <w:gridCol w:w="4253"/>
        <w:gridCol w:w="1417"/>
        <w:gridCol w:w="7371"/>
      </w:tblGrid>
      <w:tr w:rsidR="00ED1CFF" w:rsidRPr="00E869B7" w14:paraId="740E78BE" w14:textId="77777777" w:rsidTr="002A0DB0">
        <w:trPr>
          <w:cantSplit/>
        </w:trPr>
        <w:tc>
          <w:tcPr>
            <w:tcW w:w="5382" w:type="dxa"/>
            <w:gridSpan w:val="2"/>
            <w:shd w:val="clear" w:color="auto" w:fill="E7E6E6" w:themeFill="background2"/>
          </w:tcPr>
          <w:p w14:paraId="7995D409" w14:textId="455FAB12" w:rsidR="00ED1CFF" w:rsidRPr="00A432F7" w:rsidRDefault="00ED1CFF" w:rsidP="008B3BEC">
            <w:pPr>
              <w:pStyle w:val="Sansinterligne"/>
              <w:jc w:val="center"/>
              <w:rPr>
                <w:rFonts w:ascii="Arial" w:hAnsi="Arial" w:cs="Arial"/>
              </w:rPr>
            </w:pPr>
            <w:bookmarkStart w:id="10" w:name="_Hlk47550288"/>
            <w:r>
              <w:rPr>
                <w:rFonts w:ascii="Arial" w:hAnsi="Arial"/>
              </w:rPr>
              <w:t>Règlement financier du Compte spécial pour</w:t>
            </w:r>
          </w:p>
          <w:p w14:paraId="03F45A7B" w14:textId="77777777" w:rsidR="00ED1CFF" w:rsidRPr="00A432F7" w:rsidRDefault="00ED1CFF" w:rsidP="00461153">
            <w:pPr>
              <w:pStyle w:val="Sansinterligne"/>
              <w:jc w:val="center"/>
              <w:rPr>
                <w:rFonts w:ascii="Arial" w:hAnsi="Arial" w:cs="Arial"/>
              </w:rPr>
            </w:pPr>
            <w:r>
              <w:rPr>
                <w:rFonts w:ascii="Arial" w:hAnsi="Arial"/>
              </w:rPr>
              <w:t xml:space="preserve"> le Fonds pour la sauvegarde du patrimoine culturel immatériel </w:t>
            </w:r>
          </w:p>
        </w:tc>
        <w:tc>
          <w:tcPr>
            <w:tcW w:w="8788" w:type="dxa"/>
            <w:gridSpan w:val="2"/>
            <w:shd w:val="clear" w:color="auto" w:fill="E7E6E6" w:themeFill="background2"/>
          </w:tcPr>
          <w:p w14:paraId="4554DC52" w14:textId="77777777" w:rsidR="00ED1CFF" w:rsidRDefault="00ED1CFF" w:rsidP="008B3BEC">
            <w:pPr>
              <w:spacing w:after="120"/>
              <w:jc w:val="center"/>
              <w:rPr>
                <w:rFonts w:ascii="Arial" w:hAnsi="Arial"/>
                <w:sz w:val="22"/>
                <w:szCs w:val="22"/>
              </w:rPr>
            </w:pPr>
            <w:r>
              <w:rPr>
                <w:rFonts w:ascii="Arial" w:hAnsi="Arial"/>
                <w:sz w:val="22"/>
                <w:szCs w:val="22"/>
              </w:rPr>
              <w:t>Révisions proposées</w:t>
            </w:r>
          </w:p>
          <w:p w14:paraId="503FC1E0" w14:textId="03515AFC" w:rsidR="002734E3" w:rsidRPr="00A432F7" w:rsidRDefault="002734E3" w:rsidP="008B3BEC">
            <w:pPr>
              <w:spacing w:after="120"/>
              <w:jc w:val="center"/>
              <w:rPr>
                <w:rFonts w:ascii="Arial" w:hAnsi="Arial" w:cs="Arial"/>
                <w:sz w:val="22"/>
                <w:szCs w:val="22"/>
              </w:rPr>
            </w:pPr>
            <w:r>
              <w:rPr>
                <w:rFonts w:ascii="Arial" w:hAnsi="Arial" w:cs="Arial"/>
                <w:sz w:val="22"/>
                <w:szCs w:val="22"/>
              </w:rPr>
              <w:t xml:space="preserve">conformément au </w:t>
            </w:r>
            <w:r w:rsidRPr="002734E3">
              <w:rPr>
                <w:rFonts w:ascii="Arial" w:hAnsi="Arial" w:cs="Arial"/>
                <w:sz w:val="22"/>
                <w:szCs w:val="22"/>
              </w:rPr>
              <w:t>Modèle de règlement financier pour les comptes spéciaux relatifs à des conventions</w:t>
            </w:r>
            <w:r>
              <w:rPr>
                <w:rFonts w:ascii="Arial" w:hAnsi="Arial" w:cs="Arial"/>
                <w:sz w:val="22"/>
                <w:szCs w:val="22"/>
              </w:rPr>
              <w:t xml:space="preserve"> approuvé par le Conseil exécutif de l’UNESCO</w:t>
            </w:r>
          </w:p>
        </w:tc>
      </w:tr>
      <w:tr w:rsidR="00ED1CFF" w:rsidRPr="00E869B7" w14:paraId="1E749779" w14:textId="77777777" w:rsidTr="002A0DB0">
        <w:trPr>
          <w:cantSplit/>
        </w:trPr>
        <w:tc>
          <w:tcPr>
            <w:tcW w:w="1129" w:type="dxa"/>
            <w:tcBorders>
              <w:right w:val="nil"/>
            </w:tcBorders>
          </w:tcPr>
          <w:p w14:paraId="6A3AF6EC" w14:textId="77777777" w:rsidR="00ED1CFF" w:rsidRPr="00A432F7" w:rsidRDefault="00ED1CFF" w:rsidP="008B3BEC">
            <w:pPr>
              <w:spacing w:after="120"/>
              <w:rPr>
                <w:rFonts w:ascii="Arial" w:hAnsi="Arial" w:cs="Arial"/>
                <w:b/>
                <w:sz w:val="22"/>
                <w:szCs w:val="22"/>
              </w:rPr>
            </w:pPr>
            <w:r>
              <w:rPr>
                <w:rFonts w:ascii="Arial" w:hAnsi="Arial"/>
                <w:b/>
                <w:sz w:val="22"/>
                <w:szCs w:val="22"/>
              </w:rPr>
              <w:t>Article premier</w:t>
            </w:r>
          </w:p>
        </w:tc>
        <w:tc>
          <w:tcPr>
            <w:tcW w:w="4253" w:type="dxa"/>
            <w:tcBorders>
              <w:left w:val="nil"/>
            </w:tcBorders>
          </w:tcPr>
          <w:p w14:paraId="731FBD22" w14:textId="3056301A" w:rsidR="00ED1CFF" w:rsidRPr="00A432F7" w:rsidRDefault="00ED1CFF" w:rsidP="008B3BEC">
            <w:pPr>
              <w:spacing w:after="120"/>
              <w:rPr>
                <w:rFonts w:ascii="Arial" w:hAnsi="Arial" w:cs="Arial"/>
                <w:b/>
                <w:sz w:val="22"/>
                <w:szCs w:val="22"/>
              </w:rPr>
            </w:pPr>
            <w:r>
              <w:rPr>
                <w:rFonts w:ascii="Arial" w:hAnsi="Arial"/>
                <w:b/>
                <w:sz w:val="22"/>
                <w:szCs w:val="22"/>
              </w:rPr>
              <w:t>Création d’un Compte spécial pour le patrimoine immatériel</w:t>
            </w:r>
          </w:p>
        </w:tc>
        <w:tc>
          <w:tcPr>
            <w:tcW w:w="1417" w:type="dxa"/>
            <w:tcBorders>
              <w:right w:val="nil"/>
            </w:tcBorders>
          </w:tcPr>
          <w:p w14:paraId="23A7B5CB" w14:textId="77777777" w:rsidR="00ED1CFF" w:rsidRPr="00A432F7" w:rsidRDefault="00ED1CFF" w:rsidP="008B3BEC">
            <w:pPr>
              <w:spacing w:after="120"/>
              <w:rPr>
                <w:rFonts w:ascii="Arial" w:hAnsi="Arial" w:cs="Arial"/>
                <w:b/>
                <w:sz w:val="22"/>
                <w:szCs w:val="22"/>
              </w:rPr>
            </w:pPr>
            <w:r>
              <w:rPr>
                <w:rFonts w:ascii="Arial" w:hAnsi="Arial"/>
                <w:b/>
                <w:bCs/>
                <w:sz w:val="22"/>
                <w:szCs w:val="22"/>
              </w:rPr>
              <w:t>Article premier</w:t>
            </w:r>
          </w:p>
        </w:tc>
        <w:tc>
          <w:tcPr>
            <w:tcW w:w="7371" w:type="dxa"/>
            <w:tcBorders>
              <w:left w:val="nil"/>
            </w:tcBorders>
          </w:tcPr>
          <w:p w14:paraId="73F5EAB5" w14:textId="02329833" w:rsidR="00ED1CFF" w:rsidRPr="002A0DB0" w:rsidRDefault="00B53C73" w:rsidP="008B3BEC">
            <w:pPr>
              <w:spacing w:after="120"/>
              <w:rPr>
                <w:rFonts w:ascii="Arial" w:hAnsi="Arial" w:cs="Arial"/>
                <w:b/>
                <w:sz w:val="22"/>
                <w:szCs w:val="22"/>
              </w:rPr>
            </w:pPr>
            <w:r w:rsidRPr="00852F54">
              <w:rPr>
                <w:rFonts w:ascii="Arial" w:hAnsi="Arial"/>
                <w:bCs/>
                <w:strike/>
                <w:sz w:val="22"/>
                <w:szCs w:val="22"/>
              </w:rPr>
              <w:t>Création</w:t>
            </w:r>
            <w:r w:rsidRPr="00852F54">
              <w:rPr>
                <w:rFonts w:ascii="Arial" w:hAnsi="Arial"/>
                <w:b/>
                <w:sz w:val="22"/>
                <w:szCs w:val="22"/>
              </w:rPr>
              <w:t xml:space="preserve"> </w:t>
            </w:r>
            <w:r w:rsidR="00AE7529" w:rsidRPr="00852F54">
              <w:rPr>
                <w:rFonts w:ascii="Arial" w:hAnsi="Arial"/>
                <w:b/>
                <w:sz w:val="22"/>
                <w:szCs w:val="22"/>
              </w:rPr>
              <w:t xml:space="preserve">Établissement </w:t>
            </w:r>
            <w:r w:rsidR="00ED1CFF" w:rsidRPr="00852F54">
              <w:rPr>
                <w:rFonts w:ascii="Arial" w:hAnsi="Arial"/>
                <w:b/>
                <w:sz w:val="22"/>
                <w:szCs w:val="22"/>
              </w:rPr>
              <w:t xml:space="preserve">d’un Compte spécial </w:t>
            </w:r>
            <w:r w:rsidR="00ED1CFF" w:rsidRPr="00852F54">
              <w:rPr>
                <w:rFonts w:ascii="Arial" w:hAnsi="Arial"/>
                <w:bCs/>
                <w:strike/>
                <w:sz w:val="22"/>
                <w:szCs w:val="22"/>
              </w:rPr>
              <w:t>pour le patrimoine immatériel</w:t>
            </w:r>
          </w:p>
        </w:tc>
      </w:tr>
      <w:tr w:rsidR="00ED1CFF" w:rsidRPr="00E869B7" w14:paraId="0175AC49" w14:textId="77777777" w:rsidTr="002A0DB0">
        <w:trPr>
          <w:cantSplit/>
        </w:trPr>
        <w:tc>
          <w:tcPr>
            <w:tcW w:w="1129" w:type="dxa"/>
            <w:tcBorders>
              <w:right w:val="nil"/>
            </w:tcBorders>
          </w:tcPr>
          <w:p w14:paraId="79E3C0D7" w14:textId="77777777" w:rsidR="00ED1CFF" w:rsidRPr="00A432F7" w:rsidRDefault="00ED1CFF" w:rsidP="008B3BEC">
            <w:pPr>
              <w:spacing w:after="120"/>
              <w:rPr>
                <w:rFonts w:ascii="Arial" w:hAnsi="Arial" w:cs="Arial"/>
                <w:sz w:val="22"/>
                <w:szCs w:val="22"/>
              </w:rPr>
            </w:pPr>
            <w:r>
              <w:rPr>
                <w:rFonts w:ascii="Arial" w:hAnsi="Arial"/>
                <w:sz w:val="22"/>
                <w:szCs w:val="22"/>
              </w:rPr>
              <w:t xml:space="preserve">1.1 </w:t>
            </w:r>
          </w:p>
        </w:tc>
        <w:tc>
          <w:tcPr>
            <w:tcW w:w="4253" w:type="dxa"/>
            <w:tcBorders>
              <w:left w:val="nil"/>
            </w:tcBorders>
          </w:tcPr>
          <w:p w14:paraId="3169E7AD" w14:textId="2DA4D313" w:rsidR="00ED1CFF" w:rsidRPr="00A432F7" w:rsidRDefault="00ED1CFF" w:rsidP="008B3BEC">
            <w:pPr>
              <w:spacing w:after="120"/>
              <w:rPr>
                <w:rFonts w:ascii="Arial" w:hAnsi="Arial" w:cs="Arial"/>
                <w:sz w:val="22"/>
                <w:szCs w:val="22"/>
              </w:rPr>
            </w:pPr>
            <w:r>
              <w:rPr>
                <w:rFonts w:ascii="Arial" w:hAnsi="Arial"/>
                <w:sz w:val="22"/>
                <w:szCs w:val="22"/>
              </w:rPr>
              <w:t>L’article 25 de la Convention pour la sauvegarde du patrimoine culturel immatériel (ci-après dénommée la « Convention ») porte création d’un Fonds dit « Fonds pour la sauvegarde du patrimoine culturel immatériel » (ci-après dénommé le « Fonds »). Étant donné que le Fonds sera alimenté par plusieurs donateurs, celui-ci sera géré sous la forme d’un compte spécial.</w:t>
            </w:r>
          </w:p>
        </w:tc>
        <w:tc>
          <w:tcPr>
            <w:tcW w:w="1417" w:type="dxa"/>
            <w:tcBorders>
              <w:right w:val="nil"/>
            </w:tcBorders>
          </w:tcPr>
          <w:p w14:paraId="46E99D28" w14:textId="77777777" w:rsidR="00ED1CFF" w:rsidRPr="00043F97" w:rsidRDefault="00ED1CFF" w:rsidP="00C21695">
            <w:pPr>
              <w:pStyle w:val="Paragraphedeliste"/>
              <w:numPr>
                <w:ilvl w:val="1"/>
                <w:numId w:val="9"/>
              </w:numPr>
              <w:tabs>
                <w:tab w:val="left" w:pos="567"/>
              </w:tabs>
              <w:snapToGrid w:val="0"/>
              <w:spacing w:after="120"/>
              <w:contextualSpacing w:val="0"/>
              <w:rPr>
                <w:rFonts w:ascii="Arial" w:hAnsi="Arial" w:cs="Arial"/>
                <w:sz w:val="22"/>
                <w:szCs w:val="22"/>
              </w:rPr>
            </w:pPr>
          </w:p>
        </w:tc>
        <w:tc>
          <w:tcPr>
            <w:tcW w:w="7371" w:type="dxa"/>
            <w:tcBorders>
              <w:left w:val="nil"/>
            </w:tcBorders>
          </w:tcPr>
          <w:p w14:paraId="0B3EE20C" w14:textId="6A059B04" w:rsidR="00ED1CFF" w:rsidRPr="00A432F7" w:rsidRDefault="00ED1CFF" w:rsidP="008B3BEC">
            <w:pPr>
              <w:spacing w:after="120"/>
              <w:rPr>
                <w:rFonts w:ascii="Arial" w:hAnsi="Arial" w:cs="Arial"/>
                <w:sz w:val="22"/>
                <w:szCs w:val="22"/>
              </w:rPr>
            </w:pPr>
            <w:r>
              <w:rPr>
                <w:rFonts w:ascii="Arial" w:hAnsi="Arial"/>
                <w:sz w:val="22"/>
                <w:szCs w:val="22"/>
              </w:rPr>
              <w:t xml:space="preserve">L’article 25 de la Convention pour la sauvegarde du patrimoine culturel immatériel (ci-après dénommée la « Convention ») porte création d’un Fonds dit « Fonds pour la sauvegarde du patrimoine culturel immatériel » (ci-après dénommé le « Fonds »). </w:t>
            </w:r>
            <w:r w:rsidRPr="002A0DB0">
              <w:rPr>
                <w:rFonts w:ascii="Arial" w:hAnsi="Arial"/>
                <w:strike/>
                <w:sz w:val="22"/>
                <w:szCs w:val="22"/>
              </w:rPr>
              <w:t>Étant donné que le Fonds sera alimenté par plusieurs donateurs, celui-ci sera géré sous la forme d</w:t>
            </w:r>
            <w:r>
              <w:rPr>
                <w:rFonts w:ascii="Arial" w:hAnsi="Arial"/>
                <w:strike/>
                <w:sz w:val="22"/>
                <w:szCs w:val="22"/>
              </w:rPr>
              <w:t>’</w:t>
            </w:r>
            <w:r w:rsidRPr="002A0DB0">
              <w:rPr>
                <w:rFonts w:ascii="Arial" w:hAnsi="Arial"/>
                <w:strike/>
                <w:sz w:val="22"/>
                <w:szCs w:val="22"/>
              </w:rPr>
              <w:t>un compte spécial.</w:t>
            </w:r>
          </w:p>
        </w:tc>
      </w:tr>
      <w:tr w:rsidR="00ED1CFF" w:rsidRPr="00E869B7" w14:paraId="5B7D8751" w14:textId="77777777" w:rsidTr="002A0DB0">
        <w:trPr>
          <w:cantSplit/>
        </w:trPr>
        <w:tc>
          <w:tcPr>
            <w:tcW w:w="1129" w:type="dxa"/>
            <w:tcBorders>
              <w:right w:val="nil"/>
            </w:tcBorders>
          </w:tcPr>
          <w:p w14:paraId="1A5F18A8" w14:textId="77777777" w:rsidR="00ED1CFF" w:rsidRPr="00A432F7" w:rsidRDefault="00ED1CFF" w:rsidP="008B3BEC">
            <w:pPr>
              <w:spacing w:after="120"/>
              <w:rPr>
                <w:rFonts w:ascii="Arial" w:hAnsi="Arial" w:cs="Arial"/>
                <w:sz w:val="22"/>
                <w:szCs w:val="22"/>
              </w:rPr>
            </w:pPr>
            <w:r>
              <w:rPr>
                <w:rFonts w:ascii="Arial" w:hAnsi="Arial"/>
                <w:sz w:val="22"/>
                <w:szCs w:val="22"/>
              </w:rPr>
              <w:t xml:space="preserve">1.2 </w:t>
            </w:r>
          </w:p>
        </w:tc>
        <w:tc>
          <w:tcPr>
            <w:tcW w:w="4253" w:type="dxa"/>
            <w:tcBorders>
              <w:left w:val="nil"/>
            </w:tcBorders>
          </w:tcPr>
          <w:p w14:paraId="4D4197FC" w14:textId="3E8872FD" w:rsidR="00ED1CFF" w:rsidRPr="00A432F7" w:rsidRDefault="00ED1CFF" w:rsidP="008B3BEC">
            <w:pPr>
              <w:spacing w:after="120"/>
              <w:rPr>
                <w:rFonts w:ascii="Arial" w:hAnsi="Arial" w:cs="Arial"/>
                <w:sz w:val="22"/>
                <w:szCs w:val="22"/>
              </w:rPr>
            </w:pPr>
            <w:r>
              <w:rPr>
                <w:rFonts w:ascii="Arial" w:hAnsi="Arial"/>
                <w:sz w:val="22"/>
                <w:szCs w:val="22"/>
              </w:rPr>
              <w:t>Conformément à l’article 6.6 du Règlement financier de l’UNESCO, il est créé en vertu du présent un Compte spécial affecté au Fonds pour la sauvegarde du patrimoine culturel immatériel (ci-après dénommé le « Compte spécial »).</w:t>
            </w:r>
          </w:p>
        </w:tc>
        <w:tc>
          <w:tcPr>
            <w:tcW w:w="1417" w:type="dxa"/>
            <w:tcBorders>
              <w:right w:val="nil"/>
            </w:tcBorders>
          </w:tcPr>
          <w:p w14:paraId="6870714E" w14:textId="77777777" w:rsidR="00ED1CFF" w:rsidRPr="00A432F7" w:rsidRDefault="00ED1CFF" w:rsidP="008B3BEC">
            <w:pPr>
              <w:suppressAutoHyphens/>
              <w:spacing w:after="120"/>
              <w:rPr>
                <w:rFonts w:ascii="Arial" w:hAnsi="Arial" w:cs="Arial"/>
                <w:sz w:val="22"/>
                <w:szCs w:val="22"/>
              </w:rPr>
            </w:pPr>
            <w:r>
              <w:rPr>
                <w:rFonts w:ascii="Arial" w:hAnsi="Arial"/>
                <w:sz w:val="22"/>
                <w:szCs w:val="22"/>
              </w:rPr>
              <w:t xml:space="preserve">1.2 </w:t>
            </w:r>
          </w:p>
        </w:tc>
        <w:tc>
          <w:tcPr>
            <w:tcW w:w="7371" w:type="dxa"/>
            <w:tcBorders>
              <w:left w:val="nil"/>
            </w:tcBorders>
          </w:tcPr>
          <w:p w14:paraId="3CB79BE5" w14:textId="3196F314" w:rsidR="00ED1CFF" w:rsidRPr="00A432F7" w:rsidRDefault="00ED1CFF" w:rsidP="008B3BEC">
            <w:pPr>
              <w:suppressAutoHyphens/>
              <w:spacing w:after="120"/>
              <w:rPr>
                <w:rFonts w:ascii="Arial" w:hAnsi="Arial" w:cs="Arial"/>
                <w:sz w:val="22"/>
                <w:szCs w:val="22"/>
              </w:rPr>
            </w:pPr>
            <w:r>
              <w:rPr>
                <w:rFonts w:ascii="Arial" w:hAnsi="Arial"/>
                <w:sz w:val="22"/>
                <w:szCs w:val="22"/>
              </w:rPr>
              <w:t xml:space="preserve">Conformément à </w:t>
            </w:r>
            <w:r>
              <w:rPr>
                <w:rFonts w:ascii="Arial" w:hAnsi="Arial"/>
                <w:strike/>
                <w:sz w:val="22"/>
                <w:szCs w:val="22"/>
              </w:rPr>
              <w:t>l’article 6.6</w:t>
            </w:r>
            <w:r>
              <w:rPr>
                <w:rFonts w:ascii="Arial" w:hAnsi="Arial"/>
                <w:b/>
                <w:bCs/>
                <w:sz w:val="22"/>
                <w:szCs w:val="22"/>
                <w:u w:val="single"/>
              </w:rPr>
              <w:t>l’article 25 de la Convention et à l’article 6, paragraphes 5 et 6</w:t>
            </w:r>
            <w:r>
              <w:rPr>
                <w:rFonts w:ascii="Arial" w:hAnsi="Arial"/>
                <w:sz w:val="22"/>
                <w:szCs w:val="22"/>
              </w:rPr>
              <w:t xml:space="preserve"> du Règlement financier de l’UNESCO, il est créé en vertu du présent un Compte spécial affecté au Fonds pour la sauvegarde du patrimoine culturel immatériel (ci-après dénommé le « Compte spécial »).</w:t>
            </w:r>
          </w:p>
        </w:tc>
      </w:tr>
      <w:tr w:rsidR="00ED1CFF" w:rsidRPr="00E869B7" w14:paraId="0C28FD79" w14:textId="77777777" w:rsidTr="002A0DB0">
        <w:trPr>
          <w:cantSplit/>
        </w:trPr>
        <w:tc>
          <w:tcPr>
            <w:tcW w:w="1129" w:type="dxa"/>
            <w:tcBorders>
              <w:right w:val="nil"/>
            </w:tcBorders>
          </w:tcPr>
          <w:p w14:paraId="79BD1440" w14:textId="77777777" w:rsidR="00ED1CFF" w:rsidRPr="00A432F7" w:rsidRDefault="00ED1CFF" w:rsidP="008B3BEC">
            <w:pPr>
              <w:spacing w:after="120"/>
              <w:rPr>
                <w:rFonts w:ascii="Arial" w:hAnsi="Arial" w:cs="Arial"/>
                <w:sz w:val="22"/>
                <w:szCs w:val="22"/>
              </w:rPr>
            </w:pPr>
            <w:r>
              <w:rPr>
                <w:rFonts w:ascii="Arial" w:hAnsi="Arial"/>
                <w:sz w:val="22"/>
                <w:szCs w:val="22"/>
              </w:rPr>
              <w:t xml:space="preserve">1.3 </w:t>
            </w:r>
          </w:p>
        </w:tc>
        <w:tc>
          <w:tcPr>
            <w:tcW w:w="4253" w:type="dxa"/>
            <w:tcBorders>
              <w:left w:val="nil"/>
            </w:tcBorders>
          </w:tcPr>
          <w:p w14:paraId="65BED5AE" w14:textId="77777777" w:rsidR="00ED1CFF" w:rsidRPr="00A432F7" w:rsidRDefault="00ED1CFF" w:rsidP="008B3BEC">
            <w:pPr>
              <w:spacing w:after="120"/>
              <w:rPr>
                <w:rFonts w:ascii="Arial" w:hAnsi="Arial" w:cs="Arial"/>
                <w:sz w:val="22"/>
                <w:szCs w:val="22"/>
              </w:rPr>
            </w:pPr>
            <w:r>
              <w:rPr>
                <w:rFonts w:ascii="Arial" w:hAnsi="Arial"/>
                <w:sz w:val="22"/>
                <w:szCs w:val="22"/>
              </w:rPr>
              <w:t>La gestion du Compte spécial est régie par les dispositions ci-après.</w:t>
            </w:r>
          </w:p>
        </w:tc>
        <w:tc>
          <w:tcPr>
            <w:tcW w:w="1417" w:type="dxa"/>
            <w:tcBorders>
              <w:right w:val="nil"/>
            </w:tcBorders>
          </w:tcPr>
          <w:p w14:paraId="65186CEB" w14:textId="77777777" w:rsidR="00ED1CFF" w:rsidRPr="00A432F7" w:rsidRDefault="00ED1CFF" w:rsidP="008B3BEC">
            <w:pPr>
              <w:suppressAutoHyphens/>
              <w:spacing w:after="120"/>
              <w:rPr>
                <w:rFonts w:ascii="Arial" w:hAnsi="Arial" w:cs="Arial"/>
                <w:sz w:val="22"/>
                <w:szCs w:val="22"/>
              </w:rPr>
            </w:pPr>
            <w:r>
              <w:rPr>
                <w:rFonts w:ascii="Arial" w:hAnsi="Arial"/>
                <w:sz w:val="22"/>
                <w:szCs w:val="22"/>
              </w:rPr>
              <w:t xml:space="preserve">1.3 </w:t>
            </w:r>
            <w:r>
              <w:rPr>
                <w:rFonts w:ascii="Arial" w:hAnsi="Arial"/>
                <w:sz w:val="22"/>
                <w:szCs w:val="22"/>
              </w:rPr>
              <w:tab/>
            </w:r>
          </w:p>
        </w:tc>
        <w:tc>
          <w:tcPr>
            <w:tcW w:w="7371" w:type="dxa"/>
            <w:tcBorders>
              <w:left w:val="nil"/>
            </w:tcBorders>
          </w:tcPr>
          <w:p w14:paraId="7517651C" w14:textId="77777777" w:rsidR="00ED1CFF" w:rsidRPr="00A432F7" w:rsidRDefault="00ED1CFF" w:rsidP="008B3BEC">
            <w:pPr>
              <w:suppressAutoHyphens/>
              <w:spacing w:after="120"/>
              <w:rPr>
                <w:rFonts w:ascii="Arial" w:hAnsi="Arial" w:cs="Arial"/>
                <w:sz w:val="22"/>
                <w:szCs w:val="22"/>
              </w:rPr>
            </w:pPr>
            <w:r>
              <w:rPr>
                <w:rFonts w:ascii="Arial" w:hAnsi="Arial"/>
                <w:sz w:val="22"/>
                <w:szCs w:val="22"/>
              </w:rPr>
              <w:t>Aucun changement.</w:t>
            </w:r>
          </w:p>
        </w:tc>
      </w:tr>
      <w:tr w:rsidR="00ED1CFF" w:rsidRPr="00A432F7" w14:paraId="7374FD0B" w14:textId="77777777" w:rsidTr="002A0DB0">
        <w:trPr>
          <w:cantSplit/>
        </w:trPr>
        <w:tc>
          <w:tcPr>
            <w:tcW w:w="1129" w:type="dxa"/>
            <w:tcBorders>
              <w:right w:val="nil"/>
            </w:tcBorders>
          </w:tcPr>
          <w:p w14:paraId="1B90BE36" w14:textId="77777777" w:rsidR="00ED1CFF" w:rsidRPr="00A432F7" w:rsidRDefault="00ED1CFF" w:rsidP="008B3BEC">
            <w:pPr>
              <w:spacing w:after="120"/>
              <w:rPr>
                <w:rFonts w:ascii="Arial" w:hAnsi="Arial" w:cs="Arial"/>
                <w:b/>
                <w:sz w:val="22"/>
                <w:szCs w:val="22"/>
              </w:rPr>
            </w:pPr>
            <w:r>
              <w:rPr>
                <w:rFonts w:ascii="Arial" w:hAnsi="Arial"/>
                <w:b/>
                <w:sz w:val="22"/>
                <w:szCs w:val="22"/>
              </w:rPr>
              <w:t>Article 2</w:t>
            </w:r>
          </w:p>
        </w:tc>
        <w:tc>
          <w:tcPr>
            <w:tcW w:w="4253" w:type="dxa"/>
            <w:tcBorders>
              <w:left w:val="nil"/>
            </w:tcBorders>
          </w:tcPr>
          <w:p w14:paraId="1ADDDA63" w14:textId="77777777" w:rsidR="00ED1CFF" w:rsidRPr="00A432F7" w:rsidRDefault="00ED1CFF" w:rsidP="008B3BEC">
            <w:pPr>
              <w:spacing w:after="120"/>
              <w:rPr>
                <w:rFonts w:ascii="Arial" w:hAnsi="Arial" w:cs="Arial"/>
                <w:b/>
                <w:sz w:val="22"/>
                <w:szCs w:val="22"/>
              </w:rPr>
            </w:pPr>
            <w:r>
              <w:rPr>
                <w:rFonts w:ascii="Arial" w:hAnsi="Arial"/>
                <w:b/>
                <w:sz w:val="22"/>
                <w:szCs w:val="22"/>
              </w:rPr>
              <w:t>Exercice financier</w:t>
            </w:r>
          </w:p>
        </w:tc>
        <w:tc>
          <w:tcPr>
            <w:tcW w:w="1417" w:type="dxa"/>
            <w:tcBorders>
              <w:right w:val="nil"/>
            </w:tcBorders>
          </w:tcPr>
          <w:p w14:paraId="4C0FC75B" w14:textId="77777777" w:rsidR="00ED1CFF" w:rsidRPr="00A432F7" w:rsidRDefault="00ED1CFF" w:rsidP="008B3BEC">
            <w:pPr>
              <w:suppressAutoHyphens/>
              <w:spacing w:after="120"/>
              <w:rPr>
                <w:rFonts w:ascii="Arial" w:hAnsi="Arial" w:cs="Arial"/>
                <w:b/>
                <w:sz w:val="22"/>
                <w:szCs w:val="22"/>
              </w:rPr>
            </w:pPr>
            <w:r>
              <w:rPr>
                <w:rFonts w:ascii="Arial" w:hAnsi="Arial"/>
                <w:b/>
                <w:bCs/>
                <w:sz w:val="22"/>
                <w:szCs w:val="22"/>
              </w:rPr>
              <w:t>Article 2</w:t>
            </w:r>
          </w:p>
        </w:tc>
        <w:tc>
          <w:tcPr>
            <w:tcW w:w="7371" w:type="dxa"/>
            <w:tcBorders>
              <w:left w:val="nil"/>
            </w:tcBorders>
          </w:tcPr>
          <w:p w14:paraId="145FBB2A" w14:textId="77777777" w:rsidR="00ED1CFF" w:rsidRPr="00A432F7" w:rsidRDefault="00ED1CFF" w:rsidP="008B3BEC">
            <w:pPr>
              <w:suppressAutoHyphens/>
              <w:spacing w:after="120"/>
              <w:rPr>
                <w:rFonts w:ascii="Arial" w:hAnsi="Arial" w:cs="Arial"/>
                <w:bCs/>
                <w:sz w:val="22"/>
                <w:szCs w:val="22"/>
              </w:rPr>
            </w:pPr>
            <w:r>
              <w:rPr>
                <w:rFonts w:ascii="Arial" w:hAnsi="Arial"/>
                <w:bCs/>
                <w:sz w:val="22"/>
                <w:szCs w:val="22"/>
              </w:rPr>
              <w:t>Aucun changement.</w:t>
            </w:r>
          </w:p>
        </w:tc>
      </w:tr>
      <w:tr w:rsidR="00ED1CFF" w:rsidRPr="00E869B7" w14:paraId="4778A12E" w14:textId="77777777" w:rsidTr="002A0DB0">
        <w:trPr>
          <w:cantSplit/>
        </w:trPr>
        <w:tc>
          <w:tcPr>
            <w:tcW w:w="1129" w:type="dxa"/>
            <w:tcBorders>
              <w:right w:val="nil"/>
            </w:tcBorders>
          </w:tcPr>
          <w:p w14:paraId="6A1C909F" w14:textId="77777777" w:rsidR="00ED1CFF" w:rsidRPr="00A432F7" w:rsidRDefault="00ED1CFF" w:rsidP="008B3BEC">
            <w:pPr>
              <w:spacing w:after="120"/>
              <w:rPr>
                <w:rFonts w:ascii="Arial" w:hAnsi="Arial" w:cs="Arial"/>
                <w:sz w:val="22"/>
                <w:szCs w:val="22"/>
                <w:lang w:val="en-US"/>
              </w:rPr>
            </w:pPr>
          </w:p>
        </w:tc>
        <w:tc>
          <w:tcPr>
            <w:tcW w:w="4253" w:type="dxa"/>
            <w:tcBorders>
              <w:left w:val="nil"/>
            </w:tcBorders>
          </w:tcPr>
          <w:p w14:paraId="64E506E4" w14:textId="0C4ECCD2" w:rsidR="00ED1CFF" w:rsidRPr="00A432F7" w:rsidRDefault="00ED1CFF" w:rsidP="008B3BEC">
            <w:pPr>
              <w:spacing w:after="120"/>
              <w:rPr>
                <w:rFonts w:ascii="Arial" w:hAnsi="Arial" w:cs="Arial"/>
                <w:sz w:val="22"/>
                <w:szCs w:val="22"/>
              </w:rPr>
            </w:pPr>
            <w:r>
              <w:rPr>
                <w:rFonts w:ascii="Arial" w:hAnsi="Arial"/>
                <w:sz w:val="22"/>
                <w:szCs w:val="22"/>
              </w:rPr>
              <w:t>L’exercice financier correspond à celui de l’UNESCO.</w:t>
            </w:r>
          </w:p>
        </w:tc>
        <w:tc>
          <w:tcPr>
            <w:tcW w:w="1417" w:type="dxa"/>
            <w:tcBorders>
              <w:right w:val="nil"/>
            </w:tcBorders>
          </w:tcPr>
          <w:p w14:paraId="41463E95" w14:textId="77777777" w:rsidR="00ED1CFF" w:rsidRPr="00A432F7" w:rsidRDefault="00ED1CFF" w:rsidP="008B3BEC">
            <w:pPr>
              <w:suppressAutoHyphens/>
              <w:spacing w:after="120"/>
              <w:rPr>
                <w:rFonts w:ascii="Arial" w:hAnsi="Arial" w:cs="Arial"/>
                <w:sz w:val="22"/>
                <w:szCs w:val="22"/>
              </w:rPr>
            </w:pPr>
            <w:r>
              <w:rPr>
                <w:rFonts w:ascii="Arial" w:hAnsi="Arial"/>
                <w:b/>
                <w:bCs/>
                <w:sz w:val="22"/>
                <w:szCs w:val="22"/>
                <w:u w:val="single"/>
              </w:rPr>
              <w:t>2.1</w:t>
            </w:r>
          </w:p>
        </w:tc>
        <w:tc>
          <w:tcPr>
            <w:tcW w:w="7371" w:type="dxa"/>
            <w:tcBorders>
              <w:left w:val="nil"/>
            </w:tcBorders>
          </w:tcPr>
          <w:p w14:paraId="3EDBA73B" w14:textId="69C862D5" w:rsidR="00ED1CFF" w:rsidRPr="00A432F7" w:rsidRDefault="00ED1CFF" w:rsidP="008B3BEC">
            <w:pPr>
              <w:suppressAutoHyphens/>
              <w:spacing w:after="120"/>
              <w:rPr>
                <w:rFonts w:ascii="Arial" w:hAnsi="Arial" w:cs="Arial"/>
                <w:sz w:val="22"/>
                <w:szCs w:val="22"/>
              </w:rPr>
            </w:pPr>
            <w:r>
              <w:rPr>
                <w:rFonts w:ascii="Arial" w:hAnsi="Arial"/>
                <w:sz w:val="22"/>
                <w:szCs w:val="22"/>
              </w:rPr>
              <w:t xml:space="preserve">L’exercice financier </w:t>
            </w:r>
            <w:r>
              <w:rPr>
                <w:rFonts w:ascii="Arial" w:hAnsi="Arial"/>
                <w:b/>
                <w:bCs/>
                <w:sz w:val="22"/>
                <w:szCs w:val="22"/>
                <w:u w:val="single"/>
              </w:rPr>
              <w:t>pour les prévisions budgétaires est de deux années civiles consécutives dont la première est une année paire</w:t>
            </w:r>
            <w:r>
              <w:rPr>
                <w:rFonts w:ascii="Arial" w:hAnsi="Arial"/>
                <w:b/>
                <w:bCs/>
                <w:sz w:val="22"/>
                <w:szCs w:val="22"/>
              </w:rPr>
              <w:t xml:space="preserve"> </w:t>
            </w:r>
            <w:r>
              <w:rPr>
                <w:rFonts w:ascii="Arial" w:hAnsi="Arial"/>
                <w:strike/>
                <w:sz w:val="22"/>
                <w:szCs w:val="22"/>
              </w:rPr>
              <w:t>correspond à celui de l’UNESCO</w:t>
            </w:r>
            <w:r>
              <w:rPr>
                <w:rFonts w:ascii="Arial" w:hAnsi="Arial"/>
                <w:sz w:val="22"/>
                <w:szCs w:val="22"/>
              </w:rPr>
              <w:t>.</w:t>
            </w:r>
          </w:p>
        </w:tc>
      </w:tr>
      <w:tr w:rsidR="00ED1CFF" w:rsidRPr="00E869B7" w14:paraId="44E3E9F7" w14:textId="77777777" w:rsidTr="002A0DB0">
        <w:trPr>
          <w:cantSplit/>
        </w:trPr>
        <w:tc>
          <w:tcPr>
            <w:tcW w:w="1129" w:type="dxa"/>
            <w:tcBorders>
              <w:right w:val="nil"/>
            </w:tcBorders>
          </w:tcPr>
          <w:p w14:paraId="79CC3CF8" w14:textId="77777777" w:rsidR="00ED1CFF" w:rsidRPr="00043F97" w:rsidRDefault="00ED1CFF" w:rsidP="008B3BEC">
            <w:pPr>
              <w:spacing w:after="120"/>
              <w:rPr>
                <w:rFonts w:ascii="Arial" w:hAnsi="Arial" w:cs="Arial"/>
                <w:sz w:val="22"/>
                <w:szCs w:val="22"/>
              </w:rPr>
            </w:pPr>
          </w:p>
        </w:tc>
        <w:tc>
          <w:tcPr>
            <w:tcW w:w="4253" w:type="dxa"/>
            <w:tcBorders>
              <w:left w:val="nil"/>
            </w:tcBorders>
          </w:tcPr>
          <w:p w14:paraId="2B4BFF70" w14:textId="77777777" w:rsidR="00ED1CFF" w:rsidRPr="00043F97" w:rsidRDefault="00ED1CFF" w:rsidP="008B3BEC">
            <w:pPr>
              <w:spacing w:after="120"/>
              <w:rPr>
                <w:rFonts w:ascii="Arial" w:hAnsi="Arial" w:cs="Arial"/>
                <w:sz w:val="22"/>
                <w:szCs w:val="22"/>
              </w:rPr>
            </w:pPr>
          </w:p>
        </w:tc>
        <w:tc>
          <w:tcPr>
            <w:tcW w:w="1417" w:type="dxa"/>
            <w:tcBorders>
              <w:right w:val="nil"/>
            </w:tcBorders>
          </w:tcPr>
          <w:p w14:paraId="1D934395" w14:textId="77777777" w:rsidR="00ED1CFF" w:rsidRPr="00A432F7" w:rsidRDefault="00ED1CFF" w:rsidP="008B3BEC">
            <w:pPr>
              <w:suppressAutoHyphens/>
              <w:spacing w:after="120"/>
              <w:rPr>
                <w:rFonts w:ascii="Arial" w:hAnsi="Arial" w:cs="Arial"/>
                <w:spacing w:val="-3"/>
                <w:sz w:val="22"/>
                <w:szCs w:val="22"/>
              </w:rPr>
            </w:pPr>
            <w:r>
              <w:rPr>
                <w:rFonts w:ascii="Arial" w:hAnsi="Arial"/>
                <w:b/>
                <w:bCs/>
                <w:sz w:val="22"/>
                <w:szCs w:val="22"/>
                <w:u w:val="single"/>
              </w:rPr>
              <w:t>2.2</w:t>
            </w:r>
          </w:p>
        </w:tc>
        <w:tc>
          <w:tcPr>
            <w:tcW w:w="7371" w:type="dxa"/>
            <w:tcBorders>
              <w:left w:val="nil"/>
            </w:tcBorders>
          </w:tcPr>
          <w:p w14:paraId="35946114" w14:textId="44CB1812" w:rsidR="00ED1CFF" w:rsidRPr="00A432F7" w:rsidRDefault="00ED1CFF" w:rsidP="008B3BEC">
            <w:pPr>
              <w:suppressAutoHyphens/>
              <w:spacing w:after="120"/>
              <w:rPr>
                <w:rFonts w:ascii="Arial" w:hAnsi="Arial" w:cs="Arial"/>
                <w:b/>
                <w:bCs/>
                <w:spacing w:val="-3"/>
                <w:sz w:val="22"/>
                <w:szCs w:val="22"/>
                <w:u w:val="single"/>
              </w:rPr>
            </w:pPr>
            <w:r>
              <w:rPr>
                <w:rFonts w:ascii="Arial" w:hAnsi="Arial"/>
                <w:b/>
                <w:bCs/>
                <w:sz w:val="22"/>
                <w:szCs w:val="22"/>
                <w:u w:val="single"/>
              </w:rPr>
              <w:t>L’exercice financier pour la comptabilité est d’une année civile.</w:t>
            </w:r>
          </w:p>
        </w:tc>
      </w:tr>
      <w:tr w:rsidR="00ED1CFF" w:rsidRPr="00A432F7" w14:paraId="1D09AB4F" w14:textId="77777777" w:rsidTr="002A0DB0">
        <w:trPr>
          <w:cantSplit/>
        </w:trPr>
        <w:tc>
          <w:tcPr>
            <w:tcW w:w="1129" w:type="dxa"/>
            <w:tcBorders>
              <w:right w:val="nil"/>
            </w:tcBorders>
          </w:tcPr>
          <w:p w14:paraId="76938351" w14:textId="77777777" w:rsidR="00ED1CFF" w:rsidRPr="00A432F7" w:rsidRDefault="00ED1CFF" w:rsidP="008B3BEC">
            <w:pPr>
              <w:spacing w:after="120"/>
              <w:rPr>
                <w:rFonts w:ascii="Arial" w:hAnsi="Arial" w:cs="Arial"/>
                <w:b/>
                <w:sz w:val="22"/>
                <w:szCs w:val="22"/>
              </w:rPr>
            </w:pPr>
            <w:r>
              <w:rPr>
                <w:rFonts w:ascii="Arial" w:hAnsi="Arial"/>
                <w:b/>
                <w:sz w:val="22"/>
                <w:szCs w:val="22"/>
              </w:rPr>
              <w:t>Article 3</w:t>
            </w:r>
          </w:p>
        </w:tc>
        <w:tc>
          <w:tcPr>
            <w:tcW w:w="4253" w:type="dxa"/>
            <w:tcBorders>
              <w:left w:val="nil"/>
            </w:tcBorders>
          </w:tcPr>
          <w:p w14:paraId="1421AB6C" w14:textId="77777777" w:rsidR="00ED1CFF" w:rsidRPr="00A432F7" w:rsidRDefault="00ED1CFF" w:rsidP="008B3BEC">
            <w:pPr>
              <w:spacing w:after="120"/>
              <w:rPr>
                <w:rFonts w:ascii="Arial" w:hAnsi="Arial" w:cs="Arial"/>
                <w:b/>
                <w:sz w:val="22"/>
                <w:szCs w:val="22"/>
              </w:rPr>
            </w:pPr>
            <w:r>
              <w:rPr>
                <w:rFonts w:ascii="Arial" w:hAnsi="Arial"/>
                <w:b/>
                <w:sz w:val="22"/>
                <w:szCs w:val="22"/>
              </w:rPr>
              <w:t>Objectif</w:t>
            </w:r>
          </w:p>
        </w:tc>
        <w:tc>
          <w:tcPr>
            <w:tcW w:w="1417" w:type="dxa"/>
            <w:tcBorders>
              <w:right w:val="nil"/>
            </w:tcBorders>
          </w:tcPr>
          <w:p w14:paraId="6AB9FE69" w14:textId="77777777" w:rsidR="00ED1CFF" w:rsidRPr="00A432F7" w:rsidRDefault="00ED1CFF" w:rsidP="008B3BEC">
            <w:pPr>
              <w:suppressAutoHyphens/>
              <w:spacing w:after="120"/>
              <w:rPr>
                <w:rFonts w:ascii="Arial" w:hAnsi="Arial" w:cs="Arial"/>
                <w:b/>
                <w:sz w:val="22"/>
                <w:szCs w:val="22"/>
              </w:rPr>
            </w:pPr>
            <w:r>
              <w:rPr>
                <w:rFonts w:ascii="Arial" w:hAnsi="Arial"/>
                <w:b/>
                <w:bCs/>
                <w:sz w:val="22"/>
                <w:szCs w:val="22"/>
              </w:rPr>
              <w:t>Article 3</w:t>
            </w:r>
          </w:p>
        </w:tc>
        <w:tc>
          <w:tcPr>
            <w:tcW w:w="7371" w:type="dxa"/>
            <w:tcBorders>
              <w:left w:val="nil"/>
            </w:tcBorders>
          </w:tcPr>
          <w:p w14:paraId="7C61FA7A" w14:textId="77777777" w:rsidR="00ED1CFF" w:rsidRPr="00A432F7" w:rsidRDefault="00ED1CFF" w:rsidP="008B3BEC">
            <w:pPr>
              <w:suppressAutoHyphens/>
              <w:spacing w:after="120"/>
              <w:rPr>
                <w:rFonts w:ascii="Arial" w:hAnsi="Arial" w:cs="Arial"/>
                <w:bCs/>
                <w:sz w:val="22"/>
                <w:szCs w:val="22"/>
              </w:rPr>
            </w:pPr>
            <w:r>
              <w:rPr>
                <w:rFonts w:ascii="Arial" w:hAnsi="Arial"/>
                <w:bCs/>
                <w:sz w:val="22"/>
                <w:szCs w:val="22"/>
              </w:rPr>
              <w:t>Aucun changement.</w:t>
            </w:r>
          </w:p>
        </w:tc>
      </w:tr>
      <w:tr w:rsidR="00ED1CFF" w:rsidRPr="00E869B7" w14:paraId="6E94E147" w14:textId="77777777" w:rsidTr="002A0DB0">
        <w:trPr>
          <w:cantSplit/>
        </w:trPr>
        <w:tc>
          <w:tcPr>
            <w:tcW w:w="1129" w:type="dxa"/>
            <w:tcBorders>
              <w:right w:val="nil"/>
            </w:tcBorders>
          </w:tcPr>
          <w:p w14:paraId="16FDC9EC" w14:textId="77777777" w:rsidR="00ED1CFF" w:rsidRPr="00A432F7" w:rsidRDefault="00ED1CFF" w:rsidP="008B3BEC">
            <w:pPr>
              <w:spacing w:after="120"/>
              <w:rPr>
                <w:rFonts w:ascii="Arial" w:hAnsi="Arial" w:cs="Arial"/>
                <w:sz w:val="22"/>
                <w:szCs w:val="22"/>
                <w:lang w:val="en-US"/>
              </w:rPr>
            </w:pPr>
          </w:p>
        </w:tc>
        <w:tc>
          <w:tcPr>
            <w:tcW w:w="4253" w:type="dxa"/>
            <w:tcBorders>
              <w:left w:val="nil"/>
            </w:tcBorders>
          </w:tcPr>
          <w:p w14:paraId="21381C82" w14:textId="7DA6AD26" w:rsidR="00ED1CFF" w:rsidRPr="00234E68" w:rsidRDefault="00ED1CFF" w:rsidP="008B3BEC">
            <w:pPr>
              <w:spacing w:after="120"/>
              <w:rPr>
                <w:rFonts w:ascii="Arial" w:hAnsi="Arial" w:cs="Arial"/>
                <w:sz w:val="22"/>
                <w:szCs w:val="22"/>
              </w:rPr>
            </w:pPr>
            <w:r>
              <w:rPr>
                <w:rFonts w:ascii="Arial" w:hAnsi="Arial"/>
                <w:sz w:val="22"/>
                <w:szCs w:val="22"/>
              </w:rPr>
              <w:t>Le présent Compte spécial a pour objet de recevoir des contributions émanant de sources telles que mentionnées dans l’article 4.1 ci-après et de réaliser des paiements, en vue de contribuer à la sauvegarde du patrimoine culturel immatériel conformément aux dispositions de la Convention et au présent Règlement.</w:t>
            </w:r>
          </w:p>
        </w:tc>
        <w:tc>
          <w:tcPr>
            <w:tcW w:w="1417" w:type="dxa"/>
            <w:tcBorders>
              <w:right w:val="nil"/>
            </w:tcBorders>
          </w:tcPr>
          <w:p w14:paraId="00AA5C6E" w14:textId="77777777" w:rsidR="00ED1CFF" w:rsidRPr="00043F97" w:rsidRDefault="00ED1CFF" w:rsidP="008B3BEC">
            <w:pPr>
              <w:spacing w:after="120"/>
              <w:rPr>
                <w:rFonts w:ascii="Arial" w:hAnsi="Arial" w:cs="Arial"/>
                <w:sz w:val="22"/>
                <w:szCs w:val="22"/>
              </w:rPr>
            </w:pPr>
          </w:p>
        </w:tc>
        <w:tc>
          <w:tcPr>
            <w:tcW w:w="7371" w:type="dxa"/>
            <w:tcBorders>
              <w:left w:val="nil"/>
            </w:tcBorders>
          </w:tcPr>
          <w:p w14:paraId="22A89A17" w14:textId="7418D506" w:rsidR="00ED1CFF" w:rsidRPr="00234E68" w:rsidRDefault="00D37EE8" w:rsidP="008B3BEC">
            <w:pPr>
              <w:spacing w:after="120"/>
              <w:rPr>
                <w:rFonts w:ascii="Arial" w:hAnsi="Arial" w:cs="Arial"/>
                <w:sz w:val="22"/>
                <w:szCs w:val="22"/>
              </w:rPr>
            </w:pPr>
            <w:r w:rsidRPr="002A0DB0">
              <w:rPr>
                <w:rFonts w:ascii="Arial" w:hAnsi="Arial"/>
                <w:b/>
                <w:bCs/>
                <w:sz w:val="22"/>
                <w:szCs w:val="22"/>
                <w:u w:val="single"/>
              </w:rPr>
              <w:t>Conformément à l’article 25 de la Convention,</w:t>
            </w:r>
            <w:r>
              <w:rPr>
                <w:rFonts w:ascii="Arial" w:hAnsi="Arial"/>
                <w:sz w:val="22"/>
                <w:szCs w:val="22"/>
              </w:rPr>
              <w:t xml:space="preserve"> l</w:t>
            </w:r>
            <w:r w:rsidR="00ED1CFF">
              <w:rPr>
                <w:rFonts w:ascii="Arial" w:hAnsi="Arial"/>
                <w:sz w:val="22"/>
                <w:szCs w:val="22"/>
              </w:rPr>
              <w:t xml:space="preserve">e présent Compte spécial a pour objet de recevoir des contributions émanant de sources telles que mentionnées dans </w:t>
            </w:r>
            <w:r w:rsidR="00ED1CFF">
              <w:rPr>
                <w:rFonts w:ascii="Arial" w:hAnsi="Arial"/>
                <w:strike/>
                <w:sz w:val="22"/>
                <w:szCs w:val="22"/>
              </w:rPr>
              <w:t>l’article 4.1</w:t>
            </w:r>
            <w:r w:rsidR="00ED1CFF">
              <w:rPr>
                <w:rFonts w:ascii="Arial" w:hAnsi="Arial"/>
                <w:sz w:val="22"/>
                <w:szCs w:val="22"/>
              </w:rPr>
              <w:t xml:space="preserve"> </w:t>
            </w:r>
            <w:r w:rsidR="00ED1CFF">
              <w:rPr>
                <w:rFonts w:ascii="Arial" w:hAnsi="Arial"/>
                <w:b/>
                <w:bCs/>
                <w:sz w:val="22"/>
                <w:szCs w:val="22"/>
                <w:u w:val="single"/>
              </w:rPr>
              <w:t>l’article 5.1</w:t>
            </w:r>
            <w:r w:rsidR="00ED1CFF">
              <w:rPr>
                <w:rFonts w:ascii="Arial" w:hAnsi="Arial"/>
                <w:sz w:val="22"/>
                <w:szCs w:val="22"/>
              </w:rPr>
              <w:t xml:space="preserve"> ci-après et de réaliser des paiements, en vue de contribuer à la sauvegarde du patrimoine culturel immatériel conformément aux dispositions de la Convention et au présent Règlement.</w:t>
            </w:r>
          </w:p>
        </w:tc>
      </w:tr>
      <w:tr w:rsidR="00ED1CFF" w:rsidRPr="00234E68" w14:paraId="5F08E566" w14:textId="77777777" w:rsidTr="002A0DB0">
        <w:trPr>
          <w:cantSplit/>
        </w:trPr>
        <w:tc>
          <w:tcPr>
            <w:tcW w:w="1129" w:type="dxa"/>
            <w:tcBorders>
              <w:right w:val="nil"/>
            </w:tcBorders>
          </w:tcPr>
          <w:p w14:paraId="60935D52" w14:textId="77777777" w:rsidR="00ED1CFF" w:rsidRPr="00043F97" w:rsidRDefault="00ED1CFF" w:rsidP="008B3BEC">
            <w:pPr>
              <w:spacing w:after="120"/>
              <w:rPr>
                <w:rFonts w:ascii="Arial" w:hAnsi="Arial" w:cs="Arial"/>
                <w:sz w:val="22"/>
                <w:szCs w:val="22"/>
              </w:rPr>
            </w:pPr>
          </w:p>
        </w:tc>
        <w:tc>
          <w:tcPr>
            <w:tcW w:w="4253" w:type="dxa"/>
            <w:tcBorders>
              <w:left w:val="nil"/>
            </w:tcBorders>
          </w:tcPr>
          <w:p w14:paraId="10700ECC" w14:textId="77777777" w:rsidR="00ED1CFF" w:rsidRPr="00043F97" w:rsidRDefault="00ED1CFF" w:rsidP="008B3BEC">
            <w:pPr>
              <w:spacing w:after="120"/>
              <w:rPr>
                <w:rFonts w:ascii="Arial" w:hAnsi="Arial" w:cs="Arial"/>
                <w:sz w:val="22"/>
                <w:szCs w:val="22"/>
              </w:rPr>
            </w:pPr>
          </w:p>
        </w:tc>
        <w:tc>
          <w:tcPr>
            <w:tcW w:w="1417" w:type="dxa"/>
            <w:tcBorders>
              <w:right w:val="nil"/>
            </w:tcBorders>
          </w:tcPr>
          <w:p w14:paraId="35F47330" w14:textId="77777777" w:rsidR="00ED1CFF" w:rsidRPr="00234E68" w:rsidRDefault="00ED1CFF" w:rsidP="008B3BEC">
            <w:pPr>
              <w:keepNext/>
              <w:suppressAutoHyphens/>
              <w:spacing w:after="120"/>
              <w:outlineLvl w:val="7"/>
              <w:rPr>
                <w:rFonts w:ascii="Arial" w:hAnsi="Arial" w:cs="Arial"/>
                <w:b/>
                <w:bCs/>
                <w:sz w:val="22"/>
                <w:szCs w:val="22"/>
                <w:u w:val="single"/>
              </w:rPr>
            </w:pPr>
            <w:r>
              <w:rPr>
                <w:rFonts w:ascii="Arial" w:hAnsi="Arial"/>
                <w:b/>
                <w:bCs/>
                <w:sz w:val="22"/>
                <w:szCs w:val="22"/>
                <w:u w:val="single"/>
              </w:rPr>
              <w:t>Article 4</w:t>
            </w:r>
          </w:p>
        </w:tc>
        <w:tc>
          <w:tcPr>
            <w:tcW w:w="7371" w:type="dxa"/>
            <w:tcBorders>
              <w:left w:val="nil"/>
            </w:tcBorders>
          </w:tcPr>
          <w:p w14:paraId="7DF3D26C" w14:textId="77777777" w:rsidR="00ED1CFF" w:rsidRPr="00234E68" w:rsidRDefault="00ED1CFF" w:rsidP="008B3BEC">
            <w:pPr>
              <w:keepNext/>
              <w:keepLines/>
              <w:suppressAutoHyphens/>
              <w:spacing w:after="120"/>
              <w:outlineLvl w:val="7"/>
              <w:rPr>
                <w:rFonts w:ascii="Arial" w:hAnsi="Arial" w:cs="Arial"/>
                <w:b/>
                <w:bCs/>
                <w:sz w:val="22"/>
                <w:szCs w:val="22"/>
                <w:u w:val="single"/>
              </w:rPr>
            </w:pPr>
            <w:r>
              <w:rPr>
                <w:rFonts w:ascii="Arial" w:hAnsi="Arial"/>
                <w:b/>
                <w:bCs/>
                <w:sz w:val="22"/>
                <w:szCs w:val="22"/>
                <w:u w:val="single"/>
              </w:rPr>
              <w:t>Gouvernance</w:t>
            </w:r>
          </w:p>
        </w:tc>
      </w:tr>
      <w:tr w:rsidR="00ED1CFF" w:rsidRPr="00E869B7" w14:paraId="458306E0" w14:textId="77777777" w:rsidTr="002A0DB0">
        <w:trPr>
          <w:cantSplit/>
        </w:trPr>
        <w:tc>
          <w:tcPr>
            <w:tcW w:w="1129" w:type="dxa"/>
            <w:tcBorders>
              <w:right w:val="nil"/>
            </w:tcBorders>
          </w:tcPr>
          <w:p w14:paraId="73556F64" w14:textId="77777777" w:rsidR="00ED1CFF" w:rsidRPr="00234E68" w:rsidRDefault="00ED1CFF" w:rsidP="008B3BEC">
            <w:pPr>
              <w:spacing w:after="120"/>
              <w:rPr>
                <w:rFonts w:ascii="Arial" w:hAnsi="Arial" w:cs="Arial"/>
                <w:sz w:val="22"/>
                <w:szCs w:val="22"/>
                <w:lang w:val="en-US"/>
              </w:rPr>
            </w:pPr>
          </w:p>
        </w:tc>
        <w:tc>
          <w:tcPr>
            <w:tcW w:w="4253" w:type="dxa"/>
            <w:tcBorders>
              <w:left w:val="nil"/>
            </w:tcBorders>
          </w:tcPr>
          <w:p w14:paraId="2F9F3A67" w14:textId="77777777" w:rsidR="00ED1CFF" w:rsidRPr="00234E68" w:rsidRDefault="00ED1CFF" w:rsidP="008B3BEC">
            <w:pPr>
              <w:spacing w:after="120"/>
              <w:rPr>
                <w:rFonts w:ascii="Arial" w:hAnsi="Arial" w:cs="Arial"/>
                <w:sz w:val="22"/>
                <w:szCs w:val="22"/>
                <w:lang w:val="en-US"/>
              </w:rPr>
            </w:pPr>
          </w:p>
        </w:tc>
        <w:tc>
          <w:tcPr>
            <w:tcW w:w="1417" w:type="dxa"/>
            <w:tcBorders>
              <w:right w:val="nil"/>
            </w:tcBorders>
          </w:tcPr>
          <w:p w14:paraId="0A904AA0" w14:textId="77777777" w:rsidR="00ED1CFF" w:rsidRPr="00234E68" w:rsidRDefault="00ED1CFF" w:rsidP="008B3BEC">
            <w:pPr>
              <w:suppressAutoHyphens/>
              <w:spacing w:after="120"/>
              <w:rPr>
                <w:rFonts w:ascii="Arial" w:hAnsi="Arial" w:cs="Arial"/>
                <w:sz w:val="22"/>
                <w:szCs w:val="22"/>
              </w:rPr>
            </w:pPr>
            <w:r>
              <w:rPr>
                <w:rFonts w:ascii="Arial" w:hAnsi="Arial"/>
                <w:b/>
                <w:bCs/>
                <w:sz w:val="22"/>
                <w:szCs w:val="22"/>
                <w:u w:val="single"/>
              </w:rPr>
              <w:t>4.1</w:t>
            </w:r>
            <w:r>
              <w:rPr>
                <w:rFonts w:ascii="Arial" w:hAnsi="Arial"/>
                <w:sz w:val="22"/>
                <w:szCs w:val="22"/>
              </w:rPr>
              <w:t xml:space="preserve"> </w:t>
            </w:r>
          </w:p>
        </w:tc>
        <w:tc>
          <w:tcPr>
            <w:tcW w:w="7371" w:type="dxa"/>
            <w:tcBorders>
              <w:left w:val="nil"/>
            </w:tcBorders>
          </w:tcPr>
          <w:p w14:paraId="5C8BA15B" w14:textId="77B13F96" w:rsidR="00ED1CFF" w:rsidRPr="00234E68" w:rsidRDefault="00ED1CFF" w:rsidP="008B3BEC">
            <w:pPr>
              <w:spacing w:after="120"/>
              <w:rPr>
                <w:rFonts w:ascii="Arial" w:hAnsi="Arial" w:cs="Arial"/>
                <w:b/>
                <w:bCs/>
                <w:sz w:val="22"/>
                <w:szCs w:val="22"/>
                <w:u w:val="single"/>
              </w:rPr>
            </w:pPr>
            <w:r>
              <w:rPr>
                <w:rFonts w:ascii="Arial" w:hAnsi="Arial"/>
                <w:b/>
                <w:bCs/>
                <w:sz w:val="22"/>
                <w:szCs w:val="22"/>
                <w:u w:val="single"/>
              </w:rPr>
              <w:t>L’Assemblée générale des États parties (ci-après dénommée</w:t>
            </w:r>
            <w:r>
              <w:rPr>
                <w:rFonts w:ascii="Arial" w:hAnsi="Arial"/>
                <w:sz w:val="22"/>
                <w:szCs w:val="22"/>
              </w:rPr>
              <w:t xml:space="preserve"> </w:t>
            </w:r>
            <w:r>
              <w:rPr>
                <w:rFonts w:ascii="Arial" w:hAnsi="Arial"/>
                <w:b/>
                <w:bCs/>
                <w:sz w:val="22"/>
                <w:szCs w:val="22"/>
                <w:u w:val="single"/>
              </w:rPr>
              <w:t>« l’Assemblée générale ») a pouvoir de décider de l’allocation des ressources dans le cadre de ce Compte spécial.</w:t>
            </w:r>
          </w:p>
        </w:tc>
      </w:tr>
      <w:tr w:rsidR="00C90202" w:rsidRPr="00E869B7" w14:paraId="67437827" w14:textId="77777777" w:rsidTr="002A0DB0">
        <w:trPr>
          <w:cantSplit/>
        </w:trPr>
        <w:tc>
          <w:tcPr>
            <w:tcW w:w="1129" w:type="dxa"/>
            <w:tcBorders>
              <w:right w:val="nil"/>
            </w:tcBorders>
          </w:tcPr>
          <w:p w14:paraId="179B11AC" w14:textId="77777777" w:rsidR="00C90202" w:rsidRPr="007402CA" w:rsidRDefault="00C90202" w:rsidP="008B3BEC">
            <w:pPr>
              <w:spacing w:after="120"/>
              <w:rPr>
                <w:rFonts w:ascii="Arial" w:hAnsi="Arial" w:cs="Arial"/>
                <w:sz w:val="22"/>
                <w:szCs w:val="22"/>
              </w:rPr>
            </w:pPr>
          </w:p>
        </w:tc>
        <w:tc>
          <w:tcPr>
            <w:tcW w:w="4253" w:type="dxa"/>
            <w:tcBorders>
              <w:left w:val="nil"/>
            </w:tcBorders>
          </w:tcPr>
          <w:p w14:paraId="3301B07A" w14:textId="77777777" w:rsidR="00C90202" w:rsidRPr="007402CA" w:rsidRDefault="00C90202" w:rsidP="008B3BEC">
            <w:pPr>
              <w:spacing w:after="120"/>
              <w:rPr>
                <w:rFonts w:ascii="Arial" w:hAnsi="Arial" w:cs="Arial"/>
                <w:sz w:val="22"/>
                <w:szCs w:val="22"/>
              </w:rPr>
            </w:pPr>
          </w:p>
        </w:tc>
        <w:tc>
          <w:tcPr>
            <w:tcW w:w="1417" w:type="dxa"/>
            <w:tcBorders>
              <w:right w:val="nil"/>
            </w:tcBorders>
          </w:tcPr>
          <w:p w14:paraId="62DC0C9D" w14:textId="53BD89E2" w:rsidR="00C90202" w:rsidRDefault="00C90202" w:rsidP="008B3BEC">
            <w:pPr>
              <w:suppressAutoHyphens/>
              <w:spacing w:after="120"/>
              <w:rPr>
                <w:rFonts w:ascii="Arial" w:hAnsi="Arial"/>
                <w:b/>
                <w:bCs/>
                <w:sz w:val="22"/>
                <w:szCs w:val="22"/>
                <w:u w:val="single"/>
              </w:rPr>
            </w:pPr>
            <w:r>
              <w:rPr>
                <w:rFonts w:ascii="Arial" w:hAnsi="Arial"/>
                <w:b/>
                <w:bCs/>
                <w:sz w:val="22"/>
                <w:szCs w:val="22"/>
                <w:u w:val="single"/>
              </w:rPr>
              <w:t>4.2</w:t>
            </w:r>
          </w:p>
        </w:tc>
        <w:tc>
          <w:tcPr>
            <w:tcW w:w="7371" w:type="dxa"/>
            <w:tcBorders>
              <w:left w:val="nil"/>
            </w:tcBorders>
          </w:tcPr>
          <w:p w14:paraId="2EDCCA23" w14:textId="52905575" w:rsidR="00C90202" w:rsidRDefault="00C90202" w:rsidP="008B3BEC">
            <w:pPr>
              <w:spacing w:after="120"/>
              <w:rPr>
                <w:rFonts w:ascii="Arial" w:hAnsi="Arial"/>
                <w:b/>
                <w:bCs/>
                <w:sz w:val="22"/>
                <w:szCs w:val="22"/>
                <w:u w:val="single"/>
              </w:rPr>
            </w:pPr>
            <w:r w:rsidRPr="007402CA">
              <w:rPr>
                <w:rFonts w:ascii="Arial" w:hAnsi="Arial"/>
                <w:b/>
                <w:bCs/>
                <w:sz w:val="22"/>
                <w:szCs w:val="22"/>
                <w:u w:val="single"/>
              </w:rPr>
              <w:t>Conformément à l’article 7 de la Convention, le Comité intergouvernemental de sauvegarde du patrimoine culturel immatériel (ci-après « le Comité ») prépare et soumet à l’approbation de l’Assemblée générale un projet d’utilisation des ressources du Fond, conformément à l’article 25 de la Convention.</w:t>
            </w:r>
          </w:p>
        </w:tc>
      </w:tr>
      <w:tr w:rsidR="00ED1CFF" w:rsidRPr="00E869B7" w14:paraId="1451482D" w14:textId="77777777" w:rsidTr="002A0DB0">
        <w:trPr>
          <w:cantSplit/>
        </w:trPr>
        <w:tc>
          <w:tcPr>
            <w:tcW w:w="1129" w:type="dxa"/>
            <w:tcBorders>
              <w:right w:val="nil"/>
            </w:tcBorders>
          </w:tcPr>
          <w:p w14:paraId="4EAB99D0" w14:textId="65E159CC" w:rsidR="00ED1CFF" w:rsidRPr="00043F97" w:rsidRDefault="00ED1CFF" w:rsidP="008B3BEC">
            <w:pPr>
              <w:spacing w:after="120"/>
              <w:rPr>
                <w:rFonts w:ascii="Arial" w:hAnsi="Arial" w:cs="Arial"/>
                <w:sz w:val="22"/>
                <w:szCs w:val="22"/>
              </w:rPr>
            </w:pPr>
          </w:p>
        </w:tc>
        <w:tc>
          <w:tcPr>
            <w:tcW w:w="4253" w:type="dxa"/>
            <w:tcBorders>
              <w:left w:val="nil"/>
            </w:tcBorders>
          </w:tcPr>
          <w:p w14:paraId="2838A39F" w14:textId="77777777" w:rsidR="00ED1CFF" w:rsidRPr="00043F97" w:rsidRDefault="00ED1CFF" w:rsidP="008B3BEC">
            <w:pPr>
              <w:spacing w:after="120"/>
              <w:rPr>
                <w:rFonts w:ascii="Arial" w:hAnsi="Arial" w:cs="Arial"/>
                <w:sz w:val="22"/>
                <w:szCs w:val="22"/>
              </w:rPr>
            </w:pPr>
          </w:p>
        </w:tc>
        <w:tc>
          <w:tcPr>
            <w:tcW w:w="1417" w:type="dxa"/>
            <w:tcBorders>
              <w:right w:val="nil"/>
            </w:tcBorders>
          </w:tcPr>
          <w:p w14:paraId="1FE9C32F" w14:textId="6103742C" w:rsidR="00ED1CFF" w:rsidRPr="00234E68" w:rsidRDefault="00ED1CFF" w:rsidP="008B3BEC">
            <w:pPr>
              <w:suppressAutoHyphens/>
              <w:spacing w:after="120"/>
              <w:rPr>
                <w:rFonts w:ascii="Arial" w:hAnsi="Arial" w:cs="Arial"/>
                <w:sz w:val="22"/>
                <w:szCs w:val="22"/>
              </w:rPr>
            </w:pPr>
            <w:r>
              <w:rPr>
                <w:rFonts w:ascii="Arial" w:hAnsi="Arial"/>
                <w:b/>
                <w:bCs/>
                <w:sz w:val="22"/>
                <w:szCs w:val="22"/>
                <w:u w:val="single"/>
              </w:rPr>
              <w:t>4.</w:t>
            </w:r>
            <w:r w:rsidR="00C90202">
              <w:rPr>
                <w:rFonts w:ascii="Arial" w:hAnsi="Arial"/>
                <w:b/>
                <w:bCs/>
                <w:sz w:val="22"/>
                <w:szCs w:val="22"/>
                <w:u w:val="single"/>
              </w:rPr>
              <w:t>3</w:t>
            </w:r>
          </w:p>
        </w:tc>
        <w:tc>
          <w:tcPr>
            <w:tcW w:w="7371" w:type="dxa"/>
            <w:tcBorders>
              <w:left w:val="nil"/>
            </w:tcBorders>
          </w:tcPr>
          <w:p w14:paraId="65F1B34B" w14:textId="3176E530" w:rsidR="00ED1CFF" w:rsidRPr="00234E68" w:rsidRDefault="00ED1CFF" w:rsidP="008B3BEC">
            <w:pPr>
              <w:spacing w:after="120"/>
              <w:ind w:left="-1" w:firstLine="2"/>
              <w:rPr>
                <w:rFonts w:ascii="Arial" w:hAnsi="Arial" w:cs="Arial"/>
                <w:b/>
                <w:bCs/>
                <w:sz w:val="22"/>
                <w:szCs w:val="22"/>
                <w:u w:val="single"/>
              </w:rPr>
            </w:pPr>
            <w:r>
              <w:rPr>
                <w:rFonts w:ascii="Arial" w:hAnsi="Arial"/>
                <w:b/>
                <w:bCs/>
                <w:sz w:val="22"/>
                <w:szCs w:val="22"/>
                <w:u w:val="single"/>
              </w:rPr>
              <w:t>Le</w:t>
            </w:r>
            <w:r w:rsidR="00D778B8">
              <w:rPr>
                <w:rFonts w:ascii="Arial" w:hAnsi="Arial"/>
                <w:b/>
                <w:bCs/>
                <w:sz w:val="22"/>
                <w:szCs w:val="22"/>
                <w:u w:val="single"/>
              </w:rPr>
              <w:t>/la</w:t>
            </w:r>
            <w:r>
              <w:rPr>
                <w:rFonts w:ascii="Arial" w:hAnsi="Arial"/>
                <w:b/>
                <w:bCs/>
                <w:sz w:val="22"/>
                <w:szCs w:val="22"/>
                <w:u w:val="single"/>
              </w:rPr>
              <w:t xml:space="preserve"> Directeur</w:t>
            </w:r>
            <w:r w:rsidR="00D778B8">
              <w:rPr>
                <w:rFonts w:ascii="Arial" w:hAnsi="Arial"/>
                <w:b/>
                <w:bCs/>
                <w:sz w:val="22"/>
                <w:szCs w:val="22"/>
                <w:u w:val="single"/>
              </w:rPr>
              <w:t>/Directrice</w:t>
            </w:r>
            <w:r>
              <w:rPr>
                <w:rFonts w:ascii="Arial" w:hAnsi="Arial"/>
                <w:b/>
                <w:bCs/>
                <w:sz w:val="22"/>
                <w:szCs w:val="22"/>
                <w:u w:val="single"/>
              </w:rPr>
              <w:t xml:space="preserve"> général</w:t>
            </w:r>
            <w:r w:rsidR="00D778B8">
              <w:rPr>
                <w:rFonts w:ascii="Arial" w:hAnsi="Arial"/>
                <w:b/>
                <w:bCs/>
                <w:sz w:val="22"/>
                <w:szCs w:val="22"/>
                <w:u w:val="single"/>
              </w:rPr>
              <w:t>(e)</w:t>
            </w:r>
            <w:r>
              <w:rPr>
                <w:rFonts w:ascii="Arial" w:hAnsi="Arial"/>
                <w:b/>
                <w:bCs/>
                <w:sz w:val="22"/>
                <w:szCs w:val="22"/>
                <w:u w:val="single"/>
              </w:rPr>
              <w:t xml:space="preserve"> gère et administre les fonds du Compte spécial conformément au texte de la Convention, </w:t>
            </w:r>
            <w:r w:rsidR="00B53C73">
              <w:rPr>
                <w:rFonts w:ascii="Arial" w:hAnsi="Arial"/>
                <w:b/>
                <w:bCs/>
                <w:sz w:val="22"/>
                <w:szCs w:val="22"/>
                <w:u w:val="single"/>
              </w:rPr>
              <w:t xml:space="preserve">aux Directives opérationnelles, </w:t>
            </w:r>
            <w:r>
              <w:rPr>
                <w:rFonts w:ascii="Arial" w:hAnsi="Arial"/>
                <w:b/>
                <w:bCs/>
                <w:sz w:val="22"/>
                <w:szCs w:val="22"/>
                <w:u w:val="single"/>
              </w:rPr>
              <w:t>aux décisions approuvées par l’Assemblée générale et le Comité, et au présent Règlement financier.</w:t>
            </w:r>
          </w:p>
        </w:tc>
      </w:tr>
      <w:tr w:rsidR="00ED1CFF" w:rsidRPr="00E869B7" w14:paraId="7D8B2B42" w14:textId="77777777" w:rsidTr="002A0DB0">
        <w:trPr>
          <w:cantSplit/>
        </w:trPr>
        <w:tc>
          <w:tcPr>
            <w:tcW w:w="1129" w:type="dxa"/>
            <w:tcBorders>
              <w:right w:val="nil"/>
            </w:tcBorders>
          </w:tcPr>
          <w:p w14:paraId="0D4AAFDB" w14:textId="77777777" w:rsidR="00ED1CFF" w:rsidRPr="00043F97" w:rsidRDefault="00ED1CFF" w:rsidP="008B3BEC">
            <w:pPr>
              <w:spacing w:after="120"/>
              <w:rPr>
                <w:rFonts w:ascii="Arial" w:hAnsi="Arial" w:cs="Arial"/>
                <w:sz w:val="22"/>
                <w:szCs w:val="22"/>
              </w:rPr>
            </w:pPr>
          </w:p>
        </w:tc>
        <w:tc>
          <w:tcPr>
            <w:tcW w:w="4253" w:type="dxa"/>
            <w:tcBorders>
              <w:left w:val="nil"/>
            </w:tcBorders>
          </w:tcPr>
          <w:p w14:paraId="05491F4E" w14:textId="77777777" w:rsidR="00ED1CFF" w:rsidRPr="00043F97" w:rsidRDefault="00ED1CFF" w:rsidP="008B3BEC">
            <w:pPr>
              <w:spacing w:after="120"/>
              <w:rPr>
                <w:rFonts w:ascii="Arial" w:hAnsi="Arial" w:cs="Arial"/>
                <w:sz w:val="22"/>
                <w:szCs w:val="22"/>
              </w:rPr>
            </w:pPr>
          </w:p>
        </w:tc>
        <w:tc>
          <w:tcPr>
            <w:tcW w:w="1417" w:type="dxa"/>
            <w:tcBorders>
              <w:right w:val="nil"/>
            </w:tcBorders>
          </w:tcPr>
          <w:p w14:paraId="6142B665" w14:textId="5C8CA2A3" w:rsidR="00ED1CFF" w:rsidRPr="00234E68" w:rsidRDefault="00ED1CFF" w:rsidP="008B3BEC">
            <w:pPr>
              <w:suppressAutoHyphens/>
              <w:spacing w:after="120"/>
              <w:rPr>
                <w:rFonts w:ascii="Arial" w:hAnsi="Arial" w:cs="Arial"/>
                <w:b/>
                <w:bCs/>
                <w:spacing w:val="-3"/>
                <w:sz w:val="22"/>
                <w:szCs w:val="22"/>
                <w:u w:val="single"/>
              </w:rPr>
            </w:pPr>
            <w:r>
              <w:rPr>
                <w:rFonts w:ascii="Arial" w:hAnsi="Arial"/>
                <w:b/>
                <w:bCs/>
                <w:sz w:val="22"/>
                <w:szCs w:val="22"/>
                <w:u w:val="single"/>
              </w:rPr>
              <w:t>4.</w:t>
            </w:r>
            <w:r w:rsidR="00C90202">
              <w:rPr>
                <w:rFonts w:ascii="Arial" w:hAnsi="Arial"/>
                <w:b/>
                <w:bCs/>
                <w:sz w:val="22"/>
                <w:szCs w:val="22"/>
                <w:u w:val="single"/>
              </w:rPr>
              <w:t>4</w:t>
            </w:r>
          </w:p>
        </w:tc>
        <w:tc>
          <w:tcPr>
            <w:tcW w:w="7371" w:type="dxa"/>
            <w:tcBorders>
              <w:left w:val="nil"/>
            </w:tcBorders>
          </w:tcPr>
          <w:p w14:paraId="575C3055" w14:textId="62A5AB07" w:rsidR="00ED1CFF" w:rsidRPr="00234E68" w:rsidRDefault="00D778B8" w:rsidP="008B3BEC">
            <w:pPr>
              <w:spacing w:after="120"/>
              <w:ind w:left="-1" w:firstLine="2"/>
              <w:rPr>
                <w:rFonts w:ascii="Arial" w:hAnsi="Arial" w:cs="Arial"/>
                <w:b/>
                <w:bCs/>
                <w:sz w:val="22"/>
                <w:szCs w:val="22"/>
                <w:u w:val="single"/>
              </w:rPr>
            </w:pPr>
            <w:r>
              <w:rPr>
                <w:rFonts w:ascii="Arial" w:hAnsi="Arial"/>
                <w:b/>
                <w:bCs/>
                <w:sz w:val="22"/>
                <w:szCs w:val="22"/>
                <w:u w:val="single"/>
              </w:rPr>
              <w:t>Le/la Directeur/Directrice général(e)</w:t>
            </w:r>
            <w:r w:rsidR="00ED1CFF">
              <w:rPr>
                <w:rFonts w:ascii="Arial" w:hAnsi="Arial"/>
                <w:b/>
                <w:bCs/>
                <w:sz w:val="22"/>
                <w:szCs w:val="22"/>
                <w:u w:val="single"/>
              </w:rPr>
              <w:t xml:space="preserve"> soumet tous les deux ans à l’Assemblée générale et au Comité les rapports narratifs et financiers comme indiqué à l’article 10 ci-après.</w:t>
            </w:r>
          </w:p>
        </w:tc>
      </w:tr>
      <w:tr w:rsidR="00ED1CFF" w:rsidRPr="00234E68" w14:paraId="27CB262B" w14:textId="77777777" w:rsidTr="002A0DB0">
        <w:trPr>
          <w:cantSplit/>
        </w:trPr>
        <w:tc>
          <w:tcPr>
            <w:tcW w:w="1129" w:type="dxa"/>
            <w:tcBorders>
              <w:bottom w:val="single" w:sz="4" w:space="0" w:color="auto"/>
              <w:right w:val="nil"/>
            </w:tcBorders>
          </w:tcPr>
          <w:p w14:paraId="5F07801B" w14:textId="77777777" w:rsidR="00ED1CFF" w:rsidRPr="00234E68" w:rsidRDefault="00ED1CFF" w:rsidP="002A0DB0">
            <w:pPr>
              <w:keepNext/>
              <w:spacing w:after="120"/>
              <w:rPr>
                <w:rFonts w:ascii="Arial" w:hAnsi="Arial" w:cs="Arial"/>
                <w:b/>
                <w:sz w:val="22"/>
                <w:szCs w:val="22"/>
              </w:rPr>
            </w:pPr>
            <w:r>
              <w:rPr>
                <w:rFonts w:ascii="Arial" w:hAnsi="Arial"/>
                <w:b/>
                <w:sz w:val="22"/>
                <w:szCs w:val="22"/>
              </w:rPr>
              <w:lastRenderedPageBreak/>
              <w:t>Article 4</w:t>
            </w:r>
          </w:p>
        </w:tc>
        <w:tc>
          <w:tcPr>
            <w:tcW w:w="4253" w:type="dxa"/>
            <w:tcBorders>
              <w:left w:val="nil"/>
            </w:tcBorders>
          </w:tcPr>
          <w:p w14:paraId="3DCA72D6" w14:textId="77777777" w:rsidR="00ED1CFF" w:rsidRPr="00234E68" w:rsidRDefault="00ED1CFF" w:rsidP="002A0DB0">
            <w:pPr>
              <w:keepNext/>
              <w:spacing w:after="120"/>
              <w:rPr>
                <w:rFonts w:ascii="Arial" w:hAnsi="Arial" w:cs="Arial"/>
                <w:b/>
                <w:sz w:val="22"/>
                <w:szCs w:val="22"/>
              </w:rPr>
            </w:pPr>
            <w:r>
              <w:rPr>
                <w:rFonts w:ascii="Arial" w:hAnsi="Arial"/>
                <w:b/>
                <w:sz w:val="22"/>
                <w:szCs w:val="22"/>
              </w:rPr>
              <w:t>Recettes</w:t>
            </w:r>
          </w:p>
        </w:tc>
        <w:tc>
          <w:tcPr>
            <w:tcW w:w="1417" w:type="dxa"/>
            <w:tcBorders>
              <w:right w:val="nil"/>
            </w:tcBorders>
          </w:tcPr>
          <w:p w14:paraId="1AA44C38" w14:textId="77E9284C" w:rsidR="00ED1CFF" w:rsidRPr="00234E68" w:rsidRDefault="00ED1CFF">
            <w:pPr>
              <w:keepNext/>
              <w:suppressAutoHyphens/>
              <w:spacing w:after="120"/>
              <w:outlineLvl w:val="7"/>
              <w:rPr>
                <w:rFonts w:ascii="Arial" w:hAnsi="Arial" w:cs="Arial"/>
                <w:b/>
                <w:sz w:val="22"/>
                <w:szCs w:val="22"/>
              </w:rPr>
            </w:pPr>
            <w:r>
              <w:rPr>
                <w:rFonts w:ascii="Arial" w:hAnsi="Arial"/>
                <w:b/>
                <w:bCs/>
                <w:sz w:val="22"/>
                <w:szCs w:val="22"/>
              </w:rPr>
              <w:t>Article</w:t>
            </w:r>
            <w:r w:rsidR="00F92447">
              <w:rPr>
                <w:rFonts w:ascii="Arial" w:hAnsi="Arial"/>
                <w:b/>
                <w:bCs/>
                <w:sz w:val="22"/>
                <w:szCs w:val="22"/>
              </w:rPr>
              <w:t xml:space="preserve"> </w:t>
            </w:r>
            <w:r>
              <w:rPr>
                <w:rFonts w:ascii="Arial" w:hAnsi="Arial"/>
                <w:b/>
                <w:strike/>
                <w:sz w:val="22"/>
                <w:szCs w:val="22"/>
              </w:rPr>
              <w:t>4</w:t>
            </w:r>
            <w:r>
              <w:rPr>
                <w:rFonts w:ascii="Arial" w:hAnsi="Arial"/>
                <w:b/>
                <w:bCs/>
                <w:sz w:val="22"/>
                <w:szCs w:val="22"/>
                <w:u w:val="single"/>
              </w:rPr>
              <w:t>5</w:t>
            </w:r>
          </w:p>
        </w:tc>
        <w:tc>
          <w:tcPr>
            <w:tcW w:w="7371" w:type="dxa"/>
            <w:tcBorders>
              <w:left w:val="nil"/>
            </w:tcBorders>
          </w:tcPr>
          <w:p w14:paraId="2C0CB6F8" w14:textId="77777777" w:rsidR="00ED1CFF" w:rsidRPr="00234E68" w:rsidRDefault="00ED1CFF">
            <w:pPr>
              <w:keepNext/>
              <w:suppressAutoHyphens/>
              <w:spacing w:after="120"/>
              <w:outlineLvl w:val="7"/>
              <w:rPr>
                <w:rFonts w:ascii="Arial" w:hAnsi="Arial" w:cs="Arial"/>
                <w:bCs/>
                <w:sz w:val="22"/>
                <w:szCs w:val="22"/>
              </w:rPr>
            </w:pPr>
            <w:r>
              <w:rPr>
                <w:rFonts w:ascii="Arial" w:hAnsi="Arial"/>
                <w:bCs/>
                <w:sz w:val="22"/>
                <w:szCs w:val="22"/>
              </w:rPr>
              <w:t>Aucun changement.</w:t>
            </w:r>
          </w:p>
        </w:tc>
      </w:tr>
      <w:tr w:rsidR="00ED1CFF" w:rsidRPr="00E869B7" w14:paraId="0F48DFBD" w14:textId="77777777" w:rsidTr="002A0DB0">
        <w:trPr>
          <w:cantSplit/>
        </w:trPr>
        <w:tc>
          <w:tcPr>
            <w:tcW w:w="1129" w:type="dxa"/>
            <w:tcBorders>
              <w:right w:val="nil"/>
            </w:tcBorders>
          </w:tcPr>
          <w:p w14:paraId="3783F74B" w14:textId="77777777" w:rsidR="00ED1CFF" w:rsidRPr="00234E68" w:rsidRDefault="00ED1CFF" w:rsidP="008B3BEC">
            <w:pPr>
              <w:ind w:right="34"/>
              <w:rPr>
                <w:rFonts w:ascii="Arial" w:hAnsi="Arial" w:cs="Arial"/>
                <w:sz w:val="22"/>
                <w:szCs w:val="22"/>
              </w:rPr>
            </w:pPr>
            <w:r>
              <w:rPr>
                <w:rFonts w:ascii="Arial" w:hAnsi="Arial"/>
                <w:sz w:val="22"/>
                <w:szCs w:val="22"/>
              </w:rPr>
              <w:t>4.1</w:t>
            </w:r>
          </w:p>
        </w:tc>
        <w:tc>
          <w:tcPr>
            <w:tcW w:w="4253" w:type="dxa"/>
            <w:tcBorders>
              <w:left w:val="nil"/>
            </w:tcBorders>
          </w:tcPr>
          <w:p w14:paraId="5CB2D083" w14:textId="000A01DB" w:rsidR="00ED1CFF" w:rsidRPr="00234E68" w:rsidRDefault="00ED1CFF" w:rsidP="008B3BEC">
            <w:pPr>
              <w:spacing w:after="120"/>
              <w:rPr>
                <w:rFonts w:ascii="Arial" w:hAnsi="Arial" w:cs="Arial"/>
                <w:sz w:val="22"/>
                <w:szCs w:val="22"/>
              </w:rPr>
            </w:pPr>
            <w:r>
              <w:rPr>
                <w:rFonts w:ascii="Arial" w:hAnsi="Arial"/>
                <w:sz w:val="22"/>
                <w:szCs w:val="22"/>
              </w:rPr>
              <w:t>Comme le prévoit l’article 25.3 de la Convention, les recettes du Compte spécial sont constituées par :</w:t>
            </w:r>
          </w:p>
          <w:p w14:paraId="52F60A61" w14:textId="64271960" w:rsidR="00ED1CFF" w:rsidRPr="00234E68" w:rsidRDefault="00ED1CFF" w:rsidP="00C21695">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les contributions des États parties à la Convention, conformément à l’article 26 de celle-ci ;</w:t>
            </w:r>
          </w:p>
          <w:p w14:paraId="43F90E72" w14:textId="27EE5634" w:rsidR="00ED1CFF" w:rsidRPr="00234E68" w:rsidRDefault="00ED1CFF" w:rsidP="00C21695">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les fonds alloués à cette fin par la Conférence générale de l’UNESCO ;</w:t>
            </w:r>
          </w:p>
          <w:p w14:paraId="44ABF1C6" w14:textId="77777777" w:rsidR="00ED1CFF" w:rsidRPr="00234E68" w:rsidRDefault="00ED1CFF" w:rsidP="00C21695">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les versements, dons ou legs que pourront faire :</w:t>
            </w:r>
          </w:p>
          <w:p w14:paraId="136701EA" w14:textId="793E8D05" w:rsidR="00ED1CFF" w:rsidRPr="00234E68" w:rsidRDefault="00ED1CFF" w:rsidP="00C21695">
            <w:pPr>
              <w:pStyle w:val="Paragraphedeliste"/>
              <w:numPr>
                <w:ilvl w:val="0"/>
                <w:numId w:val="11"/>
              </w:numPr>
              <w:tabs>
                <w:tab w:val="left" w:pos="746"/>
              </w:tabs>
              <w:snapToGrid w:val="0"/>
              <w:spacing w:after="60"/>
              <w:ind w:left="746" w:hanging="425"/>
              <w:contextualSpacing w:val="0"/>
              <w:rPr>
                <w:rFonts w:ascii="Arial" w:hAnsi="Arial" w:cs="Arial"/>
                <w:sz w:val="22"/>
                <w:szCs w:val="22"/>
              </w:rPr>
            </w:pPr>
            <w:r>
              <w:rPr>
                <w:rFonts w:ascii="Arial" w:hAnsi="Arial"/>
                <w:sz w:val="22"/>
                <w:szCs w:val="22"/>
              </w:rPr>
              <w:t xml:space="preserve">d’autres États ; </w:t>
            </w:r>
          </w:p>
          <w:p w14:paraId="71C11E55" w14:textId="0B691616" w:rsidR="00ED1CFF" w:rsidRPr="00234E68" w:rsidRDefault="00ED1CFF" w:rsidP="00C21695">
            <w:pPr>
              <w:pStyle w:val="Paragraphedeliste"/>
              <w:numPr>
                <w:ilvl w:val="0"/>
                <w:numId w:val="11"/>
              </w:numPr>
              <w:tabs>
                <w:tab w:val="left" w:pos="746"/>
              </w:tabs>
              <w:snapToGrid w:val="0"/>
              <w:spacing w:after="60"/>
              <w:ind w:left="746" w:hanging="425"/>
              <w:contextualSpacing w:val="0"/>
              <w:rPr>
                <w:rFonts w:ascii="Arial" w:hAnsi="Arial" w:cs="Arial"/>
                <w:sz w:val="22"/>
                <w:szCs w:val="22"/>
              </w:rPr>
            </w:pPr>
            <w:r>
              <w:rPr>
                <w:rFonts w:ascii="Arial" w:hAnsi="Arial"/>
                <w:sz w:val="22"/>
                <w:szCs w:val="22"/>
              </w:rPr>
              <w:t>les organisations et programmes du système des Nations Unies, notamment le Programme des Nations Unies pour le développement, ainsi que d’autres organisations internationales ;</w:t>
            </w:r>
          </w:p>
          <w:p w14:paraId="18B5A927" w14:textId="77777777" w:rsidR="00ED1CFF" w:rsidRPr="00234E68" w:rsidRDefault="00ED1CFF" w:rsidP="00C21695">
            <w:pPr>
              <w:pStyle w:val="Paragraphedeliste"/>
              <w:numPr>
                <w:ilvl w:val="0"/>
                <w:numId w:val="11"/>
              </w:numPr>
              <w:tabs>
                <w:tab w:val="left" w:pos="746"/>
              </w:tabs>
              <w:snapToGrid w:val="0"/>
              <w:spacing w:after="60"/>
              <w:ind w:left="746" w:hanging="425"/>
              <w:contextualSpacing w:val="0"/>
              <w:rPr>
                <w:rFonts w:ascii="Arial" w:hAnsi="Arial" w:cs="Arial"/>
                <w:sz w:val="22"/>
                <w:szCs w:val="22"/>
              </w:rPr>
            </w:pPr>
            <w:r>
              <w:rPr>
                <w:rFonts w:ascii="Arial" w:hAnsi="Arial"/>
                <w:sz w:val="22"/>
                <w:szCs w:val="22"/>
              </w:rPr>
              <w:t>des organismes publics ou privés ou des personnes privées ;</w:t>
            </w:r>
          </w:p>
          <w:p w14:paraId="0C2703D4" w14:textId="77777777" w:rsidR="00ED1CFF" w:rsidRPr="00234E68" w:rsidRDefault="00ED1CFF" w:rsidP="00C21695">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tout intérêt dû sur les ressources du Compte spécial ;</w:t>
            </w:r>
          </w:p>
          <w:p w14:paraId="4FCA9A81" w14:textId="77777777" w:rsidR="00ED1CFF" w:rsidRPr="00234E68" w:rsidRDefault="00ED1CFF" w:rsidP="00C21695">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 produit des collectes et les recettes des manifestations organisées au profit du Compte spécial ;</w:t>
            </w:r>
          </w:p>
          <w:p w14:paraId="2A963370" w14:textId="77777777" w:rsidR="00ED1CFF" w:rsidRPr="00234E68" w:rsidRDefault="00ED1CFF" w:rsidP="00C21695">
            <w:pPr>
              <w:pStyle w:val="Paragraphedeliste"/>
              <w:numPr>
                <w:ilvl w:val="0"/>
                <w:numId w:val="10"/>
              </w:numPr>
              <w:tabs>
                <w:tab w:val="left" w:pos="567"/>
              </w:tabs>
              <w:suppressAutoHyphens/>
              <w:snapToGrid w:val="0"/>
              <w:spacing w:after="60"/>
              <w:ind w:left="321"/>
              <w:contextualSpacing w:val="0"/>
              <w:rPr>
                <w:rFonts w:ascii="Arial" w:hAnsi="Arial" w:cs="Arial"/>
                <w:sz w:val="22"/>
                <w:szCs w:val="22"/>
              </w:rPr>
            </w:pPr>
            <w:r>
              <w:rPr>
                <w:rFonts w:ascii="Arial" w:hAnsi="Arial"/>
                <w:iCs/>
                <w:sz w:val="22"/>
                <w:szCs w:val="22"/>
              </w:rPr>
              <w:t>toutes autres ressources autorisées par le Comité.</w:t>
            </w:r>
          </w:p>
        </w:tc>
        <w:tc>
          <w:tcPr>
            <w:tcW w:w="1417" w:type="dxa"/>
            <w:tcBorders>
              <w:right w:val="nil"/>
            </w:tcBorders>
          </w:tcPr>
          <w:p w14:paraId="5F400ABB" w14:textId="77777777" w:rsidR="00ED1CFF" w:rsidRPr="00234E68" w:rsidRDefault="00ED1CFF" w:rsidP="008B3BEC">
            <w:pPr>
              <w:pStyle w:val="Sansinterligne"/>
              <w:rPr>
                <w:rFonts w:ascii="Arial" w:hAnsi="Arial" w:cs="Arial"/>
              </w:rPr>
            </w:pPr>
            <w:r>
              <w:rPr>
                <w:rFonts w:ascii="Arial" w:hAnsi="Arial"/>
                <w:strike/>
              </w:rPr>
              <w:t>4.1</w:t>
            </w:r>
            <w:r>
              <w:rPr>
                <w:rFonts w:ascii="Arial" w:hAnsi="Arial"/>
                <w:b/>
                <w:bCs/>
                <w:u w:val="single"/>
              </w:rPr>
              <w:t>5.1</w:t>
            </w:r>
            <w:r>
              <w:rPr>
                <w:rFonts w:ascii="Arial" w:hAnsi="Arial"/>
              </w:rPr>
              <w:t xml:space="preserve"> </w:t>
            </w:r>
          </w:p>
        </w:tc>
        <w:tc>
          <w:tcPr>
            <w:tcW w:w="7371" w:type="dxa"/>
            <w:tcBorders>
              <w:left w:val="nil"/>
            </w:tcBorders>
          </w:tcPr>
          <w:p w14:paraId="36E886DE" w14:textId="44E4B221" w:rsidR="00ED1CFF" w:rsidRPr="00234E68" w:rsidRDefault="00ED1CFF" w:rsidP="008B3BEC">
            <w:pPr>
              <w:spacing w:after="120"/>
              <w:rPr>
                <w:rFonts w:ascii="Arial" w:hAnsi="Arial" w:cs="Arial"/>
                <w:sz w:val="22"/>
                <w:szCs w:val="22"/>
              </w:rPr>
            </w:pPr>
            <w:r>
              <w:rPr>
                <w:rFonts w:ascii="Arial" w:hAnsi="Arial"/>
                <w:sz w:val="22"/>
                <w:szCs w:val="22"/>
              </w:rPr>
              <w:t>Comme le prévoit l’article 25.3 de la Convention, les recettes du Compte spécial sont constituées par :</w:t>
            </w:r>
          </w:p>
          <w:p w14:paraId="118AD1CF" w14:textId="20E7E0CF" w:rsidR="00ED1CFF" w:rsidRPr="00234E68" w:rsidRDefault="00ED1CFF" w:rsidP="002A0DB0">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 xml:space="preserve">les contributions des États parties </w:t>
            </w:r>
            <w:r w:rsidRPr="002A0DB0">
              <w:rPr>
                <w:rFonts w:ascii="Arial" w:hAnsi="Arial"/>
                <w:iCs/>
                <w:strike/>
                <w:sz w:val="22"/>
                <w:szCs w:val="22"/>
              </w:rPr>
              <w:t>à la Convention, conformément à l</w:t>
            </w:r>
            <w:r>
              <w:rPr>
                <w:rFonts w:ascii="Arial" w:hAnsi="Arial"/>
                <w:iCs/>
                <w:strike/>
                <w:sz w:val="22"/>
                <w:szCs w:val="22"/>
              </w:rPr>
              <w:t>’</w:t>
            </w:r>
            <w:r w:rsidRPr="002A0DB0">
              <w:rPr>
                <w:rFonts w:ascii="Arial" w:hAnsi="Arial"/>
                <w:iCs/>
                <w:strike/>
                <w:sz w:val="22"/>
                <w:szCs w:val="22"/>
              </w:rPr>
              <w:t>article 26 de celle-ci</w:t>
            </w:r>
            <w:r>
              <w:rPr>
                <w:rFonts w:ascii="Arial" w:hAnsi="Arial"/>
                <w:iCs/>
                <w:sz w:val="22"/>
                <w:szCs w:val="22"/>
              </w:rPr>
              <w:t> ;</w:t>
            </w:r>
          </w:p>
          <w:p w14:paraId="159FBFE7" w14:textId="018FD700" w:rsidR="00ED1CFF" w:rsidRPr="00234E68" w:rsidRDefault="00ED1CFF" w:rsidP="002A0DB0">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les fonds alloués à cette fin par la Conférence générale de l’UNESCO ;</w:t>
            </w:r>
          </w:p>
          <w:p w14:paraId="17A485B9" w14:textId="77777777" w:rsidR="00ED1CFF" w:rsidRPr="00234E68" w:rsidRDefault="00ED1CFF" w:rsidP="002A0DB0">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les versements, dons ou legs que pourront faire :</w:t>
            </w:r>
          </w:p>
          <w:p w14:paraId="1DAAD1D7" w14:textId="55B29DCA" w:rsidR="00ED1CFF" w:rsidRPr="00234E68" w:rsidRDefault="00ED1CFF" w:rsidP="002A0DB0">
            <w:pPr>
              <w:pStyle w:val="Paragraphedeliste"/>
              <w:numPr>
                <w:ilvl w:val="0"/>
                <w:numId w:val="25"/>
              </w:numPr>
              <w:tabs>
                <w:tab w:val="left" w:pos="746"/>
              </w:tabs>
              <w:snapToGrid w:val="0"/>
              <w:spacing w:after="60"/>
              <w:contextualSpacing w:val="0"/>
              <w:rPr>
                <w:rFonts w:ascii="Arial" w:hAnsi="Arial" w:cs="Arial"/>
                <w:sz w:val="22"/>
                <w:szCs w:val="22"/>
              </w:rPr>
            </w:pPr>
            <w:r>
              <w:rPr>
                <w:rFonts w:ascii="Arial" w:hAnsi="Arial"/>
                <w:sz w:val="22"/>
                <w:szCs w:val="22"/>
              </w:rPr>
              <w:t xml:space="preserve">d’autres États ; </w:t>
            </w:r>
          </w:p>
          <w:p w14:paraId="3D40F175" w14:textId="2A3AE77C" w:rsidR="00ED1CFF" w:rsidRPr="00234E68" w:rsidRDefault="00ED1CFF" w:rsidP="002A0DB0">
            <w:pPr>
              <w:pStyle w:val="Paragraphedeliste"/>
              <w:numPr>
                <w:ilvl w:val="0"/>
                <w:numId w:val="25"/>
              </w:numPr>
              <w:tabs>
                <w:tab w:val="left" w:pos="746"/>
              </w:tabs>
              <w:snapToGrid w:val="0"/>
              <w:spacing w:after="60"/>
              <w:ind w:left="746" w:hanging="425"/>
              <w:contextualSpacing w:val="0"/>
              <w:rPr>
                <w:rFonts w:ascii="Arial" w:hAnsi="Arial" w:cs="Arial"/>
                <w:sz w:val="22"/>
                <w:szCs w:val="22"/>
              </w:rPr>
            </w:pPr>
            <w:r>
              <w:rPr>
                <w:rFonts w:ascii="Arial" w:hAnsi="Arial"/>
                <w:sz w:val="22"/>
                <w:szCs w:val="22"/>
              </w:rPr>
              <w:t>les organisations et programmes du système des Nations Unies, notamment le Programme des Nations Unies pour le développement, ainsi que d’autres organisations internationales ;</w:t>
            </w:r>
          </w:p>
          <w:p w14:paraId="243E9B2A" w14:textId="652460F3" w:rsidR="00ED1CFF" w:rsidRPr="00234E68" w:rsidRDefault="00ED1CFF" w:rsidP="002A0DB0">
            <w:pPr>
              <w:pStyle w:val="Paragraphedeliste"/>
              <w:numPr>
                <w:ilvl w:val="0"/>
                <w:numId w:val="25"/>
              </w:numPr>
              <w:tabs>
                <w:tab w:val="left" w:pos="567"/>
              </w:tabs>
              <w:suppressAutoHyphens/>
              <w:snapToGrid w:val="0"/>
              <w:spacing w:after="60"/>
              <w:ind w:left="743" w:hanging="425"/>
              <w:contextualSpacing w:val="0"/>
              <w:rPr>
                <w:rFonts w:ascii="Arial" w:hAnsi="Arial" w:cs="Arial"/>
                <w:iCs/>
                <w:spacing w:val="-3"/>
                <w:sz w:val="22"/>
                <w:szCs w:val="22"/>
              </w:rPr>
            </w:pPr>
            <w:r w:rsidRPr="00B53C73">
              <w:rPr>
                <w:rFonts w:ascii="Arial" w:hAnsi="Arial"/>
                <w:sz w:val="22"/>
                <w:szCs w:val="22"/>
              </w:rPr>
              <w:t>des organismes publics ou privés ou des personnes privées ;</w:t>
            </w:r>
          </w:p>
          <w:p w14:paraId="6B82753A" w14:textId="3FA84828" w:rsidR="00ED1CFF" w:rsidRPr="002A0DB0" w:rsidRDefault="00ED1CFF" w:rsidP="002A0DB0">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 xml:space="preserve">tout intérêt </w:t>
            </w:r>
            <w:r w:rsidRPr="00B53C73">
              <w:rPr>
                <w:rFonts w:ascii="Arial" w:hAnsi="Arial"/>
                <w:iCs/>
                <w:sz w:val="22"/>
                <w:szCs w:val="22"/>
              </w:rPr>
              <w:t>dû sur les ressources du Compte spécial</w:t>
            </w:r>
            <w:r w:rsidR="00B53C73" w:rsidRPr="002A0DB0">
              <w:rPr>
                <w:rFonts w:ascii="Arial" w:hAnsi="Arial"/>
                <w:b/>
                <w:bCs/>
                <w:iCs/>
                <w:sz w:val="22"/>
                <w:szCs w:val="22"/>
              </w:rPr>
              <w:t> </w:t>
            </w:r>
            <w:r>
              <w:rPr>
                <w:rFonts w:ascii="Arial" w:hAnsi="Arial"/>
                <w:iCs/>
                <w:sz w:val="22"/>
                <w:szCs w:val="22"/>
              </w:rPr>
              <w:t>;</w:t>
            </w:r>
          </w:p>
          <w:p w14:paraId="10D34FFC" w14:textId="212A36BB" w:rsidR="00ED1CFF" w:rsidRPr="00234E68" w:rsidRDefault="00ED1CFF" w:rsidP="002A0DB0">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le produit des collectes et les recettes des manifestations organisées au profit du Compte spécial ;</w:t>
            </w:r>
          </w:p>
          <w:p w14:paraId="15B03318" w14:textId="77777777" w:rsidR="00ED1CFF" w:rsidRPr="00234E68" w:rsidRDefault="00ED1CFF" w:rsidP="002A0DB0">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rPr>
            </w:pPr>
            <w:r>
              <w:rPr>
                <w:rFonts w:ascii="Arial" w:hAnsi="Arial"/>
                <w:iCs/>
                <w:sz w:val="22"/>
                <w:szCs w:val="22"/>
              </w:rPr>
              <w:t>toutes autres ressources autorisées par le Comité.</w:t>
            </w:r>
          </w:p>
          <w:p w14:paraId="23A4CA35" w14:textId="77777777" w:rsidR="00ED1CFF" w:rsidRPr="00043F97" w:rsidRDefault="00ED1CFF" w:rsidP="008B3BEC">
            <w:pPr>
              <w:rPr>
                <w:rFonts w:ascii="Arial" w:hAnsi="Arial" w:cs="Arial"/>
                <w:sz w:val="22"/>
                <w:szCs w:val="22"/>
              </w:rPr>
            </w:pPr>
          </w:p>
        </w:tc>
      </w:tr>
      <w:tr w:rsidR="00ED1CFF" w:rsidRPr="00234E68" w14:paraId="667DA753" w14:textId="77777777" w:rsidTr="002A0DB0">
        <w:trPr>
          <w:cantSplit/>
        </w:trPr>
        <w:tc>
          <w:tcPr>
            <w:tcW w:w="1129" w:type="dxa"/>
            <w:tcBorders>
              <w:right w:val="nil"/>
            </w:tcBorders>
          </w:tcPr>
          <w:p w14:paraId="79BC0F21" w14:textId="77777777" w:rsidR="00ED1CFF" w:rsidRPr="00234E68" w:rsidRDefault="00ED1CFF" w:rsidP="008B3BEC">
            <w:pPr>
              <w:spacing w:after="120"/>
              <w:rPr>
                <w:rFonts w:ascii="Arial" w:hAnsi="Arial" w:cs="Arial"/>
                <w:sz w:val="22"/>
                <w:szCs w:val="22"/>
              </w:rPr>
            </w:pPr>
            <w:r>
              <w:rPr>
                <w:rFonts w:ascii="Arial" w:hAnsi="Arial"/>
                <w:sz w:val="22"/>
                <w:szCs w:val="22"/>
              </w:rPr>
              <w:lastRenderedPageBreak/>
              <w:t xml:space="preserve">4.2 </w:t>
            </w:r>
          </w:p>
        </w:tc>
        <w:tc>
          <w:tcPr>
            <w:tcW w:w="4253" w:type="dxa"/>
            <w:tcBorders>
              <w:left w:val="nil"/>
            </w:tcBorders>
          </w:tcPr>
          <w:p w14:paraId="3E9D4B0B" w14:textId="0ADA1951" w:rsidR="00ED1CFF" w:rsidRPr="00234E68" w:rsidRDefault="00ED1CFF" w:rsidP="008B3BEC">
            <w:pPr>
              <w:spacing w:after="120"/>
              <w:rPr>
                <w:rFonts w:ascii="Arial" w:hAnsi="Arial" w:cs="Arial"/>
                <w:sz w:val="22"/>
                <w:szCs w:val="22"/>
              </w:rPr>
            </w:pPr>
            <w:r>
              <w:rPr>
                <w:rFonts w:ascii="Arial" w:hAnsi="Arial"/>
                <w:sz w:val="22"/>
                <w:szCs w:val="22"/>
              </w:rPr>
              <w:t>Comme le prévoit l’article 26.1 de la Convention, les contributions des États parties n’ayant pas procédé à la déclaration visée à l’article 26.2 de la Convention doivent être versées conformément au pourcentage uniforme déterminé par l’Assemblée générale des États parties à la Convention.</w:t>
            </w:r>
          </w:p>
        </w:tc>
        <w:tc>
          <w:tcPr>
            <w:tcW w:w="1417" w:type="dxa"/>
            <w:tcBorders>
              <w:right w:val="nil"/>
            </w:tcBorders>
          </w:tcPr>
          <w:p w14:paraId="3354A7C2" w14:textId="77777777" w:rsidR="00ED1CFF" w:rsidRPr="00234E68" w:rsidRDefault="00ED1CFF" w:rsidP="008B3BEC">
            <w:pPr>
              <w:spacing w:after="120"/>
              <w:rPr>
                <w:rFonts w:ascii="Arial" w:hAnsi="Arial" w:cs="Arial"/>
                <w:sz w:val="22"/>
                <w:szCs w:val="22"/>
              </w:rPr>
            </w:pPr>
            <w:r>
              <w:rPr>
                <w:rFonts w:ascii="Arial" w:hAnsi="Arial"/>
                <w:strike/>
                <w:sz w:val="22"/>
                <w:szCs w:val="22"/>
              </w:rPr>
              <w:t>4.2</w:t>
            </w:r>
            <w:r>
              <w:rPr>
                <w:rFonts w:ascii="Arial" w:hAnsi="Arial"/>
                <w:b/>
                <w:bCs/>
                <w:sz w:val="22"/>
                <w:szCs w:val="22"/>
                <w:u w:val="single"/>
              </w:rPr>
              <w:t>5.2</w:t>
            </w:r>
          </w:p>
        </w:tc>
        <w:tc>
          <w:tcPr>
            <w:tcW w:w="7371" w:type="dxa"/>
            <w:tcBorders>
              <w:left w:val="nil"/>
            </w:tcBorders>
          </w:tcPr>
          <w:p w14:paraId="51B4913F" w14:textId="77777777" w:rsidR="00ED1CFF" w:rsidRPr="00234E68" w:rsidRDefault="00ED1CFF" w:rsidP="008B3BEC">
            <w:pPr>
              <w:spacing w:after="120"/>
              <w:rPr>
                <w:rFonts w:ascii="Arial" w:hAnsi="Arial" w:cs="Arial"/>
                <w:sz w:val="22"/>
                <w:szCs w:val="22"/>
              </w:rPr>
            </w:pPr>
            <w:r>
              <w:rPr>
                <w:rFonts w:ascii="Arial" w:hAnsi="Arial"/>
                <w:sz w:val="22"/>
                <w:szCs w:val="22"/>
              </w:rPr>
              <w:t>Aucun changement.</w:t>
            </w:r>
          </w:p>
        </w:tc>
      </w:tr>
      <w:tr w:rsidR="00ED1CFF" w:rsidRPr="00234E68" w14:paraId="6BA73125" w14:textId="77777777" w:rsidTr="002A0DB0">
        <w:trPr>
          <w:cantSplit/>
        </w:trPr>
        <w:tc>
          <w:tcPr>
            <w:tcW w:w="1129" w:type="dxa"/>
            <w:tcBorders>
              <w:right w:val="nil"/>
            </w:tcBorders>
          </w:tcPr>
          <w:p w14:paraId="7D8917C1" w14:textId="77777777" w:rsidR="00ED1CFF" w:rsidRPr="00234E68" w:rsidRDefault="00ED1CFF" w:rsidP="008B3BEC">
            <w:pPr>
              <w:spacing w:after="120"/>
              <w:rPr>
                <w:rFonts w:ascii="Arial" w:hAnsi="Arial" w:cs="Arial"/>
                <w:b/>
                <w:sz w:val="22"/>
                <w:szCs w:val="22"/>
              </w:rPr>
            </w:pPr>
            <w:r>
              <w:rPr>
                <w:rFonts w:ascii="Arial" w:hAnsi="Arial"/>
                <w:b/>
                <w:sz w:val="22"/>
                <w:szCs w:val="22"/>
              </w:rPr>
              <w:t>Article 5</w:t>
            </w:r>
          </w:p>
        </w:tc>
        <w:tc>
          <w:tcPr>
            <w:tcW w:w="4253" w:type="dxa"/>
            <w:tcBorders>
              <w:left w:val="nil"/>
            </w:tcBorders>
          </w:tcPr>
          <w:p w14:paraId="0F6149F1" w14:textId="77777777" w:rsidR="00ED1CFF" w:rsidRPr="00234E68" w:rsidRDefault="00ED1CFF" w:rsidP="008B3BEC">
            <w:pPr>
              <w:spacing w:after="120"/>
              <w:rPr>
                <w:rFonts w:ascii="Arial" w:hAnsi="Arial" w:cs="Arial"/>
                <w:b/>
                <w:sz w:val="22"/>
                <w:szCs w:val="22"/>
              </w:rPr>
            </w:pPr>
            <w:r>
              <w:rPr>
                <w:rFonts w:ascii="Arial" w:hAnsi="Arial"/>
                <w:b/>
                <w:sz w:val="22"/>
                <w:szCs w:val="22"/>
              </w:rPr>
              <w:t>Dépenses</w:t>
            </w:r>
          </w:p>
        </w:tc>
        <w:tc>
          <w:tcPr>
            <w:tcW w:w="1417" w:type="dxa"/>
            <w:tcBorders>
              <w:right w:val="nil"/>
            </w:tcBorders>
          </w:tcPr>
          <w:p w14:paraId="225E5BB9" w14:textId="77777777" w:rsidR="00ED1CFF" w:rsidRPr="00234E68" w:rsidRDefault="00ED1CFF" w:rsidP="00461153">
            <w:pPr>
              <w:suppressAutoHyphens/>
              <w:spacing w:after="120"/>
              <w:rPr>
                <w:rFonts w:ascii="Arial" w:hAnsi="Arial" w:cs="Arial"/>
                <w:b/>
                <w:sz w:val="22"/>
                <w:szCs w:val="22"/>
              </w:rPr>
            </w:pPr>
            <w:r>
              <w:rPr>
                <w:rFonts w:ascii="Arial" w:hAnsi="Arial"/>
                <w:b/>
                <w:bCs/>
                <w:sz w:val="22"/>
                <w:szCs w:val="22"/>
              </w:rPr>
              <w:t>Article </w:t>
            </w:r>
            <w:r>
              <w:rPr>
                <w:rFonts w:ascii="Arial" w:hAnsi="Arial"/>
                <w:b/>
                <w:strike/>
                <w:sz w:val="22"/>
                <w:szCs w:val="22"/>
              </w:rPr>
              <w:t>5</w:t>
            </w:r>
            <w:r>
              <w:rPr>
                <w:rFonts w:ascii="Arial" w:hAnsi="Arial"/>
                <w:b/>
                <w:bCs/>
                <w:sz w:val="22"/>
                <w:szCs w:val="22"/>
                <w:u w:val="single"/>
              </w:rPr>
              <w:t>6</w:t>
            </w:r>
          </w:p>
        </w:tc>
        <w:tc>
          <w:tcPr>
            <w:tcW w:w="7371" w:type="dxa"/>
            <w:tcBorders>
              <w:left w:val="nil"/>
            </w:tcBorders>
          </w:tcPr>
          <w:p w14:paraId="18F19264" w14:textId="77777777" w:rsidR="00ED1CFF" w:rsidRPr="00234E68" w:rsidRDefault="00ED1CFF" w:rsidP="008B3BEC">
            <w:pPr>
              <w:suppressAutoHyphens/>
              <w:spacing w:after="120"/>
              <w:rPr>
                <w:rFonts w:ascii="Arial" w:hAnsi="Arial" w:cs="Arial"/>
                <w:bCs/>
                <w:sz w:val="22"/>
                <w:szCs w:val="22"/>
              </w:rPr>
            </w:pPr>
            <w:r>
              <w:rPr>
                <w:rFonts w:ascii="Arial" w:hAnsi="Arial"/>
                <w:bCs/>
                <w:sz w:val="22"/>
                <w:szCs w:val="22"/>
              </w:rPr>
              <w:t>Aucun changement.</w:t>
            </w:r>
          </w:p>
        </w:tc>
      </w:tr>
      <w:tr w:rsidR="00ED1CFF" w:rsidRPr="00E869B7" w14:paraId="701051F8" w14:textId="77777777" w:rsidTr="002A0DB0">
        <w:trPr>
          <w:cantSplit/>
        </w:trPr>
        <w:tc>
          <w:tcPr>
            <w:tcW w:w="1129" w:type="dxa"/>
            <w:tcBorders>
              <w:right w:val="nil"/>
            </w:tcBorders>
          </w:tcPr>
          <w:p w14:paraId="08154B76" w14:textId="77777777" w:rsidR="00ED1CFF" w:rsidRPr="00234E68" w:rsidRDefault="00ED1CFF" w:rsidP="008B3BEC">
            <w:pPr>
              <w:spacing w:after="120"/>
              <w:rPr>
                <w:rFonts w:ascii="Arial" w:hAnsi="Arial" w:cs="Arial"/>
                <w:sz w:val="22"/>
                <w:szCs w:val="22"/>
              </w:rPr>
            </w:pPr>
            <w:r>
              <w:rPr>
                <w:rFonts w:ascii="Arial" w:hAnsi="Arial"/>
                <w:sz w:val="22"/>
                <w:szCs w:val="22"/>
              </w:rPr>
              <w:t xml:space="preserve">5.1 </w:t>
            </w:r>
          </w:p>
        </w:tc>
        <w:tc>
          <w:tcPr>
            <w:tcW w:w="4253" w:type="dxa"/>
            <w:tcBorders>
              <w:left w:val="nil"/>
            </w:tcBorders>
          </w:tcPr>
          <w:p w14:paraId="33FC9A73" w14:textId="16757F00" w:rsidR="00ED1CFF" w:rsidRPr="00234E68" w:rsidRDefault="00ED1CFF" w:rsidP="008B3BEC">
            <w:pPr>
              <w:spacing w:after="120"/>
              <w:rPr>
                <w:rFonts w:ascii="Arial" w:hAnsi="Arial" w:cs="Arial"/>
                <w:sz w:val="22"/>
                <w:szCs w:val="22"/>
              </w:rPr>
            </w:pPr>
            <w:r>
              <w:rPr>
                <w:rFonts w:ascii="Arial" w:hAnsi="Arial"/>
                <w:sz w:val="22"/>
                <w:szCs w:val="22"/>
              </w:rPr>
              <w:t>Conformément à l’article 25.4 de la Convention, l’utilisation des ressources du Compte spécial par le Comité est décidée sur la base d’orientations de l’Assemblée générale.</w:t>
            </w:r>
          </w:p>
        </w:tc>
        <w:tc>
          <w:tcPr>
            <w:tcW w:w="1417" w:type="dxa"/>
            <w:tcBorders>
              <w:right w:val="nil"/>
            </w:tcBorders>
          </w:tcPr>
          <w:p w14:paraId="7CBE0A89" w14:textId="77777777" w:rsidR="00ED1CFF" w:rsidRPr="00234E68" w:rsidRDefault="00ED1CFF" w:rsidP="008B3BEC">
            <w:pPr>
              <w:suppressAutoHyphens/>
              <w:spacing w:after="120"/>
              <w:rPr>
                <w:rFonts w:ascii="Arial" w:hAnsi="Arial" w:cs="Arial"/>
                <w:sz w:val="22"/>
                <w:szCs w:val="22"/>
              </w:rPr>
            </w:pPr>
            <w:r>
              <w:rPr>
                <w:rFonts w:ascii="Arial" w:hAnsi="Arial"/>
                <w:strike/>
                <w:sz w:val="22"/>
                <w:szCs w:val="22"/>
              </w:rPr>
              <w:t>5.1</w:t>
            </w:r>
            <w:r>
              <w:rPr>
                <w:rFonts w:ascii="Arial" w:hAnsi="Arial"/>
                <w:b/>
                <w:bCs/>
                <w:sz w:val="22"/>
                <w:szCs w:val="22"/>
                <w:u w:val="single"/>
              </w:rPr>
              <w:t>6.1</w:t>
            </w:r>
          </w:p>
        </w:tc>
        <w:tc>
          <w:tcPr>
            <w:tcW w:w="7371" w:type="dxa"/>
            <w:tcBorders>
              <w:left w:val="nil"/>
            </w:tcBorders>
          </w:tcPr>
          <w:p w14:paraId="21A72507" w14:textId="4D4C8FD4" w:rsidR="00ED1CFF" w:rsidRPr="002A0DB0" w:rsidRDefault="00C90202" w:rsidP="008B3BEC">
            <w:pPr>
              <w:suppressAutoHyphens/>
              <w:spacing w:after="120"/>
              <w:rPr>
                <w:rFonts w:ascii="Arial" w:hAnsi="Arial" w:cs="Arial"/>
                <w:b/>
                <w:bCs/>
                <w:sz w:val="22"/>
                <w:szCs w:val="22"/>
                <w:u w:val="single"/>
              </w:rPr>
            </w:pPr>
            <w:r w:rsidRPr="002A0DB0">
              <w:rPr>
                <w:rFonts w:ascii="Arial" w:hAnsi="Arial"/>
                <w:b/>
                <w:bCs/>
                <w:sz w:val="22"/>
                <w:szCs w:val="22"/>
                <w:u w:val="single"/>
              </w:rPr>
              <w:t>L</w:t>
            </w:r>
            <w:r>
              <w:rPr>
                <w:rFonts w:ascii="Arial" w:hAnsi="Arial"/>
                <w:b/>
                <w:bCs/>
                <w:sz w:val="22"/>
                <w:szCs w:val="22"/>
                <w:u w:val="single"/>
              </w:rPr>
              <w:t>’utilisation</w:t>
            </w:r>
            <w:r w:rsidRPr="002A0DB0">
              <w:rPr>
                <w:rFonts w:ascii="Arial" w:hAnsi="Arial"/>
                <w:b/>
                <w:bCs/>
                <w:sz w:val="22"/>
                <w:szCs w:val="22"/>
                <w:u w:val="single"/>
              </w:rPr>
              <w:t xml:space="preserve"> </w:t>
            </w:r>
            <w:r w:rsidR="00ED1CFF" w:rsidRPr="002A0DB0">
              <w:rPr>
                <w:rFonts w:ascii="Arial" w:hAnsi="Arial"/>
                <w:b/>
                <w:bCs/>
                <w:sz w:val="22"/>
                <w:szCs w:val="22"/>
                <w:u w:val="single"/>
              </w:rPr>
              <w:t>des ressources du Compte spécial est approuvée par l</w:t>
            </w:r>
            <w:r w:rsidR="00ED1CFF">
              <w:rPr>
                <w:rFonts w:ascii="Arial" w:hAnsi="Arial"/>
                <w:b/>
                <w:bCs/>
                <w:sz w:val="22"/>
                <w:szCs w:val="22"/>
                <w:u w:val="single"/>
              </w:rPr>
              <w:t>’</w:t>
            </w:r>
            <w:r w:rsidR="00ED1CFF" w:rsidRPr="002A0DB0">
              <w:rPr>
                <w:rFonts w:ascii="Arial" w:hAnsi="Arial"/>
                <w:b/>
                <w:bCs/>
                <w:sz w:val="22"/>
                <w:szCs w:val="22"/>
                <w:u w:val="single"/>
              </w:rPr>
              <w:t>Assemblée générale tous les deux ans</w:t>
            </w:r>
            <w:r w:rsidR="00ED1CFF" w:rsidRPr="002A0DB0">
              <w:rPr>
                <w:rFonts w:ascii="Arial" w:hAnsi="Arial"/>
                <w:b/>
                <w:bCs/>
                <w:sz w:val="22"/>
                <w:szCs w:val="22"/>
              </w:rPr>
              <w:t>.</w:t>
            </w:r>
            <w:r w:rsidR="003A5D59" w:rsidRPr="002A0DB0">
              <w:rPr>
                <w:rFonts w:ascii="Arial" w:hAnsi="Arial"/>
                <w:b/>
                <w:bCs/>
                <w:sz w:val="22"/>
                <w:szCs w:val="22"/>
              </w:rPr>
              <w:t xml:space="preserve"> </w:t>
            </w:r>
            <w:r w:rsidR="003A5D59" w:rsidRPr="002A0DB0">
              <w:rPr>
                <w:rFonts w:ascii="Arial" w:hAnsi="Arial"/>
                <w:strike/>
                <w:sz w:val="22"/>
                <w:szCs w:val="22"/>
              </w:rPr>
              <w:t>Conformément à l’article 25.4 de la Convention, l’utilisation des ressources du Compte spécial par le Comité est décidée sur la base d’orientations de l’Assemblée générale.</w:t>
            </w:r>
          </w:p>
        </w:tc>
      </w:tr>
      <w:tr w:rsidR="00ED1CFF" w:rsidRPr="00E869B7" w14:paraId="3FD8D3D3" w14:textId="77777777" w:rsidTr="002A0DB0">
        <w:trPr>
          <w:cantSplit/>
        </w:trPr>
        <w:tc>
          <w:tcPr>
            <w:tcW w:w="1129" w:type="dxa"/>
            <w:tcBorders>
              <w:right w:val="nil"/>
            </w:tcBorders>
          </w:tcPr>
          <w:p w14:paraId="3D258BE8"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5.2 </w:t>
            </w:r>
          </w:p>
        </w:tc>
        <w:tc>
          <w:tcPr>
            <w:tcW w:w="4253" w:type="dxa"/>
            <w:tcBorders>
              <w:left w:val="nil"/>
            </w:tcBorders>
          </w:tcPr>
          <w:p w14:paraId="64752403" w14:textId="46244C27" w:rsidR="00ED1CFF" w:rsidRPr="00234E68" w:rsidRDefault="00ED1CFF" w:rsidP="00DE39A3">
            <w:pPr>
              <w:spacing w:after="120"/>
              <w:rPr>
                <w:rFonts w:ascii="Arial" w:hAnsi="Arial" w:cs="Arial"/>
                <w:sz w:val="22"/>
                <w:szCs w:val="22"/>
              </w:rPr>
            </w:pPr>
            <w:r>
              <w:rPr>
                <w:rFonts w:ascii="Arial" w:hAnsi="Arial"/>
                <w:sz w:val="22"/>
                <w:szCs w:val="22"/>
              </w:rPr>
              <w:t>Le Compte spécial est débité des dépenses effectuées conformément à l’objet défini à l’article 3 ci-dessus, y compris les dépenses administratives directes s’y rapportant expressément.</w:t>
            </w:r>
          </w:p>
        </w:tc>
        <w:tc>
          <w:tcPr>
            <w:tcW w:w="1417" w:type="dxa"/>
            <w:tcBorders>
              <w:right w:val="nil"/>
            </w:tcBorders>
          </w:tcPr>
          <w:p w14:paraId="7CF37408" w14:textId="77777777" w:rsidR="00ED1CFF" w:rsidRPr="00234E68" w:rsidRDefault="00ED1CFF" w:rsidP="00DE39A3">
            <w:pPr>
              <w:suppressAutoHyphens/>
              <w:spacing w:after="120"/>
              <w:rPr>
                <w:rFonts w:ascii="Arial" w:hAnsi="Arial" w:cs="Arial"/>
                <w:sz w:val="22"/>
                <w:szCs w:val="22"/>
              </w:rPr>
            </w:pPr>
            <w:r>
              <w:rPr>
                <w:rFonts w:ascii="Arial" w:hAnsi="Arial"/>
                <w:strike/>
                <w:sz w:val="22"/>
                <w:szCs w:val="22"/>
              </w:rPr>
              <w:t>5.2</w:t>
            </w:r>
            <w:r>
              <w:rPr>
                <w:rFonts w:ascii="Arial" w:hAnsi="Arial"/>
                <w:b/>
                <w:bCs/>
                <w:sz w:val="22"/>
                <w:szCs w:val="22"/>
                <w:u w:val="single"/>
              </w:rPr>
              <w:t>6.2</w:t>
            </w:r>
          </w:p>
        </w:tc>
        <w:tc>
          <w:tcPr>
            <w:tcW w:w="7371" w:type="dxa"/>
            <w:tcBorders>
              <w:left w:val="nil"/>
            </w:tcBorders>
          </w:tcPr>
          <w:p w14:paraId="22B75B28" w14:textId="161685AE" w:rsidR="00ED1CFF" w:rsidRPr="00234E68" w:rsidRDefault="00ED1CFF" w:rsidP="00DE39A3">
            <w:pPr>
              <w:suppressAutoHyphens/>
              <w:spacing w:after="120"/>
              <w:rPr>
                <w:rFonts w:ascii="Arial" w:hAnsi="Arial" w:cs="Arial"/>
                <w:sz w:val="22"/>
                <w:szCs w:val="22"/>
              </w:rPr>
            </w:pPr>
            <w:r>
              <w:rPr>
                <w:rFonts w:ascii="Arial" w:hAnsi="Arial"/>
                <w:sz w:val="22"/>
                <w:szCs w:val="22"/>
              </w:rPr>
              <w:t xml:space="preserve">Le Compte spécial est débité des dépenses effectuées conformément à l’objet défini à l’article 3 ci-dessus, y compris les dépenses administratives directes s’y rapportant expressément </w:t>
            </w:r>
            <w:r w:rsidRPr="002A0DB0">
              <w:rPr>
                <w:rFonts w:ascii="Arial" w:hAnsi="Arial"/>
                <w:b/>
                <w:bCs/>
                <w:sz w:val="22"/>
                <w:szCs w:val="22"/>
                <w:u w:val="single"/>
              </w:rPr>
              <w:t>et les coûts de gestion applicables</w:t>
            </w:r>
            <w:r>
              <w:rPr>
                <w:rFonts w:ascii="Arial" w:hAnsi="Arial"/>
                <w:sz w:val="22"/>
                <w:szCs w:val="22"/>
              </w:rPr>
              <w:t>.</w:t>
            </w:r>
          </w:p>
        </w:tc>
      </w:tr>
      <w:tr w:rsidR="00ED1CFF" w:rsidRPr="00E869B7" w14:paraId="16D4F373" w14:textId="77777777" w:rsidTr="002A0DB0">
        <w:trPr>
          <w:cantSplit/>
        </w:trPr>
        <w:tc>
          <w:tcPr>
            <w:tcW w:w="1129" w:type="dxa"/>
            <w:tcBorders>
              <w:right w:val="nil"/>
            </w:tcBorders>
          </w:tcPr>
          <w:p w14:paraId="7C4323FC"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5.3 </w:t>
            </w:r>
          </w:p>
        </w:tc>
        <w:tc>
          <w:tcPr>
            <w:tcW w:w="4253" w:type="dxa"/>
            <w:tcBorders>
              <w:left w:val="nil"/>
            </w:tcBorders>
          </w:tcPr>
          <w:p w14:paraId="36C86EB0" w14:textId="77777777" w:rsidR="00ED1CFF" w:rsidRPr="00234E68" w:rsidRDefault="00ED1CFF" w:rsidP="00DE39A3">
            <w:pPr>
              <w:spacing w:after="120"/>
              <w:rPr>
                <w:rFonts w:ascii="Arial" w:hAnsi="Arial" w:cs="Arial"/>
                <w:sz w:val="22"/>
                <w:szCs w:val="22"/>
              </w:rPr>
            </w:pPr>
            <w:r>
              <w:rPr>
                <w:rFonts w:ascii="Arial" w:hAnsi="Arial"/>
                <w:sz w:val="22"/>
                <w:szCs w:val="22"/>
              </w:rPr>
              <w:t>Les dépenses sont engagées dans la limite des fonds disponibles.</w:t>
            </w:r>
          </w:p>
        </w:tc>
        <w:tc>
          <w:tcPr>
            <w:tcW w:w="1417" w:type="dxa"/>
            <w:tcBorders>
              <w:right w:val="nil"/>
            </w:tcBorders>
          </w:tcPr>
          <w:p w14:paraId="424B1E65" w14:textId="77777777" w:rsidR="00ED1CFF" w:rsidRPr="00234E68" w:rsidRDefault="00ED1CFF" w:rsidP="00DE39A3">
            <w:pPr>
              <w:suppressAutoHyphens/>
              <w:spacing w:after="120"/>
              <w:rPr>
                <w:rFonts w:ascii="Arial" w:hAnsi="Arial" w:cs="Arial"/>
                <w:sz w:val="22"/>
                <w:szCs w:val="22"/>
              </w:rPr>
            </w:pPr>
            <w:r>
              <w:rPr>
                <w:rFonts w:ascii="Arial" w:hAnsi="Arial"/>
                <w:strike/>
                <w:sz w:val="22"/>
                <w:szCs w:val="22"/>
              </w:rPr>
              <w:t>5.3</w:t>
            </w:r>
            <w:r>
              <w:rPr>
                <w:rFonts w:ascii="Arial" w:hAnsi="Arial"/>
                <w:b/>
                <w:bCs/>
                <w:sz w:val="22"/>
                <w:szCs w:val="22"/>
                <w:u w:val="single"/>
              </w:rPr>
              <w:t>6.3</w:t>
            </w:r>
          </w:p>
        </w:tc>
        <w:tc>
          <w:tcPr>
            <w:tcW w:w="7371" w:type="dxa"/>
            <w:tcBorders>
              <w:left w:val="nil"/>
            </w:tcBorders>
          </w:tcPr>
          <w:p w14:paraId="56D9D4F8" w14:textId="77777777" w:rsidR="00ED1CFF" w:rsidRPr="00234E68" w:rsidRDefault="00ED1CFF" w:rsidP="00DE39A3">
            <w:pPr>
              <w:suppressAutoHyphens/>
              <w:spacing w:after="120"/>
              <w:rPr>
                <w:rFonts w:ascii="Arial" w:hAnsi="Arial" w:cs="Arial"/>
                <w:sz w:val="22"/>
                <w:szCs w:val="22"/>
              </w:rPr>
            </w:pPr>
            <w:r>
              <w:rPr>
                <w:rFonts w:ascii="Arial" w:hAnsi="Arial"/>
                <w:sz w:val="22"/>
                <w:szCs w:val="22"/>
              </w:rPr>
              <w:t>Aucun changement.</w:t>
            </w:r>
          </w:p>
        </w:tc>
      </w:tr>
      <w:tr w:rsidR="00ED1CFF" w:rsidRPr="00234E68" w14:paraId="223F7EFC" w14:textId="77777777" w:rsidTr="002A0DB0">
        <w:trPr>
          <w:cantSplit/>
        </w:trPr>
        <w:tc>
          <w:tcPr>
            <w:tcW w:w="1129" w:type="dxa"/>
            <w:tcBorders>
              <w:right w:val="nil"/>
            </w:tcBorders>
          </w:tcPr>
          <w:p w14:paraId="028C338F" w14:textId="77777777" w:rsidR="00ED1CFF" w:rsidRPr="00234E68" w:rsidRDefault="00ED1CFF" w:rsidP="00DE39A3">
            <w:pPr>
              <w:spacing w:after="120"/>
              <w:rPr>
                <w:rFonts w:ascii="Arial" w:hAnsi="Arial" w:cs="Arial"/>
                <w:b/>
                <w:sz w:val="22"/>
                <w:szCs w:val="22"/>
              </w:rPr>
            </w:pPr>
            <w:r>
              <w:rPr>
                <w:rFonts w:ascii="Arial" w:hAnsi="Arial"/>
                <w:b/>
                <w:sz w:val="22"/>
                <w:szCs w:val="22"/>
              </w:rPr>
              <w:t xml:space="preserve">Article 6 </w:t>
            </w:r>
          </w:p>
        </w:tc>
        <w:tc>
          <w:tcPr>
            <w:tcW w:w="4253" w:type="dxa"/>
            <w:tcBorders>
              <w:left w:val="nil"/>
            </w:tcBorders>
          </w:tcPr>
          <w:p w14:paraId="57A2B1F1" w14:textId="77777777" w:rsidR="00ED1CFF" w:rsidRPr="00234E68" w:rsidRDefault="00ED1CFF" w:rsidP="00DE39A3">
            <w:pPr>
              <w:spacing w:after="120"/>
              <w:rPr>
                <w:rFonts w:ascii="Arial" w:hAnsi="Arial" w:cs="Arial"/>
                <w:b/>
                <w:sz w:val="22"/>
                <w:szCs w:val="22"/>
              </w:rPr>
            </w:pPr>
            <w:r>
              <w:rPr>
                <w:rFonts w:ascii="Arial" w:hAnsi="Arial"/>
                <w:b/>
                <w:sz w:val="22"/>
                <w:szCs w:val="22"/>
              </w:rPr>
              <w:t>Fonds de réserve</w:t>
            </w:r>
          </w:p>
        </w:tc>
        <w:tc>
          <w:tcPr>
            <w:tcW w:w="1417" w:type="dxa"/>
            <w:tcBorders>
              <w:right w:val="nil"/>
            </w:tcBorders>
          </w:tcPr>
          <w:p w14:paraId="17913EDA" w14:textId="77777777" w:rsidR="00ED1CFF" w:rsidRPr="00234E68" w:rsidRDefault="00ED1CFF" w:rsidP="00DE39A3">
            <w:pPr>
              <w:spacing w:after="120"/>
              <w:rPr>
                <w:rFonts w:ascii="Arial" w:hAnsi="Arial" w:cs="Arial"/>
                <w:b/>
                <w:sz w:val="22"/>
                <w:szCs w:val="22"/>
              </w:rPr>
            </w:pPr>
            <w:r>
              <w:rPr>
                <w:rFonts w:ascii="Arial" w:hAnsi="Arial"/>
                <w:b/>
                <w:sz w:val="22"/>
                <w:szCs w:val="22"/>
              </w:rPr>
              <w:t>Article </w:t>
            </w:r>
            <w:r>
              <w:rPr>
                <w:rFonts w:ascii="Arial" w:hAnsi="Arial"/>
                <w:b/>
                <w:strike/>
                <w:sz w:val="22"/>
                <w:szCs w:val="22"/>
              </w:rPr>
              <w:t>6</w:t>
            </w:r>
            <w:r>
              <w:rPr>
                <w:rFonts w:ascii="Arial" w:hAnsi="Arial"/>
                <w:b/>
                <w:sz w:val="22"/>
                <w:szCs w:val="22"/>
                <w:u w:val="single"/>
              </w:rPr>
              <w:t>7</w:t>
            </w:r>
          </w:p>
        </w:tc>
        <w:tc>
          <w:tcPr>
            <w:tcW w:w="7371" w:type="dxa"/>
            <w:tcBorders>
              <w:left w:val="nil"/>
            </w:tcBorders>
          </w:tcPr>
          <w:p w14:paraId="3A24E293" w14:textId="77777777" w:rsidR="00ED1CFF" w:rsidRPr="00234E68" w:rsidRDefault="00ED1CFF" w:rsidP="00DE39A3">
            <w:pPr>
              <w:spacing w:after="120"/>
              <w:rPr>
                <w:rFonts w:ascii="Arial" w:hAnsi="Arial" w:cs="Arial"/>
                <w:b/>
                <w:sz w:val="22"/>
                <w:szCs w:val="22"/>
              </w:rPr>
            </w:pPr>
            <w:r>
              <w:rPr>
                <w:rFonts w:ascii="Arial" w:hAnsi="Arial"/>
                <w:sz w:val="22"/>
                <w:szCs w:val="22"/>
              </w:rPr>
              <w:t>Aucun changement.</w:t>
            </w:r>
          </w:p>
        </w:tc>
      </w:tr>
      <w:tr w:rsidR="00ED1CFF" w:rsidRPr="00234E68" w14:paraId="4D24A233" w14:textId="77777777" w:rsidTr="002A0DB0">
        <w:trPr>
          <w:cantSplit/>
        </w:trPr>
        <w:tc>
          <w:tcPr>
            <w:tcW w:w="1129" w:type="dxa"/>
            <w:tcBorders>
              <w:right w:val="nil"/>
            </w:tcBorders>
          </w:tcPr>
          <w:p w14:paraId="78F74D47" w14:textId="77777777" w:rsidR="00ED1CFF" w:rsidRPr="00234E68" w:rsidRDefault="00ED1CFF" w:rsidP="00DE39A3">
            <w:pPr>
              <w:spacing w:after="120"/>
              <w:rPr>
                <w:rFonts w:ascii="Arial" w:hAnsi="Arial" w:cs="Arial"/>
                <w:sz w:val="22"/>
                <w:szCs w:val="22"/>
                <w:lang w:val="en-US"/>
              </w:rPr>
            </w:pPr>
          </w:p>
        </w:tc>
        <w:tc>
          <w:tcPr>
            <w:tcW w:w="4253" w:type="dxa"/>
            <w:tcBorders>
              <w:left w:val="nil"/>
            </w:tcBorders>
          </w:tcPr>
          <w:p w14:paraId="425CA4CA" w14:textId="23AA7BB5" w:rsidR="00ED1CFF" w:rsidRPr="00234E68" w:rsidRDefault="00ED1CFF" w:rsidP="00DE39A3">
            <w:pPr>
              <w:spacing w:after="120"/>
              <w:rPr>
                <w:rFonts w:ascii="Arial" w:hAnsi="Arial" w:cs="Arial"/>
                <w:sz w:val="22"/>
                <w:szCs w:val="22"/>
              </w:rPr>
            </w:pPr>
            <w:r>
              <w:rPr>
                <w:rFonts w:ascii="Arial" w:hAnsi="Arial"/>
                <w:sz w:val="22"/>
                <w:szCs w:val="22"/>
              </w:rPr>
              <w:t>Il sera créé dans le cadre du Compte spécial un fonds de réserve pour répondre aux demandes d’assistance dans les cas d’extrême urgence tels que prévus aux articles 17.3 et 22.2 de la Convention. Le montant de cette réserve sera déterminé par le Comité.</w:t>
            </w:r>
          </w:p>
        </w:tc>
        <w:tc>
          <w:tcPr>
            <w:tcW w:w="1417" w:type="dxa"/>
            <w:tcBorders>
              <w:right w:val="nil"/>
            </w:tcBorders>
          </w:tcPr>
          <w:p w14:paraId="772AA6EE" w14:textId="77777777" w:rsidR="00ED1CFF" w:rsidRPr="00043F97" w:rsidRDefault="00ED1CFF" w:rsidP="00DE39A3">
            <w:pPr>
              <w:spacing w:after="120"/>
              <w:rPr>
                <w:rFonts w:ascii="Arial" w:hAnsi="Arial" w:cs="Arial"/>
                <w:sz w:val="22"/>
                <w:szCs w:val="22"/>
              </w:rPr>
            </w:pPr>
          </w:p>
        </w:tc>
        <w:tc>
          <w:tcPr>
            <w:tcW w:w="7371" w:type="dxa"/>
            <w:tcBorders>
              <w:left w:val="nil"/>
            </w:tcBorders>
          </w:tcPr>
          <w:p w14:paraId="3A52F897" w14:textId="77777777" w:rsidR="00ED1CFF" w:rsidRPr="00234E68" w:rsidRDefault="00ED1CFF" w:rsidP="00DE39A3">
            <w:pPr>
              <w:spacing w:after="120"/>
              <w:rPr>
                <w:rFonts w:ascii="Arial" w:hAnsi="Arial" w:cs="Arial"/>
                <w:sz w:val="22"/>
                <w:szCs w:val="22"/>
              </w:rPr>
            </w:pPr>
            <w:r>
              <w:rPr>
                <w:rFonts w:ascii="Arial" w:hAnsi="Arial"/>
                <w:sz w:val="22"/>
                <w:szCs w:val="22"/>
              </w:rPr>
              <w:t>Aucun changement.</w:t>
            </w:r>
          </w:p>
        </w:tc>
      </w:tr>
      <w:tr w:rsidR="00ED1CFF" w:rsidRPr="00234E68" w14:paraId="132B7548" w14:textId="77777777" w:rsidTr="002A0DB0">
        <w:trPr>
          <w:cantSplit/>
        </w:trPr>
        <w:tc>
          <w:tcPr>
            <w:tcW w:w="1129" w:type="dxa"/>
            <w:tcBorders>
              <w:right w:val="nil"/>
            </w:tcBorders>
          </w:tcPr>
          <w:p w14:paraId="116F6A81" w14:textId="77777777" w:rsidR="00ED1CFF" w:rsidRPr="00234E68" w:rsidRDefault="00ED1CFF" w:rsidP="00DE39A3">
            <w:pPr>
              <w:spacing w:after="120"/>
              <w:rPr>
                <w:rFonts w:ascii="Arial" w:hAnsi="Arial" w:cs="Arial"/>
                <w:b/>
                <w:sz w:val="22"/>
                <w:szCs w:val="22"/>
              </w:rPr>
            </w:pPr>
            <w:r>
              <w:rPr>
                <w:rFonts w:ascii="Arial" w:hAnsi="Arial"/>
                <w:b/>
                <w:sz w:val="22"/>
                <w:szCs w:val="22"/>
              </w:rPr>
              <w:t>Article 7</w:t>
            </w:r>
          </w:p>
        </w:tc>
        <w:tc>
          <w:tcPr>
            <w:tcW w:w="4253" w:type="dxa"/>
            <w:tcBorders>
              <w:left w:val="nil"/>
            </w:tcBorders>
          </w:tcPr>
          <w:p w14:paraId="7A558085" w14:textId="77777777" w:rsidR="00ED1CFF" w:rsidRPr="00234E68" w:rsidRDefault="00ED1CFF" w:rsidP="00DE39A3">
            <w:pPr>
              <w:spacing w:after="120"/>
              <w:rPr>
                <w:rFonts w:ascii="Arial" w:hAnsi="Arial" w:cs="Arial"/>
                <w:b/>
                <w:sz w:val="22"/>
                <w:szCs w:val="22"/>
              </w:rPr>
            </w:pPr>
            <w:r>
              <w:rPr>
                <w:rFonts w:ascii="Arial" w:hAnsi="Arial"/>
                <w:b/>
                <w:sz w:val="22"/>
                <w:szCs w:val="22"/>
              </w:rPr>
              <w:t>Comptabilité</w:t>
            </w:r>
          </w:p>
        </w:tc>
        <w:tc>
          <w:tcPr>
            <w:tcW w:w="1417" w:type="dxa"/>
            <w:tcBorders>
              <w:right w:val="nil"/>
            </w:tcBorders>
          </w:tcPr>
          <w:p w14:paraId="3D306E38" w14:textId="77777777" w:rsidR="00ED1CFF" w:rsidRPr="00234E68" w:rsidRDefault="00ED1CFF" w:rsidP="00DE39A3">
            <w:pPr>
              <w:suppressAutoHyphens/>
              <w:spacing w:after="120"/>
              <w:rPr>
                <w:rFonts w:ascii="Arial" w:hAnsi="Arial" w:cs="Arial"/>
                <w:b/>
                <w:sz w:val="22"/>
                <w:szCs w:val="22"/>
              </w:rPr>
            </w:pPr>
            <w:r>
              <w:rPr>
                <w:rFonts w:ascii="Arial" w:hAnsi="Arial"/>
                <w:b/>
                <w:bCs/>
                <w:sz w:val="22"/>
                <w:szCs w:val="22"/>
              </w:rPr>
              <w:t>Article </w:t>
            </w:r>
            <w:r>
              <w:rPr>
                <w:rFonts w:ascii="Arial" w:hAnsi="Arial"/>
                <w:b/>
                <w:strike/>
                <w:sz w:val="22"/>
                <w:szCs w:val="22"/>
              </w:rPr>
              <w:t>7</w:t>
            </w:r>
            <w:r>
              <w:rPr>
                <w:rFonts w:ascii="Arial" w:hAnsi="Arial"/>
                <w:b/>
                <w:bCs/>
                <w:sz w:val="22"/>
                <w:szCs w:val="22"/>
                <w:u w:val="single"/>
              </w:rPr>
              <w:t>8</w:t>
            </w:r>
          </w:p>
        </w:tc>
        <w:tc>
          <w:tcPr>
            <w:tcW w:w="7371" w:type="dxa"/>
            <w:tcBorders>
              <w:left w:val="nil"/>
            </w:tcBorders>
          </w:tcPr>
          <w:p w14:paraId="06013696" w14:textId="77777777" w:rsidR="00ED1CFF" w:rsidRPr="00234E68" w:rsidRDefault="00ED1CFF" w:rsidP="00DE39A3">
            <w:pPr>
              <w:suppressAutoHyphens/>
              <w:spacing w:after="120"/>
              <w:rPr>
                <w:rFonts w:ascii="Arial" w:hAnsi="Arial" w:cs="Arial"/>
                <w:bCs/>
                <w:sz w:val="22"/>
                <w:szCs w:val="22"/>
              </w:rPr>
            </w:pPr>
            <w:r>
              <w:rPr>
                <w:rFonts w:ascii="Arial" w:hAnsi="Arial"/>
                <w:bCs/>
                <w:sz w:val="22"/>
                <w:szCs w:val="22"/>
              </w:rPr>
              <w:t>Aucun changement.</w:t>
            </w:r>
          </w:p>
        </w:tc>
      </w:tr>
      <w:tr w:rsidR="00ED1CFF" w:rsidRPr="00234E68" w14:paraId="15C1E121" w14:textId="77777777" w:rsidTr="002A0DB0">
        <w:trPr>
          <w:cantSplit/>
        </w:trPr>
        <w:tc>
          <w:tcPr>
            <w:tcW w:w="1129" w:type="dxa"/>
            <w:tcBorders>
              <w:right w:val="nil"/>
            </w:tcBorders>
          </w:tcPr>
          <w:p w14:paraId="70052F0C" w14:textId="77777777" w:rsidR="00ED1CFF" w:rsidRDefault="00ED1CFF" w:rsidP="00DE39A3">
            <w:pPr>
              <w:spacing w:after="120"/>
              <w:rPr>
                <w:rFonts w:ascii="Arial" w:hAnsi="Arial"/>
                <w:b/>
                <w:sz w:val="22"/>
                <w:szCs w:val="22"/>
              </w:rPr>
            </w:pPr>
          </w:p>
        </w:tc>
        <w:tc>
          <w:tcPr>
            <w:tcW w:w="4253" w:type="dxa"/>
            <w:tcBorders>
              <w:left w:val="nil"/>
            </w:tcBorders>
          </w:tcPr>
          <w:p w14:paraId="11EAC172" w14:textId="77777777" w:rsidR="00ED1CFF" w:rsidRDefault="00ED1CFF" w:rsidP="00DE39A3">
            <w:pPr>
              <w:spacing w:after="120"/>
              <w:rPr>
                <w:rFonts w:ascii="Arial" w:hAnsi="Arial"/>
                <w:b/>
                <w:sz w:val="22"/>
                <w:szCs w:val="22"/>
              </w:rPr>
            </w:pPr>
          </w:p>
        </w:tc>
        <w:tc>
          <w:tcPr>
            <w:tcW w:w="1417" w:type="dxa"/>
            <w:tcBorders>
              <w:right w:val="nil"/>
            </w:tcBorders>
          </w:tcPr>
          <w:p w14:paraId="760BDD0C" w14:textId="1E35FD12" w:rsidR="00ED1CFF" w:rsidRPr="00D0264C" w:rsidRDefault="00ED1CFF" w:rsidP="00DE39A3">
            <w:pPr>
              <w:suppressAutoHyphens/>
              <w:spacing w:after="120"/>
              <w:rPr>
                <w:rFonts w:ascii="Arial" w:hAnsi="Arial"/>
                <w:b/>
                <w:bCs/>
                <w:sz w:val="22"/>
                <w:szCs w:val="22"/>
                <w:u w:val="single"/>
              </w:rPr>
            </w:pPr>
            <w:r w:rsidRPr="00D0264C">
              <w:rPr>
                <w:rFonts w:ascii="Arial" w:hAnsi="Arial"/>
                <w:b/>
                <w:bCs/>
                <w:sz w:val="22"/>
                <w:szCs w:val="22"/>
                <w:u w:val="single"/>
              </w:rPr>
              <w:t>8.1</w:t>
            </w:r>
          </w:p>
        </w:tc>
        <w:tc>
          <w:tcPr>
            <w:tcW w:w="7371" w:type="dxa"/>
            <w:tcBorders>
              <w:left w:val="nil"/>
            </w:tcBorders>
          </w:tcPr>
          <w:p w14:paraId="402BFCC3" w14:textId="0599F6D3" w:rsidR="00ED1CFF" w:rsidRPr="002A0DB0" w:rsidRDefault="00ED1CFF" w:rsidP="00DE39A3">
            <w:pPr>
              <w:suppressAutoHyphens/>
              <w:spacing w:after="120"/>
              <w:rPr>
                <w:rFonts w:ascii="Arial" w:hAnsi="Arial"/>
                <w:b/>
                <w:sz w:val="22"/>
                <w:szCs w:val="22"/>
                <w:u w:val="single"/>
              </w:rPr>
            </w:pPr>
            <w:r w:rsidRPr="002A0DB0">
              <w:rPr>
                <w:rFonts w:ascii="Arial" w:hAnsi="Arial"/>
                <w:b/>
                <w:sz w:val="22"/>
                <w:szCs w:val="22"/>
                <w:u w:val="single"/>
              </w:rPr>
              <w:t>Des comptes subsidiaires peuvent être établis par l</w:t>
            </w:r>
            <w:r>
              <w:rPr>
                <w:rFonts w:ascii="Arial" w:hAnsi="Arial"/>
                <w:b/>
                <w:sz w:val="22"/>
                <w:szCs w:val="22"/>
                <w:u w:val="single"/>
              </w:rPr>
              <w:t>’</w:t>
            </w:r>
            <w:r w:rsidRPr="002A0DB0">
              <w:rPr>
                <w:rFonts w:ascii="Arial" w:hAnsi="Arial"/>
                <w:b/>
                <w:sz w:val="22"/>
                <w:szCs w:val="22"/>
                <w:u w:val="single"/>
              </w:rPr>
              <w:t>Assemblée générale et le Comité.</w:t>
            </w:r>
          </w:p>
        </w:tc>
      </w:tr>
      <w:tr w:rsidR="00ED1CFF" w:rsidRPr="00E869B7" w14:paraId="622E3A6B" w14:textId="77777777" w:rsidTr="002A0DB0">
        <w:trPr>
          <w:cantSplit/>
        </w:trPr>
        <w:tc>
          <w:tcPr>
            <w:tcW w:w="1129" w:type="dxa"/>
            <w:tcBorders>
              <w:right w:val="nil"/>
            </w:tcBorders>
          </w:tcPr>
          <w:p w14:paraId="053EFF16" w14:textId="77777777" w:rsidR="00ED1CFF" w:rsidRPr="00234E68" w:rsidRDefault="00ED1CFF" w:rsidP="00DE39A3">
            <w:pPr>
              <w:spacing w:after="120"/>
              <w:rPr>
                <w:rFonts w:ascii="Arial" w:hAnsi="Arial" w:cs="Arial"/>
                <w:sz w:val="22"/>
                <w:szCs w:val="22"/>
              </w:rPr>
            </w:pPr>
            <w:r>
              <w:rPr>
                <w:rFonts w:ascii="Arial" w:hAnsi="Arial"/>
                <w:sz w:val="22"/>
                <w:szCs w:val="22"/>
              </w:rPr>
              <w:lastRenderedPageBreak/>
              <w:t xml:space="preserve">7.1 </w:t>
            </w:r>
          </w:p>
        </w:tc>
        <w:tc>
          <w:tcPr>
            <w:tcW w:w="4253" w:type="dxa"/>
            <w:tcBorders>
              <w:left w:val="nil"/>
            </w:tcBorders>
          </w:tcPr>
          <w:p w14:paraId="5CCC9DBF" w14:textId="2798A204" w:rsidR="00ED1CFF" w:rsidRPr="00234E68" w:rsidRDefault="00ED1CFF" w:rsidP="00DE39A3">
            <w:pPr>
              <w:spacing w:after="120"/>
              <w:rPr>
                <w:rFonts w:ascii="Arial" w:hAnsi="Arial" w:cs="Arial"/>
                <w:sz w:val="22"/>
                <w:szCs w:val="22"/>
              </w:rPr>
            </w:pPr>
            <w:r>
              <w:rPr>
                <w:rFonts w:ascii="Arial" w:hAnsi="Arial"/>
                <w:sz w:val="22"/>
                <w:szCs w:val="22"/>
              </w:rPr>
              <w:t>Le Contrôleur financier de l’UNESCO fait tenir la comptabilité nécessaire.</w:t>
            </w:r>
          </w:p>
        </w:tc>
        <w:tc>
          <w:tcPr>
            <w:tcW w:w="1417" w:type="dxa"/>
            <w:tcBorders>
              <w:right w:val="nil"/>
            </w:tcBorders>
          </w:tcPr>
          <w:p w14:paraId="30CC8F6A" w14:textId="791322C6" w:rsidR="00ED1CFF" w:rsidRPr="00234E68" w:rsidRDefault="00ED1CFF" w:rsidP="00DE39A3">
            <w:pPr>
              <w:suppressAutoHyphens/>
              <w:spacing w:after="120"/>
              <w:rPr>
                <w:rFonts w:ascii="Arial" w:hAnsi="Arial" w:cs="Arial"/>
                <w:sz w:val="22"/>
                <w:szCs w:val="22"/>
              </w:rPr>
            </w:pPr>
            <w:r>
              <w:rPr>
                <w:rFonts w:ascii="Arial" w:hAnsi="Arial"/>
                <w:strike/>
                <w:sz w:val="22"/>
                <w:szCs w:val="22"/>
              </w:rPr>
              <w:t>7.1</w:t>
            </w:r>
            <w:r>
              <w:rPr>
                <w:rFonts w:ascii="Arial" w:hAnsi="Arial"/>
                <w:b/>
                <w:bCs/>
                <w:sz w:val="22"/>
                <w:szCs w:val="22"/>
                <w:u w:val="single"/>
              </w:rPr>
              <w:t>8.2</w:t>
            </w:r>
          </w:p>
        </w:tc>
        <w:tc>
          <w:tcPr>
            <w:tcW w:w="7371" w:type="dxa"/>
            <w:tcBorders>
              <w:left w:val="nil"/>
            </w:tcBorders>
          </w:tcPr>
          <w:p w14:paraId="32A6A5FB" w14:textId="1B3B4D5E" w:rsidR="00ED1CFF" w:rsidRPr="00234E68" w:rsidRDefault="00ED1CFF" w:rsidP="00DE39A3">
            <w:pPr>
              <w:suppressAutoHyphens/>
              <w:spacing w:after="120"/>
              <w:rPr>
                <w:rFonts w:ascii="Arial" w:hAnsi="Arial" w:cs="Arial"/>
                <w:sz w:val="22"/>
                <w:szCs w:val="22"/>
              </w:rPr>
            </w:pPr>
            <w:r>
              <w:rPr>
                <w:rFonts w:ascii="Arial" w:hAnsi="Arial"/>
                <w:sz w:val="22"/>
                <w:szCs w:val="22"/>
              </w:rPr>
              <w:t>Le</w:t>
            </w:r>
            <w:r w:rsidR="00D778B8">
              <w:rPr>
                <w:rFonts w:ascii="Arial" w:hAnsi="Arial"/>
                <w:sz w:val="22"/>
                <w:szCs w:val="22"/>
              </w:rPr>
              <w:t>/la</w:t>
            </w:r>
            <w:r>
              <w:rPr>
                <w:rFonts w:ascii="Arial" w:hAnsi="Arial"/>
                <w:sz w:val="22"/>
                <w:szCs w:val="22"/>
              </w:rPr>
              <w:t xml:space="preserve"> </w:t>
            </w:r>
            <w:r>
              <w:rPr>
                <w:rFonts w:ascii="Arial" w:hAnsi="Arial"/>
                <w:b/>
                <w:bCs/>
                <w:sz w:val="22"/>
                <w:szCs w:val="22"/>
                <w:u w:val="single"/>
              </w:rPr>
              <w:t>Directeur</w:t>
            </w:r>
            <w:r w:rsidR="00D778B8">
              <w:rPr>
                <w:rFonts w:ascii="Arial" w:hAnsi="Arial"/>
                <w:b/>
                <w:bCs/>
                <w:sz w:val="22"/>
                <w:szCs w:val="22"/>
                <w:u w:val="single"/>
              </w:rPr>
              <w:t>/Directrice</w:t>
            </w:r>
            <w:r>
              <w:rPr>
                <w:rFonts w:ascii="Arial" w:hAnsi="Arial"/>
                <w:b/>
                <w:bCs/>
                <w:sz w:val="22"/>
                <w:szCs w:val="22"/>
                <w:u w:val="single"/>
              </w:rPr>
              <w:t xml:space="preserve"> financier</w:t>
            </w:r>
            <w:r w:rsidR="00D778B8">
              <w:rPr>
                <w:rFonts w:ascii="Arial" w:hAnsi="Arial"/>
                <w:b/>
                <w:bCs/>
                <w:sz w:val="22"/>
                <w:szCs w:val="22"/>
                <w:u w:val="single"/>
              </w:rPr>
              <w:t>/-ère</w:t>
            </w:r>
            <w:r>
              <w:rPr>
                <w:rFonts w:ascii="Arial" w:hAnsi="Arial"/>
                <w:b/>
                <w:bCs/>
                <w:sz w:val="22"/>
                <w:szCs w:val="22"/>
                <w:u w:val="single"/>
              </w:rPr>
              <w:t xml:space="preserve"> de l’UNESCO</w:t>
            </w:r>
            <w:r>
              <w:rPr>
                <w:rFonts w:ascii="Arial" w:hAnsi="Arial"/>
                <w:sz w:val="22"/>
                <w:szCs w:val="22"/>
              </w:rPr>
              <w:t xml:space="preserve"> </w:t>
            </w:r>
            <w:r>
              <w:rPr>
                <w:rFonts w:ascii="Arial" w:hAnsi="Arial"/>
                <w:strike/>
                <w:sz w:val="22"/>
                <w:szCs w:val="22"/>
              </w:rPr>
              <w:t>Contrôleur financier de l’UNESCO</w:t>
            </w:r>
            <w:r>
              <w:rPr>
                <w:rFonts w:ascii="Arial" w:hAnsi="Arial"/>
                <w:sz w:val="22"/>
                <w:szCs w:val="22"/>
              </w:rPr>
              <w:t xml:space="preserve"> fait tenir la comptabilité nécessaire.</w:t>
            </w:r>
          </w:p>
        </w:tc>
      </w:tr>
      <w:tr w:rsidR="00ED1CFF" w:rsidRPr="00E869B7" w14:paraId="4466EEBE" w14:textId="77777777" w:rsidTr="002A0DB0">
        <w:trPr>
          <w:cantSplit/>
        </w:trPr>
        <w:tc>
          <w:tcPr>
            <w:tcW w:w="1129" w:type="dxa"/>
            <w:tcBorders>
              <w:right w:val="nil"/>
            </w:tcBorders>
          </w:tcPr>
          <w:p w14:paraId="228406FF"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7.2 </w:t>
            </w:r>
          </w:p>
        </w:tc>
        <w:tc>
          <w:tcPr>
            <w:tcW w:w="4253" w:type="dxa"/>
            <w:tcBorders>
              <w:left w:val="nil"/>
            </w:tcBorders>
          </w:tcPr>
          <w:p w14:paraId="3E0D1C3C" w14:textId="7C20B0AE" w:rsidR="00ED1CFF" w:rsidRPr="00234E68" w:rsidRDefault="00ED1CFF" w:rsidP="00DE39A3">
            <w:pPr>
              <w:spacing w:after="120"/>
              <w:rPr>
                <w:rFonts w:ascii="Arial" w:hAnsi="Arial" w:cs="Arial"/>
                <w:sz w:val="22"/>
                <w:szCs w:val="22"/>
              </w:rPr>
            </w:pPr>
            <w:r>
              <w:rPr>
                <w:rFonts w:ascii="Arial" w:hAnsi="Arial"/>
                <w:sz w:val="22"/>
                <w:szCs w:val="22"/>
              </w:rPr>
              <w:t>Tout solde inutilisé en fin d’exercice est reporté à l’exercice suivant.</w:t>
            </w:r>
          </w:p>
        </w:tc>
        <w:tc>
          <w:tcPr>
            <w:tcW w:w="1417" w:type="dxa"/>
            <w:tcBorders>
              <w:right w:val="nil"/>
            </w:tcBorders>
          </w:tcPr>
          <w:p w14:paraId="1800FB19" w14:textId="6E29F977" w:rsidR="00ED1CFF" w:rsidRPr="00234E68" w:rsidRDefault="00ED1CFF" w:rsidP="00DE39A3">
            <w:pPr>
              <w:suppressAutoHyphens/>
              <w:spacing w:after="120"/>
              <w:rPr>
                <w:rFonts w:ascii="Arial" w:hAnsi="Arial" w:cs="Arial"/>
                <w:sz w:val="22"/>
                <w:szCs w:val="22"/>
              </w:rPr>
            </w:pPr>
            <w:r>
              <w:rPr>
                <w:rFonts w:ascii="Arial" w:hAnsi="Arial"/>
                <w:strike/>
                <w:sz w:val="22"/>
                <w:szCs w:val="22"/>
              </w:rPr>
              <w:t>7.2</w:t>
            </w:r>
            <w:r>
              <w:rPr>
                <w:rFonts w:ascii="Arial" w:hAnsi="Arial"/>
                <w:b/>
                <w:bCs/>
                <w:sz w:val="22"/>
                <w:szCs w:val="22"/>
                <w:u w:val="single"/>
              </w:rPr>
              <w:t>8.3</w:t>
            </w:r>
          </w:p>
        </w:tc>
        <w:tc>
          <w:tcPr>
            <w:tcW w:w="7371" w:type="dxa"/>
            <w:tcBorders>
              <w:left w:val="nil"/>
            </w:tcBorders>
          </w:tcPr>
          <w:p w14:paraId="78ADA4A0" w14:textId="77777777" w:rsidR="00ED1CFF" w:rsidRPr="00234E68" w:rsidRDefault="00ED1CFF" w:rsidP="00DE39A3">
            <w:pPr>
              <w:suppressAutoHyphens/>
              <w:spacing w:after="120"/>
              <w:rPr>
                <w:rFonts w:ascii="Arial" w:hAnsi="Arial" w:cs="Arial"/>
                <w:sz w:val="22"/>
                <w:szCs w:val="22"/>
              </w:rPr>
            </w:pPr>
            <w:r>
              <w:rPr>
                <w:rFonts w:ascii="Arial" w:hAnsi="Arial"/>
                <w:sz w:val="22"/>
                <w:szCs w:val="22"/>
              </w:rPr>
              <w:t>Aucun changement.</w:t>
            </w:r>
          </w:p>
        </w:tc>
      </w:tr>
      <w:tr w:rsidR="00ED1CFF" w:rsidRPr="00E869B7" w14:paraId="313A9539" w14:textId="77777777" w:rsidTr="002A0DB0">
        <w:trPr>
          <w:cantSplit/>
        </w:trPr>
        <w:tc>
          <w:tcPr>
            <w:tcW w:w="1129" w:type="dxa"/>
            <w:tcBorders>
              <w:right w:val="nil"/>
            </w:tcBorders>
          </w:tcPr>
          <w:p w14:paraId="3BE1D394"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7.3 </w:t>
            </w:r>
          </w:p>
        </w:tc>
        <w:tc>
          <w:tcPr>
            <w:tcW w:w="4253" w:type="dxa"/>
            <w:tcBorders>
              <w:left w:val="nil"/>
            </w:tcBorders>
          </w:tcPr>
          <w:p w14:paraId="617EA576" w14:textId="1FDC7006" w:rsidR="00ED1CFF" w:rsidRPr="00234E68" w:rsidRDefault="00ED1CFF" w:rsidP="00DE39A3">
            <w:pPr>
              <w:spacing w:after="120"/>
              <w:rPr>
                <w:rFonts w:ascii="Arial" w:hAnsi="Arial" w:cs="Arial"/>
                <w:sz w:val="22"/>
                <w:szCs w:val="22"/>
              </w:rPr>
            </w:pPr>
            <w:r>
              <w:rPr>
                <w:rFonts w:ascii="Arial" w:hAnsi="Arial"/>
                <w:sz w:val="22"/>
                <w:szCs w:val="22"/>
              </w:rPr>
              <w:t>Les comptes du Compte spécial sont présentés pour vérification au Commissaire aux comptes de l’UNESCO, en même temps que les autres comptes de l’Organisation.</w:t>
            </w:r>
          </w:p>
        </w:tc>
        <w:tc>
          <w:tcPr>
            <w:tcW w:w="1417" w:type="dxa"/>
            <w:tcBorders>
              <w:right w:val="nil"/>
            </w:tcBorders>
          </w:tcPr>
          <w:p w14:paraId="529E91C2" w14:textId="5B544E07" w:rsidR="00ED1CFF" w:rsidRPr="00234E68" w:rsidRDefault="00ED1CFF" w:rsidP="00DE39A3">
            <w:pPr>
              <w:suppressAutoHyphens/>
              <w:spacing w:after="120"/>
              <w:rPr>
                <w:rFonts w:ascii="Arial" w:hAnsi="Arial" w:cs="Arial"/>
                <w:sz w:val="22"/>
                <w:szCs w:val="22"/>
              </w:rPr>
            </w:pPr>
            <w:r>
              <w:rPr>
                <w:rFonts w:ascii="Arial" w:hAnsi="Arial"/>
                <w:strike/>
                <w:sz w:val="22"/>
                <w:szCs w:val="22"/>
              </w:rPr>
              <w:t>7.3</w:t>
            </w:r>
            <w:r>
              <w:rPr>
                <w:rFonts w:ascii="Arial" w:hAnsi="Arial"/>
                <w:b/>
                <w:bCs/>
                <w:sz w:val="22"/>
                <w:szCs w:val="22"/>
                <w:u w:val="single"/>
              </w:rPr>
              <w:t>8.4</w:t>
            </w:r>
          </w:p>
        </w:tc>
        <w:tc>
          <w:tcPr>
            <w:tcW w:w="7371" w:type="dxa"/>
            <w:tcBorders>
              <w:left w:val="nil"/>
            </w:tcBorders>
          </w:tcPr>
          <w:p w14:paraId="284A9CEA" w14:textId="7249E28A" w:rsidR="00ED1CFF" w:rsidRPr="00234E68" w:rsidRDefault="00ED1CFF" w:rsidP="00DE39A3">
            <w:pPr>
              <w:suppressAutoHyphens/>
              <w:spacing w:after="120"/>
              <w:rPr>
                <w:rFonts w:ascii="Arial" w:hAnsi="Arial" w:cs="Arial"/>
                <w:sz w:val="22"/>
                <w:szCs w:val="22"/>
              </w:rPr>
            </w:pPr>
            <w:r>
              <w:rPr>
                <w:rFonts w:ascii="Arial" w:hAnsi="Arial"/>
                <w:sz w:val="22"/>
                <w:szCs w:val="22"/>
              </w:rPr>
              <w:t xml:space="preserve">Les comptes du Compte spécial </w:t>
            </w:r>
            <w:r>
              <w:rPr>
                <w:rFonts w:ascii="Arial" w:hAnsi="Arial"/>
                <w:b/>
                <w:bCs/>
                <w:sz w:val="22"/>
                <w:szCs w:val="22"/>
                <w:u w:val="single"/>
              </w:rPr>
              <w:t>font partie des états financiers consolidés présentés pour vérification au Commissaire aux comptes de l’UNESCO</w:t>
            </w:r>
            <w:r>
              <w:rPr>
                <w:rFonts w:ascii="Arial" w:hAnsi="Arial"/>
                <w:b/>
                <w:bCs/>
                <w:sz w:val="22"/>
                <w:szCs w:val="22"/>
              </w:rPr>
              <w:t xml:space="preserve"> </w:t>
            </w:r>
            <w:r>
              <w:rPr>
                <w:rFonts w:ascii="Arial" w:hAnsi="Arial"/>
                <w:strike/>
                <w:sz w:val="22"/>
                <w:szCs w:val="22"/>
              </w:rPr>
              <w:t>sont présentés pour vérification au Commissaire aux comptes de l’UNESCO, en même temps que les autres comptes de l’Organisation</w:t>
            </w:r>
            <w:r>
              <w:rPr>
                <w:rFonts w:ascii="Arial" w:hAnsi="Arial"/>
                <w:sz w:val="22"/>
                <w:szCs w:val="22"/>
              </w:rPr>
              <w:t>.</w:t>
            </w:r>
          </w:p>
        </w:tc>
      </w:tr>
      <w:tr w:rsidR="00ED1CFF" w:rsidRPr="00E869B7" w14:paraId="63E59EA9" w14:textId="77777777" w:rsidTr="002A0DB0">
        <w:trPr>
          <w:cantSplit/>
        </w:trPr>
        <w:tc>
          <w:tcPr>
            <w:tcW w:w="1129" w:type="dxa"/>
            <w:tcBorders>
              <w:right w:val="nil"/>
            </w:tcBorders>
          </w:tcPr>
          <w:p w14:paraId="2F7B8BEB"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7.4 </w:t>
            </w:r>
          </w:p>
        </w:tc>
        <w:tc>
          <w:tcPr>
            <w:tcW w:w="4253" w:type="dxa"/>
            <w:tcBorders>
              <w:left w:val="nil"/>
            </w:tcBorders>
          </w:tcPr>
          <w:p w14:paraId="31B3728A" w14:textId="77777777" w:rsidR="00ED1CFF" w:rsidRPr="00234E68" w:rsidRDefault="00ED1CFF" w:rsidP="00DE39A3">
            <w:pPr>
              <w:spacing w:after="120"/>
              <w:rPr>
                <w:rFonts w:ascii="Arial" w:hAnsi="Arial" w:cs="Arial"/>
                <w:sz w:val="22"/>
                <w:szCs w:val="22"/>
              </w:rPr>
            </w:pPr>
            <w:r>
              <w:rPr>
                <w:rFonts w:ascii="Arial" w:hAnsi="Arial"/>
                <w:sz w:val="22"/>
                <w:szCs w:val="22"/>
              </w:rPr>
              <w:t>Les contributions en nature sont comptabilisées en dehors du Compte spécial.</w:t>
            </w:r>
          </w:p>
        </w:tc>
        <w:tc>
          <w:tcPr>
            <w:tcW w:w="1417" w:type="dxa"/>
            <w:tcBorders>
              <w:right w:val="nil"/>
            </w:tcBorders>
          </w:tcPr>
          <w:p w14:paraId="4C3DEC80" w14:textId="4C424FDD" w:rsidR="00ED1CFF" w:rsidRPr="00234E68" w:rsidRDefault="00ED1CFF" w:rsidP="00DE39A3">
            <w:pPr>
              <w:suppressAutoHyphens/>
              <w:spacing w:after="120"/>
              <w:rPr>
                <w:rFonts w:ascii="Arial" w:hAnsi="Arial" w:cs="Arial"/>
                <w:sz w:val="22"/>
                <w:szCs w:val="22"/>
              </w:rPr>
            </w:pPr>
            <w:r>
              <w:rPr>
                <w:rFonts w:ascii="Arial" w:hAnsi="Arial"/>
                <w:strike/>
                <w:sz w:val="22"/>
                <w:szCs w:val="22"/>
              </w:rPr>
              <w:t>7.4</w:t>
            </w:r>
            <w:r>
              <w:rPr>
                <w:rFonts w:ascii="Arial" w:hAnsi="Arial"/>
                <w:b/>
                <w:bCs/>
                <w:sz w:val="22"/>
                <w:szCs w:val="22"/>
                <w:u w:val="single"/>
              </w:rPr>
              <w:t>8.5</w:t>
            </w:r>
          </w:p>
        </w:tc>
        <w:tc>
          <w:tcPr>
            <w:tcW w:w="7371" w:type="dxa"/>
            <w:tcBorders>
              <w:left w:val="nil"/>
            </w:tcBorders>
          </w:tcPr>
          <w:p w14:paraId="7EA6D891" w14:textId="77777777" w:rsidR="00ED1CFF" w:rsidRPr="00234E68" w:rsidRDefault="00ED1CFF" w:rsidP="00DE39A3">
            <w:pPr>
              <w:suppressAutoHyphens/>
              <w:spacing w:after="120"/>
              <w:rPr>
                <w:rFonts w:ascii="Arial" w:hAnsi="Arial" w:cs="Arial"/>
                <w:sz w:val="22"/>
                <w:szCs w:val="22"/>
              </w:rPr>
            </w:pPr>
            <w:r>
              <w:rPr>
                <w:rFonts w:ascii="Arial" w:hAnsi="Arial"/>
                <w:sz w:val="22"/>
                <w:szCs w:val="22"/>
              </w:rPr>
              <w:t>Aucun changement.</w:t>
            </w:r>
          </w:p>
        </w:tc>
      </w:tr>
      <w:tr w:rsidR="00ED1CFF" w:rsidRPr="00234E68" w14:paraId="39649E85" w14:textId="77777777" w:rsidTr="002A0DB0">
        <w:trPr>
          <w:cantSplit/>
        </w:trPr>
        <w:tc>
          <w:tcPr>
            <w:tcW w:w="1129" w:type="dxa"/>
            <w:tcBorders>
              <w:right w:val="nil"/>
            </w:tcBorders>
          </w:tcPr>
          <w:p w14:paraId="7B04A00B"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7.5 </w:t>
            </w:r>
          </w:p>
        </w:tc>
        <w:tc>
          <w:tcPr>
            <w:tcW w:w="4253" w:type="dxa"/>
            <w:tcBorders>
              <w:left w:val="nil"/>
            </w:tcBorders>
          </w:tcPr>
          <w:p w14:paraId="7B7CC05A" w14:textId="26FEABA7" w:rsidR="00ED1CFF" w:rsidRPr="00234E68" w:rsidRDefault="00ED1CFF" w:rsidP="00DE39A3">
            <w:pPr>
              <w:spacing w:after="120"/>
              <w:rPr>
                <w:rFonts w:ascii="Arial" w:hAnsi="Arial" w:cs="Arial"/>
                <w:sz w:val="22"/>
                <w:szCs w:val="22"/>
              </w:rPr>
            </w:pPr>
            <w:r>
              <w:rPr>
                <w:rFonts w:ascii="Arial" w:hAnsi="Arial"/>
                <w:sz w:val="22"/>
                <w:szCs w:val="22"/>
              </w:rPr>
              <w:t>Les comptes sont soumis par le</w:t>
            </w:r>
            <w:r w:rsidR="00FB1957" w:rsidRPr="00E40FC1">
              <w:rPr>
                <w:rFonts w:ascii="Arial" w:hAnsi="Arial"/>
                <w:sz w:val="22"/>
                <w:szCs w:val="22"/>
              </w:rPr>
              <w:t>/la Directeur/Directrice général(e)</w:t>
            </w:r>
            <w:r w:rsidR="00FB1957">
              <w:rPr>
                <w:rFonts w:ascii="Arial" w:hAnsi="Arial"/>
                <w:sz w:val="22"/>
                <w:szCs w:val="22"/>
              </w:rPr>
              <w:t xml:space="preserve"> </w:t>
            </w:r>
            <w:r>
              <w:rPr>
                <w:rFonts w:ascii="Arial" w:hAnsi="Arial"/>
                <w:sz w:val="22"/>
                <w:szCs w:val="22"/>
              </w:rPr>
              <w:t>à l’Assemblée générale des États parties à la Convention.</w:t>
            </w:r>
          </w:p>
        </w:tc>
        <w:tc>
          <w:tcPr>
            <w:tcW w:w="1417" w:type="dxa"/>
            <w:tcBorders>
              <w:right w:val="nil"/>
            </w:tcBorders>
          </w:tcPr>
          <w:p w14:paraId="7BEC2E5C" w14:textId="77777777" w:rsidR="00ED1CFF" w:rsidRPr="00043F97" w:rsidRDefault="00ED1CFF" w:rsidP="00DE39A3">
            <w:pPr>
              <w:spacing w:after="120"/>
              <w:rPr>
                <w:rFonts w:ascii="Arial" w:hAnsi="Arial" w:cs="Arial"/>
                <w:sz w:val="22"/>
                <w:szCs w:val="22"/>
              </w:rPr>
            </w:pPr>
          </w:p>
        </w:tc>
        <w:tc>
          <w:tcPr>
            <w:tcW w:w="7371" w:type="dxa"/>
            <w:tcBorders>
              <w:left w:val="nil"/>
            </w:tcBorders>
          </w:tcPr>
          <w:p w14:paraId="2EBB6E64" w14:textId="77777777" w:rsidR="00ED1CFF" w:rsidRPr="00234E68" w:rsidRDefault="00ED1CFF" w:rsidP="00DE39A3">
            <w:pPr>
              <w:spacing w:after="120"/>
              <w:rPr>
                <w:rFonts w:ascii="Arial" w:hAnsi="Arial" w:cs="Arial"/>
                <w:sz w:val="22"/>
                <w:szCs w:val="22"/>
              </w:rPr>
            </w:pPr>
            <w:r>
              <w:rPr>
                <w:rFonts w:ascii="Arial" w:hAnsi="Arial"/>
                <w:sz w:val="22"/>
                <w:szCs w:val="22"/>
              </w:rPr>
              <w:t>[Supprimé]</w:t>
            </w:r>
          </w:p>
        </w:tc>
      </w:tr>
      <w:tr w:rsidR="00ED1CFF" w:rsidRPr="00234E68" w14:paraId="2BDE3F79" w14:textId="77777777" w:rsidTr="002A0DB0">
        <w:trPr>
          <w:cantSplit/>
        </w:trPr>
        <w:tc>
          <w:tcPr>
            <w:tcW w:w="1129" w:type="dxa"/>
            <w:tcBorders>
              <w:right w:val="nil"/>
            </w:tcBorders>
          </w:tcPr>
          <w:p w14:paraId="642214FA" w14:textId="77777777" w:rsidR="00ED1CFF" w:rsidRPr="00234E68" w:rsidRDefault="00ED1CFF" w:rsidP="00DE39A3">
            <w:pPr>
              <w:spacing w:after="120"/>
              <w:rPr>
                <w:rFonts w:ascii="Arial" w:hAnsi="Arial" w:cs="Arial"/>
                <w:b/>
                <w:sz w:val="22"/>
                <w:szCs w:val="22"/>
              </w:rPr>
            </w:pPr>
            <w:r>
              <w:rPr>
                <w:rFonts w:ascii="Arial" w:hAnsi="Arial"/>
                <w:b/>
                <w:sz w:val="22"/>
                <w:szCs w:val="22"/>
              </w:rPr>
              <w:t>Article 8</w:t>
            </w:r>
          </w:p>
        </w:tc>
        <w:tc>
          <w:tcPr>
            <w:tcW w:w="4253" w:type="dxa"/>
            <w:tcBorders>
              <w:left w:val="nil"/>
            </w:tcBorders>
          </w:tcPr>
          <w:p w14:paraId="0A8BB1A9" w14:textId="77777777" w:rsidR="00ED1CFF" w:rsidRPr="00234E68" w:rsidRDefault="00ED1CFF" w:rsidP="00DE39A3">
            <w:pPr>
              <w:spacing w:after="120"/>
              <w:rPr>
                <w:rFonts w:ascii="Arial" w:hAnsi="Arial" w:cs="Arial"/>
                <w:b/>
                <w:sz w:val="22"/>
                <w:szCs w:val="22"/>
              </w:rPr>
            </w:pPr>
            <w:r>
              <w:rPr>
                <w:rFonts w:ascii="Arial" w:hAnsi="Arial"/>
                <w:b/>
                <w:sz w:val="22"/>
                <w:szCs w:val="22"/>
              </w:rPr>
              <w:t>Placements</w:t>
            </w:r>
          </w:p>
        </w:tc>
        <w:tc>
          <w:tcPr>
            <w:tcW w:w="1417" w:type="dxa"/>
            <w:tcBorders>
              <w:right w:val="nil"/>
            </w:tcBorders>
          </w:tcPr>
          <w:p w14:paraId="2C2B5705" w14:textId="77777777" w:rsidR="00ED1CFF" w:rsidRPr="00234E68" w:rsidRDefault="00ED1CFF" w:rsidP="00DE39A3">
            <w:pPr>
              <w:keepNext/>
              <w:suppressAutoHyphens/>
              <w:spacing w:after="120"/>
              <w:rPr>
                <w:rFonts w:ascii="Arial" w:hAnsi="Arial" w:cs="Arial"/>
                <w:b/>
                <w:bCs/>
                <w:sz w:val="22"/>
                <w:szCs w:val="22"/>
              </w:rPr>
            </w:pPr>
            <w:r>
              <w:rPr>
                <w:rFonts w:ascii="Arial" w:hAnsi="Arial"/>
                <w:b/>
                <w:bCs/>
                <w:sz w:val="22"/>
                <w:szCs w:val="22"/>
              </w:rPr>
              <w:t>Article </w:t>
            </w:r>
            <w:r>
              <w:rPr>
                <w:rFonts w:ascii="Arial" w:hAnsi="Arial"/>
                <w:b/>
                <w:strike/>
                <w:sz w:val="22"/>
                <w:szCs w:val="22"/>
              </w:rPr>
              <w:t>8</w:t>
            </w:r>
            <w:r>
              <w:rPr>
                <w:rFonts w:ascii="Arial" w:hAnsi="Arial"/>
                <w:b/>
                <w:bCs/>
                <w:sz w:val="22"/>
                <w:szCs w:val="22"/>
                <w:u w:val="single"/>
              </w:rPr>
              <w:t>9</w:t>
            </w:r>
          </w:p>
        </w:tc>
        <w:tc>
          <w:tcPr>
            <w:tcW w:w="7371" w:type="dxa"/>
            <w:tcBorders>
              <w:left w:val="nil"/>
            </w:tcBorders>
          </w:tcPr>
          <w:p w14:paraId="15B61E41" w14:textId="77777777" w:rsidR="00ED1CFF" w:rsidRPr="00234E68" w:rsidRDefault="00ED1CFF" w:rsidP="00DE39A3">
            <w:pPr>
              <w:keepNext/>
              <w:suppressAutoHyphens/>
              <w:spacing w:after="120"/>
              <w:rPr>
                <w:rFonts w:ascii="Arial" w:hAnsi="Arial" w:cs="Arial"/>
                <w:b/>
                <w:sz w:val="22"/>
                <w:szCs w:val="22"/>
              </w:rPr>
            </w:pPr>
            <w:r>
              <w:rPr>
                <w:rFonts w:ascii="Arial" w:hAnsi="Arial"/>
                <w:bCs/>
                <w:sz w:val="22"/>
                <w:szCs w:val="22"/>
              </w:rPr>
              <w:t>Aucun changement.</w:t>
            </w:r>
          </w:p>
        </w:tc>
      </w:tr>
      <w:tr w:rsidR="00ED1CFF" w:rsidRPr="00E869B7" w14:paraId="03F73C89" w14:textId="77777777" w:rsidTr="002A0DB0">
        <w:trPr>
          <w:cantSplit/>
        </w:trPr>
        <w:tc>
          <w:tcPr>
            <w:tcW w:w="1129" w:type="dxa"/>
            <w:tcBorders>
              <w:right w:val="nil"/>
            </w:tcBorders>
          </w:tcPr>
          <w:p w14:paraId="0835D642"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8.1 </w:t>
            </w:r>
          </w:p>
        </w:tc>
        <w:tc>
          <w:tcPr>
            <w:tcW w:w="4253" w:type="dxa"/>
            <w:tcBorders>
              <w:left w:val="nil"/>
            </w:tcBorders>
          </w:tcPr>
          <w:p w14:paraId="14695887" w14:textId="48EC6E3C" w:rsidR="00ED1CFF" w:rsidRPr="00234E68" w:rsidRDefault="00D778B8" w:rsidP="00DE39A3">
            <w:pPr>
              <w:spacing w:after="120"/>
              <w:rPr>
                <w:rFonts w:ascii="Arial" w:hAnsi="Arial" w:cs="Arial"/>
                <w:sz w:val="22"/>
                <w:szCs w:val="22"/>
              </w:rPr>
            </w:pPr>
            <w:r w:rsidRPr="00205C4A">
              <w:rPr>
                <w:rFonts w:ascii="Arial" w:hAnsi="Arial"/>
                <w:sz w:val="22"/>
                <w:szCs w:val="22"/>
              </w:rPr>
              <w:t>Le/la Directeur/Directrice général(e)</w:t>
            </w:r>
            <w:r>
              <w:rPr>
                <w:rFonts w:ascii="Arial" w:hAnsi="Arial"/>
                <w:sz w:val="22"/>
                <w:szCs w:val="22"/>
              </w:rPr>
              <w:t xml:space="preserve"> est autorisé(e)</w:t>
            </w:r>
            <w:r w:rsidR="00ED1CFF">
              <w:rPr>
                <w:rFonts w:ascii="Arial" w:hAnsi="Arial"/>
                <w:sz w:val="22"/>
                <w:szCs w:val="22"/>
              </w:rPr>
              <w:t xml:space="preserve"> à placer à court terme les sommes figurant au crédit du Compte spécial.</w:t>
            </w:r>
          </w:p>
        </w:tc>
        <w:tc>
          <w:tcPr>
            <w:tcW w:w="1417" w:type="dxa"/>
            <w:tcBorders>
              <w:right w:val="nil"/>
            </w:tcBorders>
          </w:tcPr>
          <w:p w14:paraId="2875EF83" w14:textId="77777777" w:rsidR="00ED1CFF" w:rsidRPr="00234E68" w:rsidRDefault="00ED1CFF" w:rsidP="00DE39A3">
            <w:pPr>
              <w:suppressAutoHyphens/>
              <w:spacing w:after="120"/>
              <w:rPr>
                <w:rFonts w:ascii="Arial" w:hAnsi="Arial" w:cs="Arial"/>
                <w:sz w:val="22"/>
                <w:szCs w:val="22"/>
              </w:rPr>
            </w:pPr>
            <w:r>
              <w:rPr>
                <w:rFonts w:ascii="Arial" w:hAnsi="Arial"/>
                <w:strike/>
                <w:sz w:val="22"/>
                <w:szCs w:val="22"/>
              </w:rPr>
              <w:t>8.1</w:t>
            </w:r>
            <w:r>
              <w:rPr>
                <w:rFonts w:ascii="Arial" w:hAnsi="Arial"/>
                <w:b/>
                <w:bCs/>
                <w:sz w:val="22"/>
                <w:szCs w:val="22"/>
                <w:u w:val="single"/>
              </w:rPr>
              <w:t>9.1</w:t>
            </w:r>
          </w:p>
        </w:tc>
        <w:tc>
          <w:tcPr>
            <w:tcW w:w="7371" w:type="dxa"/>
            <w:tcBorders>
              <w:left w:val="nil"/>
            </w:tcBorders>
          </w:tcPr>
          <w:p w14:paraId="4F723E78" w14:textId="314DC4A5" w:rsidR="00ED1CFF" w:rsidRPr="00234E68" w:rsidRDefault="00D778B8" w:rsidP="00DE39A3">
            <w:pPr>
              <w:suppressAutoHyphens/>
              <w:spacing w:after="120"/>
              <w:rPr>
                <w:rFonts w:ascii="Arial" w:hAnsi="Arial" w:cs="Arial"/>
                <w:sz w:val="22"/>
                <w:szCs w:val="22"/>
              </w:rPr>
            </w:pPr>
            <w:r w:rsidRPr="002A0DB0">
              <w:rPr>
                <w:rFonts w:ascii="Arial" w:hAnsi="Arial"/>
                <w:sz w:val="22"/>
                <w:szCs w:val="22"/>
              </w:rPr>
              <w:t>Le/la Directeur/Directrice général(e)</w:t>
            </w:r>
            <w:r w:rsidR="00ED1CFF">
              <w:rPr>
                <w:rFonts w:ascii="Arial" w:hAnsi="Arial"/>
                <w:sz w:val="22"/>
                <w:szCs w:val="22"/>
              </w:rPr>
              <w:t xml:space="preserve"> est autorisé</w:t>
            </w:r>
            <w:r>
              <w:rPr>
                <w:rFonts w:ascii="Arial" w:hAnsi="Arial"/>
                <w:sz w:val="22"/>
                <w:szCs w:val="22"/>
              </w:rPr>
              <w:t>(e)</w:t>
            </w:r>
            <w:r w:rsidR="00ED1CFF">
              <w:rPr>
                <w:rFonts w:ascii="Arial" w:hAnsi="Arial"/>
                <w:sz w:val="22"/>
                <w:szCs w:val="22"/>
              </w:rPr>
              <w:t xml:space="preserve"> à placer à court terme </w:t>
            </w:r>
            <w:r w:rsidR="00ED1CFF">
              <w:rPr>
                <w:rFonts w:ascii="Arial" w:hAnsi="Arial"/>
                <w:b/>
                <w:bCs/>
                <w:sz w:val="22"/>
                <w:szCs w:val="22"/>
                <w:u w:val="single"/>
              </w:rPr>
              <w:t>ou à long terme</w:t>
            </w:r>
            <w:r w:rsidR="00ED1CFF">
              <w:rPr>
                <w:rFonts w:ascii="Arial" w:hAnsi="Arial"/>
                <w:sz w:val="22"/>
                <w:szCs w:val="22"/>
              </w:rPr>
              <w:t xml:space="preserve"> les sommes figurant au crédit du Compte spécial.</w:t>
            </w:r>
          </w:p>
        </w:tc>
      </w:tr>
      <w:tr w:rsidR="00ED1CFF" w:rsidRPr="00E869B7" w14:paraId="30D8CF20" w14:textId="77777777" w:rsidTr="002A0DB0">
        <w:trPr>
          <w:cantSplit/>
        </w:trPr>
        <w:tc>
          <w:tcPr>
            <w:tcW w:w="1129" w:type="dxa"/>
            <w:tcBorders>
              <w:right w:val="nil"/>
            </w:tcBorders>
          </w:tcPr>
          <w:p w14:paraId="3ED9F88F" w14:textId="77777777" w:rsidR="00ED1CFF" w:rsidRPr="00234E68" w:rsidRDefault="00ED1CFF" w:rsidP="00DE39A3">
            <w:pPr>
              <w:spacing w:after="120"/>
              <w:rPr>
                <w:rFonts w:ascii="Arial" w:hAnsi="Arial" w:cs="Arial"/>
                <w:sz w:val="22"/>
                <w:szCs w:val="22"/>
              </w:rPr>
            </w:pPr>
            <w:r>
              <w:rPr>
                <w:rFonts w:ascii="Arial" w:hAnsi="Arial"/>
                <w:sz w:val="22"/>
                <w:szCs w:val="22"/>
              </w:rPr>
              <w:t xml:space="preserve">8.2 </w:t>
            </w:r>
          </w:p>
        </w:tc>
        <w:tc>
          <w:tcPr>
            <w:tcW w:w="4253" w:type="dxa"/>
            <w:tcBorders>
              <w:left w:val="nil"/>
            </w:tcBorders>
          </w:tcPr>
          <w:p w14:paraId="4B2166E8" w14:textId="77777777" w:rsidR="00ED1CFF" w:rsidRPr="00234E68" w:rsidRDefault="00ED1CFF" w:rsidP="00DE39A3">
            <w:pPr>
              <w:spacing w:after="120"/>
              <w:rPr>
                <w:rFonts w:ascii="Arial" w:hAnsi="Arial" w:cs="Arial"/>
                <w:sz w:val="22"/>
                <w:szCs w:val="22"/>
              </w:rPr>
            </w:pPr>
            <w:r>
              <w:rPr>
                <w:rFonts w:ascii="Arial" w:hAnsi="Arial"/>
                <w:sz w:val="22"/>
                <w:szCs w:val="22"/>
              </w:rPr>
              <w:t>Les intérêts produits par ces placements sont portés au crédit du Compte spécial.</w:t>
            </w:r>
          </w:p>
        </w:tc>
        <w:tc>
          <w:tcPr>
            <w:tcW w:w="1417" w:type="dxa"/>
            <w:tcBorders>
              <w:right w:val="nil"/>
            </w:tcBorders>
          </w:tcPr>
          <w:p w14:paraId="5B75ADC4" w14:textId="0F7DC769" w:rsidR="00ED1CFF" w:rsidRPr="00234E68" w:rsidRDefault="00560ED9" w:rsidP="00DE39A3">
            <w:pPr>
              <w:suppressAutoHyphens/>
              <w:spacing w:after="120"/>
              <w:rPr>
                <w:rFonts w:ascii="Arial" w:hAnsi="Arial" w:cs="Arial"/>
                <w:sz w:val="22"/>
                <w:szCs w:val="22"/>
              </w:rPr>
            </w:pPr>
            <w:r>
              <w:rPr>
                <w:rFonts w:ascii="Arial" w:hAnsi="Arial"/>
                <w:strike/>
                <w:sz w:val="22"/>
                <w:szCs w:val="22"/>
              </w:rPr>
              <w:t>8</w:t>
            </w:r>
            <w:r w:rsidR="00ED1CFF">
              <w:rPr>
                <w:rFonts w:ascii="Arial" w:hAnsi="Arial"/>
                <w:strike/>
                <w:sz w:val="22"/>
                <w:szCs w:val="22"/>
              </w:rPr>
              <w:t>.2</w:t>
            </w:r>
            <w:r w:rsidR="00ED1CFF">
              <w:rPr>
                <w:rFonts w:ascii="Arial" w:hAnsi="Arial"/>
                <w:b/>
                <w:bCs/>
                <w:sz w:val="22"/>
                <w:szCs w:val="22"/>
                <w:u w:val="single"/>
              </w:rPr>
              <w:t>9.2</w:t>
            </w:r>
          </w:p>
        </w:tc>
        <w:tc>
          <w:tcPr>
            <w:tcW w:w="7371" w:type="dxa"/>
            <w:tcBorders>
              <w:left w:val="nil"/>
            </w:tcBorders>
          </w:tcPr>
          <w:p w14:paraId="4C983017" w14:textId="0158D0B6" w:rsidR="00ED1CFF" w:rsidRPr="00234E68" w:rsidRDefault="00ED1CFF" w:rsidP="00DE39A3">
            <w:pPr>
              <w:suppressAutoHyphens/>
              <w:spacing w:after="120"/>
              <w:rPr>
                <w:rFonts w:ascii="Arial" w:hAnsi="Arial" w:cs="Arial"/>
                <w:sz w:val="22"/>
                <w:szCs w:val="22"/>
              </w:rPr>
            </w:pPr>
            <w:r>
              <w:rPr>
                <w:rFonts w:ascii="Arial" w:hAnsi="Arial"/>
                <w:strike/>
                <w:sz w:val="22"/>
                <w:szCs w:val="22"/>
              </w:rPr>
              <w:t>Les intérêts produits par</w:t>
            </w:r>
            <w:r>
              <w:rPr>
                <w:rFonts w:ascii="Arial" w:hAnsi="Arial"/>
                <w:b/>
                <w:bCs/>
                <w:sz w:val="22"/>
                <w:szCs w:val="22"/>
              </w:rPr>
              <w:t xml:space="preserve"> </w:t>
            </w:r>
            <w:r>
              <w:rPr>
                <w:rFonts w:ascii="Arial" w:hAnsi="Arial"/>
                <w:b/>
                <w:bCs/>
                <w:sz w:val="22"/>
                <w:szCs w:val="22"/>
                <w:u w:val="single"/>
              </w:rPr>
              <w:t>Les recettes provenant de</w:t>
            </w:r>
            <w:r>
              <w:rPr>
                <w:rFonts w:ascii="Arial" w:hAnsi="Arial"/>
                <w:sz w:val="22"/>
                <w:szCs w:val="22"/>
              </w:rPr>
              <w:t xml:space="preserve"> ces placements sont portées au crédit du Compte spécial </w:t>
            </w:r>
            <w:r>
              <w:rPr>
                <w:rFonts w:ascii="Arial" w:hAnsi="Arial"/>
                <w:b/>
                <w:bCs/>
                <w:sz w:val="22"/>
                <w:szCs w:val="22"/>
                <w:u w:val="single"/>
              </w:rPr>
              <w:t>conformément au Règlement d’administration financière de l’UNESCO.</w:t>
            </w:r>
          </w:p>
        </w:tc>
      </w:tr>
      <w:tr w:rsidR="00ED1CFF" w:rsidRPr="00234E68" w14:paraId="4C19F6B0" w14:textId="77777777" w:rsidTr="002A0DB0">
        <w:trPr>
          <w:cantSplit/>
        </w:trPr>
        <w:tc>
          <w:tcPr>
            <w:tcW w:w="1129" w:type="dxa"/>
            <w:tcBorders>
              <w:right w:val="nil"/>
            </w:tcBorders>
          </w:tcPr>
          <w:p w14:paraId="088ED1A6" w14:textId="77777777" w:rsidR="00ED1CFF" w:rsidRPr="00043F97" w:rsidRDefault="00ED1CFF" w:rsidP="00DE39A3">
            <w:pPr>
              <w:spacing w:after="120"/>
              <w:rPr>
                <w:rFonts w:ascii="Arial" w:hAnsi="Arial" w:cs="Arial"/>
                <w:b/>
                <w:sz w:val="22"/>
                <w:szCs w:val="22"/>
              </w:rPr>
            </w:pPr>
          </w:p>
        </w:tc>
        <w:tc>
          <w:tcPr>
            <w:tcW w:w="4253" w:type="dxa"/>
            <w:tcBorders>
              <w:left w:val="nil"/>
            </w:tcBorders>
          </w:tcPr>
          <w:p w14:paraId="6A0D8AAB" w14:textId="77777777" w:rsidR="00ED1CFF" w:rsidRPr="00043F97" w:rsidRDefault="00ED1CFF" w:rsidP="00DE39A3">
            <w:pPr>
              <w:spacing w:after="120"/>
              <w:rPr>
                <w:rFonts w:ascii="Arial" w:hAnsi="Arial" w:cs="Arial"/>
                <w:b/>
                <w:sz w:val="22"/>
                <w:szCs w:val="22"/>
              </w:rPr>
            </w:pPr>
          </w:p>
        </w:tc>
        <w:tc>
          <w:tcPr>
            <w:tcW w:w="1417" w:type="dxa"/>
            <w:tcBorders>
              <w:right w:val="nil"/>
            </w:tcBorders>
          </w:tcPr>
          <w:p w14:paraId="248DB942" w14:textId="77777777" w:rsidR="00ED1CFF" w:rsidRPr="00234E68" w:rsidRDefault="00ED1CFF" w:rsidP="00DE39A3">
            <w:pPr>
              <w:suppressAutoHyphens/>
              <w:spacing w:after="120"/>
              <w:rPr>
                <w:rFonts w:ascii="Arial" w:hAnsi="Arial" w:cs="Arial"/>
                <w:b/>
                <w:sz w:val="22"/>
                <w:szCs w:val="22"/>
                <w:u w:val="single"/>
              </w:rPr>
            </w:pPr>
            <w:r>
              <w:rPr>
                <w:rFonts w:ascii="Arial" w:hAnsi="Arial"/>
                <w:b/>
                <w:bCs/>
                <w:sz w:val="22"/>
                <w:szCs w:val="22"/>
                <w:u w:val="single"/>
              </w:rPr>
              <w:t>Article 10</w:t>
            </w:r>
          </w:p>
        </w:tc>
        <w:tc>
          <w:tcPr>
            <w:tcW w:w="7371" w:type="dxa"/>
            <w:tcBorders>
              <w:left w:val="nil"/>
            </w:tcBorders>
          </w:tcPr>
          <w:p w14:paraId="6C08EB78" w14:textId="77777777" w:rsidR="00ED1CFF" w:rsidRPr="00234E68" w:rsidRDefault="00ED1CFF" w:rsidP="00DE39A3">
            <w:pPr>
              <w:suppressAutoHyphens/>
              <w:spacing w:after="120"/>
              <w:rPr>
                <w:rFonts w:ascii="Arial" w:hAnsi="Arial" w:cs="Arial"/>
                <w:b/>
                <w:sz w:val="22"/>
                <w:szCs w:val="22"/>
                <w:u w:val="single"/>
              </w:rPr>
            </w:pPr>
            <w:r>
              <w:rPr>
                <w:rFonts w:ascii="Arial" w:hAnsi="Arial"/>
                <w:b/>
                <w:bCs/>
                <w:sz w:val="22"/>
                <w:szCs w:val="22"/>
                <w:u w:val="single"/>
              </w:rPr>
              <w:t>Rapports</w:t>
            </w:r>
          </w:p>
        </w:tc>
      </w:tr>
      <w:tr w:rsidR="00ED1CFF" w:rsidRPr="00E869B7" w14:paraId="52A4D9AD" w14:textId="77777777" w:rsidTr="002A0DB0">
        <w:trPr>
          <w:cantSplit/>
        </w:trPr>
        <w:tc>
          <w:tcPr>
            <w:tcW w:w="1129" w:type="dxa"/>
            <w:tcBorders>
              <w:right w:val="nil"/>
            </w:tcBorders>
          </w:tcPr>
          <w:p w14:paraId="1B198DD0" w14:textId="77777777" w:rsidR="00ED1CFF" w:rsidRPr="00234E68" w:rsidRDefault="00ED1CFF" w:rsidP="00DE39A3">
            <w:pPr>
              <w:spacing w:after="120"/>
              <w:rPr>
                <w:rFonts w:ascii="Arial" w:hAnsi="Arial" w:cs="Arial"/>
                <w:sz w:val="22"/>
                <w:szCs w:val="22"/>
                <w:lang w:val="en-US"/>
              </w:rPr>
            </w:pPr>
          </w:p>
        </w:tc>
        <w:tc>
          <w:tcPr>
            <w:tcW w:w="4253" w:type="dxa"/>
            <w:tcBorders>
              <w:left w:val="nil"/>
            </w:tcBorders>
          </w:tcPr>
          <w:p w14:paraId="3E62302A" w14:textId="77777777" w:rsidR="00ED1CFF" w:rsidRPr="00234E68" w:rsidRDefault="00ED1CFF" w:rsidP="00DE39A3">
            <w:pPr>
              <w:spacing w:after="120"/>
              <w:rPr>
                <w:rFonts w:ascii="Arial" w:hAnsi="Arial" w:cs="Arial"/>
                <w:sz w:val="22"/>
                <w:szCs w:val="22"/>
                <w:lang w:val="en-US"/>
              </w:rPr>
            </w:pPr>
          </w:p>
        </w:tc>
        <w:tc>
          <w:tcPr>
            <w:tcW w:w="1417" w:type="dxa"/>
            <w:tcBorders>
              <w:right w:val="nil"/>
            </w:tcBorders>
          </w:tcPr>
          <w:p w14:paraId="57DE9FA9" w14:textId="77777777" w:rsidR="00ED1CFF" w:rsidRPr="002A0DB0" w:rsidRDefault="00ED1CFF" w:rsidP="00DE39A3">
            <w:pPr>
              <w:suppressAutoHyphens/>
              <w:spacing w:after="120"/>
              <w:rPr>
                <w:rFonts w:ascii="Arial" w:hAnsi="Arial" w:cs="Arial"/>
                <w:b/>
                <w:bCs/>
                <w:sz w:val="22"/>
                <w:szCs w:val="22"/>
                <w:u w:val="single"/>
              </w:rPr>
            </w:pPr>
            <w:r w:rsidRPr="002A0DB0">
              <w:rPr>
                <w:rFonts w:ascii="Arial" w:hAnsi="Arial"/>
                <w:b/>
                <w:bCs/>
                <w:sz w:val="22"/>
                <w:szCs w:val="22"/>
                <w:u w:val="single"/>
              </w:rPr>
              <w:t xml:space="preserve">10.1 </w:t>
            </w:r>
          </w:p>
        </w:tc>
        <w:tc>
          <w:tcPr>
            <w:tcW w:w="7371" w:type="dxa"/>
            <w:tcBorders>
              <w:left w:val="nil"/>
            </w:tcBorders>
          </w:tcPr>
          <w:p w14:paraId="129FFF86" w14:textId="5D41AC22" w:rsidR="00ED1CFF" w:rsidRPr="00234E68" w:rsidRDefault="00ED1CFF" w:rsidP="00DE39A3">
            <w:pPr>
              <w:suppressAutoHyphens/>
              <w:spacing w:after="120"/>
              <w:rPr>
                <w:rFonts w:ascii="Arial" w:hAnsi="Arial" w:cs="Arial"/>
                <w:b/>
                <w:bCs/>
                <w:sz w:val="22"/>
                <w:szCs w:val="22"/>
                <w:u w:val="single"/>
              </w:rPr>
            </w:pPr>
            <w:r>
              <w:rPr>
                <w:rFonts w:ascii="Arial" w:hAnsi="Arial"/>
                <w:b/>
                <w:bCs/>
                <w:sz w:val="22"/>
                <w:szCs w:val="22"/>
                <w:u w:val="single"/>
              </w:rPr>
              <w:t>Un rapport financier biennal montrant les recettes et les dépenses au titre du Compte spécial est établi et soumis au Comité et à l’Assemblée générale.</w:t>
            </w:r>
          </w:p>
        </w:tc>
      </w:tr>
      <w:tr w:rsidR="00ED1CFF" w:rsidRPr="00E869B7" w14:paraId="4A3698EA" w14:textId="77777777" w:rsidTr="002A0DB0">
        <w:trPr>
          <w:cantSplit/>
        </w:trPr>
        <w:tc>
          <w:tcPr>
            <w:tcW w:w="1129" w:type="dxa"/>
            <w:tcBorders>
              <w:right w:val="nil"/>
            </w:tcBorders>
          </w:tcPr>
          <w:p w14:paraId="193FB624" w14:textId="77777777" w:rsidR="00ED1CFF" w:rsidRPr="00043F97" w:rsidRDefault="00ED1CFF" w:rsidP="00DE39A3">
            <w:pPr>
              <w:spacing w:after="120"/>
              <w:rPr>
                <w:rFonts w:ascii="Arial" w:hAnsi="Arial" w:cs="Arial"/>
                <w:sz w:val="22"/>
                <w:szCs w:val="22"/>
              </w:rPr>
            </w:pPr>
          </w:p>
        </w:tc>
        <w:tc>
          <w:tcPr>
            <w:tcW w:w="4253" w:type="dxa"/>
            <w:tcBorders>
              <w:left w:val="nil"/>
            </w:tcBorders>
          </w:tcPr>
          <w:p w14:paraId="3C3B32F5" w14:textId="77777777" w:rsidR="00ED1CFF" w:rsidRPr="00043F97" w:rsidRDefault="00ED1CFF" w:rsidP="00DE39A3">
            <w:pPr>
              <w:spacing w:after="120"/>
              <w:rPr>
                <w:rFonts w:ascii="Arial" w:hAnsi="Arial" w:cs="Arial"/>
                <w:sz w:val="22"/>
                <w:szCs w:val="22"/>
              </w:rPr>
            </w:pPr>
          </w:p>
        </w:tc>
        <w:tc>
          <w:tcPr>
            <w:tcW w:w="1417" w:type="dxa"/>
            <w:tcBorders>
              <w:right w:val="nil"/>
            </w:tcBorders>
          </w:tcPr>
          <w:p w14:paraId="461EBD77" w14:textId="77777777" w:rsidR="00ED1CFF" w:rsidRPr="002A0DB0" w:rsidRDefault="00ED1CFF" w:rsidP="00DE39A3">
            <w:pPr>
              <w:spacing w:after="120"/>
              <w:rPr>
                <w:rFonts w:ascii="Arial" w:hAnsi="Arial" w:cs="Arial"/>
                <w:b/>
                <w:bCs/>
                <w:sz w:val="22"/>
                <w:szCs w:val="22"/>
                <w:u w:val="single"/>
              </w:rPr>
            </w:pPr>
            <w:r w:rsidRPr="002A0DB0">
              <w:rPr>
                <w:rFonts w:ascii="Arial" w:hAnsi="Arial"/>
                <w:b/>
                <w:bCs/>
                <w:sz w:val="22"/>
                <w:szCs w:val="22"/>
                <w:u w:val="single"/>
              </w:rPr>
              <w:t>10.2</w:t>
            </w:r>
          </w:p>
        </w:tc>
        <w:tc>
          <w:tcPr>
            <w:tcW w:w="7371" w:type="dxa"/>
            <w:tcBorders>
              <w:left w:val="nil"/>
            </w:tcBorders>
          </w:tcPr>
          <w:p w14:paraId="24575D9E" w14:textId="7F6DAC36" w:rsidR="00ED1CFF" w:rsidRPr="00234E68" w:rsidRDefault="00ED1CFF" w:rsidP="00DE39A3">
            <w:pPr>
              <w:suppressAutoHyphens/>
              <w:spacing w:after="120"/>
              <w:rPr>
                <w:rFonts w:ascii="Arial" w:hAnsi="Arial" w:cs="Arial"/>
                <w:b/>
                <w:bCs/>
                <w:sz w:val="22"/>
                <w:szCs w:val="22"/>
                <w:u w:val="single"/>
              </w:rPr>
            </w:pPr>
            <w:r>
              <w:rPr>
                <w:rFonts w:ascii="Arial" w:hAnsi="Arial"/>
                <w:b/>
                <w:bCs/>
                <w:sz w:val="22"/>
                <w:szCs w:val="22"/>
                <w:u w:val="single"/>
              </w:rPr>
              <w:t>Un rapport narratif biennal est soumis au Comité et à l’Assemblée générale.</w:t>
            </w:r>
          </w:p>
        </w:tc>
      </w:tr>
      <w:tr w:rsidR="00ED1CFF" w:rsidRPr="00E869B7" w14:paraId="5264DBC9" w14:textId="77777777" w:rsidTr="002A0DB0">
        <w:trPr>
          <w:cantSplit/>
        </w:trPr>
        <w:tc>
          <w:tcPr>
            <w:tcW w:w="1129" w:type="dxa"/>
            <w:tcBorders>
              <w:right w:val="nil"/>
            </w:tcBorders>
          </w:tcPr>
          <w:p w14:paraId="2B9532F5" w14:textId="77777777" w:rsidR="00ED1CFF" w:rsidRPr="00043F97" w:rsidRDefault="00ED1CFF" w:rsidP="002A0DB0">
            <w:pPr>
              <w:keepNext/>
              <w:spacing w:after="120"/>
              <w:rPr>
                <w:rFonts w:ascii="Arial" w:hAnsi="Arial" w:cs="Arial"/>
                <w:sz w:val="22"/>
                <w:szCs w:val="22"/>
              </w:rPr>
            </w:pPr>
          </w:p>
        </w:tc>
        <w:tc>
          <w:tcPr>
            <w:tcW w:w="4253" w:type="dxa"/>
            <w:tcBorders>
              <w:left w:val="nil"/>
            </w:tcBorders>
          </w:tcPr>
          <w:p w14:paraId="15D0B4B4" w14:textId="77777777" w:rsidR="00ED1CFF" w:rsidRPr="00043F97" w:rsidRDefault="00ED1CFF" w:rsidP="002A0DB0">
            <w:pPr>
              <w:keepNext/>
              <w:spacing w:after="120"/>
              <w:rPr>
                <w:rFonts w:ascii="Arial" w:hAnsi="Arial" w:cs="Arial"/>
                <w:sz w:val="22"/>
                <w:szCs w:val="22"/>
              </w:rPr>
            </w:pPr>
          </w:p>
        </w:tc>
        <w:tc>
          <w:tcPr>
            <w:tcW w:w="1417" w:type="dxa"/>
            <w:tcBorders>
              <w:right w:val="nil"/>
            </w:tcBorders>
          </w:tcPr>
          <w:p w14:paraId="02B10CC0" w14:textId="77777777" w:rsidR="00ED1CFF" w:rsidRPr="00234E68" w:rsidRDefault="00ED1CFF">
            <w:pPr>
              <w:keepNext/>
              <w:suppressAutoHyphens/>
              <w:spacing w:after="120"/>
              <w:rPr>
                <w:rFonts w:ascii="Arial" w:hAnsi="Arial" w:cs="Arial"/>
                <w:sz w:val="22"/>
                <w:szCs w:val="22"/>
                <w:u w:val="single"/>
              </w:rPr>
            </w:pPr>
            <w:r>
              <w:rPr>
                <w:rFonts w:ascii="Arial" w:hAnsi="Arial"/>
                <w:b/>
                <w:bCs/>
                <w:sz w:val="22"/>
                <w:szCs w:val="22"/>
                <w:u w:val="single"/>
              </w:rPr>
              <w:t>Article 11</w:t>
            </w:r>
          </w:p>
        </w:tc>
        <w:tc>
          <w:tcPr>
            <w:tcW w:w="7371" w:type="dxa"/>
            <w:tcBorders>
              <w:left w:val="nil"/>
            </w:tcBorders>
          </w:tcPr>
          <w:p w14:paraId="5D42CD6F" w14:textId="77777777" w:rsidR="00ED1CFF" w:rsidRPr="00234E68" w:rsidRDefault="00ED1CFF">
            <w:pPr>
              <w:keepNext/>
              <w:suppressAutoHyphens/>
              <w:spacing w:after="120"/>
              <w:rPr>
                <w:rFonts w:ascii="Arial" w:hAnsi="Arial" w:cs="Arial"/>
                <w:sz w:val="22"/>
                <w:szCs w:val="22"/>
                <w:u w:val="single"/>
              </w:rPr>
            </w:pPr>
            <w:r>
              <w:rPr>
                <w:rFonts w:ascii="Arial" w:hAnsi="Arial"/>
                <w:b/>
                <w:bCs/>
                <w:sz w:val="22"/>
                <w:szCs w:val="22"/>
                <w:u w:val="single"/>
              </w:rPr>
              <w:t>Clôture du Compte spécial</w:t>
            </w:r>
          </w:p>
        </w:tc>
      </w:tr>
      <w:tr w:rsidR="00ED1CFF" w:rsidRPr="00E869B7" w14:paraId="12BEBEA7" w14:textId="77777777" w:rsidTr="002A0DB0">
        <w:trPr>
          <w:cantSplit/>
        </w:trPr>
        <w:tc>
          <w:tcPr>
            <w:tcW w:w="1129" w:type="dxa"/>
            <w:tcBorders>
              <w:right w:val="nil"/>
            </w:tcBorders>
          </w:tcPr>
          <w:p w14:paraId="025098F2" w14:textId="77777777" w:rsidR="00ED1CFF" w:rsidRPr="00043F97" w:rsidRDefault="00ED1CFF" w:rsidP="00DE39A3">
            <w:pPr>
              <w:spacing w:after="120"/>
              <w:rPr>
                <w:rFonts w:ascii="Arial" w:hAnsi="Arial" w:cs="Arial"/>
                <w:sz w:val="22"/>
                <w:szCs w:val="22"/>
              </w:rPr>
            </w:pPr>
          </w:p>
        </w:tc>
        <w:tc>
          <w:tcPr>
            <w:tcW w:w="4253" w:type="dxa"/>
            <w:tcBorders>
              <w:left w:val="nil"/>
            </w:tcBorders>
          </w:tcPr>
          <w:p w14:paraId="6908371B" w14:textId="77777777" w:rsidR="00ED1CFF" w:rsidRPr="00043F97" w:rsidRDefault="00ED1CFF" w:rsidP="00DE39A3">
            <w:pPr>
              <w:spacing w:after="120"/>
              <w:rPr>
                <w:rFonts w:ascii="Arial" w:hAnsi="Arial" w:cs="Arial"/>
                <w:sz w:val="22"/>
                <w:szCs w:val="22"/>
              </w:rPr>
            </w:pPr>
          </w:p>
        </w:tc>
        <w:tc>
          <w:tcPr>
            <w:tcW w:w="1417" w:type="dxa"/>
            <w:tcBorders>
              <w:right w:val="nil"/>
            </w:tcBorders>
          </w:tcPr>
          <w:p w14:paraId="7B36F3AE" w14:textId="77777777" w:rsidR="00ED1CFF" w:rsidRPr="002A0DB0" w:rsidRDefault="00ED1CFF" w:rsidP="00DE39A3">
            <w:pPr>
              <w:suppressAutoHyphens/>
              <w:spacing w:after="120"/>
              <w:rPr>
                <w:rFonts w:ascii="Arial" w:hAnsi="Arial" w:cs="Arial"/>
                <w:b/>
                <w:bCs/>
                <w:sz w:val="22"/>
                <w:szCs w:val="22"/>
                <w:u w:val="single"/>
              </w:rPr>
            </w:pPr>
            <w:r w:rsidRPr="002A0DB0">
              <w:rPr>
                <w:rFonts w:ascii="Arial" w:hAnsi="Arial"/>
                <w:b/>
                <w:bCs/>
                <w:sz w:val="22"/>
                <w:szCs w:val="22"/>
                <w:u w:val="single"/>
              </w:rPr>
              <w:t xml:space="preserve">11.1 </w:t>
            </w:r>
          </w:p>
        </w:tc>
        <w:tc>
          <w:tcPr>
            <w:tcW w:w="7371" w:type="dxa"/>
            <w:tcBorders>
              <w:left w:val="nil"/>
            </w:tcBorders>
          </w:tcPr>
          <w:p w14:paraId="062F4822" w14:textId="736D2BD9" w:rsidR="00ED1CFF" w:rsidRPr="00234E68" w:rsidRDefault="00D778B8" w:rsidP="00DE39A3">
            <w:pPr>
              <w:suppressAutoHyphens/>
              <w:spacing w:after="120"/>
              <w:rPr>
                <w:rFonts w:ascii="Arial" w:hAnsi="Arial" w:cs="Arial"/>
                <w:b/>
                <w:bCs/>
                <w:sz w:val="22"/>
                <w:szCs w:val="22"/>
                <w:u w:val="single"/>
              </w:rPr>
            </w:pPr>
            <w:r w:rsidRPr="002A0DB0">
              <w:rPr>
                <w:rFonts w:ascii="Arial" w:hAnsi="Arial"/>
                <w:b/>
                <w:bCs/>
                <w:sz w:val="22"/>
                <w:szCs w:val="22"/>
                <w:u w:val="single"/>
              </w:rPr>
              <w:t>Le/la Directeur/Directrice général(e)</w:t>
            </w:r>
            <w:r w:rsidRPr="002A0DB0">
              <w:rPr>
                <w:rFonts w:ascii="Arial" w:hAnsi="Arial"/>
                <w:sz w:val="22"/>
                <w:szCs w:val="22"/>
                <w:u w:val="single"/>
              </w:rPr>
              <w:t xml:space="preserve"> </w:t>
            </w:r>
            <w:r w:rsidR="00ED1CFF">
              <w:rPr>
                <w:rFonts w:ascii="Arial" w:hAnsi="Arial"/>
                <w:b/>
                <w:bCs/>
                <w:sz w:val="22"/>
                <w:szCs w:val="22"/>
                <w:u w:val="single"/>
              </w:rPr>
              <w:t>consulte l’Assemblée générale lorsqu’il estime que le Compte spécial n’a plus de raison d’être. Cette consultation doit inclure une décision relative à l’emploi de tout solde inutilisé.</w:t>
            </w:r>
          </w:p>
        </w:tc>
      </w:tr>
      <w:tr w:rsidR="00ED1CFF" w:rsidRPr="00E869B7" w14:paraId="1D7AB758" w14:textId="77777777" w:rsidTr="002A0DB0">
        <w:trPr>
          <w:cantSplit/>
        </w:trPr>
        <w:tc>
          <w:tcPr>
            <w:tcW w:w="1129" w:type="dxa"/>
            <w:tcBorders>
              <w:right w:val="nil"/>
            </w:tcBorders>
          </w:tcPr>
          <w:p w14:paraId="3AA4C816" w14:textId="77777777" w:rsidR="00ED1CFF" w:rsidRPr="00043F97" w:rsidRDefault="00ED1CFF" w:rsidP="00DE39A3">
            <w:pPr>
              <w:spacing w:after="120"/>
              <w:rPr>
                <w:rFonts w:ascii="Arial" w:hAnsi="Arial" w:cs="Arial"/>
                <w:sz w:val="22"/>
                <w:szCs w:val="22"/>
              </w:rPr>
            </w:pPr>
          </w:p>
        </w:tc>
        <w:tc>
          <w:tcPr>
            <w:tcW w:w="4253" w:type="dxa"/>
            <w:tcBorders>
              <w:left w:val="nil"/>
            </w:tcBorders>
          </w:tcPr>
          <w:p w14:paraId="5E9CCF67" w14:textId="77777777" w:rsidR="00ED1CFF" w:rsidRPr="00043F97" w:rsidRDefault="00ED1CFF" w:rsidP="00DE39A3">
            <w:pPr>
              <w:spacing w:after="120"/>
              <w:rPr>
                <w:rFonts w:ascii="Arial" w:hAnsi="Arial" w:cs="Arial"/>
                <w:sz w:val="22"/>
                <w:szCs w:val="22"/>
              </w:rPr>
            </w:pPr>
          </w:p>
        </w:tc>
        <w:tc>
          <w:tcPr>
            <w:tcW w:w="1417" w:type="dxa"/>
            <w:tcBorders>
              <w:right w:val="nil"/>
            </w:tcBorders>
          </w:tcPr>
          <w:p w14:paraId="40CD9356" w14:textId="77777777" w:rsidR="00ED1CFF" w:rsidRPr="002A0DB0" w:rsidRDefault="00ED1CFF" w:rsidP="00DE39A3">
            <w:pPr>
              <w:suppressAutoHyphens/>
              <w:spacing w:after="120"/>
              <w:rPr>
                <w:rFonts w:ascii="Arial" w:hAnsi="Arial" w:cs="Arial"/>
                <w:b/>
                <w:bCs/>
                <w:sz w:val="22"/>
                <w:szCs w:val="22"/>
                <w:u w:val="single"/>
              </w:rPr>
            </w:pPr>
            <w:r w:rsidRPr="002A0DB0">
              <w:rPr>
                <w:rFonts w:ascii="Arial" w:hAnsi="Arial"/>
                <w:b/>
                <w:bCs/>
                <w:sz w:val="22"/>
                <w:szCs w:val="22"/>
                <w:u w:val="single"/>
              </w:rPr>
              <w:t xml:space="preserve">11.2 </w:t>
            </w:r>
          </w:p>
        </w:tc>
        <w:tc>
          <w:tcPr>
            <w:tcW w:w="7371" w:type="dxa"/>
            <w:tcBorders>
              <w:left w:val="nil"/>
            </w:tcBorders>
          </w:tcPr>
          <w:p w14:paraId="299A19D1" w14:textId="31B25446" w:rsidR="00ED1CFF" w:rsidRPr="00234E68" w:rsidRDefault="00ED1CFF" w:rsidP="00DE39A3">
            <w:pPr>
              <w:suppressAutoHyphens/>
              <w:spacing w:after="120"/>
              <w:rPr>
                <w:rFonts w:ascii="Arial" w:hAnsi="Arial" w:cs="Arial"/>
                <w:b/>
                <w:bCs/>
                <w:sz w:val="22"/>
                <w:szCs w:val="22"/>
                <w:u w:val="single"/>
              </w:rPr>
            </w:pPr>
            <w:r>
              <w:rPr>
                <w:rFonts w:ascii="Arial" w:hAnsi="Arial"/>
                <w:b/>
                <w:bCs/>
                <w:sz w:val="22"/>
                <w:szCs w:val="22"/>
                <w:u w:val="single"/>
              </w:rPr>
              <w:t>La décision de l’Assemblée générale est transmise au Conseil exécutif avant la clôture effective du Compte spécial.</w:t>
            </w:r>
          </w:p>
        </w:tc>
      </w:tr>
      <w:tr w:rsidR="00ED1CFF" w:rsidRPr="00234E68" w14:paraId="33033354" w14:textId="77777777" w:rsidTr="002A0DB0">
        <w:trPr>
          <w:cantSplit/>
        </w:trPr>
        <w:tc>
          <w:tcPr>
            <w:tcW w:w="1129" w:type="dxa"/>
            <w:tcBorders>
              <w:right w:val="nil"/>
            </w:tcBorders>
          </w:tcPr>
          <w:p w14:paraId="07D86C3C" w14:textId="77777777" w:rsidR="00ED1CFF" w:rsidRPr="00234E68" w:rsidRDefault="00ED1CFF" w:rsidP="00DE39A3">
            <w:pPr>
              <w:spacing w:after="120"/>
              <w:rPr>
                <w:rFonts w:ascii="Arial" w:hAnsi="Arial" w:cs="Arial"/>
                <w:sz w:val="22"/>
                <w:szCs w:val="22"/>
              </w:rPr>
            </w:pPr>
            <w:r>
              <w:rPr>
                <w:rFonts w:ascii="Arial" w:hAnsi="Arial"/>
                <w:b/>
                <w:sz w:val="22"/>
                <w:szCs w:val="22"/>
              </w:rPr>
              <w:t>Article 9</w:t>
            </w:r>
          </w:p>
        </w:tc>
        <w:tc>
          <w:tcPr>
            <w:tcW w:w="4253" w:type="dxa"/>
            <w:tcBorders>
              <w:left w:val="nil"/>
            </w:tcBorders>
          </w:tcPr>
          <w:p w14:paraId="14BCF54B" w14:textId="77777777" w:rsidR="00ED1CFF" w:rsidRPr="00234E68" w:rsidRDefault="00ED1CFF" w:rsidP="00DE39A3">
            <w:pPr>
              <w:spacing w:after="120"/>
              <w:rPr>
                <w:rFonts w:ascii="Arial" w:hAnsi="Arial" w:cs="Arial"/>
                <w:sz w:val="22"/>
                <w:szCs w:val="22"/>
              </w:rPr>
            </w:pPr>
            <w:r>
              <w:rPr>
                <w:rFonts w:ascii="Arial" w:hAnsi="Arial"/>
                <w:b/>
                <w:sz w:val="22"/>
                <w:szCs w:val="22"/>
              </w:rPr>
              <w:t>Disposition générale</w:t>
            </w:r>
          </w:p>
        </w:tc>
        <w:tc>
          <w:tcPr>
            <w:tcW w:w="1417" w:type="dxa"/>
            <w:tcBorders>
              <w:right w:val="nil"/>
            </w:tcBorders>
          </w:tcPr>
          <w:p w14:paraId="301AFA44" w14:textId="77777777" w:rsidR="00ED1CFF" w:rsidRPr="00234E68" w:rsidRDefault="00ED1CFF" w:rsidP="00DE39A3">
            <w:pPr>
              <w:keepNext/>
              <w:suppressAutoHyphens/>
              <w:spacing w:after="120"/>
              <w:rPr>
                <w:rFonts w:ascii="Arial" w:hAnsi="Arial" w:cs="Arial"/>
                <w:sz w:val="22"/>
                <w:szCs w:val="22"/>
              </w:rPr>
            </w:pPr>
            <w:r>
              <w:rPr>
                <w:rFonts w:ascii="Arial" w:hAnsi="Arial"/>
                <w:b/>
                <w:bCs/>
                <w:sz w:val="22"/>
                <w:szCs w:val="22"/>
              </w:rPr>
              <w:t>Article </w:t>
            </w:r>
            <w:r>
              <w:rPr>
                <w:rFonts w:ascii="Arial" w:hAnsi="Arial"/>
                <w:b/>
                <w:strike/>
                <w:color w:val="000000" w:themeColor="text1"/>
                <w:sz w:val="22"/>
                <w:szCs w:val="22"/>
              </w:rPr>
              <w:t>9</w:t>
            </w:r>
            <w:r w:rsidRPr="00D0264C">
              <w:rPr>
                <w:rFonts w:ascii="Arial" w:hAnsi="Arial"/>
                <w:b/>
                <w:bCs/>
                <w:sz w:val="22"/>
                <w:szCs w:val="22"/>
                <w:u w:val="single"/>
              </w:rPr>
              <w:t>12</w:t>
            </w:r>
          </w:p>
        </w:tc>
        <w:tc>
          <w:tcPr>
            <w:tcW w:w="7371" w:type="dxa"/>
            <w:tcBorders>
              <w:left w:val="nil"/>
            </w:tcBorders>
          </w:tcPr>
          <w:p w14:paraId="15FFC923" w14:textId="77777777" w:rsidR="00ED1CFF" w:rsidRPr="00234E68" w:rsidRDefault="00ED1CFF" w:rsidP="00DE39A3">
            <w:pPr>
              <w:keepNext/>
              <w:suppressAutoHyphens/>
              <w:spacing w:after="120"/>
              <w:rPr>
                <w:rFonts w:ascii="Arial" w:hAnsi="Arial" w:cs="Arial"/>
                <w:sz w:val="22"/>
                <w:szCs w:val="22"/>
              </w:rPr>
            </w:pPr>
            <w:r>
              <w:rPr>
                <w:rFonts w:ascii="Arial" w:hAnsi="Arial"/>
                <w:sz w:val="22"/>
                <w:szCs w:val="22"/>
              </w:rPr>
              <w:t>Aucun changement.</w:t>
            </w:r>
          </w:p>
        </w:tc>
      </w:tr>
      <w:tr w:rsidR="00ED1CFF" w:rsidRPr="00E869B7" w14:paraId="01604235" w14:textId="77777777" w:rsidTr="002A0DB0">
        <w:trPr>
          <w:cantSplit/>
        </w:trPr>
        <w:tc>
          <w:tcPr>
            <w:tcW w:w="1129" w:type="dxa"/>
            <w:tcBorders>
              <w:right w:val="nil"/>
            </w:tcBorders>
          </w:tcPr>
          <w:p w14:paraId="1CD4FDCD" w14:textId="77777777" w:rsidR="00ED1CFF" w:rsidRPr="00234E68" w:rsidRDefault="00ED1CFF" w:rsidP="00DE39A3">
            <w:pPr>
              <w:spacing w:after="120"/>
              <w:rPr>
                <w:rFonts w:ascii="Arial" w:hAnsi="Arial" w:cs="Arial"/>
                <w:sz w:val="22"/>
                <w:szCs w:val="22"/>
                <w:lang w:val="en-US"/>
              </w:rPr>
            </w:pPr>
          </w:p>
        </w:tc>
        <w:tc>
          <w:tcPr>
            <w:tcW w:w="4253" w:type="dxa"/>
            <w:tcBorders>
              <w:left w:val="nil"/>
            </w:tcBorders>
          </w:tcPr>
          <w:p w14:paraId="3219649C" w14:textId="77777777" w:rsidR="00ED1CFF" w:rsidRPr="00234E68" w:rsidRDefault="00ED1CFF" w:rsidP="00DE39A3">
            <w:pPr>
              <w:spacing w:after="120"/>
              <w:rPr>
                <w:rFonts w:ascii="Arial" w:hAnsi="Arial" w:cs="Arial"/>
                <w:sz w:val="22"/>
                <w:szCs w:val="22"/>
                <w:lang w:val="en-US"/>
              </w:rPr>
            </w:pPr>
          </w:p>
        </w:tc>
        <w:tc>
          <w:tcPr>
            <w:tcW w:w="1417" w:type="dxa"/>
            <w:tcBorders>
              <w:right w:val="nil"/>
            </w:tcBorders>
          </w:tcPr>
          <w:p w14:paraId="133584EC" w14:textId="77777777" w:rsidR="00ED1CFF" w:rsidRPr="002A0DB0" w:rsidRDefault="00ED1CFF" w:rsidP="00DE39A3">
            <w:pPr>
              <w:keepNext/>
              <w:suppressAutoHyphens/>
              <w:spacing w:after="120"/>
              <w:rPr>
                <w:rFonts w:ascii="Arial" w:hAnsi="Arial" w:cs="Arial"/>
                <w:b/>
                <w:bCs/>
                <w:spacing w:val="-3"/>
                <w:sz w:val="22"/>
                <w:szCs w:val="22"/>
                <w:u w:val="single"/>
              </w:rPr>
            </w:pPr>
            <w:r w:rsidRPr="002A0DB0">
              <w:rPr>
                <w:rFonts w:ascii="Arial" w:hAnsi="Arial"/>
                <w:b/>
                <w:bCs/>
                <w:sz w:val="22"/>
                <w:szCs w:val="22"/>
                <w:u w:val="single"/>
              </w:rPr>
              <w:t xml:space="preserve">12.1 </w:t>
            </w:r>
          </w:p>
        </w:tc>
        <w:tc>
          <w:tcPr>
            <w:tcW w:w="7371" w:type="dxa"/>
            <w:tcBorders>
              <w:left w:val="nil"/>
            </w:tcBorders>
          </w:tcPr>
          <w:p w14:paraId="073919D2" w14:textId="5CEAE159" w:rsidR="00ED1CFF" w:rsidRPr="00234E68" w:rsidRDefault="00ED1CFF" w:rsidP="00DE39A3">
            <w:pPr>
              <w:keepNext/>
              <w:suppressAutoHyphens/>
              <w:spacing w:after="120"/>
              <w:rPr>
                <w:rFonts w:ascii="Arial" w:hAnsi="Arial" w:cs="Arial"/>
                <w:b/>
                <w:bCs/>
                <w:spacing w:val="-3"/>
                <w:sz w:val="22"/>
                <w:szCs w:val="22"/>
                <w:u w:val="single"/>
              </w:rPr>
            </w:pPr>
            <w:r>
              <w:rPr>
                <w:rFonts w:ascii="Arial" w:hAnsi="Arial"/>
                <w:b/>
                <w:bCs/>
                <w:sz w:val="22"/>
                <w:szCs w:val="22"/>
                <w:u w:val="single"/>
              </w:rPr>
              <w:t>Tout amendement au présent Règlement financier est approuvé par l’Assemblée générale. Le Conseil exécutif est informé en conséquence des éventuels amendements.</w:t>
            </w:r>
          </w:p>
        </w:tc>
      </w:tr>
      <w:tr w:rsidR="00ED1CFF" w:rsidRPr="00E869B7" w14:paraId="137C44AF" w14:textId="77777777" w:rsidTr="002A0DB0">
        <w:trPr>
          <w:cantSplit/>
        </w:trPr>
        <w:tc>
          <w:tcPr>
            <w:tcW w:w="1129" w:type="dxa"/>
            <w:tcBorders>
              <w:right w:val="nil"/>
            </w:tcBorders>
          </w:tcPr>
          <w:p w14:paraId="64D8AD6A" w14:textId="77777777" w:rsidR="00ED1CFF" w:rsidRPr="00043F97" w:rsidRDefault="00ED1CFF" w:rsidP="00DE39A3">
            <w:pPr>
              <w:spacing w:after="120"/>
              <w:rPr>
                <w:rFonts w:ascii="Arial" w:hAnsi="Arial" w:cs="Arial"/>
                <w:sz w:val="22"/>
                <w:szCs w:val="22"/>
              </w:rPr>
            </w:pPr>
          </w:p>
        </w:tc>
        <w:tc>
          <w:tcPr>
            <w:tcW w:w="4253" w:type="dxa"/>
            <w:tcBorders>
              <w:left w:val="nil"/>
            </w:tcBorders>
          </w:tcPr>
          <w:p w14:paraId="6781A442" w14:textId="259D3E4B" w:rsidR="00ED1CFF" w:rsidRPr="00234E68" w:rsidRDefault="00ED1CFF" w:rsidP="00DE39A3">
            <w:pPr>
              <w:spacing w:after="120"/>
              <w:rPr>
                <w:rFonts w:ascii="Arial" w:hAnsi="Arial" w:cs="Arial"/>
                <w:sz w:val="22"/>
                <w:szCs w:val="22"/>
              </w:rPr>
            </w:pPr>
            <w:r>
              <w:rPr>
                <w:rFonts w:ascii="Arial" w:hAnsi="Arial"/>
                <w:sz w:val="22"/>
                <w:szCs w:val="22"/>
              </w:rPr>
              <w:t>Sauf dispositions contraires du présent Règlement, le Compte spécial est administré conformément aux dispositions du Règlement financier de l’UNESCO.</w:t>
            </w:r>
          </w:p>
        </w:tc>
        <w:tc>
          <w:tcPr>
            <w:tcW w:w="1417" w:type="dxa"/>
            <w:tcBorders>
              <w:right w:val="nil"/>
            </w:tcBorders>
          </w:tcPr>
          <w:p w14:paraId="73875ABB" w14:textId="77777777" w:rsidR="00ED1CFF" w:rsidRPr="002A0DB0" w:rsidRDefault="00ED1CFF" w:rsidP="00DE39A3">
            <w:pPr>
              <w:keepNext/>
              <w:suppressAutoHyphens/>
              <w:spacing w:after="120"/>
              <w:rPr>
                <w:rFonts w:ascii="Arial" w:hAnsi="Arial" w:cs="Arial"/>
                <w:b/>
                <w:bCs/>
                <w:sz w:val="22"/>
                <w:szCs w:val="22"/>
                <w:u w:val="single"/>
              </w:rPr>
            </w:pPr>
            <w:r w:rsidRPr="002A0DB0">
              <w:rPr>
                <w:rFonts w:ascii="Arial" w:hAnsi="Arial"/>
                <w:b/>
                <w:bCs/>
                <w:sz w:val="22"/>
                <w:szCs w:val="22"/>
                <w:u w:val="single"/>
              </w:rPr>
              <w:t>12.2</w:t>
            </w:r>
          </w:p>
        </w:tc>
        <w:tc>
          <w:tcPr>
            <w:tcW w:w="7371" w:type="dxa"/>
            <w:tcBorders>
              <w:left w:val="nil"/>
            </w:tcBorders>
          </w:tcPr>
          <w:p w14:paraId="2AB0A136" w14:textId="77777777" w:rsidR="00ED1CFF" w:rsidRPr="00234E68" w:rsidRDefault="00ED1CFF" w:rsidP="00DE39A3">
            <w:pPr>
              <w:keepNext/>
              <w:suppressAutoHyphens/>
              <w:spacing w:after="120"/>
              <w:rPr>
                <w:rFonts w:ascii="Arial" w:hAnsi="Arial" w:cs="Arial"/>
                <w:sz w:val="22"/>
                <w:szCs w:val="22"/>
              </w:rPr>
            </w:pPr>
            <w:r>
              <w:rPr>
                <w:rFonts w:ascii="Arial" w:hAnsi="Arial"/>
                <w:sz w:val="22"/>
                <w:szCs w:val="22"/>
              </w:rPr>
              <w:t>Aucun changement.</w:t>
            </w:r>
          </w:p>
        </w:tc>
      </w:tr>
      <w:bookmarkEnd w:id="10"/>
    </w:tbl>
    <w:p w14:paraId="2163B821" w14:textId="77777777" w:rsidR="00A432F7" w:rsidRPr="00043F97" w:rsidRDefault="00A432F7" w:rsidP="00A432F7">
      <w:pPr>
        <w:spacing w:after="120"/>
        <w:rPr>
          <w:rFonts w:ascii="Arial" w:hAnsi="Arial" w:cs="Arial"/>
          <w:sz w:val="22"/>
          <w:szCs w:val="22"/>
        </w:rPr>
      </w:pPr>
    </w:p>
    <w:sectPr w:rsidR="00A432F7" w:rsidRPr="00043F97" w:rsidSect="00A432F7">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FE07" w14:textId="77777777" w:rsidR="009E45EB" w:rsidRDefault="009E45EB" w:rsidP="00655736">
      <w:r>
        <w:separator/>
      </w:r>
    </w:p>
  </w:endnote>
  <w:endnote w:type="continuationSeparator" w:id="0">
    <w:p w14:paraId="5815A6A8" w14:textId="77777777" w:rsidR="009E45EB" w:rsidRDefault="009E45E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5D58" w14:textId="77777777" w:rsidR="00414733" w:rsidRDefault="004147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B2EB" w14:textId="77777777" w:rsidR="00414733" w:rsidRDefault="004147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B30B" w14:textId="77777777" w:rsidR="00414733" w:rsidRDefault="004147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2C32B" w14:textId="77777777" w:rsidR="009E45EB" w:rsidRDefault="009E45EB" w:rsidP="00655736">
      <w:r>
        <w:separator/>
      </w:r>
    </w:p>
  </w:footnote>
  <w:footnote w:type="continuationSeparator" w:id="0">
    <w:p w14:paraId="13F1423B" w14:textId="77777777" w:rsidR="009E45EB" w:rsidRDefault="009E45EB" w:rsidP="00655736">
      <w:r>
        <w:continuationSeparator/>
      </w:r>
    </w:p>
  </w:footnote>
  <w:footnote w:id="1">
    <w:p w14:paraId="70F63318" w14:textId="77777777" w:rsidR="009E45EB" w:rsidRPr="00617C63" w:rsidRDefault="009E45EB" w:rsidP="00B702ED">
      <w:pPr>
        <w:pStyle w:val="Notedebasdepage"/>
        <w:tabs>
          <w:tab w:val="left" w:pos="426"/>
        </w:tabs>
        <w:spacing w:before="0" w:after="0"/>
        <w:ind w:left="426" w:hanging="426"/>
        <w:rPr>
          <w:sz w:val="18"/>
          <w:szCs w:val="18"/>
        </w:rPr>
      </w:pPr>
      <w:r>
        <w:rPr>
          <w:rStyle w:val="Appelnotedebasdep"/>
          <w:rFonts w:eastAsiaTheme="minorHAnsi"/>
          <w:sz w:val="18"/>
          <w:szCs w:val="18"/>
          <w:vertAlign w:val="baseline"/>
          <w:lang w:val="en-US" w:eastAsia="en-US"/>
        </w:rPr>
        <w:footnoteRef/>
      </w:r>
      <w:r>
        <w:rPr>
          <w:rStyle w:val="Appelnotedebasdep"/>
          <w:sz w:val="18"/>
          <w:szCs w:val="18"/>
          <w:vertAlign w:val="baseline"/>
        </w:rPr>
        <w:t>.</w:t>
      </w:r>
      <w:r>
        <w:rPr>
          <w:rStyle w:val="Appelnotedebasdep"/>
          <w:sz w:val="18"/>
          <w:szCs w:val="18"/>
          <w:vertAlign w:val="baseline"/>
        </w:rPr>
        <w:tab/>
        <w:t>Par rapport à l’exercice biennal 2014-2015 (37 C/5), le nombre de demandes examinées par le Bureau a augmenté de 142 %. Cette augmentation ne tient pas compte des demandes d’assistance internationale examinées par le Bureau au cours du deuxième semestre 2019.</w:t>
      </w:r>
    </w:p>
  </w:footnote>
  <w:footnote w:id="2">
    <w:p w14:paraId="301303E6" w14:textId="77777777" w:rsidR="009E45EB" w:rsidRPr="00617C63" w:rsidRDefault="009E45EB">
      <w:pPr>
        <w:pStyle w:val="Notedebasdepage"/>
        <w:spacing w:before="0"/>
        <w:ind w:left="450" w:hanging="450"/>
        <w:rPr>
          <w:rFonts w:cs="Arial"/>
          <w:sz w:val="18"/>
          <w:szCs w:val="18"/>
        </w:rPr>
      </w:pPr>
      <w:r>
        <w:rPr>
          <w:rStyle w:val="Appelnotedebasdep"/>
          <w:rFonts w:cs="Arial"/>
          <w:sz w:val="18"/>
          <w:szCs w:val="18"/>
          <w:vertAlign w:val="baseline"/>
        </w:rPr>
        <w:footnoteRef/>
      </w:r>
      <w:r>
        <w:rPr>
          <w:sz w:val="18"/>
          <w:szCs w:val="18"/>
        </w:rPr>
        <w:t>.</w:t>
      </w:r>
      <w:r>
        <w:rPr>
          <w:sz w:val="18"/>
          <w:szCs w:val="18"/>
        </w:rPr>
        <w:tab/>
        <w:t xml:space="preserve">Le dernier État des contributions obligatoires est consultable à l’adresse : </w:t>
      </w:r>
      <w:hyperlink r:id="rId1" w:history="1">
        <w:r>
          <w:rPr>
            <w:rStyle w:val="Lienhypertexte"/>
            <w:sz w:val="18"/>
            <w:szCs w:val="18"/>
          </w:rPr>
          <w:t>http://www.unesco.org/eri/cp/factsheets/ICH-Status-of-Contributions.pdf</w:t>
        </w:r>
      </w:hyperlink>
    </w:p>
  </w:footnote>
  <w:footnote w:id="3">
    <w:p w14:paraId="5F296768" w14:textId="77777777" w:rsidR="009E45EB" w:rsidRPr="00617C63" w:rsidRDefault="009E45EB" w:rsidP="00900DC6">
      <w:pPr>
        <w:pStyle w:val="Notedebasdepage"/>
        <w:tabs>
          <w:tab w:val="left" w:pos="432"/>
          <w:tab w:val="left" w:pos="540"/>
        </w:tabs>
        <w:ind w:left="450" w:hanging="450"/>
        <w:rPr>
          <w:rFonts w:cs="Arial"/>
          <w:sz w:val="18"/>
          <w:szCs w:val="18"/>
        </w:rPr>
      </w:pPr>
      <w:r>
        <w:rPr>
          <w:rStyle w:val="Appelnotedebasdep"/>
          <w:rFonts w:cs="Arial"/>
          <w:sz w:val="18"/>
          <w:szCs w:val="18"/>
          <w:vertAlign w:val="baseline"/>
        </w:rPr>
        <w:footnoteRef/>
      </w:r>
      <w:r>
        <w:rPr>
          <w:sz w:val="18"/>
          <w:szCs w:val="18"/>
        </w:rPr>
        <w:t>.</w:t>
      </w:r>
      <w:r>
        <w:rPr>
          <w:sz w:val="18"/>
          <w:szCs w:val="18"/>
        </w:rPr>
        <w:tab/>
        <w:t xml:space="preserve">On entend par « assistance préparatoire » l’assistance que les États parties peuvent demander pour l’élaboration de dossiers de candidature à la Liste du patrimoine immatériel nécessitant une sauvegarde urgente et de propositions pour le Registre de bonnes pratiques de sauvegarde (paragraphe 21 des </w:t>
      </w:r>
      <w:hyperlink r:id="rId2" w:history="1">
        <w:r>
          <w:rPr>
            <w:rStyle w:val="Lienhypertexte"/>
            <w:sz w:val="18"/>
            <w:szCs w:val="18"/>
          </w:rPr>
          <w:t>Directives opérationnelles</w:t>
        </w:r>
      </w:hyperlink>
      <w:r>
        <w:rPr>
          <w:sz w:val="18"/>
          <w:szCs w:val="18"/>
        </w:rPr>
        <w:t>). « L’assistance technique » désigne la mise à disposition d’experts, telle que décrite à l’article 21 de la Convention, aux États parties souhaitant élaborer une demande d’assistance internationale (</w:t>
      </w:r>
      <w:hyperlink r:id="rId3" w:history="1">
        <w:r>
          <w:rPr>
            <w:rStyle w:val="Lienhypertexte"/>
            <w:sz w:val="18"/>
            <w:szCs w:val="18"/>
          </w:rPr>
          <w:t>décision 8.COM 7.c</w:t>
        </w:r>
      </w:hyperlink>
      <w:r>
        <w:rPr>
          <w:sz w:val="18"/>
          <w:szCs w:val="18"/>
        </w:rPr>
        <w:t>).</w:t>
      </w:r>
    </w:p>
  </w:footnote>
  <w:footnote w:id="4">
    <w:p w14:paraId="7271D995" w14:textId="29D89DEC" w:rsidR="009E45EB" w:rsidRPr="002A0DB0" w:rsidRDefault="009E45EB" w:rsidP="002A0DB0">
      <w:pPr>
        <w:pStyle w:val="Notedebasdepage"/>
        <w:ind w:left="450" w:hanging="450"/>
        <w:rPr>
          <w:sz w:val="18"/>
          <w:szCs w:val="18"/>
        </w:rPr>
      </w:pPr>
      <w:r w:rsidRPr="002A0DB0">
        <w:rPr>
          <w:rStyle w:val="Appelnotedebasdep"/>
          <w:sz w:val="18"/>
          <w:szCs w:val="18"/>
          <w:vertAlign w:val="baseline"/>
        </w:rPr>
        <w:footnoteRef/>
      </w:r>
      <w:r w:rsidRPr="002A0DB0">
        <w:rPr>
          <w:sz w:val="18"/>
          <w:szCs w:val="18"/>
        </w:rPr>
        <w:t>.</w:t>
      </w:r>
      <w:r w:rsidRPr="002A0DB0">
        <w:rPr>
          <w:sz w:val="18"/>
          <w:szCs w:val="18"/>
        </w:rPr>
        <w:tab/>
        <w:t xml:space="preserve">La répartition par résultat </w:t>
      </w:r>
      <w:r>
        <w:rPr>
          <w:sz w:val="18"/>
          <w:szCs w:val="18"/>
        </w:rPr>
        <w:t>escompté</w:t>
      </w:r>
      <w:r w:rsidRPr="002A0DB0">
        <w:rPr>
          <w:sz w:val="18"/>
          <w:szCs w:val="18"/>
        </w:rPr>
        <w:t xml:space="preserve"> pour 2018-2019 a été approuvée par le Bureau du Comité intergouvernemental en 2018 (</w:t>
      </w:r>
      <w:hyperlink r:id="rId4" w:history="1">
        <w:r w:rsidRPr="002A0DB0">
          <w:rPr>
            <w:rStyle w:val="Lienhypertexte"/>
            <w:sz w:val="18"/>
            <w:szCs w:val="18"/>
          </w:rPr>
          <w:t>décision 13.COM 2.BUR 3</w:t>
        </w:r>
      </w:hyperlink>
      <w:r w:rsidRPr="002A0DB0">
        <w:rPr>
          <w:sz w:val="18"/>
          <w:szCs w:val="18"/>
        </w:rPr>
        <w:t>).</w:t>
      </w:r>
    </w:p>
  </w:footnote>
  <w:footnote w:id="5">
    <w:p w14:paraId="054C87DA" w14:textId="36136E83" w:rsidR="009E45EB" w:rsidRPr="002A0DB0" w:rsidRDefault="009E45EB" w:rsidP="002A0DB0">
      <w:pPr>
        <w:pStyle w:val="Notedebasdepage"/>
        <w:ind w:left="450" w:hanging="450"/>
        <w:rPr>
          <w:sz w:val="18"/>
          <w:szCs w:val="18"/>
        </w:rPr>
      </w:pPr>
      <w:r w:rsidRPr="002A0DB0">
        <w:rPr>
          <w:rStyle w:val="Appelnotedebasdep"/>
          <w:sz w:val="18"/>
          <w:szCs w:val="18"/>
          <w:vertAlign w:val="baseline"/>
        </w:rPr>
        <w:footnoteRef/>
      </w:r>
      <w:r w:rsidRPr="002A0DB0">
        <w:rPr>
          <w:sz w:val="18"/>
          <w:szCs w:val="18"/>
        </w:rPr>
        <w:t>.</w:t>
      </w:r>
      <w:r w:rsidRPr="002A0DB0">
        <w:rPr>
          <w:sz w:val="18"/>
          <w:szCs w:val="18"/>
        </w:rPr>
        <w:tab/>
        <w:t xml:space="preserve">La répartition par résultat </w:t>
      </w:r>
      <w:r>
        <w:rPr>
          <w:sz w:val="18"/>
          <w:szCs w:val="18"/>
        </w:rPr>
        <w:t>escompté</w:t>
      </w:r>
      <w:r w:rsidRPr="002A0DB0">
        <w:rPr>
          <w:sz w:val="18"/>
          <w:szCs w:val="18"/>
        </w:rPr>
        <w:t xml:space="preserve"> pour les six premiers mois de 2020 a été approuvée par le Bureau du Comité intergouvernemental en 2019 (</w:t>
      </w:r>
      <w:hyperlink r:id="rId5" w:history="1">
        <w:r w:rsidRPr="002A0DB0">
          <w:rPr>
            <w:rStyle w:val="Lienhypertexte"/>
            <w:sz w:val="18"/>
            <w:szCs w:val="18"/>
          </w:rPr>
          <w:t>décision 14.COM 2.BUR 3</w:t>
        </w:r>
      </w:hyperlink>
      <w:r w:rsidRPr="002A0DB0">
        <w:rPr>
          <w:sz w:val="18"/>
          <w:szCs w:val="18"/>
        </w:rPr>
        <w:t>)</w:t>
      </w:r>
      <w:r>
        <w:rPr>
          <w:sz w:val="18"/>
          <w:szCs w:val="18"/>
        </w:rPr>
        <w:t>.</w:t>
      </w:r>
    </w:p>
  </w:footnote>
  <w:footnote w:id="6">
    <w:p w14:paraId="33CA7944" w14:textId="77777777" w:rsidR="009E45EB" w:rsidRPr="00617C63" w:rsidRDefault="009E45EB">
      <w:pPr>
        <w:pStyle w:val="Notedebasdepage"/>
        <w:tabs>
          <w:tab w:val="left" w:pos="432"/>
          <w:tab w:val="left" w:pos="475"/>
        </w:tabs>
        <w:ind w:left="450" w:hanging="450"/>
        <w:rPr>
          <w:sz w:val="18"/>
          <w:szCs w:val="18"/>
        </w:rPr>
      </w:pPr>
      <w:r w:rsidRPr="00980EFA">
        <w:rPr>
          <w:rStyle w:val="Appelnotedebasdep"/>
          <w:rFonts w:cs="Arial"/>
          <w:sz w:val="18"/>
          <w:szCs w:val="18"/>
          <w:vertAlign w:val="baseline"/>
        </w:rPr>
        <w:footnoteRef/>
      </w:r>
      <w:r w:rsidRPr="00980EFA">
        <w:rPr>
          <w:rStyle w:val="Appelnotedebasdep"/>
          <w:sz w:val="18"/>
          <w:szCs w:val="18"/>
          <w:vertAlign w:val="baseline"/>
        </w:rPr>
        <w:t>.</w:t>
      </w:r>
      <w:r w:rsidRPr="00980EFA">
        <w:rPr>
          <w:sz w:val="18"/>
          <w:szCs w:val="18"/>
        </w:rPr>
        <w:tab/>
        <w:t xml:space="preserve">Voir la résolution portant ouverture de crédits pour 2020-2021 dans </w:t>
      </w:r>
      <w:hyperlink r:id="rId6" w:history="1">
        <w:r w:rsidRPr="00980EFA">
          <w:rPr>
            <w:rStyle w:val="Lienhypertexte"/>
            <w:sz w:val="18"/>
            <w:szCs w:val="18"/>
          </w:rPr>
          <w:t>40 C/5, volume 1 :</w:t>
        </w:r>
      </w:hyperlink>
      <w:r w:rsidRPr="00980EFA">
        <w:rPr>
          <w:rStyle w:val="Lienhypertexte"/>
          <w:sz w:val="18"/>
          <w:szCs w:val="18"/>
        </w:rPr>
        <w:t xml:space="preserve"> </w:t>
      </w:r>
      <w:hyperlink r:id="rId7" w:history="1">
        <w:r w:rsidRPr="00980EFA">
          <w:rPr>
            <w:rStyle w:val="Lienhypertexte"/>
            <w:sz w:val="18"/>
            <w:szCs w:val="18"/>
          </w:rPr>
          <w:t>Projet de résolution, Second exercice biennal 2020-2021</w:t>
        </w:r>
      </w:hyperlink>
      <w:r w:rsidRPr="00980EFA">
        <w:rPr>
          <w:sz w:val="18"/>
          <w:szCs w:val="18"/>
        </w:rPr>
        <w:t xml:space="preserve"> (page 13).</w:t>
      </w:r>
    </w:p>
  </w:footnote>
  <w:footnote w:id="7">
    <w:p w14:paraId="799AFE91" w14:textId="77777777" w:rsidR="009E45EB" w:rsidRPr="00617C63" w:rsidRDefault="009E45EB">
      <w:pPr>
        <w:pStyle w:val="Notedebasdepage"/>
        <w:tabs>
          <w:tab w:val="left" w:pos="475"/>
          <w:tab w:val="left" w:pos="540"/>
        </w:tabs>
        <w:ind w:left="450" w:hanging="450"/>
        <w:rPr>
          <w:rFonts w:cs="Arial"/>
          <w:sz w:val="18"/>
          <w:szCs w:val="18"/>
        </w:rPr>
      </w:pPr>
      <w:r>
        <w:rPr>
          <w:rFonts w:cs="Arial"/>
          <w:sz w:val="18"/>
          <w:szCs w:val="18"/>
        </w:rPr>
        <w:footnoteRef/>
      </w:r>
      <w:r>
        <w:rPr>
          <w:sz w:val="18"/>
          <w:szCs w:val="18"/>
        </w:rPr>
        <w:t>.</w:t>
      </w:r>
      <w:r>
        <w:rPr>
          <w:sz w:val="18"/>
          <w:szCs w:val="18"/>
        </w:rPr>
        <w:tab/>
        <w:t>Les pourcentages sont appliqués au solde du Fonds au 31 décembre 2019. Ce solde n’inclut pas le Fonds de réserve (1 million de dollars des États-Unis).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68A2" w14:textId="21C756B4" w:rsidR="009E45EB" w:rsidRPr="00C23A97" w:rsidRDefault="009E45EB">
    <w:pPr>
      <w:pStyle w:val="En-tte"/>
      <w:rPr>
        <w:rFonts w:ascii="Arial" w:hAnsi="Arial" w:cs="Arial"/>
      </w:rPr>
    </w:pPr>
    <w:r>
      <w:rPr>
        <w:rFonts w:ascii="Arial" w:hAnsi="Arial"/>
        <w:sz w:val="20"/>
        <w:szCs w:val="20"/>
      </w:rPr>
      <w:t xml:space="preserve">LHE/20/8.GA/7 Rev. – page </w:t>
    </w:r>
    <w:r w:rsidRPr="007E0222">
      <w:rPr>
        <w:rStyle w:val="Numrodepage"/>
        <w:rFonts w:ascii="Arial" w:hAnsi="Arial" w:cs="Arial"/>
        <w:sz w:val="20"/>
        <w:szCs w:val="20"/>
      </w:rPr>
      <w:fldChar w:fldCharType="begin"/>
    </w:r>
    <w:r w:rsidRPr="00FA3850">
      <w:rPr>
        <w:rStyle w:val="Numrodepage"/>
        <w:rFonts w:ascii="Arial" w:hAnsi="Arial" w:cs="Arial"/>
        <w:sz w:val="20"/>
        <w:szCs w:val="20"/>
      </w:rPr>
      <w:instrText xml:space="preserve"> PAGE </w:instrText>
    </w:r>
    <w:r w:rsidRPr="007E0222">
      <w:rPr>
        <w:rStyle w:val="Numrodepage"/>
        <w:rFonts w:ascii="Arial" w:hAnsi="Arial" w:cs="Arial"/>
        <w:sz w:val="20"/>
        <w:szCs w:val="20"/>
      </w:rPr>
      <w:fldChar w:fldCharType="separate"/>
    </w:r>
    <w:r>
      <w:rPr>
        <w:rStyle w:val="Numrodepage"/>
        <w:rFonts w:ascii="Arial" w:hAnsi="Arial" w:cs="Arial"/>
        <w:noProof/>
        <w:sz w:val="20"/>
        <w:szCs w:val="20"/>
      </w:rPr>
      <w:t>22</w:t>
    </w:r>
    <w:r w:rsidRPr="007E0222">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61AB" w14:textId="7F483175" w:rsidR="009E45EB" w:rsidRPr="0063300C" w:rsidRDefault="009E45EB" w:rsidP="0063300C">
    <w:pPr>
      <w:pStyle w:val="En-tte"/>
      <w:jc w:val="right"/>
      <w:rPr>
        <w:rFonts w:ascii="Arial" w:hAnsi="Arial" w:cs="Arial"/>
      </w:rPr>
    </w:pPr>
    <w:r>
      <w:rPr>
        <w:rFonts w:ascii="Arial" w:hAnsi="Arial"/>
        <w:sz w:val="20"/>
        <w:szCs w:val="20"/>
      </w:rPr>
      <w:t xml:space="preserve">LHE/20/8.GA/7 Rev. – page </w:t>
    </w:r>
    <w:r w:rsidRPr="00EA145D">
      <w:rPr>
        <w:rStyle w:val="Numrodepage"/>
        <w:rFonts w:ascii="Arial" w:hAnsi="Arial" w:cs="Arial"/>
        <w:sz w:val="20"/>
        <w:szCs w:val="20"/>
      </w:rPr>
      <w:fldChar w:fldCharType="begin"/>
    </w:r>
    <w:r w:rsidRPr="00EA145D">
      <w:rPr>
        <w:rStyle w:val="Numrodepage"/>
        <w:rFonts w:ascii="Arial" w:hAnsi="Arial" w:cs="Arial"/>
        <w:sz w:val="20"/>
        <w:szCs w:val="20"/>
      </w:rPr>
      <w:instrText xml:space="preserve"> PAGE </w:instrText>
    </w:r>
    <w:r w:rsidRPr="00EA145D">
      <w:rPr>
        <w:rStyle w:val="Numrodepage"/>
        <w:rFonts w:ascii="Arial" w:hAnsi="Arial" w:cs="Arial"/>
        <w:sz w:val="20"/>
        <w:szCs w:val="20"/>
      </w:rPr>
      <w:fldChar w:fldCharType="separate"/>
    </w:r>
    <w:r>
      <w:rPr>
        <w:rStyle w:val="Numrodepage"/>
        <w:rFonts w:ascii="Arial" w:hAnsi="Arial" w:cs="Arial"/>
        <w:noProof/>
        <w:sz w:val="20"/>
        <w:szCs w:val="20"/>
      </w:rPr>
      <w:t>21</w:t>
    </w:r>
    <w:r w:rsidRPr="00EA145D">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5B1F" w14:textId="0F7F79DC" w:rsidR="009E45EB" w:rsidRPr="008724E5" w:rsidRDefault="009E45EB">
    <w:pPr>
      <w:pStyle w:val="En-tte"/>
    </w:pPr>
    <w:r>
      <w:rPr>
        <w:noProof/>
        <w:lang w:eastAsia="ja-JP"/>
      </w:rPr>
      <w:drawing>
        <wp:anchor distT="0" distB="0" distL="114300" distR="114300" simplePos="0" relativeHeight="251658240" behindDoc="1" locked="0" layoutInCell="1" allowOverlap="1" wp14:anchorId="288A6C07" wp14:editId="4CFBFB91">
          <wp:simplePos x="0" y="0"/>
          <wp:positionH relativeFrom="column">
            <wp:posOffset>-369902</wp:posOffset>
          </wp:positionH>
          <wp:positionV relativeFrom="paragraph">
            <wp:posOffset>-12396</wp:posOffset>
          </wp:positionV>
          <wp:extent cx="2038350" cy="1529080"/>
          <wp:effectExtent l="0" t="0" r="0" b="0"/>
          <wp:wrapTight wrapText="bothSides">
            <wp:wrapPolygon edited="0">
              <wp:start x="12314" y="0"/>
              <wp:lineTo x="6056" y="1615"/>
              <wp:lineTo x="2826" y="2960"/>
              <wp:lineTo x="3230" y="8611"/>
              <wp:lineTo x="2221" y="10764"/>
              <wp:lineTo x="2422" y="11302"/>
              <wp:lineTo x="4643" y="12917"/>
              <wp:lineTo x="1817" y="14801"/>
              <wp:lineTo x="0" y="17761"/>
              <wp:lineTo x="0" y="19375"/>
              <wp:lineTo x="12314" y="21259"/>
              <wp:lineTo x="13525" y="21259"/>
              <wp:lineTo x="13929" y="21259"/>
              <wp:lineTo x="20187" y="17492"/>
              <wp:lineTo x="20187" y="13455"/>
              <wp:lineTo x="19985" y="12917"/>
              <wp:lineTo x="21196" y="8611"/>
              <wp:lineTo x="21398" y="7266"/>
              <wp:lineTo x="21398" y="2691"/>
              <wp:lineTo x="18976" y="1346"/>
              <wp:lineTo x="13525" y="0"/>
              <wp:lineTo x="12314" y="0"/>
            </wp:wrapPolygon>
          </wp:wrapTight>
          <wp:docPr id="8" name="Picture 8" descr="unesco_logo_fr"/>
          <wp:cNvGraphicFramePr/>
          <a:graphic xmlns:a="http://schemas.openxmlformats.org/drawingml/2006/main">
            <a:graphicData uri="http://schemas.openxmlformats.org/drawingml/2006/picture">
              <pic:pic xmlns:pic="http://schemas.openxmlformats.org/drawingml/2006/picture">
                <pic:nvPicPr>
                  <pic:cNvPr id="15" name="Picture 15" descr="unesco_logo_f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FAA6D" w14:textId="5B52EC5C" w:rsidR="009E45EB" w:rsidRPr="00CB170C" w:rsidRDefault="009E45EB" w:rsidP="00655736">
    <w:pPr>
      <w:pStyle w:val="En-tte"/>
      <w:spacing w:after="520"/>
      <w:jc w:val="right"/>
      <w:rPr>
        <w:rFonts w:ascii="Arial" w:hAnsi="Arial" w:cs="Arial"/>
        <w:b/>
        <w:sz w:val="44"/>
        <w:szCs w:val="44"/>
      </w:rPr>
    </w:pPr>
    <w:r>
      <w:rPr>
        <w:rFonts w:ascii="Arial" w:hAnsi="Arial"/>
        <w:b/>
        <w:sz w:val="44"/>
        <w:szCs w:val="44"/>
      </w:rPr>
      <w:t>8 GA</w:t>
    </w:r>
  </w:p>
  <w:p w14:paraId="40F1B55A" w14:textId="4A93A06F" w:rsidR="009E45EB" w:rsidRPr="00CB170C" w:rsidRDefault="009E45EB" w:rsidP="00655736">
    <w:pPr>
      <w:jc w:val="right"/>
      <w:rPr>
        <w:rFonts w:ascii="Arial" w:hAnsi="Arial" w:cs="Arial"/>
        <w:b/>
        <w:sz w:val="22"/>
        <w:szCs w:val="22"/>
      </w:rPr>
    </w:pPr>
    <w:r>
      <w:rPr>
        <w:rFonts w:ascii="Arial" w:hAnsi="Arial"/>
        <w:b/>
        <w:sz w:val="22"/>
        <w:szCs w:val="22"/>
      </w:rPr>
      <w:t>LHE/20/8.GA/7 Rev.</w:t>
    </w:r>
  </w:p>
  <w:p w14:paraId="13C709C0" w14:textId="7AB69332" w:rsidR="009E45EB" w:rsidRPr="00CB170C" w:rsidRDefault="009E45EB" w:rsidP="00257003">
    <w:pPr>
      <w:jc w:val="right"/>
      <w:rPr>
        <w:rFonts w:ascii="Arial" w:hAnsi="Arial" w:cs="Arial"/>
        <w:b/>
        <w:sz w:val="22"/>
        <w:szCs w:val="22"/>
      </w:rPr>
    </w:pPr>
    <w:r>
      <w:rPr>
        <w:rFonts w:ascii="Arial" w:hAnsi="Arial"/>
        <w:b/>
        <w:sz w:val="22"/>
        <w:szCs w:val="22"/>
      </w:rPr>
      <w:t>Paris, le 2</w:t>
    </w:r>
    <w:r w:rsidR="00414733">
      <w:rPr>
        <w:rFonts w:ascii="Arial" w:hAnsi="Arial"/>
        <w:b/>
        <w:sz w:val="22"/>
        <w:szCs w:val="22"/>
      </w:rPr>
      <w:t>5</w:t>
    </w:r>
    <w:bookmarkStart w:id="9" w:name="_GoBack"/>
    <w:bookmarkEnd w:id="9"/>
    <w:r w:rsidRPr="00F65B63">
      <w:rPr>
        <w:rFonts w:ascii="Arial" w:hAnsi="Arial"/>
        <w:b/>
        <w:sz w:val="22"/>
        <w:szCs w:val="22"/>
      </w:rPr>
      <w:t> a</w:t>
    </w:r>
    <w:r>
      <w:rPr>
        <w:rFonts w:ascii="Arial" w:hAnsi="Arial"/>
        <w:b/>
        <w:sz w:val="22"/>
        <w:szCs w:val="22"/>
      </w:rPr>
      <w:t>oût 2020</w:t>
    </w:r>
  </w:p>
  <w:p w14:paraId="55CDCC3C" w14:textId="77777777" w:rsidR="009E45EB" w:rsidRPr="008A0C2D" w:rsidRDefault="009E45EB" w:rsidP="00703FBF">
    <w:pPr>
      <w:jc w:val="right"/>
      <w:rPr>
        <w:rFonts w:ascii="Arial" w:hAnsi="Arial" w:cs="Arial"/>
        <w:b/>
        <w:sz w:val="22"/>
        <w:szCs w:val="22"/>
      </w:rPr>
    </w:pPr>
    <w:r>
      <w:rPr>
        <w:rFonts w:ascii="Arial" w:hAnsi="Arial"/>
        <w:b/>
        <w:sz w:val="22"/>
        <w:szCs w:val="22"/>
      </w:rPr>
      <w:t>Original : anglais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E1D"/>
    <w:multiLevelType w:val="hybridMultilevel"/>
    <w:tmpl w:val="443C33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B637A"/>
    <w:multiLevelType w:val="hybridMultilevel"/>
    <w:tmpl w:val="3BCC5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8005F2E"/>
    <w:multiLevelType w:val="hybridMultilevel"/>
    <w:tmpl w:val="A25E7CB0"/>
    <w:lvl w:ilvl="0" w:tplc="02F8421A">
      <w:start w:val="1"/>
      <w:numFmt w:val="bullet"/>
      <w:lvlText w:val=""/>
      <w:lvlJc w:val="left"/>
      <w:pPr>
        <w:ind w:left="1287" w:hanging="360"/>
      </w:pPr>
      <w:rPr>
        <w:rFonts w:ascii="Symbol" w:hAnsi="Symbol" w:hint="default"/>
        <w:color w:val="auto"/>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5" w15:restartNumberingAfterBreak="0">
    <w:nsid w:val="1BC76249"/>
    <w:multiLevelType w:val="hybridMultilevel"/>
    <w:tmpl w:val="A240EED6"/>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414D81"/>
    <w:multiLevelType w:val="hybridMultilevel"/>
    <w:tmpl w:val="2FD4300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A625F2"/>
    <w:multiLevelType w:val="hybridMultilevel"/>
    <w:tmpl w:val="27A8AF6A"/>
    <w:lvl w:ilvl="0" w:tplc="0B4CCFF6">
      <w:start w:val="1"/>
      <w:numFmt w:val="lowerLetter"/>
      <w:pStyle w:val="5GAparabodytext"/>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8" w15:restartNumberingAfterBreak="0">
    <w:nsid w:val="29281AC5"/>
    <w:multiLevelType w:val="hybridMultilevel"/>
    <w:tmpl w:val="8182BC24"/>
    <w:lvl w:ilvl="0" w:tplc="B128C476">
      <w:start w:val="3"/>
      <w:numFmt w:val="bullet"/>
      <w:lvlText w:val="-"/>
      <w:lvlJc w:val="left"/>
      <w:pPr>
        <w:ind w:left="2355" w:hanging="360"/>
      </w:pPr>
      <w:rPr>
        <w:rFonts w:ascii="Arial" w:eastAsia="Times New Roman" w:hAnsi="Arial" w:cs="Arial" w:hint="default"/>
      </w:rPr>
    </w:lvl>
    <w:lvl w:ilvl="1" w:tplc="040C0003">
      <w:start w:val="1"/>
      <w:numFmt w:val="bullet"/>
      <w:lvlText w:val="o"/>
      <w:lvlJc w:val="left"/>
      <w:pPr>
        <w:ind w:left="3075" w:hanging="360"/>
      </w:pPr>
      <w:rPr>
        <w:rFonts w:ascii="Courier New" w:hAnsi="Courier New" w:cs="Courier New" w:hint="default"/>
      </w:rPr>
    </w:lvl>
    <w:lvl w:ilvl="2" w:tplc="040C0005">
      <w:start w:val="1"/>
      <w:numFmt w:val="bullet"/>
      <w:lvlText w:val=""/>
      <w:lvlJc w:val="left"/>
      <w:pPr>
        <w:ind w:left="3795" w:hanging="360"/>
      </w:pPr>
      <w:rPr>
        <w:rFonts w:ascii="Wingdings" w:hAnsi="Wingdings" w:hint="default"/>
      </w:rPr>
    </w:lvl>
    <w:lvl w:ilvl="3" w:tplc="040C0001">
      <w:start w:val="1"/>
      <w:numFmt w:val="bullet"/>
      <w:lvlText w:val=""/>
      <w:lvlJc w:val="left"/>
      <w:pPr>
        <w:ind w:left="4515" w:hanging="360"/>
      </w:pPr>
      <w:rPr>
        <w:rFonts w:ascii="Symbol" w:hAnsi="Symbol" w:hint="default"/>
      </w:rPr>
    </w:lvl>
    <w:lvl w:ilvl="4" w:tplc="040C0003">
      <w:start w:val="1"/>
      <w:numFmt w:val="bullet"/>
      <w:lvlText w:val="o"/>
      <w:lvlJc w:val="left"/>
      <w:pPr>
        <w:ind w:left="5235" w:hanging="360"/>
      </w:pPr>
      <w:rPr>
        <w:rFonts w:ascii="Courier New" w:hAnsi="Courier New" w:cs="Courier New" w:hint="default"/>
      </w:rPr>
    </w:lvl>
    <w:lvl w:ilvl="5" w:tplc="040C0005">
      <w:start w:val="1"/>
      <w:numFmt w:val="bullet"/>
      <w:lvlText w:val=""/>
      <w:lvlJc w:val="left"/>
      <w:pPr>
        <w:ind w:left="5955" w:hanging="360"/>
      </w:pPr>
      <w:rPr>
        <w:rFonts w:ascii="Wingdings" w:hAnsi="Wingdings" w:hint="default"/>
      </w:rPr>
    </w:lvl>
    <w:lvl w:ilvl="6" w:tplc="040C0001">
      <w:start w:val="1"/>
      <w:numFmt w:val="bullet"/>
      <w:lvlText w:val=""/>
      <w:lvlJc w:val="left"/>
      <w:pPr>
        <w:ind w:left="6675" w:hanging="360"/>
      </w:pPr>
      <w:rPr>
        <w:rFonts w:ascii="Symbol" w:hAnsi="Symbol" w:hint="default"/>
      </w:rPr>
    </w:lvl>
    <w:lvl w:ilvl="7" w:tplc="040C0003">
      <w:start w:val="1"/>
      <w:numFmt w:val="bullet"/>
      <w:lvlText w:val="o"/>
      <w:lvlJc w:val="left"/>
      <w:pPr>
        <w:ind w:left="7395" w:hanging="360"/>
      </w:pPr>
      <w:rPr>
        <w:rFonts w:ascii="Courier New" w:hAnsi="Courier New" w:cs="Courier New" w:hint="default"/>
      </w:rPr>
    </w:lvl>
    <w:lvl w:ilvl="8" w:tplc="040C0005">
      <w:start w:val="1"/>
      <w:numFmt w:val="bullet"/>
      <w:lvlText w:val=""/>
      <w:lvlJc w:val="left"/>
      <w:pPr>
        <w:ind w:left="8115" w:hanging="360"/>
      </w:pPr>
      <w:rPr>
        <w:rFonts w:ascii="Wingdings" w:hAnsi="Wingdings" w:hint="default"/>
      </w:rPr>
    </w:lvl>
  </w:abstractNum>
  <w:abstractNum w:abstractNumId="9" w15:restartNumberingAfterBreak="0">
    <w:nsid w:val="35F07BFE"/>
    <w:multiLevelType w:val="hybridMultilevel"/>
    <w:tmpl w:val="E2C09020"/>
    <w:lvl w:ilvl="0" w:tplc="80A0EA2C">
      <w:start w:val="1"/>
      <w:numFmt w:val="decimal"/>
      <w:pStyle w:val="GAPara"/>
      <w:lvlText w:val="%1."/>
      <w:lvlJc w:val="left"/>
      <w:pPr>
        <w:ind w:left="720"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BC67AB"/>
    <w:multiLevelType w:val="multilevel"/>
    <w:tmpl w:val="B62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A15509"/>
    <w:multiLevelType w:val="hybridMultilevel"/>
    <w:tmpl w:val="2B62A086"/>
    <w:lvl w:ilvl="0" w:tplc="E300214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863407"/>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6" w15:restartNumberingAfterBreak="0">
    <w:nsid w:val="623D7EA8"/>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7"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8"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A57578"/>
    <w:multiLevelType w:val="hybridMultilevel"/>
    <w:tmpl w:val="71647DD4"/>
    <w:lvl w:ilvl="0" w:tplc="C38083E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566D9C"/>
    <w:multiLevelType w:val="hybridMultilevel"/>
    <w:tmpl w:val="B3BCA2B2"/>
    <w:lvl w:ilvl="0" w:tplc="AE2A221C">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9F67AD"/>
    <w:multiLevelType w:val="hybridMultilevel"/>
    <w:tmpl w:val="A240EED6"/>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3"/>
  </w:num>
  <w:num w:numId="2">
    <w:abstractNumId w:val="9"/>
  </w:num>
  <w:num w:numId="3">
    <w:abstractNumId w:val="10"/>
  </w:num>
  <w:num w:numId="4">
    <w:abstractNumId w:val="11"/>
  </w:num>
  <w:num w:numId="5">
    <w:abstractNumId w:val="9"/>
  </w:num>
  <w:num w:numId="6">
    <w:abstractNumId w:val="14"/>
  </w:num>
  <w:num w:numId="7">
    <w:abstractNumId w:val="19"/>
  </w:num>
  <w:num w:numId="8">
    <w:abstractNumId w:val="7"/>
  </w:num>
  <w:num w:numId="9">
    <w:abstractNumId w:val="2"/>
  </w:num>
  <w:num w:numId="10">
    <w:abstractNumId w:val="12"/>
  </w:num>
  <w:num w:numId="11">
    <w:abstractNumId w:val="17"/>
  </w:num>
  <w:num w:numId="12">
    <w:abstractNumId w:val="18"/>
  </w:num>
  <w:num w:numId="13">
    <w:abstractNumId w:val="22"/>
  </w:num>
  <w:num w:numId="14">
    <w:abstractNumId w:val="4"/>
  </w:num>
  <w:num w:numId="15">
    <w:abstractNumId w:val="8"/>
  </w:num>
  <w:num w:numId="16">
    <w:abstractNumId w:val="6"/>
  </w:num>
  <w:num w:numId="17">
    <w:abstractNumId w:val="20"/>
  </w:num>
  <w:num w:numId="18">
    <w:abstractNumId w:val="9"/>
  </w:num>
  <w:num w:numId="19">
    <w:abstractNumId w:val="13"/>
  </w:num>
  <w:num w:numId="20">
    <w:abstractNumId w:val="1"/>
  </w:num>
  <w:num w:numId="21">
    <w:abstractNumId w:val="0"/>
  </w:num>
  <w:num w:numId="22">
    <w:abstractNumId w:val="5"/>
  </w:num>
  <w:num w:numId="23">
    <w:abstractNumId w:val="16"/>
  </w:num>
  <w:num w:numId="24">
    <w:abstractNumId w:val="21"/>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pt-PT" w:vendorID="64" w:dllVersion="0" w:nlCheck="1" w:checkStyle="0"/>
  <w:activeWritingStyle w:appName="MSWord" w:lang="fr-FR" w:vendorID="64" w:dllVersion="4096"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138FA"/>
    <w:rsid w:val="000278F0"/>
    <w:rsid w:val="00033FC7"/>
    <w:rsid w:val="0004143A"/>
    <w:rsid w:val="00041A66"/>
    <w:rsid w:val="00043F97"/>
    <w:rsid w:val="00045121"/>
    <w:rsid w:val="00047A3C"/>
    <w:rsid w:val="0005176E"/>
    <w:rsid w:val="000545DA"/>
    <w:rsid w:val="00054FF2"/>
    <w:rsid w:val="0006331E"/>
    <w:rsid w:val="00065199"/>
    <w:rsid w:val="0007040C"/>
    <w:rsid w:val="000765F7"/>
    <w:rsid w:val="00077AB7"/>
    <w:rsid w:val="00080F75"/>
    <w:rsid w:val="00081CD8"/>
    <w:rsid w:val="00087DF4"/>
    <w:rsid w:val="000909A9"/>
    <w:rsid w:val="00092FA8"/>
    <w:rsid w:val="00093685"/>
    <w:rsid w:val="0009445E"/>
    <w:rsid w:val="000A7F0E"/>
    <w:rsid w:val="000B109B"/>
    <w:rsid w:val="000B3BCF"/>
    <w:rsid w:val="000B4B7D"/>
    <w:rsid w:val="000B79F5"/>
    <w:rsid w:val="000C0D61"/>
    <w:rsid w:val="000C421F"/>
    <w:rsid w:val="000C6878"/>
    <w:rsid w:val="000C7242"/>
    <w:rsid w:val="000D0395"/>
    <w:rsid w:val="000D0C29"/>
    <w:rsid w:val="000D1034"/>
    <w:rsid w:val="000D16BE"/>
    <w:rsid w:val="000F365A"/>
    <w:rsid w:val="000F3A3F"/>
    <w:rsid w:val="000F3A57"/>
    <w:rsid w:val="000F6659"/>
    <w:rsid w:val="0010136D"/>
    <w:rsid w:val="001022B2"/>
    <w:rsid w:val="00102557"/>
    <w:rsid w:val="0010309F"/>
    <w:rsid w:val="001077D0"/>
    <w:rsid w:val="0011096D"/>
    <w:rsid w:val="00111696"/>
    <w:rsid w:val="0011604E"/>
    <w:rsid w:val="00126E0C"/>
    <w:rsid w:val="00127A03"/>
    <w:rsid w:val="00130731"/>
    <w:rsid w:val="001369DE"/>
    <w:rsid w:val="00143269"/>
    <w:rsid w:val="00145A22"/>
    <w:rsid w:val="00150E24"/>
    <w:rsid w:val="00156D4C"/>
    <w:rsid w:val="00162C34"/>
    <w:rsid w:val="00164D56"/>
    <w:rsid w:val="00167B10"/>
    <w:rsid w:val="00173544"/>
    <w:rsid w:val="0017402F"/>
    <w:rsid w:val="001740D7"/>
    <w:rsid w:val="00176720"/>
    <w:rsid w:val="0018192F"/>
    <w:rsid w:val="00186FDB"/>
    <w:rsid w:val="001919B0"/>
    <w:rsid w:val="00196C1B"/>
    <w:rsid w:val="001A0BE0"/>
    <w:rsid w:val="001A5DFD"/>
    <w:rsid w:val="001A6380"/>
    <w:rsid w:val="001B0F73"/>
    <w:rsid w:val="001B2445"/>
    <w:rsid w:val="001C41D9"/>
    <w:rsid w:val="001C5DB8"/>
    <w:rsid w:val="001D08DC"/>
    <w:rsid w:val="001D388F"/>
    <w:rsid w:val="001D5C04"/>
    <w:rsid w:val="001F4627"/>
    <w:rsid w:val="001F59B5"/>
    <w:rsid w:val="001F7F7C"/>
    <w:rsid w:val="00201106"/>
    <w:rsid w:val="002037F7"/>
    <w:rsid w:val="002141B7"/>
    <w:rsid w:val="002223E6"/>
    <w:rsid w:val="00222A2D"/>
    <w:rsid w:val="00223029"/>
    <w:rsid w:val="00233695"/>
    <w:rsid w:val="0023419D"/>
    <w:rsid w:val="00234745"/>
    <w:rsid w:val="00234E68"/>
    <w:rsid w:val="002407AF"/>
    <w:rsid w:val="00243359"/>
    <w:rsid w:val="00243B11"/>
    <w:rsid w:val="002509D4"/>
    <w:rsid w:val="00252447"/>
    <w:rsid w:val="00257003"/>
    <w:rsid w:val="002573A6"/>
    <w:rsid w:val="002616B6"/>
    <w:rsid w:val="002625CB"/>
    <w:rsid w:val="002650C2"/>
    <w:rsid w:val="002734E3"/>
    <w:rsid w:val="002740CE"/>
    <w:rsid w:val="00280223"/>
    <w:rsid w:val="00281092"/>
    <w:rsid w:val="0028775E"/>
    <w:rsid w:val="00295FA1"/>
    <w:rsid w:val="00296A67"/>
    <w:rsid w:val="002A0DB0"/>
    <w:rsid w:val="002A5AF1"/>
    <w:rsid w:val="002A6A40"/>
    <w:rsid w:val="002B25F6"/>
    <w:rsid w:val="002C09E3"/>
    <w:rsid w:val="002C2233"/>
    <w:rsid w:val="002D2557"/>
    <w:rsid w:val="002E0D10"/>
    <w:rsid w:val="002E0D5F"/>
    <w:rsid w:val="002E3CE1"/>
    <w:rsid w:val="002E45EE"/>
    <w:rsid w:val="002E7D69"/>
    <w:rsid w:val="002F312A"/>
    <w:rsid w:val="002F343D"/>
    <w:rsid w:val="002F755B"/>
    <w:rsid w:val="00303E0A"/>
    <w:rsid w:val="00311EF6"/>
    <w:rsid w:val="00314146"/>
    <w:rsid w:val="0032347D"/>
    <w:rsid w:val="00326A45"/>
    <w:rsid w:val="00326F30"/>
    <w:rsid w:val="00327DD3"/>
    <w:rsid w:val="00332449"/>
    <w:rsid w:val="00335F41"/>
    <w:rsid w:val="0033636A"/>
    <w:rsid w:val="00336FB5"/>
    <w:rsid w:val="00345CB4"/>
    <w:rsid w:val="00345DD2"/>
    <w:rsid w:val="00346D99"/>
    <w:rsid w:val="00353649"/>
    <w:rsid w:val="00353754"/>
    <w:rsid w:val="003541E8"/>
    <w:rsid w:val="003549B8"/>
    <w:rsid w:val="0036799A"/>
    <w:rsid w:val="00367E21"/>
    <w:rsid w:val="00371921"/>
    <w:rsid w:val="0037284E"/>
    <w:rsid w:val="0038185A"/>
    <w:rsid w:val="00382DA9"/>
    <w:rsid w:val="00382F25"/>
    <w:rsid w:val="00393406"/>
    <w:rsid w:val="003A4E2B"/>
    <w:rsid w:val="003A5485"/>
    <w:rsid w:val="003A5D59"/>
    <w:rsid w:val="003B0AF5"/>
    <w:rsid w:val="003B14D2"/>
    <w:rsid w:val="003B42C4"/>
    <w:rsid w:val="003B5A49"/>
    <w:rsid w:val="003C1AE5"/>
    <w:rsid w:val="003C2814"/>
    <w:rsid w:val="003C4985"/>
    <w:rsid w:val="003C5333"/>
    <w:rsid w:val="003C5991"/>
    <w:rsid w:val="003C5FE9"/>
    <w:rsid w:val="003D069C"/>
    <w:rsid w:val="003D2D65"/>
    <w:rsid w:val="003D3368"/>
    <w:rsid w:val="003D7646"/>
    <w:rsid w:val="003E396B"/>
    <w:rsid w:val="003E4E50"/>
    <w:rsid w:val="003F113A"/>
    <w:rsid w:val="003F340E"/>
    <w:rsid w:val="003F7C52"/>
    <w:rsid w:val="00400757"/>
    <w:rsid w:val="00407C4F"/>
    <w:rsid w:val="0041073A"/>
    <w:rsid w:val="004133BA"/>
    <w:rsid w:val="00414643"/>
    <w:rsid w:val="00414733"/>
    <w:rsid w:val="004218B4"/>
    <w:rsid w:val="004222E6"/>
    <w:rsid w:val="00425427"/>
    <w:rsid w:val="00433726"/>
    <w:rsid w:val="004354D9"/>
    <w:rsid w:val="0044038D"/>
    <w:rsid w:val="004421E5"/>
    <w:rsid w:val="00452284"/>
    <w:rsid w:val="004562A2"/>
    <w:rsid w:val="004607F9"/>
    <w:rsid w:val="00461153"/>
    <w:rsid w:val="004630A3"/>
    <w:rsid w:val="00465A62"/>
    <w:rsid w:val="00474429"/>
    <w:rsid w:val="00474558"/>
    <w:rsid w:val="00477D31"/>
    <w:rsid w:val="00482041"/>
    <w:rsid w:val="004856CA"/>
    <w:rsid w:val="00485CB4"/>
    <w:rsid w:val="00485E72"/>
    <w:rsid w:val="00486A7A"/>
    <w:rsid w:val="00495844"/>
    <w:rsid w:val="0049705E"/>
    <w:rsid w:val="004A3206"/>
    <w:rsid w:val="004A34A0"/>
    <w:rsid w:val="004A5437"/>
    <w:rsid w:val="004A5D10"/>
    <w:rsid w:val="004B453A"/>
    <w:rsid w:val="004B4B63"/>
    <w:rsid w:val="004B6BBB"/>
    <w:rsid w:val="004B7D31"/>
    <w:rsid w:val="004C25C3"/>
    <w:rsid w:val="004D6B6A"/>
    <w:rsid w:val="004E1047"/>
    <w:rsid w:val="004F09A4"/>
    <w:rsid w:val="004F53E9"/>
    <w:rsid w:val="00500789"/>
    <w:rsid w:val="00500CFC"/>
    <w:rsid w:val="00502136"/>
    <w:rsid w:val="005029AD"/>
    <w:rsid w:val="00502A3B"/>
    <w:rsid w:val="005030C8"/>
    <w:rsid w:val="00506398"/>
    <w:rsid w:val="00512764"/>
    <w:rsid w:val="00522073"/>
    <w:rsid w:val="00526590"/>
    <w:rsid w:val="00526B7B"/>
    <w:rsid w:val="00527E1C"/>
    <w:rsid w:val="005305BD"/>
    <w:rsid w:val="005308CE"/>
    <w:rsid w:val="00531071"/>
    <w:rsid w:val="005316FC"/>
    <w:rsid w:val="00537499"/>
    <w:rsid w:val="00540FE0"/>
    <w:rsid w:val="0054167F"/>
    <w:rsid w:val="00541AC8"/>
    <w:rsid w:val="00542F06"/>
    <w:rsid w:val="00544211"/>
    <w:rsid w:val="00550DD1"/>
    <w:rsid w:val="00550F3E"/>
    <w:rsid w:val="0055563E"/>
    <w:rsid w:val="00560ED9"/>
    <w:rsid w:val="00566E21"/>
    <w:rsid w:val="00567416"/>
    <w:rsid w:val="00572A69"/>
    <w:rsid w:val="0057439C"/>
    <w:rsid w:val="005749F3"/>
    <w:rsid w:val="00576E1D"/>
    <w:rsid w:val="0058132B"/>
    <w:rsid w:val="005820DD"/>
    <w:rsid w:val="00582D3E"/>
    <w:rsid w:val="00584A8F"/>
    <w:rsid w:val="00591722"/>
    <w:rsid w:val="00595D63"/>
    <w:rsid w:val="005A1461"/>
    <w:rsid w:val="005A174E"/>
    <w:rsid w:val="005A442B"/>
    <w:rsid w:val="005A7D5F"/>
    <w:rsid w:val="005B0127"/>
    <w:rsid w:val="005B0C5B"/>
    <w:rsid w:val="005B28C7"/>
    <w:rsid w:val="005B3E56"/>
    <w:rsid w:val="005B6123"/>
    <w:rsid w:val="005B7A35"/>
    <w:rsid w:val="005C4B73"/>
    <w:rsid w:val="005D09CC"/>
    <w:rsid w:val="005D2FB9"/>
    <w:rsid w:val="005D5581"/>
    <w:rsid w:val="005D60CA"/>
    <w:rsid w:val="005D7FC5"/>
    <w:rsid w:val="005E1302"/>
    <w:rsid w:val="005E1D2B"/>
    <w:rsid w:val="005E1D6A"/>
    <w:rsid w:val="005E6D01"/>
    <w:rsid w:val="005F0F59"/>
    <w:rsid w:val="005F1B14"/>
    <w:rsid w:val="005F47C6"/>
    <w:rsid w:val="005F60F7"/>
    <w:rsid w:val="005F7152"/>
    <w:rsid w:val="00600219"/>
    <w:rsid w:val="00600D93"/>
    <w:rsid w:val="00601B38"/>
    <w:rsid w:val="00605C62"/>
    <w:rsid w:val="00610D9B"/>
    <w:rsid w:val="006134F5"/>
    <w:rsid w:val="006162E9"/>
    <w:rsid w:val="00616F67"/>
    <w:rsid w:val="00617C63"/>
    <w:rsid w:val="00623F63"/>
    <w:rsid w:val="006267E2"/>
    <w:rsid w:val="0063300C"/>
    <w:rsid w:val="006360C8"/>
    <w:rsid w:val="006407AB"/>
    <w:rsid w:val="00646422"/>
    <w:rsid w:val="00653CF9"/>
    <w:rsid w:val="00655736"/>
    <w:rsid w:val="0066154F"/>
    <w:rsid w:val="0066359F"/>
    <w:rsid w:val="00663B8D"/>
    <w:rsid w:val="00664D87"/>
    <w:rsid w:val="006679E9"/>
    <w:rsid w:val="00677F6C"/>
    <w:rsid w:val="00680B7E"/>
    <w:rsid w:val="00684D3B"/>
    <w:rsid w:val="00693DAA"/>
    <w:rsid w:val="00696C8D"/>
    <w:rsid w:val="006A24F2"/>
    <w:rsid w:val="006A2AC2"/>
    <w:rsid w:val="006A3617"/>
    <w:rsid w:val="006A4147"/>
    <w:rsid w:val="006B3702"/>
    <w:rsid w:val="006C0EF0"/>
    <w:rsid w:val="006C39AE"/>
    <w:rsid w:val="006C4CA7"/>
    <w:rsid w:val="006C5B88"/>
    <w:rsid w:val="006D67EA"/>
    <w:rsid w:val="006D690C"/>
    <w:rsid w:val="006E15CE"/>
    <w:rsid w:val="006E36C8"/>
    <w:rsid w:val="006E44A1"/>
    <w:rsid w:val="006E46E4"/>
    <w:rsid w:val="006F12CD"/>
    <w:rsid w:val="006F7946"/>
    <w:rsid w:val="006F7F34"/>
    <w:rsid w:val="007004A1"/>
    <w:rsid w:val="007009B7"/>
    <w:rsid w:val="007038EB"/>
    <w:rsid w:val="00703FBF"/>
    <w:rsid w:val="00712566"/>
    <w:rsid w:val="00712AC3"/>
    <w:rsid w:val="0071659D"/>
    <w:rsid w:val="00717142"/>
    <w:rsid w:val="00717DA5"/>
    <w:rsid w:val="0072369D"/>
    <w:rsid w:val="00723C97"/>
    <w:rsid w:val="007402CA"/>
    <w:rsid w:val="00742D4F"/>
    <w:rsid w:val="00744484"/>
    <w:rsid w:val="00757D56"/>
    <w:rsid w:val="00763A0D"/>
    <w:rsid w:val="00764F9C"/>
    <w:rsid w:val="0076647E"/>
    <w:rsid w:val="00766AD6"/>
    <w:rsid w:val="007675C0"/>
    <w:rsid w:val="00773188"/>
    <w:rsid w:val="007772B8"/>
    <w:rsid w:val="00783782"/>
    <w:rsid w:val="00784B8C"/>
    <w:rsid w:val="00795C39"/>
    <w:rsid w:val="00796EEE"/>
    <w:rsid w:val="007A1295"/>
    <w:rsid w:val="007A3A51"/>
    <w:rsid w:val="007B21DA"/>
    <w:rsid w:val="007B5C48"/>
    <w:rsid w:val="007C2112"/>
    <w:rsid w:val="007C45CC"/>
    <w:rsid w:val="007D4880"/>
    <w:rsid w:val="007E0222"/>
    <w:rsid w:val="007E1A05"/>
    <w:rsid w:val="007E29F0"/>
    <w:rsid w:val="007E4B9F"/>
    <w:rsid w:val="007E54BF"/>
    <w:rsid w:val="007E59FD"/>
    <w:rsid w:val="007E6ECA"/>
    <w:rsid w:val="007F3B92"/>
    <w:rsid w:val="007F5A6C"/>
    <w:rsid w:val="00800AC7"/>
    <w:rsid w:val="0080143E"/>
    <w:rsid w:val="00803B62"/>
    <w:rsid w:val="008070C9"/>
    <w:rsid w:val="00810A3D"/>
    <w:rsid w:val="0081123C"/>
    <w:rsid w:val="008172E0"/>
    <w:rsid w:val="00821EE1"/>
    <w:rsid w:val="008222F8"/>
    <w:rsid w:val="00823A11"/>
    <w:rsid w:val="00827421"/>
    <w:rsid w:val="00827DD1"/>
    <w:rsid w:val="00837F14"/>
    <w:rsid w:val="00840BF0"/>
    <w:rsid w:val="00850A43"/>
    <w:rsid w:val="00852866"/>
    <w:rsid w:val="00852F54"/>
    <w:rsid w:val="0085414A"/>
    <w:rsid w:val="00854C99"/>
    <w:rsid w:val="00860B65"/>
    <w:rsid w:val="0086269D"/>
    <w:rsid w:val="008638E3"/>
    <w:rsid w:val="00864367"/>
    <w:rsid w:val="0086543A"/>
    <w:rsid w:val="008663E0"/>
    <w:rsid w:val="008679E2"/>
    <w:rsid w:val="008724E5"/>
    <w:rsid w:val="00876545"/>
    <w:rsid w:val="00884277"/>
    <w:rsid w:val="00884576"/>
    <w:rsid w:val="00884A9D"/>
    <w:rsid w:val="0088512B"/>
    <w:rsid w:val="00886FA9"/>
    <w:rsid w:val="00891988"/>
    <w:rsid w:val="008948AA"/>
    <w:rsid w:val="008A0C2D"/>
    <w:rsid w:val="008A1ED4"/>
    <w:rsid w:val="008A2B2D"/>
    <w:rsid w:val="008A4E1E"/>
    <w:rsid w:val="008A6415"/>
    <w:rsid w:val="008B3BEC"/>
    <w:rsid w:val="008B7469"/>
    <w:rsid w:val="008B7968"/>
    <w:rsid w:val="008C05C4"/>
    <w:rsid w:val="008C296C"/>
    <w:rsid w:val="008C3708"/>
    <w:rsid w:val="008C6777"/>
    <w:rsid w:val="008C792F"/>
    <w:rsid w:val="008C7D30"/>
    <w:rsid w:val="008D4305"/>
    <w:rsid w:val="008D66DA"/>
    <w:rsid w:val="008E71C1"/>
    <w:rsid w:val="008E7C91"/>
    <w:rsid w:val="008E7D2C"/>
    <w:rsid w:val="008F4645"/>
    <w:rsid w:val="00900DC6"/>
    <w:rsid w:val="00900ED1"/>
    <w:rsid w:val="00907D65"/>
    <w:rsid w:val="00910154"/>
    <w:rsid w:val="0091093B"/>
    <w:rsid w:val="00912C49"/>
    <w:rsid w:val="009163A7"/>
    <w:rsid w:val="0091727F"/>
    <w:rsid w:val="0092190F"/>
    <w:rsid w:val="009230D8"/>
    <w:rsid w:val="009232D8"/>
    <w:rsid w:val="0093773A"/>
    <w:rsid w:val="009414D3"/>
    <w:rsid w:val="00946D0B"/>
    <w:rsid w:val="00947053"/>
    <w:rsid w:val="0095272A"/>
    <w:rsid w:val="009533DB"/>
    <w:rsid w:val="00965923"/>
    <w:rsid w:val="009720B8"/>
    <w:rsid w:val="00980EFA"/>
    <w:rsid w:val="00983874"/>
    <w:rsid w:val="009A18CD"/>
    <w:rsid w:val="009B1AA3"/>
    <w:rsid w:val="009C1BB3"/>
    <w:rsid w:val="009C6B5E"/>
    <w:rsid w:val="009D1A8D"/>
    <w:rsid w:val="009D2BC9"/>
    <w:rsid w:val="009D665E"/>
    <w:rsid w:val="009E45EB"/>
    <w:rsid w:val="009F1339"/>
    <w:rsid w:val="009F6006"/>
    <w:rsid w:val="00A0721A"/>
    <w:rsid w:val="00A12558"/>
    <w:rsid w:val="00A13903"/>
    <w:rsid w:val="00A15A88"/>
    <w:rsid w:val="00A34ED5"/>
    <w:rsid w:val="00A34FFB"/>
    <w:rsid w:val="00A432F7"/>
    <w:rsid w:val="00A45DBF"/>
    <w:rsid w:val="00A61283"/>
    <w:rsid w:val="00A63BE9"/>
    <w:rsid w:val="00A645DF"/>
    <w:rsid w:val="00A65C29"/>
    <w:rsid w:val="00A755A2"/>
    <w:rsid w:val="00A81304"/>
    <w:rsid w:val="00A81F92"/>
    <w:rsid w:val="00A82C1E"/>
    <w:rsid w:val="00A945A5"/>
    <w:rsid w:val="00AA076B"/>
    <w:rsid w:val="00AA6660"/>
    <w:rsid w:val="00AB2B31"/>
    <w:rsid w:val="00AB2C36"/>
    <w:rsid w:val="00AB70B6"/>
    <w:rsid w:val="00AC0D52"/>
    <w:rsid w:val="00AC5A55"/>
    <w:rsid w:val="00AD03A3"/>
    <w:rsid w:val="00AD0571"/>
    <w:rsid w:val="00AD1744"/>
    <w:rsid w:val="00AD1A86"/>
    <w:rsid w:val="00AE103E"/>
    <w:rsid w:val="00AE42AC"/>
    <w:rsid w:val="00AE7529"/>
    <w:rsid w:val="00AF0A07"/>
    <w:rsid w:val="00AF11E4"/>
    <w:rsid w:val="00AF1214"/>
    <w:rsid w:val="00AF436C"/>
    <w:rsid w:val="00AF4AEC"/>
    <w:rsid w:val="00AF625E"/>
    <w:rsid w:val="00B03E6D"/>
    <w:rsid w:val="00B05797"/>
    <w:rsid w:val="00B07D32"/>
    <w:rsid w:val="00B128CC"/>
    <w:rsid w:val="00B2493E"/>
    <w:rsid w:val="00B30C28"/>
    <w:rsid w:val="00B41707"/>
    <w:rsid w:val="00B50A30"/>
    <w:rsid w:val="00B53C73"/>
    <w:rsid w:val="00B5600A"/>
    <w:rsid w:val="00B6469B"/>
    <w:rsid w:val="00B65D85"/>
    <w:rsid w:val="00B702ED"/>
    <w:rsid w:val="00B71C63"/>
    <w:rsid w:val="00B743F3"/>
    <w:rsid w:val="00B81105"/>
    <w:rsid w:val="00B84102"/>
    <w:rsid w:val="00B85E17"/>
    <w:rsid w:val="00B96B09"/>
    <w:rsid w:val="00BA6E0C"/>
    <w:rsid w:val="00BB04AF"/>
    <w:rsid w:val="00BD28AC"/>
    <w:rsid w:val="00BD4545"/>
    <w:rsid w:val="00BD52C9"/>
    <w:rsid w:val="00BE5818"/>
    <w:rsid w:val="00BE6354"/>
    <w:rsid w:val="00C0212E"/>
    <w:rsid w:val="00C054CE"/>
    <w:rsid w:val="00C109FA"/>
    <w:rsid w:val="00C21695"/>
    <w:rsid w:val="00C23A97"/>
    <w:rsid w:val="00C27057"/>
    <w:rsid w:val="00C278E9"/>
    <w:rsid w:val="00C31325"/>
    <w:rsid w:val="00C33B4E"/>
    <w:rsid w:val="00C4133A"/>
    <w:rsid w:val="00C420AA"/>
    <w:rsid w:val="00C42C66"/>
    <w:rsid w:val="00C43221"/>
    <w:rsid w:val="00C45470"/>
    <w:rsid w:val="00C460F8"/>
    <w:rsid w:val="00C47184"/>
    <w:rsid w:val="00C4772B"/>
    <w:rsid w:val="00C6563D"/>
    <w:rsid w:val="00C70EA7"/>
    <w:rsid w:val="00C72B1B"/>
    <w:rsid w:val="00C7516E"/>
    <w:rsid w:val="00C75770"/>
    <w:rsid w:val="00C77225"/>
    <w:rsid w:val="00C81098"/>
    <w:rsid w:val="00C90202"/>
    <w:rsid w:val="00C965B5"/>
    <w:rsid w:val="00CA2963"/>
    <w:rsid w:val="00CA334F"/>
    <w:rsid w:val="00CA35EA"/>
    <w:rsid w:val="00CB170C"/>
    <w:rsid w:val="00CB5A4B"/>
    <w:rsid w:val="00CC042B"/>
    <w:rsid w:val="00CC711C"/>
    <w:rsid w:val="00CD5438"/>
    <w:rsid w:val="00CD60FB"/>
    <w:rsid w:val="00CD632D"/>
    <w:rsid w:val="00CE1E82"/>
    <w:rsid w:val="00CE26EE"/>
    <w:rsid w:val="00CE4600"/>
    <w:rsid w:val="00CE76B7"/>
    <w:rsid w:val="00CF07CB"/>
    <w:rsid w:val="00D00B2B"/>
    <w:rsid w:val="00D0264C"/>
    <w:rsid w:val="00D20E68"/>
    <w:rsid w:val="00D21A5D"/>
    <w:rsid w:val="00D22279"/>
    <w:rsid w:val="00D24877"/>
    <w:rsid w:val="00D26644"/>
    <w:rsid w:val="00D271EB"/>
    <w:rsid w:val="00D303C5"/>
    <w:rsid w:val="00D37EE8"/>
    <w:rsid w:val="00D408F7"/>
    <w:rsid w:val="00D44A18"/>
    <w:rsid w:val="00D46EC3"/>
    <w:rsid w:val="00D52471"/>
    <w:rsid w:val="00D52B40"/>
    <w:rsid w:val="00D52C71"/>
    <w:rsid w:val="00D56E06"/>
    <w:rsid w:val="00D621D6"/>
    <w:rsid w:val="00D624E9"/>
    <w:rsid w:val="00D66131"/>
    <w:rsid w:val="00D70E97"/>
    <w:rsid w:val="00D74CFC"/>
    <w:rsid w:val="00D75104"/>
    <w:rsid w:val="00D7513B"/>
    <w:rsid w:val="00D77417"/>
    <w:rsid w:val="00D778B8"/>
    <w:rsid w:val="00D85FEE"/>
    <w:rsid w:val="00D91A18"/>
    <w:rsid w:val="00D95C4C"/>
    <w:rsid w:val="00DA36ED"/>
    <w:rsid w:val="00DB4BF5"/>
    <w:rsid w:val="00DB6E4D"/>
    <w:rsid w:val="00DE34F1"/>
    <w:rsid w:val="00DE39A3"/>
    <w:rsid w:val="00DF216B"/>
    <w:rsid w:val="00DF3E9D"/>
    <w:rsid w:val="00DF4942"/>
    <w:rsid w:val="00E00456"/>
    <w:rsid w:val="00E01292"/>
    <w:rsid w:val="00E01D31"/>
    <w:rsid w:val="00E04EC1"/>
    <w:rsid w:val="00E05364"/>
    <w:rsid w:val="00E06179"/>
    <w:rsid w:val="00E07554"/>
    <w:rsid w:val="00E17265"/>
    <w:rsid w:val="00E24C64"/>
    <w:rsid w:val="00E253B5"/>
    <w:rsid w:val="00E25D7B"/>
    <w:rsid w:val="00E33316"/>
    <w:rsid w:val="00E55F89"/>
    <w:rsid w:val="00E61214"/>
    <w:rsid w:val="00E627B1"/>
    <w:rsid w:val="00E6289A"/>
    <w:rsid w:val="00E628F1"/>
    <w:rsid w:val="00E62BC7"/>
    <w:rsid w:val="00E63170"/>
    <w:rsid w:val="00E646ED"/>
    <w:rsid w:val="00E662BF"/>
    <w:rsid w:val="00E71D5F"/>
    <w:rsid w:val="00E7332C"/>
    <w:rsid w:val="00E77116"/>
    <w:rsid w:val="00E869B7"/>
    <w:rsid w:val="00E87F93"/>
    <w:rsid w:val="00E90FE0"/>
    <w:rsid w:val="00E912CE"/>
    <w:rsid w:val="00E9376C"/>
    <w:rsid w:val="00E949CA"/>
    <w:rsid w:val="00EA145D"/>
    <w:rsid w:val="00EA1D70"/>
    <w:rsid w:val="00EA335E"/>
    <w:rsid w:val="00EA528C"/>
    <w:rsid w:val="00EA6948"/>
    <w:rsid w:val="00EC6060"/>
    <w:rsid w:val="00ED1CFF"/>
    <w:rsid w:val="00ED5DAF"/>
    <w:rsid w:val="00EE09C4"/>
    <w:rsid w:val="00EE0F36"/>
    <w:rsid w:val="00EE3491"/>
    <w:rsid w:val="00EE6FAF"/>
    <w:rsid w:val="00EF34E2"/>
    <w:rsid w:val="00EF4F1F"/>
    <w:rsid w:val="00EF69E3"/>
    <w:rsid w:val="00F03809"/>
    <w:rsid w:val="00F101F8"/>
    <w:rsid w:val="00F15E57"/>
    <w:rsid w:val="00F2096A"/>
    <w:rsid w:val="00F2180B"/>
    <w:rsid w:val="00F24B3F"/>
    <w:rsid w:val="00F26166"/>
    <w:rsid w:val="00F31908"/>
    <w:rsid w:val="00F34E33"/>
    <w:rsid w:val="00F53DE9"/>
    <w:rsid w:val="00F544DA"/>
    <w:rsid w:val="00F56BBE"/>
    <w:rsid w:val="00F576CB"/>
    <w:rsid w:val="00F57A8B"/>
    <w:rsid w:val="00F6120F"/>
    <w:rsid w:val="00F65B63"/>
    <w:rsid w:val="00F70835"/>
    <w:rsid w:val="00F71A02"/>
    <w:rsid w:val="00F7400C"/>
    <w:rsid w:val="00F87711"/>
    <w:rsid w:val="00F92447"/>
    <w:rsid w:val="00FA0AB0"/>
    <w:rsid w:val="00FA3850"/>
    <w:rsid w:val="00FA7E04"/>
    <w:rsid w:val="00FB0B14"/>
    <w:rsid w:val="00FB1065"/>
    <w:rsid w:val="00FB1957"/>
    <w:rsid w:val="00FB6630"/>
    <w:rsid w:val="00FC4493"/>
    <w:rsid w:val="00FC5DA1"/>
    <w:rsid w:val="00FD1226"/>
    <w:rsid w:val="00FD4ABA"/>
    <w:rsid w:val="00FD7CB9"/>
    <w:rsid w:val="00FE2BDE"/>
    <w:rsid w:val="00FF1949"/>
    <w:rsid w:val="00FF2BCB"/>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AD2D7A1"/>
  <w15:docId w15:val="{075EA3C4-99CD-48CC-B78E-963A634C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COM Heading"/>
    <w:basedOn w:val="Normal"/>
    <w:next w:val="Normal"/>
    <w:link w:val="Titre4Car"/>
    <w:qFormat/>
    <w:rsid w:val="00F71A02"/>
    <w:pPr>
      <w:keepNext/>
      <w:keepLines/>
      <w:numPr>
        <w:numId w:val="4"/>
      </w:numPr>
      <w:tabs>
        <w:tab w:val="left" w:pos="567"/>
      </w:tabs>
      <w:snapToGrid w:val="0"/>
      <w:spacing w:after="240"/>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styleId="Paragraphedeliste">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ParagraphedelisteCar"/>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character" w:styleId="Lienhypertexte">
    <w:name w:val="Hyperlink"/>
    <w:unhideWhenUsed/>
    <w:rsid w:val="007E0222"/>
    <w:rPr>
      <w:color w:val="0000FF"/>
      <w:u w:val="single"/>
    </w:rPr>
  </w:style>
  <w:style w:type="paragraph" w:styleId="Notedebasdepage">
    <w:name w:val="footnote text"/>
    <w:basedOn w:val="Normal"/>
    <w:link w:val="NotedebasdepageCar"/>
    <w:uiPriority w:val="99"/>
    <w:unhideWhenUsed/>
    <w:rsid w:val="00EA145D"/>
    <w:pPr>
      <w:spacing w:before="60" w:after="60"/>
      <w:jc w:val="both"/>
    </w:pPr>
    <w:rPr>
      <w:rFonts w:ascii="Arial" w:hAnsi="Arial"/>
      <w:sz w:val="20"/>
      <w:szCs w:val="20"/>
    </w:rPr>
  </w:style>
  <w:style w:type="character" w:customStyle="1" w:styleId="NotedebasdepageCar">
    <w:name w:val="Note de bas de page Car"/>
    <w:basedOn w:val="Policepardfaut"/>
    <w:link w:val="Notedebasdepage"/>
    <w:uiPriority w:val="99"/>
    <w:rsid w:val="00EA145D"/>
    <w:rPr>
      <w:rFonts w:ascii="Arial" w:eastAsia="Times New Roman" w:hAnsi="Arial"/>
      <w:lang w:eastAsia="fr-FR"/>
    </w:rPr>
  </w:style>
  <w:style w:type="character" w:styleId="Appelnotedebasdep">
    <w:name w:val="footnote reference"/>
    <w:uiPriority w:val="99"/>
    <w:unhideWhenUsed/>
    <w:rsid w:val="00EA145D"/>
    <w:rPr>
      <w:vertAlign w:val="superscript"/>
    </w:rPr>
  </w:style>
  <w:style w:type="character" w:customStyle="1" w:styleId="hps">
    <w:name w:val="hps"/>
    <w:rsid w:val="00EA145D"/>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sid w:val="00FA3850"/>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FA3850"/>
    <w:rPr>
      <w:b/>
      <w:bCs/>
    </w:rPr>
  </w:style>
  <w:style w:type="character" w:customStyle="1" w:styleId="ObjetducommentaireCar">
    <w:name w:val="Objet du commentaire Car"/>
    <w:basedOn w:val="CommentaireCar"/>
    <w:link w:val="Objetducommentaire"/>
    <w:uiPriority w:val="99"/>
    <w:semiHidden/>
    <w:rsid w:val="00FA3850"/>
    <w:rPr>
      <w:rFonts w:ascii="Times New Roman" w:eastAsia="Times New Roman" w:hAnsi="Times New Roman"/>
      <w:b/>
      <w:bCs/>
      <w:lang w:val="fr-FR" w:eastAsia="fr-FR"/>
    </w:rPr>
  </w:style>
  <w:style w:type="paragraph" w:styleId="Rvision">
    <w:name w:val="Revision"/>
    <w:hidden/>
    <w:uiPriority w:val="99"/>
    <w:semiHidden/>
    <w:rsid w:val="00FA3850"/>
    <w:rPr>
      <w:rFonts w:ascii="Times New Roman" w:eastAsia="Times New Roman" w:hAnsi="Times New Roman"/>
      <w:sz w:val="24"/>
      <w:szCs w:val="24"/>
      <w:lang w:eastAsia="fr-FR"/>
    </w:rPr>
  </w:style>
  <w:style w:type="character" w:styleId="lev">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rPr>
  </w:style>
  <w:style w:type="character" w:styleId="Lienhypertextesuivivisit">
    <w:name w:val="FollowedHyperlink"/>
    <w:basedOn w:val="Policepardfaut"/>
    <w:uiPriority w:val="99"/>
    <w:semiHidden/>
    <w:unhideWhenUsed/>
    <w:rsid w:val="00F24B3F"/>
    <w:rPr>
      <w:color w:val="954F72" w:themeColor="followedHyperlink"/>
      <w:u w:val="single"/>
    </w:rPr>
  </w:style>
  <w:style w:type="character" w:customStyle="1" w:styleId="ac">
    <w:name w:val="ac"/>
    <w:basedOn w:val="Policepardfaut"/>
    <w:rsid w:val="000D1034"/>
  </w:style>
  <w:style w:type="paragraph" w:customStyle="1" w:styleId="COMPara">
    <w:name w:val="COM Para"/>
    <w:qFormat/>
    <w:rsid w:val="00576E1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76E1D"/>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76E1D"/>
    <w:pPr>
      <w:keepNext/>
      <w:spacing w:after="120"/>
      <w:ind w:left="567"/>
      <w:jc w:val="both"/>
    </w:pPr>
    <w:rPr>
      <w:rFonts w:ascii="Arial" w:hAnsi="Arial" w:cs="Arial"/>
      <w:sz w:val="22"/>
      <w:szCs w:val="22"/>
    </w:rPr>
  </w:style>
  <w:style w:type="paragraph" w:customStyle="1" w:styleId="Paragraph">
    <w:name w:val="Paragraph"/>
    <w:basedOn w:val="Normal"/>
    <w:link w:val="ParagraphChar"/>
    <w:qFormat/>
    <w:rsid w:val="00576E1D"/>
    <w:pPr>
      <w:autoSpaceDE w:val="0"/>
      <w:autoSpaceDN w:val="0"/>
      <w:adjustRightInd w:val="0"/>
      <w:spacing w:after="240"/>
      <w:jc w:val="both"/>
    </w:pPr>
    <w:rPr>
      <w:rFonts w:ascii="Arial" w:eastAsia="SimSun" w:hAnsi="Arial" w:cs="Arial"/>
      <w:bCs/>
      <w:color w:val="000000"/>
      <w:sz w:val="22"/>
      <w:szCs w:val="22"/>
      <w:lang w:eastAsia="zh-CN"/>
    </w:rPr>
  </w:style>
  <w:style w:type="character" w:customStyle="1" w:styleId="ParagraphChar">
    <w:name w:val="Paragraph Char"/>
    <w:link w:val="Paragraph"/>
    <w:rsid w:val="00576E1D"/>
    <w:rPr>
      <w:rFonts w:ascii="Arial" w:hAnsi="Arial" w:cs="Arial"/>
      <w:bCs/>
      <w:color w:val="000000"/>
      <w:sz w:val="22"/>
      <w:szCs w:val="22"/>
      <w:lang w:eastAsia="zh-CN"/>
    </w:rPr>
  </w:style>
  <w:style w:type="paragraph" w:customStyle="1" w:styleId="Annex">
    <w:name w:val="Annex"/>
    <w:basedOn w:val="Normal"/>
    <w:next w:val="Normal"/>
    <w:rsid w:val="00576E1D"/>
    <w:pPr>
      <w:pageBreakBefore/>
      <w:autoSpaceDE w:val="0"/>
      <w:autoSpaceDN w:val="0"/>
      <w:adjustRightInd w:val="0"/>
      <w:spacing w:before="360" w:after="240"/>
      <w:jc w:val="center"/>
      <w:outlineLvl w:val="0"/>
    </w:pPr>
    <w:rPr>
      <w:rFonts w:ascii="Arial" w:eastAsia="SimSun" w:hAnsi="Arial" w:cs="Arial"/>
      <w:b/>
      <w:bCs/>
      <w:sz w:val="22"/>
      <w:szCs w:val="22"/>
      <w:lang w:eastAsia="zh-CN"/>
    </w:rPr>
  </w:style>
  <w:style w:type="paragraph" w:customStyle="1" w:styleId="5GAparabodytext">
    <w:name w:val="5GA para body text"/>
    <w:basedOn w:val="Marge"/>
    <w:autoRedefine/>
    <w:uiPriority w:val="99"/>
    <w:qFormat/>
    <w:rsid w:val="005749F3"/>
    <w:pPr>
      <w:numPr>
        <w:numId w:val="8"/>
      </w:numPr>
      <w:spacing w:after="120"/>
    </w:pPr>
    <w:rPr>
      <w:rFonts w:cs="Arial"/>
      <w:szCs w:val="22"/>
    </w:rPr>
  </w:style>
  <w:style w:type="paragraph" w:customStyle="1" w:styleId="Default">
    <w:name w:val="Default"/>
    <w:link w:val="DefaultChar"/>
    <w:uiPriority w:val="99"/>
    <w:rsid w:val="00233695"/>
    <w:pPr>
      <w:autoSpaceDE w:val="0"/>
      <w:autoSpaceDN w:val="0"/>
      <w:adjustRightInd w:val="0"/>
    </w:pPr>
    <w:rPr>
      <w:rFonts w:ascii="Arial" w:hAnsi="Arial" w:cs="Arial"/>
      <w:color w:val="000000"/>
      <w:sz w:val="24"/>
      <w:szCs w:val="24"/>
      <w:lang w:eastAsia="zh-CN"/>
    </w:rPr>
  </w:style>
  <w:style w:type="character" w:customStyle="1" w:styleId="DefaultChar">
    <w:name w:val="Default Char"/>
    <w:link w:val="Default"/>
    <w:uiPriority w:val="99"/>
    <w:rsid w:val="00233695"/>
    <w:rPr>
      <w:rFonts w:ascii="Arial" w:hAnsi="Arial" w:cs="Arial"/>
      <w:color w:val="000000"/>
      <w:sz w:val="24"/>
      <w:szCs w:val="24"/>
      <w:lang w:val="fr-FR" w:eastAsia="zh-CN"/>
    </w:rPr>
  </w:style>
  <w:style w:type="paragraph" w:customStyle="1" w:styleId="5GATitleResolution">
    <w:name w:val="5GA Title Resolution"/>
    <w:basedOn w:val="Normal"/>
    <w:qFormat/>
    <w:rsid w:val="00D75104"/>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D75104"/>
    <w:pPr>
      <w:keepNext/>
      <w:spacing w:after="120"/>
      <w:ind w:left="567"/>
      <w:jc w:val="both"/>
    </w:pPr>
    <w:rPr>
      <w:rFonts w:ascii="Arial" w:hAnsi="Arial" w:cs="Arial"/>
      <w:sz w:val="22"/>
      <w:szCs w:val="22"/>
    </w:rPr>
  </w:style>
  <w:style w:type="character" w:customStyle="1" w:styleId="UnresolvedMention1">
    <w:name w:val="Unresolved Mention1"/>
    <w:basedOn w:val="Policepardfaut"/>
    <w:uiPriority w:val="99"/>
    <w:semiHidden/>
    <w:unhideWhenUsed/>
    <w:rsid w:val="00F57A8B"/>
    <w:rPr>
      <w:color w:val="605E5C"/>
      <w:shd w:val="clear" w:color="auto" w:fill="E1DFDD"/>
    </w:rPr>
  </w:style>
  <w:style w:type="paragraph" w:styleId="Sansinterligne">
    <w:name w:val="No Spacing"/>
    <w:uiPriority w:val="1"/>
    <w:qFormat/>
    <w:rsid w:val="00A432F7"/>
    <w:rPr>
      <w:rFonts w:asciiTheme="minorHAnsi" w:eastAsiaTheme="minorHAnsi" w:hAnsiTheme="minorHAnsi" w:cstheme="minorBidi"/>
      <w:sz w:val="22"/>
      <w:szCs w:val="22"/>
      <w:lang w:eastAsia="en-US"/>
    </w:rPr>
  </w:style>
  <w:style w:type="character" w:customStyle="1" w:styleId="ParagraphedelisteCar">
    <w:name w:val="Paragraphe de liste Car"/>
    <w:aliases w:val="Table of contents numbered Car,Normal bullet 2 Car,Bullet list Car,List Paragraph1 Car,Numbered List Car,1st level - Bullet List Paragraph Car,Lettre d'introduction Car,lp1 Car,Farbige Liste - Akzent 11 Car,Reference list Car"/>
    <w:link w:val="Paragraphedeliste"/>
    <w:uiPriority w:val="34"/>
    <w:qFormat/>
    <w:locked/>
    <w:rsid w:val="00E07554"/>
    <w:rPr>
      <w:rFonts w:ascii="Times New Roman" w:eastAsia="Times New Roman" w:hAnsi="Times New Roman"/>
      <w:sz w:val="24"/>
      <w:szCs w:val="24"/>
      <w:lang w:val="fr-FR" w:eastAsia="fr-FR"/>
    </w:rPr>
  </w:style>
  <w:style w:type="table" w:customStyle="1" w:styleId="TableGrid1">
    <w:name w:val="Table Grid1"/>
    <w:basedOn w:val="TableauNormal"/>
    <w:uiPriority w:val="59"/>
    <w:rsid w:val="00CD632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Policepardfaut"/>
    <w:uiPriority w:val="99"/>
    <w:semiHidden/>
    <w:unhideWhenUsed/>
    <w:rsid w:val="00BD4545"/>
    <w:rPr>
      <w:color w:val="605E5C"/>
      <w:shd w:val="clear" w:color="auto" w:fill="E1DFDD"/>
    </w:rPr>
  </w:style>
  <w:style w:type="character" w:customStyle="1" w:styleId="Mentionnonrsolue1">
    <w:name w:val="Mention non résolue1"/>
    <w:basedOn w:val="Policepardfaut"/>
    <w:uiPriority w:val="99"/>
    <w:semiHidden/>
    <w:unhideWhenUsed/>
    <w:rsid w:val="00FF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5202">
      <w:bodyDiv w:val="1"/>
      <w:marLeft w:val="0"/>
      <w:marRight w:val="0"/>
      <w:marTop w:val="0"/>
      <w:marBottom w:val="0"/>
      <w:divBdr>
        <w:top w:val="none" w:sz="0" w:space="0" w:color="auto"/>
        <w:left w:val="none" w:sz="0" w:space="0" w:color="auto"/>
        <w:bottom w:val="none" w:sz="0" w:space="0" w:color="auto"/>
        <w:right w:val="none" w:sz="0" w:space="0" w:color="auto"/>
      </w:divBdr>
    </w:div>
    <w:div w:id="39127713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205347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0-8.GA-INF.7-FR.docx" TargetMode="External"/><Relationship Id="rId18" Type="http://schemas.openxmlformats.org/officeDocument/2006/relationships/hyperlink" Target="https://ich.unesco.org/fr/le-fonds-du-pci-00816" TargetMode="External"/><Relationship Id="rId26" Type="http://schemas.openxmlformats.org/officeDocument/2006/relationships/hyperlink" Target="https://ich.unesco.org/fr/Decisions/13.COM/6" TargetMode="External"/><Relationship Id="rId39" Type="http://schemas.openxmlformats.org/officeDocument/2006/relationships/hyperlink" Target="https://ich.unesco.org/doc/src/ITH-10-3.GA-CONF.201-Resolution%20Rev.-FR.doc" TargetMode="External"/><Relationship Id="rId21" Type="http://schemas.openxmlformats.org/officeDocument/2006/relationships/hyperlink" Target="https://ich.unesco.org/fr/Decisions/12.COM/7" TargetMode="External"/><Relationship Id="rId34" Type="http://schemas.openxmlformats.org/officeDocument/2006/relationships/hyperlink" Target="https://ich.unesco.org/fr/le-patrimoine-vivant-dans-le-contexte-de-la-pandemie-de-covid-19-01123" TargetMode="External"/><Relationship Id="rId42" Type="http://schemas.openxmlformats.org/officeDocument/2006/relationships/hyperlink" Target="https://ich.unesco.org/fr/Decisions/14.COM/6" TargetMode="External"/><Relationship Id="rId47" Type="http://schemas.openxmlformats.org/officeDocument/2006/relationships/hyperlink" Target="https://ich.unesco.org/fr/Decisions/14.COM/6" TargetMode="External"/><Relationship Id="rId50" Type="http://schemas.openxmlformats.org/officeDocument/2006/relationships/hyperlink" Target="https://unesdoc.unesco.org/ark:/48223/pf0000248900_fre"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h.unesco.org/doc/src/LHE-20-8.GA-INF.7-FR.docx" TargetMode="External"/><Relationship Id="rId17" Type="http://schemas.openxmlformats.org/officeDocument/2006/relationships/image" Target="media/image2.png"/><Relationship Id="rId25" Type="http://schemas.openxmlformats.org/officeDocument/2006/relationships/hyperlink" Target="https://ich.unesco.org/fr/Decisions/14.COM/7" TargetMode="External"/><Relationship Id="rId33" Type="http://schemas.openxmlformats.org/officeDocument/2006/relationships/hyperlink" Target="https://ich.unesco.org/fr" TargetMode="External"/><Relationship Id="rId38" Type="http://schemas.openxmlformats.org/officeDocument/2006/relationships/hyperlink" Target="https://ich.unesco.org/fr/Decisions/7.GA/8" TargetMode="External"/><Relationship Id="rId46" Type="http://schemas.openxmlformats.org/officeDocument/2006/relationships/hyperlink" Target="https://whc.unesco.org/fr/decisions/7102/"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fr/Resolutions/6.GA/7" TargetMode="External"/><Relationship Id="rId20" Type="http://schemas.openxmlformats.org/officeDocument/2006/relationships/hyperlink" Target="https://ich.unesco.org/fr/Decisions/14.COM/7" TargetMode="External"/><Relationship Id="rId29" Type="http://schemas.openxmlformats.org/officeDocument/2006/relationships/hyperlink" Target="https://ich.unesco.org/fr/Decisions/14.COM/10" TargetMode="External"/><Relationship Id="rId41" Type="http://schemas.openxmlformats.org/officeDocument/2006/relationships/hyperlink" Target="https://ich.unesco.org/doc/src/LHE-20-8.GA-INF.7-FR.docx"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2.COM/6" TargetMode="External"/><Relationship Id="rId24" Type="http://schemas.openxmlformats.org/officeDocument/2006/relationships/hyperlink" Target="https://ich.unesco.org/doc/src/LHE-19-14.COM_2.BUR-Decisions-FR.docx" TargetMode="External"/><Relationship Id="rId32" Type="http://schemas.openxmlformats.org/officeDocument/2006/relationships/hyperlink" Target="https://ich.unesco.org/fr/Decisions/13.COM/20" TargetMode="External"/><Relationship Id="rId37" Type="http://schemas.openxmlformats.org/officeDocument/2006/relationships/hyperlink" Target="https://ich.unesco.org/fr/Decisions/14.COM/7" TargetMode="External"/><Relationship Id="rId40" Type="http://schemas.openxmlformats.org/officeDocument/2006/relationships/hyperlink" Target="https://ich.unesco.org/fr/Decisions/7.GA/8" TargetMode="External"/><Relationship Id="rId45" Type="http://schemas.openxmlformats.org/officeDocument/2006/relationships/hyperlink" Target="http://unesdoc.unesco.org/ulis/cgi-bin/ExtractPDF.pl?catno=261576&amp;lang=e&amp;from=126&amp;to=139&amp;display=2&amp;ts=153486251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unesdoc.unesco.org/ark:/48223/pf0000367155_fre" TargetMode="External"/><Relationship Id="rId28" Type="http://schemas.openxmlformats.org/officeDocument/2006/relationships/hyperlink" Target="https://ich.unesco.org/fr/Decisions/14.COM/14" TargetMode="External"/><Relationship Id="rId36" Type="http://schemas.openxmlformats.org/officeDocument/2006/relationships/hyperlink" Target="https://ich.unesco.org/fr/Decisions/14.COM/7" TargetMode="External"/><Relationship Id="rId49" Type="http://schemas.openxmlformats.org/officeDocument/2006/relationships/hyperlink" Target="https://unesdoc.unesco.org/ark:/48223/pf0000246369_fre" TargetMode="External"/><Relationship Id="rId57" Type="http://schemas.openxmlformats.org/officeDocument/2006/relationships/header" Target="header3.xml"/><Relationship Id="rId10" Type="http://schemas.openxmlformats.org/officeDocument/2006/relationships/hyperlink" Target="https://ich.unesco.org/fr/Decisions/7.GA/8" TargetMode="External"/><Relationship Id="rId19" Type="http://schemas.openxmlformats.org/officeDocument/2006/relationships/hyperlink" Target="https://ich.unesco.org/fr/Decisions/7.GA/8" TargetMode="External"/><Relationship Id="rId31" Type="http://schemas.openxmlformats.org/officeDocument/2006/relationships/hyperlink" Target="https://ich.unesco.org/fr/Decisions/12.COM/6" TargetMode="External"/><Relationship Id="rId44" Type="http://schemas.openxmlformats.org/officeDocument/2006/relationships/hyperlink" Target="http://unesdoc.unesco.org/images/0026/002615/261576f.pdf" TargetMode="External"/><Relationship Id="rId52" Type="http://schemas.openxmlformats.org/officeDocument/2006/relationships/hyperlink" Target="https://ich.unesco.org/doc/src/LHE-20-8.GA-INF.7-FR.doc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0-8.GA-INF.7-FR.docx" TargetMode="External"/><Relationship Id="rId14" Type="http://schemas.openxmlformats.org/officeDocument/2006/relationships/hyperlink" Target="https://ich.unesco.org/doc/src/ITH-18-7.GA-8-FR.docx" TargetMode="External"/><Relationship Id="rId22" Type="http://schemas.openxmlformats.org/officeDocument/2006/relationships/hyperlink" Target="https://ich.unesco.org/fr/Decisions/14.COM/7" TargetMode="External"/><Relationship Id="rId27" Type="http://schemas.openxmlformats.org/officeDocument/2006/relationships/hyperlink" Target="https://ich.unesco.org/fr/Decisions/13.COM/10" TargetMode="External"/><Relationship Id="rId30" Type="http://schemas.openxmlformats.org/officeDocument/2006/relationships/hyperlink" Target="https://ich.unesco.org/fr/Decisions/14.COM/15" TargetMode="External"/><Relationship Id="rId35" Type="http://schemas.openxmlformats.org/officeDocument/2006/relationships/hyperlink" Target="https://ich.unesco.org/fr/Decisions/7.GA/8" TargetMode="External"/><Relationship Id="rId43" Type="http://schemas.openxmlformats.org/officeDocument/2006/relationships/hyperlink" Target="https://ich.unesco.org/fr/Decisions/13.COM/6" TargetMode="External"/><Relationship Id="rId48" Type="http://schemas.openxmlformats.org/officeDocument/2006/relationships/hyperlink" Target="https://unesdoc.unesco.org/ark:/48223/pf0000245750_fre" TargetMode="External"/><Relationship Id="rId56" Type="http://schemas.openxmlformats.org/officeDocument/2006/relationships/footer" Target="footer2.xml"/><Relationship Id="rId8" Type="http://schemas.openxmlformats.org/officeDocument/2006/relationships/hyperlink" Target="https://ich.unesco.org/fr/Decisions/14.COM/7" TargetMode="External"/><Relationship Id="rId51" Type="http://schemas.openxmlformats.org/officeDocument/2006/relationships/hyperlink" Target="https://ich.unesco.org/fr/Decisions/14.COM/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Decisions/8.COM/7.c" TargetMode="External"/><Relationship Id="rId7" Type="http://schemas.openxmlformats.org/officeDocument/2006/relationships/hyperlink" Target="https://unesdoc.unesco.org/ark:/48223/pf0000367155_fre" TargetMode="External"/><Relationship Id="rId2" Type="http://schemas.openxmlformats.org/officeDocument/2006/relationships/hyperlink" Target="https://ich.unesco.org/doc/src/ICH-Operational_Directives-7.GA-PDF-FR.pdf" TargetMode="External"/><Relationship Id="rId1" Type="http://schemas.openxmlformats.org/officeDocument/2006/relationships/hyperlink" Target="http://www.unesco.org/eri/cp/factsheets/ICH-Status-of-Contributions.pdf" TargetMode="External"/><Relationship Id="rId6" Type="http://schemas.openxmlformats.org/officeDocument/2006/relationships/hyperlink" Target="https://unesdoc.unesco.org/ark:/48223/pf0000367155_fre" TargetMode="External"/><Relationship Id="rId5" Type="http://schemas.openxmlformats.org/officeDocument/2006/relationships/hyperlink" Target="https://ich.unesco.org/doc/src/LHE-19-14.COM_2.BUR-Decisions-FR.docx" TargetMode="External"/><Relationship Id="rId4" Type="http://schemas.openxmlformats.org/officeDocument/2006/relationships/hyperlink" Target="https://ich.unesco.org/doc/src/ITH-18-13.COM_2.BUR-3-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D4BD-80A4-4FF7-B43F-535E6315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10577</Words>
  <Characters>60291</Characters>
  <Application>Microsoft Office Word</Application>
  <DocSecurity>0</DocSecurity>
  <Lines>502</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70727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Theuninck, Ingrid</cp:lastModifiedBy>
  <cp:revision>7</cp:revision>
  <cp:lastPrinted>2020-07-21T09:13:00Z</cp:lastPrinted>
  <dcterms:created xsi:type="dcterms:W3CDTF">2020-08-18T15:13:00Z</dcterms:created>
  <dcterms:modified xsi:type="dcterms:W3CDTF">2020-08-25T15:49:00Z</dcterms:modified>
</cp:coreProperties>
</file>