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57BFD" w14:textId="31EC1EC4" w:rsidR="00655736" w:rsidRPr="00414643" w:rsidRDefault="00655736" w:rsidP="001740D7">
      <w:pPr>
        <w:spacing w:before="1440"/>
        <w:jc w:val="center"/>
        <w:rPr>
          <w:rFonts w:ascii="Arial" w:hAnsi="Arial" w:cs="Arial"/>
          <w:b/>
          <w:sz w:val="22"/>
          <w:szCs w:val="22"/>
        </w:rPr>
      </w:pPr>
      <w:r>
        <w:rPr>
          <w:rFonts w:ascii="Arial" w:hAnsi="Arial"/>
          <w:b/>
          <w:sz w:val="22"/>
        </w:rPr>
        <w:t>CONVENCIÓN PARA LA SALVAGUARDIA DEL</w:t>
      </w:r>
      <w:r>
        <w:rPr>
          <w:rFonts w:ascii="Arial" w:hAnsi="Arial"/>
          <w:b/>
          <w:sz w:val="22"/>
        </w:rPr>
        <w:br/>
        <w:t>PATRIMONIO CULTURAL INMATERIAL</w:t>
      </w:r>
    </w:p>
    <w:p w14:paraId="78B23C0C" w14:textId="77777777" w:rsidR="00655736" w:rsidRPr="00414643" w:rsidRDefault="00D95C4C" w:rsidP="001740D7">
      <w:pPr>
        <w:spacing w:before="1200"/>
        <w:jc w:val="center"/>
        <w:rPr>
          <w:rFonts w:ascii="Arial" w:hAnsi="Arial" w:cs="Arial"/>
          <w:b/>
          <w:sz w:val="22"/>
          <w:szCs w:val="22"/>
        </w:rPr>
      </w:pPr>
      <w:r>
        <w:rPr>
          <w:rFonts w:ascii="Arial" w:hAnsi="Arial"/>
          <w:b/>
          <w:sz w:val="22"/>
        </w:rPr>
        <w:t>ASAMBLEA GENERAL DE LOS</w:t>
      </w:r>
      <w:r>
        <w:rPr>
          <w:rFonts w:ascii="Arial" w:hAnsi="Arial"/>
          <w:b/>
          <w:sz w:val="22"/>
        </w:rPr>
        <w:br/>
        <w:t>ESTADOS PARTES EN LA CONVENCIÓN</w:t>
      </w:r>
    </w:p>
    <w:p w14:paraId="68B69FD4" w14:textId="095709EB" w:rsidR="00D95C4C" w:rsidRPr="00FD624F" w:rsidRDefault="00065199" w:rsidP="001740D7">
      <w:pPr>
        <w:spacing w:before="840"/>
        <w:jc w:val="center"/>
        <w:rPr>
          <w:rFonts w:ascii="Arial" w:hAnsi="Arial" w:cs="Arial"/>
          <w:b/>
          <w:sz w:val="22"/>
          <w:szCs w:val="22"/>
        </w:rPr>
      </w:pPr>
      <w:r>
        <w:rPr>
          <w:rFonts w:ascii="Arial" w:hAnsi="Arial"/>
          <w:b/>
          <w:sz w:val="22"/>
        </w:rPr>
        <w:t>Octava reunión</w:t>
      </w:r>
    </w:p>
    <w:p w14:paraId="411E7171" w14:textId="6C127BE3" w:rsidR="00D95C4C" w:rsidRPr="00FD624F" w:rsidRDefault="00D95C4C" w:rsidP="001740D7">
      <w:pPr>
        <w:jc w:val="center"/>
        <w:rPr>
          <w:rFonts w:ascii="Arial" w:hAnsi="Arial" w:cs="Arial"/>
          <w:b/>
          <w:sz w:val="22"/>
          <w:szCs w:val="22"/>
        </w:rPr>
      </w:pPr>
      <w:r>
        <w:rPr>
          <w:rFonts w:ascii="Arial" w:hAnsi="Arial"/>
          <w:b/>
          <w:sz w:val="22"/>
        </w:rPr>
        <w:t>Sede de la UNESCO, Sala I</w:t>
      </w:r>
    </w:p>
    <w:p w14:paraId="47F2C555" w14:textId="781E031B" w:rsidR="00655736" w:rsidRPr="00414643" w:rsidRDefault="000F365A" w:rsidP="001740D7">
      <w:pPr>
        <w:jc w:val="center"/>
        <w:rPr>
          <w:rFonts w:ascii="Arial" w:hAnsi="Arial" w:cs="Arial"/>
          <w:b/>
          <w:sz w:val="22"/>
          <w:szCs w:val="22"/>
        </w:rPr>
      </w:pPr>
      <w:r>
        <w:rPr>
          <w:rFonts w:ascii="Arial" w:hAnsi="Arial"/>
          <w:b/>
          <w:sz w:val="22"/>
        </w:rPr>
        <w:t>8 al 10 de septiembre de 2020</w:t>
      </w:r>
    </w:p>
    <w:p w14:paraId="47891A15" w14:textId="7FB75E34" w:rsidR="00655736" w:rsidRPr="00414643" w:rsidRDefault="00655736" w:rsidP="001740D7">
      <w:pPr>
        <w:pStyle w:val="Sansinterligne2"/>
        <w:spacing w:before="1200"/>
        <w:jc w:val="center"/>
        <w:rPr>
          <w:rFonts w:ascii="Arial" w:hAnsi="Arial" w:cs="Arial"/>
          <w:b/>
          <w:sz w:val="22"/>
          <w:szCs w:val="22"/>
        </w:rPr>
      </w:pPr>
      <w:r>
        <w:rPr>
          <w:rFonts w:ascii="Arial" w:hAnsi="Arial"/>
          <w:b/>
          <w:sz w:val="22"/>
          <w:u w:val="single"/>
        </w:rPr>
        <w:t>Punto 7 del Orden del día provisional:</w:t>
      </w:r>
    </w:p>
    <w:p w14:paraId="71BA670D" w14:textId="062D69FF" w:rsidR="002F312A" w:rsidRPr="00576E1D" w:rsidRDefault="00576E1D" w:rsidP="001740D7">
      <w:pPr>
        <w:pStyle w:val="Sansinterligne2"/>
        <w:spacing w:after="1200"/>
        <w:jc w:val="center"/>
        <w:rPr>
          <w:rFonts w:ascii="Arial" w:hAnsi="Arial" w:cs="Arial"/>
          <w:b/>
          <w:sz w:val="22"/>
          <w:szCs w:val="22"/>
        </w:rPr>
      </w:pPr>
      <w:r>
        <w:rPr>
          <w:rFonts w:ascii="Arial" w:hAnsi="Arial"/>
          <w:b/>
          <w:sz w:val="22"/>
        </w:rPr>
        <w:t>Utilización de los recursos del Fondo del Patrimonio Cultural Inmaterial</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1C5DB8" w14:paraId="7D23B343" w14:textId="77777777" w:rsidTr="002F312A">
        <w:trPr>
          <w:jc w:val="center"/>
        </w:trPr>
        <w:tc>
          <w:tcPr>
            <w:tcW w:w="5670" w:type="dxa"/>
            <w:vAlign w:val="center"/>
          </w:tcPr>
          <w:p w14:paraId="17104C3F" w14:textId="77777777" w:rsidR="0057439C" w:rsidRDefault="0057439C" w:rsidP="001740D7">
            <w:pPr>
              <w:pStyle w:val="Sansinterligne1"/>
              <w:spacing w:before="200" w:after="200"/>
              <w:jc w:val="center"/>
              <w:rPr>
                <w:rFonts w:ascii="Arial" w:hAnsi="Arial" w:cs="Arial"/>
                <w:b/>
                <w:sz w:val="22"/>
                <w:szCs w:val="22"/>
              </w:rPr>
            </w:pPr>
            <w:r>
              <w:rPr>
                <w:rFonts w:ascii="Arial" w:hAnsi="Arial"/>
                <w:b/>
                <w:sz w:val="22"/>
              </w:rPr>
              <w:t>Resumen</w:t>
            </w:r>
          </w:p>
          <w:p w14:paraId="78668A32" w14:textId="4356D5F6" w:rsidR="00576E1D" w:rsidRPr="00576E1D" w:rsidRDefault="00576E1D" w:rsidP="001740D7">
            <w:pPr>
              <w:pStyle w:val="Sansinterligne1"/>
              <w:jc w:val="both"/>
              <w:rPr>
                <w:rFonts w:ascii="Arial" w:hAnsi="Arial" w:cs="Arial"/>
                <w:sz w:val="22"/>
                <w:szCs w:val="22"/>
              </w:rPr>
            </w:pPr>
            <w:r>
              <w:rPr>
                <w:rFonts w:ascii="Arial" w:hAnsi="Arial"/>
                <w:sz w:val="22"/>
              </w:rPr>
              <w:t xml:space="preserve">El Artículo 7(c) de la Convención establece que el Comité debe preparar un proyecto de plan </w:t>
            </w:r>
            <w:r w:rsidR="00123778">
              <w:rPr>
                <w:rFonts w:ascii="Arial" w:hAnsi="Arial"/>
                <w:sz w:val="22"/>
              </w:rPr>
              <w:t xml:space="preserve">para la </w:t>
            </w:r>
            <w:r>
              <w:rPr>
                <w:rFonts w:ascii="Arial" w:hAnsi="Arial"/>
                <w:sz w:val="22"/>
              </w:rPr>
              <w:t>utilización de los recursos del Fondo y someterlo a la aprobación de la Asamblea General. Este documento presenta el proyecto de plan recomendado por el Comité para el per</w:t>
            </w:r>
            <w:r w:rsidR="00BC518E">
              <w:rPr>
                <w:rFonts w:ascii="Arial" w:hAnsi="Arial"/>
                <w:sz w:val="22"/>
              </w:rPr>
              <w:t>í</w:t>
            </w:r>
            <w:r>
              <w:rPr>
                <w:rFonts w:ascii="Arial" w:hAnsi="Arial"/>
                <w:sz w:val="22"/>
              </w:rPr>
              <w:t xml:space="preserve">odo 2020-2021 y el primer semestre de 2022 (Anexo </w:t>
            </w:r>
            <w:r w:rsidR="00CF1575">
              <w:rPr>
                <w:rFonts w:ascii="Arial" w:hAnsi="Arial"/>
                <w:sz w:val="22"/>
              </w:rPr>
              <w:t>I</w:t>
            </w:r>
            <w:r>
              <w:rPr>
                <w:rFonts w:ascii="Arial" w:hAnsi="Arial"/>
                <w:sz w:val="22"/>
              </w:rPr>
              <w:t>).</w:t>
            </w:r>
          </w:p>
          <w:p w14:paraId="12F286A2" w14:textId="23347235" w:rsidR="00655736" w:rsidRPr="00414643" w:rsidRDefault="00FB6630" w:rsidP="001740D7">
            <w:pPr>
              <w:pStyle w:val="Sansinterligne2"/>
              <w:spacing w:before="120" w:after="120"/>
              <w:jc w:val="both"/>
              <w:rPr>
                <w:rFonts w:ascii="Arial" w:hAnsi="Arial" w:cs="Arial"/>
                <w:b/>
                <w:sz w:val="22"/>
                <w:szCs w:val="22"/>
              </w:rPr>
            </w:pPr>
            <w:r>
              <w:rPr>
                <w:rFonts w:ascii="Arial" w:hAnsi="Arial"/>
                <w:b/>
                <w:sz w:val="22"/>
              </w:rPr>
              <w:t xml:space="preserve">Decisión requerida: </w:t>
            </w:r>
            <w:r>
              <w:rPr>
                <w:rFonts w:ascii="Arial" w:hAnsi="Arial"/>
                <w:sz w:val="22"/>
              </w:rPr>
              <w:t xml:space="preserve">párrafo </w:t>
            </w:r>
            <w:r w:rsidR="002A321C">
              <w:rPr>
                <w:rFonts w:ascii="Arial" w:hAnsi="Arial"/>
                <w:sz w:val="22"/>
              </w:rPr>
              <w:t>49</w:t>
            </w:r>
          </w:p>
        </w:tc>
      </w:tr>
    </w:tbl>
    <w:p w14:paraId="5DA11D4E" w14:textId="77777777" w:rsidR="00176720" w:rsidRDefault="00655736" w:rsidP="001740D7">
      <w:pPr>
        <w:pStyle w:val="GAPara"/>
        <w:numPr>
          <w:ilvl w:val="0"/>
          <w:numId w:val="0"/>
        </w:numPr>
        <w:jc w:val="both"/>
      </w:pPr>
      <w:r>
        <w:br w:type="page"/>
      </w:r>
    </w:p>
    <w:p w14:paraId="5323E653" w14:textId="77777777" w:rsidR="00AD0571" w:rsidRPr="00AD0571" w:rsidRDefault="00AD0571" w:rsidP="00C21695">
      <w:pPr>
        <w:pStyle w:val="COMPara"/>
        <w:numPr>
          <w:ilvl w:val="0"/>
          <w:numId w:val="7"/>
        </w:numPr>
        <w:spacing w:before="360"/>
        <w:ind w:left="567" w:hanging="567"/>
        <w:rPr>
          <w:b/>
          <w:bCs/>
        </w:rPr>
      </w:pPr>
      <w:r>
        <w:rPr>
          <w:b/>
        </w:rPr>
        <w:lastRenderedPageBreak/>
        <w:t>Contexto</w:t>
      </w:r>
    </w:p>
    <w:p w14:paraId="6550973A" w14:textId="067DFEFA" w:rsidR="00800AC7" w:rsidRDefault="00576E1D" w:rsidP="00C21695">
      <w:pPr>
        <w:pStyle w:val="COMPara"/>
        <w:numPr>
          <w:ilvl w:val="0"/>
          <w:numId w:val="5"/>
        </w:numPr>
        <w:tabs>
          <w:tab w:val="left" w:pos="567"/>
        </w:tabs>
        <w:ind w:left="567" w:hanging="567"/>
        <w:jc w:val="both"/>
      </w:pPr>
      <w:r>
        <w:t xml:space="preserve">El Artículo 7(c) de la Convención establece que el Comité debe </w:t>
      </w:r>
      <w:r w:rsidR="00246384">
        <w:t>“</w:t>
      </w:r>
      <w:r>
        <w:t xml:space="preserve">preparar </w:t>
      </w:r>
      <w:r w:rsidR="00246384">
        <w:t xml:space="preserve">y someter a la aprobación de la Asamblea General </w:t>
      </w:r>
      <w:r>
        <w:t xml:space="preserve">un proyecto </w:t>
      </w:r>
      <w:r w:rsidR="00246384">
        <w:t>de</w:t>
      </w:r>
      <w:r>
        <w:t xml:space="preserve"> </w:t>
      </w:r>
      <w:r w:rsidR="00246384">
        <w:t xml:space="preserve">[plan de] </w:t>
      </w:r>
      <w:r>
        <w:t xml:space="preserve">utilización de los recursos </w:t>
      </w:r>
      <w:r w:rsidR="00246384">
        <w:t xml:space="preserve">[de </w:t>
      </w:r>
      <w:r w:rsidRPr="00395868">
        <w:t>la Cuenta Especial</w:t>
      </w:r>
      <w:r w:rsidR="00246384">
        <w:t>]</w:t>
      </w:r>
      <w:r w:rsidRPr="00395868">
        <w:t xml:space="preserve"> del Fondo </w:t>
      </w:r>
      <w:r w:rsidR="00246384">
        <w:t>[</w:t>
      </w:r>
      <w:r w:rsidRPr="00395868">
        <w:t>para la Salvaguardia del Patrimonio Cultural Inmaterial (</w:t>
      </w:r>
      <w:r>
        <w:t>en adelante, el "Fondo")</w:t>
      </w:r>
      <w:r w:rsidR="00246384">
        <w:t>],</w:t>
      </w:r>
      <w:r>
        <w:t xml:space="preserve"> </w:t>
      </w:r>
      <w:r w:rsidR="00246384">
        <w:t>de conformidad con</w:t>
      </w:r>
      <w:r>
        <w:t xml:space="preserve"> el Artículo 25</w:t>
      </w:r>
      <w:r w:rsidR="00246384">
        <w:t>”</w:t>
      </w:r>
      <w:r>
        <w:t xml:space="preserve">. El proyecto de plan (en adelante, el «Plan») presentado por el Comité </w:t>
      </w:r>
      <w:r w:rsidR="00123778">
        <w:t xml:space="preserve">conforme a </w:t>
      </w:r>
      <w:r>
        <w:t xml:space="preserve">su </w:t>
      </w:r>
      <w:hyperlink r:id="rId8" w:history="1">
        <w:r>
          <w:rPr>
            <w:rStyle w:val="Lienhypertexte"/>
          </w:rPr>
          <w:t>Decisión 14.COM 7</w:t>
        </w:r>
      </w:hyperlink>
      <w:r>
        <w:t xml:space="preserve">, anexo a este documento, fue preparado de </w:t>
      </w:r>
      <w:r w:rsidR="00123778">
        <w:t xml:space="preserve">acuerdo a </w:t>
      </w:r>
      <w:r>
        <w:t xml:space="preserve">las directrices </w:t>
      </w:r>
      <w:r w:rsidR="00123778">
        <w:t xml:space="preserve">presentes en </w:t>
      </w:r>
      <w:r>
        <w:t xml:space="preserve">el Capítulo II.1 de las Directrices Operativas, y se basó en la experiencia de la implementación del Plan </w:t>
      </w:r>
      <w:r w:rsidR="00123778">
        <w:t xml:space="preserve">en </w:t>
      </w:r>
      <w:r>
        <w:t>anteriores bienios. El informe financiero para el per</w:t>
      </w:r>
      <w:r w:rsidR="00BC518E">
        <w:t>í</w:t>
      </w:r>
      <w:r>
        <w:t>odo comprendido entre el 1 de enero de 2018 y el 31 de dicie</w:t>
      </w:r>
      <w:r w:rsidRPr="003F24A9">
        <w:t xml:space="preserve">mbre de 2019 se encuentra disponible en el </w:t>
      </w:r>
      <w:hyperlink r:id="rId9" w:history="1">
        <w:r w:rsidRPr="003F24A9">
          <w:rPr>
            <w:rStyle w:val="Lienhypertexte"/>
          </w:rPr>
          <w:t>documento</w:t>
        </w:r>
        <w:r w:rsidR="003F24A9" w:rsidRPr="003F24A9">
          <w:rPr>
            <w:rStyle w:val="Lienhypertexte"/>
          </w:rPr>
          <w:t> </w:t>
        </w:r>
        <w:r w:rsidR="004A13F9" w:rsidRPr="003F24A9">
          <w:rPr>
            <w:rStyle w:val="Lienhypertexte"/>
          </w:rPr>
          <w:t>LHE</w:t>
        </w:r>
        <w:r w:rsidRPr="003F24A9">
          <w:rPr>
            <w:rStyle w:val="Lienhypertexte"/>
          </w:rPr>
          <w:t>/20/8.GA/INF.7,</w:t>
        </w:r>
      </w:hyperlink>
      <w:r w:rsidRPr="003F24A9">
        <w:t xml:space="preserve"> junto</w:t>
      </w:r>
      <w:r>
        <w:t xml:space="preserve"> a una nota explicativa.</w:t>
      </w:r>
    </w:p>
    <w:p w14:paraId="7192B118" w14:textId="0CACB48C" w:rsidR="00800AC7" w:rsidRPr="000C3818" w:rsidRDefault="00800AC7" w:rsidP="00C21695">
      <w:pPr>
        <w:pStyle w:val="COMPara"/>
        <w:numPr>
          <w:ilvl w:val="0"/>
          <w:numId w:val="5"/>
        </w:numPr>
        <w:tabs>
          <w:tab w:val="left" w:pos="567"/>
        </w:tabs>
        <w:ind w:left="567" w:hanging="567"/>
        <w:jc w:val="both"/>
      </w:pPr>
      <w:r>
        <w:t>De conformidad con el Artículo 2 del Reglamento Financiero del Fondo, "el ejercicio financiero del Fondo corresponderá al de la UNESCO". Sin embargo, la Asamblea General de los Estados Partes en la Convención se congrega en reuniones ordinarias los años pares, unos seis meses después del inicio del ejercicio financiero de la UNESCO. Por consiguiente, se solicita la aprobación del Plan para el ejercicio del 1 de enero de 2020 al 31 de diciembre de 2021 y, de manera provisional, para los primeros seis meses del siguiente ejercicio financiero, del 1 de enero de 2022 al 30 de junio de 2022. El presupuesto provisional para el primer semestre de 2020 adoptado en la séptima reunión de la Asamblea General (</w:t>
      </w:r>
      <w:hyperlink r:id="rId10" w:history="1">
        <w:r>
          <w:rPr>
            <w:rStyle w:val="Lienhypertexte"/>
          </w:rPr>
          <w:t>Resolución 7.GA</w:t>
        </w:r>
        <w:r w:rsidR="003F24A9">
          <w:rPr>
            <w:rStyle w:val="Lienhypertexte"/>
          </w:rPr>
          <w:t> </w:t>
        </w:r>
        <w:r>
          <w:rPr>
            <w:rStyle w:val="Lienhypertexte"/>
          </w:rPr>
          <w:t>8</w:t>
        </w:r>
      </w:hyperlink>
      <w:r>
        <w:t xml:space="preserve">) será suplantado por el presente Plan una vez que sea adoptado en la actual reunión de la Asamblea </w:t>
      </w:r>
      <w:r w:rsidRPr="00674CA4">
        <w:t>General</w:t>
      </w:r>
      <w:r>
        <w:t>.</w:t>
      </w:r>
    </w:p>
    <w:p w14:paraId="512602B9" w14:textId="34B8D529" w:rsidR="00B65D85" w:rsidRPr="00B960B3" w:rsidRDefault="007F5060" w:rsidP="00C21695">
      <w:pPr>
        <w:pStyle w:val="COMPara"/>
        <w:numPr>
          <w:ilvl w:val="0"/>
          <w:numId w:val="5"/>
        </w:numPr>
        <w:tabs>
          <w:tab w:val="left" w:pos="567"/>
        </w:tabs>
        <w:ind w:left="567" w:hanging="567"/>
        <w:jc w:val="both"/>
        <w:rPr>
          <w:bCs/>
        </w:rPr>
      </w:pPr>
      <w:r w:rsidRPr="00B960B3">
        <w:t xml:space="preserve">Al final de 2019, el saldo de fondos disponibles para las actividades del programa era de 7 840 379 dólares estadounidenses, sin contar el Fondo de Reserva. </w:t>
      </w:r>
      <w:r w:rsidR="00B65D85" w:rsidRPr="00B960B3">
        <w:t>Se propone que</w:t>
      </w:r>
      <w:r w:rsidR="00B960B3" w:rsidRPr="009C211A">
        <w:t xml:space="preserve"> la Asamblea General </w:t>
      </w:r>
      <w:r w:rsidR="00B65D85" w:rsidRPr="00B960B3">
        <w:t>asigne</w:t>
      </w:r>
      <w:r w:rsidR="00B960B3" w:rsidRPr="009C211A">
        <w:t xml:space="preserve"> fondos</w:t>
      </w:r>
      <w:r w:rsidR="00B65D85" w:rsidRPr="00B960B3">
        <w:t xml:space="preserve"> para cada partida </w:t>
      </w:r>
      <w:r w:rsidR="00B960B3" w:rsidRPr="009C211A">
        <w:t xml:space="preserve">presupuestaria </w:t>
      </w:r>
      <w:r w:rsidR="00B65D85" w:rsidRPr="00B960B3">
        <w:t>en relación a los porcentajes de los recursos totales disponibles y no en cifras absolutas. Esto permitirá</w:t>
      </w:r>
      <w:r w:rsidR="00B960B3" w:rsidRPr="009C211A">
        <w:t>, en caso de necesidad, que las contribuciones asignadas recibidas durante el bienio sean asignadas a cada partida presupuestaria siguiendo los porcentajes aprobados. De esta manera</w:t>
      </w:r>
      <w:r w:rsidR="00B65D85" w:rsidRPr="00B960B3">
        <w:t xml:space="preserve"> el Comité </w:t>
      </w:r>
      <w:r w:rsidR="00B960B3" w:rsidRPr="009C211A">
        <w:t xml:space="preserve">podrá </w:t>
      </w:r>
      <w:r w:rsidR="00B65D85" w:rsidRPr="00B960B3">
        <w:t>utili</w:t>
      </w:r>
      <w:r w:rsidR="00B960B3" w:rsidRPr="009C211A">
        <w:t xml:space="preserve">zar </w:t>
      </w:r>
      <w:r w:rsidR="00B65D85" w:rsidRPr="00B960B3">
        <w:t>cualquier contribución voluntaria complementaria importante sin restricciones (tal como se describe en el Artículo 27) que se acredite al Fondo durante el bienio. Al mismo tiempo, se sugiere también que la Asamblea General autorice al Comité, como lo hizo durante sus reuniones previas, a utilizar inmediatamente dichas contribuciones a partir de su recepción, en conformidad con los porcentajes establecidos en el Plan.</w:t>
      </w:r>
    </w:p>
    <w:p w14:paraId="7910BA60" w14:textId="299340A9" w:rsidR="00B65D85" w:rsidRPr="0062665D" w:rsidRDefault="00876545" w:rsidP="00C21695">
      <w:pPr>
        <w:pStyle w:val="COMPara"/>
        <w:numPr>
          <w:ilvl w:val="0"/>
          <w:numId w:val="5"/>
        </w:numPr>
        <w:tabs>
          <w:tab w:val="left" w:pos="567"/>
        </w:tabs>
        <w:ind w:left="567" w:hanging="567"/>
        <w:jc w:val="both"/>
      </w:pPr>
      <w:r>
        <w:t>Además, se solicita nuevamente a la Asamblea General que autorice al Comité a utilizar de manera inmediata las contribuciones vinculadas a proyectos concretos, siempre y cuando estén dentro del alcance de las dos prioridades de financiación aprobadas por el Comité para el período 2018–2021 (</w:t>
      </w:r>
      <w:hyperlink r:id="rId11" w:history="1">
        <w:r>
          <w:rPr>
            <w:rStyle w:val="Lienhypertexte"/>
          </w:rPr>
          <w:t>Decisión 12.COM 6</w:t>
        </w:r>
      </w:hyperlink>
      <w:r>
        <w:t xml:space="preserve">): "Fortalecimiento de las capacidades para la salvaguardia del patrimonio cultural inmaterial y la contribución al desarrollo sostenible" y "Salvaguardia del patrimonio cultural inmaterial a través de la </w:t>
      </w:r>
      <w:r w:rsidR="00295957">
        <w:t xml:space="preserve">educación </w:t>
      </w:r>
      <w:r>
        <w:t xml:space="preserve">formal y no formal". La lista de tales contribuciones, </w:t>
      </w:r>
      <w:r w:rsidR="000042D9">
        <w:t xml:space="preserve">y de </w:t>
      </w:r>
      <w:r>
        <w:t>otras contribuciones</w:t>
      </w:r>
      <w:r w:rsidR="000042D9">
        <w:t xml:space="preserve"> voluntarias</w:t>
      </w:r>
      <w:r>
        <w:t xml:space="preserve"> complementarias y </w:t>
      </w:r>
      <w:r w:rsidR="000042D9">
        <w:t>así como la lista de</w:t>
      </w:r>
      <w:r w:rsidR="00295957">
        <w:t xml:space="preserve"> </w:t>
      </w:r>
      <w:r>
        <w:t>d</w:t>
      </w:r>
      <w:r w:rsidRPr="003F24A9">
        <w:t xml:space="preserve">onantes, se puede encontrar en el documento informativo </w:t>
      </w:r>
      <w:hyperlink r:id="rId12" w:history="1">
        <w:r w:rsidRPr="003F24A9">
          <w:rPr>
            <w:rStyle w:val="Lienhypertexte"/>
          </w:rPr>
          <w:t>LHE/20/8.GA/INF.7</w:t>
        </w:r>
      </w:hyperlink>
      <w:r w:rsidRPr="003F24A9">
        <w:t>.</w:t>
      </w:r>
    </w:p>
    <w:p w14:paraId="2926C305" w14:textId="1EB29C78" w:rsidR="00576E1D" w:rsidRPr="00DC490B" w:rsidRDefault="00576E1D" w:rsidP="000278F0">
      <w:pPr>
        <w:pStyle w:val="COMPara"/>
        <w:numPr>
          <w:ilvl w:val="0"/>
          <w:numId w:val="5"/>
        </w:numPr>
        <w:tabs>
          <w:tab w:val="left" w:pos="567"/>
        </w:tabs>
        <w:ind w:left="567" w:hanging="567"/>
        <w:jc w:val="both"/>
      </w:pPr>
      <w:r>
        <w:t>Con el fin de comprender mejor el contexto del plan propuesto para el uso de los recursos del Fondo del Patrimonio Cultural Inmaterial para el período 2020–2021 (</w:t>
      </w:r>
      <w:hyperlink w:anchor="III_Plan" w:history="1">
        <w:r>
          <w:rPr>
            <w:rStyle w:val="Lienhypertexte"/>
          </w:rPr>
          <w:t>Parte III</w:t>
        </w:r>
      </w:hyperlink>
      <w:r>
        <w:t>), el presente documento proporciona primero un resumen del estado actual del Fondo y de las tendencias actuales (</w:t>
      </w:r>
      <w:hyperlink w:anchor="II_Status" w:history="1">
        <w:r>
          <w:rPr>
            <w:rStyle w:val="Lienhypertexte"/>
          </w:rPr>
          <w:t>Parte II</w:t>
        </w:r>
      </w:hyperlink>
      <w:r>
        <w:t>). También describe las medidas adoptadas para preservar la continuidad del trabajo de la Secretaría tras el aplazamiento de la octava reunión de la Asamblea General de junio a septiembre de 2020 (</w:t>
      </w:r>
      <w:hyperlink w:anchor="IV_Continuity_Measures" w:history="1">
        <w:r>
          <w:rPr>
            <w:rStyle w:val="Lienhypertexte"/>
          </w:rPr>
          <w:t>Parte IV</w:t>
        </w:r>
      </w:hyperlink>
      <w:r>
        <w:t xml:space="preserve">), mientras que </w:t>
      </w:r>
      <w:r w:rsidR="0056077B">
        <w:t xml:space="preserve">su </w:t>
      </w:r>
      <w:r>
        <w:t>quinta sección propone una nueva meta anual para el subfondo (</w:t>
      </w:r>
      <w:hyperlink w:anchor="V_Subfund" w:history="1">
        <w:r>
          <w:rPr>
            <w:rStyle w:val="Lienhypertexte"/>
          </w:rPr>
          <w:t>Parte V</w:t>
        </w:r>
      </w:hyperlink>
      <w:r>
        <w:t>). La sexta sección aborda la continuación de la aplicación de una tasa de costos de gestión del 0 % para todas las contribuciones asignadas (</w:t>
      </w:r>
      <w:hyperlink w:anchor="VI_Management_Cost" w:history="1">
        <w:r>
          <w:rPr>
            <w:rStyle w:val="Lienhypertexte"/>
          </w:rPr>
          <w:t>Parte VI</w:t>
        </w:r>
      </w:hyperlink>
      <w:r>
        <w:t>). Finalmente, el documento propone revisiones al Reglamento Financiero del Fondo de conformidad con las decisiones del Consejo Ejecutivo de la UNESCO sobre el Reglamento Financiero de Cuentas Especiales (</w:t>
      </w:r>
      <w:hyperlink w:anchor="VII_Financial_Regulations" w:history="1">
        <w:r>
          <w:rPr>
            <w:rStyle w:val="Lienhypertexte"/>
          </w:rPr>
          <w:t>Parte VII</w:t>
        </w:r>
      </w:hyperlink>
      <w:r>
        <w:t>).</w:t>
      </w:r>
    </w:p>
    <w:p w14:paraId="4F146C62" w14:textId="77777777" w:rsidR="00576E1D" w:rsidRPr="00E73F49" w:rsidRDefault="00576E1D" w:rsidP="00B702ED">
      <w:pPr>
        <w:pStyle w:val="COMPara"/>
        <w:keepNext/>
        <w:numPr>
          <w:ilvl w:val="0"/>
          <w:numId w:val="7"/>
        </w:numPr>
        <w:spacing w:before="360"/>
        <w:ind w:left="567" w:hanging="567"/>
      </w:pPr>
      <w:bookmarkStart w:id="0" w:name="II_Status"/>
      <w:bookmarkEnd w:id="0"/>
      <w:r>
        <w:rPr>
          <w:b/>
        </w:rPr>
        <w:lastRenderedPageBreak/>
        <w:t>ESTADO Y TENDENCIAS</w:t>
      </w:r>
    </w:p>
    <w:p w14:paraId="5D8ED613" w14:textId="1A1FA9C9" w:rsidR="00576E1D" w:rsidRPr="00DB375D" w:rsidRDefault="00576E1D" w:rsidP="00C21695">
      <w:pPr>
        <w:pStyle w:val="COMPara"/>
        <w:numPr>
          <w:ilvl w:val="0"/>
          <w:numId w:val="5"/>
        </w:numPr>
        <w:tabs>
          <w:tab w:val="left" w:pos="567"/>
        </w:tabs>
        <w:ind w:left="567" w:hanging="567"/>
        <w:jc w:val="both"/>
      </w:pPr>
      <w:r>
        <w:t>Basándose en el informe financiero correspondiente al período comprendido entre el 1 de enero de 2018 y el 31 de diciembre de 2019 (</w:t>
      </w:r>
      <w:hyperlink r:id="rId13" w:history="1">
        <w:r w:rsidRPr="003F24A9">
          <w:rPr>
            <w:rStyle w:val="Lienhypertexte"/>
          </w:rPr>
          <w:t>documento LHE/20/8.GA/INF.7</w:t>
        </w:r>
      </w:hyperlink>
      <w:r w:rsidRPr="003F24A9">
        <w:t>) y si</w:t>
      </w:r>
      <w:r>
        <w:t xml:space="preserve">guiendo el análisis de tendencias descrito en el documento </w:t>
      </w:r>
      <w:hyperlink r:id="rId14" w:history="1">
        <w:r>
          <w:rPr>
            <w:rStyle w:val="Lienhypertexte"/>
          </w:rPr>
          <w:t>ITH/18/7.GA/8</w:t>
        </w:r>
      </w:hyperlink>
      <w:r>
        <w:t>, esta sección describe la evolución de los ingresos y gastos del Fondo hasta el 31 de diciembre de 2019.</w:t>
      </w:r>
    </w:p>
    <w:p w14:paraId="12A4AFBE" w14:textId="208D9F8C" w:rsidR="00092FA8" w:rsidRDefault="00E05364" w:rsidP="0028775E">
      <w:pPr>
        <w:pStyle w:val="COMPara"/>
        <w:numPr>
          <w:ilvl w:val="0"/>
          <w:numId w:val="5"/>
        </w:numPr>
        <w:tabs>
          <w:tab w:val="left" w:pos="567"/>
        </w:tabs>
        <w:ind w:left="567" w:hanging="567"/>
        <w:jc w:val="both"/>
      </w:pPr>
      <w:r>
        <w:t>Durante el bienio 2018-2019, los gastos</w:t>
      </w:r>
      <w:r w:rsidR="002C4BD5">
        <w:t xml:space="preserve"> para actividades del programa</w:t>
      </w:r>
      <w:r>
        <w:t xml:space="preserve"> han superado por primera vez, los 5 millones de dólares estadounidenses, y representan el 149 % de las contribuciones </w:t>
      </w:r>
      <w:r w:rsidR="00EA5C29">
        <w:t xml:space="preserve">asignadas </w:t>
      </w:r>
      <w:r>
        <w:t>obligatorias para 2018-2019 (ver Figura 1 infra). E</w:t>
      </w:r>
      <w:r w:rsidR="00EB2987">
        <w:t>ste</w:t>
      </w:r>
      <w:r>
        <w:t xml:space="preserve"> aumento en el gasto está vinculado a la mejora en la capacidad de implementación. Vale la pena destacar que e</w:t>
      </w:r>
      <w:r w:rsidR="00EB2987">
        <w:t>ll</w:t>
      </w:r>
      <w:r>
        <w:t>o ha llevado a una disminución del saldo del fondo</w:t>
      </w:r>
      <w:r w:rsidR="002C4BD5">
        <w:t xml:space="preserve"> </w:t>
      </w:r>
      <w:r w:rsidR="002C4BD5" w:rsidRPr="00EB2987">
        <w:t>al final del año 2019</w:t>
      </w:r>
      <w:r w:rsidR="00EB2987" w:rsidRPr="009C211A">
        <w:t xml:space="preserve">, en comparación </w:t>
      </w:r>
      <w:r w:rsidR="002C4BD5" w:rsidRPr="00EB2987">
        <w:t>al per</w:t>
      </w:r>
      <w:r w:rsidR="00BC518E" w:rsidRPr="009C211A">
        <w:t>í</w:t>
      </w:r>
      <w:r w:rsidR="002C4BD5" w:rsidRPr="00EB2987">
        <w:t>odo anterior</w:t>
      </w:r>
      <w:r w:rsidRPr="00EB2987">
        <w:t>.</w:t>
      </w:r>
    </w:p>
    <w:p w14:paraId="2086BC54" w14:textId="7AD50B50" w:rsidR="00E83EA1" w:rsidRPr="00EB2987" w:rsidRDefault="00E83EA1" w:rsidP="00E83EA1">
      <w:pPr>
        <w:pStyle w:val="COMPara"/>
        <w:tabs>
          <w:tab w:val="left" w:pos="567"/>
        </w:tabs>
        <w:ind w:left="567" w:firstLine="0"/>
        <w:jc w:val="both"/>
      </w:pPr>
      <w:r>
        <w:rPr>
          <w:noProof/>
          <w:lang w:val="fr-FR" w:eastAsia="fr-FR"/>
        </w:rPr>
        <w:drawing>
          <wp:inline distT="0" distB="0" distL="0" distR="0" wp14:anchorId="5A1FFE5D" wp14:editId="186E0AD5">
            <wp:extent cx="5752859" cy="3329995"/>
            <wp:effectExtent l="0" t="0" r="63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84617" cy="3348378"/>
                    </a:xfrm>
                    <a:prstGeom prst="rect">
                      <a:avLst/>
                    </a:prstGeom>
                    <a:noFill/>
                  </pic:spPr>
                </pic:pic>
              </a:graphicData>
            </a:graphic>
          </wp:inline>
        </w:drawing>
      </w:r>
    </w:p>
    <w:p w14:paraId="0003BFDA" w14:textId="77777777" w:rsidR="00576E1D" w:rsidRPr="0004143A" w:rsidRDefault="00576E1D" w:rsidP="001740D7">
      <w:pPr>
        <w:pStyle w:val="COMPara"/>
        <w:tabs>
          <w:tab w:val="left" w:pos="567"/>
        </w:tabs>
        <w:spacing w:after="0"/>
        <w:ind w:left="567" w:firstLine="0"/>
        <w:jc w:val="both"/>
        <w:rPr>
          <w:noProof/>
        </w:rPr>
      </w:pPr>
      <w:r>
        <w:rPr>
          <w:noProof/>
          <w:lang w:val="fr-FR" w:eastAsia="fr-FR"/>
        </w:rPr>
        <mc:AlternateContent>
          <mc:Choice Requires="wps">
            <w:drawing>
              <wp:inline distT="0" distB="0" distL="0" distR="0" wp14:anchorId="0E8473BB" wp14:editId="25DB4F50">
                <wp:extent cx="5708508" cy="300251"/>
                <wp:effectExtent l="0" t="0" r="6985" b="5080"/>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508" cy="300251"/>
                        </a:xfrm>
                        <a:prstGeom prst="rect">
                          <a:avLst/>
                        </a:prstGeom>
                        <a:solidFill>
                          <a:srgbClr val="FFFFFF"/>
                        </a:solidFill>
                        <a:ln w="9525">
                          <a:noFill/>
                          <a:miter lim="800000"/>
                          <a:headEnd/>
                          <a:tailEnd/>
                        </a:ln>
                      </wps:spPr>
                      <wps:txbx>
                        <w:txbxContent>
                          <w:p w14:paraId="5BCB6CA4" w14:textId="1C957AB1" w:rsidR="0056077B" w:rsidRPr="000B21E2" w:rsidRDefault="0056077B" w:rsidP="00AF436C">
                            <w:pPr>
                              <w:tabs>
                                <w:tab w:val="left" w:pos="0"/>
                              </w:tabs>
                              <w:spacing w:after="120"/>
                              <w:ind w:right="201"/>
                              <w:rPr>
                                <w:rFonts w:ascii="Arial" w:hAnsi="Arial" w:cs="Arial"/>
                                <w:sz w:val="16"/>
                                <w:szCs w:val="16"/>
                              </w:rPr>
                            </w:pPr>
                            <w:r>
                              <w:rPr>
                                <w:rFonts w:ascii="Arial" w:hAnsi="Arial"/>
                                <w:b/>
                                <w:sz w:val="16"/>
                              </w:rPr>
                              <w:t xml:space="preserve">Esquema 1: </w:t>
                            </w:r>
                            <w:r>
                              <w:rPr>
                                <w:rFonts w:ascii="Arial" w:hAnsi="Arial"/>
                                <w:sz w:val="16"/>
                              </w:rPr>
                              <w:t>Evolución de los gastos del Fondo (2010-2019)</w:t>
                            </w:r>
                          </w:p>
                        </w:txbxContent>
                      </wps:txbx>
                      <wps:bodyPr rot="0" vert="horz" wrap="square" lIns="91440" tIns="45720" rIns="91440" bIns="45720" anchor="t" anchorCtr="0">
                        <a:noAutofit/>
                      </wps:bodyPr>
                    </wps:wsp>
                  </a:graphicData>
                </a:graphic>
              </wp:inline>
            </w:drawing>
          </mc:Choice>
          <mc:Fallback>
            <w:pict>
              <v:shapetype w14:anchorId="0E8473BB" id="_x0000_t202" coordsize="21600,21600" o:spt="202" path="m,l,21600r21600,l21600,xe">
                <v:stroke joinstyle="miter"/>
                <v:path gradientshapeok="t" o:connecttype="rect"/>
              </v:shapetype>
              <v:shape id="Zone de texte 2" o:spid="_x0000_s1026" type="#_x0000_t202" style="width:449.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" stroked="f">
                <v:textbox>
                  <w:txbxContent>
                    <w:p w14:paraId="5BCB6CA4" w14:textId="1C957AB1" w:rsidR="0056077B" w:rsidRPr="000B21E2" w:rsidRDefault="0056077B" w:rsidP="00AF436C">
                      <w:pPr>
                        <w:tabs>
                          <w:tab w:val="left" w:pos="0"/>
                        </w:tabs>
                        <w:spacing w:after="120"/>
                        <w:ind w:right="201"/>
                        <w:rPr>
                          <w:rFonts w:ascii="Arial" w:hAnsi="Arial" w:cs="Arial"/>
                          <w:sz w:val="16"/>
                          <w:szCs w:val="16"/>
                        </w:rPr>
                      </w:pPr>
                      <w:r>
                        <w:rPr>
                          <w:rFonts w:ascii="Arial" w:hAnsi="Arial"/>
                          <w:b/>
                          <w:sz w:val="16"/>
                        </w:rPr>
                        <w:t xml:space="preserve">Esquema 1: </w:t>
                      </w:r>
                      <w:r>
                        <w:rPr>
                          <w:rFonts w:ascii="Arial" w:hAnsi="Arial"/>
                          <w:sz w:val="16"/>
                        </w:rPr>
                        <w:t>Evolución de los gastos del Fondo (2010-2019)</w:t>
                      </w:r>
                    </w:p>
                  </w:txbxContent>
                </v:textbox>
                <w10:anchorlock/>
              </v:shape>
            </w:pict>
          </mc:Fallback>
        </mc:AlternateContent>
      </w:r>
    </w:p>
    <w:p w14:paraId="345D8266" w14:textId="74DE4E51" w:rsidR="00CE1E82" w:rsidRDefault="005F0F59" w:rsidP="00C21695">
      <w:pPr>
        <w:pStyle w:val="COMPara"/>
        <w:numPr>
          <w:ilvl w:val="0"/>
          <w:numId w:val="5"/>
        </w:numPr>
        <w:tabs>
          <w:tab w:val="left" w:pos="567"/>
        </w:tabs>
        <w:ind w:left="567" w:hanging="567"/>
        <w:jc w:val="both"/>
      </w:pPr>
      <w:r w:rsidRPr="00A15AEB">
        <w:t xml:space="preserve">Una característica distintiva en el uso del Fondo durante el bienio 2018-2019 fue que el uso de los </w:t>
      </w:r>
      <w:r w:rsidRPr="00A15AEB">
        <w:rPr>
          <w:b/>
        </w:rPr>
        <w:t>mecanismos de Asistencia Internacional</w:t>
      </w:r>
      <w:r w:rsidRPr="00A15AEB">
        <w:t xml:space="preserve">, correspondientes a las partidas presupuestarias 1, 1.1 y 2 (ver Figura 2 infra), aumentó significativamente (116 %) respecto al bienio anterior. El índice de gastos alcanzó el 52 % al 31 de diciembre de 2019, su punto más alto, tanto en cantidad nominal como en porcentaje desde 2010. Este resultado positivo se debe principalmente: 1) al aumento del monto límite de las solicitudes de Asistencia Internacional que se pueden presentar a la Mesa, </w:t>
      </w:r>
      <w:r w:rsidR="00A15AEB" w:rsidRPr="009C211A">
        <w:t>que pasó</w:t>
      </w:r>
      <w:r w:rsidRPr="00A15AEB">
        <w:t xml:space="preserve"> de 25 000 a 100 000 dólares estadounidenses (</w:t>
      </w:r>
      <w:hyperlink r:id="rId16" w:history="1">
        <w:r w:rsidRPr="00A15AEB">
          <w:rPr>
            <w:rStyle w:val="Lienhypertexte"/>
          </w:rPr>
          <w:t>Resolución 6.GA 7</w:t>
        </w:r>
      </w:hyperlink>
      <w:r w:rsidRPr="00A15AEB">
        <w:t>); 2) al aumento del 90 % (en comparación con el bienio anterior 2016–2017</w:t>
      </w:r>
      <w:r w:rsidR="00CE1E82" w:rsidRPr="00A15AEB">
        <w:rPr>
          <w:rStyle w:val="Appelnotedebasdep"/>
        </w:rPr>
        <w:footnoteReference w:id="1"/>
      </w:r>
      <w:r w:rsidRPr="00A15AEB">
        <w:t xml:space="preserve">) en el número de solicitudes examinadas por la Mesa, con las recomendaciones correspondientes preparadas por la Secretaría; y 3) al mantenimiento de un porcentaje relativamente alto de solicitudes aprobadas por la Mesa (el 70 % de las solicitudes examinadas por la Mesa en 2018 y 2019 ha sido aprobado), lo que demuestra la calidad </w:t>
      </w:r>
      <w:r w:rsidR="00A15AEB" w:rsidRPr="0091018E">
        <w:t xml:space="preserve">general </w:t>
      </w:r>
      <w:r w:rsidRPr="00A15AEB">
        <w:t>satisfactoria de las solicitudes recibidas por la Secretaría.</w:t>
      </w:r>
    </w:p>
    <w:p w14:paraId="76EEE1D1" w14:textId="283D9091" w:rsidR="00E83EA1" w:rsidRPr="00A15AEB" w:rsidRDefault="00E83EA1" w:rsidP="00E83EA1">
      <w:pPr>
        <w:pStyle w:val="COMPara"/>
        <w:tabs>
          <w:tab w:val="left" w:pos="567"/>
        </w:tabs>
        <w:ind w:left="567" w:firstLine="0"/>
        <w:jc w:val="both"/>
      </w:pPr>
      <w:r>
        <w:rPr>
          <w:noProof/>
          <w:lang w:val="fr-FR" w:eastAsia="fr-FR"/>
        </w:rPr>
        <w:lastRenderedPageBreak/>
        <w:drawing>
          <wp:inline distT="0" distB="0" distL="0" distR="0" wp14:anchorId="5CDFE5CA" wp14:editId="147F4B6E">
            <wp:extent cx="5688564" cy="282892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99012" cy="2834121"/>
                    </a:xfrm>
                    <a:prstGeom prst="rect">
                      <a:avLst/>
                    </a:prstGeom>
                    <a:noFill/>
                  </pic:spPr>
                </pic:pic>
              </a:graphicData>
            </a:graphic>
          </wp:inline>
        </w:drawing>
      </w:r>
    </w:p>
    <w:p w14:paraId="44CD3AE4" w14:textId="77777777" w:rsidR="00CE1E82" w:rsidRPr="0004143A" w:rsidRDefault="00CE1E82" w:rsidP="001740D7">
      <w:pPr>
        <w:pStyle w:val="COMPara"/>
        <w:tabs>
          <w:tab w:val="left" w:pos="567"/>
        </w:tabs>
        <w:ind w:left="567" w:firstLine="0"/>
        <w:jc w:val="both"/>
      </w:pPr>
      <w:r>
        <w:rPr>
          <w:noProof/>
          <w:lang w:val="fr-FR" w:eastAsia="fr-FR"/>
        </w:rPr>
        <mc:AlternateContent>
          <mc:Choice Requires="wps">
            <w:drawing>
              <wp:inline distT="0" distB="0" distL="0" distR="0" wp14:anchorId="0EBACF25" wp14:editId="2FA98A7F">
                <wp:extent cx="5238750" cy="1404620"/>
                <wp:effectExtent l="0" t="0" r="0" b="0"/>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1404620"/>
                        </a:xfrm>
                        <a:prstGeom prst="rect">
                          <a:avLst/>
                        </a:prstGeom>
                        <a:solidFill>
                          <a:srgbClr val="FFFFFF"/>
                        </a:solidFill>
                        <a:ln w="9525">
                          <a:noFill/>
                          <a:miter lim="800000"/>
                          <a:headEnd/>
                          <a:tailEnd/>
                        </a:ln>
                      </wps:spPr>
                      <wps:txbx>
                        <w:txbxContent>
                          <w:p w14:paraId="1102D2CB" w14:textId="6B5923A2" w:rsidR="0056077B" w:rsidRPr="000B21E2" w:rsidRDefault="0056077B" w:rsidP="00CE1E82">
                            <w:pPr>
                              <w:ind w:right="201"/>
                              <w:rPr>
                                <w:rFonts w:ascii="Arial" w:hAnsi="Arial" w:cs="Arial"/>
                                <w:sz w:val="16"/>
                                <w:szCs w:val="16"/>
                              </w:rPr>
                            </w:pPr>
                            <w:r>
                              <w:rPr>
                                <w:rFonts w:ascii="Arial" w:hAnsi="Arial"/>
                                <w:b/>
                                <w:sz w:val="16"/>
                              </w:rPr>
                              <w:t xml:space="preserve">Esquema 2: </w:t>
                            </w:r>
                            <w:r>
                              <w:rPr>
                                <w:rFonts w:ascii="Arial" w:hAnsi="Arial"/>
                                <w:sz w:val="16"/>
                              </w:rPr>
                              <w:t>Índice de gastos para la Asistencia Internacional y la Asistencia Preparatoria</w:t>
                            </w:r>
                          </w:p>
                        </w:txbxContent>
                      </wps:txbx>
                      <wps:bodyPr rot="0" vert="horz" wrap="square" lIns="91440" tIns="45720" rIns="91440" bIns="45720" anchor="t" anchorCtr="0">
                        <a:spAutoFit/>
                      </wps:bodyPr>
                    </wps:wsp>
                  </a:graphicData>
                </a:graphic>
              </wp:inline>
            </w:drawing>
          </mc:Choice>
          <mc:Fallback>
            <w:pict>
              <v:shape w14:anchorId="0EBACF25" id="_x0000_s1027" type="#_x0000_t202" style="width:41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" stroked="f">
                <v:textbox style="mso-fit-shape-to-text:t">
                  <w:txbxContent>
                    <w:p w14:paraId="1102D2CB" w14:textId="6B5923A2" w:rsidR="0056077B" w:rsidRPr="000B21E2" w:rsidRDefault="0056077B" w:rsidP="00CE1E82">
                      <w:pPr>
                        <w:ind w:right="201"/>
                        <w:rPr>
                          <w:rFonts w:ascii="Arial" w:hAnsi="Arial" w:cs="Arial"/>
                          <w:sz w:val="16"/>
                          <w:szCs w:val="16"/>
                        </w:rPr>
                      </w:pPr>
                      <w:r>
                        <w:rPr>
                          <w:rFonts w:ascii="Arial" w:hAnsi="Arial"/>
                          <w:b/>
                          <w:sz w:val="16"/>
                        </w:rPr>
                        <w:t xml:space="preserve">Esquema 2: </w:t>
                      </w:r>
                      <w:r>
                        <w:rPr>
                          <w:rFonts w:ascii="Arial" w:hAnsi="Arial"/>
                          <w:sz w:val="16"/>
                        </w:rPr>
                        <w:t>Índice de gastos para la Asistencia Internacional y la Asistencia Preparatoria</w:t>
                      </w:r>
                    </w:p>
                  </w:txbxContent>
                </v:textbox>
                <w10:anchorlock/>
              </v:shape>
            </w:pict>
          </mc:Fallback>
        </mc:AlternateContent>
      </w:r>
    </w:p>
    <w:p w14:paraId="150B2A7F" w14:textId="0E1F8A1D" w:rsidR="00BE5818" w:rsidRPr="0004143A" w:rsidRDefault="00BE5818" w:rsidP="001740D7">
      <w:pPr>
        <w:pStyle w:val="GAPara"/>
        <w:keepNext/>
        <w:numPr>
          <w:ilvl w:val="0"/>
          <w:numId w:val="0"/>
        </w:numPr>
        <w:spacing w:before="240"/>
        <w:jc w:val="both"/>
      </w:pPr>
      <w:r>
        <w:rPr>
          <w:b/>
        </w:rPr>
        <w:t>Contribuciones asignadas</w:t>
      </w:r>
    </w:p>
    <w:p w14:paraId="38CEE246" w14:textId="250E2362" w:rsidR="000B0E88" w:rsidRDefault="00576E1D" w:rsidP="009C211A">
      <w:pPr>
        <w:pStyle w:val="GAPara"/>
        <w:jc w:val="both"/>
        <w:rPr>
          <w:b/>
        </w:rPr>
      </w:pPr>
      <w:r w:rsidRPr="00C43B17">
        <w:t xml:space="preserve">Cabe recordar que el </w:t>
      </w:r>
      <w:r w:rsidRPr="001B2B7A">
        <w:rPr>
          <w:b/>
        </w:rPr>
        <w:t>pago de las contribuciones</w:t>
      </w:r>
      <w:r w:rsidRPr="00C43B17">
        <w:t xml:space="preserve"> es una obligación de todos los Estados Partes que han ratificado la Convención, de conformidad con el Artículo 26. Al 31 de diciembre de 2019, los atrasos en el pago de </w:t>
      </w:r>
      <w:r w:rsidRPr="001B2B7A">
        <w:rPr>
          <w:b/>
        </w:rPr>
        <w:t>las contribuciones asignadas obligatorias</w:t>
      </w:r>
      <w:r w:rsidRPr="00C43B17">
        <w:t xml:space="preserve"> ascendían a 43</w:t>
      </w:r>
      <w:r w:rsidR="00AF5C88">
        <w:t>5</w:t>
      </w:r>
      <w:r w:rsidRPr="00C43B17">
        <w:t xml:space="preserve"> </w:t>
      </w:r>
      <w:r w:rsidR="00FE04F3">
        <w:t>318</w:t>
      </w:r>
      <w:r w:rsidRPr="00C43B17">
        <w:t xml:space="preserve"> dólares estadounidenses (</w:t>
      </w:r>
      <w:r w:rsidR="0091018E" w:rsidRPr="009C211A">
        <w:t xml:space="preserve">mientras eran de </w:t>
      </w:r>
      <w:r w:rsidRPr="00C43B17">
        <w:t>445 0</w:t>
      </w:r>
      <w:r w:rsidR="00FE04F3">
        <w:t>33</w:t>
      </w:r>
      <w:r w:rsidRPr="00C43B17">
        <w:t xml:space="preserve"> dólares estadounidenses al 31 de diciembre de 2017), de los cuales 202 682 dólares estadounidenses </w:t>
      </w:r>
      <w:r w:rsidR="00BF768A" w:rsidRPr="00C43B17">
        <w:t>correspond</w:t>
      </w:r>
      <w:r w:rsidR="00BF768A">
        <w:t xml:space="preserve">ían </w:t>
      </w:r>
      <w:r w:rsidRPr="00C43B17">
        <w:t>a</w:t>
      </w:r>
      <w:r w:rsidR="0091018E" w:rsidRPr="009C211A">
        <w:t xml:space="preserve"> atrasos en el pago de</w:t>
      </w:r>
      <w:r w:rsidRPr="00C43B17">
        <w:t xml:space="preserve"> contribuciones anteriores</w:t>
      </w:r>
      <w:r w:rsidR="00BF768A">
        <w:t xml:space="preserve"> a 2019</w:t>
      </w:r>
      <w:r w:rsidRPr="00C43B17">
        <w:t>. Desde 2016, el monto de las contribuciones adeudadas se ha estabilizado en torno a los 400 000 dólares estadounidenses. Al 31 de diciembre de 2019, 82 Estados partes (47 %) aún no ha</w:t>
      </w:r>
      <w:r w:rsidR="0091018E" w:rsidRPr="009C211A">
        <w:t>bía</w:t>
      </w:r>
      <w:r w:rsidRPr="00C43B17">
        <w:t>n pagado su</w:t>
      </w:r>
      <w:r w:rsidR="00BF768A">
        <w:t>s</w:t>
      </w:r>
      <w:r w:rsidRPr="00C43B17">
        <w:t xml:space="preserve"> contribuci</w:t>
      </w:r>
      <w:r w:rsidR="00BF768A">
        <w:t>o</w:t>
      </w:r>
      <w:r w:rsidRPr="00C43B17">
        <w:t>n</w:t>
      </w:r>
      <w:r w:rsidR="00BF768A">
        <w:t>es</w:t>
      </w:r>
      <w:r w:rsidRPr="00C43B17">
        <w:t xml:space="preserve"> para 2019. Entre ellos, 46 Estados Partes (27 %) tampoco ha</w:t>
      </w:r>
      <w:r w:rsidR="0091018E" w:rsidRPr="009C211A">
        <w:t>bía</w:t>
      </w:r>
      <w:r w:rsidRPr="00C43B17">
        <w:t>n pagado su</w:t>
      </w:r>
      <w:r w:rsidR="00BF768A">
        <w:t>s</w:t>
      </w:r>
      <w:r w:rsidRPr="00C43B17">
        <w:t xml:space="preserve"> contribuci</w:t>
      </w:r>
      <w:r w:rsidR="00BF768A">
        <w:t>o</w:t>
      </w:r>
      <w:r w:rsidRPr="00C43B17">
        <w:t>n</w:t>
      </w:r>
      <w:r w:rsidR="00BF768A">
        <w:t>es</w:t>
      </w:r>
      <w:r w:rsidRPr="00C43B17">
        <w:t xml:space="preserve"> para los años anteriores </w:t>
      </w:r>
      <w:r w:rsidR="00BF768A">
        <w:t xml:space="preserve">a 2019 </w:t>
      </w:r>
      <w:r w:rsidRPr="00C43B17">
        <w:t xml:space="preserve">(véase el </w:t>
      </w:r>
      <w:r w:rsidR="0091018E" w:rsidRPr="009C211A">
        <w:t xml:space="preserve"> </w:t>
      </w:r>
      <w:hyperlink r:id="rId18" w:history="1">
        <w:r w:rsidR="0091018E" w:rsidRPr="00387011">
          <w:rPr>
            <w:rStyle w:val="Lienhypertexte"/>
          </w:rPr>
          <w:t>Estado de contribuciones obligatorias al 31 de diciembre de 2019</w:t>
        </w:r>
      </w:hyperlink>
      <w:r w:rsidRPr="00C43B17">
        <w:t>)</w:t>
      </w:r>
      <w:r w:rsidR="000B0E88">
        <w:t>.</w:t>
      </w:r>
      <w:r w:rsidRPr="00C43B17">
        <w:rPr>
          <w:rStyle w:val="Appelnotedebasdep"/>
        </w:rPr>
        <w:footnoteReference w:id="2"/>
      </w:r>
      <w:r w:rsidRPr="00C43B17">
        <w:t xml:space="preserve"> En cuanto a las </w:t>
      </w:r>
      <w:r w:rsidRPr="001B2B7A">
        <w:rPr>
          <w:b/>
        </w:rPr>
        <w:t>contribuciones asignadas</w:t>
      </w:r>
      <w:r w:rsidR="004407F8" w:rsidRPr="009C211A">
        <w:rPr>
          <w:b/>
        </w:rPr>
        <w:t xml:space="preserve"> voluntarias</w:t>
      </w:r>
      <w:r w:rsidRPr="001B2B7A">
        <w:rPr>
          <w:b/>
        </w:rPr>
        <w:t xml:space="preserve"> </w:t>
      </w:r>
      <w:r w:rsidRPr="00C43B17">
        <w:t xml:space="preserve">de los Estados Partes, </w:t>
      </w:r>
      <w:r w:rsidR="00BF768A">
        <w:t>las cuales son asignadas</w:t>
      </w:r>
      <w:r w:rsidRPr="00C43B17">
        <w:t xml:space="preserve"> de conformidad con el Artículo 26.2 de la Convención, una comparación de los últimos seis años muestra que los pagos de </w:t>
      </w:r>
      <w:r w:rsidR="00BF768A">
        <w:t>dichas</w:t>
      </w:r>
      <w:r w:rsidR="00BF768A" w:rsidRPr="00C43B17">
        <w:t xml:space="preserve"> </w:t>
      </w:r>
      <w:r w:rsidRPr="00C43B17">
        <w:t>contribuciones se mant</w:t>
      </w:r>
      <w:r w:rsidR="00BF768A">
        <w:t>uvieron</w:t>
      </w:r>
      <w:r w:rsidRPr="00C43B17">
        <w:t xml:space="preserve"> estables, </w:t>
      </w:r>
      <w:r w:rsidR="00C43B17" w:rsidRPr="009C211A">
        <w:t>en</w:t>
      </w:r>
      <w:r w:rsidR="00C43B17" w:rsidRPr="00C43B17">
        <w:t xml:space="preserve"> </w:t>
      </w:r>
      <w:r w:rsidRPr="00C43B17">
        <w:t xml:space="preserve">un promedio del 63 % de los montos </w:t>
      </w:r>
      <w:r w:rsidR="00BF768A" w:rsidRPr="001B2B7A">
        <w:t>asignados</w:t>
      </w:r>
      <w:r w:rsidR="0067399B" w:rsidRPr="001B2B7A">
        <w:t>.</w:t>
      </w:r>
      <w:r w:rsidR="00BF768A" w:rsidRPr="009C211A">
        <w:rPr>
          <w:vertAlign w:val="superscript"/>
        </w:rPr>
        <w:fldChar w:fldCharType="begin"/>
      </w:r>
      <w:r w:rsidR="00BF768A" w:rsidRPr="009C211A">
        <w:rPr>
          <w:vertAlign w:val="superscript"/>
        </w:rPr>
        <w:instrText xml:space="preserve"> NOTEREF _Ref46843650 \h  \* MERGEFORMAT </w:instrText>
      </w:r>
      <w:r w:rsidR="00BF768A" w:rsidRPr="009C211A">
        <w:rPr>
          <w:vertAlign w:val="superscript"/>
        </w:rPr>
      </w:r>
      <w:r w:rsidR="00BF768A" w:rsidRPr="009C211A">
        <w:rPr>
          <w:vertAlign w:val="superscript"/>
        </w:rPr>
        <w:fldChar w:fldCharType="separate"/>
      </w:r>
      <w:r w:rsidR="00BF768A" w:rsidRPr="009C211A">
        <w:rPr>
          <w:vertAlign w:val="superscript"/>
        </w:rPr>
        <w:t>2</w:t>
      </w:r>
      <w:r w:rsidR="00BF768A" w:rsidRPr="009C211A">
        <w:rPr>
          <w:vertAlign w:val="superscript"/>
        </w:rPr>
        <w:fldChar w:fldCharType="end"/>
      </w:r>
    </w:p>
    <w:p w14:paraId="4D3A3B0F" w14:textId="69F360A1" w:rsidR="008E71C1" w:rsidRPr="001B2B7A" w:rsidRDefault="008E71C1" w:rsidP="009C211A">
      <w:pPr>
        <w:pStyle w:val="COMPara"/>
        <w:tabs>
          <w:tab w:val="left" w:pos="567"/>
        </w:tabs>
        <w:spacing w:before="240"/>
        <w:ind w:left="0" w:firstLine="0"/>
        <w:jc w:val="both"/>
        <w:rPr>
          <w:b/>
          <w:bCs/>
        </w:rPr>
      </w:pPr>
      <w:r w:rsidRPr="001B2B7A">
        <w:rPr>
          <w:b/>
        </w:rPr>
        <w:t>Perspectivas para futuros ciclos presupuestarios</w:t>
      </w:r>
    </w:p>
    <w:p w14:paraId="21CD483B" w14:textId="44B07CEB" w:rsidR="008E71C1" w:rsidRPr="00302FE0" w:rsidRDefault="00130731" w:rsidP="00B702ED">
      <w:pPr>
        <w:pStyle w:val="COMPara"/>
        <w:numPr>
          <w:ilvl w:val="0"/>
          <w:numId w:val="5"/>
        </w:numPr>
        <w:tabs>
          <w:tab w:val="left" w:pos="567"/>
        </w:tabs>
        <w:ind w:left="567" w:hanging="567"/>
        <w:jc w:val="both"/>
      </w:pPr>
      <w:r w:rsidRPr="00302FE0">
        <w:t xml:space="preserve">Después de diez años de incremento constante, el </w:t>
      </w:r>
      <w:r w:rsidR="00302FE0" w:rsidRPr="009C211A">
        <w:t xml:space="preserve">saldo del fondo al final del año </w:t>
      </w:r>
      <w:r w:rsidRPr="00302FE0">
        <w:t xml:space="preserve">ha disminuido por primera vez este bienio y se espera que </w:t>
      </w:r>
      <w:r w:rsidR="00302FE0" w:rsidRPr="009C211A">
        <w:t xml:space="preserve">también </w:t>
      </w:r>
      <w:r w:rsidRPr="00302FE0">
        <w:t xml:space="preserve">disminuya en </w:t>
      </w:r>
      <w:r w:rsidR="00302FE0" w:rsidRPr="009C211A">
        <w:t>el</w:t>
      </w:r>
      <w:r w:rsidRPr="00302FE0">
        <w:t xml:space="preserve"> próximo bienio</w:t>
      </w:r>
      <w:r w:rsidR="00302FE0" w:rsidRPr="009C211A">
        <w:t xml:space="preserve"> 2020-2021</w:t>
      </w:r>
      <w:r w:rsidRPr="00302FE0">
        <w:t xml:space="preserve">. Esta tendencia prevista es una señal positiva desde un punto de vista operativo. Refleja la mayor capacidad de los Estados para acceder a fondos que apoyan programas y proyectos que contribuyen a salvaguardar el patrimonio vivo, así como la capacidad mejorada de los órganos rectores de la Convención y de la Secretaría para responder a sus solicitudes. Sin embargo, esta tendencia también significa que la cantidad de recursos financieros disponibles para apoyar los esfuerzos de los Estados para salvaguardar el patrimonio cultural inmaterial probablemente disminuirá en el futuro, aunque esto no sea una preocupación inmediata. Por otro lado, ahora que el Fondo se encuentra en una situación operativa más saludable, la Convención está en una mejor posición para solicitar contribuciones </w:t>
      </w:r>
      <w:r w:rsidR="000042D9" w:rsidRPr="00302FE0">
        <w:t xml:space="preserve">voluntarias </w:t>
      </w:r>
      <w:r w:rsidRPr="00302FE0">
        <w:t>complementarias.</w:t>
      </w:r>
    </w:p>
    <w:p w14:paraId="1BAFB74D" w14:textId="2888176E" w:rsidR="00576E1D" w:rsidRPr="002664BF" w:rsidRDefault="003E4E50" w:rsidP="000D16BE">
      <w:pPr>
        <w:pStyle w:val="Titre4"/>
        <w:numPr>
          <w:ilvl w:val="0"/>
          <w:numId w:val="17"/>
        </w:numPr>
        <w:spacing w:before="240" w:after="120"/>
        <w:ind w:left="567" w:hanging="567"/>
        <w:jc w:val="both"/>
      </w:pPr>
      <w:bookmarkStart w:id="1" w:name="III_Plan"/>
      <w:bookmarkEnd w:id="1"/>
      <w:r w:rsidRPr="002664BF">
        <w:lastRenderedPageBreak/>
        <w:t>PARTIDAS PRESUPUESTARIAS Y ASIGNACIONES PARA EL 40 C/5 (2020-2021)</w:t>
      </w:r>
    </w:p>
    <w:p w14:paraId="1D0D3852" w14:textId="3C2F779D" w:rsidR="006F12CD" w:rsidRPr="00FD60B0" w:rsidRDefault="003E4E50" w:rsidP="00C21695">
      <w:pPr>
        <w:pStyle w:val="COMPara"/>
        <w:keepLines/>
        <w:numPr>
          <w:ilvl w:val="0"/>
          <w:numId w:val="5"/>
        </w:numPr>
        <w:tabs>
          <w:tab w:val="left" w:pos="567"/>
        </w:tabs>
        <w:ind w:left="567" w:hanging="567"/>
        <w:jc w:val="both"/>
      </w:pPr>
      <w:r w:rsidRPr="007C4629">
        <w:t xml:space="preserve">La propuesta para la asignación de fondos para el 40 C/5 (2020-2021) sigue la estructura basada en las partidas presupuestarias que se ha utilizado para los ejercicios equivalentes anteriores. Estas partidas presupuestarias se pueden dividir en </w:t>
      </w:r>
      <w:r w:rsidR="00640617" w:rsidRPr="009C211A">
        <w:t>tres</w:t>
      </w:r>
      <w:r w:rsidR="00640617" w:rsidRPr="002664BF">
        <w:t xml:space="preserve"> </w:t>
      </w:r>
      <w:r w:rsidRPr="002664BF">
        <w:t>categorías, a saber, los g</w:t>
      </w:r>
      <w:r w:rsidRPr="007C4629">
        <w:t>astos relacionados con: a) la Asistencia Internacional; b) "otras funciones" del Comité en el sentido del Artículo 7 de la Convención;</w:t>
      </w:r>
      <w:r w:rsidR="002664BF" w:rsidRPr="009C211A">
        <w:t xml:space="preserve"> y</w:t>
      </w:r>
      <w:r w:rsidRPr="002664BF">
        <w:t xml:space="preserve"> c) la participación en reuniones de los órganos rectores y asistencia al </w:t>
      </w:r>
      <w:r w:rsidRPr="00AB3B45">
        <w:t>Comité</w:t>
      </w:r>
      <w:r w:rsidRPr="00EA1603">
        <w:t>.</w:t>
      </w:r>
      <w:r w:rsidRPr="002664BF">
        <w:t xml:space="preserve"> El porcentaje de asignación expresado</w:t>
      </w:r>
      <w:r w:rsidRPr="007C4629">
        <w:t xml:space="preserve"> para cada partida presupuestaria que se ha propuesto en esta ocasión también mantiene en gran medida la misma proporcionalidad del pasado bienio, con pequeñas variaciones</w:t>
      </w:r>
      <w:r w:rsidR="007340A6">
        <w:t xml:space="preserve"> que tienen en cuenta la disminución del 9% en los fondos disponibles al final del bienio 2018-2019 (7,84 millones de dólares estadounidenses), en comparación con el final del bienio 2016-2017 (8,59 millones de dólares estadounidenses)</w:t>
      </w:r>
      <w:r w:rsidRPr="007C4629">
        <w:t>.</w:t>
      </w:r>
    </w:p>
    <w:p w14:paraId="13ED1381" w14:textId="77777777" w:rsidR="00233695" w:rsidRPr="00640617" w:rsidRDefault="00233695" w:rsidP="001740D7">
      <w:pPr>
        <w:pStyle w:val="GAPara"/>
        <w:keepNext/>
        <w:numPr>
          <w:ilvl w:val="0"/>
          <w:numId w:val="0"/>
        </w:numPr>
        <w:spacing w:before="240"/>
        <w:jc w:val="both"/>
      </w:pPr>
      <w:r w:rsidRPr="00640617">
        <w:rPr>
          <w:b/>
        </w:rPr>
        <w:t>Asistencia Internacional</w:t>
      </w:r>
    </w:p>
    <w:p w14:paraId="0B9BCA7F" w14:textId="79ED030A" w:rsidR="00576E1D" w:rsidRPr="007C4629" w:rsidRDefault="008E7D2C" w:rsidP="00C21695">
      <w:pPr>
        <w:pStyle w:val="COMPara"/>
        <w:numPr>
          <w:ilvl w:val="0"/>
          <w:numId w:val="5"/>
        </w:numPr>
        <w:tabs>
          <w:tab w:val="left" w:pos="567"/>
        </w:tabs>
        <w:ind w:left="567" w:hanging="567"/>
        <w:jc w:val="both"/>
      </w:pPr>
      <w:r w:rsidRPr="007C4629">
        <w:t>Se propone que la mayoría de los recursos se asignen para proporcionar Asistencia Internacional a los Estados Partes para complementar sus esfuerzos nacionales para salvaguardar el patrimonio cultural inmaterial (</w:t>
      </w:r>
      <w:r w:rsidRPr="007C4629">
        <w:rPr>
          <w:b/>
        </w:rPr>
        <w:t>partidas presupuestarias 1, 1.1 y 2</w:t>
      </w:r>
      <w:r w:rsidRPr="007C4629">
        <w:t>). El porcentaje combinado de estas tres partidas (64,75 %) sigue siendo el mismo que durante el bienio anterior.</w:t>
      </w:r>
    </w:p>
    <w:p w14:paraId="72B4246E" w14:textId="4FEE32EB" w:rsidR="00576E1D" w:rsidRPr="009D0EA2" w:rsidRDefault="00293BCF" w:rsidP="00C21695">
      <w:pPr>
        <w:pStyle w:val="COMPara"/>
        <w:numPr>
          <w:ilvl w:val="0"/>
          <w:numId w:val="5"/>
        </w:numPr>
        <w:tabs>
          <w:tab w:val="left" w:pos="567"/>
        </w:tabs>
        <w:ind w:left="567" w:hanging="567"/>
        <w:jc w:val="both"/>
      </w:pPr>
      <w:r w:rsidRPr="009C211A">
        <w:t>Parte de este porcentaje combinado</w:t>
      </w:r>
      <w:r w:rsidR="00252447" w:rsidRPr="0055635F">
        <w:t xml:space="preserve">, el 51,96 % </w:t>
      </w:r>
      <w:r w:rsidRPr="009C211A">
        <w:t xml:space="preserve">del monto total que </w:t>
      </w:r>
      <w:r w:rsidR="0055635F" w:rsidRPr="009C211A">
        <w:t>se</w:t>
      </w:r>
      <w:r w:rsidRPr="009C211A">
        <w:t xml:space="preserve"> asigna</w:t>
      </w:r>
      <w:r w:rsidR="0055635F" w:rsidRPr="009C211A">
        <w:t xml:space="preserve">rá </w:t>
      </w:r>
      <w:r w:rsidRPr="009C211A">
        <w:t xml:space="preserve">globalmente </w:t>
      </w:r>
      <w:r w:rsidR="00252447" w:rsidRPr="0055635F">
        <w:t xml:space="preserve">está previsto para </w:t>
      </w:r>
      <w:r w:rsidR="00252447" w:rsidRPr="00157DD2">
        <w:t>brinda</w:t>
      </w:r>
      <w:r w:rsidRPr="009C211A">
        <w:t>r apoyo</w:t>
      </w:r>
      <w:r w:rsidR="00252447" w:rsidRPr="0055635F">
        <w:t xml:space="preserve"> a los Estados para programas y proyectos de salvaguardia (</w:t>
      </w:r>
      <w:r w:rsidR="00252447" w:rsidRPr="0055635F">
        <w:rPr>
          <w:b/>
        </w:rPr>
        <w:t>partida presupuestaria 1</w:t>
      </w:r>
      <w:r w:rsidR="00252447" w:rsidRPr="00157DD2">
        <w:t xml:space="preserve">). </w:t>
      </w:r>
      <w:r w:rsidRPr="009C211A">
        <w:t>E</w:t>
      </w:r>
      <w:r w:rsidR="00252447" w:rsidRPr="0055635F">
        <w:t xml:space="preserve">sta asignación </w:t>
      </w:r>
      <w:r w:rsidR="00252447" w:rsidRPr="00157DD2">
        <w:t>debería permitir que el Fondo mantenga el nivel actual de apoyo a los Estados a través de la Asistencia Internacional, en caso de que el número de solicitudes recibidas permanezca estable durante el período 2020-2021.</w:t>
      </w:r>
    </w:p>
    <w:p w14:paraId="03E675F1" w14:textId="6F80572B" w:rsidR="00576E1D" w:rsidRPr="009D0EA2" w:rsidRDefault="00576E1D" w:rsidP="00C21695">
      <w:pPr>
        <w:pStyle w:val="COMPara"/>
        <w:numPr>
          <w:ilvl w:val="0"/>
          <w:numId w:val="5"/>
        </w:numPr>
        <w:tabs>
          <w:tab w:val="left" w:pos="567"/>
        </w:tabs>
        <w:ind w:left="567" w:hanging="567"/>
        <w:jc w:val="both"/>
      </w:pPr>
      <w:r w:rsidRPr="009D0EA2">
        <w:t>En su séptima reunión en junio de 2018, la Asamblea General aprobó la creación de tres puestos extrapresupuestarios de plazo fijo (</w:t>
      </w:r>
      <w:hyperlink r:id="rId19" w:history="1">
        <w:r w:rsidRPr="00157DD2">
          <w:rPr>
            <w:rStyle w:val="Lienhypertexte"/>
          </w:rPr>
          <w:t>Resolución 7.GA 8</w:t>
        </w:r>
      </w:hyperlink>
      <w:r w:rsidRPr="00157DD2">
        <w:t>) con el fin de crear un equipo para poner en marcha la aplicación de los mecanismos de Asistencia Internacional. Se propone asignar un 10,79 % de los recursos del Fondo para cubrir los costos de estos tres puestos (</w:t>
      </w:r>
      <w:r w:rsidRPr="009D0EA2">
        <w:rPr>
          <w:b/>
        </w:rPr>
        <w:t>partida presupuestaria 1.1</w:t>
      </w:r>
      <w:r w:rsidRPr="009D0EA2">
        <w:t>).</w:t>
      </w:r>
    </w:p>
    <w:p w14:paraId="3B475A45" w14:textId="7DC7B991" w:rsidR="00576E1D" w:rsidRPr="009D0EA2" w:rsidRDefault="00576E1D" w:rsidP="001B2B7A">
      <w:pPr>
        <w:pStyle w:val="COMPara"/>
        <w:numPr>
          <w:ilvl w:val="0"/>
          <w:numId w:val="5"/>
        </w:numPr>
        <w:tabs>
          <w:tab w:val="left" w:pos="567"/>
        </w:tabs>
        <w:ind w:left="567" w:hanging="567"/>
        <w:jc w:val="both"/>
      </w:pPr>
      <w:r w:rsidRPr="009D0EA2">
        <w:t>Además, se propone presupuestar el 2 % de los fondos para proporcionar asistencia preparatoria (</w:t>
      </w:r>
      <w:r w:rsidRPr="009D0EA2">
        <w:rPr>
          <w:b/>
        </w:rPr>
        <w:t>partida presupuestaria 2</w:t>
      </w:r>
      <w:r w:rsidRPr="00395868">
        <w:t>). Además de la asistencia preparatoria para los expedientes de candidatura, el Comité decidió utilizar esta partida para proporcionar asistencia técnica a los Estados Partes para preparar solicitudes de Asistencia Internacional</w:t>
      </w:r>
      <w:r w:rsidR="000B0E88">
        <w:t>.</w:t>
      </w:r>
      <w:r w:rsidR="000B0E88">
        <w:rPr>
          <w:rStyle w:val="Appelnotedebasdep"/>
        </w:rPr>
        <w:footnoteReference w:id="3"/>
      </w:r>
      <w:r w:rsidR="000B0E88">
        <w:t xml:space="preserve"> T</w:t>
      </w:r>
      <w:r w:rsidRPr="009D0EA2">
        <w:t>eniendo en cuenta que la asistencia preparatoria es poco utilizada (índice de gastos del 15,4</w:t>
      </w:r>
      <w:r w:rsidR="00FA1EB7" w:rsidRPr="009C211A">
        <w:t> </w:t>
      </w:r>
      <w:r w:rsidRPr="00157DD2">
        <w:t xml:space="preserve">% para 2018-2019), y que los Estados han requerido asistencia técnica con mucha más frecuencia que la asistencia preparatoria en su formato tradicional, se propone que </w:t>
      </w:r>
      <w:r w:rsidR="002E6DAE">
        <w:t>e</w:t>
      </w:r>
      <w:r w:rsidRPr="00157DD2">
        <w:t>l</w:t>
      </w:r>
      <w:r w:rsidR="002E6DAE">
        <w:t xml:space="preserve"> presupuesto asignad</w:t>
      </w:r>
      <w:r w:rsidRPr="00157DD2">
        <w:t xml:space="preserve"> bajo esta partida continúe siendo utilizado para fines de asistencia técnica.</w:t>
      </w:r>
    </w:p>
    <w:p w14:paraId="197CBC5C" w14:textId="77777777" w:rsidR="00233695" w:rsidRPr="009C1BB3" w:rsidRDefault="00233695" w:rsidP="001740D7">
      <w:pPr>
        <w:pStyle w:val="GAPara"/>
        <w:keepNext/>
        <w:numPr>
          <w:ilvl w:val="0"/>
          <w:numId w:val="0"/>
        </w:numPr>
        <w:spacing w:before="240"/>
        <w:rPr>
          <w:b/>
          <w:bCs/>
        </w:rPr>
      </w:pPr>
      <w:r>
        <w:rPr>
          <w:b/>
        </w:rPr>
        <w:t>"Otras funciones del Comité"</w:t>
      </w:r>
    </w:p>
    <w:p w14:paraId="5E209C19" w14:textId="503773F5" w:rsidR="00AF11E4" w:rsidRDefault="001022B2" w:rsidP="00C21695">
      <w:pPr>
        <w:pStyle w:val="COMPara"/>
        <w:numPr>
          <w:ilvl w:val="0"/>
          <w:numId w:val="5"/>
        </w:numPr>
        <w:tabs>
          <w:tab w:val="left" w:pos="567"/>
        </w:tabs>
        <w:ind w:left="567" w:hanging="567"/>
        <w:jc w:val="both"/>
      </w:pPr>
      <w:r>
        <w:rPr>
          <w:b/>
        </w:rPr>
        <w:t>La partida presupuestaria 3</w:t>
      </w:r>
      <w:r>
        <w:t>, "otras funciones del Comité", se mantendrá al 20 %, a fin de fortalecer el trabajo iniciado durante el bienio actual. Estas funciones se encuentran enumeradas en el Artículo 7 de la Convención, y la Secretaría utiliza estos fondos para secundar al Comité en la ejecución de estas funciones, como lo indica el Artículo 10 de la Convención. Dicho de otra manera, estos fondos se utilizarán principalmente para promover los objetivos de la Convención, así como para fomentar y dar seguimiento a su aplicación (Artículo 7 [a]).</w:t>
      </w:r>
    </w:p>
    <w:p w14:paraId="47ADD16B" w14:textId="447BD82C" w:rsidR="00D52471" w:rsidRDefault="00080F75" w:rsidP="00C21695">
      <w:pPr>
        <w:pStyle w:val="COMPara"/>
        <w:numPr>
          <w:ilvl w:val="0"/>
          <w:numId w:val="5"/>
        </w:numPr>
        <w:tabs>
          <w:tab w:val="left" w:pos="567"/>
        </w:tabs>
        <w:ind w:left="567" w:hanging="567"/>
        <w:jc w:val="both"/>
      </w:pPr>
      <w:r>
        <w:lastRenderedPageBreak/>
        <w:t>En su decimocuarta reunión en 2019, el Comité introdujo un nuevo procedimiento de aprobación para el plan de gastos en la partida presupuestaria 3 (</w:t>
      </w:r>
      <w:hyperlink r:id="rId20" w:history="1">
        <w:r>
          <w:rPr>
            <w:rStyle w:val="Lienhypertexte"/>
          </w:rPr>
          <w:t>Decisión 14.COM 7</w:t>
        </w:r>
      </w:hyperlink>
      <w:r>
        <w:t xml:space="preserve">). Hasta el bienio 2018–2019, el Comité delegaba a su Mesa la autoridad de decidir sobre la utilización de los fondos asignados en la partida presupuestaria 3, sobre la base de propuestas concretas preparadas por la Secretaría (más recientemente en la </w:t>
      </w:r>
      <w:hyperlink r:id="rId21" w:history="1">
        <w:r>
          <w:rPr>
            <w:rStyle w:val="Lienhypertexte"/>
          </w:rPr>
          <w:t>Decisión 12.COM 7</w:t>
        </w:r>
      </w:hyperlink>
      <w:r>
        <w:t xml:space="preserve">). A partir del bienio 2020–2021, el Comité solicitó que la Secretaría presente para </w:t>
      </w:r>
      <w:r w:rsidR="00620B1C">
        <w:t xml:space="preserve">el </w:t>
      </w:r>
      <w:r>
        <w:t xml:space="preserve">examen </w:t>
      </w:r>
      <w:r w:rsidR="00620B1C">
        <w:t xml:space="preserve">del Comité </w:t>
      </w:r>
      <w:r>
        <w:t xml:space="preserve">en </w:t>
      </w:r>
      <w:r w:rsidR="00620B1C">
        <w:t>su</w:t>
      </w:r>
      <w:r>
        <w:t xml:space="preserve"> decimosexta reunión, y en cada</w:t>
      </w:r>
      <w:r w:rsidR="00620B1C">
        <w:t xml:space="preserve"> una de sus</w:t>
      </w:r>
      <w:r>
        <w:t xml:space="preserve"> reuni</w:t>
      </w:r>
      <w:r w:rsidR="00620B1C">
        <w:t>ones</w:t>
      </w:r>
      <w:r>
        <w:t xml:space="preserve"> posterior</w:t>
      </w:r>
      <w:r w:rsidR="00620B1C">
        <w:t>es</w:t>
      </w:r>
      <w:r>
        <w:t xml:space="preserve"> en años impares, un desglose porcentual de la partida presupuestaria 3 del Plan "</w:t>
      </w:r>
      <w:r w:rsidR="00620B1C">
        <w:t>O</w:t>
      </w:r>
      <w:r>
        <w:t>tras funciones del Comité", en términos de Resultados Esperados según el C/5 aprobado, con miras a presentarlo para aprobación en la siguiente reunión de la Asamblea General (</w:t>
      </w:r>
      <w:hyperlink r:id="rId22" w:history="1">
        <w:r>
          <w:rPr>
            <w:rStyle w:val="Lienhypertexte"/>
          </w:rPr>
          <w:t>Decisión 14.COM 7</w:t>
        </w:r>
      </w:hyperlink>
      <w:r>
        <w:t>). En la misma decisión y como medida de transición, el Comité solicitó que se presentase un desglose porcentual a la presente reunión de la Asamblea General en la partida presupuestaria 3 del Plan "</w:t>
      </w:r>
      <w:r w:rsidR="00620B1C">
        <w:t>o</w:t>
      </w:r>
      <w:r>
        <w:t>tras funciones del Comité", en términos de Resultados Esperados según el C/5 aprobado.</w:t>
      </w:r>
    </w:p>
    <w:p w14:paraId="480ECBCB" w14:textId="52ED2198" w:rsidR="00D46EC3" w:rsidRDefault="0010309F" w:rsidP="00D46EC3">
      <w:pPr>
        <w:pStyle w:val="COMPara"/>
        <w:numPr>
          <w:ilvl w:val="0"/>
          <w:numId w:val="5"/>
        </w:numPr>
        <w:tabs>
          <w:tab w:val="left" w:pos="567"/>
        </w:tabs>
        <w:ind w:left="567" w:hanging="567"/>
        <w:jc w:val="both"/>
      </w:pPr>
      <w:r>
        <w:rPr>
          <w:b/>
        </w:rPr>
        <w:t>Justificación estratégica</w:t>
      </w:r>
      <w:r>
        <w:t xml:space="preserve"> </w:t>
      </w:r>
      <w:r>
        <w:rPr>
          <w:rStyle w:val="hps"/>
        </w:rPr>
        <w:t xml:space="preserve">El plan propuesto para esta partida presupuestaria se basa en las experiencias adquiridas </w:t>
      </w:r>
      <w:r w:rsidR="00620B1C">
        <w:rPr>
          <w:rStyle w:val="hps"/>
        </w:rPr>
        <w:t xml:space="preserve">con </w:t>
      </w:r>
      <w:r>
        <w:rPr>
          <w:rStyle w:val="hps"/>
        </w:rPr>
        <w:t xml:space="preserve">las actividades implementadas durante el bienio anterior. </w:t>
      </w:r>
      <w:r>
        <w:t xml:space="preserve">Para mantener la coherencia con el 40 C/5 aprobado y la integración con los informes </w:t>
      </w:r>
      <w:r w:rsidR="008D43E4">
        <w:t xml:space="preserve">de </w:t>
      </w:r>
      <w:r>
        <w:t xml:space="preserve">los órganos rectores de la Convención y de la UNESCO, los Resultados Esperados (RE) propuestos están alineados con los </w:t>
      </w:r>
      <w:hyperlink r:id="rId23" w:history="1">
        <w:r>
          <w:rPr>
            <w:rStyle w:val="Lienhypertexte"/>
          </w:rPr>
          <w:t>indicadores de rendimiento</w:t>
        </w:r>
      </w:hyperlink>
      <w:r>
        <w:t xml:space="preserve"> definidos en el 40 C/5 para el Gran Programa IV - Cultura, eje de acción 2, </w:t>
      </w:r>
      <w:r w:rsidR="00A97B68">
        <w:t xml:space="preserve">RE </w:t>
      </w:r>
      <w:r>
        <w:t>6 "Reconocimiento y salvaguardia del patrimonio cultural inmaterial por los Estados Miembros y las comunidades, en particular mediante la aplicación efectiva de la Convención de 2003".</w:t>
      </w:r>
      <w:r>
        <w:rPr>
          <w:rStyle w:val="hps"/>
        </w:rPr>
        <w:t xml:space="preserve"> </w:t>
      </w:r>
      <w:r>
        <w:t>Además, dado que la propuesta anexa cubre el bienio completo de 2020–2021 y reemplaza el plan de gastos provisionales previamente aprobado por la Mesa del Comité para los primeros seis meses de 2020 (</w:t>
      </w:r>
      <w:hyperlink r:id="rId24" w:history="1">
        <w:r>
          <w:rPr>
            <w:rStyle w:val="Lienhypertexte"/>
          </w:rPr>
          <w:t>Decisión</w:t>
        </w:r>
        <w:r w:rsidR="003F24A9">
          <w:rPr>
            <w:rStyle w:val="Lienhypertexte"/>
          </w:rPr>
          <w:t> </w:t>
        </w:r>
        <w:r>
          <w:rPr>
            <w:rStyle w:val="Lienhypertexte"/>
          </w:rPr>
          <w:t>14.COM 2.BUR 3</w:t>
        </w:r>
      </w:hyperlink>
      <w:r>
        <w:t xml:space="preserve">), </w:t>
      </w:r>
      <w:r>
        <w:rPr>
          <w:rStyle w:val="hps"/>
        </w:rPr>
        <w:t xml:space="preserve">los </w:t>
      </w:r>
      <w:r w:rsidR="00A97B68">
        <w:rPr>
          <w:rStyle w:val="hps"/>
        </w:rPr>
        <w:t xml:space="preserve">RE </w:t>
      </w:r>
      <w:r>
        <w:rPr>
          <w:rStyle w:val="hps"/>
        </w:rPr>
        <w:t>también incluyen el trabajo realizado en el primer semestre de 2020</w:t>
      </w:r>
    </w:p>
    <w:p w14:paraId="242BCBFB" w14:textId="34CDB01C" w:rsidR="00D52471" w:rsidRPr="008C70FA" w:rsidRDefault="005820DD" w:rsidP="00C21695">
      <w:pPr>
        <w:pStyle w:val="COMPara"/>
        <w:numPr>
          <w:ilvl w:val="0"/>
          <w:numId w:val="5"/>
        </w:numPr>
        <w:tabs>
          <w:tab w:val="left" w:pos="567"/>
        </w:tabs>
        <w:ind w:left="567" w:hanging="567"/>
        <w:jc w:val="both"/>
      </w:pPr>
      <w:r w:rsidRPr="00A53EEB">
        <w:t>. Los fondos asignados a esta partida presupuestaria continuarán brindando apoyo esencial para una serie de acciones iniciales y transversales que tienen un impacto general y a largo plazo para la implementación de la Convenció</w:t>
      </w:r>
      <w:r w:rsidRPr="008C70FA">
        <w:t>n. Específicamente, el fondo apoyará orientaciones transversales para:</w:t>
      </w:r>
    </w:p>
    <w:p w14:paraId="2923E867" w14:textId="2F06D887" w:rsidR="00D52471" w:rsidRPr="0072422D" w:rsidRDefault="00D52471" w:rsidP="00D52471">
      <w:pPr>
        <w:pStyle w:val="GAPara"/>
        <w:numPr>
          <w:ilvl w:val="0"/>
          <w:numId w:val="16"/>
        </w:numPr>
        <w:ind w:left="1134" w:hanging="567"/>
        <w:jc w:val="both"/>
      </w:pPr>
      <w:r>
        <w:t>Destacar las contribuciones que la salvaguardia del patrimonio vivo puede aportar para mantener la diversidad cultural en el mundo y para abordar una gran variedad de problemas de desarrollo sostenible en línea con la Agenda 2030: esto incluye los esfuerzos para profundizar la integración del patrimonio vivo en los programas más amplios de la UNESCO y fortalecer su contribución a los ODS, en particular los relacionados con educación, género, cambio climático, pueblos indígenas y juventud;</w:t>
      </w:r>
    </w:p>
    <w:p w14:paraId="66FC3D22" w14:textId="2E4CF087" w:rsidR="007C2112" w:rsidRDefault="007C2112" w:rsidP="007C2112">
      <w:pPr>
        <w:pStyle w:val="GAPara"/>
        <w:numPr>
          <w:ilvl w:val="0"/>
          <w:numId w:val="16"/>
        </w:numPr>
        <w:ind w:left="1134" w:hanging="567"/>
        <w:jc w:val="both"/>
      </w:pPr>
      <w:r>
        <w:t>Buscar medios destinados a movilizar recursos financieros para la Convención, a fin de satisfacer las crecientes demandas de sus órganos rectores y de la comunidad internacional;</w:t>
      </w:r>
    </w:p>
    <w:p w14:paraId="65417FF7" w14:textId="1E2D15A3" w:rsidR="00D52471" w:rsidRDefault="00314146" w:rsidP="00D52471">
      <w:pPr>
        <w:pStyle w:val="GAPara"/>
        <w:numPr>
          <w:ilvl w:val="0"/>
          <w:numId w:val="16"/>
        </w:numPr>
        <w:ind w:left="1134" w:hanging="567"/>
        <w:jc w:val="both"/>
      </w:pPr>
      <w:r>
        <w:t>Mejorar la visibilidad de la Convención y la accesibilidad de la información a través de un sitio web mejorado, así como de iniciativas de divulgación y comunicación;</w:t>
      </w:r>
    </w:p>
    <w:p w14:paraId="5CAB5380" w14:textId="440B3FE9" w:rsidR="007C2112" w:rsidRPr="0072422D" w:rsidRDefault="007C2112" w:rsidP="007C2112">
      <w:pPr>
        <w:pStyle w:val="GAPara"/>
        <w:numPr>
          <w:ilvl w:val="0"/>
          <w:numId w:val="16"/>
        </w:numPr>
        <w:ind w:left="1134" w:hanging="567"/>
        <w:jc w:val="both"/>
      </w:pPr>
      <w:r>
        <w:t xml:space="preserve">Apoyar las reflexiones sobre los temas centrales identificados por el Comité que son cruciales para el desarrollo futuro de la Convención, incluido el futuro de los mecanismos de inscripción en las listas, las implicaciones económicas de las actividades vinculadas al patrimonio vivo y la mayor participación de la sociedad civil y las ONG; </w:t>
      </w:r>
    </w:p>
    <w:p w14:paraId="3EEC03B8" w14:textId="67682B31" w:rsidR="007C2112" w:rsidRPr="00CA334F" w:rsidRDefault="007C2112" w:rsidP="007C2112">
      <w:pPr>
        <w:pStyle w:val="GAPara"/>
        <w:numPr>
          <w:ilvl w:val="0"/>
          <w:numId w:val="16"/>
        </w:numPr>
        <w:ind w:left="1134" w:hanging="567"/>
        <w:jc w:val="both"/>
      </w:pPr>
      <w:r>
        <w:t>Continuar la transición en curso del programa global de fortalecimiento de capacidades para apoyar a los Estados y a las comunidades en la implementación de la Convención a nivel nacional</w:t>
      </w:r>
      <w:r w:rsidR="007C4629">
        <w:t>,</w:t>
      </w:r>
      <w:r>
        <w:t xml:space="preserve"> a través de una gama más amplia de asociaciones institucionales, y </w:t>
      </w:r>
      <w:r w:rsidR="007C4629">
        <w:t xml:space="preserve">de </w:t>
      </w:r>
      <w:r>
        <w:t>formatos y contenidos de capacitación más diversificados.</w:t>
      </w:r>
    </w:p>
    <w:p w14:paraId="71EB922F" w14:textId="1EEB993E" w:rsidR="00CE26EE" w:rsidRPr="00CA334F" w:rsidRDefault="00582D3E" w:rsidP="00C21695">
      <w:pPr>
        <w:pStyle w:val="COMPara"/>
        <w:numPr>
          <w:ilvl w:val="0"/>
          <w:numId w:val="5"/>
        </w:numPr>
        <w:tabs>
          <w:tab w:val="left" w:pos="567"/>
        </w:tabs>
        <w:ind w:left="567" w:hanging="567"/>
        <w:jc w:val="both"/>
      </w:pPr>
      <w:r>
        <w:rPr>
          <w:rStyle w:val="hps"/>
          <w:b/>
        </w:rPr>
        <w:t>Desglose por resultado esperado.</w:t>
      </w:r>
      <w:r>
        <w:rPr>
          <w:rStyle w:val="hps"/>
        </w:rPr>
        <w:t xml:space="preserve"> Los cuatro RE siguen siendo los mismos que en el bienio anterior, en línea con el 40 C/5. El presupuesto propuesto para el bienio actual tiene como objetivo equilibrar la asignación entre los diferentes RE:</w:t>
      </w:r>
    </w:p>
    <w:tbl>
      <w:tblPr>
        <w:tblW w:w="7938" w:type="dxa"/>
        <w:tblInd w:w="1276" w:type="dxa"/>
        <w:tblLook w:val="04A0" w:firstRow="1" w:lastRow="0" w:firstColumn="1" w:lastColumn="0" w:noHBand="0" w:noVBand="1"/>
      </w:tblPr>
      <w:tblGrid>
        <w:gridCol w:w="4249"/>
        <w:gridCol w:w="1229"/>
        <w:gridCol w:w="1230"/>
        <w:gridCol w:w="1230"/>
      </w:tblGrid>
      <w:tr w:rsidR="009D1A8D" w:rsidRPr="00601B38" w14:paraId="55F0F31A" w14:textId="2E404748" w:rsidTr="00E07554">
        <w:tc>
          <w:tcPr>
            <w:tcW w:w="4249" w:type="dxa"/>
            <w:shd w:val="clear" w:color="auto" w:fill="BFBFBF"/>
          </w:tcPr>
          <w:p w14:paraId="75541978" w14:textId="51EA011B" w:rsidR="009D1A8D" w:rsidRPr="009D1A8D" w:rsidRDefault="009D1A8D" w:rsidP="00FB0B14">
            <w:pPr>
              <w:keepNext/>
              <w:spacing w:before="60" w:after="60"/>
              <w:rPr>
                <w:rFonts w:ascii="Arial" w:hAnsi="Arial" w:cs="Arial"/>
                <w:b/>
                <w:sz w:val="20"/>
                <w:szCs w:val="20"/>
              </w:rPr>
            </w:pPr>
            <w:r>
              <w:rPr>
                <w:rFonts w:ascii="Arial" w:hAnsi="Arial"/>
                <w:b/>
                <w:sz w:val="20"/>
              </w:rPr>
              <w:lastRenderedPageBreak/>
              <w:t xml:space="preserve">Resultado </w:t>
            </w:r>
            <w:r w:rsidR="00E90840">
              <w:rPr>
                <w:rFonts w:ascii="Arial" w:hAnsi="Arial"/>
                <w:b/>
                <w:sz w:val="20"/>
              </w:rPr>
              <w:t>E</w:t>
            </w:r>
            <w:r>
              <w:rPr>
                <w:rFonts w:ascii="Arial" w:hAnsi="Arial"/>
                <w:b/>
                <w:sz w:val="20"/>
              </w:rPr>
              <w:t>sperado</w:t>
            </w:r>
          </w:p>
        </w:tc>
        <w:tc>
          <w:tcPr>
            <w:tcW w:w="1229" w:type="dxa"/>
            <w:shd w:val="clear" w:color="auto" w:fill="BFBFBF"/>
          </w:tcPr>
          <w:p w14:paraId="36620F4C" w14:textId="224DE672" w:rsidR="009D1A8D" w:rsidRPr="009D1A8D" w:rsidRDefault="009D1A8D" w:rsidP="00FB0B14">
            <w:pPr>
              <w:keepNext/>
              <w:spacing w:before="60" w:after="60"/>
              <w:jc w:val="center"/>
              <w:rPr>
                <w:rFonts w:ascii="Arial" w:hAnsi="Arial" w:cs="Arial"/>
                <w:b/>
                <w:sz w:val="20"/>
                <w:szCs w:val="20"/>
              </w:rPr>
            </w:pPr>
            <w:r>
              <w:rPr>
                <w:rFonts w:ascii="Arial" w:hAnsi="Arial"/>
                <w:b/>
                <w:sz w:val="20"/>
              </w:rPr>
              <w:t>2018-2019</w:t>
            </w:r>
            <w:r w:rsidR="007C4629">
              <w:rPr>
                <w:rStyle w:val="Appelnotedebasdep"/>
                <w:rFonts w:ascii="Arial" w:hAnsi="Arial"/>
                <w:b/>
                <w:sz w:val="20"/>
              </w:rPr>
              <w:footnoteReference w:id="4"/>
            </w:r>
          </w:p>
        </w:tc>
        <w:tc>
          <w:tcPr>
            <w:tcW w:w="1230" w:type="dxa"/>
            <w:shd w:val="clear" w:color="auto" w:fill="BFBFBF"/>
          </w:tcPr>
          <w:p w14:paraId="6BC67746" w14:textId="4022710B" w:rsidR="009D1A8D" w:rsidRPr="009D1A8D" w:rsidRDefault="009D1A8D" w:rsidP="00FB0B14">
            <w:pPr>
              <w:keepNext/>
              <w:spacing w:before="60" w:after="60"/>
              <w:jc w:val="center"/>
              <w:rPr>
                <w:rFonts w:ascii="Arial" w:hAnsi="Arial" w:cs="Arial"/>
                <w:b/>
                <w:sz w:val="20"/>
                <w:szCs w:val="20"/>
              </w:rPr>
            </w:pPr>
            <w:r>
              <w:rPr>
                <w:rFonts w:ascii="Arial" w:hAnsi="Arial"/>
                <w:b/>
                <w:sz w:val="20"/>
              </w:rPr>
              <w:t>1 de enero - 30 de junio de 2020</w:t>
            </w:r>
            <w:r w:rsidR="007C4629">
              <w:rPr>
                <w:rStyle w:val="Appelnotedebasdep"/>
                <w:rFonts w:ascii="Arial" w:hAnsi="Arial"/>
                <w:b/>
                <w:sz w:val="20"/>
              </w:rPr>
              <w:footnoteReference w:id="5"/>
            </w:r>
          </w:p>
        </w:tc>
        <w:tc>
          <w:tcPr>
            <w:tcW w:w="1230" w:type="dxa"/>
            <w:shd w:val="clear" w:color="auto" w:fill="BFBFBF"/>
          </w:tcPr>
          <w:p w14:paraId="6AF1B671" w14:textId="18521C2D" w:rsidR="009D1A8D" w:rsidRPr="009D1A8D" w:rsidRDefault="009D1A8D" w:rsidP="00FB0B14">
            <w:pPr>
              <w:keepNext/>
              <w:spacing w:before="60" w:after="60"/>
              <w:jc w:val="center"/>
              <w:rPr>
                <w:rFonts w:ascii="Arial" w:hAnsi="Arial" w:cs="Arial"/>
                <w:b/>
                <w:sz w:val="20"/>
                <w:szCs w:val="20"/>
              </w:rPr>
            </w:pPr>
            <w:r>
              <w:rPr>
                <w:rFonts w:ascii="Arial" w:hAnsi="Arial"/>
                <w:b/>
                <w:sz w:val="20"/>
              </w:rPr>
              <w:t>2020-2021</w:t>
            </w:r>
          </w:p>
        </w:tc>
      </w:tr>
      <w:tr w:rsidR="009D1A8D" w:rsidRPr="00601B38" w14:paraId="24684C64" w14:textId="305FDB05" w:rsidTr="00E07554">
        <w:tc>
          <w:tcPr>
            <w:tcW w:w="4249" w:type="dxa"/>
            <w:shd w:val="clear" w:color="auto" w:fill="auto"/>
          </w:tcPr>
          <w:p w14:paraId="17AB1593" w14:textId="458AC2CB" w:rsidR="009D1A8D" w:rsidRPr="009D1A8D" w:rsidRDefault="009D1A8D" w:rsidP="00FB0B14">
            <w:pPr>
              <w:keepNext/>
              <w:spacing w:before="60" w:after="60"/>
              <w:rPr>
                <w:rFonts w:ascii="Arial" w:hAnsi="Arial" w:cs="Arial"/>
                <w:sz w:val="20"/>
                <w:szCs w:val="20"/>
              </w:rPr>
            </w:pPr>
            <w:r>
              <w:rPr>
                <w:rFonts w:ascii="Arial" w:hAnsi="Arial"/>
                <w:sz w:val="20"/>
              </w:rPr>
              <w:t>RE 1: Una gobernanza sólida de la Convención de 2003 apoyada por un seguimiento y servicios de gestión de conocimientos</w:t>
            </w:r>
            <w:r w:rsidR="00BB3DF5">
              <w:rPr>
                <w:rFonts w:ascii="Arial" w:hAnsi="Arial"/>
                <w:sz w:val="20"/>
              </w:rPr>
              <w:t xml:space="preserve"> reforzados</w:t>
            </w:r>
            <w:r w:rsidR="007E697B">
              <w:rPr>
                <w:rFonts w:ascii="Arial" w:hAnsi="Arial"/>
                <w:sz w:val="20"/>
              </w:rPr>
              <w:t xml:space="preserve"> </w:t>
            </w:r>
          </w:p>
        </w:tc>
        <w:tc>
          <w:tcPr>
            <w:tcW w:w="1229" w:type="dxa"/>
          </w:tcPr>
          <w:p w14:paraId="196755D0" w14:textId="4F62A774" w:rsidR="009D1A8D" w:rsidRPr="009D1A8D" w:rsidRDefault="003C5FE9" w:rsidP="00FB0B14">
            <w:pPr>
              <w:keepNext/>
              <w:spacing w:before="60" w:after="60"/>
              <w:jc w:val="center"/>
              <w:rPr>
                <w:rFonts w:ascii="Arial" w:hAnsi="Arial" w:cs="Arial"/>
                <w:sz w:val="20"/>
                <w:szCs w:val="20"/>
              </w:rPr>
            </w:pPr>
            <w:r>
              <w:rPr>
                <w:rFonts w:ascii="Arial" w:hAnsi="Arial"/>
                <w:sz w:val="20"/>
              </w:rPr>
              <w:t>20 %</w:t>
            </w:r>
          </w:p>
        </w:tc>
        <w:tc>
          <w:tcPr>
            <w:tcW w:w="1230" w:type="dxa"/>
          </w:tcPr>
          <w:p w14:paraId="5BA51F49" w14:textId="5B44240E" w:rsidR="009D1A8D" w:rsidRPr="009D1A8D" w:rsidRDefault="009D1A8D" w:rsidP="00FB0B14">
            <w:pPr>
              <w:keepNext/>
              <w:spacing w:before="60" w:after="60"/>
              <w:jc w:val="center"/>
              <w:rPr>
                <w:rFonts w:ascii="Arial" w:hAnsi="Arial" w:cs="Arial"/>
                <w:sz w:val="20"/>
                <w:szCs w:val="20"/>
              </w:rPr>
            </w:pPr>
            <w:r>
              <w:rPr>
                <w:rFonts w:ascii="Arial" w:hAnsi="Arial"/>
                <w:sz w:val="20"/>
              </w:rPr>
              <w:t>23 %</w:t>
            </w:r>
          </w:p>
        </w:tc>
        <w:tc>
          <w:tcPr>
            <w:tcW w:w="1230" w:type="dxa"/>
            <w:shd w:val="clear" w:color="auto" w:fill="auto"/>
          </w:tcPr>
          <w:p w14:paraId="2C53C2E3" w14:textId="16BEF55E" w:rsidR="009D1A8D" w:rsidRPr="00B702ED" w:rsidRDefault="008C7D30" w:rsidP="00FB0B14">
            <w:pPr>
              <w:keepNext/>
              <w:spacing w:before="60" w:after="60"/>
              <w:jc w:val="center"/>
              <w:rPr>
                <w:rFonts w:ascii="Arial" w:hAnsi="Arial" w:cs="Arial"/>
                <w:sz w:val="20"/>
                <w:szCs w:val="20"/>
              </w:rPr>
            </w:pPr>
            <w:r>
              <w:rPr>
                <w:rFonts w:ascii="Arial" w:hAnsi="Arial"/>
                <w:sz w:val="20"/>
              </w:rPr>
              <w:t>27 %</w:t>
            </w:r>
          </w:p>
        </w:tc>
      </w:tr>
      <w:tr w:rsidR="009D1A8D" w:rsidRPr="00601B38" w14:paraId="37E604B5" w14:textId="17CD1192" w:rsidTr="00E07554">
        <w:tc>
          <w:tcPr>
            <w:tcW w:w="4249" w:type="dxa"/>
            <w:shd w:val="clear" w:color="auto" w:fill="auto"/>
          </w:tcPr>
          <w:p w14:paraId="50476E92" w14:textId="21D71F51" w:rsidR="009D1A8D" w:rsidRPr="009D1A8D" w:rsidRDefault="009D1A8D" w:rsidP="00FB0B14">
            <w:pPr>
              <w:keepNext/>
              <w:spacing w:before="60" w:after="60"/>
              <w:rPr>
                <w:rFonts w:ascii="Arial" w:hAnsi="Arial" w:cs="Arial"/>
                <w:sz w:val="20"/>
                <w:szCs w:val="20"/>
              </w:rPr>
            </w:pPr>
            <w:r>
              <w:rPr>
                <w:rFonts w:ascii="Arial" w:hAnsi="Arial"/>
                <w:sz w:val="20"/>
              </w:rPr>
              <w:t xml:space="preserve">RE 2: </w:t>
            </w:r>
            <w:r w:rsidR="00090ADD">
              <w:rPr>
                <w:rFonts w:ascii="Arial" w:hAnsi="Arial"/>
                <w:sz w:val="20"/>
              </w:rPr>
              <w:t xml:space="preserve">Aplicación </w:t>
            </w:r>
            <w:r>
              <w:rPr>
                <w:rFonts w:ascii="Arial" w:hAnsi="Arial"/>
                <w:sz w:val="20"/>
              </w:rPr>
              <w:t xml:space="preserve">de la Convención en los Estados Miembros mediante un programa de fortalecimiento de capacidades </w:t>
            </w:r>
            <w:r w:rsidR="00090ADD">
              <w:rPr>
                <w:rFonts w:ascii="Arial" w:hAnsi="Arial"/>
                <w:sz w:val="20"/>
              </w:rPr>
              <w:t xml:space="preserve">reforzado </w:t>
            </w:r>
          </w:p>
        </w:tc>
        <w:tc>
          <w:tcPr>
            <w:tcW w:w="1229" w:type="dxa"/>
          </w:tcPr>
          <w:p w14:paraId="5F69B380" w14:textId="36D7E407" w:rsidR="009D1A8D" w:rsidRPr="009D1A8D" w:rsidRDefault="003C5FE9" w:rsidP="00FB0B14">
            <w:pPr>
              <w:keepNext/>
              <w:spacing w:before="60" w:after="60"/>
              <w:jc w:val="center"/>
              <w:rPr>
                <w:rFonts w:ascii="Arial" w:hAnsi="Arial" w:cs="Arial"/>
                <w:sz w:val="20"/>
                <w:szCs w:val="20"/>
              </w:rPr>
            </w:pPr>
            <w:r>
              <w:rPr>
                <w:rFonts w:ascii="Arial" w:hAnsi="Arial"/>
                <w:sz w:val="20"/>
              </w:rPr>
              <w:t>36 %</w:t>
            </w:r>
          </w:p>
        </w:tc>
        <w:tc>
          <w:tcPr>
            <w:tcW w:w="1230" w:type="dxa"/>
          </w:tcPr>
          <w:p w14:paraId="7B14D3A1" w14:textId="60281F93" w:rsidR="009D1A8D" w:rsidRPr="009D1A8D" w:rsidRDefault="009D1A8D" w:rsidP="00FB0B14">
            <w:pPr>
              <w:keepNext/>
              <w:spacing w:before="60" w:after="60"/>
              <w:jc w:val="center"/>
              <w:rPr>
                <w:rFonts w:ascii="Arial" w:hAnsi="Arial" w:cs="Arial"/>
                <w:sz w:val="20"/>
                <w:szCs w:val="20"/>
              </w:rPr>
            </w:pPr>
            <w:r>
              <w:rPr>
                <w:rFonts w:ascii="Arial" w:hAnsi="Arial"/>
                <w:sz w:val="20"/>
              </w:rPr>
              <w:t>43 %</w:t>
            </w:r>
          </w:p>
        </w:tc>
        <w:tc>
          <w:tcPr>
            <w:tcW w:w="1230" w:type="dxa"/>
            <w:shd w:val="clear" w:color="auto" w:fill="auto"/>
          </w:tcPr>
          <w:p w14:paraId="751814E1" w14:textId="1353A1F5" w:rsidR="009D1A8D" w:rsidRPr="00B702ED" w:rsidRDefault="008C7D30" w:rsidP="00FB0B14">
            <w:pPr>
              <w:keepNext/>
              <w:spacing w:before="60" w:after="60"/>
              <w:jc w:val="center"/>
              <w:rPr>
                <w:rFonts w:ascii="Arial" w:hAnsi="Arial" w:cs="Arial"/>
                <w:sz w:val="20"/>
                <w:szCs w:val="20"/>
              </w:rPr>
            </w:pPr>
            <w:r>
              <w:rPr>
                <w:rFonts w:ascii="Arial" w:hAnsi="Arial"/>
                <w:sz w:val="20"/>
              </w:rPr>
              <w:t>33 %</w:t>
            </w:r>
          </w:p>
        </w:tc>
      </w:tr>
      <w:tr w:rsidR="009D1A8D" w:rsidRPr="00601B38" w14:paraId="6197639F" w14:textId="5D48F5D9" w:rsidTr="00E07554">
        <w:tc>
          <w:tcPr>
            <w:tcW w:w="4249" w:type="dxa"/>
            <w:shd w:val="clear" w:color="auto" w:fill="auto"/>
          </w:tcPr>
          <w:p w14:paraId="0E4F6F18" w14:textId="08A46865" w:rsidR="009D1A8D" w:rsidRPr="009D1A8D" w:rsidRDefault="009D1A8D" w:rsidP="00FB0B14">
            <w:pPr>
              <w:keepNext/>
              <w:spacing w:before="60" w:after="60"/>
              <w:rPr>
                <w:rFonts w:ascii="Arial" w:hAnsi="Arial" w:cs="Arial"/>
                <w:sz w:val="20"/>
                <w:szCs w:val="20"/>
              </w:rPr>
            </w:pPr>
            <w:r>
              <w:rPr>
                <w:rFonts w:ascii="Arial" w:hAnsi="Arial"/>
                <w:sz w:val="20"/>
              </w:rPr>
              <w:t xml:space="preserve">RE 3: </w:t>
            </w:r>
            <w:r w:rsidR="00BB3DF5">
              <w:rPr>
                <w:rFonts w:ascii="Arial" w:hAnsi="Arial"/>
                <w:sz w:val="20"/>
              </w:rPr>
              <w:t>Promoción de la i</w:t>
            </w:r>
            <w:r>
              <w:rPr>
                <w:rFonts w:ascii="Arial" w:hAnsi="Arial"/>
                <w:sz w:val="20"/>
              </w:rPr>
              <w:t xml:space="preserve">ntegración del patrimonio cultural inmaterial en los planes, políticas y programas de desarrollo </w:t>
            </w:r>
          </w:p>
        </w:tc>
        <w:tc>
          <w:tcPr>
            <w:tcW w:w="1229" w:type="dxa"/>
          </w:tcPr>
          <w:p w14:paraId="1865AF4F" w14:textId="0A78FD70" w:rsidR="009D1A8D" w:rsidRPr="009D1A8D" w:rsidRDefault="003C5FE9" w:rsidP="00FB0B14">
            <w:pPr>
              <w:keepNext/>
              <w:spacing w:before="60" w:after="60"/>
              <w:jc w:val="center"/>
              <w:rPr>
                <w:rFonts w:ascii="Arial" w:hAnsi="Arial" w:cs="Arial"/>
                <w:sz w:val="20"/>
                <w:szCs w:val="20"/>
              </w:rPr>
            </w:pPr>
            <w:r>
              <w:rPr>
                <w:rFonts w:ascii="Arial" w:hAnsi="Arial"/>
                <w:sz w:val="20"/>
              </w:rPr>
              <w:t>17 %</w:t>
            </w:r>
          </w:p>
        </w:tc>
        <w:tc>
          <w:tcPr>
            <w:tcW w:w="1230" w:type="dxa"/>
          </w:tcPr>
          <w:p w14:paraId="6AAA014A" w14:textId="7E503938" w:rsidR="009D1A8D" w:rsidRPr="009D1A8D" w:rsidRDefault="009D1A8D" w:rsidP="00FB0B14">
            <w:pPr>
              <w:keepNext/>
              <w:spacing w:before="60" w:after="60"/>
              <w:jc w:val="center"/>
              <w:rPr>
                <w:rFonts w:ascii="Arial" w:hAnsi="Arial" w:cs="Arial"/>
                <w:sz w:val="20"/>
                <w:szCs w:val="20"/>
              </w:rPr>
            </w:pPr>
            <w:r>
              <w:rPr>
                <w:rFonts w:ascii="Arial" w:hAnsi="Arial"/>
                <w:sz w:val="20"/>
              </w:rPr>
              <w:t>14%</w:t>
            </w:r>
          </w:p>
        </w:tc>
        <w:tc>
          <w:tcPr>
            <w:tcW w:w="1230" w:type="dxa"/>
            <w:shd w:val="clear" w:color="auto" w:fill="auto"/>
          </w:tcPr>
          <w:p w14:paraId="10031709" w14:textId="5E9F6576" w:rsidR="009D1A8D" w:rsidRPr="00B702ED" w:rsidRDefault="008C7D30" w:rsidP="00FB0B14">
            <w:pPr>
              <w:keepNext/>
              <w:spacing w:before="60" w:after="60"/>
              <w:jc w:val="center"/>
              <w:rPr>
                <w:rFonts w:ascii="Arial" w:hAnsi="Arial" w:cs="Arial"/>
                <w:sz w:val="20"/>
                <w:szCs w:val="20"/>
              </w:rPr>
            </w:pPr>
            <w:r>
              <w:rPr>
                <w:rFonts w:ascii="Arial" w:hAnsi="Arial"/>
                <w:sz w:val="20"/>
              </w:rPr>
              <w:t>13%</w:t>
            </w:r>
          </w:p>
        </w:tc>
      </w:tr>
      <w:tr w:rsidR="009D1A8D" w:rsidRPr="00601B38" w14:paraId="0A7F9557" w14:textId="1EB90466" w:rsidTr="00E07554">
        <w:tc>
          <w:tcPr>
            <w:tcW w:w="4249" w:type="dxa"/>
            <w:shd w:val="clear" w:color="auto" w:fill="auto"/>
          </w:tcPr>
          <w:p w14:paraId="07D5C32D" w14:textId="6835C023" w:rsidR="009D1A8D" w:rsidRPr="009D1A8D" w:rsidRDefault="009D1A8D" w:rsidP="00FB0B14">
            <w:pPr>
              <w:keepNext/>
              <w:spacing w:before="60" w:after="60"/>
              <w:rPr>
                <w:rFonts w:ascii="Arial" w:hAnsi="Arial" w:cs="Arial"/>
                <w:sz w:val="20"/>
                <w:szCs w:val="20"/>
              </w:rPr>
            </w:pPr>
            <w:r>
              <w:rPr>
                <w:rFonts w:ascii="Arial" w:hAnsi="Arial"/>
                <w:sz w:val="20"/>
              </w:rPr>
              <w:t>RE 4: Objetivos de la Convención promovidos mediante la sensibilización y la divulgación</w:t>
            </w:r>
          </w:p>
        </w:tc>
        <w:tc>
          <w:tcPr>
            <w:tcW w:w="1229" w:type="dxa"/>
          </w:tcPr>
          <w:p w14:paraId="2EAD44DB" w14:textId="24044D6A" w:rsidR="009D1A8D" w:rsidRPr="009D1A8D" w:rsidRDefault="003C5FE9" w:rsidP="00FB0B14">
            <w:pPr>
              <w:keepNext/>
              <w:spacing w:before="60" w:after="60"/>
              <w:jc w:val="center"/>
              <w:rPr>
                <w:rFonts w:ascii="Arial" w:hAnsi="Arial" w:cs="Arial"/>
                <w:sz w:val="20"/>
                <w:szCs w:val="20"/>
              </w:rPr>
            </w:pPr>
            <w:r>
              <w:rPr>
                <w:rFonts w:ascii="Arial" w:hAnsi="Arial"/>
                <w:sz w:val="20"/>
              </w:rPr>
              <w:t>27 %</w:t>
            </w:r>
          </w:p>
        </w:tc>
        <w:tc>
          <w:tcPr>
            <w:tcW w:w="1230" w:type="dxa"/>
          </w:tcPr>
          <w:p w14:paraId="05197CB2" w14:textId="66B00BFB" w:rsidR="009D1A8D" w:rsidRPr="009D1A8D" w:rsidRDefault="009D1A8D" w:rsidP="00FB0B14">
            <w:pPr>
              <w:keepNext/>
              <w:spacing w:before="60" w:after="60"/>
              <w:jc w:val="center"/>
              <w:rPr>
                <w:rFonts w:ascii="Arial" w:hAnsi="Arial" w:cs="Arial"/>
                <w:sz w:val="20"/>
                <w:szCs w:val="20"/>
              </w:rPr>
            </w:pPr>
            <w:r>
              <w:rPr>
                <w:rFonts w:ascii="Arial" w:hAnsi="Arial"/>
                <w:sz w:val="20"/>
              </w:rPr>
              <w:t>20 %</w:t>
            </w:r>
          </w:p>
        </w:tc>
        <w:tc>
          <w:tcPr>
            <w:tcW w:w="1230" w:type="dxa"/>
            <w:shd w:val="clear" w:color="auto" w:fill="auto"/>
          </w:tcPr>
          <w:p w14:paraId="48373F2E" w14:textId="541AA46A" w:rsidR="009D1A8D" w:rsidRPr="00B702ED" w:rsidRDefault="008C7D30" w:rsidP="00FB0B14">
            <w:pPr>
              <w:keepNext/>
              <w:spacing w:before="60" w:after="60"/>
              <w:jc w:val="center"/>
              <w:rPr>
                <w:rFonts w:ascii="Arial" w:hAnsi="Arial" w:cs="Arial"/>
                <w:sz w:val="20"/>
                <w:szCs w:val="20"/>
              </w:rPr>
            </w:pPr>
            <w:r>
              <w:rPr>
                <w:rFonts w:ascii="Arial" w:hAnsi="Arial"/>
                <w:sz w:val="20"/>
              </w:rPr>
              <w:t>27 %</w:t>
            </w:r>
          </w:p>
        </w:tc>
      </w:tr>
      <w:tr w:rsidR="009D1A8D" w:rsidRPr="00601B38" w14:paraId="043DCCAB" w14:textId="4F649DA5" w:rsidTr="00E07554">
        <w:tc>
          <w:tcPr>
            <w:tcW w:w="4249" w:type="dxa"/>
            <w:shd w:val="clear" w:color="auto" w:fill="auto"/>
          </w:tcPr>
          <w:p w14:paraId="5B90E4F9" w14:textId="77777777" w:rsidR="009D1A8D" w:rsidRPr="009D1A8D" w:rsidRDefault="009D1A8D" w:rsidP="00FB0B14">
            <w:pPr>
              <w:keepNext/>
              <w:spacing w:before="60" w:after="60"/>
              <w:jc w:val="both"/>
              <w:rPr>
                <w:rFonts w:ascii="Arial" w:hAnsi="Arial" w:cs="Arial"/>
                <w:sz w:val="20"/>
                <w:szCs w:val="20"/>
              </w:rPr>
            </w:pPr>
            <w:r>
              <w:rPr>
                <w:rFonts w:ascii="Arial" w:hAnsi="Arial"/>
                <w:sz w:val="20"/>
              </w:rPr>
              <w:t>Presupuesto total</w:t>
            </w:r>
          </w:p>
        </w:tc>
        <w:tc>
          <w:tcPr>
            <w:tcW w:w="1229" w:type="dxa"/>
          </w:tcPr>
          <w:p w14:paraId="60AD1167" w14:textId="77777777" w:rsidR="009D1A8D" w:rsidRPr="009D1A8D" w:rsidRDefault="009D1A8D" w:rsidP="00FB0B14">
            <w:pPr>
              <w:keepNext/>
              <w:spacing w:before="60" w:after="60"/>
              <w:jc w:val="center"/>
              <w:rPr>
                <w:rFonts w:ascii="Arial" w:hAnsi="Arial" w:cs="Arial"/>
                <w:sz w:val="20"/>
                <w:szCs w:val="20"/>
              </w:rPr>
            </w:pPr>
            <w:r>
              <w:rPr>
                <w:rFonts w:ascii="Arial" w:hAnsi="Arial"/>
                <w:sz w:val="20"/>
              </w:rPr>
              <w:t>100 %</w:t>
            </w:r>
          </w:p>
        </w:tc>
        <w:tc>
          <w:tcPr>
            <w:tcW w:w="1230" w:type="dxa"/>
          </w:tcPr>
          <w:p w14:paraId="28B535A7" w14:textId="0AC89918" w:rsidR="009D1A8D" w:rsidRPr="009D1A8D" w:rsidRDefault="009D1A8D" w:rsidP="00FB0B14">
            <w:pPr>
              <w:keepNext/>
              <w:spacing w:before="60" w:after="60"/>
              <w:jc w:val="center"/>
              <w:rPr>
                <w:rFonts w:ascii="Arial" w:hAnsi="Arial" w:cs="Arial"/>
                <w:sz w:val="20"/>
                <w:szCs w:val="20"/>
              </w:rPr>
            </w:pPr>
            <w:r>
              <w:rPr>
                <w:rFonts w:ascii="Arial" w:hAnsi="Arial"/>
                <w:sz w:val="20"/>
              </w:rPr>
              <w:t>100 %</w:t>
            </w:r>
          </w:p>
        </w:tc>
        <w:tc>
          <w:tcPr>
            <w:tcW w:w="1230" w:type="dxa"/>
            <w:shd w:val="clear" w:color="auto" w:fill="auto"/>
          </w:tcPr>
          <w:p w14:paraId="6A817A4D" w14:textId="3DD17D00" w:rsidR="009D1A8D" w:rsidRPr="00601B38" w:rsidRDefault="009D1A8D" w:rsidP="00FB0B14">
            <w:pPr>
              <w:keepNext/>
              <w:spacing w:before="60" w:after="60"/>
              <w:jc w:val="center"/>
              <w:rPr>
                <w:rFonts w:ascii="Arial" w:hAnsi="Arial" w:cs="Arial"/>
                <w:sz w:val="20"/>
                <w:szCs w:val="20"/>
                <w:highlight w:val="magenta"/>
              </w:rPr>
            </w:pPr>
            <w:r>
              <w:rPr>
                <w:rFonts w:ascii="Arial" w:hAnsi="Arial"/>
                <w:sz w:val="20"/>
              </w:rPr>
              <w:t>100 %</w:t>
            </w:r>
          </w:p>
        </w:tc>
      </w:tr>
    </w:tbl>
    <w:p w14:paraId="4B102C46" w14:textId="3F5C1F63" w:rsidR="00E07554" w:rsidRPr="005820DD" w:rsidRDefault="00E07554" w:rsidP="00C21695">
      <w:pPr>
        <w:pStyle w:val="COMPara"/>
        <w:numPr>
          <w:ilvl w:val="0"/>
          <w:numId w:val="5"/>
        </w:numPr>
        <w:tabs>
          <w:tab w:val="left" w:pos="567"/>
        </w:tabs>
        <w:spacing w:before="240"/>
        <w:ind w:left="567" w:hanging="567"/>
        <w:jc w:val="both"/>
      </w:pPr>
      <w:r>
        <w:t xml:space="preserve">Para evitar interrupciones o demoras en la ejecución, y de conformidad con la Resolución adoptada por la Conferencia General en su cuadragésima reunión en noviembre de 2019, que autoriza a la Directora General a realizar transferencias entre consignaciones del programa ordinario </w:t>
      </w:r>
      <w:r w:rsidR="004468F0">
        <w:t xml:space="preserve"> </w:t>
      </w:r>
      <w:r>
        <w:t xml:space="preserve">de la UNESCO hasta un monto del 5 % de la consignación inicial en </w:t>
      </w:r>
      <w:r w:rsidR="00BB3DF5">
        <w:t xml:space="preserve">el ejercicio </w:t>
      </w:r>
      <w:r>
        <w:t>40 C/5,</w:t>
      </w:r>
      <w:r w:rsidRPr="005820DD">
        <w:rPr>
          <w:rStyle w:val="Appelnotedebasdep"/>
        </w:rPr>
        <w:footnoteReference w:id="6"/>
      </w:r>
      <w:r>
        <w:t xml:space="preserve"> el Comité autorizó a la Secretaría a realizar transferencias entre actividades dentro de la partida presupuestaria 3 hasta un monto acumulado equivalente al 5 % de la </w:t>
      </w:r>
      <w:r w:rsidR="00BB3DF5">
        <w:t>consig</w:t>
      </w:r>
      <w:r>
        <w:t>nación total inicial (</w:t>
      </w:r>
      <w:hyperlink r:id="rId25" w:history="1">
        <w:r>
          <w:rPr>
            <w:rStyle w:val="Lienhypertexte"/>
          </w:rPr>
          <w:t>Decisión 14.COM 7</w:t>
        </w:r>
      </w:hyperlink>
      <w:r>
        <w:t xml:space="preserve">). </w:t>
      </w:r>
      <w:r w:rsidR="00872E63">
        <w:t xml:space="preserve">Basándose en los montos indicados en el Anexo I, esto sería </w:t>
      </w:r>
      <w:r>
        <w:t>equivalente a 78 403 dólares estadounidenses. La Secretaría debía informar al Comité por escrito, en la reunión siguiente a dicha acción, sobre los detalles y las razones de estas transferencias, en caso de que tuvieran lugar.</w:t>
      </w:r>
    </w:p>
    <w:p w14:paraId="258450E1" w14:textId="73829978" w:rsidR="00CE26EE" w:rsidRPr="00E07554" w:rsidRDefault="00CE26EE" w:rsidP="001740D7">
      <w:pPr>
        <w:pStyle w:val="Titre2"/>
        <w:tabs>
          <w:tab w:val="left" w:pos="567"/>
        </w:tabs>
        <w:snapToGrid w:val="0"/>
        <w:spacing w:before="360" w:after="240"/>
        <w:ind w:left="567"/>
        <w:jc w:val="both"/>
        <w:rPr>
          <w:rStyle w:val="hps"/>
          <w:rFonts w:ascii="Times New Roman" w:hAnsi="Times New Roman"/>
          <w:bCs w:val="0"/>
          <w:iCs w:val="0"/>
          <w:sz w:val="24"/>
          <w:szCs w:val="24"/>
        </w:rPr>
      </w:pPr>
      <w:r>
        <w:rPr>
          <w:rFonts w:ascii="Arial" w:hAnsi="Arial"/>
          <w:i w:val="0"/>
          <w:snapToGrid w:val="0"/>
          <w:sz w:val="22"/>
        </w:rPr>
        <w:t>Resultado esperado 1: Una gobernanza sólida de la Convención de 2003 apoyada por un seguimiento y servicios de gestión de conocimientos</w:t>
      </w:r>
      <w:r w:rsidR="00BB3DF5">
        <w:rPr>
          <w:rFonts w:ascii="Arial" w:hAnsi="Arial"/>
          <w:i w:val="0"/>
          <w:snapToGrid w:val="0"/>
          <w:sz w:val="22"/>
        </w:rPr>
        <w:t xml:space="preserve"> reforzados</w:t>
      </w:r>
    </w:p>
    <w:p w14:paraId="5523931F" w14:textId="76023A17" w:rsidR="00E07554" w:rsidRPr="00B702ED" w:rsidRDefault="00E07554">
      <w:pPr>
        <w:pStyle w:val="COMPara"/>
        <w:numPr>
          <w:ilvl w:val="0"/>
          <w:numId w:val="5"/>
        </w:numPr>
        <w:tabs>
          <w:tab w:val="left" w:pos="567"/>
        </w:tabs>
        <w:ind w:left="567" w:hanging="567"/>
        <w:jc w:val="both"/>
        <w:rPr>
          <w:rStyle w:val="hps"/>
          <w:rFonts w:ascii="Cambria" w:hAnsi="Cambria" w:cs="Times New Roman"/>
          <w:b/>
          <w:bCs/>
          <w:i/>
          <w:iCs/>
          <w:snapToGrid/>
          <w:sz w:val="28"/>
          <w:szCs w:val="28"/>
        </w:rPr>
      </w:pPr>
      <w:r>
        <w:rPr>
          <w:rStyle w:val="hps"/>
        </w:rPr>
        <w:t xml:space="preserve">Una sólida gobernanza de la Convención de 2003 es primordial para garantizar que todas las partes interesadas puedan ser eficientes e innovadoras en su </w:t>
      </w:r>
      <w:r w:rsidR="006C3F6B">
        <w:rPr>
          <w:rStyle w:val="hps"/>
        </w:rPr>
        <w:t xml:space="preserve">aplicación </w:t>
      </w:r>
      <w:r>
        <w:rPr>
          <w:rStyle w:val="hps"/>
        </w:rPr>
        <w:t xml:space="preserve">de la Convención a nivel nacional e internacional, y permite demostrar con mayor amplitud la importancia de salvaguardar el patrimonio vivo en general para promover el desarrollo sostenible. Con este fin, la Secretaría </w:t>
      </w:r>
      <w:r w:rsidR="006C3F6B">
        <w:rPr>
          <w:rStyle w:val="hps"/>
        </w:rPr>
        <w:t xml:space="preserve">fomenta </w:t>
      </w:r>
      <w:r>
        <w:rPr>
          <w:rStyle w:val="hps"/>
        </w:rPr>
        <w:t xml:space="preserve">mejoras continuas en la supervisión y la gestión de los conocimientos y realiza el seguimiento de las decisiones del Comité. La reflexión global sobre los mecanismos de inscripción en las listas de la Convención será uno de los puntos centrales en los próximos años (Decisiones </w:t>
      </w:r>
      <w:hyperlink r:id="rId26" w:history="1">
        <w:r>
          <w:rPr>
            <w:rStyle w:val="Lienhypertexte"/>
          </w:rPr>
          <w:t>13.COM 6</w:t>
        </w:r>
      </w:hyperlink>
      <w:r>
        <w:t xml:space="preserve">, </w:t>
      </w:r>
      <w:hyperlink r:id="rId27" w:history="1">
        <w:r>
          <w:rPr>
            <w:rStyle w:val="Lienhypertexte"/>
          </w:rPr>
          <w:t>13.COM 10</w:t>
        </w:r>
      </w:hyperlink>
      <w:r>
        <w:t xml:space="preserve"> y </w:t>
      </w:r>
      <w:hyperlink r:id="rId28" w:history="1">
        <w:r>
          <w:rPr>
            <w:rStyle w:val="Lienhypertexte"/>
          </w:rPr>
          <w:t>14.COM 14</w:t>
        </w:r>
      </w:hyperlink>
      <w:r>
        <w:rPr>
          <w:rStyle w:val="hps"/>
        </w:rPr>
        <w:t xml:space="preserve">), y como tal, la Secretaría continuará apoyando este proceso, que es financiado en gran medida por Japón, especialmente a través de la organización de una reunión de expertos y un grupo de trabajo intergubernamental de composición abierta. Del mismo modo, en respuesta a las recomendaciones recurrentes del Órgano de Evaluación y a una decisión del Comité solicitando a la Secretaría "publicar las recomendaciones del Órgano de Evaluación sobre las medidas de salvaguardia y las buenas prácticas que </w:t>
      </w:r>
      <w:r w:rsidR="006C3F6B">
        <w:rPr>
          <w:rStyle w:val="hps"/>
        </w:rPr>
        <w:t>responden a</w:t>
      </w:r>
      <w:r>
        <w:rPr>
          <w:rStyle w:val="hps"/>
        </w:rPr>
        <w:t>l riesgo de descontextualización y comercialización excesiva de elementos " (</w:t>
      </w:r>
      <w:hyperlink r:id="rId29" w:history="1">
        <w:r>
          <w:rPr>
            <w:rStyle w:val="Lienhypertexte"/>
          </w:rPr>
          <w:t>Decisión 14.COM 10</w:t>
        </w:r>
      </w:hyperlink>
      <w:r>
        <w:rPr>
          <w:rStyle w:val="hps"/>
        </w:rPr>
        <w:t xml:space="preserve">), la </w:t>
      </w:r>
      <w:r>
        <w:rPr>
          <w:rStyle w:val="hps"/>
        </w:rPr>
        <w:lastRenderedPageBreak/>
        <w:t xml:space="preserve">Secretaría también </w:t>
      </w:r>
      <w:r w:rsidR="006C3F6B">
        <w:rPr>
          <w:rStyle w:val="hps"/>
        </w:rPr>
        <w:t xml:space="preserve">se </w:t>
      </w:r>
      <w:r>
        <w:rPr>
          <w:rStyle w:val="hps"/>
        </w:rPr>
        <w:t xml:space="preserve">propone </w:t>
      </w:r>
      <w:r w:rsidR="006C3F6B">
        <w:rPr>
          <w:rStyle w:val="hps"/>
        </w:rPr>
        <w:t>desarrollar una guía de</w:t>
      </w:r>
      <w:r>
        <w:rPr>
          <w:rStyle w:val="hps"/>
        </w:rPr>
        <w:t xml:space="preserve"> orientación destinada a los Estados Partes y </w:t>
      </w:r>
      <w:r w:rsidR="006C3F6B">
        <w:rPr>
          <w:rStyle w:val="hps"/>
        </w:rPr>
        <w:t xml:space="preserve">a </w:t>
      </w:r>
      <w:r>
        <w:rPr>
          <w:rStyle w:val="hps"/>
        </w:rPr>
        <w:t>las comunidades para permitirles aprovechar el potencial económico del patrimonio vivo</w:t>
      </w:r>
      <w:r w:rsidR="004A47A0">
        <w:rPr>
          <w:rStyle w:val="hps"/>
        </w:rPr>
        <w:t>, tiendo en cuenta a la vez</w:t>
      </w:r>
      <w:r>
        <w:rPr>
          <w:rStyle w:val="hps"/>
        </w:rPr>
        <w:t xml:space="preserve"> los riesgos de descontextualización y comercialización </w:t>
      </w:r>
      <w:r w:rsidRPr="00B80AF9">
        <w:rPr>
          <w:rStyle w:val="hps"/>
        </w:rPr>
        <w:t>excesiva</w:t>
      </w:r>
      <w:r>
        <w:rPr>
          <w:rStyle w:val="hps"/>
        </w:rPr>
        <w:t>.</w:t>
      </w:r>
    </w:p>
    <w:p w14:paraId="53E077ED" w14:textId="5A2A2AB3" w:rsidR="00E07554" w:rsidRDefault="00D66131" w:rsidP="00D66131">
      <w:pPr>
        <w:pStyle w:val="COMPara"/>
        <w:numPr>
          <w:ilvl w:val="0"/>
          <w:numId w:val="5"/>
        </w:numPr>
        <w:tabs>
          <w:tab w:val="left" w:pos="567"/>
        </w:tabs>
        <w:ind w:left="567" w:hanging="567"/>
        <w:jc w:val="both"/>
        <w:rPr>
          <w:rStyle w:val="hps"/>
        </w:rPr>
      </w:pPr>
      <w:r>
        <w:rPr>
          <w:rStyle w:val="hps"/>
        </w:rPr>
        <w:t>En general, la Secretaría confía en la gestión del conocimiento como un</w:t>
      </w:r>
      <w:r w:rsidR="00462569">
        <w:rPr>
          <w:rStyle w:val="hps"/>
        </w:rPr>
        <w:t>a forma de</w:t>
      </w:r>
      <w:r>
        <w:rPr>
          <w:rStyle w:val="hps"/>
        </w:rPr>
        <w:t xml:space="preserve"> apoyo </w:t>
      </w:r>
      <w:r w:rsidR="00462569">
        <w:rPr>
          <w:rStyle w:val="hps"/>
        </w:rPr>
        <w:t>primordial en la promoción de</w:t>
      </w:r>
      <w:r>
        <w:rPr>
          <w:rStyle w:val="hps"/>
        </w:rPr>
        <w:t xml:space="preserve"> nuevas formas de trabajo</w:t>
      </w:r>
      <w:r w:rsidR="00462569">
        <w:rPr>
          <w:rStyle w:val="hps"/>
        </w:rPr>
        <w:t>,</w:t>
      </w:r>
      <w:r>
        <w:rPr>
          <w:rStyle w:val="hps"/>
        </w:rPr>
        <w:t xml:space="preserve"> en respuesta a circunstancias cambiantes y nuevas prioridades. Esta situación ref</w:t>
      </w:r>
      <w:r w:rsidR="00462569">
        <w:rPr>
          <w:rStyle w:val="hps"/>
        </w:rPr>
        <w:t xml:space="preserve">uerza </w:t>
      </w:r>
      <w:r>
        <w:rPr>
          <w:rStyle w:val="hps"/>
        </w:rPr>
        <w:t xml:space="preserve">la necesidad de actualizar y mejorar continuamente la gestión de datos y proporcionar soluciones innovadoras basadas en la web que puedan agilizar los procesos de rutina, por ejemplo, el desarrollo de formularios en línea para solicitudes y </w:t>
      </w:r>
      <w:r w:rsidR="00462569">
        <w:rPr>
          <w:rStyle w:val="hps"/>
        </w:rPr>
        <w:t>candidaturas</w:t>
      </w:r>
      <w:r>
        <w:rPr>
          <w:rStyle w:val="hps"/>
        </w:rPr>
        <w:t xml:space="preserve">. Además, las interfaces en línea pueden permitir recopilar, difundir y consultar información sobre </w:t>
      </w:r>
      <w:r w:rsidR="001C5E3A">
        <w:rPr>
          <w:rStyle w:val="hps"/>
        </w:rPr>
        <w:t xml:space="preserve">varios </w:t>
      </w:r>
      <w:r>
        <w:rPr>
          <w:rStyle w:val="hps"/>
        </w:rPr>
        <w:t>temas</w:t>
      </w:r>
      <w:r w:rsidR="001C5E3A">
        <w:rPr>
          <w:rStyle w:val="hps"/>
        </w:rPr>
        <w:t>,</w:t>
      </w:r>
      <w:r>
        <w:rPr>
          <w:rStyle w:val="hps"/>
        </w:rPr>
        <w:t xml:space="preserve"> como los ámbitos de competencia de las ONG acreditadas (</w:t>
      </w:r>
      <w:hyperlink r:id="rId30" w:history="1">
        <w:r>
          <w:rPr>
            <w:rStyle w:val="Lienhypertexte"/>
          </w:rPr>
          <w:t>Decisión 14.COM 15</w:t>
        </w:r>
      </w:hyperlink>
      <w:r>
        <w:rPr>
          <w:rStyle w:val="hps"/>
        </w:rPr>
        <w:t xml:space="preserve">). Estos desarrollos no solo pueden simplificar y consolidar la información, sino que también la </w:t>
      </w:r>
      <w:r w:rsidR="001C5E3A">
        <w:rPr>
          <w:rStyle w:val="hps"/>
        </w:rPr>
        <w:t xml:space="preserve">hacen </w:t>
      </w:r>
      <w:r>
        <w:rPr>
          <w:rStyle w:val="hps"/>
        </w:rPr>
        <w:t xml:space="preserve">accesible para múltiples partes interesadas. La crisis del COVID-19, durante la cual la Secretaría y muchas partes interesadas de la Convención (incluido el Órgano de Evaluación) trabajaron desde sus hogares, demostró aún más claramente que la accesibilidad </w:t>
      </w:r>
      <w:r w:rsidR="001C5E3A">
        <w:rPr>
          <w:rStyle w:val="hps"/>
        </w:rPr>
        <w:t xml:space="preserve">y disponibilidad </w:t>
      </w:r>
      <w:r>
        <w:rPr>
          <w:rStyle w:val="hps"/>
        </w:rPr>
        <w:t xml:space="preserve">de información y herramientas en línea son fundamentales para la continuidad de los procesos </w:t>
      </w:r>
      <w:r w:rsidR="001C5E3A">
        <w:rPr>
          <w:rStyle w:val="hps"/>
        </w:rPr>
        <w:t>reglamentarios</w:t>
      </w:r>
      <w:r>
        <w:rPr>
          <w:rStyle w:val="hps"/>
        </w:rPr>
        <w:t>.</w:t>
      </w:r>
    </w:p>
    <w:p w14:paraId="02602830" w14:textId="3E1A6CC6" w:rsidR="00D66131" w:rsidRPr="00E07554" w:rsidRDefault="00D66131" w:rsidP="00D66131">
      <w:pPr>
        <w:pStyle w:val="COMPara"/>
        <w:numPr>
          <w:ilvl w:val="0"/>
          <w:numId w:val="5"/>
        </w:numPr>
        <w:tabs>
          <w:tab w:val="left" w:pos="567"/>
        </w:tabs>
        <w:ind w:left="567" w:hanging="567"/>
        <w:jc w:val="both"/>
        <w:rPr>
          <w:rStyle w:val="hps"/>
        </w:rPr>
      </w:pPr>
      <w:r>
        <w:rPr>
          <w:rStyle w:val="hps"/>
        </w:rPr>
        <w:t xml:space="preserve">Además, </w:t>
      </w:r>
      <w:r w:rsidR="00D97987">
        <w:rPr>
          <w:rStyle w:val="hps"/>
        </w:rPr>
        <w:t>con miras a</w:t>
      </w:r>
      <w:r>
        <w:rPr>
          <w:rStyle w:val="hps"/>
        </w:rPr>
        <w:t xml:space="preserve"> </w:t>
      </w:r>
      <w:r w:rsidRPr="004C0C92">
        <w:rPr>
          <w:rStyle w:val="hps"/>
        </w:rPr>
        <w:t xml:space="preserve">la mayor operacionalización del mecanismo de Asistencia Internacional en los últimos años, el </w:t>
      </w:r>
      <w:r w:rsidR="00D97987" w:rsidRPr="004C0C92">
        <w:rPr>
          <w:rStyle w:val="hps"/>
        </w:rPr>
        <w:t xml:space="preserve">nuevo </w:t>
      </w:r>
      <w:r w:rsidRPr="009C211A">
        <w:rPr>
          <w:rStyle w:val="hps"/>
        </w:rPr>
        <w:t xml:space="preserve">Equipo de </w:t>
      </w:r>
      <w:r w:rsidR="00891767" w:rsidRPr="009C211A">
        <w:rPr>
          <w:rStyle w:val="hps"/>
        </w:rPr>
        <w:t xml:space="preserve">Implementación </w:t>
      </w:r>
      <w:r w:rsidRPr="009C211A">
        <w:rPr>
          <w:rStyle w:val="hps"/>
        </w:rPr>
        <w:t xml:space="preserve">y Seguimiento </w:t>
      </w:r>
      <w:r w:rsidR="00891767" w:rsidRPr="009C211A">
        <w:rPr>
          <w:rStyle w:val="hps"/>
        </w:rPr>
        <w:t xml:space="preserve">para </w:t>
      </w:r>
      <w:r w:rsidRPr="009C211A">
        <w:rPr>
          <w:rStyle w:val="hps"/>
        </w:rPr>
        <w:t>la Salvaguardia</w:t>
      </w:r>
      <w:r w:rsidR="00D97987" w:rsidRPr="009C211A">
        <w:rPr>
          <w:rStyle w:val="hps"/>
        </w:rPr>
        <w:t xml:space="preserve"> (</w:t>
      </w:r>
      <w:r w:rsidR="003C1324" w:rsidRPr="009C211A">
        <w:rPr>
          <w:rStyle w:val="hps"/>
        </w:rPr>
        <w:t>Safeguarding Implementation and Monitoring Team</w:t>
      </w:r>
      <w:r w:rsidR="004B3D16" w:rsidRPr="009C211A">
        <w:rPr>
          <w:rStyle w:val="hps"/>
        </w:rPr>
        <w:t>, por su nombre en inglés</w:t>
      </w:r>
      <w:r w:rsidR="00D97987" w:rsidRPr="009C211A">
        <w:rPr>
          <w:rStyle w:val="hps"/>
        </w:rPr>
        <w:t>)</w:t>
      </w:r>
      <w:r w:rsidRPr="004C0C92">
        <w:rPr>
          <w:rStyle w:val="hps"/>
        </w:rPr>
        <w:t xml:space="preserve"> recientemente contratado iniciará </w:t>
      </w:r>
      <w:r w:rsidR="003C1324" w:rsidRPr="004C0C92">
        <w:rPr>
          <w:rStyle w:val="hps"/>
        </w:rPr>
        <w:t xml:space="preserve">el </w:t>
      </w:r>
      <w:r w:rsidRPr="004C0C92">
        <w:rPr>
          <w:rStyle w:val="hps"/>
        </w:rPr>
        <w:t>seguimiento mejorado de los proyectos en curso financiados por el Fondo, y</w:t>
      </w:r>
      <w:r>
        <w:rPr>
          <w:rStyle w:val="hps"/>
        </w:rPr>
        <w:t xml:space="preserve"> recopilará las experiencias adquiridas de los proyectos en curso y completados. Esto se logrará con la introducción de herramientas para orientar a los Estados Partes y mediante la mejora de la recopilación cualitativa y cuantitativa de datos.</w:t>
      </w:r>
    </w:p>
    <w:p w14:paraId="59C26A7D" w14:textId="08F4715F" w:rsidR="00CE26EE" w:rsidRPr="00E07554" w:rsidRDefault="00CE26EE" w:rsidP="001740D7">
      <w:pPr>
        <w:pStyle w:val="Titre2"/>
        <w:tabs>
          <w:tab w:val="left" w:pos="567"/>
        </w:tabs>
        <w:snapToGrid w:val="0"/>
        <w:spacing w:before="360" w:after="240"/>
        <w:ind w:left="567"/>
        <w:jc w:val="both"/>
        <w:rPr>
          <w:rFonts w:ascii="Arial" w:hAnsi="Arial" w:cs="Arial"/>
          <w:bCs w:val="0"/>
          <w:i w:val="0"/>
          <w:iCs w:val="0"/>
          <w:snapToGrid w:val="0"/>
          <w:sz w:val="22"/>
          <w:szCs w:val="22"/>
        </w:rPr>
      </w:pPr>
      <w:r>
        <w:rPr>
          <w:rFonts w:ascii="Arial" w:hAnsi="Arial"/>
          <w:i w:val="0"/>
          <w:snapToGrid w:val="0"/>
          <w:sz w:val="22"/>
        </w:rPr>
        <w:t xml:space="preserve">Resultado esperado 2: </w:t>
      </w:r>
      <w:r w:rsidR="00BB3DF5">
        <w:rPr>
          <w:rFonts w:ascii="Arial" w:hAnsi="Arial"/>
          <w:i w:val="0"/>
          <w:snapToGrid w:val="0"/>
          <w:sz w:val="22"/>
        </w:rPr>
        <w:t xml:space="preserve">Aplicación </w:t>
      </w:r>
      <w:r>
        <w:rPr>
          <w:rFonts w:ascii="Arial" w:hAnsi="Arial"/>
          <w:i w:val="0"/>
          <w:snapToGrid w:val="0"/>
          <w:sz w:val="22"/>
        </w:rPr>
        <w:t>de la Convención en los Estados Miembros mediante un programa de fortalecimiento de capacidades</w:t>
      </w:r>
      <w:r w:rsidR="00BB3DF5">
        <w:rPr>
          <w:rFonts w:ascii="Arial" w:hAnsi="Arial"/>
          <w:i w:val="0"/>
          <w:snapToGrid w:val="0"/>
          <w:sz w:val="22"/>
        </w:rPr>
        <w:t xml:space="preserve"> reforzado</w:t>
      </w:r>
    </w:p>
    <w:p w14:paraId="61BE84E5" w14:textId="18C2A618" w:rsidR="00E07554" w:rsidRPr="00E07554" w:rsidRDefault="00E07554" w:rsidP="00C21695">
      <w:pPr>
        <w:pStyle w:val="COMPara"/>
        <w:numPr>
          <w:ilvl w:val="0"/>
          <w:numId w:val="5"/>
        </w:numPr>
        <w:tabs>
          <w:tab w:val="left" w:pos="567"/>
        </w:tabs>
        <w:ind w:left="567" w:hanging="567"/>
        <w:jc w:val="both"/>
        <w:rPr>
          <w:rStyle w:val="hps"/>
        </w:rPr>
      </w:pPr>
      <w:r>
        <w:rPr>
          <w:rStyle w:val="hps"/>
        </w:rPr>
        <w:t xml:space="preserve">Debido a la continua expansión de la Convención, la demanda de fortalecimiento de capacidades sigue siendo alta, </w:t>
      </w:r>
      <w:r w:rsidR="007C1699">
        <w:rPr>
          <w:rStyle w:val="hps"/>
        </w:rPr>
        <w:t>a medida que</w:t>
      </w:r>
      <w:r>
        <w:rPr>
          <w:rStyle w:val="hps"/>
        </w:rPr>
        <w:t xml:space="preserve"> los Estados Partes se enfrentan a nuevos desafíos. Al mismo tiempo, el contexto y las condiciones para implementar el programa de fortalecimiento de capacidades están evolucionando, lo que requiere nuevos enfoques y estrategias. El surgimiento de la crisis del COVID-19, y las restricciones subsiguientes a la organización de reuniones públicas y desplazamientos internacionales, dejaron particularmente claro que el programa de fortalecimiento de capacidades debe adaptarse.</w:t>
      </w:r>
    </w:p>
    <w:p w14:paraId="347E709F" w14:textId="7B6F3E15" w:rsidR="005B6123" w:rsidRDefault="00E646ED" w:rsidP="005B6123">
      <w:pPr>
        <w:pStyle w:val="COMPara"/>
        <w:numPr>
          <w:ilvl w:val="0"/>
          <w:numId w:val="5"/>
        </w:numPr>
        <w:tabs>
          <w:tab w:val="left" w:pos="567"/>
        </w:tabs>
        <w:ind w:left="567" w:hanging="567"/>
        <w:jc w:val="both"/>
        <w:rPr>
          <w:rStyle w:val="hps"/>
        </w:rPr>
      </w:pPr>
      <w:r>
        <w:rPr>
          <w:rStyle w:val="hps"/>
        </w:rPr>
        <w:t>Durante el presente bienio, la Secretaría se centrará en implementar un reposicionamiento estratégico del programa para incluir un mayor porcentaje de capacitaci</w:t>
      </w:r>
      <w:r w:rsidR="007C1699">
        <w:rPr>
          <w:rStyle w:val="hps"/>
        </w:rPr>
        <w:t>o</w:t>
      </w:r>
      <w:r>
        <w:rPr>
          <w:rStyle w:val="hps"/>
        </w:rPr>
        <w:t>n</w:t>
      </w:r>
      <w:r w:rsidR="007C1699">
        <w:rPr>
          <w:rStyle w:val="hps"/>
        </w:rPr>
        <w:t>es</w:t>
      </w:r>
      <w:r>
        <w:rPr>
          <w:rStyle w:val="hps"/>
        </w:rPr>
        <w:t xml:space="preserve"> en línea </w:t>
      </w:r>
      <w:r w:rsidR="007C1699">
        <w:rPr>
          <w:rStyle w:val="hps"/>
        </w:rPr>
        <w:t xml:space="preserve">sobre los </w:t>
      </w:r>
      <w:r>
        <w:rPr>
          <w:rStyle w:val="hps"/>
        </w:rPr>
        <w:t xml:space="preserve">contenidos cubiertos por el programa, basándose en modalidades autónomas o acompañadas por instructores. Considerando la extensión del programa desde su lanzamiento, esto representa un esfuerzo considerable, que se intensificará este bienio. La exitosa experiencia de fortalecimiento de capacidades para el ciclo de presentación de informes </w:t>
      </w:r>
      <w:r w:rsidR="007C1699">
        <w:rPr>
          <w:rStyle w:val="hps"/>
        </w:rPr>
        <w:t xml:space="preserve">periódicos </w:t>
      </w:r>
      <w:r>
        <w:rPr>
          <w:rStyle w:val="hps"/>
        </w:rPr>
        <w:t>en América Latina y el Caribe permitió a la Secretaría reunir conocimientos y habilidades útiles para diseñar, producir e implementar programas de capacitación en línea. El formato en línea implica que el programa puede estar al alcance de un grupo más grande de personas, sin necesidad de incurrir en gastos de desplazamiento y alojamiento para los participantes, siendo</w:t>
      </w:r>
      <w:r w:rsidR="007C1699">
        <w:rPr>
          <w:rStyle w:val="hps"/>
        </w:rPr>
        <w:t xml:space="preserve"> a la vez</w:t>
      </w:r>
      <w:r>
        <w:rPr>
          <w:rStyle w:val="hps"/>
        </w:rPr>
        <w:t xml:space="preserve"> más </w:t>
      </w:r>
      <w:r w:rsidR="007C1699">
        <w:rPr>
          <w:rStyle w:val="hps"/>
        </w:rPr>
        <w:t xml:space="preserve">económico </w:t>
      </w:r>
      <w:r>
        <w:rPr>
          <w:rStyle w:val="hps"/>
        </w:rPr>
        <w:t>y</w:t>
      </w:r>
      <w:r w:rsidR="007C1699">
        <w:rPr>
          <w:rStyle w:val="hps"/>
        </w:rPr>
        <w:t xml:space="preserve"> respetuoso d</w:t>
      </w:r>
      <w:r>
        <w:rPr>
          <w:rStyle w:val="hps"/>
        </w:rPr>
        <w:t>el medio ambiente.</w:t>
      </w:r>
    </w:p>
    <w:p w14:paraId="64FD41F2" w14:textId="42CC5897" w:rsidR="00E07554" w:rsidRPr="00E07554" w:rsidRDefault="005B6123" w:rsidP="005B6123">
      <w:pPr>
        <w:pStyle w:val="COMPara"/>
        <w:numPr>
          <w:ilvl w:val="0"/>
          <w:numId w:val="5"/>
        </w:numPr>
        <w:tabs>
          <w:tab w:val="left" w:pos="567"/>
        </w:tabs>
        <w:ind w:left="567" w:hanging="567"/>
        <w:jc w:val="both"/>
        <w:rPr>
          <w:rStyle w:val="hps"/>
        </w:rPr>
      </w:pPr>
      <w:r>
        <w:rPr>
          <w:rStyle w:val="hps"/>
        </w:rPr>
        <w:t xml:space="preserve">Para garantizar la sostenibilidad del programa de fortalecimiento de capacidades en el futuro, la Secretaría continuará supervisando sus resultados, en particular en lo relativo a la integración de la salvaguardia del patrimonio cultural inmaterial en las </w:t>
      </w:r>
      <w:r w:rsidRPr="00554FFE">
        <w:rPr>
          <w:rStyle w:val="hps"/>
        </w:rPr>
        <w:t>políticas</w:t>
      </w:r>
      <w:r>
        <w:rPr>
          <w:rStyle w:val="hps"/>
        </w:rPr>
        <w:t xml:space="preserve">. La identificación y la creación de alianzas estratégicas con otras organizaciones activas en los campos de la cultura y </w:t>
      </w:r>
      <w:r w:rsidR="006A66FE">
        <w:rPr>
          <w:rStyle w:val="hps"/>
        </w:rPr>
        <w:t>d</w:t>
      </w:r>
      <w:r>
        <w:rPr>
          <w:rStyle w:val="hps"/>
        </w:rPr>
        <w:t xml:space="preserve">el patrimonio, incluidos los centros de categoría 2 y las universidades, también seguirán siendo una prioridad. En este aspecto, la Secretaría prevé el desarrollo de cursos en línea masivos y abiertos (MOOC, por sus siglas en inglés), como una forma </w:t>
      </w:r>
      <w:r>
        <w:rPr>
          <w:rStyle w:val="hps"/>
        </w:rPr>
        <w:lastRenderedPageBreak/>
        <w:t>innovadora de extender el alcance del programa de fortalecimiento de capacidades a audiencias más jóvenes</w:t>
      </w:r>
      <w:r w:rsidR="001145CA">
        <w:rPr>
          <w:rStyle w:val="hps"/>
        </w:rPr>
        <w:t xml:space="preserve">, </w:t>
      </w:r>
      <w:r>
        <w:rPr>
          <w:rStyle w:val="hps"/>
        </w:rPr>
        <w:t xml:space="preserve">a estudiantes interesados en el patrimonio vivo, </w:t>
      </w:r>
      <w:r w:rsidR="00E0424B">
        <w:rPr>
          <w:rStyle w:val="hps"/>
        </w:rPr>
        <w:t xml:space="preserve">y además a </w:t>
      </w:r>
      <w:r>
        <w:rPr>
          <w:rStyle w:val="hps"/>
        </w:rPr>
        <w:t>funcionarios gubernamentales y ONG.</w:t>
      </w:r>
    </w:p>
    <w:p w14:paraId="5FF61816" w14:textId="3014A4EB" w:rsidR="00CE26EE" w:rsidRPr="00FB0B14" w:rsidRDefault="00CE26EE" w:rsidP="001740D7">
      <w:pPr>
        <w:pStyle w:val="Titre2"/>
        <w:tabs>
          <w:tab w:val="left" w:pos="567"/>
        </w:tabs>
        <w:snapToGrid w:val="0"/>
        <w:spacing w:before="360" w:after="240"/>
        <w:ind w:left="567"/>
        <w:jc w:val="both"/>
        <w:rPr>
          <w:rFonts w:ascii="Arial" w:hAnsi="Arial" w:cs="Arial"/>
          <w:i w:val="0"/>
          <w:sz w:val="22"/>
          <w:szCs w:val="22"/>
        </w:rPr>
      </w:pPr>
      <w:r>
        <w:rPr>
          <w:rFonts w:ascii="Arial" w:hAnsi="Arial"/>
          <w:i w:val="0"/>
          <w:snapToGrid w:val="0"/>
          <w:sz w:val="22"/>
        </w:rPr>
        <w:t xml:space="preserve">Resultado esperado 3: </w:t>
      </w:r>
      <w:r w:rsidR="00BB3DF5">
        <w:rPr>
          <w:rFonts w:ascii="Arial" w:hAnsi="Arial"/>
          <w:i w:val="0"/>
          <w:snapToGrid w:val="0"/>
          <w:sz w:val="22"/>
        </w:rPr>
        <w:t xml:space="preserve">Promoción de la </w:t>
      </w:r>
      <w:r w:rsidR="00BB3DF5">
        <w:rPr>
          <w:rFonts w:ascii="Arial" w:hAnsi="Arial"/>
          <w:i w:val="0"/>
          <w:sz w:val="22"/>
        </w:rPr>
        <w:t>i</w:t>
      </w:r>
      <w:r>
        <w:rPr>
          <w:rFonts w:ascii="Arial" w:hAnsi="Arial"/>
          <w:i w:val="0"/>
          <w:sz w:val="22"/>
        </w:rPr>
        <w:t xml:space="preserve">ntegración del patrimonio cultural inmaterial en los planes, políticas y programas de desarrollo </w:t>
      </w:r>
    </w:p>
    <w:p w14:paraId="2748026F" w14:textId="75CA4C43" w:rsidR="00E07554" w:rsidRPr="00CC042B" w:rsidRDefault="00CC042B" w:rsidP="00CC042B">
      <w:pPr>
        <w:pStyle w:val="COMPara"/>
        <w:numPr>
          <w:ilvl w:val="0"/>
          <w:numId w:val="5"/>
        </w:numPr>
        <w:tabs>
          <w:tab w:val="left" w:pos="567"/>
        </w:tabs>
        <w:ind w:left="567" w:hanging="567"/>
        <w:jc w:val="both"/>
        <w:rPr>
          <w:rStyle w:val="hps"/>
          <w:bCs/>
        </w:rPr>
      </w:pPr>
      <w:r>
        <w:rPr>
          <w:rStyle w:val="hps"/>
        </w:rPr>
        <w:t>En respuesta a la adopción por parte del Comité de dos prioridades de financiación para 2018-2021 (</w:t>
      </w:r>
      <w:hyperlink r:id="rId31" w:history="1">
        <w:r>
          <w:rPr>
            <w:rStyle w:val="Lienhypertexte"/>
          </w:rPr>
          <w:t>Decisión 12.COM 6</w:t>
        </w:r>
      </w:hyperlink>
      <w:r>
        <w:rPr>
          <w:rStyle w:val="hps"/>
        </w:rPr>
        <w:t xml:space="preserve">), la Secretaría desarrolló, en los últimos dos años, la iniciativa intersectorial "Salvaguardia del patrimonio cultural inmaterial a través de la </w:t>
      </w:r>
      <w:r w:rsidR="001145CA">
        <w:rPr>
          <w:rStyle w:val="hps"/>
        </w:rPr>
        <w:t xml:space="preserve">educación </w:t>
      </w:r>
      <w:r>
        <w:rPr>
          <w:rStyle w:val="hps"/>
        </w:rPr>
        <w:t xml:space="preserve">formal y no formal" que contribuye a una iniciativa intersectorial global de la UNESCO sobre "Educación y cultura para promover los ODS". Como acción preliminar, la Secretaría lanzará y desarrollará aún más </w:t>
      </w:r>
      <w:r w:rsidR="003821E9">
        <w:rPr>
          <w:rStyle w:val="hps"/>
        </w:rPr>
        <w:t xml:space="preserve">un </w:t>
      </w:r>
      <w:r>
        <w:rPr>
          <w:rStyle w:val="hps"/>
        </w:rPr>
        <w:t>centro de intercambio de información para promover la transferencia de conocimientos, la cooperación y la innovación sobre el patrimonio cultural inmaterial y la educación, para facilitar las acciones en este sector a nivel mundial. Se intensificarán los esfuerzos para construir y mantener alianzas con donantes pertinentes, y en consecuencia, se desarrollarán programas e instituciones globales de educación a fin de encontrar apoyo para esta creciente demanda y actividades.</w:t>
      </w:r>
    </w:p>
    <w:p w14:paraId="10921D11" w14:textId="6CDCA378" w:rsidR="00E07554" w:rsidRPr="0054167F" w:rsidRDefault="00495844" w:rsidP="00127A03">
      <w:pPr>
        <w:pStyle w:val="COMPara"/>
        <w:numPr>
          <w:ilvl w:val="0"/>
          <w:numId w:val="5"/>
        </w:numPr>
        <w:tabs>
          <w:tab w:val="left" w:pos="567"/>
        </w:tabs>
        <w:ind w:left="567" w:hanging="567"/>
        <w:jc w:val="both"/>
        <w:rPr>
          <w:rStyle w:val="hps"/>
          <w:bCs/>
        </w:rPr>
      </w:pPr>
      <w:r>
        <w:rPr>
          <w:rStyle w:val="hps"/>
        </w:rPr>
        <w:t>En su decimotercera reunión en 2018, el Comité reconoció la importancia de los pueblos indígenas en todo el mundo para garantizar la sostenibilidad, el aprendizaje, el uso y la transmisión de sus idiomas como vehículos fundamentales del patrimonio cultural inmaterial (</w:t>
      </w:r>
      <w:hyperlink r:id="rId32" w:history="1">
        <w:r>
          <w:rPr>
            <w:rStyle w:val="Lienhypertexte"/>
          </w:rPr>
          <w:t>Decisión 13.COM 20</w:t>
        </w:r>
      </w:hyperlink>
      <w:r>
        <w:rPr>
          <w:rStyle w:val="hps"/>
        </w:rPr>
        <w:t xml:space="preserve">). En línea con esta decisión, la Secretaría se pondrá en contacto con los pueblos indígenas y las asociaciones que participan activamente en la integración de su patrimonio vivo en programas de educación formal y no formal para reflejar sus experiencias en el centro de intercambio de información y en el plan de acción que la UNESCO está desarrollando para el Decenio Internacional de las Lenguas Indígenas. Además, las sinergias entre la Convención de 2003 y las acciones del sistema de las Naciones Unidas en el marco de la Agenda 2030, se intensificarán aún más en el área del cambio climático y la biodiversidad, con nuevas oportunidades emergentes en el contexto de los preparativos para el Marco Global para la Biodiversidad </w:t>
      </w:r>
      <w:r w:rsidR="00330014">
        <w:rPr>
          <w:rStyle w:val="hps"/>
        </w:rPr>
        <w:t xml:space="preserve">post-2020 </w:t>
      </w:r>
      <w:r>
        <w:rPr>
          <w:rStyle w:val="hps"/>
        </w:rPr>
        <w:t>del Convenio sobre la Diversidad Biológica.</w:t>
      </w:r>
    </w:p>
    <w:p w14:paraId="4C6DB542" w14:textId="77777777" w:rsidR="00CE26EE" w:rsidRPr="00E07554" w:rsidRDefault="00CE26EE" w:rsidP="001740D7">
      <w:pPr>
        <w:pStyle w:val="Titre2"/>
        <w:tabs>
          <w:tab w:val="left" w:pos="567"/>
        </w:tabs>
        <w:snapToGrid w:val="0"/>
        <w:spacing w:before="360" w:after="240"/>
        <w:ind w:left="567"/>
        <w:jc w:val="both"/>
        <w:rPr>
          <w:rStyle w:val="hps"/>
          <w:rFonts w:cs="Arial"/>
          <w:bCs w:val="0"/>
          <w:iCs w:val="0"/>
          <w:sz w:val="22"/>
          <w:szCs w:val="22"/>
        </w:rPr>
      </w:pPr>
      <w:r>
        <w:rPr>
          <w:rFonts w:ascii="Arial" w:hAnsi="Arial"/>
          <w:i w:val="0"/>
          <w:snapToGrid w:val="0"/>
          <w:sz w:val="22"/>
        </w:rPr>
        <w:t>Resultado esperado 4: Objetivos de la Convención promovidos mediante la sensibilización y la divulgación</w:t>
      </w:r>
    </w:p>
    <w:p w14:paraId="77998382" w14:textId="6778199E" w:rsidR="00E07554" w:rsidRPr="00E07554" w:rsidRDefault="00E07554" w:rsidP="00E63170">
      <w:pPr>
        <w:pStyle w:val="COMPara"/>
        <w:numPr>
          <w:ilvl w:val="0"/>
          <w:numId w:val="5"/>
        </w:numPr>
        <w:tabs>
          <w:tab w:val="left" w:pos="567"/>
        </w:tabs>
        <w:ind w:left="567" w:hanging="567"/>
        <w:jc w:val="both"/>
        <w:rPr>
          <w:bCs/>
        </w:rPr>
      </w:pPr>
      <w:r>
        <w:t xml:space="preserve">Como se define en su Artículo 1, uno de los principales propósitos de la Convención es sensibilizar sobre la importancia del patrimonio cultural inmaterial </w:t>
      </w:r>
      <w:r w:rsidR="0049355B">
        <w:t>en los planos</w:t>
      </w:r>
      <w:r>
        <w:t xml:space="preserve"> local, nacional e internacional. Sobre la base de las acciones llevadas a cabo en el bienio anterior, la Secretaría continuará emprendiendo actividades de comunicación para sensibilizar y divulgar a todos los niveles, y en particular a nivel internacional. Además, el desarrollo de asociaciones institucionales estratégicas y efectivas seguirá siendo clave para promover los objetivos de la Convención. En este sentido, la Secretaría planea intensificar sus esfuerzos para buscar medios de aumentar los recursos financieros recibidos para implementar la Convención.</w:t>
      </w:r>
    </w:p>
    <w:p w14:paraId="575710A1" w14:textId="2DA8C447" w:rsidR="00E07554" w:rsidRPr="00E07554" w:rsidRDefault="00E07554" w:rsidP="00C21695">
      <w:pPr>
        <w:pStyle w:val="COMPara"/>
        <w:numPr>
          <w:ilvl w:val="0"/>
          <w:numId w:val="5"/>
        </w:numPr>
        <w:tabs>
          <w:tab w:val="left" w:pos="567"/>
        </w:tabs>
        <w:ind w:left="567" w:hanging="567"/>
        <w:jc w:val="both"/>
        <w:rPr>
          <w:bCs/>
        </w:rPr>
      </w:pPr>
      <w:r>
        <w:t xml:space="preserve">El </w:t>
      </w:r>
      <w:hyperlink r:id="rId33" w:history="1">
        <w:r>
          <w:rPr>
            <w:rStyle w:val="Lienhypertexte"/>
          </w:rPr>
          <w:t>sitio web de la Convención</w:t>
        </w:r>
      </w:hyperlink>
      <w:r>
        <w:t xml:space="preserve"> es la estructura de base para difundir información sobre la Convención y su implementación, desde el trabajo de los órganos rectores hasta los proyectos y actividades implementados a nivel nacional. El desarrollo de la Convención, tanto en su alcance geográfico como en su expansión temática, ha generado una gran cantidad de información que deberá ser reorganizada. El rediseño del sitio web mejorará la accesibilidad de toda la información que contiene, concentrándose en las relaciones entre el patrimonio vivo y el desarrollo sostenible. Sobre la base de la experiencia exitosa de la </w:t>
      </w:r>
      <w:hyperlink r:id="rId34" w:history="1">
        <w:r>
          <w:rPr>
            <w:rStyle w:val="Lienhypertexte"/>
          </w:rPr>
          <w:t>plataforma sobre experiencias del patrimonio vivo y la pandemia del COVID-19</w:t>
        </w:r>
      </w:hyperlink>
      <w:r>
        <w:t>, lanzada en mayo de 2020, la Secretaría también reforzará la capacidad de su sitio web para servir como plataforma de intercambio y comunicación.</w:t>
      </w:r>
    </w:p>
    <w:p w14:paraId="4225DAD0" w14:textId="18B1B138" w:rsidR="00E07554" w:rsidRPr="00E07554" w:rsidRDefault="004A3206" w:rsidP="00C21695">
      <w:pPr>
        <w:pStyle w:val="COMPara"/>
        <w:numPr>
          <w:ilvl w:val="0"/>
          <w:numId w:val="5"/>
        </w:numPr>
        <w:tabs>
          <w:tab w:val="left" w:pos="567"/>
        </w:tabs>
        <w:ind w:left="567" w:hanging="567"/>
        <w:jc w:val="both"/>
        <w:rPr>
          <w:bCs/>
        </w:rPr>
      </w:pPr>
      <w:r>
        <w:t xml:space="preserve">Se lanzará y desarrollará una amplia gama de herramientas e iniciativas de comunicación para llegar a una gran variedad de partes interesadas, incluidas las autoridades </w:t>
      </w:r>
      <w:r>
        <w:lastRenderedPageBreak/>
        <w:t>gubernamentales, organizaciones asociadas como las ONG acreditadas y los centros de categoría 2, así como las comunidades. Se desarrollarán herramientas de comunicación y orientación para los Estados Partes. Se prepararán y organizarán herramientas de visualización inte</w:t>
      </w:r>
      <w:r w:rsidRPr="00C82521">
        <w:t>ractivas (como la interfaz en línea "¡</w:t>
      </w:r>
      <w:r w:rsidR="005033EC" w:rsidRPr="00C82521">
        <w:t xml:space="preserve">Indague </w:t>
      </w:r>
      <w:r w:rsidRPr="00C82521">
        <w:t xml:space="preserve">el patrimonio cultural </w:t>
      </w:r>
      <w:r w:rsidRPr="00395868">
        <w:t>inmaterial</w:t>
      </w:r>
      <w:r w:rsidRPr="009C211A">
        <w:t>!</w:t>
      </w:r>
      <w:r>
        <w:t>"), exposiciones (tanto físicas como virtuales), así como folletos electrónicos en torno a temas estratégicos, en particular sobre desarrollo sostenible y emergencias. Se realizarán esfuerzos específicos para entrar en contacto con nuevos públicos y garantizar la presencia del patrimonio vivo en al menos un evento internacional de envergadura sobre desarrollo sostenible.</w:t>
      </w:r>
    </w:p>
    <w:p w14:paraId="01227BCB" w14:textId="77777777" w:rsidR="00233695" w:rsidRPr="00233695" w:rsidRDefault="00233695" w:rsidP="001740D7">
      <w:pPr>
        <w:pStyle w:val="GAPara"/>
        <w:keepNext/>
        <w:numPr>
          <w:ilvl w:val="0"/>
          <w:numId w:val="0"/>
        </w:numPr>
        <w:spacing w:before="240"/>
        <w:rPr>
          <w:b/>
          <w:bCs/>
        </w:rPr>
      </w:pPr>
      <w:r>
        <w:rPr>
          <w:b/>
        </w:rPr>
        <w:t>Participación en las reuniones de los órganos rectores y asistencia al Comité</w:t>
      </w:r>
    </w:p>
    <w:p w14:paraId="1136C40B" w14:textId="7A476655" w:rsidR="00576E1D" w:rsidRPr="00EB21CA" w:rsidRDefault="00576E1D" w:rsidP="00C21695">
      <w:pPr>
        <w:pStyle w:val="COMPara"/>
        <w:keepLines/>
        <w:numPr>
          <w:ilvl w:val="0"/>
          <w:numId w:val="5"/>
        </w:numPr>
        <w:tabs>
          <w:tab w:val="left" w:pos="567"/>
        </w:tabs>
        <w:ind w:left="567" w:hanging="567"/>
        <w:jc w:val="both"/>
      </w:pPr>
      <w:r>
        <w:t xml:space="preserve">La participación de expertos </w:t>
      </w:r>
      <w:r w:rsidR="005033EC">
        <w:t xml:space="preserve">en </w:t>
      </w:r>
      <w:r>
        <w:t xml:space="preserve">patrimonio cultural inmaterial en las reuniones </w:t>
      </w:r>
      <w:r w:rsidR="001C5E3A">
        <w:t xml:space="preserve">reglamentarias </w:t>
      </w:r>
      <w:r>
        <w:t xml:space="preserve">en representación de los Estados Partes en vías de desarrollo se cubre con la </w:t>
      </w:r>
      <w:r>
        <w:rPr>
          <w:b/>
        </w:rPr>
        <w:t>partida presupuestaria 4</w:t>
      </w:r>
      <w:r>
        <w:t xml:space="preserve">, cuando estos son miembros del Comité, o con la </w:t>
      </w:r>
      <w:r>
        <w:rPr>
          <w:b/>
        </w:rPr>
        <w:t>partida presupuestaria 5</w:t>
      </w:r>
      <w:r>
        <w:t xml:space="preserve"> cuando no lo son. La participación a las reuniones del Comité de expertos </w:t>
      </w:r>
      <w:r w:rsidR="005033EC">
        <w:t xml:space="preserve">en </w:t>
      </w:r>
      <w:r>
        <w:t>patrimonio cultural inmaterial que representan a ONG acreditadas de países en vías de desarrollo es cubierta por la</w:t>
      </w:r>
      <w:r>
        <w:rPr>
          <w:b/>
        </w:rPr>
        <w:t xml:space="preserve"> partida presupuestaria 6</w:t>
      </w:r>
      <w:r>
        <w:t>. Se propone que 2,63 %, 3,31 % y 3,31 %, respectivamente, se destinen a las partidas mencionadas anteriormente. Los pequeños ajustes en los porcentajes están destinados a garantizar el apoyo a todos los miembros elegibles del Comité, al tiempo que equilibran el apoyo brindado a los Estados Partes y a las ONG acreditadas, teniendo en cuenta el creciente número de ratificaciones en los últimos años.</w:t>
      </w:r>
    </w:p>
    <w:p w14:paraId="441A1359" w14:textId="0DD65EF3" w:rsidR="00C6563D" w:rsidRDefault="0009445E" w:rsidP="00C21695">
      <w:pPr>
        <w:pStyle w:val="COMPara"/>
        <w:numPr>
          <w:ilvl w:val="0"/>
          <w:numId w:val="5"/>
        </w:numPr>
        <w:tabs>
          <w:tab w:val="left" w:pos="567"/>
        </w:tabs>
        <w:ind w:left="567" w:hanging="567"/>
        <w:jc w:val="both"/>
      </w:pPr>
      <w:r>
        <w:t>En su séptima reunión (</w:t>
      </w:r>
      <w:hyperlink r:id="rId35" w:history="1">
        <w:r>
          <w:rPr>
            <w:rStyle w:val="Lienhypertexte"/>
          </w:rPr>
          <w:t>Decisión 7.GA 8</w:t>
        </w:r>
      </w:hyperlink>
      <w:r>
        <w:t xml:space="preserve">), la Asamblea General recomendó </w:t>
      </w:r>
      <w:r w:rsidR="00916DDD">
        <w:t xml:space="preserve">que la </w:t>
      </w:r>
      <w:r>
        <w:t xml:space="preserve">Secretaría </w:t>
      </w:r>
      <w:r w:rsidR="00916DDD">
        <w:t>fuer</w:t>
      </w:r>
      <w:r w:rsidR="00BC518E">
        <w:t xml:space="preserve">a </w:t>
      </w:r>
      <w:r w:rsidR="00916DDD">
        <w:t xml:space="preserve">autorizada a </w:t>
      </w:r>
      <w:r>
        <w:t>realizar transferencias entre las partidas presupuestarias 4, 5 y 6 de hasta el 30 % de su asignación total inicial. Durante el período de referencia 2018-2019, las siguientes dos transferencias se llevaron a cabo, en septiembre y noviembre de 2019 respectivamente, entre estas tres partidas presupuestarias, de la siguiente manera:</w:t>
      </w:r>
    </w:p>
    <w:p w14:paraId="5AF9AFAA" w14:textId="25CB0815" w:rsidR="00500CFC" w:rsidRDefault="00500CFC" w:rsidP="00E63170">
      <w:pPr>
        <w:pStyle w:val="COMPara"/>
        <w:numPr>
          <w:ilvl w:val="1"/>
          <w:numId w:val="5"/>
        </w:numPr>
        <w:tabs>
          <w:tab w:val="left" w:pos="567"/>
        </w:tabs>
        <w:ind w:left="1134" w:hanging="567"/>
        <w:jc w:val="both"/>
      </w:pPr>
      <w:r>
        <w:t>24 866 dólares estadounidenses de la partida presupuestaria 4 a la partida presupuestaria 5 (este monto representa el 14 % de la asignación inicial de la partida presupuestaria 4);</w:t>
      </w:r>
    </w:p>
    <w:p w14:paraId="1BFC1082" w14:textId="36D1524A" w:rsidR="00500CFC" w:rsidRDefault="00500CFC" w:rsidP="00E63170">
      <w:pPr>
        <w:pStyle w:val="COMPara"/>
        <w:numPr>
          <w:ilvl w:val="1"/>
          <w:numId w:val="5"/>
        </w:numPr>
        <w:tabs>
          <w:tab w:val="left" w:pos="567"/>
        </w:tabs>
        <w:ind w:left="1134" w:hanging="567"/>
        <w:jc w:val="both"/>
      </w:pPr>
      <w:r>
        <w:t>45 000 dólares estadounidenses de la partida presupuestaria 6 a la partida presupuestaria 5 (este monto representa el 13 % de la asignación inicial de la partida presupuestaria 6).</w:t>
      </w:r>
    </w:p>
    <w:p w14:paraId="4E92D632" w14:textId="7E39A1FE" w:rsidR="0044038D" w:rsidRPr="00E17265" w:rsidRDefault="0044038D" w:rsidP="00C21695">
      <w:pPr>
        <w:pStyle w:val="COMPara"/>
        <w:numPr>
          <w:ilvl w:val="0"/>
          <w:numId w:val="5"/>
        </w:numPr>
        <w:tabs>
          <w:tab w:val="left" w:pos="567"/>
        </w:tabs>
        <w:ind w:left="567" w:hanging="567"/>
        <w:jc w:val="both"/>
      </w:pPr>
      <w:r>
        <w:t>Estas dos transferencias permitieron que el Fondo a) cubriera los costos de viaje de cuarenta expertos de los Estados Partes en vías de desarrollo de la Convención que no eran Miembros del Comité, para que participaran en la decimocuarta reunión del Comité en 2019 (partida presupuestaria 5); b) respondiera positivamente a todas las solicitudes de expertos representantes de Estados Partes en vías de desarrollo que eran Miembros del Comité para asistir a la decimocuarta reunión del Comité en 2019 (partida presupuestaria 4); y c) cubriera los gastos de viaje de veinticinco expertos representantes de organizaciones no gubernamentales acreditadas de países en vías de desarrollo a esta misma reunión del Comité (partida presupuestaria 6).</w:t>
      </w:r>
    </w:p>
    <w:p w14:paraId="5B3312E8" w14:textId="67166801" w:rsidR="001740D7" w:rsidRDefault="001740D7" w:rsidP="00C21695">
      <w:pPr>
        <w:pStyle w:val="COMPara"/>
        <w:numPr>
          <w:ilvl w:val="0"/>
          <w:numId w:val="5"/>
        </w:numPr>
        <w:tabs>
          <w:tab w:val="left" w:pos="567"/>
        </w:tabs>
        <w:ind w:left="567" w:hanging="567"/>
        <w:jc w:val="both"/>
      </w:pPr>
      <w:r>
        <w:t xml:space="preserve">Se propone mantener la </w:t>
      </w:r>
      <w:r>
        <w:rPr>
          <w:b/>
        </w:rPr>
        <w:t>partida presupuestaria 7</w:t>
      </w:r>
      <w:r>
        <w:t xml:space="preserve"> al 6 % para cubrir el costo de los servicios de asesoramiento prestados a pedido del Comité</w:t>
      </w:r>
      <w:r w:rsidR="00BC518E">
        <w:t>,</w:t>
      </w:r>
      <w:r>
        <w:t xml:space="preserve"> desde enero de 2020 hasta diciembre de 2021.</w:t>
      </w:r>
    </w:p>
    <w:p w14:paraId="557A9242" w14:textId="7A741E54" w:rsidR="0009445E" w:rsidRPr="00E17265" w:rsidRDefault="00C31325" w:rsidP="00C21695">
      <w:pPr>
        <w:pStyle w:val="COMPara"/>
        <w:numPr>
          <w:ilvl w:val="0"/>
          <w:numId w:val="5"/>
        </w:numPr>
        <w:tabs>
          <w:tab w:val="left" w:pos="567"/>
        </w:tabs>
        <w:ind w:left="567" w:hanging="567"/>
        <w:jc w:val="both"/>
      </w:pPr>
      <w:r>
        <w:t xml:space="preserve">Para el período 2020–2021, el objetivo sigue siendo hacer un uso eficiente de los fondos de acuerdo con las necesidades de cada ciclo. En este aspecto, se ha observado que el uso de los fondos asignados a la partida presupuestaria 7 puede variar significativamente de un año a otro, ya que la elegibilidad depende del país de los miembros expertos del Órgano de Evaluación. Por lo tanto, a fin de mejorar los esfuerzos destinados a responder a tantas solicitudes de asistencia financiera como sea posible en las diferentes categorías de participantes, el Comité recomendó a la Asamblea General que también autorice a la Secretaría a realizar transferencias entre las partidas presupuestarias 4, 5, 6 y 7, hasta a un </w:t>
      </w:r>
      <w:r>
        <w:lastRenderedPageBreak/>
        <w:t>equivalente del 30 % de su total inicial (</w:t>
      </w:r>
      <w:hyperlink r:id="rId36" w:history="1">
        <w:r>
          <w:rPr>
            <w:rStyle w:val="Lienhypertexte"/>
          </w:rPr>
          <w:t>Decisión 14.COM 7</w:t>
        </w:r>
      </w:hyperlink>
      <w:r>
        <w:t>). En la misma Decisión, se solicitó a la Secretaría que informara al Comité y a la Asamblea General por escrito, en la reunión posterior a dicha acción, sobre los detalles y las razones de estas transferencias.</w:t>
      </w:r>
    </w:p>
    <w:p w14:paraId="6DECC0C4" w14:textId="40B9083A" w:rsidR="00600219" w:rsidRDefault="003F7C52" w:rsidP="000D16BE">
      <w:pPr>
        <w:pStyle w:val="Titre4"/>
        <w:numPr>
          <w:ilvl w:val="0"/>
          <w:numId w:val="17"/>
        </w:numPr>
        <w:spacing w:before="360" w:after="120"/>
        <w:ind w:left="567" w:hanging="567"/>
        <w:jc w:val="both"/>
      </w:pPr>
      <w:bookmarkStart w:id="2" w:name="IV_Continuity_Measures"/>
      <w:bookmarkEnd w:id="2"/>
      <w:r>
        <w:t>MEDIDAS DE CONTINUIDAD LUEGO DEL APLAZAMIENTO DE LA OCTAVA REUNIÓN DE LA ASAMBLEA GENERAL</w:t>
      </w:r>
    </w:p>
    <w:p w14:paraId="2BBBC61A" w14:textId="6FAD84EF" w:rsidR="005D5581" w:rsidRPr="00684D3B" w:rsidRDefault="00684D3B" w:rsidP="0028775E">
      <w:pPr>
        <w:pStyle w:val="COMPara"/>
        <w:numPr>
          <w:ilvl w:val="0"/>
          <w:numId w:val="5"/>
        </w:numPr>
        <w:tabs>
          <w:tab w:val="left" w:pos="567"/>
        </w:tabs>
        <w:ind w:left="567" w:hanging="567"/>
        <w:jc w:val="both"/>
      </w:pPr>
      <w:r>
        <w:t xml:space="preserve">En vista del aplazamiento de la octava reunión de la Asamblea General debido a la pandemia del COVID-19, la Secretaría se vio obligada a reprogramar parte del presupuesto del Fondo aprobado para el primer semestre de 2020, a fin de garantizar la continuidad operativa. La Asamblea General, en las fechas originales </w:t>
      </w:r>
      <w:r w:rsidR="0068343C">
        <w:t xml:space="preserve">previstas </w:t>
      </w:r>
      <w:r>
        <w:t xml:space="preserve">entre el 9 y el 11 de junio de 2020, habría examinado la propuesta del Comité </w:t>
      </w:r>
      <w:r w:rsidR="005218C5">
        <w:t>para la aprobación d</w:t>
      </w:r>
      <w:r>
        <w:t xml:space="preserve">el presente Plan </w:t>
      </w:r>
      <w:r w:rsidR="00DD5475">
        <w:t>de</w:t>
      </w:r>
      <w:r>
        <w:t xml:space="preserve"> uso de los recursos del Fondo del Patrimonio Cultural Inmaterial para el bienio 2020–2021, así como </w:t>
      </w:r>
      <w:r w:rsidR="00DD5475">
        <w:t xml:space="preserve">para </w:t>
      </w:r>
      <w:r w:rsidR="005218C5">
        <w:t xml:space="preserve">la asignación </w:t>
      </w:r>
      <w:r>
        <w:t>provisional</w:t>
      </w:r>
      <w:r w:rsidR="005218C5">
        <w:t xml:space="preserve">, </w:t>
      </w:r>
      <w:r>
        <w:t>al primer semestre de 2022</w:t>
      </w:r>
      <w:r w:rsidR="005218C5">
        <w:t>, de una cuarta parte del monto establecido para el período de dos años comprendido entre el 1 de enero de 2020 y el 31 de diciembre de 2021</w:t>
      </w:r>
      <w:r w:rsidR="002F70B3">
        <w:t xml:space="preserve"> (</w:t>
      </w:r>
      <w:hyperlink r:id="rId37" w:history="1">
        <w:r w:rsidR="002F70B3">
          <w:rPr>
            <w:rStyle w:val="Lienhypertexte"/>
          </w:rPr>
          <w:t>Decisión 14.COM 7</w:t>
        </w:r>
      </w:hyperlink>
      <w:r w:rsidR="002F70B3">
        <w:t>)</w:t>
      </w:r>
      <w:r>
        <w:t>.</w:t>
      </w:r>
    </w:p>
    <w:p w14:paraId="2F4CF583" w14:textId="6ED1BC68" w:rsidR="005D5581" w:rsidRPr="00B702ED" w:rsidRDefault="0028775E">
      <w:pPr>
        <w:pStyle w:val="COMPara"/>
        <w:numPr>
          <w:ilvl w:val="0"/>
          <w:numId w:val="5"/>
        </w:numPr>
        <w:tabs>
          <w:tab w:val="left" w:pos="567"/>
        </w:tabs>
        <w:ind w:left="567" w:hanging="567"/>
        <w:jc w:val="both"/>
        <w:rPr>
          <w:strike/>
        </w:rPr>
      </w:pPr>
      <w:r>
        <w:t>Dado que la Asamblea General en su séptima reunión aprobó el Plan para el uso de los recursos del Fondo para el período del 1 de enero de 2018 al 31 de diciembre de 2019, así como para el período del 1 de enero de 2020 al 30 de junio de 2020 (</w:t>
      </w:r>
      <w:hyperlink r:id="rId38" w:history="1">
        <w:r>
          <w:rPr>
            <w:rStyle w:val="Lienhypertexte"/>
          </w:rPr>
          <w:t>Resolución 7.GA 8</w:t>
        </w:r>
      </w:hyperlink>
      <w:r>
        <w:t>), la Secretaría se enfrentó a un riesgo de interrupción operativa después del 30 de junio de 2020. Para mantener sus operaciones y como medida intermedia, la Secretaría, en consulta con los Servicios Centrales de la UNESCO, decidió extender la validez del presupuesto aprobado para los primeros seis meses de 2020 hasta que pudiese celebrarse la octava reunión de la Asamblea General de la Convención. Esta extensión no afectó el presupuesto general de 2</w:t>
      </w:r>
      <w:r w:rsidR="00D07459">
        <w:t> </w:t>
      </w:r>
      <w:r>
        <w:t>147 730 de dólares estadounidenses, aprobado por la Asamblea General para los primeros seis meses de 2020, y no afecta el Plan bienal general ni los porcentajes propuestos.</w:t>
      </w:r>
    </w:p>
    <w:p w14:paraId="13F3A3AD" w14:textId="4F441261" w:rsidR="006360C8" w:rsidRDefault="006360C8" w:rsidP="000D16BE">
      <w:pPr>
        <w:pStyle w:val="Titre4"/>
        <w:numPr>
          <w:ilvl w:val="0"/>
          <w:numId w:val="17"/>
        </w:numPr>
        <w:spacing w:before="360" w:after="120"/>
        <w:ind w:left="567" w:hanging="567"/>
        <w:jc w:val="both"/>
        <w:rPr>
          <w:rFonts w:cs="Arial"/>
          <w:szCs w:val="22"/>
        </w:rPr>
      </w:pPr>
      <w:bookmarkStart w:id="3" w:name="V_Subfund"/>
      <w:bookmarkEnd w:id="3"/>
      <w:r>
        <w:t>FORTALECIMIENTO DE LOS RECURSOS HUMANOS DE LA SECRETARÍA</w:t>
      </w:r>
    </w:p>
    <w:p w14:paraId="7A938E88" w14:textId="7F35DE15" w:rsidR="00D85FEE" w:rsidRDefault="00D85FEE" w:rsidP="00C21695">
      <w:pPr>
        <w:pStyle w:val="COMPara"/>
        <w:numPr>
          <w:ilvl w:val="0"/>
          <w:numId w:val="5"/>
        </w:numPr>
        <w:tabs>
          <w:tab w:val="left" w:pos="567"/>
        </w:tabs>
        <w:ind w:left="567" w:hanging="567"/>
        <w:jc w:val="both"/>
      </w:pPr>
      <w:r>
        <w:t xml:space="preserve">En 2010, la Asamblea General estableció un subfondo dedicado, dentro del Fondo del Patrimonio Cultural Inmaterial, que se utilizará exclusivamente para reforzar las capacidades humanas de la Secretaría. En </w:t>
      </w:r>
      <w:r w:rsidR="00D07459">
        <w:t xml:space="preserve">aquel </w:t>
      </w:r>
      <w:r>
        <w:t>momento, la Asamblea General consideró que se necesitaban aproximadamente 1,1 millones de dólares estadounidenses por año para cumplir con este propósito (</w:t>
      </w:r>
      <w:hyperlink r:id="rId39" w:history="1">
        <w:r>
          <w:rPr>
            <w:rStyle w:val="Lienhypertexte"/>
          </w:rPr>
          <w:t>Resolución 3.GA 9</w:t>
        </w:r>
      </w:hyperlink>
      <w:r>
        <w:t>).</w:t>
      </w:r>
    </w:p>
    <w:p w14:paraId="3F27C466" w14:textId="251F21F4" w:rsidR="00D85FEE" w:rsidRDefault="00D85FEE" w:rsidP="00C21695">
      <w:pPr>
        <w:pStyle w:val="COMPara"/>
        <w:numPr>
          <w:ilvl w:val="0"/>
          <w:numId w:val="5"/>
        </w:numPr>
        <w:tabs>
          <w:tab w:val="left" w:pos="567"/>
        </w:tabs>
        <w:ind w:left="567" w:hanging="567"/>
        <w:jc w:val="both"/>
      </w:pPr>
      <w:r>
        <w:t xml:space="preserve">Reconociendo que la capacidad de la Secretaría para proporcionar servicios de calidad a los Estados Miembros depende en gran medida de sus recursos humanos, varios y diversos donantes han brindado apoyo a lo largo de los años. Este apoyo se reflejó más recientemente en la </w:t>
      </w:r>
      <w:hyperlink r:id="rId40" w:history="1">
        <w:r w:rsidR="0056211C">
          <w:rPr>
            <w:rStyle w:val="Lienhypertexte"/>
          </w:rPr>
          <w:t>Resolución 7.GA 8</w:t>
        </w:r>
      </w:hyperlink>
      <w:r>
        <w:t xml:space="preserve"> de la Asamblea General para crear tres nuevos puestos extrapresupuestarios de plazo fijo con el fin de reforzar los recursos humanos de la Secretaría para la ejecución de los mecanismos de Asistencia Internacional del Fondo (</w:t>
      </w:r>
      <w:r w:rsidRPr="003F24A9">
        <w:t xml:space="preserve">ver </w:t>
      </w:r>
      <w:hyperlink r:id="rId41" w:history="1">
        <w:r w:rsidRPr="003F24A9">
          <w:rPr>
            <w:rStyle w:val="Lienhypertexte"/>
          </w:rPr>
          <w:t>documento LHE/20/8.GA/INF.7</w:t>
        </w:r>
      </w:hyperlink>
      <w:r w:rsidRPr="003F24A9">
        <w:t>). Los tres puestos, junto con las contribuciones financieras</w:t>
      </w:r>
      <w:r>
        <w:t xml:space="preserve"> y en especie recibidas durante el presente bienio, contribuyen a abordar las necesidades identificadas por la Secretaría en términos de recursos humanos, a pesar de que el objetivo anual del subfondo, fijado a 1,1 millones de dólares estadounidenses</w:t>
      </w:r>
      <w:r w:rsidR="00972BB1">
        <w:t xml:space="preserve"> no </w:t>
      </w:r>
      <w:r w:rsidR="00B77BE9">
        <w:t xml:space="preserve">fue </w:t>
      </w:r>
      <w:r w:rsidR="00972BB1">
        <w:t>alcanzado</w:t>
      </w:r>
      <w:r>
        <w:t>.</w:t>
      </w:r>
    </w:p>
    <w:p w14:paraId="6B2C0AE5" w14:textId="666EEC19" w:rsidR="0081123C" w:rsidRDefault="0081123C" w:rsidP="00C21695">
      <w:pPr>
        <w:pStyle w:val="COMPara"/>
        <w:numPr>
          <w:ilvl w:val="0"/>
          <w:numId w:val="5"/>
        </w:numPr>
        <w:tabs>
          <w:tab w:val="left" w:pos="567"/>
        </w:tabs>
        <w:ind w:left="567" w:hanging="567"/>
        <w:jc w:val="both"/>
      </w:pPr>
      <w:r>
        <w:t xml:space="preserve">Desde que este objetivo </w:t>
      </w:r>
      <w:r w:rsidR="00EA4868">
        <w:t xml:space="preserve">fue </w:t>
      </w:r>
      <w:r>
        <w:t>estableci</w:t>
      </w:r>
      <w:r w:rsidR="00EA4868">
        <w:t>do</w:t>
      </w:r>
      <w:r>
        <w:t xml:space="preserve"> por primera vez en 2010, la Convención ha ampliado considerablemente su alcance geográfico (de 113 Estados Partes a 178 en julio de 2020), así como su alcance temático. Por lo tanto, en 2019, el Comité solicitó "que la Secretaría revalúe sus necesidades de recursos humanos y presente un nuevo objetivo anual revisado del subfondo" para examen por la Asamblea General en la presente reunión (</w:t>
      </w:r>
      <w:hyperlink r:id="rId42" w:history="1">
        <w:r>
          <w:rPr>
            <w:rStyle w:val="Lienhypertexte"/>
          </w:rPr>
          <w:t>Decisión 14.COM</w:t>
        </w:r>
        <w:r w:rsidR="000B0E88">
          <w:rPr>
            <w:rStyle w:val="Lienhypertexte"/>
          </w:rPr>
          <w:t> </w:t>
        </w:r>
        <w:r>
          <w:rPr>
            <w:rStyle w:val="Lienhypertexte"/>
          </w:rPr>
          <w:t>6</w:t>
        </w:r>
      </w:hyperlink>
      <w:r>
        <w:t>).</w:t>
      </w:r>
    </w:p>
    <w:p w14:paraId="0916A1E6" w14:textId="248DC9C3" w:rsidR="00D85FEE" w:rsidRDefault="00D85FEE" w:rsidP="005B0C5B">
      <w:pPr>
        <w:pStyle w:val="COMPara"/>
        <w:numPr>
          <w:ilvl w:val="0"/>
          <w:numId w:val="5"/>
        </w:numPr>
        <w:tabs>
          <w:tab w:val="left" w:pos="567"/>
        </w:tabs>
        <w:ind w:left="567" w:hanging="567"/>
        <w:jc w:val="both"/>
      </w:pPr>
      <w:r>
        <w:t>Actualmente hay diez profesionales y cinco empleados generales con puestos de plazo fijo que trabajan en la Entidad del Patrimonio Vivo, incluido el Secretario de la Convención, los Jefes de las dos unidades (</w:t>
      </w:r>
      <w:r w:rsidR="00EA4868">
        <w:t xml:space="preserve">la </w:t>
      </w:r>
      <w:r>
        <w:t xml:space="preserve">Unidad de Gestión del Programa, </w:t>
      </w:r>
      <w:r w:rsidR="00EA4868">
        <w:t>y</w:t>
      </w:r>
      <w:r>
        <w:t xml:space="preserve"> la Unidad de Fortalecimiento de Capacidades y Políticas del Patrimonio) y los tres titulares de puestos extrapresupuestarios de plazo fijo. Los puestos actuales no son suficientes para que la Secretaría pueda responder </w:t>
      </w:r>
      <w:r>
        <w:lastRenderedPageBreak/>
        <w:t xml:space="preserve">a todas sus obligaciones </w:t>
      </w:r>
      <w:r w:rsidR="00EA4868">
        <w:t xml:space="preserve">reglamentarias </w:t>
      </w:r>
      <w:r>
        <w:t xml:space="preserve">básicas (como la preparación de las reuniones </w:t>
      </w:r>
      <w:r w:rsidR="00EA4868">
        <w:t>reglamentarias</w:t>
      </w:r>
      <w:r w:rsidR="002C29E9">
        <w:t>, lo</w:t>
      </w:r>
      <w:r w:rsidR="00EA4868">
        <w:t xml:space="preserve"> </w:t>
      </w:r>
      <w:r>
        <w:t>que incluye la elaboración de documentos, apoyar al Órgano de evaluación en sus tareas, procesar las candidaturas y las solicitudes</w:t>
      </w:r>
      <w:r w:rsidR="002C29E9">
        <w:t xml:space="preserve"> de acreditación</w:t>
      </w:r>
      <w:r>
        <w:t xml:space="preserve"> de organizaciones no gubernamentales </w:t>
      </w:r>
      <w:r w:rsidR="002C29E9">
        <w:t xml:space="preserve">, así como la revisión  </w:t>
      </w:r>
      <w:r>
        <w:t>y  el seguimiento de los informes periódicos), ni a sus otras funciones vitales (funciones de responsables regionales, programa de fortalecimiento de capacidades, actividades temáticas sobre educación y emergencias, divulgación y comunicación). En la situación actual, el personal temporal cumple muchas de estas obligaciones y funciones básicas</w:t>
      </w:r>
      <w:r w:rsidR="00143867">
        <w:t>,</w:t>
      </w:r>
      <w:r>
        <w:t xml:space="preserve"> </w:t>
      </w:r>
      <w:r w:rsidR="00143867">
        <w:t>bajo</w:t>
      </w:r>
      <w:r>
        <w:t xml:space="preserve"> diversos acuerdos contractuales.</w:t>
      </w:r>
    </w:p>
    <w:p w14:paraId="4BE71CCB" w14:textId="6E8201DF" w:rsidR="0091093B" w:rsidRDefault="005B0C5B" w:rsidP="00C21695">
      <w:pPr>
        <w:pStyle w:val="COMPara"/>
        <w:numPr>
          <w:ilvl w:val="0"/>
          <w:numId w:val="5"/>
        </w:numPr>
        <w:tabs>
          <w:tab w:val="left" w:pos="567"/>
        </w:tabs>
        <w:ind w:left="567" w:hanging="567"/>
        <w:jc w:val="both"/>
      </w:pPr>
      <w:r>
        <w:t xml:space="preserve">Basándose en los costos reales incurridos por la Secretaría, el objetivo anual del subfondo debería establecerse en 950 000 dólares estadounidenses por año. Esto permitiría a la Secretaría continuar abordando adecuadamente las necesidades emergentes y reforzar la implementación de la Convención, por ejemplo a través del despliegue del mecanismo de presentación de informes periódicos, la implementación de un plan de divulgación y comunicación, iniciativas temáticas sobre la "salvaguardia del patrimonio cultural inmaterial a través de la </w:t>
      </w:r>
      <w:r w:rsidR="001145CA">
        <w:t xml:space="preserve">educación </w:t>
      </w:r>
      <w:r>
        <w:t>formal y no formal" y el "patrimonio cultural inmaterial en situaciones de emergencia", y la reflexión iniciada por el Comité sobre el futuro de los mecanismos de inscripción en las listas de la Convención. Con este fin, aún son necesarias contribuciones voluntarias al subfondo, provenientes de los Estados o del sector privado.</w:t>
      </w:r>
    </w:p>
    <w:p w14:paraId="52086F06" w14:textId="0C3C64C1" w:rsidR="006360C8" w:rsidRPr="005E29A7" w:rsidRDefault="006360C8" w:rsidP="000D16BE">
      <w:pPr>
        <w:pStyle w:val="Titre4"/>
        <w:numPr>
          <w:ilvl w:val="0"/>
          <w:numId w:val="17"/>
        </w:numPr>
        <w:spacing w:before="360" w:after="120"/>
        <w:ind w:left="567" w:hanging="567"/>
        <w:jc w:val="both"/>
        <w:rPr>
          <w:rFonts w:cs="Arial"/>
          <w:b w:val="0"/>
          <w:szCs w:val="22"/>
        </w:rPr>
      </w:pPr>
      <w:bookmarkStart w:id="4" w:name="VI_Management_Cost"/>
      <w:bookmarkEnd w:id="4"/>
      <w:r>
        <w:t>TASA DE COSTOS DE GESTIÓN DEL FONDO</w:t>
      </w:r>
    </w:p>
    <w:p w14:paraId="28980CF4" w14:textId="3281EB85" w:rsidR="006360C8" w:rsidRPr="00E7332C" w:rsidRDefault="006360C8" w:rsidP="00C21695">
      <w:pPr>
        <w:numPr>
          <w:ilvl w:val="0"/>
          <w:numId w:val="2"/>
        </w:numPr>
        <w:spacing w:after="120"/>
        <w:ind w:left="567" w:hanging="567"/>
        <w:jc w:val="both"/>
        <w:rPr>
          <w:rFonts w:ascii="Arial" w:eastAsia="SimSun" w:hAnsi="Arial" w:cs="Arial"/>
          <w:snapToGrid w:val="0"/>
          <w:sz w:val="22"/>
          <w:szCs w:val="22"/>
        </w:rPr>
      </w:pPr>
      <w:r>
        <w:rPr>
          <w:rFonts w:ascii="Arial" w:hAnsi="Arial"/>
          <w:snapToGrid w:val="0"/>
          <w:sz w:val="22"/>
        </w:rPr>
        <w:t>El Fondo, así como otras cuentas especiales de donantes múltiples comparables, como e</w:t>
      </w:r>
      <w:r w:rsidR="00990A37">
        <w:rPr>
          <w:rFonts w:ascii="Arial" w:hAnsi="Arial"/>
          <w:snapToGrid w:val="0"/>
          <w:sz w:val="22"/>
        </w:rPr>
        <w:t>s el caso de</w:t>
      </w:r>
      <w:r>
        <w:rPr>
          <w:rFonts w:ascii="Arial" w:hAnsi="Arial"/>
          <w:snapToGrid w:val="0"/>
          <w:sz w:val="22"/>
        </w:rPr>
        <w:t xml:space="preserve">l Fondo del Patrimonio Mundial, ha beneficiado de una tasa excepcional de costos de gestión (0 </w:t>
      </w:r>
      <w:r w:rsidR="00FA1EB7">
        <w:rPr>
          <w:rFonts w:ascii="Arial" w:hAnsi="Arial"/>
          <w:snapToGrid w:val="0"/>
          <w:sz w:val="22"/>
        </w:rPr>
        <w:t>%</w:t>
      </w:r>
      <w:r>
        <w:rPr>
          <w:rFonts w:ascii="Arial" w:hAnsi="Arial"/>
          <w:snapToGrid w:val="0"/>
          <w:sz w:val="22"/>
        </w:rPr>
        <w:t xml:space="preserve">), otorgada por la Directora General respecto a </w:t>
      </w:r>
      <w:r w:rsidR="00990A37">
        <w:rPr>
          <w:rFonts w:ascii="Arial" w:hAnsi="Arial"/>
          <w:snapToGrid w:val="0"/>
          <w:sz w:val="22"/>
        </w:rPr>
        <w:t xml:space="preserve">las </w:t>
      </w:r>
      <w:r>
        <w:rPr>
          <w:rFonts w:ascii="Arial" w:hAnsi="Arial"/>
          <w:snapToGrid w:val="0"/>
          <w:sz w:val="22"/>
        </w:rPr>
        <w:t xml:space="preserve">contribuciones asignadas, mientras que </w:t>
      </w:r>
      <w:r w:rsidR="00990A37">
        <w:rPr>
          <w:rFonts w:ascii="Arial" w:hAnsi="Arial"/>
          <w:snapToGrid w:val="0"/>
          <w:sz w:val="22"/>
        </w:rPr>
        <w:t xml:space="preserve">se </w:t>
      </w:r>
      <w:r>
        <w:rPr>
          <w:rFonts w:ascii="Arial" w:hAnsi="Arial"/>
          <w:snapToGrid w:val="0"/>
          <w:sz w:val="22"/>
        </w:rPr>
        <w:t xml:space="preserve">impuso </w:t>
      </w:r>
      <w:r w:rsidR="00872E63">
        <w:rPr>
          <w:rFonts w:ascii="Arial" w:hAnsi="Arial"/>
          <w:snapToGrid w:val="0"/>
          <w:sz w:val="22"/>
        </w:rPr>
        <w:t xml:space="preserve">inicialmente </w:t>
      </w:r>
      <w:r>
        <w:rPr>
          <w:rFonts w:ascii="Arial" w:hAnsi="Arial"/>
          <w:snapToGrid w:val="0"/>
          <w:sz w:val="22"/>
        </w:rPr>
        <w:t xml:space="preserve">un 10 </w:t>
      </w:r>
      <w:r w:rsidR="00FA1EB7">
        <w:rPr>
          <w:rFonts w:ascii="Arial" w:hAnsi="Arial"/>
          <w:snapToGrid w:val="0"/>
          <w:sz w:val="22"/>
        </w:rPr>
        <w:t>%</w:t>
      </w:r>
      <w:r>
        <w:rPr>
          <w:rFonts w:ascii="Arial" w:hAnsi="Arial"/>
          <w:snapToGrid w:val="0"/>
          <w:sz w:val="22"/>
        </w:rPr>
        <w:t xml:space="preserve"> a las contribuciones </w:t>
      </w:r>
      <w:r w:rsidR="000042D9">
        <w:rPr>
          <w:rFonts w:ascii="Arial" w:hAnsi="Arial"/>
          <w:snapToGrid w:val="0"/>
          <w:sz w:val="22"/>
        </w:rPr>
        <w:t xml:space="preserve">voluntarias </w:t>
      </w:r>
      <w:r>
        <w:rPr>
          <w:rFonts w:ascii="Arial" w:hAnsi="Arial"/>
          <w:snapToGrid w:val="0"/>
          <w:sz w:val="22"/>
        </w:rPr>
        <w:t>complementarias.</w:t>
      </w:r>
    </w:p>
    <w:p w14:paraId="6C35B9F7" w14:textId="4E2907E5" w:rsidR="006360C8" w:rsidRPr="00E7332C" w:rsidRDefault="006360C8" w:rsidP="00C21695">
      <w:pPr>
        <w:pStyle w:val="COMPara"/>
        <w:numPr>
          <w:ilvl w:val="0"/>
          <w:numId w:val="2"/>
        </w:numPr>
        <w:ind w:left="567" w:hanging="567"/>
        <w:jc w:val="both"/>
        <w:rPr>
          <w:rFonts w:eastAsia="SimSun"/>
          <w:bCs/>
        </w:rPr>
      </w:pPr>
      <w:r>
        <w:t>En su decimotercera reunión (</w:t>
      </w:r>
      <w:hyperlink r:id="rId43" w:history="1">
        <w:r>
          <w:rPr>
            <w:rStyle w:val="Lienhypertexte"/>
          </w:rPr>
          <w:t>Decisión 13.COM 6</w:t>
        </w:r>
      </w:hyperlink>
      <w:r>
        <w:t xml:space="preserve">), el Comité tomó nota del documento </w:t>
      </w:r>
      <w:hyperlink r:id="rId44" w:history="1">
        <w:r>
          <w:rPr>
            <w:rStyle w:val="Lienhypertexte"/>
          </w:rPr>
          <w:t>204</w:t>
        </w:r>
        <w:r w:rsidR="003F24A9">
          <w:rPr>
            <w:rStyle w:val="Lienhypertexte"/>
          </w:rPr>
          <w:t> </w:t>
        </w:r>
        <w:r>
          <w:rPr>
            <w:rStyle w:val="Lienhypertexte"/>
          </w:rPr>
          <w:t>EX/5 Parte II.E</w:t>
        </w:r>
      </w:hyperlink>
      <w:r>
        <w:t xml:space="preserve"> del Consejo Ejecutivo sobre "Política de recuperación de costos: Propuesta revisada </w:t>
      </w:r>
      <w:r w:rsidR="00DF73EE">
        <w:t>de</w:t>
      </w:r>
      <w:r>
        <w:t xml:space="preserve"> política de </w:t>
      </w:r>
      <w:r w:rsidR="00DF73EE">
        <w:t xml:space="preserve">coeficientes </w:t>
      </w:r>
      <w:r>
        <w:t>diferencial</w:t>
      </w:r>
      <w:r w:rsidR="00DF73EE">
        <w:t>es</w:t>
      </w:r>
      <w:r>
        <w:t xml:space="preserve"> para l</w:t>
      </w:r>
      <w:r w:rsidR="00DF73EE">
        <w:t>o</w:t>
      </w:r>
      <w:r>
        <w:t xml:space="preserve">s </w:t>
      </w:r>
      <w:r w:rsidR="00DF73EE">
        <w:t>gastos</w:t>
      </w:r>
      <w:r>
        <w:t xml:space="preserve"> de gestión" y su decisión relacionada, según la cual el Consejo decidió que</w:t>
      </w:r>
      <w:r w:rsidR="00871617">
        <w:t xml:space="preserve"> todas</w:t>
      </w:r>
      <w:r>
        <w:t xml:space="preserve"> las cuentas especiales de donantes múltiples estarían sujetas a una nueva tasa del 7 </w:t>
      </w:r>
      <w:r w:rsidR="00FA1EB7">
        <w:t>%</w:t>
      </w:r>
      <w:r w:rsidR="0091168F">
        <w:t xml:space="preserve">. </w:t>
      </w:r>
      <w:r>
        <w:t>El documento presentado en la 204</w:t>
      </w:r>
      <w:r w:rsidR="00DF73EE">
        <w:t xml:space="preserve">ª </w:t>
      </w:r>
      <w:r>
        <w:t xml:space="preserve">reunión del Consejo Ejecutivo estipulaba que "las consultas necesarias con los </w:t>
      </w:r>
      <w:r w:rsidR="00DF73EE">
        <w:t>ó</w:t>
      </w:r>
      <w:r>
        <w:t xml:space="preserve">rganos </w:t>
      </w:r>
      <w:r w:rsidR="00DF73EE">
        <w:t>r</w:t>
      </w:r>
      <w:r>
        <w:t xml:space="preserve">ectores de los Estados Partes </w:t>
      </w:r>
      <w:r w:rsidR="009D59ED">
        <w:t xml:space="preserve">en </w:t>
      </w:r>
      <w:r>
        <w:t xml:space="preserve">la Convención </w:t>
      </w:r>
      <w:r w:rsidR="00DF73EE">
        <w:t xml:space="preserve">para la Salvaguardia </w:t>
      </w:r>
      <w:r>
        <w:t xml:space="preserve">del Patrimonio Cultural Inmaterial y de la Convención del Patrimonio Mundial tendrán lugar entre junio de 2018 y noviembre de 2019 '' (véase el documento </w:t>
      </w:r>
      <w:hyperlink r:id="rId45" w:history="1">
        <w:r>
          <w:rPr>
            <w:color w:val="0000FF"/>
            <w:u w:val="single"/>
          </w:rPr>
          <w:t>204 EX/5 Parte II.E</w:t>
        </w:r>
      </w:hyperlink>
      <w:r>
        <w:t>, párrafo 14). En su 42</w:t>
      </w:r>
      <w:r w:rsidR="00DF73EE">
        <w:t xml:space="preserve">ª </w:t>
      </w:r>
      <w:r>
        <w:t>reunión de 2018, el Comité del Patrimonio Mundial decidió "recomendar encarecidamente que la tasa actual de costos de gestión del 0 % continúe aplicándose a la cuenta especial del Fondo del Patrimonio Mundial'' (</w:t>
      </w:r>
      <w:hyperlink r:id="rId46" w:history="1">
        <w:r>
          <w:rPr>
            <w:rStyle w:val="Lienhypertexte"/>
          </w:rPr>
          <w:t>Decisión 42 COM 14</w:t>
        </w:r>
      </w:hyperlink>
      <w:r>
        <w:t>). En su decimocuarta reunión (</w:t>
      </w:r>
      <w:hyperlink r:id="rId47" w:history="1">
        <w:r>
          <w:rPr>
            <w:rStyle w:val="Lienhypertexte"/>
          </w:rPr>
          <w:t>Decisión</w:t>
        </w:r>
        <w:r w:rsidR="003F24A9">
          <w:rPr>
            <w:rStyle w:val="Lienhypertexte"/>
          </w:rPr>
          <w:t> </w:t>
        </w:r>
        <w:r>
          <w:rPr>
            <w:rStyle w:val="Lienhypertexte"/>
          </w:rPr>
          <w:t>14.COM 6</w:t>
        </w:r>
      </w:hyperlink>
      <w:r>
        <w:t>), el Comité de la Convención de 2003 recomendó "que la Asamblea General respalde l</w:t>
      </w:r>
      <w:bookmarkStart w:id="5" w:name="_Hlk45717823"/>
      <w:r>
        <w:t>a continuación de la aplicación de una tasa de costos de gestión del 0 % para todas las contribuciones asignadas</w:t>
      </w:r>
      <w:bookmarkEnd w:id="5"/>
      <w:r>
        <w:t xml:space="preserve"> a la cuenta especial del Fondo del Patrimonio Cultural Inmaterial y aplique una tasa de costos de gestión del 7 </w:t>
      </w:r>
      <w:r w:rsidR="00FA1EB7">
        <w:t>%</w:t>
      </w:r>
      <w:r>
        <w:t xml:space="preserve"> para todas las demás contribuciones".</w:t>
      </w:r>
    </w:p>
    <w:p w14:paraId="276AD4BF" w14:textId="79754675" w:rsidR="00576E1D" w:rsidRPr="009720B8" w:rsidRDefault="00576E1D" w:rsidP="000D16BE">
      <w:pPr>
        <w:pStyle w:val="Titre4"/>
        <w:numPr>
          <w:ilvl w:val="0"/>
          <w:numId w:val="17"/>
        </w:numPr>
        <w:spacing w:before="360" w:after="120"/>
        <w:ind w:left="567" w:hanging="567"/>
        <w:jc w:val="both"/>
        <w:rPr>
          <w:b w:val="0"/>
        </w:rPr>
      </w:pPr>
      <w:bookmarkStart w:id="6" w:name="VII_Financial_Regulations"/>
      <w:bookmarkEnd w:id="6"/>
      <w:r>
        <w:t>ARMONIZACIÓN DE REGLAMENTOS FINANCIEROS DE CUENTAS ESPECIALES</w:t>
      </w:r>
    </w:p>
    <w:p w14:paraId="68442E7A" w14:textId="12476E42" w:rsidR="00E253B5" w:rsidRPr="009720B8" w:rsidRDefault="00576E1D" w:rsidP="00C21695">
      <w:pPr>
        <w:pStyle w:val="COMPara"/>
        <w:numPr>
          <w:ilvl w:val="0"/>
          <w:numId w:val="5"/>
        </w:numPr>
        <w:tabs>
          <w:tab w:val="left" w:pos="567"/>
        </w:tabs>
        <w:ind w:left="567" w:hanging="567"/>
        <w:jc w:val="both"/>
      </w:pPr>
      <w:r>
        <w:t>En su 200</w:t>
      </w:r>
      <w:r w:rsidR="00DF73EE">
        <w:t>ª</w:t>
      </w:r>
      <w:r>
        <w:t xml:space="preserve"> reunión de 2016, el Consejo Ejecutivo de la UNESCO aprobó el Reglamento Financiero Estándar para todo tipo de Cuentas Especiales, incluidas las relacionadas con las convenciones, tal como se establece en el </w:t>
      </w:r>
      <w:hyperlink r:id="rId48" w:history="1">
        <w:r>
          <w:rPr>
            <w:rStyle w:val="Lienhypertexte"/>
          </w:rPr>
          <w:t>Anexo IV del documento 200 EX/19</w:t>
        </w:r>
      </w:hyperlink>
      <w:r>
        <w:t xml:space="preserve"> (</w:t>
      </w:r>
      <w:hyperlink r:id="rId49" w:history="1">
        <w:r>
          <w:rPr>
            <w:rStyle w:val="Lienhypertexte"/>
          </w:rPr>
          <w:t>Decisión</w:t>
        </w:r>
        <w:r w:rsidR="003F24A9">
          <w:rPr>
            <w:rStyle w:val="Lienhypertexte"/>
          </w:rPr>
          <w:t> </w:t>
        </w:r>
        <w:r>
          <w:rPr>
            <w:rStyle w:val="Lienhypertexte"/>
          </w:rPr>
          <w:t>200</w:t>
        </w:r>
        <w:r w:rsidR="003F24A9">
          <w:rPr>
            <w:rStyle w:val="Lienhypertexte"/>
          </w:rPr>
          <w:t> </w:t>
        </w:r>
        <w:r>
          <w:rPr>
            <w:rStyle w:val="Lienhypertexte"/>
          </w:rPr>
          <w:t>EX/19</w:t>
        </w:r>
      </w:hyperlink>
      <w:r>
        <w:t>). En su siguiente reunión en 2017, el Consejo Ejecutivo solicitó a la Directora General que propusiera al órgano rector pertinente de cada Cuenta Especial, una realineación del Reglamento Financiero de su respectiva Cuenta Especial con el Reglamento Financiero Estándar mencionado anteriormente (</w:t>
      </w:r>
      <w:hyperlink r:id="rId50" w:anchor="%5B%7B%22num%22%3A106%2C%22gen%22%3A0%7D%2C%7B%22name%22%3A%22XYZ%22%7D%2C-442%2C842%2C0%5D" w:history="1">
        <w:r>
          <w:rPr>
            <w:rStyle w:val="Lienhypertexte"/>
          </w:rPr>
          <w:t>Decisión 201 EX/24</w:t>
        </w:r>
      </w:hyperlink>
      <w:r>
        <w:t xml:space="preserve">). En 2019, el Comité solicitó que la Secretaría propusiera, para examen </w:t>
      </w:r>
      <w:r w:rsidR="0068343C">
        <w:t>de</w:t>
      </w:r>
      <w:r>
        <w:t xml:space="preserve"> la Asamblea General</w:t>
      </w:r>
      <w:r w:rsidR="0068343C">
        <w:t xml:space="preserve"> en la presente reunión</w:t>
      </w:r>
      <w:r>
        <w:t xml:space="preserve">, </w:t>
      </w:r>
      <w:r w:rsidR="00871617">
        <w:t>la</w:t>
      </w:r>
      <w:r w:rsidR="0068343C">
        <w:t xml:space="preserve"> </w:t>
      </w:r>
      <w:r w:rsidR="00871617">
        <w:t>propuesta</w:t>
      </w:r>
      <w:r>
        <w:t xml:space="preserve"> de revisión del Reglamento Financiero (</w:t>
      </w:r>
      <w:hyperlink r:id="rId51" w:history="1">
        <w:r>
          <w:rPr>
            <w:rStyle w:val="Lienhypertexte"/>
          </w:rPr>
          <w:t>Decisión 14.COM 7</w:t>
        </w:r>
      </w:hyperlink>
      <w:r>
        <w:t>).</w:t>
      </w:r>
    </w:p>
    <w:p w14:paraId="487058BC" w14:textId="1174797B" w:rsidR="00576E1D" w:rsidRPr="00CA4F8D" w:rsidRDefault="005D09CC" w:rsidP="00C21695">
      <w:pPr>
        <w:pStyle w:val="COMPara"/>
        <w:numPr>
          <w:ilvl w:val="0"/>
          <w:numId w:val="5"/>
        </w:numPr>
        <w:tabs>
          <w:tab w:val="left" w:pos="567"/>
        </w:tabs>
        <w:ind w:left="567" w:hanging="567"/>
        <w:jc w:val="both"/>
      </w:pPr>
      <w:r w:rsidRPr="00CA4F8D">
        <w:lastRenderedPageBreak/>
        <w:t xml:space="preserve">La realineación del Reglamento Financiero del Fondo requiere una serie de revisiones, como se estipula en el Anexo III. En particular, un nuevo Artículo 4 propuesto estipularía que la Asamblea General tiene </w:t>
      </w:r>
      <w:r w:rsidR="00CA4F8D">
        <w:t xml:space="preserve">la </w:t>
      </w:r>
      <w:r w:rsidRPr="00CA4F8D">
        <w:t>autoridad sobre la consignación de los recursos del Fondo, basándose en las Directrices Operativas</w:t>
      </w:r>
      <w:r w:rsidR="00CA4F8D">
        <w:t>,</w:t>
      </w:r>
      <w:r w:rsidRPr="00CA4F8D">
        <w:t xml:space="preserve"> y que la Secretaría administra el Fondo</w:t>
      </w:r>
      <w:r w:rsidR="00CA4F8D">
        <w:t>,</w:t>
      </w:r>
      <w:r w:rsidRPr="00CA4F8D">
        <w:t xml:space="preserve"> de conformidad con la Convención, las decisiones de los órganos rectores de la Convención y el Reglamento Financiero. Además, los </w:t>
      </w:r>
      <w:r w:rsidR="006D59E3">
        <w:t xml:space="preserve">nuevos </w:t>
      </w:r>
      <w:r w:rsidRPr="00CA4F8D">
        <w:t xml:space="preserve">artículos </w:t>
      </w:r>
      <w:r w:rsidRPr="009C211A">
        <w:t>4.</w:t>
      </w:r>
      <w:r w:rsidR="00800763">
        <w:t>4</w:t>
      </w:r>
      <w:r w:rsidR="00800763" w:rsidRPr="00CA4F8D">
        <w:t xml:space="preserve"> </w:t>
      </w:r>
      <w:r w:rsidRPr="00CA4F8D">
        <w:t>y 10 propuestos formalizarían la práctica actual aplicada en términos de presentación de informes, según la cual la Secretaría informa a la Asamblea General sobre el uso de los recursos cada dos años. Un nuevo Artículo 11 propuesto especificaría las modalidades a través de las cuales la Asamblea General podría cerrar el Fondo. Se informaría al Consejo Ejecutivo de la UNESCO sobre cualquier modificación del Reglamento Financiero del Fondo (nuevo Artículo 12.1)</w:t>
      </w:r>
      <w:r w:rsidR="00002B68">
        <w:t>.</w:t>
      </w:r>
    </w:p>
    <w:p w14:paraId="19090ABA" w14:textId="2A51FEC1" w:rsidR="00576E1D" w:rsidRPr="00DC490B" w:rsidRDefault="00576E1D" w:rsidP="00B702ED">
      <w:pPr>
        <w:pStyle w:val="COMPara"/>
        <w:keepNext/>
        <w:keepLines/>
        <w:numPr>
          <w:ilvl w:val="0"/>
          <w:numId w:val="5"/>
        </w:numPr>
        <w:tabs>
          <w:tab w:val="left" w:pos="567"/>
        </w:tabs>
        <w:ind w:left="567" w:hanging="567"/>
        <w:jc w:val="both"/>
      </w:pPr>
      <w:r>
        <w:t>La Asamblea General podría aprobar la siguiente resolución:</w:t>
      </w:r>
    </w:p>
    <w:p w14:paraId="0AED40AA" w14:textId="0A7DEA09" w:rsidR="00576E1D" w:rsidRPr="00DC490B" w:rsidRDefault="00576E1D" w:rsidP="00B702ED">
      <w:pPr>
        <w:pStyle w:val="COMTitleDecision"/>
        <w:keepLines/>
        <w:rPr>
          <w:rFonts w:eastAsia="SimSun"/>
        </w:rPr>
      </w:pPr>
      <w:bookmarkStart w:id="7" w:name="_Hlk42187665"/>
      <w:r>
        <w:t>PROPUESTA DE RESOLUCIÓN 8.GA 7</w:t>
      </w:r>
    </w:p>
    <w:p w14:paraId="4AD66AFC" w14:textId="60EC7D78" w:rsidR="00576E1D" w:rsidRDefault="00576E1D" w:rsidP="00B702ED">
      <w:pPr>
        <w:pStyle w:val="COMPreambulaDecisions"/>
        <w:keepLines/>
      </w:pPr>
      <w:r>
        <w:t>La Asamblea General,</w:t>
      </w:r>
    </w:p>
    <w:p w14:paraId="005CBDA4" w14:textId="3D4EB265" w:rsidR="000B109B" w:rsidRPr="00BC230C" w:rsidRDefault="000B109B" w:rsidP="00B702ED">
      <w:pPr>
        <w:pStyle w:val="COMParaDecision"/>
        <w:keepNext/>
        <w:keepLines/>
        <w:numPr>
          <w:ilvl w:val="0"/>
          <w:numId w:val="3"/>
        </w:numPr>
        <w:ind w:left="1134" w:hanging="567"/>
        <w:rPr>
          <w:u w:val="none"/>
        </w:rPr>
      </w:pPr>
      <w:r>
        <w:t>Habiendo examinado</w:t>
      </w:r>
      <w:r>
        <w:rPr>
          <w:u w:val="none"/>
        </w:rPr>
        <w:t xml:space="preserve"> los documentos LHE/20/8.GA/</w:t>
      </w:r>
      <w:r w:rsidRPr="003F24A9">
        <w:rPr>
          <w:u w:val="none"/>
        </w:rPr>
        <w:t>7</w:t>
      </w:r>
      <w:r w:rsidR="00B25E39">
        <w:rPr>
          <w:u w:val="none"/>
        </w:rPr>
        <w:t xml:space="preserve"> Rev.</w:t>
      </w:r>
      <w:r w:rsidRPr="003F24A9">
        <w:rPr>
          <w:u w:val="none"/>
        </w:rPr>
        <w:t xml:space="preserve"> y </w:t>
      </w:r>
      <w:hyperlink r:id="rId52" w:history="1">
        <w:r w:rsidRPr="003F24A9">
          <w:rPr>
            <w:rStyle w:val="Lienhypertexte"/>
          </w:rPr>
          <w:t>LHE/20/8.GA/</w:t>
        </w:r>
        <w:r w:rsidR="001D7CE7" w:rsidRPr="003F24A9">
          <w:rPr>
            <w:rStyle w:val="Lienhypertexte"/>
          </w:rPr>
          <w:t>INF.</w:t>
        </w:r>
        <w:r w:rsidRPr="003F24A9">
          <w:rPr>
            <w:rStyle w:val="Lienhypertexte"/>
          </w:rPr>
          <w:t>7</w:t>
        </w:r>
      </w:hyperlink>
      <w:r w:rsidRPr="003F24A9">
        <w:rPr>
          <w:u w:val="none"/>
        </w:rPr>
        <w:t>,</w:t>
      </w:r>
    </w:p>
    <w:p w14:paraId="00E3DDDA" w14:textId="77777777" w:rsidR="000B109B" w:rsidRPr="00DC490B" w:rsidRDefault="000B109B" w:rsidP="00B702ED">
      <w:pPr>
        <w:pStyle w:val="COMParaDecision"/>
        <w:keepLines/>
        <w:numPr>
          <w:ilvl w:val="0"/>
          <w:numId w:val="3"/>
        </w:numPr>
        <w:ind w:left="1134" w:hanging="567"/>
        <w:rPr>
          <w:u w:val="none"/>
        </w:rPr>
      </w:pPr>
      <w:r>
        <w:t>Recordando</w:t>
      </w:r>
      <w:r>
        <w:rPr>
          <w:u w:val="none"/>
        </w:rPr>
        <w:t xml:space="preserve"> el Artículo 7(c) de la Convención y los párrafos 66 y 67 de las Directrices Operativas,</w:t>
      </w:r>
    </w:p>
    <w:p w14:paraId="40C29A30" w14:textId="34CEEBCC" w:rsidR="000B109B" w:rsidRPr="00D91A09" w:rsidRDefault="000B109B" w:rsidP="00B702ED">
      <w:pPr>
        <w:pStyle w:val="COMParaDecision"/>
        <w:keepLines/>
        <w:numPr>
          <w:ilvl w:val="0"/>
          <w:numId w:val="3"/>
        </w:numPr>
        <w:ind w:left="1134" w:hanging="567"/>
      </w:pPr>
      <w:r>
        <w:t>Recordando también</w:t>
      </w:r>
      <w:r>
        <w:rPr>
          <w:u w:val="none"/>
        </w:rPr>
        <w:t xml:space="preserve"> la Decisión 200 EX/19 y la Decisión 201 EX/24, así como la Resolución de consignación para 2020-2021 aprobada por la Conferencia General en su cuadragésima reunión,</w:t>
      </w:r>
    </w:p>
    <w:p w14:paraId="04A1E8D0" w14:textId="77777777" w:rsidR="000B109B" w:rsidRDefault="000B109B" w:rsidP="00B702ED">
      <w:pPr>
        <w:pStyle w:val="COMParaDecision"/>
        <w:keepNext/>
        <w:keepLines/>
        <w:ind w:left="567" w:firstLine="0"/>
        <w:rPr>
          <w:b/>
          <w:bCs/>
          <w:u w:val="none"/>
        </w:rPr>
      </w:pPr>
      <w:r>
        <w:rPr>
          <w:b/>
          <w:u w:val="none"/>
        </w:rPr>
        <w:t>Estado y tendencias del Fondo</w:t>
      </w:r>
    </w:p>
    <w:p w14:paraId="526D234B" w14:textId="0286191A" w:rsidR="000B109B" w:rsidRPr="00BC230C" w:rsidRDefault="000B109B" w:rsidP="00B702ED">
      <w:pPr>
        <w:pStyle w:val="COMParaDecision"/>
        <w:keepLines/>
        <w:numPr>
          <w:ilvl w:val="0"/>
          <w:numId w:val="3"/>
        </w:numPr>
        <w:ind w:left="1134" w:hanging="567"/>
        <w:rPr>
          <w:u w:val="none"/>
        </w:rPr>
      </w:pPr>
      <w:r>
        <w:t>Acoge con beneplácito</w:t>
      </w:r>
      <w:r>
        <w:rPr>
          <w:u w:val="none"/>
        </w:rPr>
        <w:t xml:space="preserve"> las tendencias positivas recientes en la implementación del Fondo, </w:t>
      </w:r>
      <w:r>
        <w:t xml:space="preserve">felicita a </w:t>
      </w:r>
      <w:r>
        <w:rPr>
          <w:u w:val="none"/>
        </w:rPr>
        <w:t xml:space="preserve">la Secretaría por sus esfuerzos para intensificar la puesta en práctica de los mecanismos de Asistencia Internacional, </w:t>
      </w:r>
      <w:r>
        <w:t>toma nota</w:t>
      </w:r>
      <w:r>
        <w:rPr>
          <w:u w:val="none"/>
        </w:rPr>
        <w:t xml:space="preserve"> de que se ha establecido un equipo dedicado con tres nuevos puestos extrapresupuestarios de plazo fijo y </w:t>
      </w:r>
      <w:r>
        <w:t>espera</w:t>
      </w:r>
      <w:r>
        <w:rPr>
          <w:u w:val="none"/>
        </w:rPr>
        <w:t xml:space="preserve"> observar las mejor</w:t>
      </w:r>
      <w:r w:rsidR="00E65B08">
        <w:rPr>
          <w:u w:val="none"/>
        </w:rPr>
        <w:t>í</w:t>
      </w:r>
      <w:r>
        <w:rPr>
          <w:u w:val="none"/>
        </w:rPr>
        <w:t>as en la supervisión del impacto de los proyectos apoyados por el Fondo;</w:t>
      </w:r>
    </w:p>
    <w:p w14:paraId="3FEFC2C5" w14:textId="37E68686" w:rsidR="000B109B" w:rsidRPr="000B79F5" w:rsidRDefault="000B109B" w:rsidP="00B702ED">
      <w:pPr>
        <w:pStyle w:val="COMParaDecision"/>
        <w:keepLines/>
        <w:numPr>
          <w:ilvl w:val="0"/>
          <w:numId w:val="3"/>
        </w:numPr>
        <w:ind w:left="1134" w:hanging="567"/>
        <w:rPr>
          <w:u w:val="none"/>
        </w:rPr>
      </w:pPr>
      <w:r>
        <w:t>Toma nota</w:t>
      </w:r>
      <w:r>
        <w:rPr>
          <w:u w:val="none"/>
        </w:rPr>
        <w:t xml:space="preserve"> de las medidas adoptadas por la Secretaría, sin repercusiones en el Plan bienal general, para garantizar la continuidad de sus actividades tras el aplazamiento de la octava reunión de la Asamblea General;</w:t>
      </w:r>
    </w:p>
    <w:p w14:paraId="6C0FE731" w14:textId="4C0F4AD5" w:rsidR="000B109B" w:rsidRPr="000B79F5" w:rsidRDefault="000B109B" w:rsidP="00B702ED">
      <w:pPr>
        <w:pStyle w:val="COMParaDecision"/>
        <w:keepLines/>
        <w:numPr>
          <w:ilvl w:val="0"/>
          <w:numId w:val="3"/>
        </w:numPr>
        <w:ind w:left="1134" w:hanging="567"/>
      </w:pPr>
      <w:r>
        <w:t>Toma nota además</w:t>
      </w:r>
      <w:r>
        <w:rPr>
          <w:u w:val="none"/>
        </w:rPr>
        <w:t xml:space="preserve"> de los donantes que han proporcionado contribuciones </w:t>
      </w:r>
      <w:r w:rsidR="000042D9">
        <w:rPr>
          <w:u w:val="none"/>
        </w:rPr>
        <w:t xml:space="preserve">voluntarias </w:t>
      </w:r>
      <w:r>
        <w:rPr>
          <w:u w:val="none"/>
        </w:rPr>
        <w:t>complementarias al Fondo desde su última reunión, a saber, la República Popular de China, Finlandia, Japón, Kazajstán, Mónaco, Montenegro, los Países Bajos y Suecia, así como del apoyo en especie proporcionado por la República Popular de China, Japón y Singapur;</w:t>
      </w:r>
    </w:p>
    <w:p w14:paraId="392524A8" w14:textId="0BB79BA0" w:rsidR="000B109B" w:rsidRDefault="000B109B" w:rsidP="00B702ED">
      <w:pPr>
        <w:pStyle w:val="COMParaDecision"/>
        <w:keepLines/>
        <w:numPr>
          <w:ilvl w:val="0"/>
          <w:numId w:val="3"/>
        </w:numPr>
        <w:ind w:left="1134" w:hanging="567"/>
        <w:rPr>
          <w:u w:val="none"/>
        </w:rPr>
      </w:pPr>
      <w:r>
        <w:t>Agradece</w:t>
      </w:r>
      <w:r w:rsidR="00034B17">
        <w:t xml:space="preserve"> </w:t>
      </w:r>
      <w:r>
        <w:rPr>
          <w:u w:val="none"/>
        </w:rPr>
        <w:t xml:space="preserve">a todos los contribuyentes que, desde </w:t>
      </w:r>
      <w:r w:rsidR="0068343C">
        <w:rPr>
          <w:u w:val="none"/>
        </w:rPr>
        <w:t xml:space="preserve">la </w:t>
      </w:r>
      <w:r>
        <w:rPr>
          <w:u w:val="none"/>
        </w:rPr>
        <w:t xml:space="preserve">última reunión, han aportado a la Convención y a </w:t>
      </w:r>
      <w:r w:rsidR="0068343C">
        <w:rPr>
          <w:u w:val="none"/>
        </w:rPr>
        <w:t xml:space="preserve">la </w:t>
      </w:r>
      <w:r>
        <w:rPr>
          <w:u w:val="none"/>
        </w:rPr>
        <w:t>Secretaría distintos tipos de apoyo financiero o en especie, en forma</w:t>
      </w:r>
      <w:r w:rsidR="0068343C">
        <w:rPr>
          <w:u w:val="none"/>
        </w:rPr>
        <w:t>,</w:t>
      </w:r>
      <w:r>
        <w:rPr>
          <w:u w:val="none"/>
        </w:rPr>
        <w:t xml:space="preserve"> por ejemplo</w:t>
      </w:r>
      <w:r w:rsidR="00E65B08">
        <w:rPr>
          <w:u w:val="none"/>
        </w:rPr>
        <w:t>,</w:t>
      </w:r>
      <w:r>
        <w:rPr>
          <w:u w:val="none"/>
        </w:rPr>
        <w:t xml:space="preserve"> de contribuciones voluntarias complementarias al Fondo del Patrimonio Cultural Inmaterial </w:t>
      </w:r>
      <w:r w:rsidR="0068343C">
        <w:rPr>
          <w:u w:val="none"/>
        </w:rPr>
        <w:t>y</w:t>
      </w:r>
      <w:r>
        <w:rPr>
          <w:u w:val="none"/>
        </w:rPr>
        <w:t xml:space="preserve"> al subfondo para el fortalecimiento de las capacidades humanas de la Secretaría, fondos fiduciarios o </w:t>
      </w:r>
      <w:r w:rsidR="0068343C">
        <w:rPr>
          <w:u w:val="none"/>
        </w:rPr>
        <w:t xml:space="preserve">aún </w:t>
      </w:r>
      <w:r>
        <w:rPr>
          <w:u w:val="none"/>
        </w:rPr>
        <w:t>cesiones de personal, y</w:t>
      </w:r>
      <w:r>
        <w:t xml:space="preserve"> alienta</w:t>
      </w:r>
      <w:r w:rsidR="00034B17">
        <w:t xml:space="preserve"> </w:t>
      </w:r>
      <w:r>
        <w:rPr>
          <w:u w:val="none"/>
        </w:rPr>
        <w:t>a otros Estados a considerar la posibilidad de apoyar a la Convención utilizando la modalidad de su elección;</w:t>
      </w:r>
    </w:p>
    <w:p w14:paraId="60FC238F" w14:textId="77777777" w:rsidR="000B109B" w:rsidRDefault="000B109B" w:rsidP="00B702ED">
      <w:pPr>
        <w:pStyle w:val="COMParaDecision"/>
        <w:keepNext/>
        <w:keepLines/>
        <w:ind w:left="567" w:firstLine="0"/>
        <w:rPr>
          <w:b/>
          <w:bCs/>
          <w:u w:val="none"/>
        </w:rPr>
      </w:pPr>
      <w:r>
        <w:rPr>
          <w:b/>
          <w:u w:val="none"/>
        </w:rPr>
        <w:t xml:space="preserve">Plan para la utilización de los recursos del </w:t>
      </w:r>
      <w:r w:rsidRPr="009D59ED">
        <w:rPr>
          <w:b/>
          <w:u w:val="none"/>
        </w:rPr>
        <w:t>Fondo</w:t>
      </w:r>
    </w:p>
    <w:p w14:paraId="43ED1FAF" w14:textId="7F28F93C" w:rsidR="000B109B" w:rsidRPr="00527561" w:rsidRDefault="000B109B" w:rsidP="00B702ED">
      <w:pPr>
        <w:pStyle w:val="COMParaDecision"/>
        <w:keepLines/>
        <w:numPr>
          <w:ilvl w:val="0"/>
          <w:numId w:val="3"/>
        </w:numPr>
        <w:ind w:left="1134" w:hanging="567"/>
      </w:pPr>
      <w:r>
        <w:t>Aprueba</w:t>
      </w:r>
      <w:r>
        <w:rPr>
          <w:u w:val="none"/>
        </w:rPr>
        <w:t xml:space="preserve"> el Plan para el uso de recursos del Fondo para el período del 1 de enero de 2020 al 31 de diciembre de 2021, así como para el período del 1 de enero de 2022 al 30 de junio de 2022 en el Anexo I de esta Resolución;</w:t>
      </w:r>
    </w:p>
    <w:p w14:paraId="7AE54447" w14:textId="4C976A51" w:rsidR="000B109B" w:rsidRPr="00527561" w:rsidRDefault="000B109B" w:rsidP="00B702ED">
      <w:pPr>
        <w:pStyle w:val="COMParaDecision"/>
        <w:keepLines/>
        <w:numPr>
          <w:ilvl w:val="0"/>
          <w:numId w:val="3"/>
        </w:numPr>
        <w:ind w:left="1134" w:hanging="567"/>
        <w:rPr>
          <w:u w:val="none"/>
        </w:rPr>
      </w:pPr>
      <w:r>
        <w:lastRenderedPageBreak/>
        <w:t>Comprende</w:t>
      </w:r>
      <w:r>
        <w:rPr>
          <w:u w:val="none"/>
        </w:rPr>
        <w:t xml:space="preserve"> que, en su novena reunión en 2022, podría adaptar el </w:t>
      </w:r>
      <w:r w:rsidR="009E1FED">
        <w:rPr>
          <w:u w:val="none"/>
        </w:rPr>
        <w:t>P</w:t>
      </w:r>
      <w:r>
        <w:rPr>
          <w:u w:val="none"/>
        </w:rPr>
        <w:t>lan presupuestario del 1 de enero de 2022 al 30 de junio de 2022</w:t>
      </w:r>
      <w:r w:rsidR="00E330D0">
        <w:rPr>
          <w:u w:val="none"/>
        </w:rPr>
        <w:t>, s</w:t>
      </w:r>
      <w:r w:rsidR="00E330D0" w:rsidRPr="00E330D0">
        <w:rPr>
          <w:u w:val="none"/>
        </w:rPr>
        <w:t>i la Asamblea General no puede reunirse antes del 30 de junio de 2022, la Secretaría está autorizada a continuar sus operaciones hasta que la Asamblea General pueda reunirse</w:t>
      </w:r>
      <w:r w:rsidR="00FA1EB7">
        <w:rPr>
          <w:u w:val="none"/>
        </w:rPr>
        <w:t>;</w:t>
      </w:r>
    </w:p>
    <w:p w14:paraId="4CDACDBA" w14:textId="67D692AB" w:rsidR="00FA0AB0" w:rsidRPr="00854C99" w:rsidRDefault="00FA0AB0" w:rsidP="00680B7E">
      <w:pPr>
        <w:pStyle w:val="COMParaDecision"/>
        <w:keepLines/>
        <w:numPr>
          <w:ilvl w:val="0"/>
          <w:numId w:val="3"/>
        </w:numPr>
        <w:ind w:left="1134" w:hanging="567"/>
      </w:pPr>
      <w:r>
        <w:t xml:space="preserve">También toma nota </w:t>
      </w:r>
      <w:r>
        <w:rPr>
          <w:u w:val="none"/>
        </w:rPr>
        <w:t xml:space="preserve">de la autorización otorgada por el Comité a la Secretaría, al utilizar los fondos asignados en la partida presupuestaria 3 del Plan, para realizar transferencias entre las actividades incluidas en la partida presupuestaria 3 hasta un monto acumulado equivalente al 5 </w:t>
      </w:r>
      <w:r w:rsidR="00FA1EB7">
        <w:rPr>
          <w:u w:val="none"/>
        </w:rPr>
        <w:t xml:space="preserve">por ciento </w:t>
      </w:r>
      <w:r>
        <w:rPr>
          <w:u w:val="none"/>
        </w:rPr>
        <w:t>del monto inicial de la asignación total propuesta a la Asamblea General con este fin;</w:t>
      </w:r>
    </w:p>
    <w:p w14:paraId="4879517A" w14:textId="122CCEF3" w:rsidR="000B109B" w:rsidRPr="00527561" w:rsidRDefault="000B109B" w:rsidP="00B702ED">
      <w:pPr>
        <w:pStyle w:val="COMParaDecision"/>
        <w:keepLines/>
        <w:numPr>
          <w:ilvl w:val="0"/>
          <w:numId w:val="3"/>
        </w:numPr>
        <w:ind w:left="1134" w:hanging="567"/>
        <w:rPr>
          <w:u w:val="none"/>
        </w:rPr>
      </w:pPr>
      <w:r>
        <w:t>Autoriza</w:t>
      </w:r>
      <w:r>
        <w:rPr>
          <w:u w:val="none"/>
        </w:rPr>
        <w:t xml:space="preserve"> al Comité a utilizar inmediatamente todas las contribuciones</w:t>
      </w:r>
      <w:r w:rsidR="000042D9" w:rsidRPr="000042D9">
        <w:rPr>
          <w:u w:val="none"/>
        </w:rPr>
        <w:t xml:space="preserve"> </w:t>
      </w:r>
      <w:r w:rsidR="000042D9">
        <w:rPr>
          <w:u w:val="none"/>
        </w:rPr>
        <w:t>voluntarias</w:t>
      </w:r>
      <w:r>
        <w:rPr>
          <w:u w:val="none"/>
        </w:rPr>
        <w:t xml:space="preserve"> complementarias que puedan recibirse durante esos per</w:t>
      </w:r>
      <w:r w:rsidR="00BC518E">
        <w:rPr>
          <w:u w:val="none"/>
        </w:rPr>
        <w:t>í</w:t>
      </w:r>
      <w:r>
        <w:rPr>
          <w:u w:val="none"/>
        </w:rPr>
        <w:t>odos, como se indica en el Artículo 27 de la Convención, de acuerdo con los porcentajes establecidos en el Plan;</w:t>
      </w:r>
    </w:p>
    <w:p w14:paraId="71378E8F" w14:textId="52E075C8" w:rsidR="000B109B" w:rsidRPr="00527561" w:rsidRDefault="000B109B" w:rsidP="00B702ED">
      <w:pPr>
        <w:pStyle w:val="COMParaDecision"/>
        <w:keepLines/>
        <w:numPr>
          <w:ilvl w:val="0"/>
          <w:numId w:val="3"/>
        </w:numPr>
        <w:ind w:left="1134" w:hanging="567"/>
        <w:rPr>
          <w:u w:val="none"/>
        </w:rPr>
      </w:pPr>
      <w:r w:rsidRPr="003F24A9">
        <w:t>Autoriza además</w:t>
      </w:r>
      <w:r>
        <w:rPr>
          <w:u w:val="none"/>
        </w:rPr>
        <w:t xml:space="preserve"> al Comité a utilizar inmediatamente todas las contribuciones que pueda aceptar durante esos per</w:t>
      </w:r>
      <w:r w:rsidR="00BC518E">
        <w:rPr>
          <w:u w:val="none"/>
        </w:rPr>
        <w:t>í</w:t>
      </w:r>
      <w:r>
        <w:rPr>
          <w:u w:val="none"/>
        </w:rPr>
        <w:t xml:space="preserve">odos con fines específicos, ligados a proyectos concretos, siempre y cuando esos proyectos cuenten con </w:t>
      </w:r>
      <w:r w:rsidR="00FA1EB7">
        <w:rPr>
          <w:u w:val="none"/>
        </w:rPr>
        <w:t xml:space="preserve">la </w:t>
      </w:r>
      <w:r>
        <w:rPr>
          <w:u w:val="none"/>
        </w:rPr>
        <w:t xml:space="preserve">aprobación </w:t>
      </w:r>
      <w:r w:rsidR="00FA1EB7">
        <w:rPr>
          <w:u w:val="none"/>
        </w:rPr>
        <w:t xml:space="preserve">del Comité </w:t>
      </w:r>
      <w:r>
        <w:rPr>
          <w:u w:val="none"/>
        </w:rPr>
        <w:t>antes de la recepción de los fondos, como se indica en el Artículo 25.5 de la Convención;</w:t>
      </w:r>
    </w:p>
    <w:p w14:paraId="7B64EA99" w14:textId="0C79C743" w:rsidR="000B109B" w:rsidRPr="00234FB6" w:rsidRDefault="00D303C5" w:rsidP="00B702ED">
      <w:pPr>
        <w:pStyle w:val="COMParaDecision"/>
        <w:keepLines/>
        <w:numPr>
          <w:ilvl w:val="0"/>
          <w:numId w:val="3"/>
        </w:numPr>
        <w:ind w:left="1134" w:hanging="567"/>
        <w:rPr>
          <w:u w:val="none"/>
        </w:rPr>
      </w:pPr>
      <w:r>
        <w:t>También autoriza</w:t>
      </w:r>
      <w:r>
        <w:rPr>
          <w:u w:val="none"/>
        </w:rPr>
        <w:t xml:space="preserve"> a la Secretaría a realizar transferencias entre las partidas presupuestarias 4, 5, 6 y 7, hasta un equivalente del 30 por ciento de su asignación total inicial, y </w:t>
      </w:r>
      <w:r>
        <w:t xml:space="preserve">solicita </w:t>
      </w:r>
      <w:r>
        <w:rPr>
          <w:u w:val="none"/>
        </w:rPr>
        <w:t>que la Secretaría informe por escrito al Comité y a la Asamblea General, en la reunión posterior a dicha acción, sobre los detalles y las razones de estas transferencias;</w:t>
      </w:r>
    </w:p>
    <w:p w14:paraId="6988EA16" w14:textId="77777777" w:rsidR="000B109B" w:rsidRPr="005A1090" w:rsidRDefault="000B109B" w:rsidP="00B702ED">
      <w:pPr>
        <w:pStyle w:val="COMParaDecision"/>
        <w:keepNext/>
        <w:keepLines/>
        <w:ind w:left="567" w:firstLine="0"/>
        <w:rPr>
          <w:b/>
          <w:bCs/>
          <w:u w:val="none"/>
        </w:rPr>
      </w:pPr>
      <w:r>
        <w:rPr>
          <w:b/>
          <w:u w:val="none"/>
        </w:rPr>
        <w:t>Subfondo para reforzar los recursos humanos de la Secretaría</w:t>
      </w:r>
    </w:p>
    <w:p w14:paraId="44894D98" w14:textId="081367BB" w:rsidR="000B109B" w:rsidRPr="00D303C5" w:rsidRDefault="00B5600A" w:rsidP="00B702ED">
      <w:pPr>
        <w:pStyle w:val="COMParaDecision"/>
        <w:keepLines/>
        <w:numPr>
          <w:ilvl w:val="0"/>
          <w:numId w:val="3"/>
        </w:numPr>
        <w:ind w:left="1134" w:hanging="567"/>
      </w:pPr>
      <w:r>
        <w:t>Destaca</w:t>
      </w:r>
      <w:r>
        <w:rPr>
          <w:u w:val="none"/>
        </w:rPr>
        <w:t xml:space="preserve"> la necesidad de reforzar los recursos humanos de la Secretaría de forma estructural, para que pueda responder mejor a los deseos y necesidades de los Estados Partes, </w:t>
      </w:r>
      <w:r>
        <w:t xml:space="preserve">reconoce </w:t>
      </w:r>
      <w:r>
        <w:rPr>
          <w:u w:val="none"/>
        </w:rPr>
        <w:t>que se necesitan fondos por un monto aproximado de 950 000 dólares estadounidenses por año para lograr este cometido, e</w:t>
      </w:r>
      <w:r>
        <w:t xml:space="preserve"> invita</w:t>
      </w:r>
      <w:r>
        <w:rPr>
          <w:u w:val="none"/>
        </w:rPr>
        <w:t xml:space="preserve"> a los Estados Partes a aportar contribuciones voluntarias</w:t>
      </w:r>
      <w:r w:rsidR="004407F8">
        <w:rPr>
          <w:u w:val="none"/>
        </w:rPr>
        <w:t xml:space="preserve"> complementarias</w:t>
      </w:r>
      <w:r>
        <w:rPr>
          <w:u w:val="none"/>
        </w:rPr>
        <w:t xml:space="preserve"> al subfondo por el monto correspondiente por año;</w:t>
      </w:r>
    </w:p>
    <w:p w14:paraId="6272A6DE" w14:textId="77777777" w:rsidR="000B109B" w:rsidRDefault="000B109B" w:rsidP="00B702ED">
      <w:pPr>
        <w:pStyle w:val="COMParaDecision"/>
        <w:keepNext/>
        <w:keepLines/>
        <w:ind w:left="567" w:firstLine="0"/>
        <w:rPr>
          <w:b/>
          <w:bCs/>
          <w:u w:val="none"/>
        </w:rPr>
      </w:pPr>
      <w:r>
        <w:rPr>
          <w:b/>
          <w:u w:val="none"/>
        </w:rPr>
        <w:t>Tasa de costos de gestión</w:t>
      </w:r>
    </w:p>
    <w:p w14:paraId="63788D01" w14:textId="6B7F1DE3" w:rsidR="000B109B" w:rsidRPr="00234FB6" w:rsidRDefault="000B109B" w:rsidP="00B702ED">
      <w:pPr>
        <w:pStyle w:val="COMParaDecision"/>
        <w:keepLines/>
        <w:numPr>
          <w:ilvl w:val="0"/>
          <w:numId w:val="3"/>
        </w:numPr>
        <w:ind w:left="1134" w:hanging="567"/>
        <w:rPr>
          <w:u w:val="none"/>
        </w:rPr>
      </w:pPr>
      <w:r>
        <w:t>Respalda</w:t>
      </w:r>
      <w:r>
        <w:rPr>
          <w:u w:val="none"/>
        </w:rPr>
        <w:t xml:space="preserve"> la continuación de la aplicación de una tasa de costos de gestión del 0 </w:t>
      </w:r>
      <w:r w:rsidR="00FA1EB7">
        <w:rPr>
          <w:u w:val="none"/>
        </w:rPr>
        <w:t>por ciento</w:t>
      </w:r>
      <w:r>
        <w:rPr>
          <w:u w:val="none"/>
        </w:rPr>
        <w:t xml:space="preserve"> para todas las contribuciones asignadas a la cuenta especial del Fondo del Patrimonio Cultural Inmaterial, así como la aplicación de una tasa de costos de gestión del 7 por ciento para todas las demás contribuciones;</w:t>
      </w:r>
    </w:p>
    <w:p w14:paraId="22C650F5" w14:textId="7AEE596B" w:rsidR="000B109B" w:rsidRPr="00527561" w:rsidRDefault="000B109B" w:rsidP="00B702ED">
      <w:pPr>
        <w:pStyle w:val="COMParaDecision"/>
        <w:keepNext/>
        <w:keepLines/>
        <w:ind w:left="567" w:firstLine="0"/>
        <w:rPr>
          <w:b/>
          <w:bCs/>
          <w:u w:val="none"/>
        </w:rPr>
      </w:pPr>
      <w:r>
        <w:rPr>
          <w:b/>
          <w:u w:val="none"/>
        </w:rPr>
        <w:t>Reglamento financiero</w:t>
      </w:r>
    </w:p>
    <w:p w14:paraId="6B96597B" w14:textId="06AA8D12" w:rsidR="000B109B" w:rsidRPr="000B109B" w:rsidRDefault="00D303C5" w:rsidP="00B702ED">
      <w:pPr>
        <w:pStyle w:val="COMParaDecision"/>
        <w:keepLines/>
        <w:numPr>
          <w:ilvl w:val="0"/>
          <w:numId w:val="3"/>
        </w:numPr>
        <w:ind w:left="1134" w:hanging="567"/>
        <w:rPr>
          <w:u w:val="none"/>
        </w:rPr>
      </w:pPr>
      <w:r>
        <w:t>Aprueba asimismo</w:t>
      </w:r>
      <w:r>
        <w:rPr>
          <w:u w:val="none"/>
        </w:rPr>
        <w:t xml:space="preserve"> las revisiones del Reglamento Financiero de la Cuenta Especial para el Fondo de Salvaguardia del Patrimonio Cultural Inmaterial, según se describen en </w:t>
      </w:r>
      <w:r w:rsidR="00920EF6">
        <w:rPr>
          <w:u w:val="none"/>
        </w:rPr>
        <w:t xml:space="preserve">los </w:t>
      </w:r>
      <w:r>
        <w:rPr>
          <w:u w:val="none"/>
        </w:rPr>
        <w:t>Anexo</w:t>
      </w:r>
      <w:r w:rsidR="00920EF6">
        <w:rPr>
          <w:u w:val="none"/>
        </w:rPr>
        <w:t>s II y</w:t>
      </w:r>
      <w:r>
        <w:rPr>
          <w:u w:val="none"/>
        </w:rPr>
        <w:t xml:space="preserve"> III de la presente Resolución, a fin de armonizarlo con el Reglamento Financiero Estándar de la UNESCO.</w:t>
      </w:r>
    </w:p>
    <w:bookmarkEnd w:id="7"/>
    <w:p w14:paraId="01F407FB" w14:textId="571669D9" w:rsidR="00576E1D" w:rsidRPr="009C211A" w:rsidRDefault="00576E1D" w:rsidP="001740D7">
      <w:pPr>
        <w:pStyle w:val="Annex"/>
      </w:pPr>
      <w:r w:rsidRPr="009C211A">
        <w:lastRenderedPageBreak/>
        <w:t>A</w:t>
      </w:r>
      <w:r w:rsidR="003F24A9">
        <w:t>nexo</w:t>
      </w:r>
      <w:r w:rsidRPr="009C211A">
        <w:t xml:space="preserve"> I</w:t>
      </w:r>
    </w:p>
    <w:tbl>
      <w:tblPr>
        <w:tblW w:w="5493" w:type="pct"/>
        <w:tblInd w:w="-147" w:type="dxa"/>
        <w:tblLayout w:type="fixed"/>
        <w:tblCellMar>
          <w:left w:w="170" w:type="dxa"/>
          <w:right w:w="170" w:type="dxa"/>
        </w:tblCellMar>
        <w:tblLook w:val="04A0" w:firstRow="1" w:lastRow="0" w:firstColumn="1" w:lastColumn="0" w:noHBand="0" w:noVBand="1"/>
      </w:tblPr>
      <w:tblGrid>
        <w:gridCol w:w="856"/>
        <w:gridCol w:w="4542"/>
        <w:gridCol w:w="1276"/>
        <w:gridCol w:w="652"/>
        <w:gridCol w:w="737"/>
        <w:gridCol w:w="256"/>
        <w:gridCol w:w="1003"/>
        <w:gridCol w:w="1261"/>
      </w:tblGrid>
      <w:tr w:rsidR="00884277" w:rsidRPr="00E869B7" w14:paraId="1E33266E" w14:textId="1A23A27C" w:rsidTr="002625CB">
        <w:trPr>
          <w:cantSplit/>
        </w:trPr>
        <w:tc>
          <w:tcPr>
            <w:tcW w:w="3153" w:type="pct"/>
            <w:gridSpan w:val="3"/>
            <w:tcBorders>
              <w:top w:val="single" w:sz="4" w:space="0" w:color="auto"/>
              <w:left w:val="single" w:sz="4" w:space="0" w:color="auto"/>
              <w:bottom w:val="single" w:sz="4" w:space="0" w:color="auto"/>
              <w:right w:val="single" w:sz="4" w:space="0" w:color="auto"/>
            </w:tcBorders>
            <w:shd w:val="clear" w:color="000000" w:fill="D8D8D8"/>
          </w:tcPr>
          <w:p w14:paraId="6D8520B7" w14:textId="2282C698" w:rsidR="00FA7E04" w:rsidRPr="00BB2DEA" w:rsidRDefault="00FA7E04" w:rsidP="001740D7">
            <w:pPr>
              <w:spacing w:before="120" w:after="120"/>
              <w:jc w:val="center"/>
              <w:rPr>
                <w:rFonts w:ascii="Arial" w:hAnsi="Arial" w:cs="Arial"/>
                <w:b/>
                <w:bCs/>
                <w:sz w:val="18"/>
                <w:szCs w:val="18"/>
              </w:rPr>
            </w:pPr>
            <w:r>
              <w:rPr>
                <w:rFonts w:ascii="Arial" w:hAnsi="Arial"/>
                <w:b/>
                <w:sz w:val="18"/>
              </w:rPr>
              <w:t xml:space="preserve">Proyecto de </w:t>
            </w:r>
            <w:r w:rsidR="009E1FED">
              <w:rPr>
                <w:rFonts w:ascii="Arial" w:hAnsi="Arial"/>
                <w:b/>
                <w:sz w:val="18"/>
              </w:rPr>
              <w:t>P</w:t>
            </w:r>
            <w:r>
              <w:rPr>
                <w:rFonts w:ascii="Arial" w:hAnsi="Arial"/>
                <w:b/>
                <w:sz w:val="18"/>
              </w:rPr>
              <w:t>lan para la utilización de los recursos del Fondo</w:t>
            </w:r>
          </w:p>
        </w:tc>
        <w:tc>
          <w:tcPr>
            <w:tcW w:w="308" w:type="pct"/>
            <w:tcBorders>
              <w:left w:val="single" w:sz="4" w:space="0" w:color="auto"/>
              <w:bottom w:val="dashed" w:sz="4" w:space="0" w:color="auto"/>
            </w:tcBorders>
          </w:tcPr>
          <w:p w14:paraId="55B5819C" w14:textId="77777777" w:rsidR="00FA7E04" w:rsidRPr="00034B17" w:rsidRDefault="00FA7E04" w:rsidP="001740D7">
            <w:pPr>
              <w:spacing w:before="120" w:after="120"/>
              <w:jc w:val="center"/>
              <w:rPr>
                <w:rFonts w:ascii="Arial" w:hAnsi="Arial" w:cs="Arial"/>
                <w:b/>
                <w:bCs/>
                <w:sz w:val="18"/>
                <w:szCs w:val="18"/>
              </w:rPr>
            </w:pPr>
          </w:p>
        </w:tc>
        <w:tc>
          <w:tcPr>
            <w:tcW w:w="469" w:type="pct"/>
            <w:gridSpan w:val="2"/>
            <w:tcBorders>
              <w:bottom w:val="dashed" w:sz="4" w:space="0" w:color="auto"/>
            </w:tcBorders>
            <w:shd w:val="clear" w:color="auto" w:fill="auto"/>
          </w:tcPr>
          <w:p w14:paraId="5CD2CDEF" w14:textId="6EBFF8B7" w:rsidR="00FA7E04" w:rsidRPr="00034B17" w:rsidRDefault="00FA7E04" w:rsidP="001740D7">
            <w:pPr>
              <w:spacing w:before="120" w:after="120"/>
              <w:jc w:val="center"/>
              <w:rPr>
                <w:rFonts w:ascii="Arial" w:hAnsi="Arial" w:cs="Arial"/>
                <w:b/>
                <w:bCs/>
                <w:sz w:val="18"/>
                <w:szCs w:val="18"/>
              </w:rPr>
            </w:pPr>
          </w:p>
        </w:tc>
        <w:tc>
          <w:tcPr>
            <w:tcW w:w="1070" w:type="pct"/>
            <w:gridSpan w:val="2"/>
            <w:tcBorders>
              <w:left w:val="nil"/>
              <w:bottom w:val="dashed" w:sz="4" w:space="0" w:color="auto"/>
            </w:tcBorders>
          </w:tcPr>
          <w:p w14:paraId="6E62B1F2" w14:textId="77777777" w:rsidR="00FA7E04" w:rsidRPr="00034B17" w:rsidRDefault="00FA7E04" w:rsidP="001740D7">
            <w:pPr>
              <w:spacing w:before="120" w:after="120"/>
              <w:jc w:val="center"/>
              <w:rPr>
                <w:rFonts w:ascii="Arial" w:hAnsi="Arial" w:cs="Arial"/>
                <w:b/>
                <w:bCs/>
                <w:sz w:val="18"/>
                <w:szCs w:val="18"/>
              </w:rPr>
            </w:pPr>
          </w:p>
        </w:tc>
      </w:tr>
      <w:tr w:rsidR="00884277" w:rsidRPr="00D74CFC" w14:paraId="38DC3A25" w14:textId="4CAB4163" w:rsidTr="002625CB">
        <w:trPr>
          <w:cantSplit/>
        </w:trPr>
        <w:tc>
          <w:tcPr>
            <w:tcW w:w="255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5601A2" w14:textId="1E2CB65C" w:rsidR="00FA7E04" w:rsidRPr="00BB2DEA" w:rsidRDefault="00FA7E04" w:rsidP="00884277">
            <w:pPr>
              <w:spacing w:before="120" w:after="120"/>
              <w:contextualSpacing/>
              <w:jc w:val="both"/>
              <w:rPr>
                <w:rFonts w:ascii="Arial" w:hAnsi="Arial" w:cs="Arial"/>
                <w:sz w:val="18"/>
                <w:szCs w:val="18"/>
              </w:rPr>
            </w:pPr>
            <w:r>
              <w:rPr>
                <w:rFonts w:ascii="Arial" w:hAnsi="Arial"/>
                <w:sz w:val="18"/>
              </w:rPr>
              <w:t>Para el per</w:t>
            </w:r>
            <w:r w:rsidR="00BC518E">
              <w:rPr>
                <w:rFonts w:ascii="Arial" w:hAnsi="Arial"/>
                <w:sz w:val="18"/>
              </w:rPr>
              <w:t>í</w:t>
            </w:r>
            <w:r>
              <w:rPr>
                <w:rFonts w:ascii="Arial" w:hAnsi="Arial"/>
                <w:sz w:val="18"/>
              </w:rPr>
              <w:t>odo comprendido entre el 1 de enero de 2020 y el 31 de diciembre de 2021, y el per</w:t>
            </w:r>
            <w:r w:rsidR="00BC518E">
              <w:rPr>
                <w:rFonts w:ascii="Arial" w:hAnsi="Arial"/>
                <w:sz w:val="18"/>
              </w:rPr>
              <w:t>í</w:t>
            </w:r>
            <w:r>
              <w:rPr>
                <w:rFonts w:ascii="Arial" w:hAnsi="Arial"/>
                <w:sz w:val="18"/>
              </w:rPr>
              <w:t>odo comprendido entre el 1 de enero y el 30 de junio de 2022, los recursos del Fondo del Patrimonio Cultural Inmaterial podrán ser utilizados para los siguientes objetivos:</w:t>
            </w:r>
          </w:p>
        </w:tc>
        <w:tc>
          <w:tcPr>
            <w:tcW w:w="603" w:type="pct"/>
            <w:tcBorders>
              <w:top w:val="single" w:sz="4" w:space="0" w:color="auto"/>
              <w:left w:val="single" w:sz="4" w:space="0" w:color="auto"/>
              <w:bottom w:val="single" w:sz="4" w:space="0" w:color="auto"/>
              <w:right w:val="single" w:sz="4" w:space="0" w:color="auto"/>
            </w:tcBorders>
            <w:vAlign w:val="center"/>
          </w:tcPr>
          <w:p w14:paraId="39BF4CCD" w14:textId="6D259485" w:rsidR="00FA7E04" w:rsidRPr="00BB2DEA" w:rsidRDefault="00FA7E04" w:rsidP="00FA7E04">
            <w:pPr>
              <w:spacing w:before="120" w:after="120"/>
              <w:contextualSpacing/>
              <w:jc w:val="center"/>
              <w:rPr>
                <w:rFonts w:ascii="Arial" w:hAnsi="Arial" w:cs="Arial"/>
                <w:sz w:val="18"/>
                <w:szCs w:val="18"/>
              </w:rPr>
            </w:pPr>
            <w:r>
              <w:rPr>
                <w:rFonts w:ascii="Arial" w:hAnsi="Arial"/>
                <w:sz w:val="18"/>
              </w:rPr>
              <w:t>% aplicado en el bienio anterior 2018-2019</w:t>
            </w:r>
          </w:p>
        </w:tc>
        <w:tc>
          <w:tcPr>
            <w:tcW w:w="656" w:type="pct"/>
            <w:gridSpan w:val="2"/>
            <w:tcBorders>
              <w:top w:val="dashed" w:sz="4" w:space="0" w:color="auto"/>
              <w:left w:val="single" w:sz="4" w:space="0" w:color="auto"/>
              <w:bottom w:val="dashed" w:sz="4" w:space="0" w:color="auto"/>
              <w:right w:val="dashed" w:sz="4" w:space="0" w:color="auto"/>
            </w:tcBorders>
            <w:vAlign w:val="center"/>
          </w:tcPr>
          <w:p w14:paraId="3E6B63B0" w14:textId="55BF93DF" w:rsidR="00FA7E04" w:rsidRPr="00B02DF5" w:rsidRDefault="00FA7E04" w:rsidP="00FA7E04">
            <w:pPr>
              <w:spacing w:before="120" w:after="120"/>
              <w:contextualSpacing/>
              <w:jc w:val="center"/>
              <w:rPr>
                <w:sz w:val="18"/>
                <w:szCs w:val="18"/>
              </w:rPr>
            </w:pPr>
            <w:r>
              <w:rPr>
                <w:rFonts w:ascii="Arial" w:hAnsi="Arial"/>
                <w:sz w:val="18"/>
              </w:rPr>
              <w:t>% de la cantidad total propuesta 2020-2021</w:t>
            </w:r>
            <w:r w:rsidRPr="00FC7DA9">
              <w:rPr>
                <w:rStyle w:val="Appelnotedebasdep"/>
                <w:rFonts w:ascii="Arial" w:hAnsi="Arial" w:cs="Arial"/>
                <w:sz w:val="18"/>
                <w:szCs w:val="18"/>
                <w:lang w:val="en-GB"/>
              </w:rPr>
              <w:footnoteReference w:id="7"/>
            </w:r>
          </w:p>
        </w:tc>
        <w:tc>
          <w:tcPr>
            <w:tcW w:w="595" w:type="pct"/>
            <w:gridSpan w:val="2"/>
            <w:tcBorders>
              <w:top w:val="dashed" w:sz="4" w:space="0" w:color="auto"/>
              <w:left w:val="dashed" w:sz="4" w:space="0" w:color="auto"/>
              <w:bottom w:val="dashed" w:sz="4" w:space="0" w:color="auto"/>
              <w:right w:val="dashed" w:sz="4" w:space="0" w:color="auto"/>
            </w:tcBorders>
            <w:vAlign w:val="center"/>
          </w:tcPr>
          <w:p w14:paraId="649EB780" w14:textId="3198BF09" w:rsidR="00FA7E04" w:rsidRPr="00FC7DA9" w:rsidRDefault="00884277" w:rsidP="00884277">
            <w:pPr>
              <w:spacing w:before="120" w:after="120"/>
              <w:contextualSpacing/>
              <w:jc w:val="center"/>
              <w:rPr>
                <w:rFonts w:ascii="Arial" w:hAnsi="Arial" w:cs="Arial"/>
                <w:sz w:val="18"/>
                <w:szCs w:val="18"/>
              </w:rPr>
            </w:pPr>
            <w:r>
              <w:rPr>
                <w:rFonts w:ascii="Arial" w:hAnsi="Arial"/>
                <w:sz w:val="18"/>
              </w:rPr>
              <w:t>Cantidades indicativas</w:t>
            </w:r>
            <w:r>
              <w:rPr>
                <w:rFonts w:ascii="Arial" w:hAnsi="Arial"/>
                <w:sz w:val="18"/>
              </w:rPr>
              <w:br/>
              <w:t>2020-2021</w:t>
            </w:r>
          </w:p>
        </w:tc>
        <w:tc>
          <w:tcPr>
            <w:tcW w:w="596" w:type="pct"/>
            <w:tcBorders>
              <w:top w:val="dashed" w:sz="4" w:space="0" w:color="auto"/>
              <w:left w:val="dashed" w:sz="4" w:space="0" w:color="auto"/>
              <w:bottom w:val="dashed" w:sz="4" w:space="0" w:color="auto"/>
              <w:right w:val="dashed" w:sz="4" w:space="0" w:color="auto"/>
            </w:tcBorders>
            <w:vAlign w:val="center"/>
          </w:tcPr>
          <w:p w14:paraId="5F7BC8C9" w14:textId="4BE57AC2" w:rsidR="00FA7E04" w:rsidRPr="00B02DF5" w:rsidRDefault="00884277" w:rsidP="00FA7E04">
            <w:pPr>
              <w:spacing w:before="120" w:after="120"/>
              <w:contextualSpacing/>
              <w:jc w:val="center"/>
              <w:rPr>
                <w:rFonts w:ascii="Arial" w:hAnsi="Arial" w:cs="Arial"/>
                <w:sz w:val="18"/>
                <w:szCs w:val="18"/>
              </w:rPr>
            </w:pPr>
            <w:r>
              <w:rPr>
                <w:rFonts w:ascii="Arial" w:hAnsi="Arial"/>
                <w:sz w:val="18"/>
              </w:rPr>
              <w:t>Cantidades indicativas</w:t>
            </w:r>
            <w:r>
              <w:rPr>
                <w:rFonts w:ascii="Arial" w:hAnsi="Arial"/>
                <w:sz w:val="18"/>
              </w:rPr>
              <w:br/>
              <w:t>enero-junio 2022</w:t>
            </w:r>
          </w:p>
        </w:tc>
      </w:tr>
      <w:tr w:rsidR="00884277" w:rsidRPr="00AE7DF0" w14:paraId="19C4C053" w14:textId="2FC71699" w:rsidTr="002625CB">
        <w:trPr>
          <w:cantSplit/>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AF63CC" w14:textId="77777777" w:rsidR="00FA7E04" w:rsidRPr="00BB2DEA" w:rsidRDefault="00FA7E04" w:rsidP="00FA7E04">
            <w:pPr>
              <w:spacing w:before="120" w:after="120"/>
              <w:contextualSpacing/>
              <w:rPr>
                <w:rFonts w:ascii="Arial" w:hAnsi="Arial" w:cs="Arial"/>
                <w:sz w:val="18"/>
                <w:szCs w:val="18"/>
              </w:rPr>
            </w:pPr>
            <w:r>
              <w:rPr>
                <w:rFonts w:ascii="Arial" w:hAnsi="Arial"/>
                <w:sz w:val="18"/>
              </w:rPr>
              <w:t>1.</w:t>
            </w:r>
          </w:p>
        </w:tc>
        <w:tc>
          <w:tcPr>
            <w:tcW w:w="2146" w:type="pct"/>
            <w:tcBorders>
              <w:top w:val="single" w:sz="4" w:space="0" w:color="auto"/>
              <w:left w:val="single" w:sz="4" w:space="0" w:color="auto"/>
              <w:bottom w:val="single" w:sz="4" w:space="0" w:color="auto"/>
              <w:right w:val="single" w:sz="4" w:space="0" w:color="auto"/>
            </w:tcBorders>
            <w:shd w:val="clear" w:color="auto" w:fill="auto"/>
            <w:vAlign w:val="center"/>
          </w:tcPr>
          <w:p w14:paraId="2A947874" w14:textId="6075924D" w:rsidR="00FA7E04" w:rsidRPr="00BB2DEA" w:rsidRDefault="00FA7E04" w:rsidP="008B3BEC">
            <w:pPr>
              <w:spacing w:before="120" w:after="120"/>
              <w:contextualSpacing/>
              <w:rPr>
                <w:rFonts w:ascii="Arial" w:hAnsi="Arial" w:cs="Arial"/>
                <w:sz w:val="18"/>
                <w:szCs w:val="18"/>
              </w:rPr>
            </w:pPr>
            <w:r>
              <w:rPr>
                <w:rFonts w:ascii="Arial" w:hAnsi="Arial"/>
                <w:sz w:val="18"/>
              </w:rPr>
              <w:t>Asistencia Internacional, incluye</w:t>
            </w:r>
            <w:r w:rsidR="002C2E29">
              <w:rPr>
                <w:rFonts w:ascii="Arial" w:hAnsi="Arial"/>
                <w:sz w:val="18"/>
              </w:rPr>
              <w:t>ndo</w:t>
            </w:r>
            <w:r>
              <w:rPr>
                <w:rFonts w:ascii="Arial" w:hAnsi="Arial"/>
                <w:sz w:val="18"/>
              </w:rPr>
              <w:t xml:space="preserve"> la salvaguardia del patrimonio inscrito en la Lista del Patrimonio cultural inmaterial que requiere medidas</w:t>
            </w:r>
            <w:r w:rsidR="002C2E29">
              <w:rPr>
                <w:rFonts w:ascii="Arial" w:hAnsi="Arial"/>
                <w:sz w:val="18"/>
              </w:rPr>
              <w:t xml:space="preserve"> urgentes</w:t>
            </w:r>
            <w:r>
              <w:rPr>
                <w:rFonts w:ascii="Arial" w:hAnsi="Arial"/>
                <w:sz w:val="18"/>
              </w:rPr>
              <w:t xml:space="preserve"> de salvaguardia, la preparación de inventarios y el apoyo a otros programas, proyectos y actividades de salvaguardia;</w:t>
            </w:r>
          </w:p>
        </w:tc>
        <w:tc>
          <w:tcPr>
            <w:tcW w:w="603" w:type="pct"/>
            <w:tcBorders>
              <w:top w:val="single" w:sz="4" w:space="0" w:color="auto"/>
              <w:left w:val="single" w:sz="4" w:space="0" w:color="auto"/>
              <w:bottom w:val="single" w:sz="4" w:space="0" w:color="auto"/>
              <w:right w:val="single" w:sz="4" w:space="0" w:color="auto"/>
            </w:tcBorders>
            <w:vAlign w:val="center"/>
          </w:tcPr>
          <w:p w14:paraId="3460ED58" w14:textId="5BAB5769" w:rsidR="00FA7E04" w:rsidRDefault="00FA7E04" w:rsidP="00FA7E04">
            <w:pPr>
              <w:spacing w:before="60" w:after="60"/>
              <w:contextualSpacing/>
              <w:jc w:val="center"/>
              <w:rPr>
                <w:rFonts w:ascii="Arial" w:hAnsi="Arial" w:cs="Arial"/>
                <w:sz w:val="18"/>
                <w:szCs w:val="18"/>
              </w:rPr>
            </w:pPr>
            <w:r>
              <w:rPr>
                <w:rFonts w:ascii="Arial" w:hAnsi="Arial"/>
                <w:sz w:val="18"/>
              </w:rPr>
              <w:t>52,55 %</w:t>
            </w:r>
          </w:p>
        </w:tc>
        <w:tc>
          <w:tcPr>
            <w:tcW w:w="656" w:type="pct"/>
            <w:gridSpan w:val="2"/>
            <w:tcBorders>
              <w:top w:val="dashed" w:sz="4" w:space="0" w:color="auto"/>
              <w:left w:val="single" w:sz="4" w:space="0" w:color="auto"/>
              <w:bottom w:val="dashed" w:sz="4" w:space="0" w:color="auto"/>
              <w:right w:val="dashed" w:sz="4" w:space="0" w:color="auto"/>
            </w:tcBorders>
            <w:vAlign w:val="center"/>
          </w:tcPr>
          <w:p w14:paraId="04A71B08" w14:textId="766938ED" w:rsidR="00FA7E04" w:rsidRPr="00B02DF5" w:rsidRDefault="00FA7E04" w:rsidP="00FA7E04">
            <w:pPr>
              <w:spacing w:before="60" w:after="60"/>
              <w:contextualSpacing/>
              <w:jc w:val="center"/>
              <w:rPr>
                <w:rFonts w:ascii="Arial" w:hAnsi="Arial" w:cs="Arial"/>
                <w:sz w:val="18"/>
                <w:szCs w:val="18"/>
              </w:rPr>
            </w:pPr>
            <w:r>
              <w:rPr>
                <w:rFonts w:ascii="Arial" w:hAnsi="Arial"/>
                <w:sz w:val="18"/>
              </w:rPr>
              <w:t>51,96 %</w:t>
            </w:r>
          </w:p>
        </w:tc>
        <w:tc>
          <w:tcPr>
            <w:tcW w:w="595" w:type="pct"/>
            <w:gridSpan w:val="2"/>
            <w:tcBorders>
              <w:top w:val="dashed" w:sz="4" w:space="0" w:color="auto"/>
              <w:left w:val="dashed" w:sz="4" w:space="0" w:color="auto"/>
              <w:bottom w:val="dashed" w:sz="4" w:space="0" w:color="auto"/>
              <w:right w:val="dashed" w:sz="4" w:space="0" w:color="auto"/>
            </w:tcBorders>
            <w:vAlign w:val="center"/>
          </w:tcPr>
          <w:p w14:paraId="6E1E2CD8" w14:textId="5C89D9B7" w:rsidR="00FA7E04" w:rsidRPr="00B02DF5" w:rsidRDefault="007038EB" w:rsidP="009C6B5E">
            <w:pPr>
              <w:spacing w:before="60" w:after="60"/>
              <w:contextualSpacing/>
              <w:jc w:val="center"/>
              <w:rPr>
                <w:rFonts w:ascii="Arial" w:hAnsi="Arial" w:cs="Arial"/>
                <w:sz w:val="18"/>
                <w:szCs w:val="18"/>
              </w:rPr>
            </w:pPr>
            <w:r>
              <w:rPr>
                <w:rFonts w:ascii="Arial" w:hAnsi="Arial"/>
                <w:sz w:val="18"/>
              </w:rPr>
              <w:t xml:space="preserve">4 073 861 </w:t>
            </w:r>
            <w:r w:rsidR="00FA1EB7">
              <w:rPr>
                <w:rFonts w:ascii="Arial" w:hAnsi="Arial"/>
                <w:sz w:val="18"/>
              </w:rPr>
              <w:t> </w:t>
            </w:r>
            <w:r>
              <w:rPr>
                <w:rFonts w:ascii="Arial" w:hAnsi="Arial"/>
                <w:sz w:val="18"/>
              </w:rPr>
              <w:t>$</w:t>
            </w:r>
          </w:p>
        </w:tc>
        <w:tc>
          <w:tcPr>
            <w:tcW w:w="596" w:type="pct"/>
            <w:tcBorders>
              <w:top w:val="dashed" w:sz="4" w:space="0" w:color="auto"/>
              <w:left w:val="dashed" w:sz="4" w:space="0" w:color="auto"/>
              <w:bottom w:val="dashed" w:sz="4" w:space="0" w:color="auto"/>
              <w:right w:val="dashed" w:sz="4" w:space="0" w:color="auto"/>
            </w:tcBorders>
            <w:vAlign w:val="center"/>
          </w:tcPr>
          <w:p w14:paraId="6E270172" w14:textId="2F722643" w:rsidR="00FA7E04" w:rsidRPr="00B02DF5" w:rsidRDefault="009C6B5E" w:rsidP="009C6B5E">
            <w:pPr>
              <w:spacing w:before="60" w:after="60"/>
              <w:contextualSpacing/>
              <w:jc w:val="center"/>
              <w:rPr>
                <w:rFonts w:ascii="Arial" w:hAnsi="Arial" w:cs="Arial"/>
                <w:sz w:val="18"/>
                <w:szCs w:val="18"/>
              </w:rPr>
            </w:pPr>
            <w:r>
              <w:rPr>
                <w:rFonts w:ascii="Arial" w:hAnsi="Arial"/>
                <w:sz w:val="18"/>
              </w:rPr>
              <w:t xml:space="preserve">1 018 465 </w:t>
            </w:r>
            <w:r w:rsidR="00FA1EB7">
              <w:rPr>
                <w:rFonts w:ascii="Arial" w:hAnsi="Arial"/>
                <w:sz w:val="18"/>
              </w:rPr>
              <w:t> </w:t>
            </w:r>
            <w:r>
              <w:rPr>
                <w:rFonts w:ascii="Arial" w:hAnsi="Arial"/>
                <w:sz w:val="18"/>
              </w:rPr>
              <w:t>$</w:t>
            </w:r>
          </w:p>
        </w:tc>
      </w:tr>
      <w:tr w:rsidR="00884277" w:rsidRPr="00AE7DF0" w14:paraId="229FC0E4" w14:textId="2B913BCF" w:rsidTr="002625CB">
        <w:trPr>
          <w:cantSplit/>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12EF65" w14:textId="77777777" w:rsidR="00FA7E04" w:rsidRPr="00BB2DEA" w:rsidRDefault="00FA7E04" w:rsidP="00FA7E04">
            <w:pPr>
              <w:spacing w:before="120" w:after="120"/>
              <w:contextualSpacing/>
              <w:rPr>
                <w:rFonts w:ascii="Arial" w:hAnsi="Arial" w:cs="Arial"/>
                <w:sz w:val="18"/>
                <w:szCs w:val="18"/>
              </w:rPr>
            </w:pPr>
            <w:r>
              <w:rPr>
                <w:rFonts w:ascii="Arial" w:hAnsi="Arial"/>
                <w:sz w:val="18"/>
              </w:rPr>
              <w:t>1.1</w:t>
            </w:r>
          </w:p>
        </w:tc>
        <w:tc>
          <w:tcPr>
            <w:tcW w:w="2146" w:type="pct"/>
            <w:tcBorders>
              <w:top w:val="single" w:sz="4" w:space="0" w:color="auto"/>
              <w:left w:val="single" w:sz="4" w:space="0" w:color="auto"/>
              <w:bottom w:val="single" w:sz="4" w:space="0" w:color="auto"/>
              <w:right w:val="single" w:sz="4" w:space="0" w:color="auto"/>
            </w:tcBorders>
            <w:shd w:val="clear" w:color="auto" w:fill="auto"/>
            <w:vAlign w:val="center"/>
          </w:tcPr>
          <w:p w14:paraId="6D76B4DA" w14:textId="77777777" w:rsidR="00FA7E04" w:rsidRPr="00BB2DEA" w:rsidRDefault="00FA7E04" w:rsidP="008B3BEC">
            <w:pPr>
              <w:spacing w:before="120" w:after="120"/>
              <w:ind w:right="-1"/>
              <w:contextualSpacing/>
              <w:rPr>
                <w:rFonts w:ascii="Arial" w:hAnsi="Arial" w:cs="Arial"/>
                <w:sz w:val="18"/>
                <w:szCs w:val="18"/>
              </w:rPr>
            </w:pPr>
            <w:r>
              <w:rPr>
                <w:rFonts w:ascii="Arial" w:hAnsi="Arial"/>
                <w:sz w:val="18"/>
              </w:rPr>
              <w:t>Refuerzo de los recursos humanos para mejorar la aplicación de los mecanismos de Asistencia Internacional a través de tres puestos extrapresupuestarios de plazo fijo (un P3, un P2 y un G5).</w:t>
            </w:r>
          </w:p>
        </w:tc>
        <w:tc>
          <w:tcPr>
            <w:tcW w:w="603" w:type="pct"/>
            <w:tcBorders>
              <w:top w:val="single" w:sz="4" w:space="0" w:color="auto"/>
              <w:left w:val="single" w:sz="4" w:space="0" w:color="auto"/>
              <w:bottom w:val="single" w:sz="4" w:space="0" w:color="auto"/>
              <w:right w:val="single" w:sz="4" w:space="0" w:color="auto"/>
            </w:tcBorders>
            <w:vAlign w:val="center"/>
          </w:tcPr>
          <w:p w14:paraId="516C437E" w14:textId="0559E01F" w:rsidR="00FA7E04" w:rsidRDefault="00FA7E04" w:rsidP="00FA7E04">
            <w:pPr>
              <w:spacing w:before="60" w:after="60"/>
              <w:contextualSpacing/>
              <w:jc w:val="center"/>
              <w:rPr>
                <w:rFonts w:ascii="Arial" w:hAnsi="Arial" w:cs="Arial"/>
                <w:sz w:val="18"/>
                <w:szCs w:val="18"/>
              </w:rPr>
            </w:pPr>
            <w:r>
              <w:rPr>
                <w:rFonts w:ascii="Arial" w:hAnsi="Arial"/>
                <w:sz w:val="18"/>
              </w:rPr>
              <w:t>8,20 %</w:t>
            </w:r>
          </w:p>
        </w:tc>
        <w:tc>
          <w:tcPr>
            <w:tcW w:w="656" w:type="pct"/>
            <w:gridSpan w:val="2"/>
            <w:tcBorders>
              <w:top w:val="dashed" w:sz="4" w:space="0" w:color="auto"/>
              <w:left w:val="single" w:sz="4" w:space="0" w:color="auto"/>
              <w:bottom w:val="dashed" w:sz="4" w:space="0" w:color="auto"/>
              <w:right w:val="dashed" w:sz="4" w:space="0" w:color="auto"/>
            </w:tcBorders>
            <w:vAlign w:val="center"/>
          </w:tcPr>
          <w:p w14:paraId="23E1A5BB" w14:textId="650D2A55" w:rsidR="00FA7E04" w:rsidRPr="00B02DF5" w:rsidRDefault="00FA7E04" w:rsidP="00FA7E04">
            <w:pPr>
              <w:spacing w:before="60" w:after="60"/>
              <w:contextualSpacing/>
              <w:jc w:val="center"/>
              <w:rPr>
                <w:rFonts w:ascii="Arial" w:hAnsi="Arial" w:cs="Arial"/>
                <w:sz w:val="18"/>
                <w:szCs w:val="18"/>
              </w:rPr>
            </w:pPr>
            <w:r>
              <w:rPr>
                <w:rFonts w:ascii="Arial" w:hAnsi="Arial"/>
                <w:sz w:val="18"/>
              </w:rPr>
              <w:t>10,79 %</w:t>
            </w:r>
          </w:p>
        </w:tc>
        <w:tc>
          <w:tcPr>
            <w:tcW w:w="595" w:type="pct"/>
            <w:gridSpan w:val="2"/>
            <w:tcBorders>
              <w:top w:val="dashed" w:sz="4" w:space="0" w:color="auto"/>
              <w:left w:val="dashed" w:sz="4" w:space="0" w:color="auto"/>
              <w:bottom w:val="dashed" w:sz="4" w:space="0" w:color="auto"/>
              <w:right w:val="dashed" w:sz="4" w:space="0" w:color="auto"/>
            </w:tcBorders>
            <w:vAlign w:val="center"/>
          </w:tcPr>
          <w:p w14:paraId="43BFECE4" w14:textId="5C06CDEB" w:rsidR="00FA7E04" w:rsidRPr="00B02DF5" w:rsidRDefault="007038EB" w:rsidP="009C6B5E">
            <w:pPr>
              <w:spacing w:before="60" w:after="60"/>
              <w:contextualSpacing/>
              <w:jc w:val="center"/>
              <w:rPr>
                <w:rFonts w:ascii="Arial" w:hAnsi="Arial" w:cs="Arial"/>
                <w:sz w:val="18"/>
                <w:szCs w:val="18"/>
              </w:rPr>
            </w:pPr>
            <w:r>
              <w:rPr>
                <w:rFonts w:ascii="Arial" w:hAnsi="Arial"/>
                <w:sz w:val="18"/>
              </w:rPr>
              <w:t>845 977 $</w:t>
            </w:r>
          </w:p>
        </w:tc>
        <w:tc>
          <w:tcPr>
            <w:tcW w:w="596" w:type="pct"/>
            <w:tcBorders>
              <w:top w:val="dashed" w:sz="4" w:space="0" w:color="auto"/>
              <w:left w:val="dashed" w:sz="4" w:space="0" w:color="auto"/>
              <w:bottom w:val="dashed" w:sz="4" w:space="0" w:color="auto"/>
              <w:right w:val="dashed" w:sz="4" w:space="0" w:color="auto"/>
            </w:tcBorders>
            <w:vAlign w:val="center"/>
          </w:tcPr>
          <w:p w14:paraId="6F11FCAB" w14:textId="5DD15E16" w:rsidR="00FA7E04" w:rsidRPr="00B02DF5" w:rsidRDefault="009C6B5E" w:rsidP="009C6B5E">
            <w:pPr>
              <w:spacing w:before="60" w:after="60"/>
              <w:contextualSpacing/>
              <w:jc w:val="center"/>
              <w:rPr>
                <w:rFonts w:ascii="Arial" w:hAnsi="Arial" w:cs="Arial"/>
                <w:sz w:val="18"/>
                <w:szCs w:val="18"/>
              </w:rPr>
            </w:pPr>
            <w:r>
              <w:rPr>
                <w:rFonts w:ascii="Arial" w:hAnsi="Arial"/>
                <w:sz w:val="18"/>
              </w:rPr>
              <w:t>211 494 $</w:t>
            </w:r>
          </w:p>
        </w:tc>
      </w:tr>
      <w:tr w:rsidR="00884277" w:rsidRPr="00AE7DF0" w14:paraId="00863C39" w14:textId="6E7DF503" w:rsidTr="002625CB">
        <w:trPr>
          <w:cantSplit/>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B7A904" w14:textId="77777777" w:rsidR="00FA7E04" w:rsidRPr="00BB2DEA" w:rsidRDefault="00FA7E04" w:rsidP="00FA7E04">
            <w:pPr>
              <w:spacing w:before="120" w:after="120"/>
              <w:contextualSpacing/>
              <w:rPr>
                <w:rFonts w:ascii="Arial" w:hAnsi="Arial" w:cs="Arial"/>
                <w:sz w:val="18"/>
                <w:szCs w:val="18"/>
              </w:rPr>
            </w:pPr>
            <w:r>
              <w:rPr>
                <w:rFonts w:ascii="Arial" w:hAnsi="Arial"/>
                <w:sz w:val="18"/>
              </w:rPr>
              <w:t>2.</w:t>
            </w:r>
          </w:p>
        </w:tc>
        <w:tc>
          <w:tcPr>
            <w:tcW w:w="2146" w:type="pct"/>
            <w:tcBorders>
              <w:top w:val="single" w:sz="4" w:space="0" w:color="auto"/>
              <w:left w:val="single" w:sz="4" w:space="0" w:color="auto"/>
              <w:bottom w:val="single" w:sz="4" w:space="0" w:color="auto"/>
              <w:right w:val="single" w:sz="4" w:space="0" w:color="auto"/>
            </w:tcBorders>
            <w:shd w:val="clear" w:color="auto" w:fill="auto"/>
            <w:vAlign w:val="center"/>
          </w:tcPr>
          <w:p w14:paraId="51DBF583" w14:textId="77777777" w:rsidR="00FA7E04" w:rsidRPr="00BB2DEA" w:rsidRDefault="00FA7E04" w:rsidP="008B3BEC">
            <w:pPr>
              <w:spacing w:before="120" w:after="120"/>
              <w:contextualSpacing/>
              <w:rPr>
                <w:rFonts w:ascii="Arial" w:hAnsi="Arial" w:cs="Arial"/>
                <w:sz w:val="18"/>
                <w:szCs w:val="18"/>
              </w:rPr>
            </w:pPr>
            <w:r>
              <w:rPr>
                <w:rFonts w:ascii="Arial" w:hAnsi="Arial"/>
                <w:sz w:val="18"/>
              </w:rPr>
              <w:t>Asistencia preparatoria para las solicitudes de Asistencia Internacional, así como para los expedientes de candidatura para la Lista de Salvaguardia Urgente y las candidaturas para el Registro de Buenas Prácticas de Salvaguardia;</w:t>
            </w:r>
          </w:p>
        </w:tc>
        <w:tc>
          <w:tcPr>
            <w:tcW w:w="603" w:type="pct"/>
            <w:tcBorders>
              <w:top w:val="single" w:sz="4" w:space="0" w:color="auto"/>
              <w:left w:val="single" w:sz="4" w:space="0" w:color="auto"/>
              <w:bottom w:val="single" w:sz="4" w:space="0" w:color="auto"/>
              <w:right w:val="single" w:sz="4" w:space="0" w:color="auto"/>
            </w:tcBorders>
            <w:vAlign w:val="center"/>
          </w:tcPr>
          <w:p w14:paraId="06858473" w14:textId="4AFFBC1A" w:rsidR="00FA7E04" w:rsidRDefault="00FA7E04" w:rsidP="00FA7E04">
            <w:pPr>
              <w:spacing w:before="60" w:after="60"/>
              <w:contextualSpacing/>
              <w:jc w:val="center"/>
              <w:rPr>
                <w:rFonts w:ascii="Arial" w:hAnsi="Arial" w:cs="Arial"/>
                <w:sz w:val="18"/>
                <w:szCs w:val="18"/>
              </w:rPr>
            </w:pPr>
            <w:r>
              <w:rPr>
                <w:rFonts w:ascii="Arial" w:hAnsi="Arial"/>
                <w:sz w:val="18"/>
              </w:rPr>
              <w:t>4,00 %</w:t>
            </w:r>
          </w:p>
        </w:tc>
        <w:tc>
          <w:tcPr>
            <w:tcW w:w="656" w:type="pct"/>
            <w:gridSpan w:val="2"/>
            <w:tcBorders>
              <w:top w:val="dashed" w:sz="4" w:space="0" w:color="auto"/>
              <w:left w:val="single" w:sz="4" w:space="0" w:color="auto"/>
              <w:bottom w:val="dashed" w:sz="4" w:space="0" w:color="auto"/>
              <w:right w:val="dashed" w:sz="4" w:space="0" w:color="auto"/>
            </w:tcBorders>
            <w:vAlign w:val="center"/>
          </w:tcPr>
          <w:p w14:paraId="405B101F" w14:textId="57D11ED1" w:rsidR="00FA7E04" w:rsidRPr="00B02DF5" w:rsidRDefault="00FA7E04" w:rsidP="00FA7E04">
            <w:pPr>
              <w:spacing w:before="60" w:after="60"/>
              <w:contextualSpacing/>
              <w:jc w:val="center"/>
              <w:rPr>
                <w:rFonts w:ascii="Arial" w:hAnsi="Arial" w:cs="Arial"/>
                <w:sz w:val="18"/>
                <w:szCs w:val="18"/>
              </w:rPr>
            </w:pPr>
            <w:r>
              <w:rPr>
                <w:rFonts w:ascii="Arial" w:hAnsi="Arial"/>
                <w:sz w:val="18"/>
              </w:rPr>
              <w:t>2,00 %</w:t>
            </w:r>
          </w:p>
        </w:tc>
        <w:tc>
          <w:tcPr>
            <w:tcW w:w="595" w:type="pct"/>
            <w:gridSpan w:val="2"/>
            <w:tcBorders>
              <w:top w:val="dashed" w:sz="4" w:space="0" w:color="auto"/>
              <w:left w:val="dashed" w:sz="4" w:space="0" w:color="auto"/>
              <w:bottom w:val="dashed" w:sz="4" w:space="0" w:color="auto"/>
              <w:right w:val="dashed" w:sz="4" w:space="0" w:color="auto"/>
            </w:tcBorders>
            <w:vAlign w:val="center"/>
          </w:tcPr>
          <w:p w14:paraId="6C82D482" w14:textId="25F7DE73" w:rsidR="00FA7E04" w:rsidRPr="00B02DF5" w:rsidRDefault="007038EB" w:rsidP="009C6B5E">
            <w:pPr>
              <w:spacing w:before="60" w:after="60"/>
              <w:contextualSpacing/>
              <w:jc w:val="center"/>
              <w:rPr>
                <w:rFonts w:ascii="Arial" w:hAnsi="Arial" w:cs="Arial"/>
                <w:sz w:val="18"/>
                <w:szCs w:val="18"/>
              </w:rPr>
            </w:pPr>
            <w:r>
              <w:rPr>
                <w:rFonts w:ascii="Arial" w:hAnsi="Arial"/>
                <w:sz w:val="18"/>
              </w:rPr>
              <w:t>156 808 $</w:t>
            </w:r>
          </w:p>
        </w:tc>
        <w:tc>
          <w:tcPr>
            <w:tcW w:w="596" w:type="pct"/>
            <w:tcBorders>
              <w:top w:val="dashed" w:sz="4" w:space="0" w:color="auto"/>
              <w:left w:val="dashed" w:sz="4" w:space="0" w:color="auto"/>
              <w:bottom w:val="dashed" w:sz="4" w:space="0" w:color="auto"/>
              <w:right w:val="dashed" w:sz="4" w:space="0" w:color="auto"/>
            </w:tcBorders>
            <w:vAlign w:val="center"/>
          </w:tcPr>
          <w:p w14:paraId="332EE7EF" w14:textId="0D886892" w:rsidR="00FA7E04" w:rsidRPr="00B02DF5" w:rsidRDefault="009C6B5E" w:rsidP="009C6B5E">
            <w:pPr>
              <w:spacing w:before="60" w:after="60"/>
              <w:contextualSpacing/>
              <w:jc w:val="center"/>
              <w:rPr>
                <w:rFonts w:ascii="Arial" w:hAnsi="Arial" w:cs="Arial"/>
                <w:sz w:val="18"/>
                <w:szCs w:val="18"/>
              </w:rPr>
            </w:pPr>
            <w:r>
              <w:rPr>
                <w:rFonts w:ascii="Arial" w:hAnsi="Arial"/>
                <w:sz w:val="18"/>
              </w:rPr>
              <w:t>39 202 $</w:t>
            </w:r>
          </w:p>
        </w:tc>
      </w:tr>
      <w:tr w:rsidR="00884277" w:rsidRPr="00AE7DF0" w14:paraId="7CE1B4EC" w14:textId="743B5C60" w:rsidTr="002625CB">
        <w:trPr>
          <w:cantSplit/>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C10AB5" w14:textId="77777777" w:rsidR="00FA7E04" w:rsidRPr="00BB2DEA" w:rsidRDefault="00FA7E04" w:rsidP="00FA7E04">
            <w:pPr>
              <w:spacing w:before="120" w:after="120"/>
              <w:contextualSpacing/>
              <w:rPr>
                <w:rFonts w:ascii="Arial" w:hAnsi="Arial" w:cs="Arial"/>
                <w:sz w:val="18"/>
                <w:szCs w:val="18"/>
              </w:rPr>
            </w:pPr>
            <w:r>
              <w:rPr>
                <w:rFonts w:ascii="Arial" w:hAnsi="Arial"/>
                <w:sz w:val="18"/>
              </w:rPr>
              <w:t>3.</w:t>
            </w:r>
          </w:p>
        </w:tc>
        <w:tc>
          <w:tcPr>
            <w:tcW w:w="2146" w:type="pct"/>
            <w:tcBorders>
              <w:top w:val="single" w:sz="4" w:space="0" w:color="auto"/>
              <w:left w:val="single" w:sz="4" w:space="0" w:color="auto"/>
              <w:bottom w:val="single" w:sz="4" w:space="0" w:color="auto"/>
              <w:right w:val="single" w:sz="4" w:space="0" w:color="auto"/>
            </w:tcBorders>
            <w:shd w:val="clear" w:color="auto" w:fill="auto"/>
            <w:vAlign w:val="center"/>
          </w:tcPr>
          <w:p w14:paraId="60C49DD7" w14:textId="197A83EB" w:rsidR="00FA7E04" w:rsidRPr="00BB2DEA" w:rsidRDefault="00FA7E04" w:rsidP="008B3BEC">
            <w:pPr>
              <w:spacing w:before="120" w:after="120"/>
              <w:contextualSpacing/>
              <w:rPr>
                <w:rFonts w:ascii="Arial" w:hAnsi="Arial" w:cs="Arial"/>
                <w:sz w:val="18"/>
                <w:szCs w:val="18"/>
              </w:rPr>
            </w:pPr>
            <w:r>
              <w:rPr>
                <w:rFonts w:ascii="Arial" w:hAnsi="Arial"/>
                <w:sz w:val="18"/>
              </w:rPr>
              <w:t xml:space="preserve">Otras funciones del Comité, tal como se describen en el Artículo 7 de la Convención, con la finalidad de promover los objetivos de la Convención y fomentar y dar seguimiento a su aplicación, en particular, a través del fortalecimiento de capacidades para salvaguardar de manera efectiva el patrimonio cultural inmaterial, sensibilizar acerca de la importancia de este patrimonio, proporcionar orientaciones sobre las buenas prácticas de salvaguardia y actualizar y publicar las Listas y el Registro de Buenas Prácticas de Salvaguardia: </w:t>
            </w:r>
          </w:p>
        </w:tc>
        <w:tc>
          <w:tcPr>
            <w:tcW w:w="603" w:type="pct"/>
            <w:tcBorders>
              <w:top w:val="single" w:sz="4" w:space="0" w:color="auto"/>
              <w:left w:val="single" w:sz="4" w:space="0" w:color="auto"/>
              <w:bottom w:val="single" w:sz="4" w:space="0" w:color="auto"/>
              <w:right w:val="single" w:sz="4" w:space="0" w:color="auto"/>
            </w:tcBorders>
            <w:vAlign w:val="center"/>
          </w:tcPr>
          <w:p w14:paraId="12DE901E" w14:textId="7299401E" w:rsidR="00FA7E04" w:rsidRPr="00B02DF5" w:rsidRDefault="00FA7E04" w:rsidP="00FA7E04">
            <w:pPr>
              <w:spacing w:before="60" w:after="60"/>
              <w:contextualSpacing/>
              <w:jc w:val="center"/>
              <w:rPr>
                <w:rFonts w:ascii="Arial" w:hAnsi="Arial" w:cs="Arial"/>
                <w:sz w:val="18"/>
                <w:szCs w:val="18"/>
              </w:rPr>
            </w:pPr>
            <w:r>
              <w:rPr>
                <w:rFonts w:ascii="Arial" w:hAnsi="Arial"/>
                <w:sz w:val="18"/>
              </w:rPr>
              <w:t>20,00 %</w:t>
            </w:r>
          </w:p>
        </w:tc>
        <w:tc>
          <w:tcPr>
            <w:tcW w:w="656" w:type="pct"/>
            <w:gridSpan w:val="2"/>
            <w:tcBorders>
              <w:top w:val="dashed" w:sz="4" w:space="0" w:color="auto"/>
              <w:left w:val="single" w:sz="4" w:space="0" w:color="auto"/>
              <w:bottom w:val="dashed" w:sz="4" w:space="0" w:color="auto"/>
              <w:right w:val="dashed" w:sz="4" w:space="0" w:color="auto"/>
            </w:tcBorders>
            <w:vAlign w:val="center"/>
          </w:tcPr>
          <w:p w14:paraId="73722426" w14:textId="5DDB7AAD" w:rsidR="00FA7E04" w:rsidRPr="00B02DF5" w:rsidRDefault="00FA7E04" w:rsidP="00FA7E04">
            <w:pPr>
              <w:spacing w:before="60" w:after="60"/>
              <w:contextualSpacing/>
              <w:jc w:val="center"/>
              <w:rPr>
                <w:rFonts w:ascii="Arial" w:hAnsi="Arial" w:cs="Arial"/>
                <w:sz w:val="18"/>
                <w:szCs w:val="18"/>
              </w:rPr>
            </w:pPr>
            <w:r>
              <w:rPr>
                <w:rFonts w:ascii="Arial" w:hAnsi="Arial"/>
                <w:sz w:val="18"/>
              </w:rPr>
              <w:t>20,00 %</w:t>
            </w:r>
          </w:p>
        </w:tc>
        <w:tc>
          <w:tcPr>
            <w:tcW w:w="595" w:type="pct"/>
            <w:gridSpan w:val="2"/>
            <w:tcBorders>
              <w:top w:val="dashed" w:sz="4" w:space="0" w:color="auto"/>
              <w:left w:val="dashed" w:sz="4" w:space="0" w:color="auto"/>
              <w:bottom w:val="dashed" w:sz="4" w:space="0" w:color="auto"/>
              <w:right w:val="dashed" w:sz="4" w:space="0" w:color="auto"/>
            </w:tcBorders>
            <w:vAlign w:val="center"/>
          </w:tcPr>
          <w:p w14:paraId="391002AF" w14:textId="49329794" w:rsidR="00FA7E04" w:rsidRPr="00B02DF5" w:rsidRDefault="007038EB" w:rsidP="009C6B5E">
            <w:pPr>
              <w:spacing w:before="60" w:after="60"/>
              <w:contextualSpacing/>
              <w:jc w:val="center"/>
              <w:rPr>
                <w:rFonts w:ascii="Arial" w:hAnsi="Arial" w:cs="Arial"/>
                <w:sz w:val="18"/>
                <w:szCs w:val="18"/>
              </w:rPr>
            </w:pPr>
            <w:r>
              <w:rPr>
                <w:rFonts w:ascii="Arial" w:hAnsi="Arial"/>
                <w:sz w:val="18"/>
              </w:rPr>
              <w:t xml:space="preserve">1 568 076 </w:t>
            </w:r>
            <w:r w:rsidR="00FA1EB7">
              <w:rPr>
                <w:rFonts w:ascii="Arial" w:hAnsi="Arial"/>
                <w:sz w:val="18"/>
              </w:rPr>
              <w:t> </w:t>
            </w:r>
            <w:r>
              <w:rPr>
                <w:rFonts w:ascii="Arial" w:hAnsi="Arial"/>
                <w:sz w:val="18"/>
              </w:rPr>
              <w:t>$</w:t>
            </w:r>
          </w:p>
        </w:tc>
        <w:tc>
          <w:tcPr>
            <w:tcW w:w="596" w:type="pct"/>
            <w:tcBorders>
              <w:top w:val="dashed" w:sz="4" w:space="0" w:color="auto"/>
              <w:left w:val="dashed" w:sz="4" w:space="0" w:color="auto"/>
              <w:bottom w:val="dashed" w:sz="4" w:space="0" w:color="auto"/>
              <w:right w:val="dashed" w:sz="4" w:space="0" w:color="auto"/>
            </w:tcBorders>
            <w:vAlign w:val="center"/>
          </w:tcPr>
          <w:p w14:paraId="5C43A563" w14:textId="07BC103D" w:rsidR="00FA7E04" w:rsidRPr="00B02DF5" w:rsidRDefault="009C6B5E" w:rsidP="009C6B5E">
            <w:pPr>
              <w:spacing w:before="60" w:after="60"/>
              <w:contextualSpacing/>
              <w:jc w:val="center"/>
              <w:rPr>
                <w:rFonts w:ascii="Arial" w:hAnsi="Arial" w:cs="Arial"/>
                <w:sz w:val="18"/>
                <w:szCs w:val="18"/>
              </w:rPr>
            </w:pPr>
            <w:r>
              <w:rPr>
                <w:rFonts w:ascii="Arial" w:hAnsi="Arial"/>
                <w:sz w:val="18"/>
              </w:rPr>
              <w:t>392 019 $</w:t>
            </w:r>
          </w:p>
        </w:tc>
      </w:tr>
      <w:tr w:rsidR="008B3BEC" w:rsidRPr="008B3BEC" w14:paraId="3B01FDD5" w14:textId="77777777" w:rsidTr="002625CB">
        <w:trPr>
          <w:cantSplit/>
        </w:trPr>
        <w:tc>
          <w:tcPr>
            <w:tcW w:w="404"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237BAAC0" w14:textId="4610EB49" w:rsidR="008B3BEC" w:rsidRPr="008B3BEC" w:rsidRDefault="008B3BEC" w:rsidP="00FA7E04">
            <w:pPr>
              <w:spacing w:before="120" w:after="120"/>
              <w:contextualSpacing/>
              <w:rPr>
                <w:rFonts w:ascii="Arial" w:hAnsi="Arial" w:cs="Arial"/>
                <w:i/>
                <w:iCs/>
                <w:sz w:val="18"/>
                <w:szCs w:val="18"/>
                <w:lang w:val="en-GB"/>
              </w:rPr>
            </w:pPr>
          </w:p>
        </w:tc>
        <w:tc>
          <w:tcPr>
            <w:tcW w:w="214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525659" w14:textId="4B5B5AEE" w:rsidR="008B3BEC" w:rsidRPr="00C278E9" w:rsidRDefault="00C278E9" w:rsidP="00C278E9">
            <w:pPr>
              <w:spacing w:before="120" w:after="120"/>
              <w:ind w:left="250"/>
              <w:contextualSpacing/>
              <w:rPr>
                <w:rFonts w:ascii="Arial" w:hAnsi="Arial" w:cs="Arial"/>
                <w:i/>
                <w:iCs/>
                <w:sz w:val="16"/>
                <w:szCs w:val="16"/>
              </w:rPr>
            </w:pPr>
            <w:r>
              <w:rPr>
                <w:rFonts w:ascii="Arial" w:hAnsi="Arial"/>
                <w:b/>
                <w:i/>
                <w:sz w:val="16"/>
              </w:rPr>
              <w:t>RE 1:</w:t>
            </w:r>
            <w:r>
              <w:rPr>
                <w:rFonts w:ascii="Arial" w:hAnsi="Arial"/>
                <w:i/>
                <w:sz w:val="16"/>
              </w:rPr>
              <w:t xml:space="preserve"> Una gobernanza sólida de la Convención de 2003 apoyada por un seguimiento y servicios de gestión de conocimientos</w:t>
            </w:r>
            <w:r w:rsidR="002D7313">
              <w:rPr>
                <w:rFonts w:ascii="Arial" w:hAnsi="Arial"/>
                <w:i/>
                <w:sz w:val="16"/>
              </w:rPr>
              <w:t xml:space="preserve"> reforzados</w:t>
            </w:r>
            <w:r>
              <w:rPr>
                <w:rFonts w:ascii="Arial" w:hAnsi="Arial"/>
                <w:i/>
                <w:sz w:val="16"/>
              </w:rPr>
              <w:t>;</w:t>
            </w:r>
          </w:p>
        </w:tc>
        <w:tc>
          <w:tcPr>
            <w:tcW w:w="60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B747F7" w14:textId="77777777" w:rsidR="002F755B" w:rsidRDefault="002F755B" w:rsidP="00FA7E04">
            <w:pPr>
              <w:spacing w:before="60" w:after="60"/>
              <w:contextualSpacing/>
              <w:jc w:val="center"/>
              <w:rPr>
                <w:rFonts w:ascii="Arial" w:hAnsi="Arial" w:cs="Arial"/>
                <w:i/>
                <w:iCs/>
                <w:sz w:val="16"/>
                <w:szCs w:val="16"/>
              </w:rPr>
            </w:pPr>
            <w:r>
              <w:rPr>
                <w:rFonts w:ascii="Arial" w:hAnsi="Arial"/>
                <w:i/>
                <w:sz w:val="16"/>
              </w:rPr>
              <w:t>4 %</w:t>
            </w:r>
          </w:p>
          <w:p w14:paraId="23C782EE" w14:textId="50E54F61" w:rsidR="008B3BEC" w:rsidRPr="00C278E9" w:rsidRDefault="002F755B" w:rsidP="00FA7E04">
            <w:pPr>
              <w:spacing w:before="60" w:after="60"/>
              <w:contextualSpacing/>
              <w:jc w:val="center"/>
              <w:rPr>
                <w:rFonts w:ascii="Arial" w:hAnsi="Arial" w:cs="Arial"/>
                <w:i/>
                <w:iCs/>
                <w:sz w:val="16"/>
                <w:szCs w:val="16"/>
              </w:rPr>
            </w:pPr>
            <w:r>
              <w:rPr>
                <w:rFonts w:ascii="Arial" w:hAnsi="Arial"/>
                <w:i/>
                <w:sz w:val="16"/>
              </w:rPr>
              <w:t>(20 % de la partida 3)</w:t>
            </w:r>
          </w:p>
        </w:tc>
        <w:tc>
          <w:tcPr>
            <w:tcW w:w="656" w:type="pct"/>
            <w:gridSpan w:val="2"/>
            <w:tcBorders>
              <w:top w:val="dashed" w:sz="4" w:space="0" w:color="auto"/>
              <w:left w:val="single" w:sz="4" w:space="0" w:color="auto"/>
              <w:bottom w:val="dashed" w:sz="4" w:space="0" w:color="auto"/>
              <w:right w:val="dashed" w:sz="4" w:space="0" w:color="auto"/>
            </w:tcBorders>
            <w:shd w:val="clear" w:color="auto" w:fill="E7E6E6" w:themeFill="background2"/>
            <w:vAlign w:val="center"/>
          </w:tcPr>
          <w:p w14:paraId="14847466" w14:textId="77777777" w:rsidR="002F755B" w:rsidRDefault="002F755B" w:rsidP="002F755B">
            <w:pPr>
              <w:spacing w:before="60" w:after="60"/>
              <w:contextualSpacing/>
              <w:jc w:val="center"/>
              <w:rPr>
                <w:rFonts w:ascii="Arial" w:hAnsi="Arial" w:cs="Arial"/>
                <w:i/>
                <w:iCs/>
                <w:sz w:val="16"/>
                <w:szCs w:val="16"/>
              </w:rPr>
            </w:pPr>
            <w:r>
              <w:rPr>
                <w:rFonts w:ascii="Arial" w:hAnsi="Arial"/>
                <w:i/>
                <w:sz w:val="16"/>
              </w:rPr>
              <w:t>5,4 %</w:t>
            </w:r>
          </w:p>
          <w:p w14:paraId="37F69BD5" w14:textId="2D9114D0" w:rsidR="008B3BEC" w:rsidRPr="00B702ED" w:rsidRDefault="002F755B" w:rsidP="002F755B">
            <w:pPr>
              <w:spacing w:before="60" w:after="60"/>
              <w:contextualSpacing/>
              <w:jc w:val="center"/>
              <w:rPr>
                <w:rFonts w:ascii="Arial" w:hAnsi="Arial" w:cs="Arial"/>
                <w:i/>
                <w:iCs/>
                <w:sz w:val="16"/>
                <w:szCs w:val="16"/>
              </w:rPr>
            </w:pPr>
            <w:r>
              <w:rPr>
                <w:rFonts w:ascii="Arial" w:hAnsi="Arial"/>
                <w:i/>
                <w:sz w:val="16"/>
              </w:rPr>
              <w:t>(27 % de la partida 3)</w:t>
            </w:r>
          </w:p>
        </w:tc>
        <w:tc>
          <w:tcPr>
            <w:tcW w:w="595" w:type="pct"/>
            <w:gridSpan w:val="2"/>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0AC51D23" w14:textId="31D83B64" w:rsidR="008B3BEC" w:rsidRPr="00B702ED" w:rsidRDefault="00542F06" w:rsidP="009C6B5E">
            <w:pPr>
              <w:spacing w:before="60" w:after="60"/>
              <w:contextualSpacing/>
              <w:jc w:val="center"/>
              <w:rPr>
                <w:rFonts w:ascii="Arial" w:hAnsi="Arial" w:cs="Arial"/>
                <w:i/>
                <w:iCs/>
                <w:sz w:val="16"/>
                <w:szCs w:val="16"/>
              </w:rPr>
            </w:pPr>
            <w:r>
              <w:rPr>
                <w:rFonts w:ascii="Arial" w:hAnsi="Arial"/>
                <w:i/>
                <w:sz w:val="16"/>
              </w:rPr>
              <w:t>423 380 $</w:t>
            </w:r>
          </w:p>
        </w:tc>
        <w:tc>
          <w:tcPr>
            <w:tcW w:w="596" w:type="pct"/>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46FB8AA0" w14:textId="4F6B3E46" w:rsidR="008B3BEC" w:rsidRPr="00B702ED" w:rsidRDefault="00542F06" w:rsidP="009C6B5E">
            <w:pPr>
              <w:spacing w:before="60" w:after="60"/>
              <w:contextualSpacing/>
              <w:jc w:val="center"/>
              <w:rPr>
                <w:rFonts w:ascii="Arial" w:hAnsi="Arial" w:cs="Arial"/>
                <w:i/>
                <w:iCs/>
                <w:sz w:val="16"/>
                <w:szCs w:val="16"/>
              </w:rPr>
            </w:pPr>
            <w:r>
              <w:rPr>
                <w:rFonts w:ascii="Arial" w:hAnsi="Arial"/>
                <w:i/>
                <w:sz w:val="16"/>
              </w:rPr>
              <w:t>105 845 $</w:t>
            </w:r>
          </w:p>
        </w:tc>
      </w:tr>
      <w:tr w:rsidR="008B3BEC" w:rsidRPr="008B3BEC" w14:paraId="3D0C4612" w14:textId="77777777" w:rsidTr="002625CB">
        <w:trPr>
          <w:cantSplit/>
        </w:trPr>
        <w:tc>
          <w:tcPr>
            <w:tcW w:w="404"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36C39682" w14:textId="121F2790" w:rsidR="008B3BEC" w:rsidRPr="008B3BEC" w:rsidRDefault="008B3BEC" w:rsidP="00FA7E04">
            <w:pPr>
              <w:spacing w:before="120" w:after="120"/>
              <w:contextualSpacing/>
              <w:rPr>
                <w:rFonts w:ascii="Arial" w:hAnsi="Arial" w:cs="Arial"/>
                <w:i/>
                <w:iCs/>
                <w:sz w:val="18"/>
                <w:szCs w:val="18"/>
                <w:lang w:val="en-GB"/>
              </w:rPr>
            </w:pPr>
          </w:p>
        </w:tc>
        <w:tc>
          <w:tcPr>
            <w:tcW w:w="214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871D937" w14:textId="74CED35C" w:rsidR="008B3BEC" w:rsidRPr="00C278E9" w:rsidRDefault="00C278E9" w:rsidP="00C278E9">
            <w:pPr>
              <w:spacing w:before="120" w:after="120"/>
              <w:ind w:left="250"/>
              <w:contextualSpacing/>
              <w:rPr>
                <w:rFonts w:ascii="Arial" w:hAnsi="Arial" w:cs="Arial"/>
                <w:i/>
                <w:iCs/>
                <w:sz w:val="16"/>
                <w:szCs w:val="16"/>
              </w:rPr>
            </w:pPr>
            <w:r>
              <w:rPr>
                <w:rFonts w:ascii="Arial" w:hAnsi="Arial"/>
                <w:b/>
                <w:i/>
                <w:sz w:val="16"/>
              </w:rPr>
              <w:t>RE 2:</w:t>
            </w:r>
            <w:r>
              <w:rPr>
                <w:rFonts w:ascii="Arial" w:hAnsi="Arial"/>
                <w:i/>
                <w:sz w:val="16"/>
              </w:rPr>
              <w:t xml:space="preserve"> </w:t>
            </w:r>
            <w:r w:rsidR="002D7313">
              <w:rPr>
                <w:rFonts w:ascii="Arial" w:hAnsi="Arial"/>
                <w:i/>
                <w:sz w:val="16"/>
              </w:rPr>
              <w:t xml:space="preserve">Aplicación </w:t>
            </w:r>
            <w:r>
              <w:rPr>
                <w:rFonts w:ascii="Arial" w:hAnsi="Arial"/>
                <w:i/>
                <w:sz w:val="16"/>
              </w:rPr>
              <w:t>de la Convención en los Estados Miembros mediante un programa de fortalecimiento de capacidades</w:t>
            </w:r>
            <w:r w:rsidR="002D7313">
              <w:rPr>
                <w:rFonts w:ascii="Arial" w:hAnsi="Arial"/>
                <w:i/>
                <w:sz w:val="16"/>
              </w:rPr>
              <w:t xml:space="preserve"> reforzado</w:t>
            </w:r>
            <w:r>
              <w:rPr>
                <w:rFonts w:ascii="Arial" w:hAnsi="Arial"/>
                <w:i/>
                <w:sz w:val="16"/>
              </w:rPr>
              <w:t>;</w:t>
            </w:r>
          </w:p>
        </w:tc>
        <w:tc>
          <w:tcPr>
            <w:tcW w:w="60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86CE0B" w14:textId="0A8335CB" w:rsidR="002F755B" w:rsidRDefault="002F755B" w:rsidP="00FA7E04">
            <w:pPr>
              <w:spacing w:before="60" w:after="60"/>
              <w:contextualSpacing/>
              <w:jc w:val="center"/>
              <w:rPr>
                <w:rFonts w:ascii="Arial" w:hAnsi="Arial" w:cs="Arial"/>
                <w:i/>
                <w:iCs/>
                <w:sz w:val="16"/>
                <w:szCs w:val="16"/>
              </w:rPr>
            </w:pPr>
            <w:r>
              <w:rPr>
                <w:rFonts w:ascii="Arial" w:hAnsi="Arial"/>
                <w:i/>
                <w:sz w:val="16"/>
              </w:rPr>
              <w:t>7,2 %</w:t>
            </w:r>
          </w:p>
          <w:p w14:paraId="12A6BA3F" w14:textId="098D3DA9" w:rsidR="002F755B" w:rsidRPr="00C278E9" w:rsidRDefault="002F755B">
            <w:pPr>
              <w:spacing w:before="60" w:after="60"/>
              <w:contextualSpacing/>
              <w:jc w:val="center"/>
              <w:rPr>
                <w:rFonts w:ascii="Arial" w:hAnsi="Arial" w:cs="Arial"/>
                <w:i/>
                <w:iCs/>
                <w:sz w:val="16"/>
                <w:szCs w:val="16"/>
              </w:rPr>
            </w:pPr>
            <w:r>
              <w:rPr>
                <w:rFonts w:ascii="Arial" w:hAnsi="Arial"/>
                <w:i/>
                <w:sz w:val="16"/>
              </w:rPr>
              <w:t>(36 % de la partida 3)</w:t>
            </w:r>
          </w:p>
        </w:tc>
        <w:tc>
          <w:tcPr>
            <w:tcW w:w="656" w:type="pct"/>
            <w:gridSpan w:val="2"/>
            <w:tcBorders>
              <w:top w:val="dashed" w:sz="4" w:space="0" w:color="auto"/>
              <w:left w:val="single" w:sz="4" w:space="0" w:color="auto"/>
              <w:bottom w:val="dashed" w:sz="4" w:space="0" w:color="auto"/>
              <w:right w:val="dashed" w:sz="4" w:space="0" w:color="auto"/>
            </w:tcBorders>
            <w:shd w:val="clear" w:color="auto" w:fill="E7E6E6" w:themeFill="background2"/>
            <w:vAlign w:val="center"/>
          </w:tcPr>
          <w:p w14:paraId="22292D1F" w14:textId="77777777" w:rsidR="002F755B" w:rsidRDefault="002F755B" w:rsidP="00FA7E04">
            <w:pPr>
              <w:spacing w:before="60" w:after="60"/>
              <w:contextualSpacing/>
              <w:jc w:val="center"/>
              <w:rPr>
                <w:rFonts w:ascii="Arial" w:hAnsi="Arial" w:cs="Arial"/>
                <w:i/>
                <w:iCs/>
                <w:sz w:val="16"/>
                <w:szCs w:val="16"/>
              </w:rPr>
            </w:pPr>
            <w:r>
              <w:rPr>
                <w:rFonts w:ascii="Arial" w:hAnsi="Arial"/>
                <w:i/>
                <w:sz w:val="16"/>
              </w:rPr>
              <w:t>6,6 %</w:t>
            </w:r>
          </w:p>
          <w:p w14:paraId="2143BD42" w14:textId="6040E030" w:rsidR="008B3BEC" w:rsidRPr="00B702ED" w:rsidRDefault="002F755B" w:rsidP="00FA7E04">
            <w:pPr>
              <w:spacing w:before="60" w:after="60"/>
              <w:contextualSpacing/>
              <w:jc w:val="center"/>
              <w:rPr>
                <w:rFonts w:ascii="Arial" w:hAnsi="Arial" w:cs="Arial"/>
                <w:i/>
                <w:iCs/>
                <w:sz w:val="16"/>
                <w:szCs w:val="16"/>
              </w:rPr>
            </w:pPr>
            <w:r>
              <w:rPr>
                <w:rFonts w:ascii="Arial" w:hAnsi="Arial"/>
                <w:i/>
                <w:sz w:val="16"/>
              </w:rPr>
              <w:t>(33 % de la partida 3)</w:t>
            </w:r>
          </w:p>
        </w:tc>
        <w:tc>
          <w:tcPr>
            <w:tcW w:w="595" w:type="pct"/>
            <w:gridSpan w:val="2"/>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3EC0538F" w14:textId="33E58CB2" w:rsidR="008B3BEC" w:rsidRPr="00B702ED" w:rsidRDefault="00542F06" w:rsidP="009C6B5E">
            <w:pPr>
              <w:spacing w:before="60" w:after="60"/>
              <w:contextualSpacing/>
              <w:jc w:val="center"/>
              <w:rPr>
                <w:rFonts w:ascii="Arial" w:hAnsi="Arial" w:cs="Arial"/>
                <w:i/>
                <w:iCs/>
                <w:sz w:val="16"/>
                <w:szCs w:val="16"/>
              </w:rPr>
            </w:pPr>
            <w:r>
              <w:rPr>
                <w:rFonts w:ascii="Arial" w:hAnsi="Arial"/>
                <w:i/>
                <w:sz w:val="16"/>
              </w:rPr>
              <w:t>517 465 $</w:t>
            </w:r>
          </w:p>
        </w:tc>
        <w:tc>
          <w:tcPr>
            <w:tcW w:w="596" w:type="pct"/>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735272D5" w14:textId="08535ACA" w:rsidR="00542F06" w:rsidRPr="00B702ED" w:rsidRDefault="00542F06">
            <w:pPr>
              <w:spacing w:before="60" w:after="60"/>
              <w:contextualSpacing/>
              <w:jc w:val="center"/>
              <w:rPr>
                <w:rFonts w:ascii="Arial" w:hAnsi="Arial" w:cs="Arial"/>
                <w:i/>
                <w:iCs/>
                <w:sz w:val="16"/>
                <w:szCs w:val="16"/>
              </w:rPr>
            </w:pPr>
            <w:r>
              <w:rPr>
                <w:rFonts w:ascii="Arial" w:hAnsi="Arial"/>
                <w:i/>
                <w:sz w:val="16"/>
              </w:rPr>
              <w:t>129 366 $</w:t>
            </w:r>
          </w:p>
        </w:tc>
      </w:tr>
      <w:tr w:rsidR="008B3BEC" w:rsidRPr="008B3BEC" w14:paraId="6EDC83FA" w14:textId="77777777" w:rsidTr="002625CB">
        <w:trPr>
          <w:cantSplit/>
        </w:trPr>
        <w:tc>
          <w:tcPr>
            <w:tcW w:w="404"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0750C673" w14:textId="503D8332" w:rsidR="008B3BEC" w:rsidRPr="008B3BEC" w:rsidRDefault="008B3BEC" w:rsidP="00FA7E04">
            <w:pPr>
              <w:spacing w:before="120" w:after="120"/>
              <w:contextualSpacing/>
              <w:rPr>
                <w:rFonts w:ascii="Arial" w:hAnsi="Arial" w:cs="Arial"/>
                <w:i/>
                <w:iCs/>
                <w:sz w:val="18"/>
                <w:szCs w:val="18"/>
                <w:lang w:val="en-GB"/>
              </w:rPr>
            </w:pPr>
          </w:p>
        </w:tc>
        <w:tc>
          <w:tcPr>
            <w:tcW w:w="214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0D9D995" w14:textId="43FA2F33" w:rsidR="008B3BEC" w:rsidRPr="00C278E9" w:rsidRDefault="00C278E9" w:rsidP="00C278E9">
            <w:pPr>
              <w:spacing w:before="120" w:after="120"/>
              <w:ind w:left="250"/>
              <w:contextualSpacing/>
              <w:rPr>
                <w:rFonts w:ascii="Arial" w:hAnsi="Arial" w:cs="Arial"/>
                <w:i/>
                <w:iCs/>
                <w:sz w:val="16"/>
                <w:szCs w:val="16"/>
              </w:rPr>
            </w:pPr>
            <w:r>
              <w:rPr>
                <w:rFonts w:ascii="Arial" w:hAnsi="Arial"/>
                <w:b/>
                <w:i/>
                <w:sz w:val="16"/>
              </w:rPr>
              <w:t>RE 3:</w:t>
            </w:r>
            <w:r>
              <w:rPr>
                <w:rFonts w:ascii="Arial" w:hAnsi="Arial"/>
                <w:i/>
                <w:sz w:val="16"/>
              </w:rPr>
              <w:t xml:space="preserve"> </w:t>
            </w:r>
            <w:r w:rsidR="002D7313">
              <w:rPr>
                <w:rFonts w:ascii="Arial" w:hAnsi="Arial"/>
                <w:i/>
                <w:sz w:val="16"/>
              </w:rPr>
              <w:t>Promoción de la i</w:t>
            </w:r>
            <w:r>
              <w:rPr>
                <w:rFonts w:ascii="Arial" w:hAnsi="Arial"/>
                <w:i/>
                <w:sz w:val="16"/>
              </w:rPr>
              <w:t>ntegración del patrimonio cultural inmaterial en los planes, políticas y programas de desarrollo;</w:t>
            </w:r>
          </w:p>
        </w:tc>
        <w:tc>
          <w:tcPr>
            <w:tcW w:w="60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F5C1C8E" w14:textId="77777777" w:rsidR="002F755B" w:rsidRDefault="002F755B" w:rsidP="00FA7E04">
            <w:pPr>
              <w:spacing w:before="60" w:after="60"/>
              <w:contextualSpacing/>
              <w:jc w:val="center"/>
              <w:rPr>
                <w:rFonts w:ascii="Arial" w:hAnsi="Arial" w:cs="Arial"/>
                <w:i/>
                <w:iCs/>
                <w:sz w:val="16"/>
                <w:szCs w:val="16"/>
              </w:rPr>
            </w:pPr>
            <w:r>
              <w:rPr>
                <w:rFonts w:ascii="Arial" w:hAnsi="Arial"/>
                <w:i/>
                <w:sz w:val="16"/>
              </w:rPr>
              <w:t xml:space="preserve">3,4 % </w:t>
            </w:r>
          </w:p>
          <w:p w14:paraId="007CFEA0" w14:textId="18541258" w:rsidR="008B3BEC" w:rsidRPr="00C278E9" w:rsidRDefault="002F755B" w:rsidP="00FA7E04">
            <w:pPr>
              <w:spacing w:before="60" w:after="60"/>
              <w:contextualSpacing/>
              <w:jc w:val="center"/>
              <w:rPr>
                <w:rFonts w:ascii="Arial" w:hAnsi="Arial" w:cs="Arial"/>
                <w:i/>
                <w:iCs/>
                <w:sz w:val="16"/>
                <w:szCs w:val="16"/>
              </w:rPr>
            </w:pPr>
            <w:r>
              <w:rPr>
                <w:rFonts w:ascii="Arial" w:hAnsi="Arial"/>
                <w:i/>
                <w:sz w:val="16"/>
              </w:rPr>
              <w:t>(17 % de la partida 3)</w:t>
            </w:r>
          </w:p>
        </w:tc>
        <w:tc>
          <w:tcPr>
            <w:tcW w:w="656" w:type="pct"/>
            <w:gridSpan w:val="2"/>
            <w:tcBorders>
              <w:top w:val="dashed" w:sz="4" w:space="0" w:color="auto"/>
              <w:left w:val="single" w:sz="4" w:space="0" w:color="auto"/>
              <w:bottom w:val="dashed" w:sz="4" w:space="0" w:color="auto"/>
              <w:right w:val="dashed" w:sz="4" w:space="0" w:color="auto"/>
            </w:tcBorders>
            <w:shd w:val="clear" w:color="auto" w:fill="E7E6E6" w:themeFill="background2"/>
            <w:vAlign w:val="center"/>
          </w:tcPr>
          <w:p w14:paraId="4F0E0136" w14:textId="354FCF45" w:rsidR="002F755B" w:rsidRDefault="002F755B" w:rsidP="002F755B">
            <w:pPr>
              <w:spacing w:before="60" w:after="60"/>
              <w:contextualSpacing/>
              <w:jc w:val="center"/>
              <w:rPr>
                <w:rFonts w:ascii="Arial" w:hAnsi="Arial" w:cs="Arial"/>
                <w:i/>
                <w:iCs/>
                <w:sz w:val="16"/>
                <w:szCs w:val="16"/>
              </w:rPr>
            </w:pPr>
            <w:r>
              <w:rPr>
                <w:rFonts w:ascii="Arial" w:hAnsi="Arial"/>
                <w:i/>
                <w:sz w:val="16"/>
              </w:rPr>
              <w:t>2,6 %</w:t>
            </w:r>
          </w:p>
          <w:p w14:paraId="5640FD44" w14:textId="00CEADDC" w:rsidR="002F755B" w:rsidRPr="00B702ED" w:rsidRDefault="002F755B">
            <w:pPr>
              <w:spacing w:before="60" w:after="60"/>
              <w:contextualSpacing/>
              <w:jc w:val="center"/>
              <w:rPr>
                <w:rFonts w:ascii="Arial" w:hAnsi="Arial" w:cs="Arial"/>
                <w:i/>
                <w:iCs/>
                <w:sz w:val="16"/>
                <w:szCs w:val="16"/>
              </w:rPr>
            </w:pPr>
            <w:r>
              <w:rPr>
                <w:rFonts w:ascii="Arial" w:hAnsi="Arial"/>
                <w:i/>
                <w:sz w:val="16"/>
              </w:rPr>
              <w:t>(13 % de la partida 3)</w:t>
            </w:r>
          </w:p>
        </w:tc>
        <w:tc>
          <w:tcPr>
            <w:tcW w:w="595" w:type="pct"/>
            <w:gridSpan w:val="2"/>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1640FBF0" w14:textId="13F0866C" w:rsidR="008B3BEC" w:rsidRPr="00B702ED" w:rsidRDefault="00542F06" w:rsidP="009C6B5E">
            <w:pPr>
              <w:spacing w:before="60" w:after="60"/>
              <w:contextualSpacing/>
              <w:jc w:val="center"/>
              <w:rPr>
                <w:rFonts w:ascii="Arial" w:hAnsi="Arial" w:cs="Arial"/>
                <w:i/>
                <w:iCs/>
                <w:sz w:val="16"/>
                <w:szCs w:val="16"/>
              </w:rPr>
            </w:pPr>
            <w:r>
              <w:rPr>
                <w:rFonts w:ascii="Arial" w:hAnsi="Arial"/>
                <w:i/>
                <w:sz w:val="16"/>
              </w:rPr>
              <w:t>203 850 $</w:t>
            </w:r>
          </w:p>
        </w:tc>
        <w:tc>
          <w:tcPr>
            <w:tcW w:w="596" w:type="pct"/>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560DEA25" w14:textId="0D61AB3D" w:rsidR="008B3BEC" w:rsidRPr="00B702ED" w:rsidRDefault="00542F06" w:rsidP="009C6B5E">
            <w:pPr>
              <w:spacing w:before="60" w:after="60"/>
              <w:contextualSpacing/>
              <w:jc w:val="center"/>
              <w:rPr>
                <w:rFonts w:ascii="Arial" w:hAnsi="Arial" w:cs="Arial"/>
                <w:i/>
                <w:iCs/>
                <w:sz w:val="16"/>
                <w:szCs w:val="16"/>
              </w:rPr>
            </w:pPr>
            <w:r>
              <w:rPr>
                <w:rFonts w:ascii="Arial" w:hAnsi="Arial"/>
                <w:i/>
                <w:sz w:val="16"/>
              </w:rPr>
              <w:t>50 962 $</w:t>
            </w:r>
          </w:p>
        </w:tc>
      </w:tr>
      <w:tr w:rsidR="008B3BEC" w:rsidRPr="008B3BEC" w14:paraId="0DA9303F" w14:textId="77777777" w:rsidTr="002625CB">
        <w:trPr>
          <w:cantSplit/>
        </w:trPr>
        <w:tc>
          <w:tcPr>
            <w:tcW w:w="404"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033E57AB" w14:textId="62DF04BB" w:rsidR="008B3BEC" w:rsidRPr="008B3BEC" w:rsidRDefault="008B3BEC" w:rsidP="00FA7E04">
            <w:pPr>
              <w:spacing w:before="120" w:after="120"/>
              <w:contextualSpacing/>
              <w:rPr>
                <w:rFonts w:ascii="Arial" w:hAnsi="Arial" w:cs="Arial"/>
                <w:i/>
                <w:iCs/>
                <w:sz w:val="18"/>
                <w:szCs w:val="18"/>
                <w:lang w:val="en-GB"/>
              </w:rPr>
            </w:pPr>
          </w:p>
        </w:tc>
        <w:tc>
          <w:tcPr>
            <w:tcW w:w="214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B5F1BF" w14:textId="0552CE87" w:rsidR="008B3BEC" w:rsidRPr="00C278E9" w:rsidRDefault="00C278E9" w:rsidP="00C278E9">
            <w:pPr>
              <w:spacing w:before="120" w:after="120"/>
              <w:ind w:left="250"/>
              <w:contextualSpacing/>
              <w:rPr>
                <w:rFonts w:ascii="Arial" w:hAnsi="Arial" w:cs="Arial"/>
                <w:i/>
                <w:iCs/>
                <w:sz w:val="16"/>
                <w:szCs w:val="16"/>
              </w:rPr>
            </w:pPr>
            <w:r>
              <w:rPr>
                <w:rFonts w:ascii="Arial" w:hAnsi="Arial"/>
                <w:b/>
                <w:i/>
                <w:sz w:val="16"/>
              </w:rPr>
              <w:t>RE 4:</w:t>
            </w:r>
            <w:r>
              <w:rPr>
                <w:rFonts w:ascii="Arial" w:hAnsi="Arial"/>
                <w:i/>
                <w:sz w:val="16"/>
              </w:rPr>
              <w:t xml:space="preserve"> Objetivos de la Convención promovidos mediante la sensibilización y la divulgación;</w:t>
            </w:r>
          </w:p>
        </w:tc>
        <w:tc>
          <w:tcPr>
            <w:tcW w:w="60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E5232BB" w14:textId="77777777" w:rsidR="002F755B" w:rsidRDefault="002F755B" w:rsidP="00FA7E04">
            <w:pPr>
              <w:spacing w:before="60" w:after="60"/>
              <w:contextualSpacing/>
              <w:jc w:val="center"/>
              <w:rPr>
                <w:rFonts w:ascii="Arial" w:hAnsi="Arial" w:cs="Arial"/>
                <w:i/>
                <w:iCs/>
                <w:sz w:val="16"/>
                <w:szCs w:val="16"/>
              </w:rPr>
            </w:pPr>
            <w:r>
              <w:rPr>
                <w:rFonts w:ascii="Arial" w:hAnsi="Arial"/>
                <w:i/>
                <w:sz w:val="16"/>
              </w:rPr>
              <w:t>5,4 %</w:t>
            </w:r>
          </w:p>
          <w:p w14:paraId="2407EFD4" w14:textId="42E09CE8" w:rsidR="002F755B" w:rsidRPr="00C278E9" w:rsidRDefault="002F755B">
            <w:pPr>
              <w:spacing w:before="60" w:after="60"/>
              <w:contextualSpacing/>
              <w:jc w:val="center"/>
              <w:rPr>
                <w:rFonts w:ascii="Arial" w:hAnsi="Arial" w:cs="Arial"/>
                <w:i/>
                <w:iCs/>
                <w:sz w:val="16"/>
                <w:szCs w:val="16"/>
              </w:rPr>
            </w:pPr>
            <w:r>
              <w:rPr>
                <w:rFonts w:ascii="Arial" w:hAnsi="Arial"/>
                <w:i/>
                <w:sz w:val="16"/>
              </w:rPr>
              <w:t>(27 % de la partida 3)</w:t>
            </w:r>
          </w:p>
        </w:tc>
        <w:tc>
          <w:tcPr>
            <w:tcW w:w="656" w:type="pct"/>
            <w:gridSpan w:val="2"/>
            <w:tcBorders>
              <w:top w:val="dashed" w:sz="4" w:space="0" w:color="auto"/>
              <w:left w:val="single" w:sz="4" w:space="0" w:color="auto"/>
              <w:bottom w:val="dashed" w:sz="4" w:space="0" w:color="auto"/>
              <w:right w:val="dashed" w:sz="4" w:space="0" w:color="auto"/>
            </w:tcBorders>
            <w:shd w:val="clear" w:color="auto" w:fill="E7E6E6" w:themeFill="background2"/>
            <w:vAlign w:val="center"/>
          </w:tcPr>
          <w:p w14:paraId="7A4CB818" w14:textId="77777777" w:rsidR="002F755B" w:rsidRDefault="002F755B" w:rsidP="002F755B">
            <w:pPr>
              <w:spacing w:before="60" w:after="60"/>
              <w:contextualSpacing/>
              <w:jc w:val="center"/>
              <w:rPr>
                <w:rFonts w:ascii="Arial" w:hAnsi="Arial" w:cs="Arial"/>
                <w:i/>
                <w:iCs/>
                <w:sz w:val="16"/>
                <w:szCs w:val="16"/>
              </w:rPr>
            </w:pPr>
            <w:r>
              <w:rPr>
                <w:rFonts w:ascii="Arial" w:hAnsi="Arial"/>
                <w:i/>
                <w:sz w:val="16"/>
              </w:rPr>
              <w:t>5,4 %</w:t>
            </w:r>
          </w:p>
          <w:p w14:paraId="5F884E67" w14:textId="76F30582" w:rsidR="008B3BEC" w:rsidRPr="00B702ED" w:rsidRDefault="002F755B" w:rsidP="002F755B">
            <w:pPr>
              <w:spacing w:before="60" w:after="60"/>
              <w:contextualSpacing/>
              <w:jc w:val="center"/>
              <w:rPr>
                <w:rFonts w:ascii="Arial" w:hAnsi="Arial" w:cs="Arial"/>
                <w:i/>
                <w:iCs/>
                <w:sz w:val="16"/>
                <w:szCs w:val="16"/>
              </w:rPr>
            </w:pPr>
            <w:r>
              <w:rPr>
                <w:rFonts w:ascii="Arial" w:hAnsi="Arial"/>
                <w:i/>
                <w:sz w:val="16"/>
              </w:rPr>
              <w:t>(27 % de la partida 3)</w:t>
            </w:r>
          </w:p>
        </w:tc>
        <w:tc>
          <w:tcPr>
            <w:tcW w:w="595" w:type="pct"/>
            <w:gridSpan w:val="2"/>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0B34B16E" w14:textId="64273337" w:rsidR="008B3BEC" w:rsidRPr="00B702ED" w:rsidRDefault="00542F06" w:rsidP="009C6B5E">
            <w:pPr>
              <w:spacing w:before="60" w:after="60"/>
              <w:contextualSpacing/>
              <w:jc w:val="center"/>
              <w:rPr>
                <w:rFonts w:ascii="Arial" w:hAnsi="Arial" w:cs="Arial"/>
                <w:i/>
                <w:iCs/>
                <w:sz w:val="16"/>
                <w:szCs w:val="16"/>
              </w:rPr>
            </w:pPr>
            <w:r>
              <w:rPr>
                <w:rFonts w:ascii="Arial" w:hAnsi="Arial"/>
                <w:i/>
                <w:sz w:val="16"/>
              </w:rPr>
              <w:t>423 381 $</w:t>
            </w:r>
          </w:p>
        </w:tc>
        <w:tc>
          <w:tcPr>
            <w:tcW w:w="596" w:type="pct"/>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7F87893F" w14:textId="4EE4A543" w:rsidR="008B3BEC" w:rsidRPr="00B702ED" w:rsidRDefault="00542F06" w:rsidP="009C6B5E">
            <w:pPr>
              <w:spacing w:before="60" w:after="60"/>
              <w:contextualSpacing/>
              <w:jc w:val="center"/>
              <w:rPr>
                <w:rFonts w:ascii="Arial" w:hAnsi="Arial" w:cs="Arial"/>
                <w:i/>
                <w:iCs/>
                <w:sz w:val="16"/>
                <w:szCs w:val="16"/>
              </w:rPr>
            </w:pPr>
            <w:r>
              <w:rPr>
                <w:rFonts w:ascii="Arial" w:hAnsi="Arial"/>
                <w:i/>
                <w:sz w:val="16"/>
              </w:rPr>
              <w:t>105 846 $</w:t>
            </w:r>
          </w:p>
        </w:tc>
      </w:tr>
      <w:tr w:rsidR="00884277" w:rsidRPr="00AE7DF0" w14:paraId="5C45B7CC" w14:textId="3BA12204" w:rsidTr="002625CB">
        <w:trPr>
          <w:cantSplit/>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E6A9F5" w14:textId="77777777" w:rsidR="00FA7E04" w:rsidRPr="00BB2DEA" w:rsidRDefault="00FA7E04" w:rsidP="00FA7E04">
            <w:pPr>
              <w:spacing w:before="120" w:after="120"/>
              <w:contextualSpacing/>
              <w:rPr>
                <w:rFonts w:ascii="Arial" w:hAnsi="Arial" w:cs="Arial"/>
                <w:sz w:val="18"/>
                <w:szCs w:val="18"/>
              </w:rPr>
            </w:pPr>
            <w:r>
              <w:rPr>
                <w:rFonts w:ascii="Arial" w:hAnsi="Arial"/>
                <w:sz w:val="18"/>
              </w:rPr>
              <w:t>4.</w:t>
            </w:r>
          </w:p>
        </w:tc>
        <w:tc>
          <w:tcPr>
            <w:tcW w:w="2146" w:type="pct"/>
            <w:tcBorders>
              <w:top w:val="single" w:sz="4" w:space="0" w:color="auto"/>
              <w:left w:val="single" w:sz="4" w:space="0" w:color="auto"/>
              <w:bottom w:val="single" w:sz="4" w:space="0" w:color="auto"/>
              <w:right w:val="single" w:sz="4" w:space="0" w:color="auto"/>
            </w:tcBorders>
            <w:shd w:val="clear" w:color="auto" w:fill="auto"/>
            <w:vAlign w:val="center"/>
          </w:tcPr>
          <w:p w14:paraId="21130F52" w14:textId="099E63C4" w:rsidR="00FA7E04" w:rsidRPr="00BB2DEA" w:rsidRDefault="002C2E29" w:rsidP="008B3BEC">
            <w:pPr>
              <w:spacing w:before="120" w:after="120"/>
              <w:contextualSpacing/>
              <w:rPr>
                <w:rFonts w:ascii="Arial" w:hAnsi="Arial" w:cs="Arial"/>
                <w:sz w:val="18"/>
                <w:szCs w:val="18"/>
              </w:rPr>
            </w:pPr>
            <w:r>
              <w:rPr>
                <w:rFonts w:ascii="Arial" w:hAnsi="Arial"/>
                <w:sz w:val="18"/>
              </w:rPr>
              <w:t>P</w:t>
            </w:r>
            <w:r w:rsidR="00FA7E04">
              <w:rPr>
                <w:rFonts w:ascii="Arial" w:hAnsi="Arial"/>
                <w:sz w:val="18"/>
              </w:rPr>
              <w:t xml:space="preserve">articipación en las reuniones del Comité, su Mesa y sus órganos subsidiarios de </w:t>
            </w:r>
            <w:r>
              <w:rPr>
                <w:rFonts w:ascii="Arial" w:hAnsi="Arial"/>
                <w:sz w:val="18"/>
              </w:rPr>
              <w:t xml:space="preserve">expertos </w:t>
            </w:r>
            <w:r w:rsidR="00FA7E04">
              <w:rPr>
                <w:rFonts w:ascii="Arial" w:hAnsi="Arial"/>
                <w:sz w:val="18"/>
              </w:rPr>
              <w:t>en patrimonio cultural inmaterial que representen a Estados en vías de desarrollo que son Miembros del Comité;</w:t>
            </w:r>
          </w:p>
        </w:tc>
        <w:tc>
          <w:tcPr>
            <w:tcW w:w="603" w:type="pct"/>
            <w:tcBorders>
              <w:top w:val="single" w:sz="4" w:space="0" w:color="auto"/>
              <w:left w:val="single" w:sz="4" w:space="0" w:color="auto"/>
              <w:bottom w:val="single" w:sz="4" w:space="0" w:color="auto"/>
              <w:right w:val="single" w:sz="4" w:space="0" w:color="auto"/>
            </w:tcBorders>
            <w:vAlign w:val="center"/>
          </w:tcPr>
          <w:p w14:paraId="0FB5A476" w14:textId="121543CF" w:rsidR="00FA7E04" w:rsidRDefault="002C2E29" w:rsidP="00FA7E04">
            <w:pPr>
              <w:spacing w:before="60" w:after="60"/>
              <w:contextualSpacing/>
              <w:jc w:val="center"/>
              <w:rPr>
                <w:rFonts w:ascii="Arial" w:hAnsi="Arial" w:cs="Arial"/>
                <w:sz w:val="18"/>
                <w:szCs w:val="18"/>
              </w:rPr>
            </w:pPr>
            <w:r>
              <w:rPr>
                <w:rFonts w:ascii="Arial" w:hAnsi="Arial"/>
                <w:sz w:val="18"/>
              </w:rPr>
              <w:t>1</w:t>
            </w:r>
            <w:r w:rsidR="00FA7E04">
              <w:rPr>
                <w:rFonts w:ascii="Arial" w:hAnsi="Arial"/>
                <w:sz w:val="18"/>
              </w:rPr>
              <w:t>,</w:t>
            </w:r>
            <w:r>
              <w:rPr>
                <w:rFonts w:ascii="Arial" w:hAnsi="Arial"/>
                <w:sz w:val="18"/>
              </w:rPr>
              <w:t>71</w:t>
            </w:r>
            <w:r w:rsidR="00FA7E04">
              <w:rPr>
                <w:rFonts w:ascii="Arial" w:hAnsi="Arial"/>
                <w:sz w:val="18"/>
              </w:rPr>
              <w:t xml:space="preserve"> %</w:t>
            </w:r>
          </w:p>
        </w:tc>
        <w:tc>
          <w:tcPr>
            <w:tcW w:w="656" w:type="pct"/>
            <w:gridSpan w:val="2"/>
            <w:tcBorders>
              <w:top w:val="dashed" w:sz="4" w:space="0" w:color="auto"/>
              <w:left w:val="single" w:sz="4" w:space="0" w:color="auto"/>
              <w:bottom w:val="dashed" w:sz="4" w:space="0" w:color="auto"/>
              <w:right w:val="dashed" w:sz="4" w:space="0" w:color="auto"/>
            </w:tcBorders>
            <w:vAlign w:val="center"/>
          </w:tcPr>
          <w:p w14:paraId="66E78E29" w14:textId="0DA876B8" w:rsidR="00FA7E04" w:rsidRPr="00B02DF5" w:rsidRDefault="00FA7E04" w:rsidP="00FA7E04">
            <w:pPr>
              <w:spacing w:before="60" w:after="60"/>
              <w:contextualSpacing/>
              <w:jc w:val="center"/>
              <w:rPr>
                <w:rFonts w:ascii="Arial" w:hAnsi="Arial" w:cs="Arial"/>
                <w:sz w:val="18"/>
                <w:szCs w:val="18"/>
              </w:rPr>
            </w:pPr>
            <w:r>
              <w:rPr>
                <w:rFonts w:ascii="Arial" w:hAnsi="Arial"/>
                <w:sz w:val="18"/>
              </w:rPr>
              <w:t>2,63 %</w:t>
            </w:r>
          </w:p>
        </w:tc>
        <w:tc>
          <w:tcPr>
            <w:tcW w:w="595" w:type="pct"/>
            <w:gridSpan w:val="2"/>
            <w:tcBorders>
              <w:top w:val="dashed" w:sz="4" w:space="0" w:color="auto"/>
              <w:left w:val="dashed" w:sz="4" w:space="0" w:color="auto"/>
              <w:bottom w:val="dashed" w:sz="4" w:space="0" w:color="auto"/>
              <w:right w:val="dashed" w:sz="4" w:space="0" w:color="auto"/>
            </w:tcBorders>
            <w:vAlign w:val="center"/>
          </w:tcPr>
          <w:p w14:paraId="5FA84A26" w14:textId="3470CCB7" w:rsidR="00FA7E04" w:rsidRPr="00B02DF5" w:rsidRDefault="007038EB" w:rsidP="009C6B5E">
            <w:pPr>
              <w:spacing w:before="60" w:after="60"/>
              <w:contextualSpacing/>
              <w:jc w:val="center"/>
              <w:rPr>
                <w:rFonts w:ascii="Arial" w:hAnsi="Arial" w:cs="Arial"/>
                <w:sz w:val="18"/>
                <w:szCs w:val="18"/>
              </w:rPr>
            </w:pPr>
            <w:r>
              <w:rPr>
                <w:rFonts w:ascii="Arial" w:hAnsi="Arial"/>
                <w:sz w:val="18"/>
              </w:rPr>
              <w:t>206 202 $</w:t>
            </w:r>
          </w:p>
        </w:tc>
        <w:tc>
          <w:tcPr>
            <w:tcW w:w="596" w:type="pct"/>
            <w:tcBorders>
              <w:top w:val="dashed" w:sz="4" w:space="0" w:color="auto"/>
              <w:left w:val="dashed" w:sz="4" w:space="0" w:color="auto"/>
              <w:bottom w:val="dashed" w:sz="4" w:space="0" w:color="auto"/>
              <w:right w:val="dashed" w:sz="4" w:space="0" w:color="auto"/>
            </w:tcBorders>
            <w:vAlign w:val="center"/>
          </w:tcPr>
          <w:p w14:paraId="114680CA" w14:textId="7620DCB9" w:rsidR="00FA7E04" w:rsidRPr="00B02DF5" w:rsidRDefault="009C6B5E" w:rsidP="009C6B5E">
            <w:pPr>
              <w:spacing w:before="60" w:after="60"/>
              <w:contextualSpacing/>
              <w:jc w:val="center"/>
              <w:rPr>
                <w:rFonts w:ascii="Arial" w:hAnsi="Arial" w:cs="Arial"/>
                <w:sz w:val="18"/>
                <w:szCs w:val="18"/>
              </w:rPr>
            </w:pPr>
            <w:r>
              <w:rPr>
                <w:rFonts w:ascii="Arial" w:hAnsi="Arial"/>
                <w:sz w:val="18"/>
              </w:rPr>
              <w:t>51 550 $</w:t>
            </w:r>
          </w:p>
        </w:tc>
      </w:tr>
      <w:tr w:rsidR="00884277" w:rsidRPr="00AE7DF0" w14:paraId="00017129" w14:textId="1431A1D8" w:rsidTr="002625CB">
        <w:trPr>
          <w:cantSplit/>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A90571" w14:textId="77777777" w:rsidR="00FA7E04" w:rsidRPr="00BB2DEA" w:rsidRDefault="00FA7E04" w:rsidP="00FA7E04">
            <w:pPr>
              <w:spacing w:before="120" w:after="120"/>
              <w:contextualSpacing/>
              <w:rPr>
                <w:rFonts w:ascii="Arial" w:hAnsi="Arial" w:cs="Arial"/>
                <w:sz w:val="18"/>
                <w:szCs w:val="18"/>
              </w:rPr>
            </w:pPr>
            <w:r>
              <w:rPr>
                <w:rFonts w:ascii="Arial" w:hAnsi="Arial"/>
                <w:sz w:val="18"/>
              </w:rPr>
              <w:t>5.</w:t>
            </w:r>
          </w:p>
        </w:tc>
        <w:tc>
          <w:tcPr>
            <w:tcW w:w="2146" w:type="pct"/>
            <w:tcBorders>
              <w:top w:val="single" w:sz="4" w:space="0" w:color="auto"/>
              <w:left w:val="single" w:sz="4" w:space="0" w:color="auto"/>
              <w:bottom w:val="single" w:sz="4" w:space="0" w:color="auto"/>
              <w:right w:val="single" w:sz="4" w:space="0" w:color="auto"/>
            </w:tcBorders>
            <w:shd w:val="clear" w:color="auto" w:fill="auto"/>
            <w:vAlign w:val="center"/>
          </w:tcPr>
          <w:p w14:paraId="6442B550" w14:textId="59281587" w:rsidR="00FA7E04" w:rsidRPr="00BB2DEA" w:rsidRDefault="00FA7E04" w:rsidP="008B3BEC">
            <w:pPr>
              <w:spacing w:before="120" w:after="120"/>
              <w:contextualSpacing/>
              <w:rPr>
                <w:rFonts w:ascii="Arial" w:hAnsi="Arial" w:cs="Arial"/>
                <w:sz w:val="18"/>
                <w:szCs w:val="18"/>
              </w:rPr>
            </w:pPr>
            <w:r>
              <w:rPr>
                <w:rFonts w:ascii="Arial" w:hAnsi="Arial"/>
                <w:sz w:val="18"/>
              </w:rPr>
              <w:t xml:space="preserve">La participación en las reuniones del Comité de </w:t>
            </w:r>
            <w:r w:rsidR="002C2E29">
              <w:rPr>
                <w:rFonts w:ascii="Arial" w:hAnsi="Arial"/>
                <w:sz w:val="18"/>
              </w:rPr>
              <w:t xml:space="preserve">expertos </w:t>
            </w:r>
            <w:r>
              <w:rPr>
                <w:rFonts w:ascii="Arial" w:hAnsi="Arial"/>
                <w:sz w:val="18"/>
              </w:rPr>
              <w:t>en patrimonio cultural inmaterial que representen a Estados en vías de desarrollo que sean Partes en la Convención pero no miembros del Comité;</w:t>
            </w:r>
          </w:p>
        </w:tc>
        <w:tc>
          <w:tcPr>
            <w:tcW w:w="603" w:type="pct"/>
            <w:tcBorders>
              <w:top w:val="single" w:sz="4" w:space="0" w:color="auto"/>
              <w:left w:val="single" w:sz="4" w:space="0" w:color="auto"/>
              <w:bottom w:val="single" w:sz="4" w:space="0" w:color="auto"/>
              <w:right w:val="single" w:sz="4" w:space="0" w:color="auto"/>
            </w:tcBorders>
            <w:vAlign w:val="center"/>
          </w:tcPr>
          <w:p w14:paraId="46E2374A" w14:textId="23F8FBB2" w:rsidR="00FA7E04" w:rsidRDefault="002C2E29" w:rsidP="00FA7E04">
            <w:pPr>
              <w:spacing w:before="60" w:after="60"/>
              <w:contextualSpacing/>
              <w:jc w:val="center"/>
              <w:rPr>
                <w:rFonts w:ascii="Arial" w:hAnsi="Arial" w:cs="Arial"/>
                <w:sz w:val="18"/>
                <w:szCs w:val="18"/>
              </w:rPr>
            </w:pPr>
            <w:r>
              <w:rPr>
                <w:rFonts w:ascii="Arial" w:hAnsi="Arial"/>
                <w:sz w:val="18"/>
              </w:rPr>
              <w:t>4</w:t>
            </w:r>
            <w:r w:rsidR="00FA7E04">
              <w:rPr>
                <w:rFonts w:ascii="Arial" w:hAnsi="Arial"/>
                <w:sz w:val="18"/>
              </w:rPr>
              <w:t>,</w:t>
            </w:r>
            <w:r>
              <w:rPr>
                <w:rFonts w:ascii="Arial" w:hAnsi="Arial"/>
                <w:sz w:val="18"/>
              </w:rPr>
              <w:t>06</w:t>
            </w:r>
            <w:r w:rsidR="00FA7E04">
              <w:rPr>
                <w:rFonts w:ascii="Arial" w:hAnsi="Arial"/>
                <w:sz w:val="18"/>
              </w:rPr>
              <w:t xml:space="preserve"> %</w:t>
            </w:r>
          </w:p>
        </w:tc>
        <w:tc>
          <w:tcPr>
            <w:tcW w:w="656" w:type="pct"/>
            <w:gridSpan w:val="2"/>
            <w:tcBorders>
              <w:top w:val="dashed" w:sz="4" w:space="0" w:color="auto"/>
              <w:left w:val="single" w:sz="4" w:space="0" w:color="auto"/>
              <w:bottom w:val="dashed" w:sz="4" w:space="0" w:color="auto"/>
              <w:right w:val="dashed" w:sz="4" w:space="0" w:color="auto"/>
            </w:tcBorders>
            <w:vAlign w:val="center"/>
          </w:tcPr>
          <w:p w14:paraId="2786F8BF" w14:textId="3A87498D" w:rsidR="00FA7E04" w:rsidRPr="00B02DF5" w:rsidRDefault="00FA7E04" w:rsidP="00FA7E04">
            <w:pPr>
              <w:spacing w:before="60" w:after="60"/>
              <w:contextualSpacing/>
              <w:jc w:val="center"/>
              <w:rPr>
                <w:rFonts w:ascii="Arial" w:hAnsi="Arial" w:cs="Arial"/>
                <w:sz w:val="18"/>
                <w:szCs w:val="18"/>
              </w:rPr>
            </w:pPr>
            <w:r>
              <w:rPr>
                <w:rFonts w:ascii="Arial" w:hAnsi="Arial"/>
                <w:sz w:val="18"/>
              </w:rPr>
              <w:t>3,31 %</w:t>
            </w:r>
          </w:p>
        </w:tc>
        <w:tc>
          <w:tcPr>
            <w:tcW w:w="595" w:type="pct"/>
            <w:gridSpan w:val="2"/>
            <w:tcBorders>
              <w:top w:val="dashed" w:sz="4" w:space="0" w:color="auto"/>
              <w:left w:val="dashed" w:sz="4" w:space="0" w:color="auto"/>
              <w:bottom w:val="dashed" w:sz="4" w:space="0" w:color="auto"/>
              <w:right w:val="dashed" w:sz="4" w:space="0" w:color="auto"/>
            </w:tcBorders>
            <w:vAlign w:val="center"/>
          </w:tcPr>
          <w:p w14:paraId="4192E140" w14:textId="4398E9AB" w:rsidR="00FA7E04" w:rsidRPr="00B02DF5" w:rsidRDefault="007038EB" w:rsidP="009C6B5E">
            <w:pPr>
              <w:spacing w:before="60" w:after="60"/>
              <w:contextualSpacing/>
              <w:jc w:val="center"/>
              <w:rPr>
                <w:rFonts w:ascii="Arial" w:hAnsi="Arial" w:cs="Arial"/>
                <w:sz w:val="18"/>
                <w:szCs w:val="18"/>
              </w:rPr>
            </w:pPr>
            <w:r>
              <w:rPr>
                <w:rFonts w:ascii="Arial" w:hAnsi="Arial"/>
                <w:sz w:val="18"/>
              </w:rPr>
              <w:t>259 516 $</w:t>
            </w:r>
          </w:p>
        </w:tc>
        <w:tc>
          <w:tcPr>
            <w:tcW w:w="596" w:type="pct"/>
            <w:tcBorders>
              <w:top w:val="dashed" w:sz="4" w:space="0" w:color="auto"/>
              <w:left w:val="dashed" w:sz="4" w:space="0" w:color="auto"/>
              <w:bottom w:val="dashed" w:sz="4" w:space="0" w:color="auto"/>
              <w:right w:val="dashed" w:sz="4" w:space="0" w:color="auto"/>
            </w:tcBorders>
            <w:vAlign w:val="center"/>
          </w:tcPr>
          <w:p w14:paraId="7976EA71" w14:textId="04960E34" w:rsidR="00FA7E04" w:rsidRPr="00B02DF5" w:rsidRDefault="009C6B5E" w:rsidP="009C6B5E">
            <w:pPr>
              <w:spacing w:before="60" w:after="60"/>
              <w:contextualSpacing/>
              <w:jc w:val="center"/>
              <w:rPr>
                <w:rFonts w:ascii="Arial" w:hAnsi="Arial" w:cs="Arial"/>
                <w:sz w:val="18"/>
                <w:szCs w:val="18"/>
              </w:rPr>
            </w:pPr>
            <w:r>
              <w:rPr>
                <w:rFonts w:ascii="Arial" w:hAnsi="Arial"/>
                <w:sz w:val="18"/>
              </w:rPr>
              <w:t>64 879 $</w:t>
            </w:r>
          </w:p>
        </w:tc>
      </w:tr>
      <w:tr w:rsidR="00884277" w:rsidRPr="00AE7DF0" w14:paraId="1ACCA985" w14:textId="48918F98" w:rsidTr="002625CB">
        <w:trPr>
          <w:cantSplit/>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5EE718" w14:textId="77777777" w:rsidR="00FA7E04" w:rsidRPr="00BB2DEA" w:rsidRDefault="00FA7E04" w:rsidP="00FA7E04">
            <w:pPr>
              <w:spacing w:before="120" w:after="120"/>
              <w:contextualSpacing/>
              <w:rPr>
                <w:rFonts w:ascii="Arial" w:hAnsi="Arial" w:cs="Arial"/>
                <w:sz w:val="18"/>
                <w:szCs w:val="18"/>
              </w:rPr>
            </w:pPr>
            <w:r>
              <w:rPr>
                <w:rFonts w:ascii="Arial" w:hAnsi="Arial"/>
                <w:sz w:val="18"/>
              </w:rPr>
              <w:lastRenderedPageBreak/>
              <w:t>6.</w:t>
            </w:r>
          </w:p>
        </w:tc>
        <w:tc>
          <w:tcPr>
            <w:tcW w:w="2146" w:type="pct"/>
            <w:tcBorders>
              <w:top w:val="single" w:sz="4" w:space="0" w:color="auto"/>
              <w:left w:val="single" w:sz="4" w:space="0" w:color="auto"/>
              <w:bottom w:val="single" w:sz="4" w:space="0" w:color="auto"/>
              <w:right w:val="single" w:sz="4" w:space="0" w:color="auto"/>
            </w:tcBorders>
            <w:shd w:val="clear" w:color="auto" w:fill="auto"/>
            <w:vAlign w:val="center"/>
          </w:tcPr>
          <w:p w14:paraId="1DD45C36" w14:textId="77777777" w:rsidR="00FA7E04" w:rsidRPr="00BB2DEA" w:rsidRDefault="00FA7E04" w:rsidP="008B3BEC">
            <w:pPr>
              <w:spacing w:before="120" w:after="120"/>
              <w:contextualSpacing/>
              <w:rPr>
                <w:rFonts w:ascii="Arial" w:hAnsi="Arial" w:cs="Arial"/>
                <w:sz w:val="18"/>
                <w:szCs w:val="18"/>
              </w:rPr>
            </w:pPr>
            <w:r>
              <w:rPr>
                <w:rFonts w:ascii="Arial" w:hAnsi="Arial"/>
                <w:sz w:val="18"/>
              </w:rPr>
              <w:t>La participación en las reuniones del Comité, su Mesa y sus órganos consultivos de organismos públicos o privados, de personas físicas, en particular miembros de comunidades y grupos, que hayan sido invitados por el Comité para ser consultados sobre asuntos específicos, y de expertos en el patrimonio cultural inmaterial que representen a ONG acreditadas de países en vías desarrollo;</w:t>
            </w:r>
          </w:p>
        </w:tc>
        <w:tc>
          <w:tcPr>
            <w:tcW w:w="603" w:type="pct"/>
            <w:tcBorders>
              <w:top w:val="single" w:sz="4" w:space="0" w:color="auto"/>
              <w:left w:val="single" w:sz="4" w:space="0" w:color="auto"/>
              <w:bottom w:val="single" w:sz="4" w:space="0" w:color="auto"/>
              <w:right w:val="single" w:sz="4" w:space="0" w:color="auto"/>
            </w:tcBorders>
            <w:vAlign w:val="center"/>
          </w:tcPr>
          <w:p w14:paraId="366A8A95" w14:textId="282F49F0" w:rsidR="00FA7E04" w:rsidRDefault="002C2E29" w:rsidP="00FA7E04">
            <w:pPr>
              <w:spacing w:before="60" w:after="60"/>
              <w:contextualSpacing/>
              <w:jc w:val="center"/>
              <w:rPr>
                <w:rFonts w:ascii="Arial" w:hAnsi="Arial" w:cs="Arial"/>
                <w:sz w:val="18"/>
                <w:szCs w:val="18"/>
              </w:rPr>
            </w:pPr>
            <w:r>
              <w:rPr>
                <w:rFonts w:ascii="Arial" w:hAnsi="Arial"/>
                <w:sz w:val="18"/>
              </w:rPr>
              <w:t>3</w:t>
            </w:r>
            <w:r w:rsidR="00FA7E04">
              <w:rPr>
                <w:rFonts w:ascii="Arial" w:hAnsi="Arial"/>
                <w:sz w:val="18"/>
              </w:rPr>
              <w:t>,</w:t>
            </w:r>
            <w:r>
              <w:rPr>
                <w:rFonts w:ascii="Arial" w:hAnsi="Arial"/>
                <w:sz w:val="18"/>
              </w:rPr>
              <w:t>48</w:t>
            </w:r>
            <w:r w:rsidR="00FA7E04">
              <w:rPr>
                <w:rFonts w:ascii="Arial" w:hAnsi="Arial"/>
                <w:sz w:val="18"/>
              </w:rPr>
              <w:t xml:space="preserve"> %</w:t>
            </w:r>
          </w:p>
        </w:tc>
        <w:tc>
          <w:tcPr>
            <w:tcW w:w="656" w:type="pct"/>
            <w:gridSpan w:val="2"/>
            <w:tcBorders>
              <w:top w:val="dashed" w:sz="4" w:space="0" w:color="auto"/>
              <w:left w:val="single" w:sz="4" w:space="0" w:color="auto"/>
              <w:bottom w:val="dashed" w:sz="4" w:space="0" w:color="auto"/>
              <w:right w:val="dashed" w:sz="4" w:space="0" w:color="auto"/>
            </w:tcBorders>
            <w:vAlign w:val="center"/>
          </w:tcPr>
          <w:p w14:paraId="6475EB31" w14:textId="3DE07CA6" w:rsidR="00FA7E04" w:rsidRPr="00B02DF5" w:rsidRDefault="00FA7E04" w:rsidP="00FA7E04">
            <w:pPr>
              <w:spacing w:before="60" w:after="60"/>
              <w:contextualSpacing/>
              <w:jc w:val="center"/>
              <w:rPr>
                <w:rFonts w:ascii="Arial" w:hAnsi="Arial" w:cs="Arial"/>
                <w:sz w:val="18"/>
                <w:szCs w:val="18"/>
              </w:rPr>
            </w:pPr>
            <w:r>
              <w:rPr>
                <w:rFonts w:ascii="Arial" w:hAnsi="Arial"/>
                <w:sz w:val="18"/>
              </w:rPr>
              <w:t>3,31 %</w:t>
            </w:r>
          </w:p>
        </w:tc>
        <w:tc>
          <w:tcPr>
            <w:tcW w:w="595" w:type="pct"/>
            <w:gridSpan w:val="2"/>
            <w:tcBorders>
              <w:top w:val="dashed" w:sz="4" w:space="0" w:color="auto"/>
              <w:left w:val="dashed" w:sz="4" w:space="0" w:color="auto"/>
              <w:bottom w:val="dashed" w:sz="4" w:space="0" w:color="auto"/>
              <w:right w:val="dashed" w:sz="4" w:space="0" w:color="auto"/>
            </w:tcBorders>
            <w:vAlign w:val="center"/>
          </w:tcPr>
          <w:p w14:paraId="138C6D19" w14:textId="76B5206E" w:rsidR="00FA7E04" w:rsidRPr="00B02DF5" w:rsidRDefault="007038EB" w:rsidP="009C6B5E">
            <w:pPr>
              <w:spacing w:before="60" w:after="60"/>
              <w:contextualSpacing/>
              <w:jc w:val="center"/>
              <w:rPr>
                <w:rFonts w:ascii="Arial" w:hAnsi="Arial" w:cs="Arial"/>
                <w:sz w:val="18"/>
                <w:szCs w:val="18"/>
              </w:rPr>
            </w:pPr>
            <w:r>
              <w:rPr>
                <w:rFonts w:ascii="Arial" w:hAnsi="Arial"/>
                <w:sz w:val="18"/>
              </w:rPr>
              <w:t>259 516 $</w:t>
            </w:r>
          </w:p>
        </w:tc>
        <w:tc>
          <w:tcPr>
            <w:tcW w:w="596" w:type="pct"/>
            <w:tcBorders>
              <w:top w:val="dashed" w:sz="4" w:space="0" w:color="auto"/>
              <w:left w:val="dashed" w:sz="4" w:space="0" w:color="auto"/>
              <w:bottom w:val="dashed" w:sz="4" w:space="0" w:color="auto"/>
              <w:right w:val="dashed" w:sz="4" w:space="0" w:color="auto"/>
            </w:tcBorders>
            <w:vAlign w:val="center"/>
          </w:tcPr>
          <w:p w14:paraId="242E8C32" w14:textId="3EE8E922" w:rsidR="00FA7E04" w:rsidRPr="00B02DF5" w:rsidRDefault="009C6B5E" w:rsidP="009C6B5E">
            <w:pPr>
              <w:spacing w:before="60" w:after="60"/>
              <w:contextualSpacing/>
              <w:jc w:val="center"/>
              <w:rPr>
                <w:rFonts w:ascii="Arial" w:hAnsi="Arial" w:cs="Arial"/>
                <w:sz w:val="18"/>
                <w:szCs w:val="18"/>
              </w:rPr>
            </w:pPr>
            <w:r>
              <w:rPr>
                <w:rFonts w:ascii="Arial" w:hAnsi="Arial"/>
                <w:sz w:val="18"/>
              </w:rPr>
              <w:t>64 879 $</w:t>
            </w:r>
          </w:p>
        </w:tc>
      </w:tr>
      <w:tr w:rsidR="00884277" w:rsidRPr="00AE7DF0" w14:paraId="3F0D11C5" w14:textId="6497600A" w:rsidTr="002625CB">
        <w:trPr>
          <w:cantSplit/>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900A51" w14:textId="77777777" w:rsidR="00FA7E04" w:rsidRPr="00BB2DEA" w:rsidRDefault="00FA7E04" w:rsidP="00FA7E04">
            <w:pPr>
              <w:spacing w:before="120" w:after="120"/>
              <w:contextualSpacing/>
              <w:rPr>
                <w:rFonts w:ascii="Arial" w:hAnsi="Arial" w:cs="Arial"/>
                <w:sz w:val="18"/>
                <w:szCs w:val="18"/>
              </w:rPr>
            </w:pPr>
            <w:r>
              <w:rPr>
                <w:rFonts w:ascii="Arial" w:hAnsi="Arial"/>
                <w:sz w:val="18"/>
              </w:rPr>
              <w:t>7.</w:t>
            </w:r>
          </w:p>
        </w:tc>
        <w:tc>
          <w:tcPr>
            <w:tcW w:w="2146" w:type="pct"/>
            <w:tcBorders>
              <w:top w:val="single" w:sz="4" w:space="0" w:color="auto"/>
              <w:left w:val="single" w:sz="4" w:space="0" w:color="auto"/>
              <w:bottom w:val="single" w:sz="4" w:space="0" w:color="auto"/>
              <w:right w:val="single" w:sz="4" w:space="0" w:color="auto"/>
            </w:tcBorders>
            <w:shd w:val="clear" w:color="auto" w:fill="auto"/>
            <w:vAlign w:val="center"/>
          </w:tcPr>
          <w:p w14:paraId="08E88558" w14:textId="77777777" w:rsidR="00FA7E04" w:rsidRPr="00BB2DEA" w:rsidRDefault="00FA7E04" w:rsidP="008B3BEC">
            <w:pPr>
              <w:spacing w:before="120" w:after="120"/>
              <w:contextualSpacing/>
              <w:rPr>
                <w:rFonts w:ascii="Arial" w:hAnsi="Arial" w:cs="Arial"/>
                <w:sz w:val="18"/>
                <w:szCs w:val="18"/>
              </w:rPr>
            </w:pPr>
            <w:r>
              <w:rPr>
                <w:rFonts w:ascii="Arial" w:hAnsi="Arial"/>
                <w:sz w:val="18"/>
              </w:rPr>
              <w:t>Los costes de los servicios consultivos prestados a pedido del Comité, incluido el apoyo a Estados en vías de desarrollo cuyos representantes hayan sido nombrados miembros del Órgano de Evaluación;</w:t>
            </w:r>
          </w:p>
        </w:tc>
        <w:tc>
          <w:tcPr>
            <w:tcW w:w="603" w:type="pct"/>
            <w:tcBorders>
              <w:top w:val="single" w:sz="4" w:space="0" w:color="auto"/>
              <w:left w:val="single" w:sz="4" w:space="0" w:color="auto"/>
              <w:bottom w:val="single" w:sz="4" w:space="0" w:color="auto"/>
              <w:right w:val="single" w:sz="4" w:space="0" w:color="auto"/>
            </w:tcBorders>
            <w:vAlign w:val="center"/>
          </w:tcPr>
          <w:p w14:paraId="07242F49" w14:textId="62AA5CFC" w:rsidR="00FA7E04" w:rsidRDefault="00FA7E04" w:rsidP="00FA7E04">
            <w:pPr>
              <w:spacing w:before="60" w:after="60"/>
              <w:contextualSpacing/>
              <w:jc w:val="center"/>
              <w:rPr>
                <w:rFonts w:ascii="Arial" w:hAnsi="Arial" w:cs="Arial"/>
                <w:sz w:val="18"/>
                <w:szCs w:val="18"/>
              </w:rPr>
            </w:pPr>
            <w:r>
              <w:rPr>
                <w:rFonts w:ascii="Arial" w:hAnsi="Arial"/>
                <w:sz w:val="18"/>
              </w:rPr>
              <w:t>6,00 %</w:t>
            </w:r>
          </w:p>
        </w:tc>
        <w:tc>
          <w:tcPr>
            <w:tcW w:w="656" w:type="pct"/>
            <w:gridSpan w:val="2"/>
            <w:tcBorders>
              <w:top w:val="dashed" w:sz="4" w:space="0" w:color="auto"/>
              <w:left w:val="single" w:sz="4" w:space="0" w:color="auto"/>
              <w:bottom w:val="dashed" w:sz="4" w:space="0" w:color="auto"/>
              <w:right w:val="dashed" w:sz="4" w:space="0" w:color="auto"/>
            </w:tcBorders>
            <w:vAlign w:val="center"/>
          </w:tcPr>
          <w:p w14:paraId="2E9FAF19" w14:textId="3B8790F2" w:rsidR="00FA7E04" w:rsidRPr="00B02DF5" w:rsidRDefault="00FA7E04" w:rsidP="00FA7E04">
            <w:pPr>
              <w:spacing w:before="60" w:after="60"/>
              <w:contextualSpacing/>
              <w:jc w:val="center"/>
              <w:rPr>
                <w:rFonts w:ascii="Arial" w:hAnsi="Arial" w:cs="Arial"/>
                <w:sz w:val="18"/>
                <w:szCs w:val="18"/>
              </w:rPr>
            </w:pPr>
            <w:r>
              <w:rPr>
                <w:rFonts w:ascii="Arial" w:hAnsi="Arial"/>
                <w:sz w:val="18"/>
              </w:rPr>
              <w:t>6,00 %</w:t>
            </w:r>
          </w:p>
        </w:tc>
        <w:tc>
          <w:tcPr>
            <w:tcW w:w="595" w:type="pct"/>
            <w:gridSpan w:val="2"/>
            <w:tcBorders>
              <w:top w:val="dashed" w:sz="4" w:space="0" w:color="auto"/>
              <w:left w:val="dashed" w:sz="4" w:space="0" w:color="auto"/>
              <w:bottom w:val="dashed" w:sz="4" w:space="0" w:color="auto"/>
              <w:right w:val="dashed" w:sz="4" w:space="0" w:color="auto"/>
            </w:tcBorders>
            <w:vAlign w:val="center"/>
          </w:tcPr>
          <w:p w14:paraId="3B2C6E54" w14:textId="11291F0B" w:rsidR="00FA7E04" w:rsidRPr="00B02DF5" w:rsidRDefault="007038EB" w:rsidP="009C6B5E">
            <w:pPr>
              <w:spacing w:before="60" w:after="60"/>
              <w:contextualSpacing/>
              <w:jc w:val="center"/>
              <w:rPr>
                <w:rFonts w:ascii="Arial" w:hAnsi="Arial" w:cs="Arial"/>
                <w:sz w:val="18"/>
                <w:szCs w:val="18"/>
              </w:rPr>
            </w:pPr>
            <w:r>
              <w:rPr>
                <w:rFonts w:ascii="Arial" w:hAnsi="Arial"/>
                <w:sz w:val="18"/>
              </w:rPr>
              <w:t>470 423 $</w:t>
            </w:r>
          </w:p>
        </w:tc>
        <w:tc>
          <w:tcPr>
            <w:tcW w:w="596" w:type="pct"/>
            <w:tcBorders>
              <w:top w:val="dashed" w:sz="4" w:space="0" w:color="auto"/>
              <w:left w:val="dashed" w:sz="4" w:space="0" w:color="auto"/>
              <w:bottom w:val="dashed" w:sz="4" w:space="0" w:color="auto"/>
              <w:right w:val="dashed" w:sz="4" w:space="0" w:color="auto"/>
            </w:tcBorders>
            <w:vAlign w:val="center"/>
          </w:tcPr>
          <w:p w14:paraId="2BD130EE" w14:textId="79E2567F" w:rsidR="00FA7E04" w:rsidRPr="00B02DF5" w:rsidRDefault="009C6B5E" w:rsidP="009C6B5E">
            <w:pPr>
              <w:spacing w:before="60" w:after="60"/>
              <w:contextualSpacing/>
              <w:jc w:val="center"/>
              <w:rPr>
                <w:rFonts w:ascii="Arial" w:hAnsi="Arial" w:cs="Arial"/>
                <w:sz w:val="18"/>
                <w:szCs w:val="18"/>
              </w:rPr>
            </w:pPr>
            <w:r>
              <w:rPr>
                <w:rFonts w:ascii="Arial" w:hAnsi="Arial"/>
                <w:sz w:val="18"/>
              </w:rPr>
              <w:t>117 606 $</w:t>
            </w:r>
          </w:p>
        </w:tc>
      </w:tr>
      <w:tr w:rsidR="00884277" w:rsidRPr="00884277" w14:paraId="1AC82310" w14:textId="2D54A4CB" w:rsidTr="002625CB">
        <w:trPr>
          <w:cantSplit/>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1E1C77" w14:textId="77777777" w:rsidR="00FA7E04" w:rsidRPr="00884277" w:rsidRDefault="00FA7E04" w:rsidP="00FA7E04">
            <w:pPr>
              <w:spacing w:before="120" w:after="120"/>
              <w:contextualSpacing/>
              <w:rPr>
                <w:rFonts w:ascii="Arial" w:hAnsi="Arial" w:cs="Arial"/>
                <w:b/>
                <w:bCs/>
                <w:sz w:val="20"/>
                <w:szCs w:val="20"/>
                <w:lang w:val="en-GB"/>
              </w:rPr>
            </w:pPr>
          </w:p>
        </w:tc>
        <w:tc>
          <w:tcPr>
            <w:tcW w:w="2146" w:type="pct"/>
            <w:tcBorders>
              <w:top w:val="single" w:sz="4" w:space="0" w:color="auto"/>
              <w:left w:val="single" w:sz="4" w:space="0" w:color="auto"/>
              <w:bottom w:val="single" w:sz="4" w:space="0" w:color="auto"/>
              <w:right w:val="single" w:sz="4" w:space="0" w:color="auto"/>
            </w:tcBorders>
            <w:shd w:val="clear" w:color="auto" w:fill="auto"/>
            <w:vAlign w:val="center"/>
          </w:tcPr>
          <w:p w14:paraId="0436BD8D" w14:textId="351EF20B" w:rsidR="00FA7E04" w:rsidRPr="009C6B5E" w:rsidRDefault="00884277" w:rsidP="00FA7E04">
            <w:pPr>
              <w:spacing w:before="120" w:after="120"/>
              <w:contextualSpacing/>
              <w:jc w:val="both"/>
              <w:rPr>
                <w:rFonts w:ascii="Arial" w:hAnsi="Arial" w:cs="Arial"/>
                <w:b/>
                <w:bCs/>
                <w:sz w:val="18"/>
                <w:szCs w:val="18"/>
              </w:rPr>
            </w:pPr>
            <w:r>
              <w:rPr>
                <w:rFonts w:ascii="Arial" w:hAnsi="Arial"/>
                <w:b/>
                <w:sz w:val="18"/>
              </w:rPr>
              <w:t>TOTAL</w:t>
            </w:r>
          </w:p>
        </w:tc>
        <w:tc>
          <w:tcPr>
            <w:tcW w:w="603" w:type="pct"/>
            <w:tcBorders>
              <w:top w:val="single" w:sz="4" w:space="0" w:color="auto"/>
              <w:left w:val="single" w:sz="4" w:space="0" w:color="auto"/>
              <w:bottom w:val="single" w:sz="4" w:space="0" w:color="auto"/>
              <w:right w:val="single" w:sz="4" w:space="0" w:color="auto"/>
            </w:tcBorders>
            <w:vAlign w:val="center"/>
          </w:tcPr>
          <w:p w14:paraId="7A2E11F8" w14:textId="5E7A2B3A" w:rsidR="00FA7E04" w:rsidRPr="009C6B5E" w:rsidRDefault="00FA7E04" w:rsidP="00FA7E04">
            <w:pPr>
              <w:spacing w:before="60" w:after="60"/>
              <w:contextualSpacing/>
              <w:jc w:val="center"/>
              <w:rPr>
                <w:rFonts w:ascii="Arial" w:hAnsi="Arial" w:cs="Arial"/>
                <w:b/>
                <w:bCs/>
                <w:sz w:val="18"/>
                <w:szCs w:val="18"/>
              </w:rPr>
            </w:pPr>
            <w:r>
              <w:rPr>
                <w:rFonts w:ascii="Arial" w:hAnsi="Arial"/>
                <w:b/>
                <w:sz w:val="18"/>
              </w:rPr>
              <w:t>100,00 %</w:t>
            </w:r>
          </w:p>
        </w:tc>
        <w:tc>
          <w:tcPr>
            <w:tcW w:w="656" w:type="pct"/>
            <w:gridSpan w:val="2"/>
            <w:tcBorders>
              <w:top w:val="dashed" w:sz="4" w:space="0" w:color="auto"/>
              <w:left w:val="single" w:sz="4" w:space="0" w:color="auto"/>
              <w:bottom w:val="single" w:sz="4" w:space="0" w:color="auto"/>
              <w:right w:val="dashed" w:sz="4" w:space="0" w:color="auto"/>
            </w:tcBorders>
            <w:vAlign w:val="center"/>
          </w:tcPr>
          <w:p w14:paraId="38B1DF16" w14:textId="676FA6FE" w:rsidR="00FA7E04" w:rsidRPr="009C6B5E" w:rsidRDefault="00FA7E04" w:rsidP="00FA7E04">
            <w:pPr>
              <w:spacing w:before="60" w:after="60"/>
              <w:contextualSpacing/>
              <w:jc w:val="center"/>
              <w:rPr>
                <w:rFonts w:ascii="Arial" w:hAnsi="Arial" w:cs="Arial"/>
                <w:b/>
                <w:bCs/>
                <w:sz w:val="18"/>
                <w:szCs w:val="18"/>
              </w:rPr>
            </w:pPr>
            <w:r>
              <w:rPr>
                <w:rFonts w:ascii="Arial" w:hAnsi="Arial"/>
                <w:b/>
                <w:sz w:val="18"/>
              </w:rPr>
              <w:t>100,00 %</w:t>
            </w:r>
          </w:p>
        </w:tc>
        <w:tc>
          <w:tcPr>
            <w:tcW w:w="595" w:type="pct"/>
            <w:gridSpan w:val="2"/>
            <w:tcBorders>
              <w:top w:val="dashed" w:sz="4" w:space="0" w:color="auto"/>
              <w:left w:val="dashed" w:sz="4" w:space="0" w:color="auto"/>
              <w:bottom w:val="single" w:sz="4" w:space="0" w:color="auto"/>
              <w:right w:val="dashed" w:sz="4" w:space="0" w:color="auto"/>
            </w:tcBorders>
          </w:tcPr>
          <w:p w14:paraId="70849A9A" w14:textId="2A0B75D6" w:rsidR="00FA7E04" w:rsidRPr="009C6B5E" w:rsidRDefault="009C6B5E" w:rsidP="00FA7E04">
            <w:pPr>
              <w:spacing w:before="60" w:after="60"/>
              <w:contextualSpacing/>
              <w:jc w:val="center"/>
              <w:rPr>
                <w:rFonts w:ascii="Arial" w:hAnsi="Arial" w:cs="Arial"/>
                <w:b/>
                <w:bCs/>
                <w:sz w:val="18"/>
                <w:szCs w:val="18"/>
              </w:rPr>
            </w:pPr>
            <w:r>
              <w:rPr>
                <w:rFonts w:ascii="Arial" w:hAnsi="Arial"/>
                <w:b/>
                <w:sz w:val="18"/>
              </w:rPr>
              <w:t>7 840 379 $</w:t>
            </w:r>
          </w:p>
        </w:tc>
        <w:tc>
          <w:tcPr>
            <w:tcW w:w="596" w:type="pct"/>
            <w:tcBorders>
              <w:top w:val="dashed" w:sz="4" w:space="0" w:color="auto"/>
              <w:left w:val="dashed" w:sz="4" w:space="0" w:color="auto"/>
              <w:bottom w:val="single" w:sz="4" w:space="0" w:color="auto"/>
              <w:right w:val="dashed" w:sz="4" w:space="0" w:color="auto"/>
            </w:tcBorders>
          </w:tcPr>
          <w:p w14:paraId="5C6AF132" w14:textId="659DA05B" w:rsidR="00FA7E04" w:rsidRPr="009C6B5E" w:rsidRDefault="009C6B5E" w:rsidP="00FA7E04">
            <w:pPr>
              <w:spacing w:before="60" w:after="60"/>
              <w:contextualSpacing/>
              <w:jc w:val="center"/>
              <w:rPr>
                <w:rFonts w:ascii="Arial" w:hAnsi="Arial" w:cs="Arial"/>
                <w:b/>
                <w:bCs/>
                <w:sz w:val="18"/>
                <w:szCs w:val="18"/>
              </w:rPr>
            </w:pPr>
            <w:r>
              <w:rPr>
                <w:rFonts w:ascii="Arial" w:hAnsi="Arial"/>
                <w:b/>
                <w:sz w:val="18"/>
              </w:rPr>
              <w:t>1 960 095 $</w:t>
            </w:r>
          </w:p>
        </w:tc>
      </w:tr>
      <w:tr w:rsidR="00FA7E04" w:rsidRPr="00E869B7" w14:paraId="61975025" w14:textId="53CAE1E2" w:rsidTr="002625CB">
        <w:trPr>
          <w:cantSplit/>
        </w:trPr>
        <w:tc>
          <w:tcPr>
            <w:tcW w:w="5000" w:type="pct"/>
            <w:gridSpan w:val="8"/>
            <w:tcBorders>
              <w:top w:val="single" w:sz="4" w:space="0" w:color="auto"/>
              <w:left w:val="single" w:sz="4" w:space="0" w:color="auto"/>
              <w:bottom w:val="single" w:sz="4" w:space="0" w:color="auto"/>
              <w:right w:val="single" w:sz="4" w:space="0" w:color="auto"/>
            </w:tcBorders>
          </w:tcPr>
          <w:p w14:paraId="29487B50" w14:textId="3934453E" w:rsidR="00FA7E04" w:rsidRPr="00BB2DEA" w:rsidRDefault="00FA7E04" w:rsidP="00FA7E04">
            <w:pPr>
              <w:spacing w:before="120" w:after="120"/>
              <w:contextualSpacing/>
              <w:rPr>
                <w:rFonts w:ascii="Arial" w:hAnsi="Arial" w:cs="Arial"/>
                <w:sz w:val="18"/>
                <w:szCs w:val="18"/>
              </w:rPr>
            </w:pPr>
            <w:r>
              <w:rPr>
                <w:rFonts w:ascii="Arial" w:hAnsi="Arial"/>
                <w:sz w:val="18"/>
              </w:rPr>
              <w:t>Los Fondos que no hayan sido atribuidos al final del per</w:t>
            </w:r>
            <w:r w:rsidR="00BC518E">
              <w:rPr>
                <w:rFonts w:ascii="Arial" w:hAnsi="Arial"/>
                <w:sz w:val="18"/>
              </w:rPr>
              <w:t>í</w:t>
            </w:r>
            <w:r>
              <w:rPr>
                <w:rFonts w:ascii="Arial" w:hAnsi="Arial"/>
                <w:sz w:val="18"/>
              </w:rPr>
              <w:t xml:space="preserve">odo de este Plan son transferidos al siguiente ejercicio económico y serán asignados según lo establecido por el Plan </w:t>
            </w:r>
            <w:r w:rsidR="00FA1EB7">
              <w:rPr>
                <w:rFonts w:ascii="Arial" w:hAnsi="Arial"/>
                <w:sz w:val="18"/>
              </w:rPr>
              <w:t xml:space="preserve">que será </w:t>
            </w:r>
            <w:r>
              <w:rPr>
                <w:rFonts w:ascii="Arial" w:hAnsi="Arial"/>
                <w:sz w:val="18"/>
              </w:rPr>
              <w:t>aprobado por la Asamblea General en ese momento.</w:t>
            </w:r>
          </w:p>
        </w:tc>
      </w:tr>
      <w:tr w:rsidR="00FA7E04" w:rsidRPr="00E869B7" w14:paraId="2FA8CDFB" w14:textId="5CAF683A" w:rsidTr="002625CB">
        <w:trPr>
          <w:cantSplit/>
        </w:trPr>
        <w:tc>
          <w:tcPr>
            <w:tcW w:w="5000" w:type="pct"/>
            <w:gridSpan w:val="8"/>
            <w:tcBorders>
              <w:top w:val="single" w:sz="4" w:space="0" w:color="auto"/>
              <w:left w:val="single" w:sz="4" w:space="0" w:color="auto"/>
              <w:bottom w:val="single" w:sz="4" w:space="0" w:color="auto"/>
              <w:right w:val="single" w:sz="4" w:space="0" w:color="auto"/>
            </w:tcBorders>
          </w:tcPr>
          <w:p w14:paraId="503E73CD" w14:textId="25513930" w:rsidR="00FA7E04" w:rsidRPr="00BB2DEA" w:rsidRDefault="00FA7E04" w:rsidP="00FA7E04">
            <w:pPr>
              <w:spacing w:before="120" w:after="120"/>
              <w:contextualSpacing/>
              <w:rPr>
                <w:rFonts w:ascii="Arial" w:hAnsi="Arial" w:cs="Arial"/>
                <w:sz w:val="18"/>
                <w:szCs w:val="18"/>
              </w:rPr>
            </w:pPr>
            <w:r>
              <w:rPr>
                <w:rFonts w:ascii="Arial" w:hAnsi="Arial"/>
                <w:sz w:val="18"/>
              </w:rPr>
              <w:t>Para el per</w:t>
            </w:r>
            <w:r w:rsidR="00BC518E">
              <w:rPr>
                <w:rFonts w:ascii="Arial" w:hAnsi="Arial"/>
                <w:sz w:val="18"/>
              </w:rPr>
              <w:t>í</w:t>
            </w:r>
            <w:r>
              <w:rPr>
                <w:rFonts w:ascii="Arial" w:hAnsi="Arial"/>
                <w:sz w:val="18"/>
              </w:rPr>
              <w:t>odo comprendido entre el 1 de enero y el 30 de junio de 2022, una cuarta parte de la cantidad establecida para los veinticuatro meses del ejercicio financiero 2020-2021 será asignada con carácter provisional, excepto para el Fondo de Reserva, cuyo monto fue establecido por el Comité en un millón de dólares estadounidenses (Decisión 10.COM 8).</w:t>
            </w:r>
          </w:p>
        </w:tc>
      </w:tr>
    </w:tbl>
    <w:p w14:paraId="04EA902F" w14:textId="77777777" w:rsidR="00576E1D" w:rsidRPr="00785AA3" w:rsidRDefault="00576E1D" w:rsidP="001740D7">
      <w:pPr>
        <w:pStyle w:val="COMParaDecision"/>
        <w:ind w:left="0" w:firstLine="0"/>
      </w:pPr>
    </w:p>
    <w:p w14:paraId="35AA0E67" w14:textId="77777777" w:rsidR="00576E1D" w:rsidRDefault="00576E1D" w:rsidP="001740D7">
      <w:pPr>
        <w:rPr>
          <w:rFonts w:ascii="Arial" w:hAnsi="Arial" w:cs="Arial"/>
          <w:snapToGrid w:val="0"/>
          <w:sz w:val="22"/>
          <w:szCs w:val="22"/>
        </w:rPr>
      </w:pPr>
      <w:r>
        <w:br w:type="page"/>
      </w:r>
    </w:p>
    <w:p w14:paraId="39ED139D" w14:textId="0C1034BC" w:rsidR="00400757" w:rsidRPr="00B34348" w:rsidRDefault="00912C49" w:rsidP="001740D7">
      <w:pPr>
        <w:pStyle w:val="Annex"/>
      </w:pPr>
      <w:r w:rsidRPr="00B34348">
        <w:lastRenderedPageBreak/>
        <w:t>A</w:t>
      </w:r>
      <w:r w:rsidR="003F24A9">
        <w:t>nexo</w:t>
      </w:r>
      <w:r w:rsidRPr="00B34348">
        <w:t xml:space="preserve"> II</w:t>
      </w:r>
    </w:p>
    <w:p w14:paraId="0845969D" w14:textId="499DF1FE" w:rsidR="00DC2577" w:rsidRPr="00A432F7" w:rsidRDefault="0072327E" w:rsidP="00DC2577">
      <w:pPr>
        <w:pStyle w:val="Sansinterligne"/>
        <w:jc w:val="center"/>
        <w:rPr>
          <w:rFonts w:ascii="Arial" w:hAnsi="Arial" w:cs="Arial"/>
          <w:b/>
        </w:rPr>
      </w:pPr>
      <w:r>
        <w:rPr>
          <w:rFonts w:ascii="Arial" w:hAnsi="Arial"/>
          <w:b/>
        </w:rPr>
        <w:t>P</w:t>
      </w:r>
      <w:r w:rsidR="00DC2577">
        <w:rPr>
          <w:rFonts w:ascii="Arial" w:hAnsi="Arial"/>
          <w:b/>
        </w:rPr>
        <w:t xml:space="preserve">ropuesta </w:t>
      </w:r>
      <w:r>
        <w:rPr>
          <w:rFonts w:ascii="Arial" w:hAnsi="Arial"/>
          <w:b/>
        </w:rPr>
        <w:t>de revisión d</w:t>
      </w:r>
      <w:r w:rsidR="00DC2577">
        <w:rPr>
          <w:rFonts w:ascii="Arial" w:hAnsi="Arial"/>
          <w:b/>
        </w:rPr>
        <w:t xml:space="preserve">el Reglamento Financiero de la Cuenta Especial del Fondo para la Salvaguardia del Patrimonio Cultural Inmaterial </w:t>
      </w:r>
      <w:r w:rsidR="00DA10B9" w:rsidRPr="00DA10B9">
        <w:rPr>
          <w:rFonts w:ascii="Arial" w:hAnsi="Arial"/>
          <w:b/>
        </w:rPr>
        <w:t>en consonancia con el Reglamento Financiero Modelo para Cuentas Especiales relacionadas con las convenciones aprobado por el Consejo Ejecutivo de la UNESCO</w:t>
      </w:r>
    </w:p>
    <w:p w14:paraId="204350E0" w14:textId="2B00B9DF" w:rsidR="00AA5439" w:rsidRDefault="00AA5439" w:rsidP="00AA5439">
      <w:pPr>
        <w:rPr>
          <w:lang w:eastAsia="zh-CN"/>
        </w:rPr>
      </w:pPr>
    </w:p>
    <w:tbl>
      <w:tblPr>
        <w:tblStyle w:val="Grilledutableau"/>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8505"/>
      </w:tblGrid>
      <w:tr w:rsidR="0097232E" w:rsidRPr="00323856" w14:paraId="623399EA" w14:textId="77777777" w:rsidTr="009C211A">
        <w:trPr>
          <w:cantSplit/>
        </w:trPr>
        <w:tc>
          <w:tcPr>
            <w:tcW w:w="1418" w:type="dxa"/>
          </w:tcPr>
          <w:p w14:paraId="40C7EDAB" w14:textId="77777777" w:rsidR="00AA5439" w:rsidRPr="00A432F7" w:rsidRDefault="00AA5439" w:rsidP="009C211A">
            <w:pPr>
              <w:spacing w:before="240" w:after="120"/>
              <w:jc w:val="right"/>
              <w:rPr>
                <w:rFonts w:ascii="Arial" w:hAnsi="Arial" w:cs="Arial"/>
                <w:b/>
                <w:sz w:val="22"/>
                <w:szCs w:val="22"/>
              </w:rPr>
            </w:pPr>
            <w:r>
              <w:rPr>
                <w:rFonts w:ascii="Arial" w:hAnsi="Arial"/>
                <w:b/>
                <w:sz w:val="22"/>
              </w:rPr>
              <w:t>Artículo 1</w:t>
            </w:r>
          </w:p>
        </w:tc>
        <w:tc>
          <w:tcPr>
            <w:tcW w:w="8505" w:type="dxa"/>
          </w:tcPr>
          <w:p w14:paraId="50F58F10" w14:textId="77777777" w:rsidR="00AA5439" w:rsidRPr="00323856" w:rsidRDefault="00AA5439" w:rsidP="009C211A">
            <w:pPr>
              <w:spacing w:before="240" w:after="120"/>
              <w:rPr>
                <w:rFonts w:ascii="Arial" w:hAnsi="Arial" w:cs="Arial"/>
                <w:bCs/>
                <w:iCs/>
                <w:sz w:val="22"/>
                <w:szCs w:val="22"/>
              </w:rPr>
            </w:pPr>
            <w:r w:rsidRPr="00323856">
              <w:rPr>
                <w:rFonts w:ascii="Arial" w:hAnsi="Arial"/>
                <w:b/>
                <w:iCs/>
                <w:sz w:val="22"/>
              </w:rPr>
              <w:t>Creación de una Cuenta Especial</w:t>
            </w:r>
          </w:p>
        </w:tc>
      </w:tr>
      <w:tr w:rsidR="00AA5439" w:rsidRPr="00A432F7" w14:paraId="18096438" w14:textId="77777777" w:rsidTr="009C211A">
        <w:trPr>
          <w:cantSplit/>
        </w:trPr>
        <w:tc>
          <w:tcPr>
            <w:tcW w:w="1418" w:type="dxa"/>
          </w:tcPr>
          <w:p w14:paraId="41610BB5" w14:textId="5C0B14F2" w:rsidR="00AA5439" w:rsidRPr="00034B17" w:rsidRDefault="0097232E" w:rsidP="009C211A">
            <w:pPr>
              <w:suppressAutoHyphens/>
              <w:spacing w:before="240" w:after="120"/>
              <w:jc w:val="right"/>
              <w:rPr>
                <w:rFonts w:ascii="Arial" w:hAnsi="Arial" w:cs="Arial"/>
                <w:sz w:val="22"/>
                <w:szCs w:val="22"/>
              </w:rPr>
            </w:pPr>
            <w:r>
              <w:rPr>
                <w:rFonts w:ascii="Arial" w:hAnsi="Arial" w:cs="Arial"/>
                <w:sz w:val="22"/>
                <w:szCs w:val="22"/>
              </w:rPr>
              <w:t xml:space="preserve">1.1 </w:t>
            </w:r>
          </w:p>
        </w:tc>
        <w:tc>
          <w:tcPr>
            <w:tcW w:w="8505" w:type="dxa"/>
          </w:tcPr>
          <w:p w14:paraId="430AFFF0" w14:textId="430185B0" w:rsidR="00AA5439" w:rsidRPr="00A432F7" w:rsidRDefault="00AA5439" w:rsidP="009C211A">
            <w:pPr>
              <w:spacing w:before="240" w:after="120"/>
              <w:rPr>
                <w:rFonts w:ascii="Arial" w:hAnsi="Arial" w:cs="Arial"/>
                <w:sz w:val="22"/>
                <w:szCs w:val="22"/>
              </w:rPr>
            </w:pPr>
            <w:r>
              <w:rPr>
                <w:rFonts w:ascii="Arial" w:hAnsi="Arial"/>
                <w:sz w:val="22"/>
              </w:rPr>
              <w:t>En virtud del artículo 25 de la Convención para la Salvaguardia del Patrimonio Cultural Inmaterial (denominada en adelante la "Convención"), queda</w:t>
            </w:r>
            <w:r>
              <w:rPr>
                <w:rFonts w:ascii="Arial" w:hAnsi="Arial"/>
                <w:sz w:val="22"/>
              </w:rPr>
              <w:br/>
              <w:t xml:space="preserve">establecido el "Fondo para la Salvaguardia del patrimonio cultural inmaterial" (denominado en adelante el “Fondo”). </w:t>
            </w:r>
          </w:p>
        </w:tc>
      </w:tr>
      <w:tr w:rsidR="00AA5439" w:rsidRPr="00A432F7" w14:paraId="6EE0DCF3" w14:textId="77777777" w:rsidTr="009C211A">
        <w:trPr>
          <w:cantSplit/>
        </w:trPr>
        <w:tc>
          <w:tcPr>
            <w:tcW w:w="1418" w:type="dxa"/>
          </w:tcPr>
          <w:p w14:paraId="3B567D81" w14:textId="77777777" w:rsidR="00AA5439" w:rsidRPr="00A432F7" w:rsidRDefault="00AA5439" w:rsidP="009C211A">
            <w:pPr>
              <w:suppressAutoHyphens/>
              <w:spacing w:before="240" w:after="120"/>
              <w:jc w:val="right"/>
              <w:rPr>
                <w:rFonts w:ascii="Arial" w:hAnsi="Arial" w:cs="Arial"/>
                <w:sz w:val="22"/>
                <w:szCs w:val="22"/>
              </w:rPr>
            </w:pPr>
            <w:r>
              <w:rPr>
                <w:rFonts w:ascii="Arial" w:hAnsi="Arial"/>
                <w:sz w:val="22"/>
              </w:rPr>
              <w:t xml:space="preserve">1.2 </w:t>
            </w:r>
          </w:p>
        </w:tc>
        <w:tc>
          <w:tcPr>
            <w:tcW w:w="8505" w:type="dxa"/>
          </w:tcPr>
          <w:p w14:paraId="00198A72" w14:textId="671408DF" w:rsidR="00AA5439" w:rsidRPr="0044593A" w:rsidRDefault="00AA5439" w:rsidP="009C211A">
            <w:pPr>
              <w:suppressAutoHyphens/>
              <w:spacing w:before="240" w:after="120"/>
              <w:rPr>
                <w:rFonts w:ascii="Arial" w:hAnsi="Arial" w:cs="Arial"/>
                <w:sz w:val="22"/>
                <w:szCs w:val="22"/>
              </w:rPr>
            </w:pPr>
            <w:r w:rsidRPr="0044593A">
              <w:rPr>
                <w:rFonts w:ascii="Arial" w:hAnsi="Arial"/>
                <w:sz w:val="22"/>
              </w:rPr>
              <w:t xml:space="preserve">De conformidad con el </w:t>
            </w:r>
            <w:r w:rsidRPr="009C211A">
              <w:rPr>
                <w:rFonts w:ascii="Arial" w:hAnsi="Arial"/>
                <w:sz w:val="22"/>
              </w:rPr>
              <w:t>Artículo 25 de la Convención y los párrafos 5 y 6 del Artículo 6</w:t>
            </w:r>
            <w:r w:rsidRPr="0044593A">
              <w:rPr>
                <w:rFonts w:ascii="Arial" w:hAnsi="Arial"/>
                <w:sz w:val="22"/>
              </w:rPr>
              <w:t xml:space="preserve"> del Reglamento Financiero de la UNESCO, por las presentes disposiciones se crea la Cuenta Especial del Fondo para la Salvaguardia del Patrimonio Cultural Inmaterial (en adelante denominada la "Cuenta Especial").</w:t>
            </w:r>
          </w:p>
        </w:tc>
      </w:tr>
      <w:tr w:rsidR="0097232E" w:rsidRPr="00A432F7" w14:paraId="4C46357F" w14:textId="77777777" w:rsidTr="009C211A">
        <w:trPr>
          <w:cantSplit/>
        </w:trPr>
        <w:tc>
          <w:tcPr>
            <w:tcW w:w="1418" w:type="dxa"/>
          </w:tcPr>
          <w:p w14:paraId="4389568E" w14:textId="37747834" w:rsidR="0044593A" w:rsidRPr="009C211A" w:rsidRDefault="0044593A" w:rsidP="009C211A">
            <w:pPr>
              <w:suppressAutoHyphens/>
              <w:spacing w:before="240" w:after="120"/>
              <w:jc w:val="right"/>
              <w:rPr>
                <w:rFonts w:ascii="Arial" w:hAnsi="Arial"/>
                <w:sz w:val="22"/>
              </w:rPr>
            </w:pPr>
            <w:r>
              <w:rPr>
                <w:rFonts w:ascii="Arial" w:hAnsi="Arial"/>
                <w:sz w:val="22"/>
              </w:rPr>
              <w:t>1.3</w:t>
            </w:r>
          </w:p>
        </w:tc>
        <w:tc>
          <w:tcPr>
            <w:tcW w:w="8505" w:type="dxa"/>
          </w:tcPr>
          <w:p w14:paraId="06CA6C04" w14:textId="45FEABDD" w:rsidR="0044593A" w:rsidRPr="00A432F7" w:rsidRDefault="0044593A" w:rsidP="009C211A">
            <w:pPr>
              <w:suppressAutoHyphens/>
              <w:spacing w:before="240" w:after="120"/>
              <w:rPr>
                <w:rFonts w:ascii="Arial" w:hAnsi="Arial" w:cs="Arial"/>
                <w:sz w:val="22"/>
                <w:szCs w:val="22"/>
              </w:rPr>
            </w:pPr>
            <w:r>
              <w:rPr>
                <w:rFonts w:ascii="Arial" w:hAnsi="Arial"/>
                <w:sz w:val="22"/>
              </w:rPr>
              <w:t>La gestión de esta Cuenta Especial se regirá por las disposiciones siguientes.</w:t>
            </w:r>
          </w:p>
        </w:tc>
      </w:tr>
      <w:tr w:rsidR="00AA5439" w:rsidRPr="00A432F7" w14:paraId="4D9E67AD" w14:textId="77777777" w:rsidTr="009C211A">
        <w:trPr>
          <w:cantSplit/>
        </w:trPr>
        <w:tc>
          <w:tcPr>
            <w:tcW w:w="1418" w:type="dxa"/>
          </w:tcPr>
          <w:p w14:paraId="44B57016" w14:textId="77777777" w:rsidR="00AA5439" w:rsidRPr="00A432F7" w:rsidRDefault="00AA5439" w:rsidP="009C211A">
            <w:pPr>
              <w:suppressAutoHyphens/>
              <w:spacing w:before="240" w:after="120"/>
              <w:jc w:val="right"/>
              <w:rPr>
                <w:rFonts w:ascii="Arial" w:hAnsi="Arial" w:cs="Arial"/>
                <w:b/>
                <w:sz w:val="22"/>
                <w:szCs w:val="22"/>
              </w:rPr>
            </w:pPr>
            <w:r>
              <w:rPr>
                <w:rFonts w:ascii="Arial" w:hAnsi="Arial"/>
                <w:b/>
                <w:sz w:val="22"/>
              </w:rPr>
              <w:t>Artículo 2</w:t>
            </w:r>
          </w:p>
        </w:tc>
        <w:tc>
          <w:tcPr>
            <w:tcW w:w="8505" w:type="dxa"/>
          </w:tcPr>
          <w:p w14:paraId="7F99E2CA" w14:textId="0C19D96E" w:rsidR="00AA5439" w:rsidRPr="009C211A" w:rsidRDefault="0044593A" w:rsidP="009C211A">
            <w:pPr>
              <w:suppressAutoHyphens/>
              <w:spacing w:before="240" w:after="120"/>
              <w:rPr>
                <w:rFonts w:ascii="Arial" w:hAnsi="Arial" w:cs="Arial"/>
                <w:b/>
                <w:bCs/>
                <w:sz w:val="22"/>
                <w:szCs w:val="22"/>
              </w:rPr>
            </w:pPr>
            <w:r w:rsidRPr="009C211A">
              <w:rPr>
                <w:rFonts w:ascii="Arial" w:hAnsi="Arial"/>
                <w:b/>
                <w:bCs/>
                <w:sz w:val="22"/>
              </w:rPr>
              <w:t>Ejercicio financiero</w:t>
            </w:r>
          </w:p>
        </w:tc>
      </w:tr>
      <w:tr w:rsidR="00AA5439" w:rsidRPr="00A432F7" w14:paraId="380C8952" w14:textId="77777777" w:rsidTr="009C211A">
        <w:trPr>
          <w:cantSplit/>
        </w:trPr>
        <w:tc>
          <w:tcPr>
            <w:tcW w:w="1418" w:type="dxa"/>
          </w:tcPr>
          <w:p w14:paraId="50FC4145" w14:textId="77777777" w:rsidR="00AA5439" w:rsidRPr="009C211A" w:rsidRDefault="00AA5439" w:rsidP="009C211A">
            <w:pPr>
              <w:suppressAutoHyphens/>
              <w:spacing w:before="240" w:after="120"/>
              <w:jc w:val="right"/>
              <w:rPr>
                <w:rFonts w:ascii="Arial" w:hAnsi="Arial" w:cs="Arial"/>
                <w:bCs/>
                <w:sz w:val="22"/>
                <w:szCs w:val="22"/>
              </w:rPr>
            </w:pPr>
            <w:r w:rsidRPr="009C211A">
              <w:rPr>
                <w:rFonts w:ascii="Arial" w:hAnsi="Arial"/>
                <w:bCs/>
                <w:sz w:val="22"/>
              </w:rPr>
              <w:t>2.1</w:t>
            </w:r>
          </w:p>
        </w:tc>
        <w:tc>
          <w:tcPr>
            <w:tcW w:w="8505" w:type="dxa"/>
          </w:tcPr>
          <w:p w14:paraId="7860E3B5" w14:textId="0B3EE6F4" w:rsidR="00AA5439" w:rsidRPr="00A432F7" w:rsidRDefault="00AA5439" w:rsidP="009C211A">
            <w:pPr>
              <w:suppressAutoHyphens/>
              <w:spacing w:before="240" w:after="120"/>
              <w:rPr>
                <w:rFonts w:ascii="Arial" w:hAnsi="Arial" w:cs="Arial"/>
                <w:sz w:val="22"/>
                <w:szCs w:val="22"/>
              </w:rPr>
            </w:pPr>
            <w:r>
              <w:rPr>
                <w:rFonts w:ascii="Arial" w:hAnsi="Arial"/>
                <w:sz w:val="22"/>
              </w:rPr>
              <w:t xml:space="preserve">El ejercicio financiero </w:t>
            </w:r>
            <w:r w:rsidRPr="009C211A">
              <w:rPr>
                <w:rFonts w:ascii="Arial" w:hAnsi="Arial"/>
                <w:bCs/>
                <w:sz w:val="22"/>
              </w:rPr>
              <w:t>para las estimaciones presupuestarias será de dos años civiles consecutivos comenzando en un año par</w:t>
            </w:r>
            <w:r w:rsidR="0044593A" w:rsidRPr="009C211A">
              <w:rPr>
                <w:rFonts w:ascii="Arial" w:hAnsi="Arial"/>
                <w:bCs/>
                <w:sz w:val="22"/>
              </w:rPr>
              <w:t>.</w:t>
            </w:r>
          </w:p>
        </w:tc>
      </w:tr>
      <w:tr w:rsidR="00AA5439" w:rsidRPr="00A432F7" w14:paraId="424FFB5F" w14:textId="77777777" w:rsidTr="009C211A">
        <w:trPr>
          <w:cantSplit/>
        </w:trPr>
        <w:tc>
          <w:tcPr>
            <w:tcW w:w="1418" w:type="dxa"/>
          </w:tcPr>
          <w:p w14:paraId="53FCDE49" w14:textId="77777777" w:rsidR="00AA5439" w:rsidRPr="009C211A" w:rsidRDefault="00AA5439" w:rsidP="009C211A">
            <w:pPr>
              <w:suppressAutoHyphens/>
              <w:spacing w:before="240" w:after="120"/>
              <w:jc w:val="right"/>
              <w:rPr>
                <w:rFonts w:ascii="Arial" w:hAnsi="Arial" w:cs="Arial"/>
                <w:bCs/>
                <w:spacing w:val="-3"/>
                <w:sz w:val="22"/>
                <w:szCs w:val="22"/>
              </w:rPr>
            </w:pPr>
            <w:r w:rsidRPr="009C211A">
              <w:rPr>
                <w:rFonts w:ascii="Arial" w:hAnsi="Arial"/>
                <w:bCs/>
                <w:sz w:val="22"/>
              </w:rPr>
              <w:t>2.2</w:t>
            </w:r>
          </w:p>
        </w:tc>
        <w:tc>
          <w:tcPr>
            <w:tcW w:w="8505" w:type="dxa"/>
          </w:tcPr>
          <w:p w14:paraId="26E88C02" w14:textId="77777777" w:rsidR="00AA5439" w:rsidRPr="009C211A" w:rsidRDefault="00AA5439" w:rsidP="009C211A">
            <w:pPr>
              <w:suppressAutoHyphens/>
              <w:spacing w:before="240" w:after="120"/>
              <w:rPr>
                <w:rFonts w:ascii="Arial" w:hAnsi="Arial" w:cs="Arial"/>
                <w:bCs/>
                <w:spacing w:val="-3"/>
                <w:sz w:val="22"/>
                <w:szCs w:val="22"/>
              </w:rPr>
            </w:pPr>
            <w:r w:rsidRPr="009C211A">
              <w:rPr>
                <w:rFonts w:ascii="Arial" w:hAnsi="Arial"/>
                <w:bCs/>
                <w:sz w:val="22"/>
              </w:rPr>
              <w:t>El ejercicio financiero para la contabilidad será de un año civil anual.</w:t>
            </w:r>
          </w:p>
        </w:tc>
      </w:tr>
      <w:tr w:rsidR="00AA5439" w:rsidRPr="00A432F7" w14:paraId="50A37CF7" w14:textId="77777777" w:rsidTr="009C211A">
        <w:trPr>
          <w:cantSplit/>
        </w:trPr>
        <w:tc>
          <w:tcPr>
            <w:tcW w:w="1418" w:type="dxa"/>
          </w:tcPr>
          <w:p w14:paraId="116B52C4" w14:textId="77777777" w:rsidR="00AA5439" w:rsidRPr="00A432F7" w:rsidRDefault="00AA5439" w:rsidP="009C211A">
            <w:pPr>
              <w:suppressAutoHyphens/>
              <w:spacing w:before="240" w:after="120"/>
              <w:jc w:val="right"/>
              <w:rPr>
                <w:rFonts w:ascii="Arial" w:hAnsi="Arial" w:cs="Arial"/>
                <w:b/>
                <w:sz w:val="22"/>
                <w:szCs w:val="22"/>
              </w:rPr>
            </w:pPr>
            <w:r>
              <w:rPr>
                <w:rFonts w:ascii="Arial" w:hAnsi="Arial"/>
                <w:b/>
                <w:sz w:val="22"/>
              </w:rPr>
              <w:t>Artículo 3</w:t>
            </w:r>
          </w:p>
        </w:tc>
        <w:tc>
          <w:tcPr>
            <w:tcW w:w="8505" w:type="dxa"/>
          </w:tcPr>
          <w:p w14:paraId="5D52E837" w14:textId="28383591" w:rsidR="00AA5439" w:rsidRPr="009C211A" w:rsidRDefault="0044593A" w:rsidP="009C211A">
            <w:pPr>
              <w:suppressAutoHyphens/>
              <w:spacing w:before="240" w:after="120"/>
              <w:rPr>
                <w:rFonts w:ascii="Arial" w:hAnsi="Arial" w:cs="Arial"/>
                <w:b/>
                <w:bCs/>
                <w:sz w:val="22"/>
                <w:szCs w:val="22"/>
              </w:rPr>
            </w:pPr>
            <w:r w:rsidRPr="009C211A">
              <w:rPr>
                <w:rFonts w:ascii="Arial" w:hAnsi="Arial"/>
                <w:b/>
                <w:bCs/>
                <w:sz w:val="22"/>
              </w:rPr>
              <w:t>Finalidad</w:t>
            </w:r>
          </w:p>
        </w:tc>
      </w:tr>
      <w:tr w:rsidR="00AA5439" w:rsidRPr="00234E68" w14:paraId="61460993" w14:textId="77777777" w:rsidTr="009C211A">
        <w:trPr>
          <w:cantSplit/>
        </w:trPr>
        <w:tc>
          <w:tcPr>
            <w:tcW w:w="1418" w:type="dxa"/>
          </w:tcPr>
          <w:p w14:paraId="2AFDFAA8" w14:textId="77777777" w:rsidR="00AA5439" w:rsidRPr="00034B17" w:rsidRDefault="00AA5439" w:rsidP="009C211A">
            <w:pPr>
              <w:spacing w:before="240" w:after="120"/>
              <w:jc w:val="right"/>
              <w:rPr>
                <w:rFonts w:ascii="Arial" w:hAnsi="Arial" w:cs="Arial"/>
                <w:sz w:val="22"/>
                <w:szCs w:val="22"/>
              </w:rPr>
            </w:pPr>
          </w:p>
        </w:tc>
        <w:tc>
          <w:tcPr>
            <w:tcW w:w="8505" w:type="dxa"/>
          </w:tcPr>
          <w:p w14:paraId="6C85BA39" w14:textId="1335F345" w:rsidR="00AA5439" w:rsidRPr="009C211A" w:rsidRDefault="00AA5439" w:rsidP="009C211A">
            <w:pPr>
              <w:spacing w:before="240" w:after="120"/>
              <w:rPr>
                <w:rFonts w:ascii="Arial" w:hAnsi="Arial" w:cs="Arial"/>
                <w:bCs/>
                <w:sz w:val="22"/>
                <w:szCs w:val="22"/>
              </w:rPr>
            </w:pPr>
            <w:r w:rsidRPr="009C211A">
              <w:rPr>
                <w:rFonts w:ascii="Arial" w:hAnsi="Arial"/>
                <w:bCs/>
                <w:sz w:val="22"/>
              </w:rPr>
              <w:t>De conformidad con el artículo 25 de la Convención, la finalidad de esta Cuenta Especial será recibir contribuciones de las fuentes mencionadas en el párrafo 1 del Artículo 5 infra y efectuar pagos con esos recursos para contribuir a la salvaguardia del patrimonio cultural inmaterial, con arreglo a lo dispuesto en la Convención y en el presente Reglamento.</w:t>
            </w:r>
          </w:p>
        </w:tc>
      </w:tr>
      <w:tr w:rsidR="00AA5439" w:rsidRPr="00234E68" w14:paraId="5E8A69BA" w14:textId="77777777" w:rsidTr="009C211A">
        <w:trPr>
          <w:cantSplit/>
        </w:trPr>
        <w:tc>
          <w:tcPr>
            <w:tcW w:w="1418" w:type="dxa"/>
          </w:tcPr>
          <w:p w14:paraId="56EA49C2" w14:textId="77777777" w:rsidR="00AA5439" w:rsidRPr="009C211A" w:rsidRDefault="00AA5439" w:rsidP="009C211A">
            <w:pPr>
              <w:keepNext/>
              <w:suppressAutoHyphens/>
              <w:spacing w:before="240" w:after="120"/>
              <w:jc w:val="right"/>
              <w:outlineLvl w:val="7"/>
              <w:rPr>
                <w:rFonts w:ascii="Arial" w:hAnsi="Arial" w:cs="Arial"/>
                <w:b/>
                <w:sz w:val="22"/>
                <w:szCs w:val="22"/>
              </w:rPr>
            </w:pPr>
            <w:r w:rsidRPr="009C211A">
              <w:rPr>
                <w:rFonts w:ascii="Arial" w:hAnsi="Arial"/>
                <w:b/>
                <w:sz w:val="22"/>
              </w:rPr>
              <w:t>Artículo 4</w:t>
            </w:r>
          </w:p>
        </w:tc>
        <w:tc>
          <w:tcPr>
            <w:tcW w:w="8505" w:type="dxa"/>
          </w:tcPr>
          <w:p w14:paraId="751C6CE4" w14:textId="77777777" w:rsidR="00AA5439" w:rsidRPr="009C211A" w:rsidRDefault="00AA5439" w:rsidP="009C211A">
            <w:pPr>
              <w:keepNext/>
              <w:keepLines/>
              <w:suppressAutoHyphens/>
              <w:spacing w:before="240" w:after="120"/>
              <w:outlineLvl w:val="7"/>
              <w:rPr>
                <w:rFonts w:ascii="Arial" w:hAnsi="Arial" w:cs="Arial"/>
                <w:b/>
                <w:sz w:val="22"/>
                <w:szCs w:val="22"/>
              </w:rPr>
            </w:pPr>
            <w:r w:rsidRPr="009C211A">
              <w:rPr>
                <w:rFonts w:ascii="Arial" w:hAnsi="Arial"/>
                <w:b/>
                <w:sz w:val="22"/>
              </w:rPr>
              <w:t>Gobernanza</w:t>
            </w:r>
          </w:p>
        </w:tc>
      </w:tr>
      <w:tr w:rsidR="00AA5439" w:rsidRPr="00234E68" w14:paraId="7FF93018" w14:textId="77777777" w:rsidTr="009C211A">
        <w:trPr>
          <w:cantSplit/>
        </w:trPr>
        <w:tc>
          <w:tcPr>
            <w:tcW w:w="1418" w:type="dxa"/>
          </w:tcPr>
          <w:p w14:paraId="7F06EAFE" w14:textId="77777777" w:rsidR="00AA5439" w:rsidRPr="009C211A" w:rsidRDefault="00AA5439" w:rsidP="009C211A">
            <w:pPr>
              <w:suppressAutoHyphens/>
              <w:spacing w:before="240" w:after="120"/>
              <w:jc w:val="right"/>
              <w:rPr>
                <w:rFonts w:ascii="Arial" w:hAnsi="Arial" w:cs="Arial"/>
                <w:bCs/>
                <w:sz w:val="22"/>
                <w:szCs w:val="22"/>
              </w:rPr>
            </w:pPr>
            <w:r w:rsidRPr="009C211A">
              <w:rPr>
                <w:rFonts w:ascii="Arial" w:hAnsi="Arial"/>
                <w:bCs/>
                <w:sz w:val="22"/>
              </w:rPr>
              <w:t xml:space="preserve">4.1 </w:t>
            </w:r>
          </w:p>
        </w:tc>
        <w:tc>
          <w:tcPr>
            <w:tcW w:w="8505" w:type="dxa"/>
          </w:tcPr>
          <w:p w14:paraId="47721E17" w14:textId="5E769A76" w:rsidR="00AA5439" w:rsidRPr="009C211A" w:rsidRDefault="00AA5439" w:rsidP="009C211A">
            <w:pPr>
              <w:spacing w:before="240" w:after="120"/>
              <w:rPr>
                <w:rFonts w:ascii="Arial" w:hAnsi="Arial" w:cs="Arial"/>
                <w:bCs/>
                <w:sz w:val="22"/>
                <w:szCs w:val="22"/>
              </w:rPr>
            </w:pPr>
            <w:r w:rsidRPr="009C211A">
              <w:rPr>
                <w:rFonts w:ascii="Arial" w:hAnsi="Arial"/>
                <w:bCs/>
                <w:sz w:val="22"/>
              </w:rPr>
              <w:t>La Asamblea General de los Estados Partes (en adelante, la "Asamblea General") tiene autoridad sobre la consignación de los recursos de esta Cuenta Especial.</w:t>
            </w:r>
          </w:p>
        </w:tc>
      </w:tr>
      <w:tr w:rsidR="00B25E39" w:rsidRPr="00234E68" w14:paraId="1B826EF5" w14:textId="77777777" w:rsidTr="009C211A">
        <w:trPr>
          <w:cantSplit/>
        </w:trPr>
        <w:tc>
          <w:tcPr>
            <w:tcW w:w="1418" w:type="dxa"/>
          </w:tcPr>
          <w:p w14:paraId="19CCAF68" w14:textId="7305FA68" w:rsidR="00B25E39" w:rsidRPr="009C211A" w:rsidRDefault="00B25E39" w:rsidP="009C211A">
            <w:pPr>
              <w:suppressAutoHyphens/>
              <w:spacing w:before="240" w:after="120"/>
              <w:jc w:val="right"/>
              <w:rPr>
                <w:rFonts w:ascii="Arial" w:hAnsi="Arial"/>
                <w:bCs/>
                <w:sz w:val="22"/>
              </w:rPr>
            </w:pPr>
            <w:r>
              <w:rPr>
                <w:rFonts w:ascii="Arial" w:hAnsi="Arial"/>
                <w:bCs/>
                <w:sz w:val="22"/>
              </w:rPr>
              <w:t>4.2</w:t>
            </w:r>
          </w:p>
        </w:tc>
        <w:tc>
          <w:tcPr>
            <w:tcW w:w="8505" w:type="dxa"/>
          </w:tcPr>
          <w:p w14:paraId="5C71F9A1" w14:textId="56E64A25" w:rsidR="00B25E39" w:rsidRPr="009C211A" w:rsidRDefault="00B25E39" w:rsidP="00B25E39">
            <w:pPr>
              <w:spacing w:before="240" w:after="120"/>
              <w:rPr>
                <w:rFonts w:ascii="Arial" w:hAnsi="Arial"/>
                <w:bCs/>
                <w:sz w:val="22"/>
              </w:rPr>
            </w:pPr>
            <w:r w:rsidRPr="00B25E39">
              <w:rPr>
                <w:rFonts w:ascii="Arial" w:hAnsi="Arial"/>
                <w:bCs/>
                <w:sz w:val="22"/>
              </w:rPr>
              <w:t>De conformidad con el Artículo 7 de la Convención, el Comité Intergubernamental para la Salvaguardia del Patrimonio Cultural Inmaterial (en adelante "el Comité")</w:t>
            </w:r>
            <w:r>
              <w:rPr>
                <w:rFonts w:ascii="Arial" w:hAnsi="Arial"/>
                <w:bCs/>
                <w:sz w:val="22"/>
              </w:rPr>
              <w:t xml:space="preserve"> </w:t>
            </w:r>
            <w:r w:rsidRPr="00B25E39">
              <w:rPr>
                <w:rFonts w:ascii="Arial" w:hAnsi="Arial"/>
                <w:bCs/>
                <w:sz w:val="22"/>
              </w:rPr>
              <w:t>preparará y someterá</w:t>
            </w:r>
            <w:r>
              <w:rPr>
                <w:rFonts w:ascii="Arial" w:hAnsi="Arial"/>
                <w:bCs/>
                <w:sz w:val="22"/>
              </w:rPr>
              <w:t xml:space="preserve"> </w:t>
            </w:r>
            <w:r w:rsidRPr="00B25E39">
              <w:rPr>
                <w:rFonts w:ascii="Arial" w:hAnsi="Arial"/>
                <w:bCs/>
                <w:sz w:val="22"/>
              </w:rPr>
              <w:t>a la aprobación de la Asamblea General un proyecto de utilización de los recursos del Fondo, de</w:t>
            </w:r>
            <w:r>
              <w:rPr>
                <w:rFonts w:ascii="Arial" w:hAnsi="Arial"/>
                <w:bCs/>
                <w:sz w:val="22"/>
              </w:rPr>
              <w:t xml:space="preserve"> conformidad con el Artículo 25 de la Convención.</w:t>
            </w:r>
          </w:p>
        </w:tc>
      </w:tr>
      <w:tr w:rsidR="00AA5439" w:rsidRPr="00234E68" w14:paraId="26E8398B" w14:textId="77777777" w:rsidTr="009C211A">
        <w:trPr>
          <w:cantSplit/>
        </w:trPr>
        <w:tc>
          <w:tcPr>
            <w:tcW w:w="1418" w:type="dxa"/>
          </w:tcPr>
          <w:p w14:paraId="102DACF9" w14:textId="2A270B0D" w:rsidR="00AA5439" w:rsidRPr="009C211A" w:rsidRDefault="00AA5439" w:rsidP="009C211A">
            <w:pPr>
              <w:suppressAutoHyphens/>
              <w:spacing w:before="240" w:after="120"/>
              <w:jc w:val="right"/>
              <w:rPr>
                <w:rFonts w:ascii="Arial" w:hAnsi="Arial" w:cs="Arial"/>
                <w:bCs/>
                <w:sz w:val="22"/>
                <w:szCs w:val="22"/>
              </w:rPr>
            </w:pPr>
            <w:r w:rsidRPr="009C211A">
              <w:rPr>
                <w:rFonts w:ascii="Arial" w:hAnsi="Arial"/>
                <w:bCs/>
                <w:sz w:val="22"/>
              </w:rPr>
              <w:lastRenderedPageBreak/>
              <w:t>4.</w:t>
            </w:r>
            <w:r w:rsidR="00B25E39">
              <w:rPr>
                <w:rFonts w:ascii="Arial" w:hAnsi="Arial"/>
                <w:bCs/>
                <w:sz w:val="22"/>
              </w:rPr>
              <w:t>3</w:t>
            </w:r>
          </w:p>
        </w:tc>
        <w:tc>
          <w:tcPr>
            <w:tcW w:w="8505" w:type="dxa"/>
          </w:tcPr>
          <w:p w14:paraId="43517452" w14:textId="47D3395C" w:rsidR="00AA5439" w:rsidRPr="009C211A" w:rsidRDefault="00AA5439" w:rsidP="009C211A">
            <w:pPr>
              <w:spacing w:before="240" w:after="120"/>
              <w:ind w:left="-1" w:firstLine="2"/>
              <w:rPr>
                <w:rFonts w:ascii="Arial" w:hAnsi="Arial" w:cs="Arial"/>
                <w:bCs/>
                <w:sz w:val="22"/>
                <w:szCs w:val="22"/>
              </w:rPr>
            </w:pPr>
            <w:r w:rsidRPr="009C211A">
              <w:rPr>
                <w:rFonts w:ascii="Arial" w:hAnsi="Arial"/>
                <w:bCs/>
                <w:sz w:val="22"/>
              </w:rPr>
              <w:t>El/La Directora(a) General gestionará y administrará los fondos de la Cuenta Especial de conformidad con el texto de la Convención,</w:t>
            </w:r>
            <w:r w:rsidR="008C69AC">
              <w:rPr>
                <w:rFonts w:ascii="Arial" w:hAnsi="Arial"/>
                <w:bCs/>
                <w:sz w:val="22"/>
              </w:rPr>
              <w:t xml:space="preserve"> las Directrices Operativas,</w:t>
            </w:r>
            <w:r w:rsidRPr="009C211A">
              <w:rPr>
                <w:rFonts w:ascii="Arial" w:hAnsi="Arial"/>
                <w:bCs/>
                <w:sz w:val="22"/>
              </w:rPr>
              <w:t xml:space="preserve"> las decisiones aprobadas por la Asamblea General y el Comité, y el presente Reglamento Financiero.</w:t>
            </w:r>
          </w:p>
        </w:tc>
      </w:tr>
      <w:tr w:rsidR="00AA5439" w:rsidRPr="00234E68" w14:paraId="3A5483A0" w14:textId="77777777" w:rsidTr="009C211A">
        <w:trPr>
          <w:cantSplit/>
        </w:trPr>
        <w:tc>
          <w:tcPr>
            <w:tcW w:w="1418" w:type="dxa"/>
          </w:tcPr>
          <w:p w14:paraId="35F45579" w14:textId="36DFA93F" w:rsidR="00AA5439" w:rsidRPr="009C211A" w:rsidRDefault="00AA5439" w:rsidP="009C211A">
            <w:pPr>
              <w:suppressAutoHyphens/>
              <w:spacing w:before="240" w:after="120"/>
              <w:jc w:val="right"/>
              <w:rPr>
                <w:rFonts w:ascii="Arial" w:hAnsi="Arial" w:cs="Arial"/>
                <w:bCs/>
                <w:spacing w:val="-3"/>
                <w:sz w:val="22"/>
                <w:szCs w:val="22"/>
              </w:rPr>
            </w:pPr>
            <w:r w:rsidRPr="009C211A">
              <w:rPr>
                <w:rFonts w:ascii="Arial" w:hAnsi="Arial"/>
                <w:bCs/>
                <w:sz w:val="22"/>
              </w:rPr>
              <w:t>4.</w:t>
            </w:r>
            <w:r w:rsidR="00B25E39">
              <w:rPr>
                <w:rFonts w:ascii="Arial" w:hAnsi="Arial"/>
                <w:bCs/>
                <w:sz w:val="22"/>
              </w:rPr>
              <w:t>4</w:t>
            </w:r>
          </w:p>
        </w:tc>
        <w:tc>
          <w:tcPr>
            <w:tcW w:w="8505" w:type="dxa"/>
          </w:tcPr>
          <w:p w14:paraId="797FE3D6" w14:textId="77777777" w:rsidR="00AA5439" w:rsidRPr="009C211A" w:rsidRDefault="00AA5439" w:rsidP="009C211A">
            <w:pPr>
              <w:spacing w:before="240" w:after="120"/>
              <w:ind w:left="-1" w:firstLine="2"/>
              <w:rPr>
                <w:rFonts w:ascii="Arial" w:hAnsi="Arial" w:cs="Arial"/>
                <w:bCs/>
                <w:sz w:val="22"/>
                <w:szCs w:val="22"/>
              </w:rPr>
            </w:pPr>
            <w:r w:rsidRPr="009C211A">
              <w:rPr>
                <w:rFonts w:ascii="Arial" w:hAnsi="Arial"/>
                <w:bCs/>
                <w:sz w:val="22"/>
              </w:rPr>
              <w:t>El/La Director(a) General presentará cada dos años a la Asamblea General y al Comité informes descriptivos y financieros, tal como se indica en el Artículo 10 infra.</w:t>
            </w:r>
          </w:p>
        </w:tc>
      </w:tr>
      <w:tr w:rsidR="00AA5439" w:rsidRPr="00234E68" w14:paraId="521CB9EE" w14:textId="77777777" w:rsidTr="009C211A">
        <w:trPr>
          <w:cantSplit/>
        </w:trPr>
        <w:tc>
          <w:tcPr>
            <w:tcW w:w="1418" w:type="dxa"/>
          </w:tcPr>
          <w:p w14:paraId="574A66C4" w14:textId="688C49AD" w:rsidR="00AA5439" w:rsidRPr="0044593A" w:rsidRDefault="00AA5439" w:rsidP="009C211A">
            <w:pPr>
              <w:keepNext/>
              <w:suppressAutoHyphens/>
              <w:spacing w:before="240" w:after="120"/>
              <w:jc w:val="right"/>
              <w:outlineLvl w:val="7"/>
              <w:rPr>
                <w:rFonts w:ascii="Arial" w:hAnsi="Arial" w:cs="Arial"/>
                <w:b/>
                <w:sz w:val="22"/>
                <w:szCs w:val="22"/>
              </w:rPr>
            </w:pPr>
            <w:r w:rsidRPr="0044593A">
              <w:rPr>
                <w:rFonts w:ascii="Arial" w:hAnsi="Arial"/>
                <w:b/>
                <w:sz w:val="22"/>
              </w:rPr>
              <w:t xml:space="preserve">Artículo </w:t>
            </w:r>
            <w:r w:rsidRPr="009C211A">
              <w:rPr>
                <w:rFonts w:ascii="Arial" w:hAnsi="Arial"/>
                <w:b/>
                <w:sz w:val="22"/>
              </w:rPr>
              <w:t>5</w:t>
            </w:r>
          </w:p>
        </w:tc>
        <w:tc>
          <w:tcPr>
            <w:tcW w:w="8505" w:type="dxa"/>
          </w:tcPr>
          <w:p w14:paraId="5C555EA5" w14:textId="77777777" w:rsidR="00AA5439" w:rsidRPr="00234E68" w:rsidRDefault="00AA5439" w:rsidP="009C211A">
            <w:pPr>
              <w:keepNext/>
              <w:suppressAutoHyphens/>
              <w:spacing w:before="240" w:after="120"/>
              <w:outlineLvl w:val="7"/>
              <w:rPr>
                <w:rFonts w:ascii="Arial" w:hAnsi="Arial" w:cs="Arial"/>
                <w:bCs/>
                <w:sz w:val="22"/>
                <w:szCs w:val="22"/>
              </w:rPr>
            </w:pPr>
            <w:r>
              <w:rPr>
                <w:rFonts w:ascii="Arial" w:hAnsi="Arial"/>
                <w:b/>
                <w:sz w:val="22"/>
              </w:rPr>
              <w:t>Ingresos</w:t>
            </w:r>
          </w:p>
        </w:tc>
      </w:tr>
      <w:tr w:rsidR="00AA5439" w:rsidRPr="00034B17" w14:paraId="69E8FC03" w14:textId="77777777" w:rsidTr="009C211A">
        <w:trPr>
          <w:cantSplit/>
        </w:trPr>
        <w:tc>
          <w:tcPr>
            <w:tcW w:w="1418" w:type="dxa"/>
          </w:tcPr>
          <w:p w14:paraId="3315BF12" w14:textId="0B4E285F" w:rsidR="00AA5439" w:rsidRPr="009C211A" w:rsidRDefault="00AA5439" w:rsidP="009C211A">
            <w:pPr>
              <w:pStyle w:val="Sansinterligne"/>
              <w:spacing w:before="240" w:after="120"/>
              <w:jc w:val="right"/>
              <w:rPr>
                <w:rFonts w:ascii="Arial" w:hAnsi="Arial" w:cs="Arial"/>
                <w:bCs/>
              </w:rPr>
            </w:pPr>
            <w:r w:rsidRPr="009C211A">
              <w:rPr>
                <w:rFonts w:ascii="Arial" w:hAnsi="Arial"/>
                <w:bCs/>
              </w:rPr>
              <w:t xml:space="preserve">5.1 </w:t>
            </w:r>
          </w:p>
        </w:tc>
        <w:tc>
          <w:tcPr>
            <w:tcW w:w="8505" w:type="dxa"/>
          </w:tcPr>
          <w:p w14:paraId="644FE6AF" w14:textId="77777777" w:rsidR="00AA5439" w:rsidRPr="00234E68" w:rsidRDefault="00AA5439" w:rsidP="009C211A">
            <w:pPr>
              <w:spacing w:before="240" w:after="120"/>
              <w:rPr>
                <w:rFonts w:ascii="Arial" w:hAnsi="Arial" w:cs="Arial"/>
                <w:sz w:val="22"/>
                <w:szCs w:val="22"/>
              </w:rPr>
            </w:pPr>
            <w:r>
              <w:rPr>
                <w:rFonts w:ascii="Arial" w:hAnsi="Arial"/>
                <w:sz w:val="22"/>
              </w:rPr>
              <w:t>De conformidad con el párrafo 3 del Artículo 25 de la Convención, los ingresos de la Cuenta Especial estarán constituidos por:</w:t>
            </w:r>
          </w:p>
          <w:p w14:paraId="6851BCE9" w14:textId="20D80412" w:rsidR="00AA5439" w:rsidRPr="00234E68" w:rsidRDefault="00AA5439" w:rsidP="003F24A9">
            <w:pPr>
              <w:pStyle w:val="Paragraphedeliste"/>
              <w:numPr>
                <w:ilvl w:val="0"/>
                <w:numId w:val="12"/>
              </w:numPr>
              <w:tabs>
                <w:tab w:val="left" w:pos="567"/>
              </w:tabs>
              <w:suppressAutoHyphens/>
              <w:snapToGrid w:val="0"/>
              <w:spacing w:after="60"/>
              <w:ind w:left="321"/>
              <w:contextualSpacing w:val="0"/>
              <w:rPr>
                <w:rFonts w:ascii="Arial" w:hAnsi="Arial" w:cs="Arial"/>
                <w:iCs/>
                <w:spacing w:val="-3"/>
                <w:sz w:val="22"/>
                <w:szCs w:val="22"/>
              </w:rPr>
            </w:pPr>
            <w:r>
              <w:rPr>
                <w:rFonts w:ascii="Arial" w:hAnsi="Arial"/>
                <w:sz w:val="22"/>
              </w:rPr>
              <w:t xml:space="preserve">las </w:t>
            </w:r>
            <w:r w:rsidRPr="00B25E39">
              <w:rPr>
                <w:rFonts w:asciiTheme="minorBidi" w:hAnsiTheme="minorBidi" w:cstheme="minorBidi"/>
                <w:iCs/>
                <w:spacing w:val="-3"/>
                <w:sz w:val="22"/>
                <w:szCs w:val="22"/>
                <w:lang w:eastAsia="en-GB"/>
              </w:rPr>
              <w:t>contribuciones</w:t>
            </w:r>
            <w:r>
              <w:rPr>
                <w:rFonts w:ascii="Arial" w:hAnsi="Arial"/>
                <w:sz w:val="22"/>
              </w:rPr>
              <w:t xml:space="preserve"> de los Estados Partes;</w:t>
            </w:r>
          </w:p>
          <w:p w14:paraId="22C921B8" w14:textId="77777777" w:rsidR="00AA5439" w:rsidRPr="003F24A9" w:rsidRDefault="00AA5439" w:rsidP="003F24A9">
            <w:pPr>
              <w:pStyle w:val="Paragraphedeliste"/>
              <w:numPr>
                <w:ilvl w:val="0"/>
                <w:numId w:val="12"/>
              </w:numPr>
              <w:tabs>
                <w:tab w:val="left" w:pos="567"/>
              </w:tabs>
              <w:suppressAutoHyphens/>
              <w:snapToGrid w:val="0"/>
              <w:spacing w:after="60"/>
              <w:ind w:left="321"/>
              <w:contextualSpacing w:val="0"/>
              <w:rPr>
                <w:rFonts w:ascii="Arial" w:hAnsi="Arial"/>
                <w:sz w:val="22"/>
              </w:rPr>
            </w:pPr>
            <w:r w:rsidRPr="009F468E">
              <w:rPr>
                <w:rFonts w:asciiTheme="minorBidi" w:hAnsiTheme="minorBidi" w:cstheme="minorBidi"/>
                <w:iCs/>
                <w:spacing w:val="-3"/>
                <w:sz w:val="22"/>
                <w:szCs w:val="22"/>
                <w:lang w:eastAsia="en-GB"/>
              </w:rPr>
              <w:t>fondos</w:t>
            </w:r>
            <w:r w:rsidRPr="00323856">
              <w:rPr>
                <w:rFonts w:ascii="Arial" w:hAnsi="Arial"/>
                <w:sz w:val="22"/>
              </w:rPr>
              <w:t xml:space="preserve"> consignados para este fin por la Conferencia General de la UNESCO</w:t>
            </w:r>
            <w:r w:rsidRPr="007564BF">
              <w:rPr>
                <w:rFonts w:ascii="Arial" w:hAnsi="Arial"/>
                <w:sz w:val="22"/>
              </w:rPr>
              <w:t xml:space="preserve">; </w:t>
            </w:r>
          </w:p>
          <w:p w14:paraId="191F58FA" w14:textId="77777777" w:rsidR="00AA5439" w:rsidRPr="00234E68" w:rsidRDefault="00AA5439" w:rsidP="003F24A9">
            <w:pPr>
              <w:pStyle w:val="Paragraphedeliste"/>
              <w:numPr>
                <w:ilvl w:val="0"/>
                <w:numId w:val="12"/>
              </w:numPr>
              <w:tabs>
                <w:tab w:val="left" w:pos="567"/>
              </w:tabs>
              <w:suppressAutoHyphens/>
              <w:snapToGrid w:val="0"/>
              <w:spacing w:after="60"/>
              <w:ind w:left="321"/>
              <w:contextualSpacing w:val="0"/>
              <w:rPr>
                <w:rFonts w:ascii="Arial" w:hAnsi="Arial" w:cs="Arial"/>
                <w:iCs/>
                <w:spacing w:val="-3"/>
                <w:sz w:val="22"/>
                <w:szCs w:val="22"/>
              </w:rPr>
            </w:pPr>
            <w:r w:rsidRPr="00412320">
              <w:rPr>
                <w:rFonts w:ascii="Arial" w:hAnsi="Arial"/>
                <w:sz w:val="22"/>
              </w:rPr>
              <w:t>las aportaciones, donaciones o legados que puedan hacer</w:t>
            </w:r>
            <w:r>
              <w:rPr>
                <w:rFonts w:ascii="Arial" w:hAnsi="Arial"/>
                <w:sz w:val="22"/>
              </w:rPr>
              <w:t>:</w:t>
            </w:r>
          </w:p>
          <w:p w14:paraId="62A52D15" w14:textId="77777777" w:rsidR="00AA5439" w:rsidRPr="00234E68" w:rsidRDefault="00AA5439" w:rsidP="003F24A9">
            <w:pPr>
              <w:pStyle w:val="Paragraphedeliste"/>
              <w:numPr>
                <w:ilvl w:val="0"/>
                <w:numId w:val="13"/>
              </w:numPr>
              <w:tabs>
                <w:tab w:val="left" w:pos="746"/>
              </w:tabs>
              <w:snapToGrid w:val="0"/>
              <w:spacing w:after="60"/>
              <w:ind w:left="746" w:hanging="425"/>
              <w:contextualSpacing w:val="0"/>
              <w:rPr>
                <w:rFonts w:ascii="Arial" w:hAnsi="Arial" w:cs="Arial"/>
                <w:sz w:val="22"/>
                <w:szCs w:val="22"/>
              </w:rPr>
            </w:pPr>
            <w:r>
              <w:rPr>
                <w:rFonts w:ascii="Arial" w:hAnsi="Arial"/>
                <w:sz w:val="22"/>
              </w:rPr>
              <w:t xml:space="preserve">otros </w:t>
            </w:r>
            <w:r w:rsidRPr="003F24A9">
              <w:rPr>
                <w:rFonts w:asciiTheme="minorBidi" w:hAnsiTheme="minorBidi" w:cstheme="minorBidi"/>
                <w:sz w:val="22"/>
                <w:szCs w:val="22"/>
                <w:lang w:val="en-US"/>
              </w:rPr>
              <w:t>Estados</w:t>
            </w:r>
            <w:r>
              <w:rPr>
                <w:rFonts w:ascii="Arial" w:hAnsi="Arial"/>
                <w:sz w:val="22"/>
              </w:rPr>
              <w:t xml:space="preserve">; </w:t>
            </w:r>
          </w:p>
          <w:p w14:paraId="75BF7CA8" w14:textId="77777777" w:rsidR="00AA5439" w:rsidRPr="00234E68" w:rsidRDefault="00AA5439" w:rsidP="003F24A9">
            <w:pPr>
              <w:pStyle w:val="Paragraphedeliste"/>
              <w:numPr>
                <w:ilvl w:val="0"/>
                <w:numId w:val="13"/>
              </w:numPr>
              <w:tabs>
                <w:tab w:val="left" w:pos="746"/>
              </w:tabs>
              <w:snapToGrid w:val="0"/>
              <w:spacing w:after="60"/>
              <w:ind w:left="746" w:hanging="425"/>
              <w:contextualSpacing w:val="0"/>
              <w:rPr>
                <w:rFonts w:ascii="Arial" w:hAnsi="Arial" w:cs="Arial"/>
                <w:sz w:val="22"/>
                <w:szCs w:val="22"/>
              </w:rPr>
            </w:pPr>
            <w:r>
              <w:rPr>
                <w:rFonts w:ascii="Arial" w:hAnsi="Arial"/>
                <w:sz w:val="22"/>
              </w:rPr>
              <w:t xml:space="preserve">organizaciones y programas del sistema de las Naciones Unidas, en </w:t>
            </w:r>
            <w:r w:rsidRPr="00C0683F">
              <w:rPr>
                <w:rFonts w:asciiTheme="minorBidi" w:hAnsiTheme="minorBidi" w:cstheme="minorBidi"/>
                <w:sz w:val="22"/>
                <w:szCs w:val="22"/>
              </w:rPr>
              <w:t>especial</w:t>
            </w:r>
            <w:r>
              <w:rPr>
                <w:rFonts w:ascii="Arial" w:hAnsi="Arial"/>
                <w:sz w:val="22"/>
              </w:rPr>
              <w:t xml:space="preserve"> el Programa de las Naciones Unidas para el Desarrollo, así como otras organizaciones internacionales;</w:t>
            </w:r>
          </w:p>
          <w:p w14:paraId="4E1E26CD" w14:textId="77777777" w:rsidR="00AA5439" w:rsidRPr="00034B17" w:rsidRDefault="00AA5439" w:rsidP="003F24A9">
            <w:pPr>
              <w:pStyle w:val="Paragraphedeliste"/>
              <w:numPr>
                <w:ilvl w:val="0"/>
                <w:numId w:val="13"/>
              </w:numPr>
              <w:tabs>
                <w:tab w:val="left" w:pos="746"/>
              </w:tabs>
              <w:snapToGrid w:val="0"/>
              <w:spacing w:after="60"/>
              <w:ind w:left="746" w:hanging="425"/>
              <w:contextualSpacing w:val="0"/>
              <w:rPr>
                <w:rFonts w:ascii="Arial" w:hAnsi="Arial" w:cs="Arial"/>
                <w:sz w:val="22"/>
                <w:szCs w:val="22"/>
                <w:lang w:val="pt-PT"/>
              </w:rPr>
            </w:pPr>
            <w:r w:rsidRPr="00CF1575">
              <w:rPr>
                <w:rFonts w:asciiTheme="minorBidi" w:hAnsiTheme="minorBidi" w:cstheme="minorBidi"/>
                <w:sz w:val="22"/>
                <w:szCs w:val="22"/>
                <w:lang w:val="pt-PT"/>
              </w:rPr>
              <w:t>organismos</w:t>
            </w:r>
            <w:r w:rsidRPr="00034B17">
              <w:rPr>
                <w:rFonts w:ascii="Arial" w:hAnsi="Arial"/>
                <w:sz w:val="22"/>
                <w:lang w:val="pt-PT"/>
              </w:rPr>
              <w:t xml:space="preserve"> públicos o privados o personas físicas;</w:t>
            </w:r>
          </w:p>
          <w:p w14:paraId="63EDE7C0" w14:textId="7450DDFD" w:rsidR="00AA5439" w:rsidRPr="009C211A" w:rsidRDefault="007D3298" w:rsidP="009C211A">
            <w:pPr>
              <w:pStyle w:val="Paragraphedeliste"/>
              <w:numPr>
                <w:ilvl w:val="0"/>
                <w:numId w:val="12"/>
              </w:numPr>
              <w:tabs>
                <w:tab w:val="left" w:pos="567"/>
              </w:tabs>
              <w:suppressAutoHyphens/>
              <w:snapToGrid w:val="0"/>
              <w:spacing w:before="240" w:after="120"/>
              <w:ind w:left="321"/>
              <w:contextualSpacing w:val="0"/>
              <w:rPr>
                <w:rFonts w:ascii="Arial" w:hAnsi="Arial" w:cs="Arial"/>
                <w:bCs/>
                <w:iCs/>
                <w:spacing w:val="-3"/>
                <w:sz w:val="22"/>
                <w:szCs w:val="22"/>
              </w:rPr>
            </w:pPr>
            <w:r>
              <w:rPr>
                <w:rFonts w:ascii="Arial" w:hAnsi="Arial"/>
                <w:bCs/>
                <w:sz w:val="22"/>
              </w:rPr>
              <w:t>todo</w:t>
            </w:r>
            <w:r w:rsidR="00AA5439" w:rsidRPr="009C211A">
              <w:rPr>
                <w:rFonts w:ascii="Arial" w:hAnsi="Arial"/>
                <w:bCs/>
                <w:sz w:val="22"/>
              </w:rPr>
              <w:t xml:space="preserve"> inter</w:t>
            </w:r>
            <w:r>
              <w:rPr>
                <w:rFonts w:ascii="Arial" w:hAnsi="Arial"/>
                <w:bCs/>
                <w:sz w:val="22"/>
              </w:rPr>
              <w:t>é</w:t>
            </w:r>
            <w:r w:rsidR="00AA5439" w:rsidRPr="009C211A">
              <w:rPr>
                <w:rFonts w:ascii="Arial" w:hAnsi="Arial"/>
                <w:bCs/>
                <w:sz w:val="22"/>
              </w:rPr>
              <w:t xml:space="preserve">s </w:t>
            </w:r>
            <w:r w:rsidR="00635DE5">
              <w:rPr>
                <w:rFonts w:ascii="Arial" w:hAnsi="Arial"/>
                <w:bCs/>
                <w:sz w:val="22"/>
              </w:rPr>
              <w:t>devengado por los rec</w:t>
            </w:r>
            <w:r>
              <w:rPr>
                <w:rFonts w:ascii="Arial" w:hAnsi="Arial"/>
                <w:bCs/>
                <w:sz w:val="22"/>
              </w:rPr>
              <w:t>ursos de la Cuenta Especial</w:t>
            </w:r>
            <w:r w:rsidR="00AA5439" w:rsidRPr="009C211A">
              <w:rPr>
                <w:rFonts w:ascii="Arial" w:hAnsi="Arial"/>
                <w:bCs/>
                <w:sz w:val="22"/>
              </w:rPr>
              <w:t>;</w:t>
            </w:r>
          </w:p>
          <w:p w14:paraId="38E091C8" w14:textId="77777777" w:rsidR="00AA5439" w:rsidRPr="00234E68" w:rsidRDefault="00AA5439" w:rsidP="003F24A9">
            <w:pPr>
              <w:pStyle w:val="Paragraphedeliste"/>
              <w:numPr>
                <w:ilvl w:val="0"/>
                <w:numId w:val="12"/>
              </w:numPr>
              <w:tabs>
                <w:tab w:val="left" w:pos="567"/>
              </w:tabs>
              <w:suppressAutoHyphens/>
              <w:snapToGrid w:val="0"/>
              <w:spacing w:after="60"/>
              <w:ind w:left="321"/>
              <w:contextualSpacing w:val="0"/>
              <w:rPr>
                <w:rFonts w:ascii="Arial" w:hAnsi="Arial" w:cs="Arial"/>
                <w:iCs/>
                <w:spacing w:val="-3"/>
                <w:sz w:val="22"/>
                <w:szCs w:val="22"/>
              </w:rPr>
            </w:pPr>
            <w:r>
              <w:rPr>
                <w:rFonts w:ascii="Arial" w:hAnsi="Arial"/>
                <w:sz w:val="22"/>
              </w:rPr>
              <w:t xml:space="preserve">el </w:t>
            </w:r>
            <w:r w:rsidRPr="003F24A9">
              <w:rPr>
                <w:rFonts w:asciiTheme="minorBidi" w:hAnsiTheme="minorBidi" w:cstheme="minorBidi"/>
                <w:iCs/>
                <w:spacing w:val="-3"/>
                <w:sz w:val="22"/>
                <w:szCs w:val="22"/>
                <w:lang w:eastAsia="en-GB"/>
              </w:rPr>
              <w:t>producto</w:t>
            </w:r>
            <w:r>
              <w:rPr>
                <w:rFonts w:ascii="Arial" w:hAnsi="Arial"/>
                <w:sz w:val="22"/>
              </w:rPr>
              <w:t xml:space="preserve"> de las colectas y la recaudación de las manifestaciones organizadas en provecho de la Cuenta Especial;</w:t>
            </w:r>
          </w:p>
          <w:p w14:paraId="78838DEF" w14:textId="39B26747" w:rsidR="00AA5439" w:rsidRPr="00034B17" w:rsidRDefault="00AA5439" w:rsidP="003F24A9">
            <w:pPr>
              <w:pStyle w:val="Paragraphedeliste"/>
              <w:numPr>
                <w:ilvl w:val="0"/>
                <w:numId w:val="12"/>
              </w:numPr>
              <w:tabs>
                <w:tab w:val="left" w:pos="567"/>
              </w:tabs>
              <w:suppressAutoHyphens/>
              <w:snapToGrid w:val="0"/>
              <w:spacing w:after="60"/>
              <w:ind w:left="321"/>
              <w:contextualSpacing w:val="0"/>
              <w:rPr>
                <w:rFonts w:ascii="Arial" w:hAnsi="Arial" w:cs="Arial"/>
                <w:sz w:val="22"/>
                <w:szCs w:val="22"/>
              </w:rPr>
            </w:pPr>
            <w:r>
              <w:rPr>
                <w:rFonts w:ascii="Arial" w:hAnsi="Arial"/>
                <w:sz w:val="22"/>
              </w:rPr>
              <w:t xml:space="preserve">todos los </w:t>
            </w:r>
            <w:r w:rsidRPr="00B25E39">
              <w:rPr>
                <w:rFonts w:asciiTheme="minorBidi" w:hAnsiTheme="minorBidi" w:cstheme="minorBidi"/>
                <w:iCs/>
                <w:spacing w:val="-3"/>
                <w:sz w:val="22"/>
                <w:szCs w:val="22"/>
                <w:lang w:eastAsia="en-GB"/>
              </w:rPr>
              <w:t>demás</w:t>
            </w:r>
            <w:r>
              <w:rPr>
                <w:rFonts w:ascii="Arial" w:hAnsi="Arial"/>
                <w:sz w:val="22"/>
              </w:rPr>
              <w:t xml:space="preserve"> recursos autorizados por el Comité.</w:t>
            </w:r>
          </w:p>
        </w:tc>
      </w:tr>
      <w:tr w:rsidR="0097232E" w:rsidRPr="00234E68" w14:paraId="51353F79" w14:textId="77777777" w:rsidTr="009C211A">
        <w:trPr>
          <w:cantSplit/>
        </w:trPr>
        <w:tc>
          <w:tcPr>
            <w:tcW w:w="1418" w:type="dxa"/>
          </w:tcPr>
          <w:p w14:paraId="2A18F867" w14:textId="634ED9DD" w:rsidR="00B22768" w:rsidRPr="009C211A" w:rsidRDefault="00B22768" w:rsidP="009C211A">
            <w:pPr>
              <w:spacing w:before="240" w:after="120"/>
              <w:jc w:val="right"/>
              <w:rPr>
                <w:rFonts w:ascii="Arial" w:hAnsi="Arial" w:cs="Arial"/>
                <w:bCs/>
                <w:sz w:val="22"/>
                <w:szCs w:val="22"/>
              </w:rPr>
            </w:pPr>
            <w:r w:rsidRPr="009C211A">
              <w:rPr>
                <w:rFonts w:ascii="Arial" w:hAnsi="Arial"/>
                <w:bCs/>
                <w:sz w:val="22"/>
              </w:rPr>
              <w:t>5.2</w:t>
            </w:r>
          </w:p>
        </w:tc>
        <w:tc>
          <w:tcPr>
            <w:tcW w:w="8505" w:type="dxa"/>
          </w:tcPr>
          <w:p w14:paraId="1AFE3DD2" w14:textId="4A121576" w:rsidR="00B22768" w:rsidRPr="00234E68" w:rsidRDefault="00827160" w:rsidP="009C211A">
            <w:pPr>
              <w:spacing w:before="240" w:after="120"/>
              <w:rPr>
                <w:rFonts w:ascii="Arial" w:hAnsi="Arial" w:cs="Arial"/>
                <w:sz w:val="22"/>
                <w:szCs w:val="22"/>
              </w:rPr>
            </w:pPr>
            <w:r w:rsidRPr="00827160">
              <w:rPr>
                <w:rFonts w:ascii="Arial" w:hAnsi="Arial"/>
                <w:sz w:val="22"/>
              </w:rPr>
              <w:t>Con arreglo a lo dispuesto en el párrafo 1 del artículo 26 de la Convención, las contribuciones de los Estados Partes que no hayan hecho la declaración mencionada en el párrafo 2 de dicho artículo se abonarán de conformidad con el porcentaje uniforme que determine la Asamblea General de los Estados</w:t>
            </w:r>
            <w:r>
              <w:rPr>
                <w:rFonts w:ascii="Arial" w:hAnsi="Arial"/>
                <w:sz w:val="22"/>
              </w:rPr>
              <w:t xml:space="preserve"> P</w:t>
            </w:r>
            <w:r w:rsidRPr="00827160">
              <w:rPr>
                <w:rFonts w:ascii="Arial" w:hAnsi="Arial"/>
                <w:sz w:val="22"/>
              </w:rPr>
              <w:t>artes en la Convención.</w:t>
            </w:r>
          </w:p>
        </w:tc>
      </w:tr>
      <w:tr w:rsidR="00AA5439" w:rsidRPr="00234E68" w14:paraId="3D35561F" w14:textId="77777777" w:rsidTr="009C211A">
        <w:trPr>
          <w:cantSplit/>
        </w:trPr>
        <w:tc>
          <w:tcPr>
            <w:tcW w:w="1418" w:type="dxa"/>
          </w:tcPr>
          <w:p w14:paraId="6F80FD68" w14:textId="26C6FA31" w:rsidR="00AA5439" w:rsidRPr="00234E68" w:rsidRDefault="00AA5439" w:rsidP="009C211A">
            <w:pPr>
              <w:suppressAutoHyphens/>
              <w:spacing w:before="240" w:after="120"/>
              <w:jc w:val="right"/>
              <w:rPr>
                <w:rFonts w:ascii="Arial" w:hAnsi="Arial" w:cs="Arial"/>
                <w:b/>
                <w:sz w:val="22"/>
                <w:szCs w:val="22"/>
              </w:rPr>
            </w:pPr>
            <w:r>
              <w:rPr>
                <w:rFonts w:ascii="Arial" w:hAnsi="Arial"/>
                <w:b/>
                <w:sz w:val="22"/>
              </w:rPr>
              <w:t xml:space="preserve">Artículo </w:t>
            </w:r>
            <w:r w:rsidRPr="009C211A">
              <w:rPr>
                <w:rFonts w:ascii="Arial" w:hAnsi="Arial"/>
                <w:b/>
                <w:sz w:val="22"/>
              </w:rPr>
              <w:t>6</w:t>
            </w:r>
          </w:p>
        </w:tc>
        <w:tc>
          <w:tcPr>
            <w:tcW w:w="8505" w:type="dxa"/>
          </w:tcPr>
          <w:p w14:paraId="428681FB" w14:textId="4B962CB5" w:rsidR="00AA5439" w:rsidRPr="009C211A" w:rsidRDefault="00B22768" w:rsidP="009C211A">
            <w:pPr>
              <w:suppressAutoHyphens/>
              <w:spacing w:before="240" w:after="120"/>
              <w:rPr>
                <w:rFonts w:ascii="Arial" w:hAnsi="Arial" w:cs="Arial"/>
                <w:b/>
                <w:bCs/>
                <w:sz w:val="22"/>
                <w:szCs w:val="22"/>
              </w:rPr>
            </w:pPr>
            <w:r w:rsidRPr="009C211A">
              <w:rPr>
                <w:rFonts w:ascii="Arial" w:hAnsi="Arial"/>
                <w:b/>
                <w:bCs/>
                <w:sz w:val="22"/>
              </w:rPr>
              <w:t>Gastos</w:t>
            </w:r>
          </w:p>
        </w:tc>
      </w:tr>
      <w:tr w:rsidR="0097232E" w:rsidRPr="00323856" w14:paraId="071D9306" w14:textId="77777777" w:rsidTr="009C211A">
        <w:trPr>
          <w:cantSplit/>
        </w:trPr>
        <w:tc>
          <w:tcPr>
            <w:tcW w:w="1418" w:type="dxa"/>
          </w:tcPr>
          <w:p w14:paraId="4235B83B" w14:textId="45F127E8" w:rsidR="00AA5439" w:rsidRPr="009C211A" w:rsidRDefault="00AA5439" w:rsidP="009C211A">
            <w:pPr>
              <w:suppressAutoHyphens/>
              <w:spacing w:before="240" w:after="120"/>
              <w:jc w:val="right"/>
              <w:rPr>
                <w:rFonts w:ascii="Arial" w:hAnsi="Arial" w:cs="Arial"/>
                <w:bCs/>
                <w:sz w:val="22"/>
                <w:szCs w:val="22"/>
              </w:rPr>
            </w:pPr>
            <w:r w:rsidRPr="009C211A">
              <w:rPr>
                <w:rFonts w:ascii="Arial" w:hAnsi="Arial"/>
                <w:bCs/>
                <w:sz w:val="22"/>
              </w:rPr>
              <w:t>6.1</w:t>
            </w:r>
          </w:p>
        </w:tc>
        <w:tc>
          <w:tcPr>
            <w:tcW w:w="8505" w:type="dxa"/>
          </w:tcPr>
          <w:p w14:paraId="21E98887" w14:textId="3D6CA037" w:rsidR="00AA5439" w:rsidRPr="009C211A" w:rsidRDefault="00AA5439" w:rsidP="00B25E39">
            <w:pPr>
              <w:suppressAutoHyphens/>
              <w:spacing w:before="240" w:after="120"/>
              <w:rPr>
                <w:rFonts w:ascii="Arial" w:hAnsi="Arial" w:cs="Arial"/>
                <w:sz w:val="22"/>
                <w:szCs w:val="22"/>
              </w:rPr>
            </w:pPr>
            <w:r w:rsidRPr="009C211A">
              <w:rPr>
                <w:rFonts w:ascii="Arial" w:hAnsi="Arial"/>
                <w:iCs/>
                <w:sz w:val="22"/>
              </w:rPr>
              <w:t xml:space="preserve">La </w:t>
            </w:r>
            <w:r w:rsidR="00B25E39">
              <w:rPr>
                <w:rFonts w:ascii="Arial" w:hAnsi="Arial"/>
                <w:iCs/>
                <w:sz w:val="22"/>
              </w:rPr>
              <w:t>utilización</w:t>
            </w:r>
            <w:r w:rsidR="00B25E39" w:rsidRPr="009C211A">
              <w:rPr>
                <w:rFonts w:ascii="Arial" w:hAnsi="Arial"/>
                <w:iCs/>
                <w:sz w:val="22"/>
              </w:rPr>
              <w:t xml:space="preserve"> </w:t>
            </w:r>
            <w:r w:rsidRPr="009C211A">
              <w:rPr>
                <w:rFonts w:ascii="Arial" w:hAnsi="Arial"/>
                <w:iCs/>
                <w:sz w:val="22"/>
              </w:rPr>
              <w:t xml:space="preserve">de los recursos de la Cuenta Especial será aprobada por la Asamblea General cada dos años. </w:t>
            </w:r>
          </w:p>
        </w:tc>
      </w:tr>
      <w:tr w:rsidR="0097232E" w:rsidRPr="00323856" w14:paraId="5FB02128" w14:textId="77777777" w:rsidTr="009C211A">
        <w:trPr>
          <w:cantSplit/>
        </w:trPr>
        <w:tc>
          <w:tcPr>
            <w:tcW w:w="1418" w:type="dxa"/>
          </w:tcPr>
          <w:p w14:paraId="5B03DFED" w14:textId="315DAE2D" w:rsidR="00AA5439" w:rsidRPr="009C211A" w:rsidRDefault="00AA5439" w:rsidP="009C211A">
            <w:pPr>
              <w:suppressAutoHyphens/>
              <w:spacing w:before="240" w:after="120"/>
              <w:jc w:val="right"/>
              <w:rPr>
                <w:rFonts w:ascii="Arial" w:hAnsi="Arial" w:cs="Arial"/>
                <w:bCs/>
                <w:sz w:val="22"/>
                <w:szCs w:val="22"/>
              </w:rPr>
            </w:pPr>
            <w:r w:rsidRPr="009C211A">
              <w:rPr>
                <w:rFonts w:ascii="Arial" w:hAnsi="Arial"/>
                <w:bCs/>
                <w:sz w:val="22"/>
              </w:rPr>
              <w:t>6.2</w:t>
            </w:r>
          </w:p>
        </w:tc>
        <w:tc>
          <w:tcPr>
            <w:tcW w:w="8505" w:type="dxa"/>
          </w:tcPr>
          <w:p w14:paraId="3EB277F1" w14:textId="77777777" w:rsidR="00AA5439" w:rsidRPr="009C211A" w:rsidRDefault="00AA5439" w:rsidP="009C211A">
            <w:pPr>
              <w:suppressAutoHyphens/>
              <w:spacing w:before="240" w:after="120"/>
              <w:rPr>
                <w:rFonts w:ascii="Arial" w:hAnsi="Arial" w:cs="Arial"/>
                <w:iCs/>
                <w:sz w:val="22"/>
                <w:szCs w:val="22"/>
              </w:rPr>
            </w:pPr>
            <w:r w:rsidRPr="00B22768">
              <w:rPr>
                <w:rFonts w:ascii="Arial" w:hAnsi="Arial"/>
                <w:iCs/>
                <w:sz w:val="22"/>
              </w:rPr>
              <w:t>Se cargarán a la Cuenta Especial los gastos correspondientes a la finalidad enunciada en el artículo 3, comprendidos los gastos administrativos específicamente relacionados con ésta y</w:t>
            </w:r>
            <w:r w:rsidRPr="009C211A">
              <w:rPr>
                <w:rFonts w:ascii="Arial" w:hAnsi="Arial"/>
                <w:iCs/>
                <w:sz w:val="22"/>
              </w:rPr>
              <w:t xml:space="preserve"> los costos de gestión aplicables.</w:t>
            </w:r>
          </w:p>
        </w:tc>
      </w:tr>
      <w:tr w:rsidR="0097232E" w:rsidRPr="00234E68" w14:paraId="66C05D35" w14:textId="77777777" w:rsidTr="009C211A">
        <w:trPr>
          <w:cantSplit/>
        </w:trPr>
        <w:tc>
          <w:tcPr>
            <w:tcW w:w="1418" w:type="dxa"/>
          </w:tcPr>
          <w:p w14:paraId="02F4D5C0" w14:textId="3962F171" w:rsidR="00B22768" w:rsidRPr="009C211A" w:rsidRDefault="00B22768" w:rsidP="009C211A">
            <w:pPr>
              <w:suppressAutoHyphens/>
              <w:spacing w:before="240" w:after="120"/>
              <w:jc w:val="right"/>
              <w:rPr>
                <w:rFonts w:ascii="Arial" w:hAnsi="Arial" w:cs="Arial"/>
                <w:bCs/>
                <w:sz w:val="22"/>
                <w:szCs w:val="22"/>
              </w:rPr>
            </w:pPr>
            <w:r w:rsidRPr="009C211A">
              <w:rPr>
                <w:rFonts w:ascii="Arial" w:hAnsi="Arial"/>
                <w:bCs/>
                <w:sz w:val="22"/>
              </w:rPr>
              <w:t>6.3</w:t>
            </w:r>
          </w:p>
        </w:tc>
        <w:tc>
          <w:tcPr>
            <w:tcW w:w="8505" w:type="dxa"/>
          </w:tcPr>
          <w:p w14:paraId="05B8CE8A" w14:textId="63D9C9C5" w:rsidR="0033134A" w:rsidRPr="00B22768" w:rsidRDefault="00B22768" w:rsidP="009C211A">
            <w:pPr>
              <w:suppressAutoHyphens/>
              <w:spacing w:before="240" w:after="120"/>
              <w:rPr>
                <w:rFonts w:ascii="Arial" w:hAnsi="Arial" w:cs="Arial"/>
                <w:sz w:val="22"/>
                <w:szCs w:val="22"/>
              </w:rPr>
            </w:pPr>
            <w:r w:rsidRPr="00B22768">
              <w:rPr>
                <w:rFonts w:ascii="Arial" w:hAnsi="Arial"/>
                <w:sz w:val="22"/>
              </w:rPr>
              <w:t>Los gastos se realizarán dentro de los límites de los fondos disponibles.</w:t>
            </w:r>
          </w:p>
        </w:tc>
      </w:tr>
      <w:tr w:rsidR="00AA5439" w:rsidRPr="00234E68" w14:paraId="26F11BAB" w14:textId="77777777" w:rsidTr="009C211A">
        <w:trPr>
          <w:cantSplit/>
        </w:trPr>
        <w:tc>
          <w:tcPr>
            <w:tcW w:w="1418" w:type="dxa"/>
          </w:tcPr>
          <w:p w14:paraId="0D724677" w14:textId="07A10A6C" w:rsidR="00AA5439" w:rsidRPr="00E84EA7" w:rsidRDefault="00AA5439" w:rsidP="00CF1575">
            <w:pPr>
              <w:keepNext/>
              <w:spacing w:before="240" w:after="120"/>
              <w:jc w:val="right"/>
              <w:rPr>
                <w:rFonts w:ascii="Arial" w:hAnsi="Arial" w:cs="Arial"/>
                <w:b/>
                <w:sz w:val="22"/>
                <w:szCs w:val="22"/>
              </w:rPr>
            </w:pPr>
            <w:r w:rsidRPr="00E84EA7">
              <w:rPr>
                <w:rFonts w:ascii="Arial" w:hAnsi="Arial"/>
                <w:b/>
                <w:sz w:val="22"/>
              </w:rPr>
              <w:lastRenderedPageBreak/>
              <w:t xml:space="preserve">Artículo </w:t>
            </w:r>
            <w:r w:rsidRPr="009C211A">
              <w:rPr>
                <w:rFonts w:ascii="Arial" w:hAnsi="Arial"/>
                <w:b/>
                <w:sz w:val="22"/>
              </w:rPr>
              <w:t>7</w:t>
            </w:r>
          </w:p>
        </w:tc>
        <w:tc>
          <w:tcPr>
            <w:tcW w:w="8505" w:type="dxa"/>
          </w:tcPr>
          <w:p w14:paraId="74060B6C" w14:textId="036663D4" w:rsidR="00AA5439" w:rsidRPr="009C211A" w:rsidRDefault="004D4ACB" w:rsidP="00CF1575">
            <w:pPr>
              <w:keepNext/>
              <w:spacing w:before="240" w:after="120"/>
              <w:rPr>
                <w:rFonts w:ascii="Arial" w:hAnsi="Arial" w:cs="Arial"/>
                <w:b/>
                <w:bCs/>
                <w:sz w:val="22"/>
                <w:szCs w:val="22"/>
              </w:rPr>
            </w:pPr>
            <w:r w:rsidRPr="009C211A">
              <w:rPr>
                <w:rFonts w:ascii="Arial" w:hAnsi="Arial"/>
                <w:b/>
                <w:bCs/>
                <w:sz w:val="22"/>
              </w:rPr>
              <w:t>Fondo de reserva</w:t>
            </w:r>
          </w:p>
        </w:tc>
      </w:tr>
      <w:tr w:rsidR="0097232E" w:rsidRPr="00234E68" w14:paraId="767EAAF6" w14:textId="77777777" w:rsidTr="009C211A">
        <w:trPr>
          <w:cantSplit/>
        </w:trPr>
        <w:tc>
          <w:tcPr>
            <w:tcW w:w="1418" w:type="dxa"/>
          </w:tcPr>
          <w:p w14:paraId="0ABF40DF" w14:textId="77777777" w:rsidR="004D4ACB" w:rsidRPr="009C211A" w:rsidRDefault="004D4ACB" w:rsidP="009C211A">
            <w:pPr>
              <w:spacing w:before="240" w:after="120"/>
              <w:jc w:val="right"/>
              <w:rPr>
                <w:rFonts w:ascii="Arial" w:hAnsi="Arial" w:cs="Arial"/>
                <w:b/>
                <w:sz w:val="22"/>
                <w:szCs w:val="22"/>
                <w:lang w:val="en-GB"/>
              </w:rPr>
            </w:pPr>
          </w:p>
        </w:tc>
        <w:tc>
          <w:tcPr>
            <w:tcW w:w="8505" w:type="dxa"/>
          </w:tcPr>
          <w:p w14:paraId="1FE3800A" w14:textId="77777777" w:rsidR="004351A6" w:rsidRDefault="004D4ACB" w:rsidP="00324D28">
            <w:pPr>
              <w:spacing w:before="240" w:after="120"/>
              <w:rPr>
                <w:rFonts w:ascii="Arial" w:hAnsi="Arial"/>
                <w:sz w:val="22"/>
              </w:rPr>
            </w:pPr>
            <w:r>
              <w:rPr>
                <w:rFonts w:ascii="Arial" w:hAnsi="Arial"/>
                <w:sz w:val="22"/>
              </w:rPr>
              <w:t>Se creará un fondo de reserva dentro de la Cuenta Especial para atender las solicitudes de asistencia en casos de extrema urgencia, tal como se prevé en el párrafo 3 del artículo 17 y el párrafo 2 del artículo 22 de la Convención. El Comité determinará la cuantía de la reserva.</w:t>
            </w:r>
          </w:p>
          <w:p w14:paraId="66286501" w14:textId="3ECB7F68" w:rsidR="00482805" w:rsidRPr="00234E68" w:rsidRDefault="00482805" w:rsidP="009C211A">
            <w:pPr>
              <w:spacing w:before="240" w:after="120"/>
              <w:rPr>
                <w:rFonts w:ascii="Arial" w:hAnsi="Arial" w:cs="Arial"/>
                <w:sz w:val="22"/>
                <w:szCs w:val="22"/>
              </w:rPr>
            </w:pPr>
          </w:p>
        </w:tc>
      </w:tr>
      <w:tr w:rsidR="00AA5439" w:rsidRPr="00234E68" w14:paraId="4C16EEDA" w14:textId="77777777" w:rsidTr="009C211A">
        <w:trPr>
          <w:cantSplit/>
        </w:trPr>
        <w:tc>
          <w:tcPr>
            <w:tcW w:w="1418" w:type="dxa"/>
          </w:tcPr>
          <w:p w14:paraId="437A0282" w14:textId="35D07CF1" w:rsidR="00AA5439" w:rsidRPr="00E84EA7" w:rsidRDefault="00AA5439" w:rsidP="009C211A">
            <w:pPr>
              <w:suppressAutoHyphens/>
              <w:spacing w:before="240" w:after="120"/>
              <w:jc w:val="right"/>
              <w:rPr>
                <w:rFonts w:ascii="Arial" w:hAnsi="Arial" w:cs="Arial"/>
                <w:b/>
                <w:sz w:val="22"/>
                <w:szCs w:val="22"/>
              </w:rPr>
            </w:pPr>
            <w:r w:rsidRPr="00E84EA7">
              <w:rPr>
                <w:rFonts w:ascii="Arial" w:hAnsi="Arial"/>
                <w:b/>
                <w:sz w:val="22"/>
              </w:rPr>
              <w:t xml:space="preserve">Artículo </w:t>
            </w:r>
            <w:r w:rsidRPr="009C211A">
              <w:rPr>
                <w:rFonts w:ascii="Arial" w:hAnsi="Arial"/>
                <w:b/>
                <w:sz w:val="22"/>
              </w:rPr>
              <w:t>8</w:t>
            </w:r>
          </w:p>
        </w:tc>
        <w:tc>
          <w:tcPr>
            <w:tcW w:w="8505" w:type="dxa"/>
          </w:tcPr>
          <w:p w14:paraId="3ABEFDAF" w14:textId="5774FFF1" w:rsidR="00AA5439" w:rsidRPr="009C211A" w:rsidRDefault="004D4ACB" w:rsidP="009C211A">
            <w:pPr>
              <w:suppressAutoHyphens/>
              <w:spacing w:before="240" w:after="120"/>
              <w:rPr>
                <w:rFonts w:ascii="Arial" w:hAnsi="Arial" w:cs="Arial"/>
                <w:b/>
                <w:bCs/>
                <w:sz w:val="22"/>
                <w:szCs w:val="22"/>
              </w:rPr>
            </w:pPr>
            <w:r w:rsidRPr="009C211A">
              <w:rPr>
                <w:rFonts w:ascii="Arial" w:hAnsi="Arial"/>
                <w:b/>
                <w:bCs/>
                <w:sz w:val="22"/>
              </w:rPr>
              <w:t xml:space="preserve">Contabilidad </w:t>
            </w:r>
          </w:p>
        </w:tc>
      </w:tr>
      <w:tr w:rsidR="0097232E" w:rsidRPr="00323856" w14:paraId="763C44F7" w14:textId="77777777" w:rsidTr="009C211A">
        <w:trPr>
          <w:cantSplit/>
        </w:trPr>
        <w:tc>
          <w:tcPr>
            <w:tcW w:w="1418" w:type="dxa"/>
          </w:tcPr>
          <w:p w14:paraId="26D5F797" w14:textId="77777777" w:rsidR="00AA5439" w:rsidRPr="009C211A" w:rsidRDefault="00AA5439" w:rsidP="009C211A">
            <w:pPr>
              <w:suppressAutoHyphens/>
              <w:spacing w:before="240" w:after="120"/>
              <w:jc w:val="right"/>
              <w:rPr>
                <w:rFonts w:ascii="Arial" w:hAnsi="Arial"/>
                <w:sz w:val="22"/>
              </w:rPr>
            </w:pPr>
            <w:r w:rsidRPr="009C211A">
              <w:rPr>
                <w:rFonts w:ascii="Arial" w:hAnsi="Arial"/>
                <w:sz w:val="22"/>
              </w:rPr>
              <w:t xml:space="preserve">8.1 </w:t>
            </w:r>
          </w:p>
        </w:tc>
        <w:tc>
          <w:tcPr>
            <w:tcW w:w="8505" w:type="dxa"/>
          </w:tcPr>
          <w:p w14:paraId="79881FE3" w14:textId="77777777" w:rsidR="00AA5439" w:rsidRPr="009C211A" w:rsidRDefault="00AA5439" w:rsidP="009C211A">
            <w:pPr>
              <w:spacing w:before="240" w:after="120"/>
              <w:rPr>
                <w:rFonts w:ascii="Arial" w:hAnsi="Arial"/>
                <w:sz w:val="22"/>
              </w:rPr>
            </w:pPr>
            <w:r w:rsidRPr="009C211A">
              <w:rPr>
                <w:rFonts w:ascii="Arial" w:hAnsi="Arial"/>
                <w:sz w:val="22"/>
              </w:rPr>
              <w:t>La Asamblea General y el Comité podrán establecer cuentas subsidiarias.</w:t>
            </w:r>
          </w:p>
        </w:tc>
      </w:tr>
      <w:tr w:rsidR="00AA5439" w:rsidRPr="00234E68" w14:paraId="4AD73C67" w14:textId="77777777" w:rsidTr="009C211A">
        <w:trPr>
          <w:cantSplit/>
        </w:trPr>
        <w:tc>
          <w:tcPr>
            <w:tcW w:w="1418" w:type="dxa"/>
          </w:tcPr>
          <w:p w14:paraId="012EC187" w14:textId="2A369D51" w:rsidR="00AA5439" w:rsidRPr="009C211A" w:rsidRDefault="00AA5439" w:rsidP="009C211A">
            <w:pPr>
              <w:suppressAutoHyphens/>
              <w:spacing w:before="240" w:after="120"/>
              <w:jc w:val="right"/>
              <w:rPr>
                <w:rFonts w:ascii="Arial" w:hAnsi="Arial" w:cs="Arial"/>
                <w:bCs/>
                <w:sz w:val="22"/>
                <w:szCs w:val="22"/>
              </w:rPr>
            </w:pPr>
            <w:r w:rsidRPr="009C211A">
              <w:rPr>
                <w:rFonts w:ascii="Arial" w:hAnsi="Arial"/>
                <w:bCs/>
                <w:sz w:val="22"/>
              </w:rPr>
              <w:t>8.2</w:t>
            </w:r>
          </w:p>
        </w:tc>
        <w:tc>
          <w:tcPr>
            <w:tcW w:w="8505" w:type="dxa"/>
          </w:tcPr>
          <w:p w14:paraId="79C30D04" w14:textId="0AAA5707" w:rsidR="00AA5439" w:rsidRPr="00265A72" w:rsidRDefault="00AA5439" w:rsidP="009C211A">
            <w:pPr>
              <w:suppressAutoHyphens/>
              <w:spacing w:before="240" w:after="120"/>
              <w:rPr>
                <w:rFonts w:ascii="Arial" w:hAnsi="Arial" w:cs="Arial"/>
                <w:sz w:val="22"/>
                <w:szCs w:val="22"/>
              </w:rPr>
            </w:pPr>
            <w:r w:rsidRPr="009C211A">
              <w:rPr>
                <w:rFonts w:ascii="Arial" w:hAnsi="Arial"/>
                <w:sz w:val="22"/>
              </w:rPr>
              <w:t xml:space="preserve">El/La Directora(a) Financiero(a) de la UNESCO </w:t>
            </w:r>
            <w:r w:rsidR="00724CC0" w:rsidRPr="00265A72">
              <w:rPr>
                <w:rFonts w:ascii="Arial" w:hAnsi="Arial"/>
                <w:sz w:val="22"/>
              </w:rPr>
              <w:t>llevará</w:t>
            </w:r>
            <w:r w:rsidRPr="00265A72">
              <w:rPr>
                <w:rFonts w:ascii="Arial" w:hAnsi="Arial"/>
                <w:sz w:val="22"/>
              </w:rPr>
              <w:t xml:space="preserve"> los </w:t>
            </w:r>
            <w:r w:rsidR="00724CC0" w:rsidRPr="00265A72">
              <w:rPr>
                <w:rFonts w:ascii="Arial" w:hAnsi="Arial"/>
                <w:sz w:val="22"/>
              </w:rPr>
              <w:t>libros de contabilidad que sea</w:t>
            </w:r>
            <w:r w:rsidRPr="00265A72">
              <w:rPr>
                <w:rFonts w:ascii="Arial" w:hAnsi="Arial"/>
                <w:sz w:val="22"/>
              </w:rPr>
              <w:t>n necesarios.</w:t>
            </w:r>
          </w:p>
        </w:tc>
      </w:tr>
      <w:tr w:rsidR="0097232E" w:rsidRPr="00234E68" w14:paraId="4A7C5165" w14:textId="77777777" w:rsidTr="009C211A">
        <w:trPr>
          <w:cantSplit/>
        </w:trPr>
        <w:tc>
          <w:tcPr>
            <w:tcW w:w="1418" w:type="dxa"/>
          </w:tcPr>
          <w:p w14:paraId="3E351AA7" w14:textId="42AAD21F" w:rsidR="00724CC0" w:rsidRPr="009C211A" w:rsidRDefault="00724CC0" w:rsidP="009C211A">
            <w:pPr>
              <w:suppressAutoHyphens/>
              <w:spacing w:before="240" w:after="120"/>
              <w:jc w:val="right"/>
              <w:rPr>
                <w:rFonts w:ascii="Arial" w:hAnsi="Arial" w:cs="Arial"/>
                <w:bCs/>
                <w:sz w:val="22"/>
                <w:szCs w:val="22"/>
              </w:rPr>
            </w:pPr>
            <w:r w:rsidRPr="009C211A">
              <w:rPr>
                <w:rFonts w:ascii="Arial" w:hAnsi="Arial"/>
                <w:bCs/>
                <w:sz w:val="22"/>
              </w:rPr>
              <w:t>8.3</w:t>
            </w:r>
          </w:p>
        </w:tc>
        <w:tc>
          <w:tcPr>
            <w:tcW w:w="8505" w:type="dxa"/>
          </w:tcPr>
          <w:p w14:paraId="164C4D57" w14:textId="2C7C012B" w:rsidR="00724CC0" w:rsidRPr="00265A72" w:rsidRDefault="00724CC0" w:rsidP="009C211A">
            <w:pPr>
              <w:suppressAutoHyphens/>
              <w:spacing w:before="240" w:after="120"/>
              <w:rPr>
                <w:rFonts w:ascii="Arial" w:hAnsi="Arial" w:cs="Arial"/>
                <w:sz w:val="22"/>
                <w:szCs w:val="22"/>
              </w:rPr>
            </w:pPr>
            <w:r w:rsidRPr="00265A72">
              <w:rPr>
                <w:rFonts w:ascii="Arial" w:hAnsi="Arial"/>
                <w:sz w:val="22"/>
              </w:rPr>
              <w:t>Todo saldo no utilizado al final de un ejercicio se arrastrará al ejercicio siguiente.</w:t>
            </w:r>
          </w:p>
        </w:tc>
      </w:tr>
      <w:tr w:rsidR="00AA5439" w:rsidRPr="00234E68" w14:paraId="01BBEC60" w14:textId="77777777" w:rsidTr="009C211A">
        <w:trPr>
          <w:cantSplit/>
        </w:trPr>
        <w:tc>
          <w:tcPr>
            <w:tcW w:w="1418" w:type="dxa"/>
          </w:tcPr>
          <w:p w14:paraId="10AEC47E" w14:textId="1A2EF8E8" w:rsidR="00AA5439" w:rsidRPr="009C211A" w:rsidRDefault="00AA5439" w:rsidP="009C211A">
            <w:pPr>
              <w:suppressAutoHyphens/>
              <w:spacing w:before="240" w:after="120"/>
              <w:jc w:val="right"/>
              <w:rPr>
                <w:rFonts w:ascii="Arial" w:hAnsi="Arial" w:cs="Arial"/>
                <w:bCs/>
                <w:sz w:val="22"/>
                <w:szCs w:val="22"/>
              </w:rPr>
            </w:pPr>
            <w:r w:rsidRPr="009C211A">
              <w:rPr>
                <w:rFonts w:ascii="Arial" w:hAnsi="Arial"/>
                <w:bCs/>
                <w:sz w:val="22"/>
              </w:rPr>
              <w:t>8.4</w:t>
            </w:r>
          </w:p>
        </w:tc>
        <w:tc>
          <w:tcPr>
            <w:tcW w:w="8505" w:type="dxa"/>
          </w:tcPr>
          <w:p w14:paraId="1BB4CA27" w14:textId="2009CC27" w:rsidR="00AA5439" w:rsidRPr="00265A72" w:rsidRDefault="00AA5439" w:rsidP="009C211A">
            <w:pPr>
              <w:suppressAutoHyphens/>
              <w:spacing w:before="240" w:after="120"/>
              <w:rPr>
                <w:rFonts w:ascii="Arial" w:hAnsi="Arial" w:cs="Arial"/>
                <w:sz w:val="22"/>
                <w:szCs w:val="22"/>
              </w:rPr>
            </w:pPr>
            <w:r w:rsidRPr="00265A72">
              <w:rPr>
                <w:rFonts w:ascii="Arial" w:hAnsi="Arial"/>
                <w:sz w:val="22"/>
              </w:rPr>
              <w:t xml:space="preserve">Las cuentas de la Cuenta Especial </w:t>
            </w:r>
            <w:r w:rsidRPr="009C211A">
              <w:rPr>
                <w:rFonts w:ascii="Arial" w:hAnsi="Arial"/>
                <w:sz w:val="22"/>
              </w:rPr>
              <w:t>formarán parte de los estados financieros consolidados presentados</w:t>
            </w:r>
            <w:r w:rsidR="00265A72">
              <w:rPr>
                <w:rFonts w:ascii="Arial" w:hAnsi="Arial"/>
                <w:sz w:val="22"/>
              </w:rPr>
              <w:t>,</w:t>
            </w:r>
            <w:r w:rsidRPr="009C211A">
              <w:rPr>
                <w:rFonts w:ascii="Arial" w:hAnsi="Arial"/>
                <w:sz w:val="22"/>
              </w:rPr>
              <w:t xml:space="preserve"> para su auditoría</w:t>
            </w:r>
            <w:r w:rsidR="00265A72">
              <w:rPr>
                <w:rFonts w:ascii="Arial" w:hAnsi="Arial"/>
                <w:sz w:val="22"/>
              </w:rPr>
              <w:t>,</w:t>
            </w:r>
            <w:r w:rsidRPr="009C211A">
              <w:rPr>
                <w:rFonts w:ascii="Arial" w:hAnsi="Arial"/>
                <w:sz w:val="22"/>
              </w:rPr>
              <w:t xml:space="preserve"> al Auditor Externo de la UNESCO</w:t>
            </w:r>
            <w:r w:rsidR="00333D07" w:rsidRPr="00265A72">
              <w:rPr>
                <w:rFonts w:ascii="Arial" w:hAnsi="Arial"/>
                <w:sz w:val="22"/>
              </w:rPr>
              <w:t>.</w:t>
            </w:r>
          </w:p>
        </w:tc>
      </w:tr>
      <w:tr w:rsidR="0097232E" w:rsidRPr="00234E68" w14:paraId="26F7E41E" w14:textId="77777777" w:rsidTr="009C211A">
        <w:trPr>
          <w:cantSplit/>
        </w:trPr>
        <w:tc>
          <w:tcPr>
            <w:tcW w:w="1418" w:type="dxa"/>
          </w:tcPr>
          <w:p w14:paraId="2167C6D0" w14:textId="749FBE47" w:rsidR="00765859" w:rsidRPr="009C211A" w:rsidRDefault="00765859" w:rsidP="009C211A">
            <w:pPr>
              <w:suppressAutoHyphens/>
              <w:spacing w:before="240" w:after="120"/>
              <w:jc w:val="right"/>
              <w:rPr>
                <w:rFonts w:ascii="Arial" w:hAnsi="Arial" w:cs="Arial"/>
                <w:bCs/>
                <w:sz w:val="22"/>
                <w:szCs w:val="22"/>
              </w:rPr>
            </w:pPr>
            <w:r w:rsidRPr="009C211A">
              <w:rPr>
                <w:rFonts w:ascii="Arial" w:hAnsi="Arial"/>
                <w:bCs/>
                <w:sz w:val="22"/>
              </w:rPr>
              <w:t>8.5</w:t>
            </w:r>
          </w:p>
        </w:tc>
        <w:tc>
          <w:tcPr>
            <w:tcW w:w="8505" w:type="dxa"/>
          </w:tcPr>
          <w:p w14:paraId="2542EC4A" w14:textId="42024214" w:rsidR="00765859" w:rsidRPr="00265A72" w:rsidRDefault="00765859" w:rsidP="009C211A">
            <w:pPr>
              <w:suppressAutoHyphens/>
              <w:spacing w:before="240" w:after="120"/>
              <w:rPr>
                <w:rFonts w:ascii="Arial" w:hAnsi="Arial" w:cs="Arial"/>
                <w:sz w:val="22"/>
                <w:szCs w:val="22"/>
              </w:rPr>
            </w:pPr>
            <w:r w:rsidRPr="00265A72">
              <w:rPr>
                <w:rFonts w:ascii="Arial" w:hAnsi="Arial"/>
                <w:sz w:val="22"/>
              </w:rPr>
              <w:t>Las contribuciones en especie se registrarán aparte, y no en la Cuenta Especia</w:t>
            </w:r>
            <w:r w:rsidR="00602BA4">
              <w:rPr>
                <w:rFonts w:ascii="Arial" w:hAnsi="Arial"/>
                <w:sz w:val="22"/>
              </w:rPr>
              <w:t>l</w:t>
            </w:r>
            <w:r w:rsidRPr="00265A72">
              <w:rPr>
                <w:rFonts w:ascii="Arial" w:hAnsi="Arial"/>
                <w:sz w:val="22"/>
              </w:rPr>
              <w:t>.</w:t>
            </w:r>
          </w:p>
        </w:tc>
      </w:tr>
      <w:tr w:rsidR="00AA5439" w:rsidRPr="00234E68" w14:paraId="031C3195" w14:textId="77777777" w:rsidTr="009C211A">
        <w:trPr>
          <w:cantSplit/>
        </w:trPr>
        <w:tc>
          <w:tcPr>
            <w:tcW w:w="1418" w:type="dxa"/>
          </w:tcPr>
          <w:p w14:paraId="33086188" w14:textId="0DFAA70D" w:rsidR="00AA5439" w:rsidRPr="00234E68" w:rsidRDefault="00AA5439" w:rsidP="009C211A">
            <w:pPr>
              <w:keepNext/>
              <w:suppressAutoHyphens/>
              <w:spacing w:before="240" w:after="120"/>
              <w:jc w:val="right"/>
              <w:rPr>
                <w:rFonts w:ascii="Arial" w:hAnsi="Arial" w:cs="Arial"/>
                <w:b/>
                <w:bCs/>
                <w:sz w:val="22"/>
                <w:szCs w:val="22"/>
              </w:rPr>
            </w:pPr>
            <w:r>
              <w:rPr>
                <w:rFonts w:ascii="Arial" w:hAnsi="Arial"/>
                <w:b/>
                <w:sz w:val="22"/>
              </w:rPr>
              <w:t xml:space="preserve">Artículo </w:t>
            </w:r>
            <w:r w:rsidRPr="009C211A">
              <w:rPr>
                <w:rFonts w:ascii="Arial" w:hAnsi="Arial"/>
                <w:b/>
                <w:sz w:val="22"/>
              </w:rPr>
              <w:t>9</w:t>
            </w:r>
          </w:p>
        </w:tc>
        <w:tc>
          <w:tcPr>
            <w:tcW w:w="8505" w:type="dxa"/>
          </w:tcPr>
          <w:p w14:paraId="63926AE8" w14:textId="282379A2" w:rsidR="00AA5439" w:rsidRPr="009C211A" w:rsidRDefault="00765859" w:rsidP="009C211A">
            <w:pPr>
              <w:keepNext/>
              <w:suppressAutoHyphens/>
              <w:spacing w:before="240" w:after="120"/>
              <w:rPr>
                <w:rFonts w:ascii="Arial" w:hAnsi="Arial" w:cs="Arial"/>
                <w:b/>
                <w:bCs/>
                <w:sz w:val="22"/>
                <w:szCs w:val="22"/>
              </w:rPr>
            </w:pPr>
            <w:r w:rsidRPr="009C211A">
              <w:rPr>
                <w:rFonts w:ascii="Arial" w:hAnsi="Arial"/>
                <w:b/>
                <w:bCs/>
                <w:sz w:val="22"/>
              </w:rPr>
              <w:t>Inversiones</w:t>
            </w:r>
          </w:p>
        </w:tc>
      </w:tr>
      <w:tr w:rsidR="00AA5439" w:rsidRPr="00234E68" w14:paraId="4CD42A87" w14:textId="77777777" w:rsidTr="009C211A">
        <w:trPr>
          <w:cantSplit/>
        </w:trPr>
        <w:tc>
          <w:tcPr>
            <w:tcW w:w="1418" w:type="dxa"/>
          </w:tcPr>
          <w:p w14:paraId="6BA6D8CC" w14:textId="3EDCFDA1" w:rsidR="00AA5439" w:rsidRPr="009C211A" w:rsidRDefault="00AA5439" w:rsidP="009C211A">
            <w:pPr>
              <w:suppressAutoHyphens/>
              <w:spacing w:before="240" w:after="120"/>
              <w:jc w:val="right"/>
              <w:rPr>
                <w:rFonts w:ascii="Arial" w:hAnsi="Arial" w:cs="Arial"/>
                <w:bCs/>
                <w:sz w:val="22"/>
                <w:szCs w:val="22"/>
              </w:rPr>
            </w:pPr>
            <w:r w:rsidRPr="009C211A">
              <w:rPr>
                <w:rFonts w:ascii="Arial" w:hAnsi="Arial"/>
                <w:bCs/>
                <w:sz w:val="22"/>
              </w:rPr>
              <w:t>9.1</w:t>
            </w:r>
          </w:p>
        </w:tc>
        <w:tc>
          <w:tcPr>
            <w:tcW w:w="8505" w:type="dxa"/>
          </w:tcPr>
          <w:p w14:paraId="7AD808BD" w14:textId="3F830C56" w:rsidR="00AA5439" w:rsidRPr="00E15776" w:rsidRDefault="00AA5439" w:rsidP="009C211A">
            <w:pPr>
              <w:suppressAutoHyphens/>
              <w:spacing w:before="240" w:after="120"/>
              <w:rPr>
                <w:rFonts w:ascii="Arial" w:hAnsi="Arial" w:cs="Arial"/>
                <w:sz w:val="22"/>
                <w:szCs w:val="22"/>
              </w:rPr>
            </w:pPr>
            <w:r w:rsidRPr="00E15776">
              <w:rPr>
                <w:rFonts w:ascii="Arial" w:hAnsi="Arial"/>
                <w:sz w:val="22"/>
              </w:rPr>
              <w:t>El/La Directora(a) General estará facultad</w:t>
            </w:r>
            <w:r w:rsidR="00E15776">
              <w:rPr>
                <w:rFonts w:ascii="Arial" w:hAnsi="Arial"/>
                <w:sz w:val="22"/>
              </w:rPr>
              <w:t>o(</w:t>
            </w:r>
            <w:r w:rsidRPr="00E15776">
              <w:rPr>
                <w:rFonts w:ascii="Arial" w:hAnsi="Arial"/>
                <w:sz w:val="22"/>
              </w:rPr>
              <w:t>a</w:t>
            </w:r>
            <w:r w:rsidR="00E15776">
              <w:rPr>
                <w:rFonts w:ascii="Arial" w:hAnsi="Arial"/>
                <w:sz w:val="22"/>
              </w:rPr>
              <w:t>)</w:t>
            </w:r>
            <w:r w:rsidRPr="00E15776">
              <w:rPr>
                <w:rFonts w:ascii="Arial" w:hAnsi="Arial"/>
                <w:sz w:val="22"/>
              </w:rPr>
              <w:t xml:space="preserve"> para efectuar inversiones a corto </w:t>
            </w:r>
            <w:r w:rsidRPr="009C211A">
              <w:rPr>
                <w:rFonts w:ascii="Arial" w:hAnsi="Arial"/>
                <w:sz w:val="22"/>
              </w:rPr>
              <w:t>o a largo plazo</w:t>
            </w:r>
            <w:r w:rsidRPr="00E15776">
              <w:rPr>
                <w:rFonts w:ascii="Arial" w:hAnsi="Arial"/>
                <w:sz w:val="22"/>
              </w:rPr>
              <w:t xml:space="preserve"> con los fondos que la Cuenta Especial tenga en su haber.</w:t>
            </w:r>
          </w:p>
        </w:tc>
      </w:tr>
      <w:tr w:rsidR="00AA5439" w:rsidRPr="00234E68" w14:paraId="23C0279C" w14:textId="77777777" w:rsidTr="009C211A">
        <w:trPr>
          <w:cantSplit/>
        </w:trPr>
        <w:tc>
          <w:tcPr>
            <w:tcW w:w="1418" w:type="dxa"/>
          </w:tcPr>
          <w:p w14:paraId="02705E3B" w14:textId="5310B73F" w:rsidR="00AA5439" w:rsidRPr="009C211A" w:rsidRDefault="00AA5439" w:rsidP="009C211A">
            <w:pPr>
              <w:suppressAutoHyphens/>
              <w:spacing w:before="240" w:after="120"/>
              <w:jc w:val="right"/>
              <w:rPr>
                <w:rFonts w:ascii="Arial" w:hAnsi="Arial" w:cs="Arial"/>
                <w:bCs/>
                <w:sz w:val="22"/>
                <w:szCs w:val="22"/>
              </w:rPr>
            </w:pPr>
            <w:r w:rsidRPr="009C211A">
              <w:rPr>
                <w:rFonts w:ascii="Arial" w:hAnsi="Arial"/>
                <w:bCs/>
                <w:sz w:val="22"/>
              </w:rPr>
              <w:t>9.2</w:t>
            </w:r>
          </w:p>
        </w:tc>
        <w:tc>
          <w:tcPr>
            <w:tcW w:w="8505" w:type="dxa"/>
          </w:tcPr>
          <w:p w14:paraId="2BDBA11A" w14:textId="4F6D84B2" w:rsidR="00AA5439" w:rsidRPr="009C211A" w:rsidRDefault="00AA5439" w:rsidP="009C211A">
            <w:pPr>
              <w:suppressAutoHyphens/>
              <w:spacing w:before="240" w:after="120"/>
              <w:rPr>
                <w:rFonts w:ascii="Arial" w:hAnsi="Arial" w:cs="Arial"/>
                <w:bCs/>
                <w:sz w:val="22"/>
                <w:szCs w:val="22"/>
              </w:rPr>
            </w:pPr>
            <w:r w:rsidRPr="009C211A">
              <w:rPr>
                <w:rFonts w:ascii="Arial" w:hAnsi="Arial"/>
                <w:bCs/>
                <w:sz w:val="22"/>
              </w:rPr>
              <w:t>Los ingresos generados por estas inversiones se acreditarán en la Cuenta Especial, de conformidad con el Reglamento Financiero de la UNESCO.</w:t>
            </w:r>
          </w:p>
        </w:tc>
      </w:tr>
      <w:tr w:rsidR="00AA5439" w:rsidRPr="00234E68" w14:paraId="045CF580" w14:textId="77777777" w:rsidTr="009C211A">
        <w:trPr>
          <w:cantSplit/>
        </w:trPr>
        <w:tc>
          <w:tcPr>
            <w:tcW w:w="1418" w:type="dxa"/>
          </w:tcPr>
          <w:p w14:paraId="1DBC48E4" w14:textId="77777777" w:rsidR="00AA5439" w:rsidRPr="009C211A" w:rsidRDefault="00AA5439" w:rsidP="009C211A">
            <w:pPr>
              <w:suppressAutoHyphens/>
              <w:spacing w:before="240" w:after="120"/>
              <w:jc w:val="right"/>
              <w:rPr>
                <w:rFonts w:ascii="Arial" w:hAnsi="Arial" w:cs="Arial"/>
                <w:b/>
                <w:sz w:val="22"/>
                <w:szCs w:val="22"/>
              </w:rPr>
            </w:pPr>
            <w:r w:rsidRPr="009C211A">
              <w:rPr>
                <w:rFonts w:ascii="Arial" w:hAnsi="Arial"/>
                <w:b/>
                <w:sz w:val="22"/>
              </w:rPr>
              <w:t>Artículo 10</w:t>
            </w:r>
          </w:p>
        </w:tc>
        <w:tc>
          <w:tcPr>
            <w:tcW w:w="8505" w:type="dxa"/>
          </w:tcPr>
          <w:p w14:paraId="5B4515AA" w14:textId="77777777" w:rsidR="00AA5439" w:rsidRPr="009C211A" w:rsidRDefault="00AA5439" w:rsidP="009C211A">
            <w:pPr>
              <w:suppressAutoHyphens/>
              <w:spacing w:before="240" w:after="120"/>
              <w:rPr>
                <w:rFonts w:ascii="Arial" w:hAnsi="Arial" w:cs="Arial"/>
                <w:b/>
                <w:sz w:val="22"/>
                <w:szCs w:val="22"/>
              </w:rPr>
            </w:pPr>
            <w:r w:rsidRPr="009C211A">
              <w:rPr>
                <w:rFonts w:ascii="Arial" w:hAnsi="Arial"/>
                <w:b/>
                <w:sz w:val="22"/>
              </w:rPr>
              <w:t>Presentación de informes</w:t>
            </w:r>
          </w:p>
        </w:tc>
      </w:tr>
      <w:tr w:rsidR="00AA5439" w:rsidRPr="00234E68" w14:paraId="78C44D18" w14:textId="77777777" w:rsidTr="009C211A">
        <w:trPr>
          <w:cantSplit/>
        </w:trPr>
        <w:tc>
          <w:tcPr>
            <w:tcW w:w="1418" w:type="dxa"/>
          </w:tcPr>
          <w:p w14:paraId="7D42E1B3" w14:textId="77777777" w:rsidR="00AA5439" w:rsidRPr="009C211A" w:rsidRDefault="00AA5439" w:rsidP="009C211A">
            <w:pPr>
              <w:suppressAutoHyphens/>
              <w:spacing w:before="240" w:after="120"/>
              <w:jc w:val="right"/>
              <w:rPr>
                <w:rFonts w:ascii="Arial" w:hAnsi="Arial" w:cs="Arial"/>
                <w:sz w:val="22"/>
                <w:szCs w:val="22"/>
              </w:rPr>
            </w:pPr>
            <w:r w:rsidRPr="009C211A">
              <w:rPr>
                <w:rFonts w:ascii="Arial" w:hAnsi="Arial"/>
                <w:sz w:val="22"/>
              </w:rPr>
              <w:t xml:space="preserve">10.1 </w:t>
            </w:r>
          </w:p>
        </w:tc>
        <w:tc>
          <w:tcPr>
            <w:tcW w:w="8505" w:type="dxa"/>
          </w:tcPr>
          <w:p w14:paraId="09D984B2" w14:textId="0C7CF36E" w:rsidR="00AA5439" w:rsidRPr="009C211A" w:rsidRDefault="00AA5439" w:rsidP="001F707C">
            <w:pPr>
              <w:suppressAutoHyphens/>
              <w:spacing w:before="240" w:after="120"/>
              <w:rPr>
                <w:rFonts w:ascii="Arial" w:hAnsi="Arial" w:cs="Arial"/>
                <w:bCs/>
                <w:sz w:val="22"/>
                <w:szCs w:val="22"/>
              </w:rPr>
            </w:pPr>
            <w:r w:rsidRPr="009C211A">
              <w:rPr>
                <w:rFonts w:ascii="Arial" w:hAnsi="Arial"/>
                <w:bCs/>
                <w:sz w:val="22"/>
              </w:rPr>
              <w:t>Se preparará y presentará al Comité y a la Asamblea General un informe financiero bienal que muestre los ingresos y gastos de la Cuenta Especial.</w:t>
            </w:r>
          </w:p>
        </w:tc>
      </w:tr>
      <w:tr w:rsidR="00AA5439" w:rsidRPr="00234E68" w14:paraId="67658D3E" w14:textId="77777777" w:rsidTr="009C211A">
        <w:trPr>
          <w:cantSplit/>
        </w:trPr>
        <w:tc>
          <w:tcPr>
            <w:tcW w:w="1418" w:type="dxa"/>
          </w:tcPr>
          <w:p w14:paraId="1DCE86E9" w14:textId="77777777" w:rsidR="00AA5439" w:rsidRPr="009C211A" w:rsidRDefault="00AA5439" w:rsidP="009C211A">
            <w:pPr>
              <w:spacing w:before="240" w:after="120"/>
              <w:jc w:val="right"/>
              <w:rPr>
                <w:rFonts w:ascii="Arial" w:hAnsi="Arial" w:cs="Arial"/>
                <w:sz w:val="22"/>
                <w:szCs w:val="22"/>
              </w:rPr>
            </w:pPr>
            <w:r w:rsidRPr="009C211A">
              <w:rPr>
                <w:rFonts w:ascii="Arial" w:hAnsi="Arial"/>
                <w:sz w:val="22"/>
              </w:rPr>
              <w:t>10.2</w:t>
            </w:r>
          </w:p>
        </w:tc>
        <w:tc>
          <w:tcPr>
            <w:tcW w:w="8505" w:type="dxa"/>
          </w:tcPr>
          <w:p w14:paraId="171A4F6C" w14:textId="77777777" w:rsidR="00AA5439" w:rsidRPr="009C211A" w:rsidRDefault="00AA5439" w:rsidP="009C211A">
            <w:pPr>
              <w:suppressAutoHyphens/>
              <w:spacing w:before="240" w:after="120"/>
              <w:rPr>
                <w:rFonts w:ascii="Arial" w:hAnsi="Arial" w:cs="Arial"/>
                <w:bCs/>
                <w:sz w:val="22"/>
                <w:szCs w:val="22"/>
              </w:rPr>
            </w:pPr>
            <w:r w:rsidRPr="009C211A">
              <w:rPr>
                <w:rFonts w:ascii="Arial" w:hAnsi="Arial"/>
                <w:bCs/>
                <w:sz w:val="22"/>
              </w:rPr>
              <w:t>Se presentará un informe descriptivo bienal al Comité y a la Asamblea General.</w:t>
            </w:r>
          </w:p>
        </w:tc>
      </w:tr>
      <w:tr w:rsidR="00AA5439" w:rsidRPr="00234E68" w14:paraId="3071F13E" w14:textId="77777777" w:rsidTr="009C211A">
        <w:trPr>
          <w:cantSplit/>
        </w:trPr>
        <w:tc>
          <w:tcPr>
            <w:tcW w:w="1418" w:type="dxa"/>
          </w:tcPr>
          <w:p w14:paraId="3DE86767" w14:textId="77777777" w:rsidR="00AA5439" w:rsidRPr="009C211A" w:rsidRDefault="00AA5439" w:rsidP="009C211A">
            <w:pPr>
              <w:keepNext/>
              <w:suppressAutoHyphens/>
              <w:spacing w:before="240" w:after="120"/>
              <w:jc w:val="right"/>
              <w:rPr>
                <w:rFonts w:ascii="Arial" w:hAnsi="Arial" w:cs="Arial"/>
                <w:sz w:val="22"/>
                <w:szCs w:val="22"/>
              </w:rPr>
            </w:pPr>
            <w:r w:rsidRPr="009C211A">
              <w:rPr>
                <w:rFonts w:ascii="Arial" w:hAnsi="Arial"/>
                <w:b/>
                <w:sz w:val="22"/>
              </w:rPr>
              <w:t>Artículo 11</w:t>
            </w:r>
          </w:p>
        </w:tc>
        <w:tc>
          <w:tcPr>
            <w:tcW w:w="8505" w:type="dxa"/>
          </w:tcPr>
          <w:p w14:paraId="17D3B921" w14:textId="77777777" w:rsidR="00AA5439" w:rsidRPr="009C211A" w:rsidRDefault="00AA5439" w:rsidP="009C211A">
            <w:pPr>
              <w:keepNext/>
              <w:suppressAutoHyphens/>
              <w:spacing w:before="240" w:after="120"/>
              <w:rPr>
                <w:rFonts w:ascii="Arial" w:hAnsi="Arial" w:cs="Arial"/>
                <w:b/>
                <w:sz w:val="22"/>
                <w:szCs w:val="22"/>
              </w:rPr>
            </w:pPr>
            <w:r w:rsidRPr="009C211A">
              <w:rPr>
                <w:rFonts w:ascii="Arial" w:hAnsi="Arial"/>
                <w:b/>
                <w:sz w:val="22"/>
              </w:rPr>
              <w:t>Cierre de la Cuenta Especial</w:t>
            </w:r>
          </w:p>
        </w:tc>
      </w:tr>
      <w:tr w:rsidR="00AA5439" w:rsidRPr="00234E68" w14:paraId="49C7B591" w14:textId="77777777" w:rsidTr="009C211A">
        <w:trPr>
          <w:cantSplit/>
        </w:trPr>
        <w:tc>
          <w:tcPr>
            <w:tcW w:w="1418" w:type="dxa"/>
          </w:tcPr>
          <w:p w14:paraId="1E40B197" w14:textId="77777777" w:rsidR="00AA5439" w:rsidRPr="009C211A" w:rsidRDefault="00AA5439" w:rsidP="009C211A">
            <w:pPr>
              <w:suppressAutoHyphens/>
              <w:spacing w:before="240" w:after="120"/>
              <w:jc w:val="right"/>
              <w:rPr>
                <w:rFonts w:ascii="Arial" w:hAnsi="Arial" w:cs="Arial"/>
                <w:sz w:val="22"/>
                <w:szCs w:val="22"/>
              </w:rPr>
            </w:pPr>
            <w:r w:rsidRPr="009C211A">
              <w:rPr>
                <w:rFonts w:ascii="Arial" w:hAnsi="Arial"/>
                <w:sz w:val="22"/>
              </w:rPr>
              <w:t xml:space="preserve">11.1 </w:t>
            </w:r>
          </w:p>
        </w:tc>
        <w:tc>
          <w:tcPr>
            <w:tcW w:w="8505" w:type="dxa"/>
          </w:tcPr>
          <w:p w14:paraId="32E9AE12" w14:textId="77777777" w:rsidR="00AA5439" w:rsidRPr="009C211A" w:rsidRDefault="00AA5439" w:rsidP="009C211A">
            <w:pPr>
              <w:suppressAutoHyphens/>
              <w:spacing w:before="240" w:after="120"/>
              <w:rPr>
                <w:rFonts w:ascii="Arial" w:hAnsi="Arial" w:cs="Arial"/>
                <w:bCs/>
                <w:sz w:val="22"/>
                <w:szCs w:val="22"/>
              </w:rPr>
            </w:pPr>
            <w:r w:rsidRPr="009C211A">
              <w:rPr>
                <w:rFonts w:ascii="Arial" w:hAnsi="Arial"/>
                <w:bCs/>
                <w:sz w:val="22"/>
              </w:rPr>
              <w:t>El/La Directora(a) General consultará a la Asamblea General en el momento en que considere que el funcionamiento de la Cuenta Especial ya no es necesario. Dicha consulta deberá estipular una decisión sobre el uso de cualquier saldo no utilizado.</w:t>
            </w:r>
          </w:p>
        </w:tc>
      </w:tr>
      <w:tr w:rsidR="00AA5439" w:rsidRPr="00234E68" w14:paraId="64E93CD2" w14:textId="77777777" w:rsidTr="009C211A">
        <w:trPr>
          <w:cantSplit/>
        </w:trPr>
        <w:tc>
          <w:tcPr>
            <w:tcW w:w="1418" w:type="dxa"/>
          </w:tcPr>
          <w:p w14:paraId="0D8D4B07" w14:textId="77777777" w:rsidR="00AA5439" w:rsidRPr="009C211A" w:rsidRDefault="00AA5439" w:rsidP="009C211A">
            <w:pPr>
              <w:suppressAutoHyphens/>
              <w:spacing w:before="240" w:after="120"/>
              <w:jc w:val="right"/>
              <w:rPr>
                <w:rFonts w:ascii="Arial" w:hAnsi="Arial" w:cs="Arial"/>
                <w:sz w:val="22"/>
                <w:szCs w:val="22"/>
              </w:rPr>
            </w:pPr>
            <w:r w:rsidRPr="009C211A">
              <w:rPr>
                <w:rFonts w:ascii="Arial" w:hAnsi="Arial"/>
                <w:sz w:val="22"/>
              </w:rPr>
              <w:t xml:space="preserve">11.2 </w:t>
            </w:r>
          </w:p>
        </w:tc>
        <w:tc>
          <w:tcPr>
            <w:tcW w:w="8505" w:type="dxa"/>
          </w:tcPr>
          <w:p w14:paraId="00840CBC" w14:textId="77777777" w:rsidR="00AA5439" w:rsidRPr="009C211A" w:rsidRDefault="00AA5439" w:rsidP="009C211A">
            <w:pPr>
              <w:suppressAutoHyphens/>
              <w:spacing w:before="240" w:after="120"/>
              <w:rPr>
                <w:rFonts w:ascii="Arial" w:hAnsi="Arial" w:cs="Arial"/>
                <w:bCs/>
                <w:sz w:val="22"/>
                <w:szCs w:val="22"/>
              </w:rPr>
            </w:pPr>
            <w:r w:rsidRPr="009C211A">
              <w:rPr>
                <w:rFonts w:ascii="Arial" w:hAnsi="Arial"/>
                <w:bCs/>
                <w:sz w:val="22"/>
              </w:rPr>
              <w:t>La decisión de la Asamblea General se transmitirá al Consejo Ejecutivo antes del cierre efectivo de la Cuenta Especial.</w:t>
            </w:r>
          </w:p>
        </w:tc>
      </w:tr>
      <w:tr w:rsidR="00AA5439" w:rsidRPr="00234E68" w14:paraId="41844585" w14:textId="77777777" w:rsidTr="009C211A">
        <w:trPr>
          <w:cantSplit/>
        </w:trPr>
        <w:tc>
          <w:tcPr>
            <w:tcW w:w="1418" w:type="dxa"/>
          </w:tcPr>
          <w:p w14:paraId="62CF2ACA" w14:textId="1C20019A" w:rsidR="00AA5439" w:rsidRPr="00234E68" w:rsidRDefault="00AA5439" w:rsidP="009C211A">
            <w:pPr>
              <w:keepNext/>
              <w:suppressAutoHyphens/>
              <w:spacing w:before="240" w:after="120"/>
              <w:jc w:val="right"/>
              <w:rPr>
                <w:rFonts w:ascii="Arial" w:hAnsi="Arial" w:cs="Arial"/>
                <w:sz w:val="22"/>
                <w:szCs w:val="22"/>
              </w:rPr>
            </w:pPr>
            <w:r>
              <w:rPr>
                <w:rFonts w:ascii="Arial" w:hAnsi="Arial"/>
                <w:b/>
                <w:sz w:val="22"/>
              </w:rPr>
              <w:lastRenderedPageBreak/>
              <w:t>Artículo 12</w:t>
            </w:r>
          </w:p>
        </w:tc>
        <w:tc>
          <w:tcPr>
            <w:tcW w:w="8505" w:type="dxa"/>
          </w:tcPr>
          <w:p w14:paraId="40A97F45" w14:textId="3E973F74" w:rsidR="00AA5439" w:rsidRPr="009C211A" w:rsidRDefault="003675A7" w:rsidP="009C211A">
            <w:pPr>
              <w:keepNext/>
              <w:suppressAutoHyphens/>
              <w:spacing w:before="240" w:after="120"/>
              <w:rPr>
                <w:rFonts w:ascii="Arial" w:hAnsi="Arial" w:cs="Arial"/>
                <w:b/>
                <w:bCs/>
                <w:sz w:val="22"/>
                <w:szCs w:val="22"/>
              </w:rPr>
            </w:pPr>
            <w:r w:rsidRPr="009C211A">
              <w:rPr>
                <w:rFonts w:ascii="Arial" w:hAnsi="Arial"/>
                <w:b/>
                <w:bCs/>
                <w:sz w:val="22"/>
              </w:rPr>
              <w:t>Disposición general</w:t>
            </w:r>
          </w:p>
        </w:tc>
      </w:tr>
      <w:tr w:rsidR="00AA5439" w:rsidRPr="00234E68" w14:paraId="0E4BF834" w14:textId="77777777" w:rsidTr="009C211A">
        <w:trPr>
          <w:cantSplit/>
        </w:trPr>
        <w:tc>
          <w:tcPr>
            <w:tcW w:w="1418" w:type="dxa"/>
          </w:tcPr>
          <w:p w14:paraId="0A6BD5CA" w14:textId="77777777" w:rsidR="00AA5439" w:rsidRPr="009C211A" w:rsidRDefault="00AA5439" w:rsidP="009C211A">
            <w:pPr>
              <w:keepNext/>
              <w:suppressAutoHyphens/>
              <w:spacing w:before="240" w:after="120"/>
              <w:jc w:val="right"/>
              <w:rPr>
                <w:rFonts w:ascii="Arial" w:hAnsi="Arial" w:cs="Arial"/>
                <w:spacing w:val="-3"/>
                <w:sz w:val="22"/>
                <w:szCs w:val="22"/>
              </w:rPr>
            </w:pPr>
            <w:r w:rsidRPr="009C211A">
              <w:rPr>
                <w:rFonts w:ascii="Arial" w:hAnsi="Arial"/>
                <w:sz w:val="22"/>
              </w:rPr>
              <w:t xml:space="preserve">12.1 </w:t>
            </w:r>
          </w:p>
        </w:tc>
        <w:tc>
          <w:tcPr>
            <w:tcW w:w="8505" w:type="dxa"/>
          </w:tcPr>
          <w:p w14:paraId="65F54B05" w14:textId="77777777" w:rsidR="00AA5439" w:rsidRPr="009C211A" w:rsidRDefault="00AA5439" w:rsidP="009C211A">
            <w:pPr>
              <w:keepNext/>
              <w:suppressAutoHyphens/>
              <w:spacing w:before="240" w:after="120"/>
              <w:rPr>
                <w:rFonts w:ascii="Arial" w:hAnsi="Arial" w:cs="Arial"/>
                <w:bCs/>
                <w:spacing w:val="-3"/>
                <w:sz w:val="22"/>
                <w:szCs w:val="22"/>
              </w:rPr>
            </w:pPr>
            <w:r w:rsidRPr="009C211A">
              <w:rPr>
                <w:rFonts w:ascii="Arial" w:hAnsi="Arial"/>
                <w:bCs/>
                <w:sz w:val="22"/>
              </w:rPr>
              <w:t>Cualquier enmienda a este Reglamento Financiero deberá ser aprobada por la Asamblea General. El Consejo Ejecutivo deberá ser informado de tales enmiendas.</w:t>
            </w:r>
          </w:p>
        </w:tc>
      </w:tr>
      <w:tr w:rsidR="0097232E" w:rsidRPr="00234E68" w14:paraId="0E1EFFA7" w14:textId="77777777" w:rsidTr="009C211A">
        <w:trPr>
          <w:cantSplit/>
        </w:trPr>
        <w:tc>
          <w:tcPr>
            <w:tcW w:w="1418" w:type="dxa"/>
          </w:tcPr>
          <w:p w14:paraId="137DA043" w14:textId="77777777" w:rsidR="000B5945" w:rsidRPr="009C211A" w:rsidRDefault="000B5945" w:rsidP="009C211A">
            <w:pPr>
              <w:keepNext/>
              <w:suppressAutoHyphens/>
              <w:spacing w:before="240" w:after="120"/>
              <w:jc w:val="right"/>
              <w:rPr>
                <w:rFonts w:ascii="Arial" w:hAnsi="Arial" w:cs="Arial"/>
                <w:sz w:val="22"/>
                <w:szCs w:val="22"/>
              </w:rPr>
            </w:pPr>
            <w:r w:rsidRPr="009C211A">
              <w:rPr>
                <w:rFonts w:ascii="Arial" w:hAnsi="Arial"/>
                <w:sz w:val="22"/>
              </w:rPr>
              <w:t>12.2</w:t>
            </w:r>
          </w:p>
        </w:tc>
        <w:tc>
          <w:tcPr>
            <w:tcW w:w="8505" w:type="dxa"/>
          </w:tcPr>
          <w:p w14:paraId="5579D4C0" w14:textId="0B82D0AB" w:rsidR="000B5945" w:rsidRPr="00234E68" w:rsidRDefault="000B5945" w:rsidP="009C211A">
            <w:pPr>
              <w:keepNext/>
              <w:suppressAutoHyphens/>
              <w:spacing w:before="240" w:after="120"/>
              <w:rPr>
                <w:rFonts w:ascii="Arial" w:hAnsi="Arial" w:cs="Arial"/>
                <w:sz w:val="22"/>
                <w:szCs w:val="22"/>
              </w:rPr>
            </w:pPr>
            <w:r>
              <w:rPr>
                <w:rFonts w:ascii="Arial" w:hAnsi="Arial"/>
                <w:sz w:val="22"/>
              </w:rPr>
              <w:t>Salvo disposición en contrario del presente Reglamento, la Cuenta Especial se administrará con arreglo al Reglamento Financiero de la UNESCO.</w:t>
            </w:r>
          </w:p>
        </w:tc>
      </w:tr>
    </w:tbl>
    <w:p w14:paraId="3B22BC66" w14:textId="4AA3BAF3" w:rsidR="00296A67" w:rsidRDefault="00296A67">
      <w:pPr>
        <w:rPr>
          <w:u w:val="single"/>
        </w:rPr>
      </w:pPr>
      <w:r>
        <w:br w:type="page"/>
      </w:r>
    </w:p>
    <w:p w14:paraId="6A0EF174" w14:textId="453C02CC" w:rsidR="00A432F7" w:rsidRDefault="00A432F7" w:rsidP="00296A67">
      <w:pPr>
        <w:jc w:val="center"/>
        <w:rPr>
          <w:u w:val="single"/>
        </w:rPr>
        <w:sectPr w:rsidR="00A432F7" w:rsidSect="00176720">
          <w:headerReference w:type="even" r:id="rId53"/>
          <w:headerReference w:type="default" r:id="rId54"/>
          <w:footerReference w:type="even" r:id="rId55"/>
          <w:footerReference w:type="default" r:id="rId56"/>
          <w:headerReference w:type="first" r:id="rId57"/>
          <w:footerReference w:type="first" r:id="rId58"/>
          <w:pgSz w:w="11906" w:h="16838" w:code="9"/>
          <w:pgMar w:top="1418" w:right="1134" w:bottom="1134" w:left="1134" w:header="397" w:footer="284" w:gutter="0"/>
          <w:cols w:space="708"/>
          <w:titlePg/>
          <w:docGrid w:linePitch="360"/>
        </w:sectPr>
      </w:pPr>
    </w:p>
    <w:p w14:paraId="76AE55E5" w14:textId="3DA4D292" w:rsidR="00A432F7" w:rsidRPr="00B34348" w:rsidRDefault="004351A6" w:rsidP="00A432F7">
      <w:pPr>
        <w:pStyle w:val="Sansinterligne"/>
        <w:jc w:val="center"/>
        <w:rPr>
          <w:rFonts w:ascii="Arial" w:hAnsi="Arial" w:cs="Arial"/>
          <w:b/>
        </w:rPr>
      </w:pPr>
      <w:r w:rsidRPr="009C211A">
        <w:rPr>
          <w:rFonts w:ascii="Arial" w:hAnsi="Arial"/>
          <w:b/>
        </w:rPr>
        <w:lastRenderedPageBreak/>
        <w:t>A</w:t>
      </w:r>
      <w:r w:rsidR="003F24A9">
        <w:rPr>
          <w:rFonts w:ascii="Arial" w:hAnsi="Arial"/>
          <w:b/>
        </w:rPr>
        <w:t>nexo</w:t>
      </w:r>
      <w:r w:rsidRPr="009C211A">
        <w:rPr>
          <w:rFonts w:ascii="Arial" w:hAnsi="Arial"/>
          <w:b/>
        </w:rPr>
        <w:t xml:space="preserve"> III</w:t>
      </w:r>
    </w:p>
    <w:p w14:paraId="192237A4" w14:textId="77777777" w:rsidR="00A432F7" w:rsidRPr="00034B17" w:rsidRDefault="00A432F7" w:rsidP="00A432F7">
      <w:pPr>
        <w:pStyle w:val="Sansinterligne"/>
        <w:jc w:val="center"/>
        <w:rPr>
          <w:rFonts w:ascii="Arial" w:hAnsi="Arial" w:cs="Arial"/>
          <w:b/>
        </w:rPr>
      </w:pPr>
    </w:p>
    <w:p w14:paraId="0A818365" w14:textId="29BFEB7F" w:rsidR="00A432F7" w:rsidRPr="00A432F7" w:rsidRDefault="00A432F7" w:rsidP="00DC2577">
      <w:pPr>
        <w:pStyle w:val="Sansinterligne"/>
        <w:spacing w:after="240"/>
        <w:jc w:val="center"/>
        <w:rPr>
          <w:rFonts w:ascii="Arial" w:hAnsi="Arial" w:cs="Arial"/>
          <w:b/>
        </w:rPr>
      </w:pPr>
      <w:r>
        <w:rPr>
          <w:rFonts w:ascii="Arial" w:hAnsi="Arial"/>
          <w:b/>
        </w:rPr>
        <w:t xml:space="preserve">Revisiones propuestas al Reglamento Financiero de la Cuenta Especial </w:t>
      </w:r>
      <w:r w:rsidR="009D59ED">
        <w:rPr>
          <w:rFonts w:ascii="Arial" w:hAnsi="Arial"/>
          <w:b/>
        </w:rPr>
        <w:t>de</w:t>
      </w:r>
      <w:r>
        <w:rPr>
          <w:rFonts w:ascii="Arial" w:hAnsi="Arial"/>
          <w:b/>
        </w:rPr>
        <w:t>l Fondo para la Salvaguardia del Patrimonio Cultural Inmaterial de conformidad con las Decisiones 200 EX/19</w:t>
      </w:r>
    </w:p>
    <w:tbl>
      <w:tblPr>
        <w:tblStyle w:val="Grilledutableau"/>
        <w:tblW w:w="14312" w:type="dxa"/>
        <w:tblLayout w:type="fixed"/>
        <w:tblLook w:val="04A0" w:firstRow="1" w:lastRow="0" w:firstColumn="1" w:lastColumn="0" w:noHBand="0" w:noVBand="1"/>
      </w:tblPr>
      <w:tblGrid>
        <w:gridCol w:w="1271"/>
        <w:gridCol w:w="4258"/>
        <w:gridCol w:w="1417"/>
        <w:gridCol w:w="7366"/>
      </w:tblGrid>
      <w:tr w:rsidR="004C0C92" w:rsidRPr="00E869B7" w14:paraId="58298376" w14:textId="77777777" w:rsidTr="00CB3E86">
        <w:trPr>
          <w:cantSplit/>
        </w:trPr>
        <w:tc>
          <w:tcPr>
            <w:tcW w:w="5529" w:type="dxa"/>
            <w:gridSpan w:val="2"/>
            <w:shd w:val="clear" w:color="auto" w:fill="E7E6E6" w:themeFill="background2"/>
          </w:tcPr>
          <w:p w14:paraId="259A77A9" w14:textId="42BA35E3" w:rsidR="004C0C92" w:rsidRPr="00A432F7" w:rsidRDefault="004C0C92" w:rsidP="008B3BEC">
            <w:pPr>
              <w:pStyle w:val="Sansinterligne"/>
              <w:jc w:val="center"/>
              <w:rPr>
                <w:rFonts w:ascii="Arial" w:hAnsi="Arial" w:cs="Arial"/>
              </w:rPr>
            </w:pPr>
            <w:r>
              <w:rPr>
                <w:rFonts w:ascii="Arial" w:hAnsi="Arial"/>
              </w:rPr>
              <w:t>Reglamento Financiero de la Cuenta Especial</w:t>
            </w:r>
          </w:p>
          <w:p w14:paraId="31ED4A30" w14:textId="7DB44742" w:rsidR="004C0C92" w:rsidRPr="00A432F7" w:rsidRDefault="004C0C92" w:rsidP="0063003B">
            <w:pPr>
              <w:pStyle w:val="Sansinterligne"/>
              <w:jc w:val="center"/>
              <w:rPr>
                <w:rFonts w:ascii="Arial" w:hAnsi="Arial" w:cs="Arial"/>
              </w:rPr>
            </w:pPr>
            <w:r>
              <w:rPr>
                <w:rFonts w:ascii="Arial" w:hAnsi="Arial"/>
              </w:rPr>
              <w:t xml:space="preserve"> del Fondo para la Salvaguardia del Patrimonio Cultural Inmaterial</w:t>
            </w:r>
          </w:p>
        </w:tc>
        <w:tc>
          <w:tcPr>
            <w:tcW w:w="8783" w:type="dxa"/>
            <w:gridSpan w:val="2"/>
            <w:shd w:val="clear" w:color="auto" w:fill="E7E6E6" w:themeFill="background2"/>
          </w:tcPr>
          <w:p w14:paraId="78C957E0" w14:textId="1309116C" w:rsidR="004C0C92" w:rsidRDefault="004C0C92" w:rsidP="009C211A">
            <w:pPr>
              <w:spacing w:after="120"/>
              <w:jc w:val="center"/>
              <w:rPr>
                <w:rFonts w:ascii="Arial" w:hAnsi="Arial"/>
                <w:sz w:val="22"/>
              </w:rPr>
            </w:pPr>
            <w:r>
              <w:rPr>
                <w:rFonts w:ascii="Arial" w:hAnsi="Arial"/>
                <w:sz w:val="22"/>
              </w:rPr>
              <w:t>Revisiones propuestas</w:t>
            </w:r>
          </w:p>
          <w:p w14:paraId="7743EB53" w14:textId="250F1AB4" w:rsidR="004C0C92" w:rsidRPr="00A432F7" w:rsidRDefault="004C0C92" w:rsidP="009D59ED">
            <w:pPr>
              <w:spacing w:after="120"/>
              <w:jc w:val="center"/>
              <w:rPr>
                <w:rFonts w:ascii="Arial" w:hAnsi="Arial" w:cs="Arial"/>
                <w:sz w:val="22"/>
                <w:szCs w:val="22"/>
              </w:rPr>
            </w:pPr>
            <w:r w:rsidRPr="009D59ED">
              <w:rPr>
                <w:rFonts w:ascii="Arial" w:hAnsi="Arial"/>
                <w:sz w:val="22"/>
              </w:rPr>
              <w:t>en consonancia con el Reglamento Financiero Modelo para Cuenta</w:t>
            </w:r>
            <w:r>
              <w:rPr>
                <w:rFonts w:ascii="Arial" w:hAnsi="Arial"/>
                <w:sz w:val="22"/>
              </w:rPr>
              <w:t>s</w:t>
            </w:r>
            <w:r w:rsidRPr="009D59ED">
              <w:rPr>
                <w:rFonts w:ascii="Arial" w:hAnsi="Arial"/>
                <w:sz w:val="22"/>
              </w:rPr>
              <w:t xml:space="preserve"> Especial</w:t>
            </w:r>
            <w:r>
              <w:rPr>
                <w:rFonts w:ascii="Arial" w:hAnsi="Arial"/>
                <w:sz w:val="22"/>
              </w:rPr>
              <w:t>es</w:t>
            </w:r>
            <w:r w:rsidRPr="009D59ED">
              <w:rPr>
                <w:rFonts w:ascii="Arial" w:hAnsi="Arial"/>
                <w:sz w:val="22"/>
              </w:rPr>
              <w:t xml:space="preserve"> relacionada</w:t>
            </w:r>
            <w:r>
              <w:rPr>
                <w:rFonts w:ascii="Arial" w:hAnsi="Arial"/>
                <w:sz w:val="22"/>
              </w:rPr>
              <w:t>s</w:t>
            </w:r>
            <w:r w:rsidRPr="009D59ED">
              <w:rPr>
                <w:rFonts w:ascii="Arial" w:hAnsi="Arial"/>
                <w:sz w:val="22"/>
              </w:rPr>
              <w:t xml:space="preserve"> con las convenciones aprobad</w:t>
            </w:r>
            <w:r>
              <w:rPr>
                <w:rFonts w:ascii="Arial" w:hAnsi="Arial"/>
                <w:sz w:val="22"/>
              </w:rPr>
              <w:t>o</w:t>
            </w:r>
            <w:r w:rsidRPr="009D59ED">
              <w:rPr>
                <w:rFonts w:ascii="Arial" w:hAnsi="Arial"/>
                <w:sz w:val="22"/>
              </w:rPr>
              <w:t xml:space="preserve"> por el Consejo Ejecutivo de la UNESCO</w:t>
            </w:r>
          </w:p>
        </w:tc>
      </w:tr>
      <w:tr w:rsidR="004C0C92" w:rsidRPr="00E869B7" w14:paraId="5D368F55" w14:textId="77777777" w:rsidTr="00CB3E86">
        <w:trPr>
          <w:cantSplit/>
        </w:trPr>
        <w:tc>
          <w:tcPr>
            <w:tcW w:w="1271" w:type="dxa"/>
            <w:tcBorders>
              <w:right w:val="nil"/>
            </w:tcBorders>
          </w:tcPr>
          <w:p w14:paraId="4BA530B7" w14:textId="2A80B3AA" w:rsidR="004C0C92" w:rsidRPr="00A432F7" w:rsidRDefault="004C0C92" w:rsidP="008B3BEC">
            <w:pPr>
              <w:spacing w:after="120"/>
              <w:rPr>
                <w:rFonts w:ascii="Arial" w:hAnsi="Arial" w:cs="Arial"/>
                <w:b/>
                <w:sz w:val="22"/>
                <w:szCs w:val="22"/>
              </w:rPr>
            </w:pPr>
            <w:r>
              <w:rPr>
                <w:rFonts w:ascii="Arial" w:hAnsi="Arial"/>
                <w:b/>
                <w:sz w:val="22"/>
              </w:rPr>
              <w:t>Artículo 1</w:t>
            </w:r>
          </w:p>
        </w:tc>
        <w:tc>
          <w:tcPr>
            <w:tcW w:w="4258" w:type="dxa"/>
            <w:tcBorders>
              <w:left w:val="nil"/>
            </w:tcBorders>
          </w:tcPr>
          <w:p w14:paraId="1B4AB712" w14:textId="77777777" w:rsidR="004C0C92" w:rsidRPr="00A432F7" w:rsidRDefault="004C0C92" w:rsidP="008B3BEC">
            <w:pPr>
              <w:spacing w:after="120"/>
              <w:rPr>
                <w:rFonts w:ascii="Arial" w:hAnsi="Arial" w:cs="Arial"/>
                <w:b/>
                <w:sz w:val="22"/>
                <w:szCs w:val="22"/>
              </w:rPr>
            </w:pPr>
            <w:r>
              <w:rPr>
                <w:rFonts w:ascii="Arial" w:hAnsi="Arial"/>
                <w:b/>
                <w:sz w:val="22"/>
              </w:rPr>
              <w:t>Creación de la Cuenta Especial para el Patrimonio Inmaterial</w:t>
            </w:r>
          </w:p>
        </w:tc>
        <w:tc>
          <w:tcPr>
            <w:tcW w:w="1417" w:type="dxa"/>
            <w:tcBorders>
              <w:right w:val="nil"/>
            </w:tcBorders>
          </w:tcPr>
          <w:p w14:paraId="1C5DF82C" w14:textId="77777777" w:rsidR="004C0C92" w:rsidRPr="00A432F7" w:rsidRDefault="004C0C92" w:rsidP="008B3BEC">
            <w:pPr>
              <w:spacing w:after="120"/>
              <w:rPr>
                <w:rFonts w:ascii="Arial" w:hAnsi="Arial" w:cs="Arial"/>
                <w:b/>
                <w:sz w:val="22"/>
                <w:szCs w:val="22"/>
              </w:rPr>
            </w:pPr>
            <w:r>
              <w:rPr>
                <w:rFonts w:ascii="Arial" w:hAnsi="Arial"/>
                <w:b/>
                <w:sz w:val="22"/>
              </w:rPr>
              <w:t>Artículo 1</w:t>
            </w:r>
          </w:p>
        </w:tc>
        <w:tc>
          <w:tcPr>
            <w:tcW w:w="7366" w:type="dxa"/>
            <w:tcBorders>
              <w:left w:val="nil"/>
            </w:tcBorders>
          </w:tcPr>
          <w:p w14:paraId="5C066029" w14:textId="7CB21BA1" w:rsidR="004C0C92" w:rsidRPr="009C211A" w:rsidRDefault="004C0C92" w:rsidP="008B3BEC">
            <w:pPr>
              <w:spacing w:after="120"/>
              <w:rPr>
                <w:rFonts w:ascii="Arial" w:hAnsi="Arial" w:cs="Arial"/>
                <w:bCs/>
                <w:iCs/>
                <w:sz w:val="22"/>
                <w:szCs w:val="22"/>
              </w:rPr>
            </w:pPr>
            <w:r w:rsidRPr="009C211A">
              <w:rPr>
                <w:rFonts w:ascii="Arial" w:hAnsi="Arial"/>
                <w:b/>
                <w:iCs/>
                <w:sz w:val="22"/>
              </w:rPr>
              <w:t>Creación de una Cuenta Especial</w:t>
            </w:r>
            <w:r>
              <w:rPr>
                <w:rFonts w:ascii="Arial" w:hAnsi="Arial"/>
                <w:b/>
                <w:sz w:val="22"/>
              </w:rPr>
              <w:t xml:space="preserve"> </w:t>
            </w:r>
            <w:r w:rsidRPr="009C211A">
              <w:rPr>
                <w:rFonts w:ascii="Arial" w:hAnsi="Arial"/>
                <w:b/>
                <w:strike/>
                <w:sz w:val="22"/>
              </w:rPr>
              <w:t>para el Patrimonio Inmaterial</w:t>
            </w:r>
            <w:r w:rsidRPr="00017A34" w:rsidDel="00017A34">
              <w:rPr>
                <w:rFonts w:ascii="Arial" w:hAnsi="Arial"/>
                <w:iCs/>
                <w:sz w:val="22"/>
              </w:rPr>
              <w:t xml:space="preserve"> </w:t>
            </w:r>
          </w:p>
        </w:tc>
      </w:tr>
      <w:tr w:rsidR="004C0C92" w:rsidRPr="00E869B7" w14:paraId="5E2A9087" w14:textId="77777777" w:rsidTr="00CB3E86">
        <w:trPr>
          <w:cantSplit/>
        </w:trPr>
        <w:tc>
          <w:tcPr>
            <w:tcW w:w="1271" w:type="dxa"/>
            <w:tcBorders>
              <w:right w:val="nil"/>
            </w:tcBorders>
          </w:tcPr>
          <w:p w14:paraId="11259410" w14:textId="77777777" w:rsidR="004C0C92" w:rsidRPr="00A432F7" w:rsidRDefault="004C0C92" w:rsidP="00017A34">
            <w:pPr>
              <w:spacing w:after="120"/>
              <w:rPr>
                <w:rFonts w:ascii="Arial" w:hAnsi="Arial" w:cs="Arial"/>
                <w:sz w:val="22"/>
                <w:szCs w:val="22"/>
              </w:rPr>
            </w:pPr>
            <w:r>
              <w:rPr>
                <w:rFonts w:ascii="Arial" w:hAnsi="Arial"/>
                <w:sz w:val="22"/>
              </w:rPr>
              <w:t xml:space="preserve">1.1 </w:t>
            </w:r>
          </w:p>
        </w:tc>
        <w:tc>
          <w:tcPr>
            <w:tcW w:w="4258" w:type="dxa"/>
            <w:tcBorders>
              <w:left w:val="nil"/>
            </w:tcBorders>
          </w:tcPr>
          <w:p w14:paraId="69ADD7AB" w14:textId="57DAEB58" w:rsidR="004C0C92" w:rsidRPr="00A432F7" w:rsidRDefault="004C0C92" w:rsidP="00017A34">
            <w:pPr>
              <w:spacing w:after="120"/>
              <w:rPr>
                <w:rFonts w:ascii="Arial" w:hAnsi="Arial" w:cs="Arial"/>
                <w:sz w:val="22"/>
                <w:szCs w:val="22"/>
              </w:rPr>
            </w:pPr>
            <w:r>
              <w:rPr>
                <w:rFonts w:ascii="Arial" w:hAnsi="Arial"/>
                <w:sz w:val="22"/>
              </w:rPr>
              <w:t>En virtud del artículo 25 de la Convención para la Salvaguardia del Patrimonio Cultural Inmaterial (denominada en adelante la "Convención"), queda</w:t>
            </w:r>
            <w:r>
              <w:rPr>
                <w:rFonts w:ascii="Arial" w:hAnsi="Arial"/>
                <w:sz w:val="22"/>
              </w:rPr>
              <w:br/>
              <w:t>establecido el "Fondo para la Salvaguardia del patrimonio cultural inmaterial" (denominado en adelante el “Fondo”). Habida cuenta de que el Fondo será alimentado por múltiples donantes, se administrará como una Cuenta Especial.</w:t>
            </w:r>
          </w:p>
        </w:tc>
        <w:tc>
          <w:tcPr>
            <w:tcW w:w="1417" w:type="dxa"/>
            <w:tcBorders>
              <w:right w:val="nil"/>
            </w:tcBorders>
          </w:tcPr>
          <w:p w14:paraId="4D379B41" w14:textId="77777777" w:rsidR="004C0C92" w:rsidRPr="00034B17" w:rsidRDefault="004C0C92" w:rsidP="00017A34">
            <w:pPr>
              <w:pStyle w:val="Paragraphedeliste"/>
              <w:numPr>
                <w:ilvl w:val="1"/>
                <w:numId w:val="9"/>
              </w:numPr>
              <w:tabs>
                <w:tab w:val="left" w:pos="567"/>
              </w:tabs>
              <w:snapToGrid w:val="0"/>
              <w:spacing w:after="120"/>
              <w:contextualSpacing w:val="0"/>
              <w:rPr>
                <w:rFonts w:ascii="Arial" w:hAnsi="Arial" w:cs="Arial"/>
                <w:sz w:val="22"/>
                <w:szCs w:val="22"/>
              </w:rPr>
            </w:pPr>
          </w:p>
        </w:tc>
        <w:tc>
          <w:tcPr>
            <w:tcW w:w="7366" w:type="dxa"/>
            <w:tcBorders>
              <w:left w:val="nil"/>
            </w:tcBorders>
          </w:tcPr>
          <w:p w14:paraId="694BE82C" w14:textId="0483728D" w:rsidR="004C0C92" w:rsidRPr="00A432F7" w:rsidRDefault="004C0C92" w:rsidP="00017A34">
            <w:pPr>
              <w:spacing w:after="120"/>
              <w:rPr>
                <w:rFonts w:ascii="Arial" w:hAnsi="Arial" w:cs="Arial"/>
                <w:sz w:val="22"/>
                <w:szCs w:val="22"/>
              </w:rPr>
            </w:pPr>
            <w:r>
              <w:rPr>
                <w:rFonts w:ascii="Arial" w:hAnsi="Arial"/>
                <w:sz w:val="22"/>
              </w:rPr>
              <w:t>En virtud del artículo 25 de la Convención para la Salvaguardia del Patrimonio Cultural Inmaterial (denominada en adelante la "Convención"), queda</w:t>
            </w:r>
            <w:r>
              <w:rPr>
                <w:rFonts w:ascii="Arial" w:hAnsi="Arial"/>
                <w:sz w:val="22"/>
              </w:rPr>
              <w:br/>
              <w:t xml:space="preserve">establecido el "Fondo para la Salvaguardia del patrimonio cultural inmaterial" (denominado en adelante el “Fondo”). </w:t>
            </w:r>
            <w:r w:rsidRPr="009C211A">
              <w:rPr>
                <w:rFonts w:ascii="Arial" w:hAnsi="Arial"/>
                <w:strike/>
                <w:sz w:val="22"/>
              </w:rPr>
              <w:t>Habida cuenta de que el Fondo será alimentado por múltiples donantes, se administrará como una Cuenta Especial</w:t>
            </w:r>
            <w:r>
              <w:rPr>
                <w:rFonts w:ascii="Arial" w:hAnsi="Arial"/>
                <w:sz w:val="22"/>
              </w:rPr>
              <w:t>.</w:t>
            </w:r>
          </w:p>
        </w:tc>
      </w:tr>
      <w:tr w:rsidR="004C0C92" w:rsidRPr="00E869B7" w14:paraId="73BE1A66" w14:textId="77777777" w:rsidTr="00CB3E86">
        <w:trPr>
          <w:cantSplit/>
        </w:trPr>
        <w:tc>
          <w:tcPr>
            <w:tcW w:w="1271" w:type="dxa"/>
            <w:tcBorders>
              <w:right w:val="nil"/>
            </w:tcBorders>
          </w:tcPr>
          <w:p w14:paraId="21F778E4" w14:textId="77777777" w:rsidR="004C0C92" w:rsidRPr="00A432F7" w:rsidRDefault="004C0C92" w:rsidP="00017A34">
            <w:pPr>
              <w:spacing w:after="120"/>
              <w:rPr>
                <w:rFonts w:ascii="Arial" w:hAnsi="Arial" w:cs="Arial"/>
                <w:sz w:val="22"/>
                <w:szCs w:val="22"/>
              </w:rPr>
            </w:pPr>
            <w:r>
              <w:rPr>
                <w:rFonts w:ascii="Arial" w:hAnsi="Arial"/>
                <w:sz w:val="22"/>
              </w:rPr>
              <w:t xml:space="preserve">1.2 </w:t>
            </w:r>
          </w:p>
        </w:tc>
        <w:tc>
          <w:tcPr>
            <w:tcW w:w="4258" w:type="dxa"/>
            <w:tcBorders>
              <w:left w:val="nil"/>
            </w:tcBorders>
          </w:tcPr>
          <w:p w14:paraId="2DE5813F" w14:textId="77777777" w:rsidR="004C0C92" w:rsidRPr="00A432F7" w:rsidRDefault="004C0C92" w:rsidP="00017A34">
            <w:pPr>
              <w:spacing w:after="120"/>
              <w:rPr>
                <w:rFonts w:ascii="Arial" w:hAnsi="Arial" w:cs="Arial"/>
                <w:sz w:val="22"/>
                <w:szCs w:val="22"/>
              </w:rPr>
            </w:pPr>
            <w:r>
              <w:rPr>
                <w:rFonts w:ascii="Arial" w:hAnsi="Arial"/>
                <w:sz w:val="22"/>
              </w:rPr>
              <w:t>De conformidad con el Artículo 6.6 del Reglamento Financiero de la UNESCO, por las presentes disposiciones se crea la Cuenta Especial del Fondo para la Salvaguardia del Patrimonio Cultural Inmaterial (en adelante denominada la "Cuenta Especial").</w:t>
            </w:r>
          </w:p>
        </w:tc>
        <w:tc>
          <w:tcPr>
            <w:tcW w:w="1417" w:type="dxa"/>
            <w:tcBorders>
              <w:right w:val="nil"/>
            </w:tcBorders>
          </w:tcPr>
          <w:p w14:paraId="589C0D20" w14:textId="77777777" w:rsidR="004C0C92" w:rsidRPr="00A432F7" w:rsidRDefault="004C0C92" w:rsidP="00017A34">
            <w:pPr>
              <w:suppressAutoHyphens/>
              <w:spacing w:after="120"/>
              <w:rPr>
                <w:rFonts w:ascii="Arial" w:hAnsi="Arial" w:cs="Arial"/>
                <w:sz w:val="22"/>
                <w:szCs w:val="22"/>
              </w:rPr>
            </w:pPr>
            <w:r>
              <w:rPr>
                <w:rFonts w:ascii="Arial" w:hAnsi="Arial"/>
                <w:sz w:val="22"/>
              </w:rPr>
              <w:t xml:space="preserve">1.2 </w:t>
            </w:r>
          </w:p>
        </w:tc>
        <w:tc>
          <w:tcPr>
            <w:tcW w:w="7366" w:type="dxa"/>
            <w:tcBorders>
              <w:left w:val="nil"/>
            </w:tcBorders>
          </w:tcPr>
          <w:p w14:paraId="75B06A26" w14:textId="77777777" w:rsidR="004C0C92" w:rsidRPr="00A432F7" w:rsidRDefault="004C0C92" w:rsidP="00017A34">
            <w:pPr>
              <w:suppressAutoHyphens/>
              <w:spacing w:after="120"/>
              <w:rPr>
                <w:rFonts w:ascii="Arial" w:hAnsi="Arial" w:cs="Arial"/>
                <w:sz w:val="22"/>
                <w:szCs w:val="22"/>
              </w:rPr>
            </w:pPr>
            <w:r>
              <w:rPr>
                <w:rFonts w:ascii="Arial" w:hAnsi="Arial"/>
                <w:sz w:val="22"/>
              </w:rPr>
              <w:t xml:space="preserve">De conformidad con el </w:t>
            </w:r>
            <w:r>
              <w:rPr>
                <w:rFonts w:ascii="Arial" w:hAnsi="Arial"/>
                <w:strike/>
                <w:sz w:val="22"/>
              </w:rPr>
              <w:t>Artículo 6.6</w:t>
            </w:r>
            <w:r>
              <w:rPr>
                <w:rFonts w:ascii="Arial" w:hAnsi="Arial"/>
                <w:sz w:val="22"/>
              </w:rPr>
              <w:t xml:space="preserve"> </w:t>
            </w:r>
            <w:r>
              <w:rPr>
                <w:rFonts w:ascii="Arial" w:hAnsi="Arial"/>
                <w:b/>
                <w:sz w:val="22"/>
                <w:u w:val="single"/>
              </w:rPr>
              <w:t>Artículo 25 de la Convención y los párrafos 5 y 6 del Artículo 6</w:t>
            </w:r>
            <w:r>
              <w:rPr>
                <w:rFonts w:ascii="Arial" w:hAnsi="Arial"/>
                <w:sz w:val="22"/>
              </w:rPr>
              <w:t xml:space="preserve"> del Reglamento Financiero de la UNESCO, por las presentes disposiciones se crea la Cuenta Especial del Fondo para la Salvaguardia del Patrimonio Cultural Inmaterial (en adelante denominada la "Cuenta Especial").</w:t>
            </w:r>
          </w:p>
        </w:tc>
      </w:tr>
      <w:tr w:rsidR="004C0C92" w:rsidRPr="00E869B7" w14:paraId="5E10CCC5" w14:textId="77777777" w:rsidTr="00CB3E86">
        <w:trPr>
          <w:cantSplit/>
        </w:trPr>
        <w:tc>
          <w:tcPr>
            <w:tcW w:w="1271" w:type="dxa"/>
            <w:tcBorders>
              <w:right w:val="nil"/>
            </w:tcBorders>
          </w:tcPr>
          <w:p w14:paraId="5F07AB4C" w14:textId="77777777" w:rsidR="004C0C92" w:rsidRPr="00A432F7" w:rsidRDefault="004C0C92" w:rsidP="00017A34">
            <w:pPr>
              <w:spacing w:after="120"/>
              <w:rPr>
                <w:rFonts w:ascii="Arial" w:hAnsi="Arial" w:cs="Arial"/>
                <w:sz w:val="22"/>
                <w:szCs w:val="22"/>
              </w:rPr>
            </w:pPr>
            <w:r>
              <w:rPr>
                <w:rFonts w:ascii="Arial" w:hAnsi="Arial"/>
                <w:sz w:val="22"/>
              </w:rPr>
              <w:t xml:space="preserve">1.3 </w:t>
            </w:r>
          </w:p>
        </w:tc>
        <w:tc>
          <w:tcPr>
            <w:tcW w:w="4258" w:type="dxa"/>
            <w:tcBorders>
              <w:left w:val="nil"/>
            </w:tcBorders>
          </w:tcPr>
          <w:p w14:paraId="44436058" w14:textId="77777777" w:rsidR="004C0C92" w:rsidRPr="00A432F7" w:rsidRDefault="004C0C92" w:rsidP="00017A34">
            <w:pPr>
              <w:spacing w:after="120"/>
              <w:rPr>
                <w:rFonts w:ascii="Arial" w:hAnsi="Arial" w:cs="Arial"/>
                <w:sz w:val="22"/>
                <w:szCs w:val="22"/>
              </w:rPr>
            </w:pPr>
            <w:r>
              <w:rPr>
                <w:rFonts w:ascii="Arial" w:hAnsi="Arial"/>
                <w:sz w:val="22"/>
              </w:rPr>
              <w:t>La gestión de esta Cuenta Especial se regirá por las disposiciones siguientes.</w:t>
            </w:r>
          </w:p>
        </w:tc>
        <w:tc>
          <w:tcPr>
            <w:tcW w:w="1417" w:type="dxa"/>
            <w:tcBorders>
              <w:right w:val="nil"/>
            </w:tcBorders>
          </w:tcPr>
          <w:p w14:paraId="67D3F2B9" w14:textId="77777777" w:rsidR="004C0C92" w:rsidRPr="00A432F7" w:rsidRDefault="004C0C92" w:rsidP="00017A34">
            <w:pPr>
              <w:suppressAutoHyphens/>
              <w:spacing w:after="120"/>
              <w:rPr>
                <w:rFonts w:ascii="Arial" w:hAnsi="Arial" w:cs="Arial"/>
                <w:sz w:val="22"/>
                <w:szCs w:val="22"/>
              </w:rPr>
            </w:pPr>
            <w:r>
              <w:rPr>
                <w:rFonts w:ascii="Arial" w:hAnsi="Arial"/>
                <w:sz w:val="22"/>
              </w:rPr>
              <w:t xml:space="preserve">1.3 </w:t>
            </w:r>
            <w:r>
              <w:rPr>
                <w:rFonts w:ascii="Arial" w:hAnsi="Arial"/>
                <w:sz w:val="22"/>
              </w:rPr>
              <w:tab/>
            </w:r>
          </w:p>
        </w:tc>
        <w:tc>
          <w:tcPr>
            <w:tcW w:w="7366" w:type="dxa"/>
            <w:tcBorders>
              <w:left w:val="nil"/>
            </w:tcBorders>
          </w:tcPr>
          <w:p w14:paraId="49138C7B" w14:textId="77777777" w:rsidR="004C0C92" w:rsidRPr="00A432F7" w:rsidRDefault="004C0C92" w:rsidP="00017A34">
            <w:pPr>
              <w:suppressAutoHyphens/>
              <w:spacing w:after="120"/>
              <w:rPr>
                <w:rFonts w:ascii="Arial" w:hAnsi="Arial" w:cs="Arial"/>
                <w:sz w:val="22"/>
                <w:szCs w:val="22"/>
              </w:rPr>
            </w:pPr>
            <w:r>
              <w:rPr>
                <w:rFonts w:ascii="Arial" w:hAnsi="Arial"/>
                <w:sz w:val="22"/>
              </w:rPr>
              <w:t>Sin cambios.</w:t>
            </w:r>
          </w:p>
        </w:tc>
      </w:tr>
      <w:tr w:rsidR="004C0C92" w:rsidRPr="00A432F7" w14:paraId="5CBB7353" w14:textId="77777777" w:rsidTr="00CB3E86">
        <w:trPr>
          <w:cantSplit/>
        </w:trPr>
        <w:tc>
          <w:tcPr>
            <w:tcW w:w="1271" w:type="dxa"/>
            <w:tcBorders>
              <w:right w:val="nil"/>
            </w:tcBorders>
          </w:tcPr>
          <w:p w14:paraId="458C969B" w14:textId="77777777" w:rsidR="004C0C92" w:rsidRPr="00A432F7" w:rsidRDefault="004C0C92" w:rsidP="00017A34">
            <w:pPr>
              <w:spacing w:after="120"/>
              <w:rPr>
                <w:rFonts w:ascii="Arial" w:hAnsi="Arial" w:cs="Arial"/>
                <w:b/>
                <w:sz w:val="22"/>
                <w:szCs w:val="22"/>
              </w:rPr>
            </w:pPr>
            <w:r>
              <w:rPr>
                <w:rFonts w:ascii="Arial" w:hAnsi="Arial"/>
                <w:b/>
                <w:sz w:val="22"/>
              </w:rPr>
              <w:t>Artículo 2</w:t>
            </w:r>
          </w:p>
        </w:tc>
        <w:tc>
          <w:tcPr>
            <w:tcW w:w="4258" w:type="dxa"/>
            <w:tcBorders>
              <w:left w:val="nil"/>
            </w:tcBorders>
          </w:tcPr>
          <w:p w14:paraId="3D7A8782" w14:textId="77777777" w:rsidR="004C0C92" w:rsidRPr="00A432F7" w:rsidRDefault="004C0C92" w:rsidP="00017A34">
            <w:pPr>
              <w:spacing w:after="120"/>
              <w:rPr>
                <w:rFonts w:ascii="Arial" w:hAnsi="Arial" w:cs="Arial"/>
                <w:b/>
                <w:sz w:val="22"/>
                <w:szCs w:val="22"/>
              </w:rPr>
            </w:pPr>
            <w:r>
              <w:rPr>
                <w:rFonts w:ascii="Arial" w:hAnsi="Arial"/>
                <w:b/>
                <w:sz w:val="22"/>
              </w:rPr>
              <w:t>Ejercicio financiero</w:t>
            </w:r>
          </w:p>
        </w:tc>
        <w:tc>
          <w:tcPr>
            <w:tcW w:w="1417" w:type="dxa"/>
            <w:tcBorders>
              <w:right w:val="nil"/>
            </w:tcBorders>
          </w:tcPr>
          <w:p w14:paraId="20AD5FD8" w14:textId="77777777" w:rsidR="004C0C92" w:rsidRPr="00A432F7" w:rsidRDefault="004C0C92" w:rsidP="00017A34">
            <w:pPr>
              <w:suppressAutoHyphens/>
              <w:spacing w:after="120"/>
              <w:rPr>
                <w:rFonts w:ascii="Arial" w:hAnsi="Arial" w:cs="Arial"/>
                <w:b/>
                <w:sz w:val="22"/>
                <w:szCs w:val="22"/>
              </w:rPr>
            </w:pPr>
            <w:r>
              <w:rPr>
                <w:rFonts w:ascii="Arial" w:hAnsi="Arial"/>
                <w:b/>
                <w:sz w:val="22"/>
              </w:rPr>
              <w:t>Artículo 2</w:t>
            </w:r>
          </w:p>
        </w:tc>
        <w:tc>
          <w:tcPr>
            <w:tcW w:w="7366" w:type="dxa"/>
            <w:tcBorders>
              <w:left w:val="nil"/>
            </w:tcBorders>
          </w:tcPr>
          <w:p w14:paraId="36429E3D" w14:textId="77777777" w:rsidR="004C0C92" w:rsidRPr="00A432F7" w:rsidRDefault="004C0C92" w:rsidP="00017A34">
            <w:pPr>
              <w:suppressAutoHyphens/>
              <w:spacing w:after="120"/>
              <w:rPr>
                <w:rFonts w:ascii="Arial" w:hAnsi="Arial" w:cs="Arial"/>
                <w:bCs/>
                <w:sz w:val="22"/>
                <w:szCs w:val="22"/>
              </w:rPr>
            </w:pPr>
            <w:r>
              <w:rPr>
                <w:rFonts w:ascii="Arial" w:hAnsi="Arial"/>
                <w:sz w:val="22"/>
              </w:rPr>
              <w:t>Sin cambios.</w:t>
            </w:r>
          </w:p>
        </w:tc>
      </w:tr>
      <w:tr w:rsidR="004C0C92" w:rsidRPr="00E869B7" w14:paraId="1EB7EF8D" w14:textId="77777777" w:rsidTr="00CB3E86">
        <w:trPr>
          <w:cantSplit/>
        </w:trPr>
        <w:tc>
          <w:tcPr>
            <w:tcW w:w="1271" w:type="dxa"/>
            <w:tcBorders>
              <w:right w:val="nil"/>
            </w:tcBorders>
          </w:tcPr>
          <w:p w14:paraId="1E440D79" w14:textId="77777777" w:rsidR="004C0C92" w:rsidRPr="00A432F7" w:rsidRDefault="004C0C92" w:rsidP="00017A34">
            <w:pPr>
              <w:spacing w:after="120"/>
              <w:rPr>
                <w:rFonts w:ascii="Arial" w:hAnsi="Arial" w:cs="Arial"/>
                <w:sz w:val="22"/>
                <w:szCs w:val="22"/>
                <w:lang w:val="en-US"/>
              </w:rPr>
            </w:pPr>
          </w:p>
        </w:tc>
        <w:tc>
          <w:tcPr>
            <w:tcW w:w="4258" w:type="dxa"/>
            <w:tcBorders>
              <w:left w:val="nil"/>
            </w:tcBorders>
          </w:tcPr>
          <w:p w14:paraId="33C59806" w14:textId="77777777" w:rsidR="004C0C92" w:rsidRPr="00A432F7" w:rsidRDefault="004C0C92" w:rsidP="00017A34">
            <w:pPr>
              <w:spacing w:after="120"/>
              <w:rPr>
                <w:rFonts w:ascii="Arial" w:hAnsi="Arial" w:cs="Arial"/>
                <w:sz w:val="22"/>
                <w:szCs w:val="22"/>
              </w:rPr>
            </w:pPr>
            <w:r>
              <w:rPr>
                <w:rFonts w:ascii="Arial" w:hAnsi="Arial"/>
                <w:sz w:val="22"/>
              </w:rPr>
              <w:t>El ejercicio financiero corresponderá al de la UNESCO.</w:t>
            </w:r>
          </w:p>
        </w:tc>
        <w:tc>
          <w:tcPr>
            <w:tcW w:w="1417" w:type="dxa"/>
            <w:tcBorders>
              <w:right w:val="nil"/>
            </w:tcBorders>
          </w:tcPr>
          <w:p w14:paraId="3E65F971" w14:textId="77777777" w:rsidR="004C0C92" w:rsidRPr="00A432F7" w:rsidRDefault="004C0C92" w:rsidP="00017A34">
            <w:pPr>
              <w:suppressAutoHyphens/>
              <w:spacing w:after="120"/>
              <w:rPr>
                <w:rFonts w:ascii="Arial" w:hAnsi="Arial" w:cs="Arial"/>
                <w:sz w:val="22"/>
                <w:szCs w:val="22"/>
              </w:rPr>
            </w:pPr>
            <w:r>
              <w:rPr>
                <w:rFonts w:ascii="Arial" w:hAnsi="Arial"/>
                <w:b/>
                <w:sz w:val="22"/>
                <w:u w:val="single"/>
              </w:rPr>
              <w:t>2.1</w:t>
            </w:r>
          </w:p>
        </w:tc>
        <w:tc>
          <w:tcPr>
            <w:tcW w:w="7366" w:type="dxa"/>
            <w:tcBorders>
              <w:left w:val="nil"/>
            </w:tcBorders>
          </w:tcPr>
          <w:p w14:paraId="691F4707" w14:textId="77777777" w:rsidR="004C0C92" w:rsidRPr="00A432F7" w:rsidRDefault="004C0C92" w:rsidP="00017A34">
            <w:pPr>
              <w:suppressAutoHyphens/>
              <w:spacing w:after="120"/>
              <w:rPr>
                <w:rFonts w:ascii="Arial" w:hAnsi="Arial" w:cs="Arial"/>
                <w:sz w:val="22"/>
                <w:szCs w:val="22"/>
              </w:rPr>
            </w:pPr>
            <w:r>
              <w:rPr>
                <w:rFonts w:ascii="Arial" w:hAnsi="Arial"/>
                <w:sz w:val="22"/>
              </w:rPr>
              <w:t xml:space="preserve">El ejercicio financiero </w:t>
            </w:r>
            <w:r>
              <w:rPr>
                <w:rFonts w:ascii="Arial" w:hAnsi="Arial"/>
                <w:b/>
                <w:sz w:val="22"/>
                <w:u w:val="single"/>
              </w:rPr>
              <w:t>para las estimaciones presupuestarias será de dos años civiles consecutivos comenzando en un año par</w:t>
            </w:r>
            <w:r>
              <w:rPr>
                <w:rFonts w:ascii="Arial" w:hAnsi="Arial"/>
                <w:sz w:val="22"/>
              </w:rPr>
              <w:t xml:space="preserve"> </w:t>
            </w:r>
            <w:r>
              <w:rPr>
                <w:rFonts w:ascii="Arial" w:hAnsi="Arial"/>
                <w:strike/>
                <w:sz w:val="22"/>
              </w:rPr>
              <w:t>corresponderá al de la UNESCO</w:t>
            </w:r>
            <w:r>
              <w:rPr>
                <w:rFonts w:ascii="Arial" w:hAnsi="Arial"/>
                <w:sz w:val="22"/>
              </w:rPr>
              <w:t>.</w:t>
            </w:r>
          </w:p>
        </w:tc>
      </w:tr>
      <w:tr w:rsidR="004C0C92" w:rsidRPr="00E869B7" w14:paraId="6BD8D70E" w14:textId="77777777" w:rsidTr="00CB3E86">
        <w:trPr>
          <w:cantSplit/>
        </w:trPr>
        <w:tc>
          <w:tcPr>
            <w:tcW w:w="1271" w:type="dxa"/>
            <w:tcBorders>
              <w:right w:val="nil"/>
            </w:tcBorders>
          </w:tcPr>
          <w:p w14:paraId="116DC9DE" w14:textId="77777777" w:rsidR="004C0C92" w:rsidRPr="00034B17" w:rsidRDefault="004C0C92" w:rsidP="00017A34">
            <w:pPr>
              <w:spacing w:after="120"/>
              <w:rPr>
                <w:rFonts w:ascii="Arial" w:hAnsi="Arial" w:cs="Arial"/>
                <w:sz w:val="22"/>
                <w:szCs w:val="22"/>
              </w:rPr>
            </w:pPr>
          </w:p>
        </w:tc>
        <w:tc>
          <w:tcPr>
            <w:tcW w:w="4258" w:type="dxa"/>
            <w:tcBorders>
              <w:left w:val="nil"/>
            </w:tcBorders>
          </w:tcPr>
          <w:p w14:paraId="3BE614BA" w14:textId="77777777" w:rsidR="004C0C92" w:rsidRPr="00034B17" w:rsidRDefault="004C0C92" w:rsidP="00017A34">
            <w:pPr>
              <w:spacing w:after="120"/>
              <w:rPr>
                <w:rFonts w:ascii="Arial" w:hAnsi="Arial" w:cs="Arial"/>
                <w:sz w:val="22"/>
                <w:szCs w:val="22"/>
              </w:rPr>
            </w:pPr>
          </w:p>
        </w:tc>
        <w:tc>
          <w:tcPr>
            <w:tcW w:w="1417" w:type="dxa"/>
            <w:tcBorders>
              <w:right w:val="nil"/>
            </w:tcBorders>
          </w:tcPr>
          <w:p w14:paraId="04B5FD90" w14:textId="77777777" w:rsidR="004C0C92" w:rsidRPr="00A432F7" w:rsidRDefault="004C0C92" w:rsidP="00017A34">
            <w:pPr>
              <w:suppressAutoHyphens/>
              <w:spacing w:after="120"/>
              <w:rPr>
                <w:rFonts w:ascii="Arial" w:hAnsi="Arial" w:cs="Arial"/>
                <w:spacing w:val="-3"/>
                <w:sz w:val="22"/>
                <w:szCs w:val="22"/>
              </w:rPr>
            </w:pPr>
            <w:r>
              <w:rPr>
                <w:rFonts w:ascii="Arial" w:hAnsi="Arial"/>
                <w:b/>
                <w:sz w:val="22"/>
                <w:u w:val="single"/>
              </w:rPr>
              <w:t>2.2</w:t>
            </w:r>
          </w:p>
        </w:tc>
        <w:tc>
          <w:tcPr>
            <w:tcW w:w="7366" w:type="dxa"/>
            <w:tcBorders>
              <w:left w:val="nil"/>
            </w:tcBorders>
          </w:tcPr>
          <w:p w14:paraId="54CD368F" w14:textId="77777777" w:rsidR="004C0C92" w:rsidRPr="00A432F7" w:rsidRDefault="004C0C92" w:rsidP="00017A34">
            <w:pPr>
              <w:suppressAutoHyphens/>
              <w:spacing w:after="120"/>
              <w:rPr>
                <w:rFonts w:ascii="Arial" w:hAnsi="Arial" w:cs="Arial"/>
                <w:b/>
                <w:bCs/>
                <w:spacing w:val="-3"/>
                <w:sz w:val="22"/>
                <w:szCs w:val="22"/>
                <w:u w:val="single"/>
              </w:rPr>
            </w:pPr>
            <w:r>
              <w:rPr>
                <w:rFonts w:ascii="Arial" w:hAnsi="Arial"/>
                <w:b/>
                <w:sz w:val="22"/>
                <w:u w:val="single"/>
              </w:rPr>
              <w:t>El ejercicio financiero para la contabilidad será de un año civil anual.</w:t>
            </w:r>
          </w:p>
        </w:tc>
      </w:tr>
      <w:tr w:rsidR="004C0C92" w:rsidRPr="00A432F7" w14:paraId="2E59298B" w14:textId="77777777" w:rsidTr="00CB3E86">
        <w:trPr>
          <w:cantSplit/>
        </w:trPr>
        <w:tc>
          <w:tcPr>
            <w:tcW w:w="1271" w:type="dxa"/>
            <w:tcBorders>
              <w:right w:val="nil"/>
            </w:tcBorders>
          </w:tcPr>
          <w:p w14:paraId="78BF1F28" w14:textId="77777777" w:rsidR="004C0C92" w:rsidRPr="00A432F7" w:rsidRDefault="004C0C92" w:rsidP="00017A34">
            <w:pPr>
              <w:spacing w:after="120"/>
              <w:rPr>
                <w:rFonts w:ascii="Arial" w:hAnsi="Arial" w:cs="Arial"/>
                <w:b/>
                <w:sz w:val="22"/>
                <w:szCs w:val="22"/>
              </w:rPr>
            </w:pPr>
            <w:r>
              <w:rPr>
                <w:rFonts w:ascii="Arial" w:hAnsi="Arial"/>
                <w:b/>
                <w:sz w:val="22"/>
              </w:rPr>
              <w:t>Artículo 3</w:t>
            </w:r>
          </w:p>
        </w:tc>
        <w:tc>
          <w:tcPr>
            <w:tcW w:w="4258" w:type="dxa"/>
            <w:tcBorders>
              <w:left w:val="nil"/>
            </w:tcBorders>
          </w:tcPr>
          <w:p w14:paraId="571B3119" w14:textId="77777777" w:rsidR="004C0C92" w:rsidRPr="00A432F7" w:rsidRDefault="004C0C92" w:rsidP="00017A34">
            <w:pPr>
              <w:spacing w:after="120"/>
              <w:rPr>
                <w:rFonts w:ascii="Arial" w:hAnsi="Arial" w:cs="Arial"/>
                <w:b/>
                <w:sz w:val="22"/>
                <w:szCs w:val="22"/>
              </w:rPr>
            </w:pPr>
            <w:r>
              <w:rPr>
                <w:rFonts w:ascii="Arial" w:hAnsi="Arial"/>
                <w:b/>
                <w:sz w:val="22"/>
              </w:rPr>
              <w:t>Finalidad</w:t>
            </w:r>
          </w:p>
        </w:tc>
        <w:tc>
          <w:tcPr>
            <w:tcW w:w="1417" w:type="dxa"/>
            <w:tcBorders>
              <w:right w:val="nil"/>
            </w:tcBorders>
          </w:tcPr>
          <w:p w14:paraId="493777C1" w14:textId="77777777" w:rsidR="004C0C92" w:rsidRPr="00A432F7" w:rsidRDefault="004C0C92" w:rsidP="00017A34">
            <w:pPr>
              <w:suppressAutoHyphens/>
              <w:spacing w:after="120"/>
              <w:rPr>
                <w:rFonts w:ascii="Arial" w:hAnsi="Arial" w:cs="Arial"/>
                <w:b/>
                <w:sz w:val="22"/>
                <w:szCs w:val="22"/>
              </w:rPr>
            </w:pPr>
            <w:r>
              <w:rPr>
                <w:rFonts w:ascii="Arial" w:hAnsi="Arial"/>
                <w:b/>
                <w:sz w:val="22"/>
              </w:rPr>
              <w:t>Artículo 3</w:t>
            </w:r>
          </w:p>
        </w:tc>
        <w:tc>
          <w:tcPr>
            <w:tcW w:w="7366" w:type="dxa"/>
            <w:tcBorders>
              <w:left w:val="nil"/>
            </w:tcBorders>
          </w:tcPr>
          <w:p w14:paraId="6FFA01A0" w14:textId="77777777" w:rsidR="004C0C92" w:rsidRPr="00A432F7" w:rsidRDefault="004C0C92" w:rsidP="00017A34">
            <w:pPr>
              <w:suppressAutoHyphens/>
              <w:spacing w:after="120"/>
              <w:rPr>
                <w:rFonts w:ascii="Arial" w:hAnsi="Arial" w:cs="Arial"/>
                <w:bCs/>
                <w:sz w:val="22"/>
                <w:szCs w:val="22"/>
              </w:rPr>
            </w:pPr>
            <w:r>
              <w:rPr>
                <w:rFonts w:ascii="Arial" w:hAnsi="Arial"/>
                <w:sz w:val="22"/>
              </w:rPr>
              <w:t>Sin cambios.</w:t>
            </w:r>
          </w:p>
        </w:tc>
      </w:tr>
      <w:tr w:rsidR="004C0C92" w:rsidRPr="00E869B7" w14:paraId="02401237" w14:textId="77777777" w:rsidTr="00CB3E86">
        <w:trPr>
          <w:cantSplit/>
        </w:trPr>
        <w:tc>
          <w:tcPr>
            <w:tcW w:w="1271" w:type="dxa"/>
            <w:tcBorders>
              <w:right w:val="nil"/>
            </w:tcBorders>
          </w:tcPr>
          <w:p w14:paraId="2D9B9210" w14:textId="77777777" w:rsidR="004C0C92" w:rsidRPr="00A432F7" w:rsidRDefault="004C0C92" w:rsidP="00017A34">
            <w:pPr>
              <w:spacing w:after="120"/>
              <w:rPr>
                <w:rFonts w:ascii="Arial" w:hAnsi="Arial" w:cs="Arial"/>
                <w:sz w:val="22"/>
                <w:szCs w:val="22"/>
                <w:lang w:val="en-US"/>
              </w:rPr>
            </w:pPr>
          </w:p>
        </w:tc>
        <w:tc>
          <w:tcPr>
            <w:tcW w:w="4258" w:type="dxa"/>
            <w:tcBorders>
              <w:left w:val="nil"/>
            </w:tcBorders>
          </w:tcPr>
          <w:p w14:paraId="443F3E1D" w14:textId="77777777" w:rsidR="004C0C92" w:rsidRPr="00234E68" w:rsidRDefault="004C0C92" w:rsidP="00017A34">
            <w:pPr>
              <w:spacing w:after="120"/>
              <w:rPr>
                <w:rFonts w:ascii="Arial" w:hAnsi="Arial" w:cs="Arial"/>
                <w:sz w:val="22"/>
                <w:szCs w:val="22"/>
              </w:rPr>
            </w:pPr>
            <w:r>
              <w:rPr>
                <w:rFonts w:ascii="Arial" w:hAnsi="Arial"/>
                <w:sz w:val="22"/>
              </w:rPr>
              <w:t xml:space="preserve">La finalidad de esta Cuenta Especial será recibir contribuciones de las fuentes mencionadas en el párrafo 1 del Artículo 4 </w:t>
            </w:r>
            <w:r w:rsidRPr="00265A72">
              <w:rPr>
                <w:rFonts w:ascii="Arial" w:hAnsi="Arial"/>
                <w:sz w:val="22"/>
              </w:rPr>
              <w:t>infra</w:t>
            </w:r>
            <w:r>
              <w:rPr>
                <w:rFonts w:ascii="Arial" w:hAnsi="Arial"/>
                <w:sz w:val="22"/>
              </w:rPr>
              <w:t xml:space="preserve"> y efectuar pagos con esos recursos para contribuir a la salvaguardia del patrimonio cultural inmaterial, con arreglo a lo dispuesto en la Convención y en el presente Reglamento.</w:t>
            </w:r>
          </w:p>
        </w:tc>
        <w:tc>
          <w:tcPr>
            <w:tcW w:w="1417" w:type="dxa"/>
            <w:tcBorders>
              <w:right w:val="nil"/>
            </w:tcBorders>
          </w:tcPr>
          <w:p w14:paraId="493EB141" w14:textId="77777777" w:rsidR="004C0C92" w:rsidRPr="00034B17" w:rsidRDefault="004C0C92" w:rsidP="00017A34">
            <w:pPr>
              <w:spacing w:after="120"/>
              <w:rPr>
                <w:rFonts w:ascii="Arial" w:hAnsi="Arial" w:cs="Arial"/>
                <w:sz w:val="22"/>
                <w:szCs w:val="22"/>
              </w:rPr>
            </w:pPr>
          </w:p>
        </w:tc>
        <w:tc>
          <w:tcPr>
            <w:tcW w:w="7366" w:type="dxa"/>
            <w:tcBorders>
              <w:left w:val="nil"/>
            </w:tcBorders>
          </w:tcPr>
          <w:p w14:paraId="0522F8D6" w14:textId="51463FA1" w:rsidR="004C0C92" w:rsidRPr="00234E68" w:rsidRDefault="004C0C92" w:rsidP="00017A34">
            <w:pPr>
              <w:spacing w:after="120"/>
              <w:rPr>
                <w:rFonts w:ascii="Arial" w:hAnsi="Arial" w:cs="Arial"/>
                <w:sz w:val="22"/>
                <w:szCs w:val="22"/>
              </w:rPr>
            </w:pPr>
            <w:r w:rsidRPr="009C211A">
              <w:rPr>
                <w:rFonts w:ascii="Arial" w:hAnsi="Arial"/>
                <w:b/>
                <w:sz w:val="22"/>
                <w:u w:val="single"/>
              </w:rPr>
              <w:t xml:space="preserve">De conformidad con el </w:t>
            </w:r>
            <w:r w:rsidRPr="003D3B2C">
              <w:rPr>
                <w:rFonts w:ascii="Arial" w:hAnsi="Arial"/>
                <w:b/>
                <w:sz w:val="22"/>
                <w:u w:val="single"/>
              </w:rPr>
              <w:t>artículo</w:t>
            </w:r>
            <w:r w:rsidRPr="009C211A">
              <w:rPr>
                <w:rFonts w:ascii="Arial" w:hAnsi="Arial"/>
                <w:b/>
                <w:sz w:val="22"/>
                <w:u w:val="single"/>
              </w:rPr>
              <w:t xml:space="preserve"> 25 de la Convención,</w:t>
            </w:r>
            <w:r>
              <w:rPr>
                <w:rFonts w:ascii="Arial" w:hAnsi="Arial"/>
                <w:sz w:val="22"/>
              </w:rPr>
              <w:t xml:space="preserve"> la finalidad de esta Cuenta Especial será recibir contribuciones de las fuentes mencionadas en el </w:t>
            </w:r>
            <w:r>
              <w:rPr>
                <w:rFonts w:ascii="Arial" w:hAnsi="Arial"/>
                <w:strike/>
                <w:sz w:val="22"/>
              </w:rPr>
              <w:t xml:space="preserve">párrafo 1 del Artículo 4 </w:t>
            </w:r>
            <w:r w:rsidRPr="009C211A">
              <w:rPr>
                <w:rFonts w:ascii="Arial" w:hAnsi="Arial"/>
                <w:sz w:val="22"/>
              </w:rPr>
              <w:t xml:space="preserve"> </w:t>
            </w:r>
            <w:r>
              <w:rPr>
                <w:rFonts w:ascii="Arial" w:hAnsi="Arial"/>
                <w:b/>
                <w:sz w:val="22"/>
                <w:u w:val="single"/>
              </w:rPr>
              <w:t>párrafo 1 del Artículo 5</w:t>
            </w:r>
            <w:r>
              <w:rPr>
                <w:rFonts w:ascii="Arial" w:hAnsi="Arial"/>
                <w:sz w:val="22"/>
              </w:rPr>
              <w:t xml:space="preserve"> </w:t>
            </w:r>
            <w:r w:rsidRPr="00265A72">
              <w:rPr>
                <w:rFonts w:ascii="Arial" w:hAnsi="Arial"/>
                <w:sz w:val="22"/>
              </w:rPr>
              <w:t>infra</w:t>
            </w:r>
            <w:r>
              <w:rPr>
                <w:rFonts w:ascii="Arial" w:hAnsi="Arial"/>
                <w:sz w:val="22"/>
              </w:rPr>
              <w:t xml:space="preserve"> y efectuar pagos con esos recursos para contribuir a la salvaguardia del patrimonio cultural inmaterial, con arreglo a lo dispuesto en la Convención y en el presente Reglamento.</w:t>
            </w:r>
          </w:p>
        </w:tc>
      </w:tr>
      <w:tr w:rsidR="004C0C92" w:rsidRPr="00234E68" w14:paraId="694AA8B5" w14:textId="77777777" w:rsidTr="00CB3E86">
        <w:trPr>
          <w:cantSplit/>
        </w:trPr>
        <w:tc>
          <w:tcPr>
            <w:tcW w:w="1271" w:type="dxa"/>
            <w:tcBorders>
              <w:right w:val="nil"/>
            </w:tcBorders>
          </w:tcPr>
          <w:p w14:paraId="6F078904" w14:textId="567FA6D2" w:rsidR="004C0C92" w:rsidRPr="00034B17" w:rsidRDefault="004C0C92" w:rsidP="00843921">
            <w:pPr>
              <w:spacing w:after="120"/>
              <w:rPr>
                <w:rFonts w:ascii="Arial" w:hAnsi="Arial" w:cs="Arial"/>
                <w:sz w:val="22"/>
                <w:szCs w:val="22"/>
              </w:rPr>
            </w:pPr>
          </w:p>
        </w:tc>
        <w:tc>
          <w:tcPr>
            <w:tcW w:w="4258" w:type="dxa"/>
            <w:tcBorders>
              <w:left w:val="nil"/>
            </w:tcBorders>
          </w:tcPr>
          <w:p w14:paraId="0F2051C6" w14:textId="725A2DFF" w:rsidR="004C0C92" w:rsidRPr="00034B17" w:rsidRDefault="004C0C92" w:rsidP="00843921">
            <w:pPr>
              <w:spacing w:after="120"/>
              <w:rPr>
                <w:rFonts w:ascii="Arial" w:hAnsi="Arial" w:cs="Arial"/>
                <w:sz w:val="22"/>
                <w:szCs w:val="22"/>
              </w:rPr>
            </w:pPr>
          </w:p>
        </w:tc>
        <w:tc>
          <w:tcPr>
            <w:tcW w:w="1417" w:type="dxa"/>
            <w:tcBorders>
              <w:right w:val="nil"/>
            </w:tcBorders>
          </w:tcPr>
          <w:p w14:paraId="65EDD1F3" w14:textId="77777777" w:rsidR="004C0C92" w:rsidRPr="00234E68" w:rsidRDefault="004C0C92" w:rsidP="00843921">
            <w:pPr>
              <w:keepNext/>
              <w:suppressAutoHyphens/>
              <w:spacing w:after="120"/>
              <w:outlineLvl w:val="7"/>
              <w:rPr>
                <w:rFonts w:ascii="Arial" w:hAnsi="Arial" w:cs="Arial"/>
                <w:b/>
                <w:bCs/>
                <w:sz w:val="22"/>
                <w:szCs w:val="22"/>
                <w:u w:val="single"/>
              </w:rPr>
            </w:pPr>
            <w:r>
              <w:rPr>
                <w:rFonts w:ascii="Arial" w:hAnsi="Arial"/>
                <w:b/>
                <w:sz w:val="22"/>
                <w:u w:val="single"/>
              </w:rPr>
              <w:t>Artículo 4</w:t>
            </w:r>
          </w:p>
        </w:tc>
        <w:tc>
          <w:tcPr>
            <w:tcW w:w="7366" w:type="dxa"/>
            <w:tcBorders>
              <w:left w:val="nil"/>
            </w:tcBorders>
          </w:tcPr>
          <w:p w14:paraId="6F9C39E1" w14:textId="4DB07930" w:rsidR="004C0C92" w:rsidRPr="00234E68" w:rsidRDefault="004C0C92" w:rsidP="00843921">
            <w:pPr>
              <w:keepNext/>
              <w:keepLines/>
              <w:suppressAutoHyphens/>
              <w:spacing w:after="120"/>
              <w:outlineLvl w:val="7"/>
              <w:rPr>
                <w:rFonts w:ascii="Arial" w:hAnsi="Arial" w:cs="Arial"/>
                <w:b/>
                <w:bCs/>
                <w:sz w:val="22"/>
                <w:szCs w:val="22"/>
                <w:u w:val="single"/>
              </w:rPr>
            </w:pPr>
            <w:r>
              <w:rPr>
                <w:rFonts w:ascii="Arial" w:hAnsi="Arial"/>
                <w:b/>
                <w:sz w:val="22"/>
                <w:u w:val="single"/>
              </w:rPr>
              <w:t>Gobernanza</w:t>
            </w:r>
          </w:p>
        </w:tc>
      </w:tr>
      <w:tr w:rsidR="004C0C92" w:rsidRPr="00E869B7" w14:paraId="3EFB0EFF" w14:textId="77777777" w:rsidTr="00CB3E86">
        <w:trPr>
          <w:cantSplit/>
        </w:trPr>
        <w:tc>
          <w:tcPr>
            <w:tcW w:w="1271" w:type="dxa"/>
            <w:tcBorders>
              <w:right w:val="nil"/>
            </w:tcBorders>
          </w:tcPr>
          <w:p w14:paraId="703728C7" w14:textId="77777777" w:rsidR="004C0C92" w:rsidRPr="00234E68" w:rsidRDefault="004C0C92" w:rsidP="00843921">
            <w:pPr>
              <w:spacing w:after="120"/>
              <w:rPr>
                <w:rFonts w:ascii="Arial" w:hAnsi="Arial" w:cs="Arial"/>
                <w:sz w:val="22"/>
                <w:szCs w:val="22"/>
                <w:lang w:val="en-US"/>
              </w:rPr>
            </w:pPr>
          </w:p>
        </w:tc>
        <w:tc>
          <w:tcPr>
            <w:tcW w:w="4258" w:type="dxa"/>
            <w:tcBorders>
              <w:left w:val="nil"/>
            </w:tcBorders>
          </w:tcPr>
          <w:p w14:paraId="0F245242" w14:textId="77777777" w:rsidR="004C0C92" w:rsidRPr="00234E68" w:rsidRDefault="004C0C92" w:rsidP="00843921">
            <w:pPr>
              <w:spacing w:after="120"/>
              <w:rPr>
                <w:rFonts w:ascii="Arial" w:hAnsi="Arial" w:cs="Arial"/>
                <w:sz w:val="22"/>
                <w:szCs w:val="22"/>
                <w:lang w:val="en-US"/>
              </w:rPr>
            </w:pPr>
          </w:p>
        </w:tc>
        <w:tc>
          <w:tcPr>
            <w:tcW w:w="1417" w:type="dxa"/>
            <w:tcBorders>
              <w:right w:val="nil"/>
            </w:tcBorders>
          </w:tcPr>
          <w:p w14:paraId="7F745A1B" w14:textId="77777777" w:rsidR="004C0C92" w:rsidRPr="00234E68" w:rsidRDefault="004C0C92" w:rsidP="00843921">
            <w:pPr>
              <w:suppressAutoHyphens/>
              <w:spacing w:after="120"/>
              <w:rPr>
                <w:rFonts w:ascii="Arial" w:hAnsi="Arial" w:cs="Arial"/>
                <w:sz w:val="22"/>
                <w:szCs w:val="22"/>
              </w:rPr>
            </w:pPr>
            <w:r>
              <w:rPr>
                <w:rFonts w:ascii="Arial" w:hAnsi="Arial"/>
                <w:b/>
                <w:sz w:val="22"/>
                <w:u w:val="single"/>
              </w:rPr>
              <w:t>4.1</w:t>
            </w:r>
            <w:r>
              <w:rPr>
                <w:rFonts w:ascii="Arial" w:hAnsi="Arial"/>
                <w:sz w:val="22"/>
              </w:rPr>
              <w:t xml:space="preserve"> </w:t>
            </w:r>
          </w:p>
        </w:tc>
        <w:tc>
          <w:tcPr>
            <w:tcW w:w="7366" w:type="dxa"/>
            <w:tcBorders>
              <w:left w:val="nil"/>
            </w:tcBorders>
          </w:tcPr>
          <w:p w14:paraId="2DB1BD7D" w14:textId="0F03D769" w:rsidR="004C0C92" w:rsidRPr="00234E68" w:rsidRDefault="004C0C92" w:rsidP="00843921">
            <w:pPr>
              <w:spacing w:after="120"/>
              <w:rPr>
                <w:rFonts w:ascii="Arial" w:hAnsi="Arial" w:cs="Arial"/>
                <w:b/>
                <w:bCs/>
                <w:sz w:val="22"/>
                <w:szCs w:val="22"/>
                <w:u w:val="single"/>
              </w:rPr>
            </w:pPr>
            <w:r>
              <w:rPr>
                <w:rFonts w:ascii="Arial" w:hAnsi="Arial"/>
                <w:b/>
                <w:sz w:val="22"/>
                <w:u w:val="single"/>
              </w:rPr>
              <w:t>La Asamblea General de los Estados Partes (en adelante, la</w:t>
            </w:r>
            <w:r>
              <w:rPr>
                <w:rFonts w:ascii="Arial" w:hAnsi="Arial"/>
                <w:sz w:val="22"/>
              </w:rPr>
              <w:t xml:space="preserve"> </w:t>
            </w:r>
            <w:r>
              <w:rPr>
                <w:rFonts w:ascii="Arial" w:hAnsi="Arial"/>
                <w:b/>
                <w:sz w:val="22"/>
                <w:u w:val="single"/>
              </w:rPr>
              <w:t>"Asamblea General") tiene autoridad sobre la consignación de los recursos de esta Cuenta Especial.</w:t>
            </w:r>
          </w:p>
        </w:tc>
      </w:tr>
      <w:tr w:rsidR="006031D4" w:rsidRPr="00E869B7" w14:paraId="4B21D112" w14:textId="77777777" w:rsidTr="00CB3E86">
        <w:trPr>
          <w:cantSplit/>
        </w:trPr>
        <w:tc>
          <w:tcPr>
            <w:tcW w:w="1271" w:type="dxa"/>
            <w:tcBorders>
              <w:right w:val="nil"/>
            </w:tcBorders>
          </w:tcPr>
          <w:p w14:paraId="49581FE1" w14:textId="77777777" w:rsidR="006031D4" w:rsidRPr="00CF1575" w:rsidRDefault="006031D4" w:rsidP="00843921">
            <w:pPr>
              <w:spacing w:after="120"/>
              <w:rPr>
                <w:rFonts w:ascii="Arial" w:hAnsi="Arial" w:cs="Arial"/>
                <w:sz w:val="22"/>
                <w:szCs w:val="22"/>
              </w:rPr>
            </w:pPr>
          </w:p>
        </w:tc>
        <w:tc>
          <w:tcPr>
            <w:tcW w:w="4258" w:type="dxa"/>
            <w:tcBorders>
              <w:left w:val="nil"/>
            </w:tcBorders>
          </w:tcPr>
          <w:p w14:paraId="54CBD40D" w14:textId="77777777" w:rsidR="006031D4" w:rsidRPr="00CF1575" w:rsidRDefault="006031D4" w:rsidP="00843921">
            <w:pPr>
              <w:spacing w:after="120"/>
              <w:rPr>
                <w:rFonts w:ascii="Arial" w:hAnsi="Arial" w:cs="Arial"/>
                <w:sz w:val="22"/>
                <w:szCs w:val="22"/>
              </w:rPr>
            </w:pPr>
          </w:p>
        </w:tc>
        <w:tc>
          <w:tcPr>
            <w:tcW w:w="1417" w:type="dxa"/>
            <w:tcBorders>
              <w:right w:val="nil"/>
            </w:tcBorders>
          </w:tcPr>
          <w:p w14:paraId="2A92E458" w14:textId="721FDC68" w:rsidR="006031D4" w:rsidRDefault="006031D4" w:rsidP="00843921">
            <w:pPr>
              <w:suppressAutoHyphens/>
              <w:spacing w:after="120"/>
              <w:rPr>
                <w:rFonts w:ascii="Arial" w:hAnsi="Arial"/>
                <w:b/>
                <w:sz w:val="22"/>
                <w:u w:val="single"/>
              </w:rPr>
            </w:pPr>
            <w:r>
              <w:rPr>
                <w:rFonts w:ascii="Arial" w:hAnsi="Arial"/>
                <w:b/>
                <w:sz w:val="22"/>
                <w:u w:val="single"/>
              </w:rPr>
              <w:t>4.2</w:t>
            </w:r>
          </w:p>
        </w:tc>
        <w:tc>
          <w:tcPr>
            <w:tcW w:w="7366" w:type="dxa"/>
            <w:tcBorders>
              <w:left w:val="nil"/>
            </w:tcBorders>
          </w:tcPr>
          <w:p w14:paraId="604ED3D7" w14:textId="504AB2BF" w:rsidR="006031D4" w:rsidRDefault="006031D4" w:rsidP="00843921">
            <w:pPr>
              <w:spacing w:after="120"/>
              <w:rPr>
                <w:rFonts w:ascii="Arial" w:hAnsi="Arial"/>
                <w:b/>
                <w:sz w:val="22"/>
                <w:u w:val="single"/>
              </w:rPr>
            </w:pPr>
            <w:r w:rsidRPr="00CF1575">
              <w:rPr>
                <w:rFonts w:ascii="Arial" w:hAnsi="Arial"/>
                <w:b/>
                <w:sz w:val="22"/>
                <w:u w:val="single"/>
              </w:rPr>
              <w:t>De conformidad con el Artículo 7 de la Convención, el Comité Intergubernamental para la Salvaguardia del Patrimonio Cultural Inmaterial (en adelante "el Comité") preparará y someterá a la aprobación de la Asamblea General un proyecto de utilización de los recursos del Fondo, de conformidad con el Artículo 25 de la Convención.</w:t>
            </w:r>
          </w:p>
        </w:tc>
      </w:tr>
      <w:tr w:rsidR="004C0C92" w:rsidRPr="00E869B7" w14:paraId="64A683B9" w14:textId="77777777" w:rsidTr="00CB3E86">
        <w:trPr>
          <w:cantSplit/>
        </w:trPr>
        <w:tc>
          <w:tcPr>
            <w:tcW w:w="1271" w:type="dxa"/>
            <w:tcBorders>
              <w:right w:val="nil"/>
            </w:tcBorders>
          </w:tcPr>
          <w:p w14:paraId="407B183D" w14:textId="77777777" w:rsidR="004C0C92" w:rsidRPr="00034B17" w:rsidRDefault="004C0C92" w:rsidP="00843921">
            <w:pPr>
              <w:spacing w:after="120"/>
              <w:rPr>
                <w:rFonts w:ascii="Arial" w:hAnsi="Arial" w:cs="Arial"/>
                <w:sz w:val="22"/>
                <w:szCs w:val="22"/>
              </w:rPr>
            </w:pPr>
          </w:p>
        </w:tc>
        <w:tc>
          <w:tcPr>
            <w:tcW w:w="4258" w:type="dxa"/>
            <w:tcBorders>
              <w:left w:val="nil"/>
            </w:tcBorders>
          </w:tcPr>
          <w:p w14:paraId="4D5DC090" w14:textId="77777777" w:rsidR="004C0C92" w:rsidRPr="00034B17" w:rsidRDefault="004C0C92" w:rsidP="00843921">
            <w:pPr>
              <w:spacing w:after="120"/>
              <w:rPr>
                <w:rFonts w:ascii="Arial" w:hAnsi="Arial" w:cs="Arial"/>
                <w:sz w:val="22"/>
                <w:szCs w:val="22"/>
              </w:rPr>
            </w:pPr>
          </w:p>
        </w:tc>
        <w:tc>
          <w:tcPr>
            <w:tcW w:w="1417" w:type="dxa"/>
            <w:tcBorders>
              <w:right w:val="nil"/>
            </w:tcBorders>
          </w:tcPr>
          <w:p w14:paraId="20B13D70" w14:textId="0B4B3F04" w:rsidR="004C0C92" w:rsidRPr="00234E68" w:rsidRDefault="004C0C92" w:rsidP="00843921">
            <w:pPr>
              <w:suppressAutoHyphens/>
              <w:spacing w:after="120"/>
              <w:rPr>
                <w:rFonts w:ascii="Arial" w:hAnsi="Arial" w:cs="Arial"/>
                <w:sz w:val="22"/>
                <w:szCs w:val="22"/>
              </w:rPr>
            </w:pPr>
            <w:r>
              <w:rPr>
                <w:rFonts w:ascii="Arial" w:hAnsi="Arial"/>
                <w:b/>
                <w:sz w:val="22"/>
                <w:u w:val="single"/>
              </w:rPr>
              <w:t>4.</w:t>
            </w:r>
            <w:r w:rsidR="006031D4">
              <w:rPr>
                <w:rFonts w:ascii="Arial" w:hAnsi="Arial"/>
                <w:b/>
                <w:sz w:val="22"/>
                <w:u w:val="single"/>
              </w:rPr>
              <w:t>3</w:t>
            </w:r>
          </w:p>
        </w:tc>
        <w:tc>
          <w:tcPr>
            <w:tcW w:w="7366" w:type="dxa"/>
            <w:tcBorders>
              <w:left w:val="nil"/>
            </w:tcBorders>
          </w:tcPr>
          <w:p w14:paraId="4A8EC575" w14:textId="3835AA77" w:rsidR="004C0C92" w:rsidRPr="00234E68" w:rsidRDefault="004C0C92" w:rsidP="00843921">
            <w:pPr>
              <w:spacing w:after="120"/>
              <w:ind w:left="-1" w:firstLine="2"/>
              <w:rPr>
                <w:rFonts w:ascii="Arial" w:hAnsi="Arial" w:cs="Arial"/>
                <w:b/>
                <w:bCs/>
                <w:sz w:val="22"/>
                <w:szCs w:val="22"/>
                <w:u w:val="single"/>
              </w:rPr>
            </w:pPr>
            <w:r>
              <w:rPr>
                <w:rFonts w:ascii="Arial" w:hAnsi="Arial"/>
                <w:b/>
                <w:sz w:val="22"/>
                <w:u w:val="single"/>
              </w:rPr>
              <w:t>El/La Directora(a) General gestionará y administrará los fondos de la Cuenta Especial de conformidad con el texto de la Convención,</w:t>
            </w:r>
            <w:r w:rsidR="002A6F7F">
              <w:rPr>
                <w:rFonts w:ascii="Arial" w:hAnsi="Arial"/>
                <w:b/>
                <w:sz w:val="22"/>
                <w:u w:val="single"/>
              </w:rPr>
              <w:t xml:space="preserve"> las Directrices Operativas,</w:t>
            </w:r>
            <w:r>
              <w:rPr>
                <w:rFonts w:ascii="Arial" w:hAnsi="Arial"/>
                <w:b/>
                <w:sz w:val="22"/>
                <w:u w:val="single"/>
              </w:rPr>
              <w:t xml:space="preserve"> las decisiones aprobadas por la Asamblea General y el Comité, y el presente Reglamento Financiero.</w:t>
            </w:r>
          </w:p>
        </w:tc>
      </w:tr>
      <w:tr w:rsidR="004C0C92" w:rsidRPr="00E869B7" w14:paraId="79312B15" w14:textId="77777777" w:rsidTr="00CB3E86">
        <w:trPr>
          <w:cantSplit/>
        </w:trPr>
        <w:tc>
          <w:tcPr>
            <w:tcW w:w="1271" w:type="dxa"/>
            <w:tcBorders>
              <w:right w:val="nil"/>
            </w:tcBorders>
          </w:tcPr>
          <w:p w14:paraId="63184CD0" w14:textId="77777777" w:rsidR="004C0C92" w:rsidRPr="00034B17" w:rsidRDefault="004C0C92" w:rsidP="00843921">
            <w:pPr>
              <w:spacing w:after="120"/>
              <w:rPr>
                <w:rFonts w:ascii="Arial" w:hAnsi="Arial" w:cs="Arial"/>
                <w:sz w:val="22"/>
                <w:szCs w:val="22"/>
              </w:rPr>
            </w:pPr>
          </w:p>
        </w:tc>
        <w:tc>
          <w:tcPr>
            <w:tcW w:w="4258" w:type="dxa"/>
            <w:tcBorders>
              <w:left w:val="nil"/>
            </w:tcBorders>
          </w:tcPr>
          <w:p w14:paraId="3647A406" w14:textId="77777777" w:rsidR="004C0C92" w:rsidRPr="00034B17" w:rsidRDefault="004C0C92" w:rsidP="00843921">
            <w:pPr>
              <w:spacing w:after="120"/>
              <w:rPr>
                <w:rFonts w:ascii="Arial" w:hAnsi="Arial" w:cs="Arial"/>
                <w:sz w:val="22"/>
                <w:szCs w:val="22"/>
              </w:rPr>
            </w:pPr>
          </w:p>
        </w:tc>
        <w:tc>
          <w:tcPr>
            <w:tcW w:w="1417" w:type="dxa"/>
            <w:tcBorders>
              <w:right w:val="nil"/>
            </w:tcBorders>
          </w:tcPr>
          <w:p w14:paraId="756C598F" w14:textId="60BD388B" w:rsidR="004C0C92" w:rsidRPr="00234E68" w:rsidRDefault="004C0C92" w:rsidP="00843921">
            <w:pPr>
              <w:suppressAutoHyphens/>
              <w:spacing w:after="120"/>
              <w:rPr>
                <w:rFonts w:ascii="Arial" w:hAnsi="Arial" w:cs="Arial"/>
                <w:b/>
                <w:bCs/>
                <w:spacing w:val="-3"/>
                <w:sz w:val="22"/>
                <w:szCs w:val="22"/>
                <w:u w:val="single"/>
              </w:rPr>
            </w:pPr>
            <w:r>
              <w:rPr>
                <w:rFonts w:ascii="Arial" w:hAnsi="Arial"/>
                <w:b/>
                <w:sz w:val="22"/>
                <w:u w:val="single"/>
              </w:rPr>
              <w:t>4.</w:t>
            </w:r>
            <w:r w:rsidR="006031D4">
              <w:rPr>
                <w:rFonts w:ascii="Arial" w:hAnsi="Arial"/>
                <w:b/>
                <w:sz w:val="22"/>
                <w:u w:val="single"/>
              </w:rPr>
              <w:t>4</w:t>
            </w:r>
          </w:p>
        </w:tc>
        <w:tc>
          <w:tcPr>
            <w:tcW w:w="7366" w:type="dxa"/>
            <w:tcBorders>
              <w:left w:val="nil"/>
            </w:tcBorders>
          </w:tcPr>
          <w:p w14:paraId="58B4CBEB" w14:textId="19665621" w:rsidR="004C0C92" w:rsidRPr="00234E68" w:rsidRDefault="004C0C92" w:rsidP="00843921">
            <w:pPr>
              <w:spacing w:after="120"/>
              <w:ind w:left="-1" w:firstLine="2"/>
              <w:rPr>
                <w:rFonts w:ascii="Arial" w:hAnsi="Arial" w:cs="Arial"/>
                <w:b/>
                <w:bCs/>
                <w:sz w:val="22"/>
                <w:szCs w:val="22"/>
                <w:u w:val="single"/>
              </w:rPr>
            </w:pPr>
            <w:r>
              <w:rPr>
                <w:rFonts w:ascii="Arial" w:hAnsi="Arial"/>
                <w:b/>
                <w:sz w:val="22"/>
                <w:u w:val="single"/>
              </w:rPr>
              <w:t>El/La Director(a) General presentará cada dos años a la Asamblea General y al Comité informes descriptivos y financieros, tal como se indica en el Artículo 10 infra.</w:t>
            </w:r>
          </w:p>
        </w:tc>
      </w:tr>
      <w:tr w:rsidR="004C0C92" w:rsidRPr="00234E68" w14:paraId="27F44A4A" w14:textId="77777777" w:rsidTr="00CB3E86">
        <w:trPr>
          <w:cantSplit/>
        </w:trPr>
        <w:tc>
          <w:tcPr>
            <w:tcW w:w="1271" w:type="dxa"/>
            <w:tcBorders>
              <w:bottom w:val="single" w:sz="4" w:space="0" w:color="auto"/>
              <w:right w:val="nil"/>
            </w:tcBorders>
          </w:tcPr>
          <w:p w14:paraId="6E4EC0B5" w14:textId="77777777" w:rsidR="004C0C92" w:rsidRPr="00234E68" w:rsidRDefault="004C0C92" w:rsidP="00843921">
            <w:pPr>
              <w:spacing w:after="120"/>
              <w:rPr>
                <w:rFonts w:ascii="Arial" w:hAnsi="Arial" w:cs="Arial"/>
                <w:b/>
                <w:sz w:val="22"/>
                <w:szCs w:val="22"/>
              </w:rPr>
            </w:pPr>
            <w:r>
              <w:rPr>
                <w:rFonts w:ascii="Arial" w:hAnsi="Arial"/>
                <w:b/>
                <w:sz w:val="22"/>
              </w:rPr>
              <w:lastRenderedPageBreak/>
              <w:t>Artículo 4</w:t>
            </w:r>
          </w:p>
        </w:tc>
        <w:tc>
          <w:tcPr>
            <w:tcW w:w="4258" w:type="dxa"/>
            <w:tcBorders>
              <w:left w:val="nil"/>
            </w:tcBorders>
          </w:tcPr>
          <w:p w14:paraId="5E43D82A" w14:textId="77777777" w:rsidR="004C0C92" w:rsidRPr="00234E68" w:rsidRDefault="004C0C92" w:rsidP="00843921">
            <w:pPr>
              <w:spacing w:after="120"/>
              <w:rPr>
                <w:rFonts w:ascii="Arial" w:hAnsi="Arial" w:cs="Arial"/>
                <w:b/>
                <w:sz w:val="22"/>
                <w:szCs w:val="22"/>
              </w:rPr>
            </w:pPr>
            <w:r>
              <w:rPr>
                <w:rFonts w:ascii="Arial" w:hAnsi="Arial"/>
                <w:b/>
                <w:sz w:val="22"/>
              </w:rPr>
              <w:t>Ingresos</w:t>
            </w:r>
          </w:p>
        </w:tc>
        <w:tc>
          <w:tcPr>
            <w:tcW w:w="1417" w:type="dxa"/>
            <w:tcBorders>
              <w:right w:val="nil"/>
            </w:tcBorders>
          </w:tcPr>
          <w:p w14:paraId="6BC89933" w14:textId="77777777" w:rsidR="004C0C92" w:rsidRPr="00234E68" w:rsidRDefault="004C0C92" w:rsidP="00843921">
            <w:pPr>
              <w:keepNext/>
              <w:suppressAutoHyphens/>
              <w:spacing w:after="120"/>
              <w:outlineLvl w:val="7"/>
              <w:rPr>
                <w:rFonts w:ascii="Arial" w:hAnsi="Arial" w:cs="Arial"/>
                <w:b/>
                <w:sz w:val="22"/>
                <w:szCs w:val="22"/>
              </w:rPr>
            </w:pPr>
            <w:r>
              <w:rPr>
                <w:rFonts w:ascii="Arial" w:hAnsi="Arial"/>
                <w:b/>
                <w:sz w:val="22"/>
              </w:rPr>
              <w:t xml:space="preserve">Artículo </w:t>
            </w:r>
            <w:r w:rsidRPr="00843921">
              <w:rPr>
                <w:rFonts w:ascii="Arial" w:hAnsi="Arial"/>
                <w:b/>
                <w:strike/>
                <w:sz w:val="22"/>
              </w:rPr>
              <w:t>4</w:t>
            </w:r>
            <w:r>
              <w:rPr>
                <w:rFonts w:ascii="Arial" w:hAnsi="Arial"/>
                <w:b/>
                <w:strike/>
                <w:sz w:val="22"/>
              </w:rPr>
              <w:t xml:space="preserve"> </w:t>
            </w:r>
            <w:r>
              <w:rPr>
                <w:rFonts w:ascii="Arial" w:hAnsi="Arial"/>
                <w:b/>
                <w:sz w:val="22"/>
                <w:u w:val="single"/>
              </w:rPr>
              <w:t>5</w:t>
            </w:r>
          </w:p>
        </w:tc>
        <w:tc>
          <w:tcPr>
            <w:tcW w:w="7366" w:type="dxa"/>
            <w:tcBorders>
              <w:left w:val="nil"/>
            </w:tcBorders>
          </w:tcPr>
          <w:p w14:paraId="09AA207C" w14:textId="0602E62A" w:rsidR="004C0C92" w:rsidRPr="00234E68" w:rsidRDefault="004C0C92" w:rsidP="00843921">
            <w:pPr>
              <w:keepNext/>
              <w:suppressAutoHyphens/>
              <w:spacing w:after="120"/>
              <w:outlineLvl w:val="7"/>
              <w:rPr>
                <w:rFonts w:ascii="Arial" w:hAnsi="Arial" w:cs="Arial"/>
                <w:bCs/>
                <w:sz w:val="22"/>
                <w:szCs w:val="22"/>
              </w:rPr>
            </w:pPr>
            <w:r>
              <w:rPr>
                <w:rFonts w:ascii="Arial" w:hAnsi="Arial"/>
                <w:b/>
                <w:sz w:val="22"/>
              </w:rPr>
              <w:t>Ingresos</w:t>
            </w:r>
          </w:p>
        </w:tc>
      </w:tr>
      <w:tr w:rsidR="004C0C92" w:rsidRPr="00E869B7" w14:paraId="2E4A09F6" w14:textId="77777777" w:rsidTr="00CB3E86">
        <w:trPr>
          <w:cantSplit/>
        </w:trPr>
        <w:tc>
          <w:tcPr>
            <w:tcW w:w="1271" w:type="dxa"/>
            <w:tcBorders>
              <w:right w:val="nil"/>
            </w:tcBorders>
          </w:tcPr>
          <w:p w14:paraId="61D2B3B3" w14:textId="77777777" w:rsidR="004C0C92" w:rsidRPr="00234E68" w:rsidRDefault="004C0C92" w:rsidP="00843921">
            <w:pPr>
              <w:ind w:right="34"/>
              <w:rPr>
                <w:rFonts w:ascii="Arial" w:hAnsi="Arial" w:cs="Arial"/>
                <w:sz w:val="22"/>
                <w:szCs w:val="22"/>
              </w:rPr>
            </w:pPr>
            <w:r>
              <w:rPr>
                <w:rFonts w:ascii="Arial" w:hAnsi="Arial"/>
                <w:sz w:val="22"/>
              </w:rPr>
              <w:t>4.1</w:t>
            </w:r>
          </w:p>
        </w:tc>
        <w:tc>
          <w:tcPr>
            <w:tcW w:w="4258" w:type="dxa"/>
            <w:tcBorders>
              <w:left w:val="nil"/>
            </w:tcBorders>
          </w:tcPr>
          <w:p w14:paraId="6B44CA6B" w14:textId="77777777" w:rsidR="004C0C92" w:rsidRPr="00234E68" w:rsidRDefault="004C0C92" w:rsidP="00843921">
            <w:pPr>
              <w:spacing w:after="120"/>
              <w:rPr>
                <w:rFonts w:ascii="Arial" w:hAnsi="Arial" w:cs="Arial"/>
                <w:sz w:val="22"/>
                <w:szCs w:val="22"/>
              </w:rPr>
            </w:pPr>
            <w:r>
              <w:rPr>
                <w:rFonts w:ascii="Arial" w:hAnsi="Arial"/>
                <w:sz w:val="22"/>
              </w:rPr>
              <w:t>De conformidad con el párrafo 3 del Artículo 25 de la Convención, los ingresos de la Cuenta Especial estarán constituidos por:</w:t>
            </w:r>
          </w:p>
          <w:p w14:paraId="49165665" w14:textId="77777777" w:rsidR="004C0C92" w:rsidRPr="00234E68" w:rsidRDefault="004C0C92" w:rsidP="00843921">
            <w:pPr>
              <w:pStyle w:val="Paragraphedeliste"/>
              <w:numPr>
                <w:ilvl w:val="0"/>
                <w:numId w:val="10"/>
              </w:numPr>
              <w:tabs>
                <w:tab w:val="left" w:pos="567"/>
              </w:tabs>
              <w:suppressAutoHyphens/>
              <w:snapToGrid w:val="0"/>
              <w:spacing w:after="60"/>
              <w:ind w:left="321"/>
              <w:contextualSpacing w:val="0"/>
              <w:rPr>
                <w:rFonts w:ascii="Arial" w:hAnsi="Arial" w:cs="Arial"/>
                <w:iCs/>
                <w:spacing w:val="-3"/>
                <w:sz w:val="22"/>
                <w:szCs w:val="22"/>
              </w:rPr>
            </w:pPr>
            <w:r>
              <w:rPr>
                <w:rFonts w:ascii="Arial" w:hAnsi="Arial"/>
                <w:sz w:val="22"/>
              </w:rPr>
              <w:t>las contribuciones de los Estados Partes en la Convención, con arreglo a lo dispuesto en su Artículo 26;</w:t>
            </w:r>
          </w:p>
          <w:p w14:paraId="78FD2D57" w14:textId="77777777" w:rsidR="004C0C92" w:rsidRPr="00234E68" w:rsidRDefault="004C0C92" w:rsidP="00843921">
            <w:pPr>
              <w:pStyle w:val="Paragraphedeliste"/>
              <w:numPr>
                <w:ilvl w:val="0"/>
                <w:numId w:val="10"/>
              </w:numPr>
              <w:tabs>
                <w:tab w:val="left" w:pos="567"/>
              </w:tabs>
              <w:suppressAutoHyphens/>
              <w:snapToGrid w:val="0"/>
              <w:spacing w:after="60"/>
              <w:ind w:left="321"/>
              <w:contextualSpacing w:val="0"/>
              <w:rPr>
                <w:rFonts w:ascii="Arial" w:hAnsi="Arial" w:cs="Arial"/>
                <w:iCs/>
                <w:spacing w:val="-3"/>
                <w:sz w:val="22"/>
                <w:szCs w:val="22"/>
              </w:rPr>
            </w:pPr>
            <w:r>
              <w:rPr>
                <w:rFonts w:ascii="Arial" w:hAnsi="Arial"/>
                <w:sz w:val="22"/>
              </w:rPr>
              <w:t>fondos consignados para este fin por la Conferencia General de la UNESCO;</w:t>
            </w:r>
          </w:p>
          <w:p w14:paraId="23C15BD7" w14:textId="77777777" w:rsidR="004C0C92" w:rsidRPr="00234E68" w:rsidRDefault="004C0C92" w:rsidP="00843921">
            <w:pPr>
              <w:pStyle w:val="Paragraphedeliste"/>
              <w:numPr>
                <w:ilvl w:val="0"/>
                <w:numId w:val="10"/>
              </w:numPr>
              <w:tabs>
                <w:tab w:val="left" w:pos="567"/>
              </w:tabs>
              <w:suppressAutoHyphens/>
              <w:snapToGrid w:val="0"/>
              <w:spacing w:after="60"/>
              <w:ind w:left="321"/>
              <w:contextualSpacing w:val="0"/>
              <w:rPr>
                <w:rFonts w:ascii="Arial" w:hAnsi="Arial" w:cs="Arial"/>
                <w:iCs/>
                <w:spacing w:val="-3"/>
                <w:sz w:val="22"/>
                <w:szCs w:val="22"/>
              </w:rPr>
            </w:pPr>
            <w:r>
              <w:rPr>
                <w:rFonts w:ascii="Arial" w:hAnsi="Arial"/>
                <w:sz w:val="22"/>
              </w:rPr>
              <w:t>las aportaciones, donaciones o legados que puedan hacer:</w:t>
            </w:r>
          </w:p>
          <w:p w14:paraId="4BED1D0C" w14:textId="77777777" w:rsidR="004C0C92" w:rsidRPr="00234E68" w:rsidRDefault="004C0C92" w:rsidP="00843921">
            <w:pPr>
              <w:pStyle w:val="Paragraphedeliste"/>
              <w:numPr>
                <w:ilvl w:val="0"/>
                <w:numId w:val="11"/>
              </w:numPr>
              <w:tabs>
                <w:tab w:val="left" w:pos="746"/>
              </w:tabs>
              <w:snapToGrid w:val="0"/>
              <w:spacing w:after="60"/>
              <w:ind w:left="746" w:hanging="425"/>
              <w:contextualSpacing w:val="0"/>
              <w:rPr>
                <w:rFonts w:ascii="Arial" w:hAnsi="Arial" w:cs="Arial"/>
                <w:sz w:val="22"/>
                <w:szCs w:val="22"/>
              </w:rPr>
            </w:pPr>
            <w:r>
              <w:rPr>
                <w:rFonts w:ascii="Arial" w:hAnsi="Arial"/>
                <w:sz w:val="22"/>
              </w:rPr>
              <w:t xml:space="preserve">otros Estados; </w:t>
            </w:r>
          </w:p>
          <w:p w14:paraId="62803C4F" w14:textId="3844993F" w:rsidR="004C0C92" w:rsidRPr="00234E68" w:rsidRDefault="004C0C92" w:rsidP="00843921">
            <w:pPr>
              <w:pStyle w:val="Paragraphedeliste"/>
              <w:numPr>
                <w:ilvl w:val="0"/>
                <w:numId w:val="11"/>
              </w:numPr>
              <w:tabs>
                <w:tab w:val="left" w:pos="746"/>
              </w:tabs>
              <w:snapToGrid w:val="0"/>
              <w:spacing w:after="60"/>
              <w:ind w:left="746" w:hanging="425"/>
              <w:contextualSpacing w:val="0"/>
              <w:rPr>
                <w:rFonts w:ascii="Arial" w:hAnsi="Arial" w:cs="Arial"/>
                <w:sz w:val="22"/>
                <w:szCs w:val="22"/>
              </w:rPr>
            </w:pPr>
            <w:r>
              <w:rPr>
                <w:rFonts w:ascii="Arial" w:hAnsi="Arial"/>
                <w:sz w:val="22"/>
              </w:rPr>
              <w:t>organizaciones y programas del sistema de las Naciones Unidas, en especial el Programa de las Naciones Unidas para el Desarrollo, así como otras organizaciones internacionales;</w:t>
            </w:r>
          </w:p>
          <w:p w14:paraId="6C969291" w14:textId="1647E45A" w:rsidR="004C0C92" w:rsidRPr="00034B17" w:rsidRDefault="004C0C92" w:rsidP="00843921">
            <w:pPr>
              <w:pStyle w:val="Paragraphedeliste"/>
              <w:numPr>
                <w:ilvl w:val="0"/>
                <w:numId w:val="11"/>
              </w:numPr>
              <w:tabs>
                <w:tab w:val="left" w:pos="746"/>
              </w:tabs>
              <w:snapToGrid w:val="0"/>
              <w:spacing w:after="60"/>
              <w:ind w:left="746" w:hanging="425"/>
              <w:contextualSpacing w:val="0"/>
              <w:rPr>
                <w:rFonts w:ascii="Arial" w:hAnsi="Arial" w:cs="Arial"/>
                <w:sz w:val="22"/>
                <w:szCs w:val="22"/>
                <w:lang w:val="pt-PT"/>
              </w:rPr>
            </w:pPr>
            <w:r w:rsidRPr="00034B17">
              <w:rPr>
                <w:rFonts w:ascii="Arial" w:hAnsi="Arial"/>
                <w:sz w:val="22"/>
                <w:lang w:val="pt-PT"/>
              </w:rPr>
              <w:t>organismos públicos o privados o personas físicas</w:t>
            </w:r>
            <w:r>
              <w:rPr>
                <w:rFonts w:ascii="Arial" w:hAnsi="Arial"/>
                <w:sz w:val="22"/>
                <w:lang w:val="pt-PT"/>
              </w:rPr>
              <w:t>;</w:t>
            </w:r>
          </w:p>
          <w:p w14:paraId="6781A5C8" w14:textId="77777777" w:rsidR="004C0C92" w:rsidRPr="00234E68" w:rsidRDefault="004C0C92" w:rsidP="00843921">
            <w:pPr>
              <w:pStyle w:val="Paragraphedeliste"/>
              <w:numPr>
                <w:ilvl w:val="0"/>
                <w:numId w:val="10"/>
              </w:numPr>
              <w:tabs>
                <w:tab w:val="left" w:pos="567"/>
              </w:tabs>
              <w:suppressAutoHyphens/>
              <w:snapToGrid w:val="0"/>
              <w:spacing w:after="60"/>
              <w:ind w:left="321"/>
              <w:contextualSpacing w:val="0"/>
              <w:rPr>
                <w:rFonts w:ascii="Arial" w:hAnsi="Arial" w:cs="Arial"/>
                <w:iCs/>
                <w:spacing w:val="-3"/>
                <w:sz w:val="22"/>
                <w:szCs w:val="22"/>
              </w:rPr>
            </w:pPr>
            <w:r>
              <w:rPr>
                <w:rFonts w:ascii="Arial" w:hAnsi="Arial"/>
                <w:sz w:val="22"/>
              </w:rPr>
              <w:t>todo interés devengado por los recursos de la Cuenta Especial;</w:t>
            </w:r>
          </w:p>
          <w:p w14:paraId="73C1D314" w14:textId="77777777" w:rsidR="004C0C92" w:rsidRPr="00234E68" w:rsidRDefault="004C0C92" w:rsidP="00843921">
            <w:pPr>
              <w:pStyle w:val="Paragraphedeliste"/>
              <w:numPr>
                <w:ilvl w:val="0"/>
                <w:numId w:val="10"/>
              </w:numPr>
              <w:tabs>
                <w:tab w:val="left" w:pos="567"/>
              </w:tabs>
              <w:suppressAutoHyphens/>
              <w:snapToGrid w:val="0"/>
              <w:spacing w:after="60"/>
              <w:ind w:left="321"/>
              <w:contextualSpacing w:val="0"/>
              <w:rPr>
                <w:rFonts w:ascii="Arial" w:hAnsi="Arial" w:cs="Arial"/>
                <w:iCs/>
                <w:spacing w:val="-3"/>
                <w:sz w:val="22"/>
                <w:szCs w:val="22"/>
              </w:rPr>
            </w:pPr>
            <w:r>
              <w:rPr>
                <w:rFonts w:ascii="Arial" w:hAnsi="Arial"/>
                <w:sz w:val="22"/>
              </w:rPr>
              <w:t>el producto de las colectas y la recaudación de las manifestaciones organizadas en provecho de la Cuenta Especial;</w:t>
            </w:r>
          </w:p>
          <w:p w14:paraId="6DCB95E8" w14:textId="77777777" w:rsidR="004C0C92" w:rsidRPr="00234E68" w:rsidRDefault="004C0C92" w:rsidP="00843921">
            <w:pPr>
              <w:pStyle w:val="Paragraphedeliste"/>
              <w:numPr>
                <w:ilvl w:val="0"/>
                <w:numId w:val="10"/>
              </w:numPr>
              <w:tabs>
                <w:tab w:val="left" w:pos="567"/>
              </w:tabs>
              <w:suppressAutoHyphens/>
              <w:snapToGrid w:val="0"/>
              <w:spacing w:after="60"/>
              <w:ind w:left="321"/>
              <w:contextualSpacing w:val="0"/>
              <w:rPr>
                <w:rFonts w:ascii="Arial" w:hAnsi="Arial" w:cs="Arial"/>
                <w:sz w:val="22"/>
                <w:szCs w:val="22"/>
              </w:rPr>
            </w:pPr>
            <w:r>
              <w:rPr>
                <w:rFonts w:ascii="Arial" w:hAnsi="Arial"/>
                <w:sz w:val="22"/>
              </w:rPr>
              <w:t>todos los demás recursos autorizados por el Comité.</w:t>
            </w:r>
          </w:p>
        </w:tc>
        <w:tc>
          <w:tcPr>
            <w:tcW w:w="1417" w:type="dxa"/>
            <w:tcBorders>
              <w:right w:val="nil"/>
            </w:tcBorders>
          </w:tcPr>
          <w:p w14:paraId="3642D7FF" w14:textId="77777777" w:rsidR="004C0C92" w:rsidRPr="00234E68" w:rsidRDefault="004C0C92" w:rsidP="00843921">
            <w:pPr>
              <w:pStyle w:val="Sansinterligne"/>
              <w:rPr>
                <w:rFonts w:ascii="Arial" w:hAnsi="Arial" w:cs="Arial"/>
              </w:rPr>
            </w:pPr>
            <w:r>
              <w:rPr>
                <w:rFonts w:ascii="Arial" w:hAnsi="Arial"/>
                <w:strike/>
              </w:rPr>
              <w:t>4.1</w:t>
            </w:r>
            <w:r>
              <w:rPr>
                <w:rFonts w:ascii="Arial" w:hAnsi="Arial"/>
                <w:b/>
                <w:u w:val="single"/>
              </w:rPr>
              <w:t>5.1</w:t>
            </w:r>
            <w:r>
              <w:rPr>
                <w:rFonts w:ascii="Arial" w:hAnsi="Arial"/>
              </w:rPr>
              <w:t xml:space="preserve"> </w:t>
            </w:r>
          </w:p>
        </w:tc>
        <w:tc>
          <w:tcPr>
            <w:tcW w:w="7366" w:type="dxa"/>
            <w:tcBorders>
              <w:left w:val="nil"/>
            </w:tcBorders>
          </w:tcPr>
          <w:p w14:paraId="3D652F13" w14:textId="77777777" w:rsidR="004C0C92" w:rsidRPr="00234E68" w:rsidRDefault="004C0C92" w:rsidP="00843921">
            <w:pPr>
              <w:spacing w:after="120"/>
              <w:rPr>
                <w:rFonts w:ascii="Arial" w:hAnsi="Arial" w:cs="Arial"/>
                <w:sz w:val="22"/>
                <w:szCs w:val="22"/>
              </w:rPr>
            </w:pPr>
            <w:r>
              <w:rPr>
                <w:rFonts w:ascii="Arial" w:hAnsi="Arial"/>
                <w:sz w:val="22"/>
              </w:rPr>
              <w:t>De conformidad con el párrafo 3 del Artículo 25 de la Convención, los ingresos de la Cuenta Especial estarán constituidos por:</w:t>
            </w:r>
          </w:p>
          <w:p w14:paraId="6DCBB2C8" w14:textId="3B98CE89" w:rsidR="004C0C92" w:rsidRPr="00234E68" w:rsidRDefault="004C0C92" w:rsidP="00CB3E86">
            <w:pPr>
              <w:pStyle w:val="Paragraphedeliste"/>
              <w:numPr>
                <w:ilvl w:val="0"/>
                <w:numId w:val="22"/>
              </w:numPr>
              <w:tabs>
                <w:tab w:val="left" w:pos="567"/>
              </w:tabs>
              <w:suppressAutoHyphens/>
              <w:snapToGrid w:val="0"/>
              <w:spacing w:after="60"/>
              <w:ind w:left="305"/>
              <w:contextualSpacing w:val="0"/>
              <w:rPr>
                <w:rFonts w:ascii="Arial" w:hAnsi="Arial" w:cs="Arial"/>
                <w:iCs/>
                <w:spacing w:val="-3"/>
                <w:sz w:val="22"/>
                <w:szCs w:val="22"/>
              </w:rPr>
            </w:pPr>
            <w:r>
              <w:rPr>
                <w:rFonts w:ascii="Arial" w:hAnsi="Arial"/>
                <w:sz w:val="22"/>
              </w:rPr>
              <w:t>las contribuciones de los Estados Partes</w:t>
            </w:r>
            <w:r w:rsidRPr="009C211A">
              <w:rPr>
                <w:rFonts w:ascii="Arial" w:hAnsi="Arial"/>
                <w:strike/>
                <w:sz w:val="22"/>
              </w:rPr>
              <w:t xml:space="preserve"> </w:t>
            </w:r>
            <w:r w:rsidRPr="00CB3E86">
              <w:rPr>
                <w:rFonts w:ascii="Arial" w:hAnsi="Arial"/>
                <w:strike/>
                <w:sz w:val="22"/>
              </w:rPr>
              <w:t xml:space="preserve">en la Convención, con arreglo a lo dispuesto en </w:t>
            </w:r>
            <w:r>
              <w:rPr>
                <w:rFonts w:ascii="Arial" w:hAnsi="Arial"/>
                <w:strike/>
                <w:sz w:val="22"/>
              </w:rPr>
              <w:t>su</w:t>
            </w:r>
            <w:r w:rsidRPr="009C211A">
              <w:rPr>
                <w:rFonts w:ascii="Arial" w:hAnsi="Arial"/>
                <w:strike/>
                <w:sz w:val="22"/>
              </w:rPr>
              <w:t xml:space="preserve"> </w:t>
            </w:r>
            <w:r>
              <w:rPr>
                <w:rFonts w:ascii="Arial" w:hAnsi="Arial"/>
                <w:strike/>
                <w:sz w:val="22"/>
              </w:rPr>
              <w:t>a</w:t>
            </w:r>
            <w:r w:rsidRPr="009C211A">
              <w:rPr>
                <w:rFonts w:ascii="Arial" w:hAnsi="Arial"/>
                <w:strike/>
                <w:sz w:val="22"/>
              </w:rPr>
              <w:t>rtículo 26</w:t>
            </w:r>
            <w:r>
              <w:rPr>
                <w:rFonts w:ascii="Arial" w:hAnsi="Arial"/>
                <w:sz w:val="22"/>
              </w:rPr>
              <w:t>;</w:t>
            </w:r>
          </w:p>
          <w:p w14:paraId="3A969C6A" w14:textId="489099D3" w:rsidR="004C0C92" w:rsidRPr="007564BF" w:rsidRDefault="004C0C92" w:rsidP="009C211A">
            <w:pPr>
              <w:pStyle w:val="Paragraphedeliste"/>
              <w:numPr>
                <w:ilvl w:val="0"/>
                <w:numId w:val="22"/>
              </w:numPr>
              <w:tabs>
                <w:tab w:val="left" w:pos="567"/>
              </w:tabs>
              <w:suppressAutoHyphens/>
              <w:snapToGrid w:val="0"/>
              <w:spacing w:after="60"/>
              <w:ind w:left="321"/>
              <w:contextualSpacing w:val="0"/>
              <w:rPr>
                <w:rFonts w:ascii="Arial" w:hAnsi="Arial" w:cs="Arial"/>
                <w:iCs/>
                <w:spacing w:val="-3"/>
                <w:sz w:val="22"/>
                <w:szCs w:val="22"/>
              </w:rPr>
            </w:pPr>
            <w:r w:rsidRPr="009C211A">
              <w:rPr>
                <w:rFonts w:ascii="Arial" w:hAnsi="Arial"/>
                <w:sz w:val="22"/>
              </w:rPr>
              <w:t>fondos consignados para este fin por la Conferencia General de la UNESCO</w:t>
            </w:r>
            <w:r w:rsidRPr="007564BF">
              <w:rPr>
                <w:rFonts w:ascii="Arial" w:hAnsi="Arial"/>
                <w:sz w:val="22"/>
              </w:rPr>
              <w:t>;</w:t>
            </w:r>
          </w:p>
          <w:p w14:paraId="3EFB6ECB" w14:textId="19430DCA" w:rsidR="004C0C92" w:rsidRPr="00234E68" w:rsidRDefault="004C0C92" w:rsidP="009C211A">
            <w:pPr>
              <w:pStyle w:val="Paragraphedeliste"/>
              <w:numPr>
                <w:ilvl w:val="0"/>
                <w:numId w:val="22"/>
              </w:numPr>
              <w:tabs>
                <w:tab w:val="left" w:pos="567"/>
              </w:tabs>
              <w:suppressAutoHyphens/>
              <w:snapToGrid w:val="0"/>
              <w:spacing w:after="60"/>
              <w:ind w:left="321"/>
              <w:contextualSpacing w:val="0"/>
              <w:rPr>
                <w:rFonts w:ascii="Arial" w:hAnsi="Arial" w:cs="Arial"/>
                <w:iCs/>
                <w:spacing w:val="-3"/>
                <w:sz w:val="22"/>
                <w:szCs w:val="22"/>
              </w:rPr>
            </w:pPr>
            <w:r w:rsidRPr="00412320">
              <w:rPr>
                <w:rFonts w:ascii="Arial" w:hAnsi="Arial"/>
                <w:sz w:val="22"/>
              </w:rPr>
              <w:t>las aportaciones, donaciones o legados que puedan hacer</w:t>
            </w:r>
            <w:r>
              <w:rPr>
                <w:rFonts w:ascii="Arial" w:hAnsi="Arial"/>
                <w:sz w:val="22"/>
              </w:rPr>
              <w:t>:</w:t>
            </w:r>
          </w:p>
          <w:p w14:paraId="4ED624E2" w14:textId="0B26AD0B" w:rsidR="004C0C92" w:rsidRPr="00234E68" w:rsidRDefault="004C0C92" w:rsidP="009C211A">
            <w:pPr>
              <w:pStyle w:val="Paragraphedeliste"/>
              <w:numPr>
                <w:ilvl w:val="0"/>
                <w:numId w:val="23"/>
              </w:numPr>
              <w:tabs>
                <w:tab w:val="left" w:pos="746"/>
              </w:tabs>
              <w:snapToGrid w:val="0"/>
              <w:spacing w:after="60"/>
              <w:contextualSpacing w:val="0"/>
              <w:rPr>
                <w:rFonts w:ascii="Arial" w:hAnsi="Arial" w:cs="Arial"/>
                <w:sz w:val="22"/>
                <w:szCs w:val="22"/>
              </w:rPr>
            </w:pPr>
            <w:r>
              <w:rPr>
                <w:rFonts w:ascii="Arial" w:hAnsi="Arial"/>
                <w:sz w:val="22"/>
              </w:rPr>
              <w:t>otros Estados;</w:t>
            </w:r>
          </w:p>
          <w:p w14:paraId="0851C25A" w14:textId="77777777" w:rsidR="004C0C92" w:rsidRPr="00234E68" w:rsidRDefault="004C0C92" w:rsidP="009C211A">
            <w:pPr>
              <w:pStyle w:val="Paragraphedeliste"/>
              <w:numPr>
                <w:ilvl w:val="0"/>
                <w:numId w:val="23"/>
              </w:numPr>
              <w:tabs>
                <w:tab w:val="left" w:pos="746"/>
              </w:tabs>
              <w:snapToGrid w:val="0"/>
              <w:spacing w:after="60"/>
              <w:ind w:left="746" w:hanging="425"/>
              <w:contextualSpacing w:val="0"/>
              <w:rPr>
                <w:rFonts w:ascii="Arial" w:hAnsi="Arial" w:cs="Arial"/>
                <w:sz w:val="22"/>
                <w:szCs w:val="22"/>
              </w:rPr>
            </w:pPr>
            <w:r>
              <w:rPr>
                <w:rFonts w:ascii="Arial" w:hAnsi="Arial"/>
                <w:sz w:val="22"/>
              </w:rPr>
              <w:t>organizaciones y programas del sistema de las Naciones Unidas, en especial el Programa de las Naciones Unidas para el Desarrollo, así como otras organizaciones internacionales;</w:t>
            </w:r>
          </w:p>
          <w:p w14:paraId="4399BEC7" w14:textId="77777777" w:rsidR="004C0C92" w:rsidRPr="00034B17" w:rsidRDefault="004C0C92" w:rsidP="009C211A">
            <w:pPr>
              <w:pStyle w:val="Paragraphedeliste"/>
              <w:numPr>
                <w:ilvl w:val="0"/>
                <w:numId w:val="23"/>
              </w:numPr>
              <w:tabs>
                <w:tab w:val="left" w:pos="746"/>
              </w:tabs>
              <w:snapToGrid w:val="0"/>
              <w:spacing w:after="60"/>
              <w:ind w:left="746" w:hanging="425"/>
              <w:contextualSpacing w:val="0"/>
              <w:rPr>
                <w:rFonts w:ascii="Arial" w:hAnsi="Arial" w:cs="Arial"/>
                <w:sz w:val="22"/>
                <w:szCs w:val="22"/>
                <w:lang w:val="pt-PT"/>
              </w:rPr>
            </w:pPr>
            <w:r w:rsidRPr="00034B17">
              <w:rPr>
                <w:rFonts w:ascii="Arial" w:hAnsi="Arial"/>
                <w:sz w:val="22"/>
                <w:lang w:val="pt-PT"/>
              </w:rPr>
              <w:t>organismos públicos o privados o personas físicas;</w:t>
            </w:r>
          </w:p>
          <w:p w14:paraId="7C38A817" w14:textId="73C5B657" w:rsidR="004C0C92" w:rsidRPr="00234E68" w:rsidRDefault="004C0C92" w:rsidP="009C211A">
            <w:pPr>
              <w:pStyle w:val="Paragraphedeliste"/>
              <w:numPr>
                <w:ilvl w:val="0"/>
                <w:numId w:val="22"/>
              </w:numPr>
              <w:tabs>
                <w:tab w:val="left" w:pos="567"/>
              </w:tabs>
              <w:suppressAutoHyphens/>
              <w:snapToGrid w:val="0"/>
              <w:spacing w:after="60"/>
              <w:ind w:left="321"/>
              <w:contextualSpacing w:val="0"/>
              <w:rPr>
                <w:rFonts w:ascii="Arial" w:hAnsi="Arial" w:cs="Arial"/>
                <w:iCs/>
                <w:spacing w:val="-3"/>
                <w:sz w:val="22"/>
                <w:szCs w:val="22"/>
              </w:rPr>
            </w:pPr>
            <w:r>
              <w:rPr>
                <w:rFonts w:ascii="Arial" w:hAnsi="Arial"/>
                <w:sz w:val="22"/>
              </w:rPr>
              <w:t xml:space="preserve">todo interés </w:t>
            </w:r>
            <w:r w:rsidRPr="009C211A">
              <w:rPr>
                <w:rFonts w:ascii="Arial" w:hAnsi="Arial"/>
                <w:sz w:val="22"/>
              </w:rPr>
              <w:t>devengado por los recursos de la Cuenta Especial;</w:t>
            </w:r>
          </w:p>
          <w:p w14:paraId="2495655B" w14:textId="77777777" w:rsidR="004C0C92" w:rsidRPr="00234E68" w:rsidRDefault="004C0C92" w:rsidP="009C211A">
            <w:pPr>
              <w:pStyle w:val="Paragraphedeliste"/>
              <w:numPr>
                <w:ilvl w:val="0"/>
                <w:numId w:val="22"/>
              </w:numPr>
              <w:tabs>
                <w:tab w:val="left" w:pos="567"/>
              </w:tabs>
              <w:suppressAutoHyphens/>
              <w:snapToGrid w:val="0"/>
              <w:spacing w:after="60"/>
              <w:ind w:left="321"/>
              <w:contextualSpacing w:val="0"/>
              <w:rPr>
                <w:rFonts w:ascii="Arial" w:hAnsi="Arial" w:cs="Arial"/>
                <w:iCs/>
                <w:spacing w:val="-3"/>
                <w:sz w:val="22"/>
                <w:szCs w:val="22"/>
              </w:rPr>
            </w:pPr>
            <w:r>
              <w:rPr>
                <w:rFonts w:ascii="Arial" w:hAnsi="Arial"/>
                <w:sz w:val="22"/>
              </w:rPr>
              <w:t>el producto de las colectas y la recaudación de las manifestaciones organizadas en provecho de la Cuenta Especial;</w:t>
            </w:r>
          </w:p>
          <w:p w14:paraId="125E1639" w14:textId="77777777" w:rsidR="004C0C92" w:rsidRPr="00234E68" w:rsidRDefault="004C0C92" w:rsidP="009C211A">
            <w:pPr>
              <w:pStyle w:val="Paragraphedeliste"/>
              <w:numPr>
                <w:ilvl w:val="0"/>
                <w:numId w:val="22"/>
              </w:numPr>
              <w:tabs>
                <w:tab w:val="left" w:pos="567"/>
              </w:tabs>
              <w:suppressAutoHyphens/>
              <w:snapToGrid w:val="0"/>
              <w:spacing w:after="60"/>
              <w:ind w:left="321"/>
              <w:contextualSpacing w:val="0"/>
              <w:rPr>
                <w:rFonts w:ascii="Arial" w:hAnsi="Arial" w:cs="Arial"/>
                <w:iCs/>
                <w:spacing w:val="-3"/>
                <w:sz w:val="22"/>
                <w:szCs w:val="22"/>
              </w:rPr>
            </w:pPr>
            <w:r>
              <w:rPr>
                <w:rFonts w:ascii="Arial" w:hAnsi="Arial"/>
                <w:sz w:val="22"/>
              </w:rPr>
              <w:t>todos los demás recursos autorizados por el Comité.</w:t>
            </w:r>
          </w:p>
          <w:p w14:paraId="3E874B18" w14:textId="77777777" w:rsidR="004C0C92" w:rsidRPr="00034B17" w:rsidRDefault="004C0C92" w:rsidP="00843921">
            <w:pPr>
              <w:rPr>
                <w:rFonts w:ascii="Arial" w:hAnsi="Arial" w:cs="Arial"/>
                <w:sz w:val="22"/>
                <w:szCs w:val="22"/>
              </w:rPr>
            </w:pPr>
          </w:p>
        </w:tc>
      </w:tr>
      <w:tr w:rsidR="004C0C92" w:rsidRPr="00234E68" w14:paraId="2C71049D" w14:textId="77777777" w:rsidTr="00CB3E86">
        <w:trPr>
          <w:cantSplit/>
        </w:trPr>
        <w:tc>
          <w:tcPr>
            <w:tcW w:w="1271" w:type="dxa"/>
            <w:tcBorders>
              <w:right w:val="nil"/>
            </w:tcBorders>
          </w:tcPr>
          <w:p w14:paraId="696CE7C0" w14:textId="77777777" w:rsidR="004C0C92" w:rsidRPr="00234E68" w:rsidRDefault="004C0C92" w:rsidP="00843921">
            <w:pPr>
              <w:spacing w:after="120"/>
              <w:rPr>
                <w:rFonts w:ascii="Arial" w:hAnsi="Arial" w:cs="Arial"/>
                <w:sz w:val="22"/>
                <w:szCs w:val="22"/>
              </w:rPr>
            </w:pPr>
            <w:r>
              <w:rPr>
                <w:rFonts w:ascii="Arial" w:hAnsi="Arial"/>
                <w:sz w:val="22"/>
              </w:rPr>
              <w:lastRenderedPageBreak/>
              <w:t xml:space="preserve">4.2 </w:t>
            </w:r>
          </w:p>
        </w:tc>
        <w:tc>
          <w:tcPr>
            <w:tcW w:w="4258" w:type="dxa"/>
            <w:tcBorders>
              <w:left w:val="nil"/>
            </w:tcBorders>
          </w:tcPr>
          <w:p w14:paraId="1203923C" w14:textId="62C9E2C0" w:rsidR="004C0C92" w:rsidRPr="00234E68" w:rsidRDefault="004C0C92" w:rsidP="00843921">
            <w:pPr>
              <w:spacing w:after="120"/>
              <w:rPr>
                <w:rFonts w:ascii="Arial" w:hAnsi="Arial" w:cs="Arial"/>
                <w:sz w:val="22"/>
                <w:szCs w:val="22"/>
              </w:rPr>
            </w:pPr>
            <w:r>
              <w:rPr>
                <w:rFonts w:ascii="Arial" w:hAnsi="Arial"/>
                <w:sz w:val="22"/>
              </w:rPr>
              <w:t>Con arreglo a lo dispuesto en el párrafo 1 del artículo 26 de la Convención, las contribuciones de los Estados Partes que no hayan hecho la declaración mencionada en el párrafo 2 de dicho artículo se abonarán de conformidad con el porcentaje uniforme que determine la Asamblea General de los Estados</w:t>
            </w:r>
            <w:r>
              <w:rPr>
                <w:rFonts w:ascii="Arial" w:hAnsi="Arial"/>
                <w:sz w:val="22"/>
              </w:rPr>
              <w:br/>
              <w:t>Partes en la Convención.</w:t>
            </w:r>
          </w:p>
        </w:tc>
        <w:tc>
          <w:tcPr>
            <w:tcW w:w="1417" w:type="dxa"/>
            <w:tcBorders>
              <w:right w:val="nil"/>
            </w:tcBorders>
          </w:tcPr>
          <w:p w14:paraId="2E0DC756" w14:textId="77777777" w:rsidR="004C0C92" w:rsidRPr="00234E68" w:rsidRDefault="004C0C92" w:rsidP="00843921">
            <w:pPr>
              <w:spacing w:after="120"/>
              <w:rPr>
                <w:rFonts w:ascii="Arial" w:hAnsi="Arial" w:cs="Arial"/>
                <w:sz w:val="22"/>
                <w:szCs w:val="22"/>
              </w:rPr>
            </w:pPr>
            <w:r>
              <w:rPr>
                <w:rFonts w:ascii="Arial" w:hAnsi="Arial"/>
                <w:strike/>
                <w:sz w:val="22"/>
              </w:rPr>
              <w:t>4.2</w:t>
            </w:r>
            <w:r>
              <w:rPr>
                <w:rFonts w:ascii="Arial" w:hAnsi="Arial"/>
                <w:b/>
                <w:sz w:val="22"/>
                <w:u w:val="single"/>
              </w:rPr>
              <w:t>5.2</w:t>
            </w:r>
          </w:p>
        </w:tc>
        <w:tc>
          <w:tcPr>
            <w:tcW w:w="7366" w:type="dxa"/>
            <w:tcBorders>
              <w:left w:val="nil"/>
            </w:tcBorders>
          </w:tcPr>
          <w:p w14:paraId="61A50947" w14:textId="77777777" w:rsidR="004C0C92" w:rsidRPr="00234E68" w:rsidRDefault="004C0C92" w:rsidP="00843921">
            <w:pPr>
              <w:spacing w:after="120"/>
              <w:rPr>
                <w:rFonts w:ascii="Arial" w:hAnsi="Arial" w:cs="Arial"/>
                <w:sz w:val="22"/>
                <w:szCs w:val="22"/>
              </w:rPr>
            </w:pPr>
            <w:r>
              <w:rPr>
                <w:rFonts w:ascii="Arial" w:hAnsi="Arial"/>
                <w:sz w:val="22"/>
              </w:rPr>
              <w:t>Sin cambios.</w:t>
            </w:r>
          </w:p>
        </w:tc>
      </w:tr>
      <w:tr w:rsidR="004C0C92" w:rsidRPr="00234E68" w14:paraId="75C1EE65" w14:textId="77777777" w:rsidTr="00CB3E86">
        <w:trPr>
          <w:cantSplit/>
        </w:trPr>
        <w:tc>
          <w:tcPr>
            <w:tcW w:w="1271" w:type="dxa"/>
            <w:tcBorders>
              <w:right w:val="nil"/>
            </w:tcBorders>
          </w:tcPr>
          <w:p w14:paraId="06CACF42" w14:textId="77777777" w:rsidR="004C0C92" w:rsidRPr="00234E68" w:rsidRDefault="004C0C92" w:rsidP="00843921">
            <w:pPr>
              <w:spacing w:after="120"/>
              <w:rPr>
                <w:rFonts w:ascii="Arial" w:hAnsi="Arial" w:cs="Arial"/>
                <w:b/>
                <w:sz w:val="22"/>
                <w:szCs w:val="22"/>
              </w:rPr>
            </w:pPr>
            <w:r>
              <w:rPr>
                <w:rFonts w:ascii="Arial" w:hAnsi="Arial"/>
                <w:b/>
                <w:sz w:val="22"/>
              </w:rPr>
              <w:t>Artículo 5</w:t>
            </w:r>
          </w:p>
        </w:tc>
        <w:tc>
          <w:tcPr>
            <w:tcW w:w="4258" w:type="dxa"/>
            <w:tcBorders>
              <w:left w:val="nil"/>
            </w:tcBorders>
          </w:tcPr>
          <w:p w14:paraId="2D7DD0BF" w14:textId="77777777" w:rsidR="004C0C92" w:rsidRPr="00234E68" w:rsidRDefault="004C0C92" w:rsidP="00843921">
            <w:pPr>
              <w:spacing w:after="120"/>
              <w:rPr>
                <w:rFonts w:ascii="Arial" w:hAnsi="Arial" w:cs="Arial"/>
                <w:b/>
                <w:sz w:val="22"/>
                <w:szCs w:val="22"/>
              </w:rPr>
            </w:pPr>
            <w:r>
              <w:rPr>
                <w:rFonts w:ascii="Arial" w:hAnsi="Arial"/>
                <w:b/>
                <w:sz w:val="22"/>
              </w:rPr>
              <w:t>Gastos</w:t>
            </w:r>
          </w:p>
        </w:tc>
        <w:tc>
          <w:tcPr>
            <w:tcW w:w="1417" w:type="dxa"/>
            <w:tcBorders>
              <w:right w:val="nil"/>
            </w:tcBorders>
          </w:tcPr>
          <w:p w14:paraId="4EBE0AF3" w14:textId="77777777" w:rsidR="004C0C92" w:rsidRPr="00234E68" w:rsidRDefault="004C0C92" w:rsidP="00843921">
            <w:pPr>
              <w:suppressAutoHyphens/>
              <w:spacing w:after="120"/>
              <w:rPr>
                <w:rFonts w:ascii="Arial" w:hAnsi="Arial" w:cs="Arial"/>
                <w:b/>
                <w:sz w:val="22"/>
                <w:szCs w:val="22"/>
              </w:rPr>
            </w:pPr>
            <w:r>
              <w:rPr>
                <w:rFonts w:ascii="Arial" w:hAnsi="Arial"/>
                <w:b/>
                <w:sz w:val="22"/>
              </w:rPr>
              <w:t xml:space="preserve">Artículo </w:t>
            </w:r>
            <w:r>
              <w:rPr>
                <w:rFonts w:ascii="Arial" w:hAnsi="Arial"/>
                <w:b/>
                <w:strike/>
                <w:sz w:val="22"/>
              </w:rPr>
              <w:t>5</w:t>
            </w:r>
            <w:r>
              <w:rPr>
                <w:rFonts w:ascii="Arial" w:hAnsi="Arial"/>
                <w:b/>
                <w:sz w:val="22"/>
                <w:u w:val="single"/>
              </w:rPr>
              <w:t>6</w:t>
            </w:r>
          </w:p>
        </w:tc>
        <w:tc>
          <w:tcPr>
            <w:tcW w:w="7366" w:type="dxa"/>
            <w:tcBorders>
              <w:left w:val="nil"/>
            </w:tcBorders>
          </w:tcPr>
          <w:p w14:paraId="6BB6E4C4" w14:textId="77777777" w:rsidR="004C0C92" w:rsidRPr="00234E68" w:rsidRDefault="004C0C92" w:rsidP="00843921">
            <w:pPr>
              <w:suppressAutoHyphens/>
              <w:spacing w:after="120"/>
              <w:rPr>
                <w:rFonts w:ascii="Arial" w:hAnsi="Arial" w:cs="Arial"/>
                <w:bCs/>
                <w:sz w:val="22"/>
                <w:szCs w:val="22"/>
              </w:rPr>
            </w:pPr>
            <w:r>
              <w:rPr>
                <w:rFonts w:ascii="Arial" w:hAnsi="Arial"/>
                <w:sz w:val="22"/>
              </w:rPr>
              <w:t>Sin cambios.</w:t>
            </w:r>
          </w:p>
        </w:tc>
      </w:tr>
      <w:tr w:rsidR="004C0C92" w:rsidRPr="00E869B7" w14:paraId="1230A695" w14:textId="77777777" w:rsidTr="00CB3E86">
        <w:trPr>
          <w:cantSplit/>
        </w:trPr>
        <w:tc>
          <w:tcPr>
            <w:tcW w:w="1271" w:type="dxa"/>
            <w:tcBorders>
              <w:right w:val="nil"/>
            </w:tcBorders>
          </w:tcPr>
          <w:p w14:paraId="2BE3868A" w14:textId="77777777" w:rsidR="004C0C92" w:rsidRPr="00234E68" w:rsidRDefault="004C0C92" w:rsidP="00843921">
            <w:pPr>
              <w:spacing w:after="120"/>
              <w:rPr>
                <w:rFonts w:ascii="Arial" w:hAnsi="Arial" w:cs="Arial"/>
                <w:sz w:val="22"/>
                <w:szCs w:val="22"/>
              </w:rPr>
            </w:pPr>
            <w:r>
              <w:rPr>
                <w:rFonts w:ascii="Arial" w:hAnsi="Arial"/>
                <w:sz w:val="22"/>
              </w:rPr>
              <w:t xml:space="preserve">5.1 </w:t>
            </w:r>
          </w:p>
        </w:tc>
        <w:tc>
          <w:tcPr>
            <w:tcW w:w="4258" w:type="dxa"/>
            <w:tcBorders>
              <w:left w:val="nil"/>
            </w:tcBorders>
          </w:tcPr>
          <w:p w14:paraId="52AD1AB2" w14:textId="760CBCE2" w:rsidR="004C0C92" w:rsidRPr="00234E68" w:rsidRDefault="004C0C92" w:rsidP="00843921">
            <w:pPr>
              <w:spacing w:after="120"/>
              <w:rPr>
                <w:rFonts w:ascii="Arial" w:hAnsi="Arial" w:cs="Arial"/>
                <w:sz w:val="22"/>
                <w:szCs w:val="22"/>
              </w:rPr>
            </w:pPr>
            <w:r>
              <w:rPr>
                <w:rFonts w:ascii="Arial" w:hAnsi="Arial"/>
                <w:sz w:val="22"/>
              </w:rPr>
              <w:t>De conformidad con el párrafo 4 del artículo 25 de la Convención, la</w:t>
            </w:r>
            <w:r>
              <w:rPr>
                <w:rFonts w:ascii="Arial" w:hAnsi="Arial"/>
                <w:sz w:val="22"/>
              </w:rPr>
              <w:br/>
              <w:t>utilización de los recursos de la Cuenta Especial por parte del Comité se decidirá a tenor de las orientaciones que formule al respecto la Asamblea General.</w:t>
            </w:r>
          </w:p>
        </w:tc>
        <w:tc>
          <w:tcPr>
            <w:tcW w:w="1417" w:type="dxa"/>
            <w:tcBorders>
              <w:right w:val="nil"/>
            </w:tcBorders>
          </w:tcPr>
          <w:p w14:paraId="55E61234" w14:textId="77777777" w:rsidR="004C0C92" w:rsidRPr="00234E68" w:rsidRDefault="004C0C92" w:rsidP="00843921">
            <w:pPr>
              <w:suppressAutoHyphens/>
              <w:spacing w:after="120"/>
              <w:rPr>
                <w:rFonts w:ascii="Arial" w:hAnsi="Arial" w:cs="Arial"/>
                <w:sz w:val="22"/>
                <w:szCs w:val="22"/>
              </w:rPr>
            </w:pPr>
            <w:r>
              <w:rPr>
                <w:rFonts w:ascii="Arial" w:hAnsi="Arial"/>
                <w:strike/>
                <w:sz w:val="22"/>
              </w:rPr>
              <w:t>5.1</w:t>
            </w:r>
            <w:r>
              <w:rPr>
                <w:rFonts w:ascii="Arial" w:hAnsi="Arial"/>
                <w:b/>
                <w:sz w:val="22"/>
                <w:u w:val="single"/>
              </w:rPr>
              <w:t>6.1</w:t>
            </w:r>
          </w:p>
        </w:tc>
        <w:tc>
          <w:tcPr>
            <w:tcW w:w="7366" w:type="dxa"/>
            <w:tcBorders>
              <w:left w:val="nil"/>
            </w:tcBorders>
          </w:tcPr>
          <w:p w14:paraId="7655322C" w14:textId="562F2042" w:rsidR="004C0C92" w:rsidRPr="009C211A" w:rsidRDefault="004C0C92" w:rsidP="006031D4">
            <w:pPr>
              <w:suppressAutoHyphens/>
              <w:spacing w:after="120"/>
              <w:rPr>
                <w:rFonts w:ascii="Arial" w:hAnsi="Arial" w:cs="Arial"/>
                <w:b/>
                <w:bCs/>
                <w:sz w:val="22"/>
                <w:szCs w:val="22"/>
                <w:u w:val="single"/>
              </w:rPr>
            </w:pPr>
            <w:r w:rsidRPr="009C211A">
              <w:rPr>
                <w:rFonts w:ascii="Arial" w:hAnsi="Arial"/>
                <w:b/>
                <w:bCs/>
                <w:iCs/>
                <w:sz w:val="22"/>
                <w:u w:val="single"/>
              </w:rPr>
              <w:t xml:space="preserve">La </w:t>
            </w:r>
            <w:r w:rsidR="006031D4">
              <w:rPr>
                <w:rFonts w:ascii="Arial" w:hAnsi="Arial"/>
                <w:b/>
                <w:bCs/>
                <w:iCs/>
                <w:sz w:val="22"/>
                <w:u w:val="single"/>
              </w:rPr>
              <w:t>utilización</w:t>
            </w:r>
            <w:r w:rsidR="006031D4" w:rsidRPr="009C211A">
              <w:rPr>
                <w:rFonts w:ascii="Arial" w:hAnsi="Arial"/>
                <w:b/>
                <w:bCs/>
                <w:iCs/>
                <w:sz w:val="22"/>
                <w:u w:val="single"/>
              </w:rPr>
              <w:t xml:space="preserve"> </w:t>
            </w:r>
            <w:r w:rsidRPr="009C211A">
              <w:rPr>
                <w:rFonts w:ascii="Arial" w:hAnsi="Arial"/>
                <w:b/>
                <w:bCs/>
                <w:iCs/>
                <w:sz w:val="22"/>
                <w:u w:val="single"/>
              </w:rPr>
              <w:t>de los recursos de la Cuenta Especial será aprobada por la Asamblea General cada dos años.</w:t>
            </w:r>
            <w:r>
              <w:rPr>
                <w:rFonts w:ascii="Arial" w:hAnsi="Arial"/>
                <w:b/>
                <w:bCs/>
                <w:iCs/>
                <w:sz w:val="22"/>
                <w:u w:val="single"/>
              </w:rPr>
              <w:t xml:space="preserve"> </w:t>
            </w:r>
            <w:r w:rsidRPr="009C211A">
              <w:rPr>
                <w:rFonts w:ascii="Arial" w:hAnsi="Arial"/>
                <w:iCs/>
                <w:strike/>
                <w:sz w:val="22"/>
              </w:rPr>
              <w:t>De conformidad con el párrafo 4 del artículo 25 de la Convención, la utilización de los recursos de la Cuenta Especial por parte del Comité se decidirá a tenor de las orientaciones que formule al respecto la Asamblea General.</w:t>
            </w:r>
          </w:p>
        </w:tc>
      </w:tr>
      <w:tr w:rsidR="004C0C92" w:rsidRPr="00E869B7" w14:paraId="43A21212" w14:textId="77777777" w:rsidTr="00CB3E86">
        <w:trPr>
          <w:cantSplit/>
        </w:trPr>
        <w:tc>
          <w:tcPr>
            <w:tcW w:w="1271" w:type="dxa"/>
            <w:tcBorders>
              <w:right w:val="nil"/>
            </w:tcBorders>
          </w:tcPr>
          <w:p w14:paraId="6F73657D" w14:textId="77777777" w:rsidR="004C0C92" w:rsidRPr="00234E68" w:rsidRDefault="004C0C92" w:rsidP="0019406E">
            <w:pPr>
              <w:spacing w:after="120"/>
              <w:rPr>
                <w:rFonts w:ascii="Arial" w:hAnsi="Arial" w:cs="Arial"/>
                <w:sz w:val="22"/>
                <w:szCs w:val="22"/>
              </w:rPr>
            </w:pPr>
            <w:r>
              <w:rPr>
                <w:rFonts w:ascii="Arial" w:hAnsi="Arial"/>
                <w:sz w:val="22"/>
              </w:rPr>
              <w:t xml:space="preserve">5.2 </w:t>
            </w:r>
          </w:p>
        </w:tc>
        <w:tc>
          <w:tcPr>
            <w:tcW w:w="4258" w:type="dxa"/>
            <w:tcBorders>
              <w:left w:val="nil"/>
            </w:tcBorders>
          </w:tcPr>
          <w:p w14:paraId="39095190" w14:textId="5D45C3BF" w:rsidR="004C0C92" w:rsidRPr="00234E68" w:rsidRDefault="004C0C92" w:rsidP="0019406E">
            <w:pPr>
              <w:spacing w:after="120"/>
              <w:rPr>
                <w:rFonts w:ascii="Arial" w:hAnsi="Arial" w:cs="Arial"/>
                <w:sz w:val="22"/>
                <w:szCs w:val="22"/>
              </w:rPr>
            </w:pPr>
            <w:r>
              <w:rPr>
                <w:rFonts w:ascii="Arial" w:hAnsi="Arial"/>
                <w:sz w:val="22"/>
              </w:rPr>
              <w:t>Se cargarán a la Cuenta Especial los gastos correspondientes a la finalidad</w:t>
            </w:r>
            <w:r>
              <w:rPr>
                <w:rFonts w:ascii="Arial" w:hAnsi="Arial"/>
                <w:sz w:val="22"/>
              </w:rPr>
              <w:br/>
              <w:t>enunciada en el artículo 3 supra, comprendidos los gastos administrativos específicamente relacionados con ésta.</w:t>
            </w:r>
          </w:p>
        </w:tc>
        <w:tc>
          <w:tcPr>
            <w:tcW w:w="1417" w:type="dxa"/>
            <w:tcBorders>
              <w:right w:val="nil"/>
            </w:tcBorders>
          </w:tcPr>
          <w:p w14:paraId="358AE38B" w14:textId="77777777" w:rsidR="004C0C92" w:rsidRPr="00234E68" w:rsidRDefault="004C0C92" w:rsidP="0019406E">
            <w:pPr>
              <w:suppressAutoHyphens/>
              <w:spacing w:after="120"/>
              <w:rPr>
                <w:rFonts w:ascii="Arial" w:hAnsi="Arial" w:cs="Arial"/>
                <w:sz w:val="22"/>
                <w:szCs w:val="22"/>
              </w:rPr>
            </w:pPr>
            <w:r>
              <w:rPr>
                <w:rFonts w:ascii="Arial" w:hAnsi="Arial"/>
                <w:strike/>
                <w:sz w:val="22"/>
              </w:rPr>
              <w:t>5.2</w:t>
            </w:r>
            <w:r>
              <w:rPr>
                <w:rFonts w:ascii="Arial" w:hAnsi="Arial"/>
                <w:b/>
                <w:sz w:val="22"/>
                <w:u w:val="single"/>
              </w:rPr>
              <w:t>6.2</w:t>
            </w:r>
          </w:p>
        </w:tc>
        <w:tc>
          <w:tcPr>
            <w:tcW w:w="7366" w:type="dxa"/>
            <w:tcBorders>
              <w:left w:val="nil"/>
            </w:tcBorders>
          </w:tcPr>
          <w:p w14:paraId="2C482A5B" w14:textId="5DCD90BA" w:rsidR="004C0C92" w:rsidRPr="009C211A" w:rsidRDefault="004C0C92" w:rsidP="0019406E">
            <w:pPr>
              <w:suppressAutoHyphens/>
              <w:spacing w:after="120"/>
              <w:rPr>
                <w:rFonts w:ascii="Arial" w:hAnsi="Arial" w:cs="Arial"/>
                <w:b/>
                <w:bCs/>
                <w:iCs/>
                <w:sz w:val="22"/>
                <w:szCs w:val="22"/>
              </w:rPr>
            </w:pPr>
            <w:r w:rsidRPr="009C211A">
              <w:rPr>
                <w:rFonts w:ascii="Arial" w:hAnsi="Arial"/>
                <w:iCs/>
                <w:sz w:val="22"/>
              </w:rPr>
              <w:t>Se cargarán a la Cuenta Especial los gastos correspondientes a la finalidad enunciada en el artículo 3, comprendidos los gastos administrativos específicamente relacionados con ésta y</w:t>
            </w:r>
            <w:r w:rsidRPr="009C211A">
              <w:rPr>
                <w:rFonts w:ascii="Arial" w:hAnsi="Arial"/>
                <w:b/>
                <w:bCs/>
                <w:iCs/>
                <w:sz w:val="22"/>
              </w:rPr>
              <w:t xml:space="preserve"> </w:t>
            </w:r>
            <w:r w:rsidRPr="009C211A">
              <w:rPr>
                <w:rFonts w:ascii="Arial" w:hAnsi="Arial"/>
                <w:b/>
                <w:bCs/>
                <w:iCs/>
                <w:sz w:val="22"/>
                <w:u w:val="single"/>
              </w:rPr>
              <w:t>los costos de gestión aplicables</w:t>
            </w:r>
            <w:r w:rsidRPr="009C211A">
              <w:rPr>
                <w:rFonts w:ascii="Arial" w:hAnsi="Arial"/>
                <w:b/>
                <w:bCs/>
                <w:iCs/>
                <w:sz w:val="22"/>
              </w:rPr>
              <w:t>.</w:t>
            </w:r>
          </w:p>
        </w:tc>
      </w:tr>
      <w:tr w:rsidR="004C0C92" w:rsidRPr="00E869B7" w14:paraId="5A676951" w14:textId="77777777" w:rsidTr="00CB3E86">
        <w:trPr>
          <w:cantSplit/>
        </w:trPr>
        <w:tc>
          <w:tcPr>
            <w:tcW w:w="1271" w:type="dxa"/>
            <w:tcBorders>
              <w:right w:val="nil"/>
            </w:tcBorders>
          </w:tcPr>
          <w:p w14:paraId="3B9C23DE" w14:textId="77777777" w:rsidR="004C0C92" w:rsidRPr="00234E68" w:rsidRDefault="004C0C92" w:rsidP="00843921">
            <w:pPr>
              <w:spacing w:after="120"/>
              <w:rPr>
                <w:rFonts w:ascii="Arial" w:hAnsi="Arial" w:cs="Arial"/>
                <w:sz w:val="22"/>
                <w:szCs w:val="22"/>
              </w:rPr>
            </w:pPr>
            <w:r>
              <w:rPr>
                <w:rFonts w:ascii="Arial" w:hAnsi="Arial"/>
                <w:sz w:val="22"/>
              </w:rPr>
              <w:t xml:space="preserve">5.3 </w:t>
            </w:r>
          </w:p>
        </w:tc>
        <w:tc>
          <w:tcPr>
            <w:tcW w:w="4258" w:type="dxa"/>
            <w:tcBorders>
              <w:left w:val="nil"/>
            </w:tcBorders>
          </w:tcPr>
          <w:p w14:paraId="7018C1A1" w14:textId="77777777" w:rsidR="004C0C92" w:rsidRPr="00234E68" w:rsidRDefault="004C0C92" w:rsidP="00843921">
            <w:pPr>
              <w:spacing w:after="120"/>
              <w:rPr>
                <w:rFonts w:ascii="Arial" w:hAnsi="Arial" w:cs="Arial"/>
                <w:sz w:val="22"/>
                <w:szCs w:val="22"/>
              </w:rPr>
            </w:pPr>
            <w:r>
              <w:rPr>
                <w:rFonts w:ascii="Arial" w:hAnsi="Arial"/>
                <w:sz w:val="22"/>
              </w:rPr>
              <w:t>Los gastos se realizarán dentro de los límites de los fondos disponibles.</w:t>
            </w:r>
          </w:p>
        </w:tc>
        <w:tc>
          <w:tcPr>
            <w:tcW w:w="1417" w:type="dxa"/>
            <w:tcBorders>
              <w:right w:val="nil"/>
            </w:tcBorders>
          </w:tcPr>
          <w:p w14:paraId="00C9305C" w14:textId="77777777" w:rsidR="004C0C92" w:rsidRPr="00234E68" w:rsidRDefault="004C0C92" w:rsidP="00843921">
            <w:pPr>
              <w:suppressAutoHyphens/>
              <w:spacing w:after="120"/>
              <w:rPr>
                <w:rFonts w:ascii="Arial" w:hAnsi="Arial" w:cs="Arial"/>
                <w:sz w:val="22"/>
                <w:szCs w:val="22"/>
              </w:rPr>
            </w:pPr>
            <w:r>
              <w:rPr>
                <w:rFonts w:ascii="Arial" w:hAnsi="Arial"/>
                <w:strike/>
                <w:sz w:val="22"/>
              </w:rPr>
              <w:t>5.3</w:t>
            </w:r>
            <w:r>
              <w:rPr>
                <w:rFonts w:ascii="Arial" w:hAnsi="Arial"/>
                <w:b/>
                <w:sz w:val="22"/>
                <w:u w:val="single"/>
              </w:rPr>
              <w:t>6.3</w:t>
            </w:r>
          </w:p>
        </w:tc>
        <w:tc>
          <w:tcPr>
            <w:tcW w:w="7366" w:type="dxa"/>
            <w:tcBorders>
              <w:left w:val="nil"/>
            </w:tcBorders>
          </w:tcPr>
          <w:p w14:paraId="4150D811" w14:textId="77777777" w:rsidR="004C0C92" w:rsidRPr="00234E68" w:rsidRDefault="004C0C92" w:rsidP="00843921">
            <w:pPr>
              <w:suppressAutoHyphens/>
              <w:spacing w:after="120"/>
              <w:rPr>
                <w:rFonts w:ascii="Arial" w:hAnsi="Arial" w:cs="Arial"/>
                <w:sz w:val="22"/>
                <w:szCs w:val="22"/>
              </w:rPr>
            </w:pPr>
            <w:r>
              <w:rPr>
                <w:rFonts w:ascii="Arial" w:hAnsi="Arial"/>
                <w:sz w:val="22"/>
              </w:rPr>
              <w:t>Sin cambios.</w:t>
            </w:r>
          </w:p>
        </w:tc>
      </w:tr>
      <w:tr w:rsidR="004C0C92" w:rsidRPr="00234E68" w14:paraId="1A4D1CFC" w14:textId="77777777" w:rsidTr="00CB3E86">
        <w:trPr>
          <w:cantSplit/>
        </w:trPr>
        <w:tc>
          <w:tcPr>
            <w:tcW w:w="1271" w:type="dxa"/>
            <w:tcBorders>
              <w:right w:val="nil"/>
            </w:tcBorders>
          </w:tcPr>
          <w:p w14:paraId="4C403FF0" w14:textId="77777777" w:rsidR="004C0C92" w:rsidRPr="00234E68" w:rsidRDefault="004C0C92" w:rsidP="00843921">
            <w:pPr>
              <w:spacing w:after="120"/>
              <w:rPr>
                <w:rFonts w:ascii="Arial" w:hAnsi="Arial" w:cs="Arial"/>
                <w:b/>
                <w:sz w:val="22"/>
                <w:szCs w:val="22"/>
              </w:rPr>
            </w:pPr>
            <w:r>
              <w:rPr>
                <w:rFonts w:ascii="Arial" w:hAnsi="Arial"/>
                <w:b/>
                <w:sz w:val="22"/>
              </w:rPr>
              <w:t xml:space="preserve">Artículo 6 </w:t>
            </w:r>
          </w:p>
        </w:tc>
        <w:tc>
          <w:tcPr>
            <w:tcW w:w="4258" w:type="dxa"/>
            <w:tcBorders>
              <w:left w:val="nil"/>
            </w:tcBorders>
          </w:tcPr>
          <w:p w14:paraId="57E1A929" w14:textId="77777777" w:rsidR="004C0C92" w:rsidRPr="00234E68" w:rsidRDefault="004C0C92" w:rsidP="00843921">
            <w:pPr>
              <w:spacing w:after="120"/>
              <w:rPr>
                <w:rFonts w:ascii="Arial" w:hAnsi="Arial" w:cs="Arial"/>
                <w:b/>
                <w:sz w:val="22"/>
                <w:szCs w:val="22"/>
              </w:rPr>
            </w:pPr>
            <w:r>
              <w:rPr>
                <w:rFonts w:ascii="Arial" w:hAnsi="Arial"/>
                <w:b/>
                <w:sz w:val="22"/>
              </w:rPr>
              <w:t>Fondo de Reserva</w:t>
            </w:r>
          </w:p>
        </w:tc>
        <w:tc>
          <w:tcPr>
            <w:tcW w:w="1417" w:type="dxa"/>
            <w:tcBorders>
              <w:right w:val="nil"/>
            </w:tcBorders>
          </w:tcPr>
          <w:p w14:paraId="072374F9" w14:textId="77777777" w:rsidR="004C0C92" w:rsidRPr="00234E68" w:rsidRDefault="004C0C92" w:rsidP="00843921">
            <w:pPr>
              <w:spacing w:after="120"/>
              <w:rPr>
                <w:rFonts w:ascii="Arial" w:hAnsi="Arial" w:cs="Arial"/>
                <w:b/>
                <w:sz w:val="22"/>
                <w:szCs w:val="22"/>
              </w:rPr>
            </w:pPr>
            <w:r>
              <w:rPr>
                <w:rFonts w:ascii="Arial" w:hAnsi="Arial"/>
                <w:b/>
                <w:sz w:val="22"/>
              </w:rPr>
              <w:t xml:space="preserve">Artículo </w:t>
            </w:r>
            <w:r>
              <w:rPr>
                <w:rFonts w:ascii="Arial" w:hAnsi="Arial"/>
                <w:b/>
                <w:strike/>
                <w:sz w:val="22"/>
              </w:rPr>
              <w:t>6</w:t>
            </w:r>
            <w:r>
              <w:rPr>
                <w:rFonts w:ascii="Arial" w:hAnsi="Arial"/>
                <w:b/>
                <w:sz w:val="22"/>
                <w:u w:val="single"/>
              </w:rPr>
              <w:t>7</w:t>
            </w:r>
          </w:p>
        </w:tc>
        <w:tc>
          <w:tcPr>
            <w:tcW w:w="7366" w:type="dxa"/>
            <w:tcBorders>
              <w:left w:val="nil"/>
            </w:tcBorders>
          </w:tcPr>
          <w:p w14:paraId="764B1739" w14:textId="77777777" w:rsidR="004C0C92" w:rsidRPr="00234E68" w:rsidRDefault="004C0C92" w:rsidP="00843921">
            <w:pPr>
              <w:spacing w:after="120"/>
              <w:rPr>
                <w:rFonts w:ascii="Arial" w:hAnsi="Arial" w:cs="Arial"/>
                <w:b/>
                <w:sz w:val="22"/>
                <w:szCs w:val="22"/>
              </w:rPr>
            </w:pPr>
            <w:r>
              <w:rPr>
                <w:rFonts w:ascii="Arial" w:hAnsi="Arial"/>
                <w:sz w:val="22"/>
              </w:rPr>
              <w:t>Sin cambios.</w:t>
            </w:r>
          </w:p>
        </w:tc>
      </w:tr>
      <w:tr w:rsidR="004C0C92" w:rsidRPr="00234E68" w14:paraId="52401CF9" w14:textId="77777777" w:rsidTr="00CB3E86">
        <w:trPr>
          <w:cantSplit/>
        </w:trPr>
        <w:tc>
          <w:tcPr>
            <w:tcW w:w="1271" w:type="dxa"/>
            <w:tcBorders>
              <w:right w:val="nil"/>
            </w:tcBorders>
          </w:tcPr>
          <w:p w14:paraId="1B5DBDED" w14:textId="77777777" w:rsidR="004C0C92" w:rsidRPr="00234E68" w:rsidRDefault="004C0C92" w:rsidP="00843921">
            <w:pPr>
              <w:spacing w:after="120"/>
              <w:rPr>
                <w:rFonts w:ascii="Arial" w:hAnsi="Arial" w:cs="Arial"/>
                <w:sz w:val="22"/>
                <w:szCs w:val="22"/>
                <w:lang w:val="en-US"/>
              </w:rPr>
            </w:pPr>
          </w:p>
        </w:tc>
        <w:tc>
          <w:tcPr>
            <w:tcW w:w="4258" w:type="dxa"/>
            <w:tcBorders>
              <w:left w:val="nil"/>
            </w:tcBorders>
          </w:tcPr>
          <w:p w14:paraId="764BE06C" w14:textId="77777777" w:rsidR="004C0C92" w:rsidRPr="00234E68" w:rsidRDefault="004C0C92" w:rsidP="00843921">
            <w:pPr>
              <w:spacing w:after="120"/>
              <w:rPr>
                <w:rFonts w:ascii="Arial" w:hAnsi="Arial" w:cs="Arial"/>
                <w:sz w:val="22"/>
                <w:szCs w:val="22"/>
              </w:rPr>
            </w:pPr>
            <w:r>
              <w:rPr>
                <w:rFonts w:ascii="Arial" w:hAnsi="Arial"/>
                <w:sz w:val="22"/>
              </w:rPr>
              <w:t>Se creará un fondo de reserva dentro de la Cuenta Especial para atender las solicitudes de asistencia en casos de extrema urgencia, tal como se prevé en el párrafo 3 del artículo 17 y el párrafo 2 del artículo 22 de la Convención. El Comité determinará la cuantía de la reserva.</w:t>
            </w:r>
          </w:p>
        </w:tc>
        <w:tc>
          <w:tcPr>
            <w:tcW w:w="1417" w:type="dxa"/>
            <w:tcBorders>
              <w:right w:val="nil"/>
            </w:tcBorders>
          </w:tcPr>
          <w:p w14:paraId="57ED7955" w14:textId="77777777" w:rsidR="004C0C92" w:rsidRPr="00234E68" w:rsidRDefault="004C0C92" w:rsidP="00843921">
            <w:pPr>
              <w:spacing w:after="120"/>
              <w:rPr>
                <w:rFonts w:ascii="Arial" w:hAnsi="Arial" w:cs="Arial"/>
                <w:sz w:val="22"/>
                <w:szCs w:val="22"/>
                <w:lang w:val="en-GB"/>
              </w:rPr>
            </w:pPr>
          </w:p>
        </w:tc>
        <w:tc>
          <w:tcPr>
            <w:tcW w:w="7366" w:type="dxa"/>
            <w:tcBorders>
              <w:left w:val="nil"/>
            </w:tcBorders>
          </w:tcPr>
          <w:p w14:paraId="4C549383" w14:textId="77777777" w:rsidR="004C0C92" w:rsidRPr="00234E68" w:rsidRDefault="004C0C92" w:rsidP="00843921">
            <w:pPr>
              <w:spacing w:after="120"/>
              <w:rPr>
                <w:rFonts w:ascii="Arial" w:hAnsi="Arial" w:cs="Arial"/>
                <w:sz w:val="22"/>
                <w:szCs w:val="22"/>
              </w:rPr>
            </w:pPr>
            <w:r>
              <w:rPr>
                <w:rFonts w:ascii="Arial" w:hAnsi="Arial"/>
                <w:sz w:val="22"/>
              </w:rPr>
              <w:t>Sin cambios.</w:t>
            </w:r>
          </w:p>
        </w:tc>
      </w:tr>
      <w:tr w:rsidR="004C0C92" w:rsidRPr="00234E68" w14:paraId="6DE48763" w14:textId="77777777" w:rsidTr="00CB3E86">
        <w:trPr>
          <w:cantSplit/>
        </w:trPr>
        <w:tc>
          <w:tcPr>
            <w:tcW w:w="1271" w:type="dxa"/>
            <w:tcBorders>
              <w:right w:val="nil"/>
            </w:tcBorders>
          </w:tcPr>
          <w:p w14:paraId="00A44B49" w14:textId="77777777" w:rsidR="004C0C92" w:rsidRPr="00234E68" w:rsidRDefault="004C0C92" w:rsidP="00843921">
            <w:pPr>
              <w:spacing w:after="120"/>
              <w:rPr>
                <w:rFonts w:ascii="Arial" w:hAnsi="Arial" w:cs="Arial"/>
                <w:b/>
                <w:sz w:val="22"/>
                <w:szCs w:val="22"/>
              </w:rPr>
            </w:pPr>
            <w:r>
              <w:rPr>
                <w:rFonts w:ascii="Arial" w:hAnsi="Arial"/>
                <w:b/>
                <w:sz w:val="22"/>
              </w:rPr>
              <w:t>Artículo 7</w:t>
            </w:r>
          </w:p>
        </w:tc>
        <w:tc>
          <w:tcPr>
            <w:tcW w:w="4258" w:type="dxa"/>
            <w:tcBorders>
              <w:left w:val="nil"/>
            </w:tcBorders>
          </w:tcPr>
          <w:p w14:paraId="39E8E64B" w14:textId="77777777" w:rsidR="004C0C92" w:rsidRPr="00234E68" w:rsidRDefault="004C0C92" w:rsidP="00843921">
            <w:pPr>
              <w:spacing w:after="120"/>
              <w:rPr>
                <w:rFonts w:ascii="Arial" w:hAnsi="Arial" w:cs="Arial"/>
                <w:b/>
                <w:sz w:val="22"/>
                <w:szCs w:val="22"/>
              </w:rPr>
            </w:pPr>
            <w:r>
              <w:rPr>
                <w:rFonts w:ascii="Arial" w:hAnsi="Arial"/>
                <w:b/>
                <w:sz w:val="22"/>
              </w:rPr>
              <w:t>Contabilidad</w:t>
            </w:r>
          </w:p>
        </w:tc>
        <w:tc>
          <w:tcPr>
            <w:tcW w:w="1417" w:type="dxa"/>
            <w:tcBorders>
              <w:right w:val="nil"/>
            </w:tcBorders>
          </w:tcPr>
          <w:p w14:paraId="36D79C9F" w14:textId="77777777" w:rsidR="004C0C92" w:rsidRPr="00234E68" w:rsidRDefault="004C0C92" w:rsidP="00843921">
            <w:pPr>
              <w:suppressAutoHyphens/>
              <w:spacing w:after="120"/>
              <w:rPr>
                <w:rFonts w:ascii="Arial" w:hAnsi="Arial" w:cs="Arial"/>
                <w:b/>
                <w:sz w:val="22"/>
                <w:szCs w:val="22"/>
              </w:rPr>
            </w:pPr>
            <w:r>
              <w:rPr>
                <w:rFonts w:ascii="Arial" w:hAnsi="Arial"/>
                <w:b/>
                <w:sz w:val="22"/>
              </w:rPr>
              <w:t xml:space="preserve">Artículo </w:t>
            </w:r>
            <w:r>
              <w:rPr>
                <w:rFonts w:ascii="Arial" w:hAnsi="Arial"/>
                <w:b/>
                <w:strike/>
                <w:sz w:val="22"/>
              </w:rPr>
              <w:t>7</w:t>
            </w:r>
            <w:r>
              <w:rPr>
                <w:rFonts w:ascii="Arial" w:hAnsi="Arial"/>
                <w:b/>
                <w:sz w:val="22"/>
                <w:u w:val="single"/>
              </w:rPr>
              <w:t>8</w:t>
            </w:r>
          </w:p>
        </w:tc>
        <w:tc>
          <w:tcPr>
            <w:tcW w:w="7366" w:type="dxa"/>
            <w:tcBorders>
              <w:left w:val="nil"/>
            </w:tcBorders>
          </w:tcPr>
          <w:p w14:paraId="08A048BF" w14:textId="77777777" w:rsidR="004C0C92" w:rsidRPr="00234E68" w:rsidRDefault="004C0C92" w:rsidP="00843921">
            <w:pPr>
              <w:suppressAutoHyphens/>
              <w:spacing w:after="120"/>
              <w:rPr>
                <w:rFonts w:ascii="Arial" w:hAnsi="Arial" w:cs="Arial"/>
                <w:bCs/>
                <w:sz w:val="22"/>
                <w:szCs w:val="22"/>
              </w:rPr>
            </w:pPr>
            <w:r>
              <w:rPr>
                <w:rFonts w:ascii="Arial" w:hAnsi="Arial"/>
                <w:sz w:val="22"/>
              </w:rPr>
              <w:t>Sin cambios.</w:t>
            </w:r>
          </w:p>
        </w:tc>
      </w:tr>
      <w:tr w:rsidR="004C0C92" w:rsidRPr="00E869B7" w14:paraId="71693E9A" w14:textId="77777777" w:rsidTr="00CB3E86">
        <w:trPr>
          <w:cantSplit/>
        </w:trPr>
        <w:tc>
          <w:tcPr>
            <w:tcW w:w="1271" w:type="dxa"/>
            <w:tcBorders>
              <w:right w:val="nil"/>
            </w:tcBorders>
          </w:tcPr>
          <w:p w14:paraId="71D0BC6C" w14:textId="77777777" w:rsidR="004C0C92" w:rsidRDefault="004C0C92" w:rsidP="00843921">
            <w:pPr>
              <w:spacing w:after="120"/>
              <w:rPr>
                <w:rFonts w:ascii="Arial" w:hAnsi="Arial"/>
                <w:sz w:val="22"/>
              </w:rPr>
            </w:pPr>
          </w:p>
        </w:tc>
        <w:tc>
          <w:tcPr>
            <w:tcW w:w="4258" w:type="dxa"/>
            <w:tcBorders>
              <w:left w:val="nil"/>
            </w:tcBorders>
          </w:tcPr>
          <w:p w14:paraId="6FD96B40" w14:textId="77777777" w:rsidR="004C0C92" w:rsidRDefault="004C0C92" w:rsidP="00843921">
            <w:pPr>
              <w:spacing w:after="120"/>
              <w:rPr>
                <w:rFonts w:ascii="Arial" w:hAnsi="Arial"/>
                <w:sz w:val="22"/>
              </w:rPr>
            </w:pPr>
          </w:p>
        </w:tc>
        <w:tc>
          <w:tcPr>
            <w:tcW w:w="1417" w:type="dxa"/>
            <w:tcBorders>
              <w:right w:val="nil"/>
            </w:tcBorders>
          </w:tcPr>
          <w:p w14:paraId="02F4655F" w14:textId="4BDEF3F8" w:rsidR="004C0C92" w:rsidRPr="009C211A" w:rsidRDefault="004C0C92" w:rsidP="00843921">
            <w:pPr>
              <w:suppressAutoHyphens/>
              <w:spacing w:after="120"/>
              <w:rPr>
                <w:rFonts w:ascii="Arial" w:hAnsi="Arial"/>
                <w:b/>
                <w:bCs/>
                <w:sz w:val="22"/>
              </w:rPr>
            </w:pPr>
            <w:r w:rsidRPr="009C211A">
              <w:rPr>
                <w:rFonts w:ascii="Arial" w:hAnsi="Arial"/>
                <w:b/>
                <w:bCs/>
                <w:sz w:val="22"/>
              </w:rPr>
              <w:t xml:space="preserve">8.1 </w:t>
            </w:r>
          </w:p>
        </w:tc>
        <w:tc>
          <w:tcPr>
            <w:tcW w:w="7366" w:type="dxa"/>
            <w:tcBorders>
              <w:left w:val="nil"/>
            </w:tcBorders>
          </w:tcPr>
          <w:p w14:paraId="74E1AF5F" w14:textId="29B9F332" w:rsidR="004C0C92" w:rsidRPr="009C211A" w:rsidRDefault="004C0C92" w:rsidP="009C211A">
            <w:pPr>
              <w:rPr>
                <w:rFonts w:ascii="Arial" w:hAnsi="Arial"/>
                <w:b/>
                <w:bCs/>
                <w:sz w:val="22"/>
                <w:u w:val="single"/>
              </w:rPr>
            </w:pPr>
            <w:r w:rsidRPr="009C211A">
              <w:rPr>
                <w:rFonts w:ascii="Arial" w:hAnsi="Arial"/>
                <w:b/>
                <w:bCs/>
                <w:sz w:val="22"/>
                <w:u w:val="single"/>
              </w:rPr>
              <w:t>La Asamblea General y el Comité podrán establecer cuentas subsidiarias.</w:t>
            </w:r>
          </w:p>
        </w:tc>
      </w:tr>
      <w:tr w:rsidR="004C0C92" w:rsidRPr="00E869B7" w14:paraId="1353FD15" w14:textId="77777777" w:rsidTr="00CB3E86">
        <w:trPr>
          <w:cantSplit/>
        </w:trPr>
        <w:tc>
          <w:tcPr>
            <w:tcW w:w="1271" w:type="dxa"/>
            <w:tcBorders>
              <w:right w:val="nil"/>
            </w:tcBorders>
          </w:tcPr>
          <w:p w14:paraId="732ACDFC" w14:textId="77777777" w:rsidR="004C0C92" w:rsidRPr="00234E68" w:rsidRDefault="004C0C92" w:rsidP="00843921">
            <w:pPr>
              <w:spacing w:after="120"/>
              <w:rPr>
                <w:rFonts w:ascii="Arial" w:hAnsi="Arial" w:cs="Arial"/>
                <w:sz w:val="22"/>
                <w:szCs w:val="22"/>
              </w:rPr>
            </w:pPr>
            <w:r>
              <w:rPr>
                <w:rFonts w:ascii="Arial" w:hAnsi="Arial"/>
                <w:sz w:val="22"/>
              </w:rPr>
              <w:t xml:space="preserve">7.1 </w:t>
            </w:r>
          </w:p>
        </w:tc>
        <w:tc>
          <w:tcPr>
            <w:tcW w:w="4258" w:type="dxa"/>
            <w:tcBorders>
              <w:left w:val="nil"/>
            </w:tcBorders>
          </w:tcPr>
          <w:p w14:paraId="4C2D217A" w14:textId="11828F19" w:rsidR="004C0C92" w:rsidRPr="00234E68" w:rsidRDefault="004C0C92" w:rsidP="00843921">
            <w:pPr>
              <w:spacing w:after="120"/>
              <w:rPr>
                <w:rFonts w:ascii="Arial" w:hAnsi="Arial" w:cs="Arial"/>
                <w:sz w:val="22"/>
                <w:szCs w:val="22"/>
              </w:rPr>
            </w:pPr>
            <w:r>
              <w:rPr>
                <w:rFonts w:ascii="Arial" w:hAnsi="Arial"/>
                <w:sz w:val="22"/>
              </w:rPr>
              <w:t>La Oficina del Contralor de la UNESCO llevará los libros de contabilidad que sean necesarios.</w:t>
            </w:r>
          </w:p>
        </w:tc>
        <w:tc>
          <w:tcPr>
            <w:tcW w:w="1417" w:type="dxa"/>
            <w:tcBorders>
              <w:right w:val="nil"/>
            </w:tcBorders>
          </w:tcPr>
          <w:p w14:paraId="7A6A1291" w14:textId="58B86688" w:rsidR="004C0C92" w:rsidRPr="00234E68" w:rsidRDefault="004C0C92" w:rsidP="00843921">
            <w:pPr>
              <w:suppressAutoHyphens/>
              <w:spacing w:after="120"/>
              <w:rPr>
                <w:rFonts w:ascii="Arial" w:hAnsi="Arial" w:cs="Arial"/>
                <w:sz w:val="22"/>
                <w:szCs w:val="22"/>
              </w:rPr>
            </w:pPr>
            <w:r>
              <w:rPr>
                <w:rFonts w:ascii="Arial" w:hAnsi="Arial"/>
                <w:strike/>
                <w:sz w:val="22"/>
              </w:rPr>
              <w:t>7.1</w:t>
            </w:r>
            <w:r>
              <w:rPr>
                <w:rFonts w:ascii="Arial" w:hAnsi="Arial"/>
                <w:b/>
                <w:sz w:val="22"/>
                <w:u w:val="single"/>
              </w:rPr>
              <w:t>8.2</w:t>
            </w:r>
          </w:p>
        </w:tc>
        <w:tc>
          <w:tcPr>
            <w:tcW w:w="7366" w:type="dxa"/>
            <w:tcBorders>
              <w:left w:val="nil"/>
            </w:tcBorders>
          </w:tcPr>
          <w:p w14:paraId="52574F4B" w14:textId="34DC0208" w:rsidR="004C0C92" w:rsidRPr="00234E68" w:rsidRDefault="004C0C92" w:rsidP="00843921">
            <w:pPr>
              <w:suppressAutoHyphens/>
              <w:spacing w:after="120"/>
              <w:rPr>
                <w:rFonts w:ascii="Arial" w:hAnsi="Arial" w:cs="Arial"/>
                <w:sz w:val="22"/>
                <w:szCs w:val="22"/>
              </w:rPr>
            </w:pPr>
            <w:r w:rsidRPr="009C211A">
              <w:rPr>
                <w:rFonts w:ascii="Arial" w:hAnsi="Arial"/>
                <w:b/>
                <w:bCs/>
                <w:sz w:val="22"/>
                <w:u w:val="single"/>
              </w:rPr>
              <w:t>El/</w:t>
            </w:r>
            <w:r>
              <w:rPr>
                <w:rFonts w:ascii="Arial" w:hAnsi="Arial"/>
                <w:b/>
                <w:bCs/>
                <w:sz w:val="22"/>
                <w:u w:val="single"/>
              </w:rPr>
              <w:t>L</w:t>
            </w:r>
            <w:r w:rsidRPr="009C211A">
              <w:rPr>
                <w:rFonts w:ascii="Arial" w:hAnsi="Arial"/>
                <w:b/>
                <w:bCs/>
                <w:sz w:val="22"/>
                <w:u w:val="single"/>
              </w:rPr>
              <w:t>a</w:t>
            </w:r>
            <w:r>
              <w:rPr>
                <w:rFonts w:ascii="Arial" w:hAnsi="Arial"/>
                <w:b/>
                <w:sz w:val="22"/>
                <w:u w:val="single"/>
              </w:rPr>
              <w:t xml:space="preserve"> Directora(a) Financiero(a) de la UNESCO </w:t>
            </w:r>
            <w:r>
              <w:rPr>
                <w:rFonts w:ascii="Arial" w:hAnsi="Arial"/>
                <w:strike/>
                <w:sz w:val="22"/>
              </w:rPr>
              <w:t xml:space="preserve">Contralor de la UNESCO </w:t>
            </w:r>
            <w:r>
              <w:rPr>
                <w:rFonts w:ascii="Arial" w:hAnsi="Arial"/>
                <w:sz w:val="22"/>
              </w:rPr>
              <w:t>llevará los libros de contabilidad que sean necesarios.</w:t>
            </w:r>
          </w:p>
        </w:tc>
      </w:tr>
      <w:tr w:rsidR="004C0C92" w:rsidRPr="00E869B7" w14:paraId="6BA0937C" w14:textId="77777777" w:rsidTr="00CB3E86">
        <w:trPr>
          <w:cantSplit/>
        </w:trPr>
        <w:tc>
          <w:tcPr>
            <w:tcW w:w="1271" w:type="dxa"/>
            <w:tcBorders>
              <w:right w:val="nil"/>
            </w:tcBorders>
          </w:tcPr>
          <w:p w14:paraId="1820BC1D" w14:textId="77777777" w:rsidR="004C0C92" w:rsidRPr="00234E68" w:rsidRDefault="004C0C92" w:rsidP="00843921">
            <w:pPr>
              <w:spacing w:after="120"/>
              <w:rPr>
                <w:rFonts w:ascii="Arial" w:hAnsi="Arial" w:cs="Arial"/>
                <w:sz w:val="22"/>
                <w:szCs w:val="22"/>
              </w:rPr>
            </w:pPr>
            <w:r>
              <w:rPr>
                <w:rFonts w:ascii="Arial" w:hAnsi="Arial"/>
                <w:sz w:val="22"/>
              </w:rPr>
              <w:t xml:space="preserve">7.2 </w:t>
            </w:r>
          </w:p>
        </w:tc>
        <w:tc>
          <w:tcPr>
            <w:tcW w:w="4258" w:type="dxa"/>
            <w:tcBorders>
              <w:left w:val="nil"/>
            </w:tcBorders>
          </w:tcPr>
          <w:p w14:paraId="3ADD61D4" w14:textId="1FB1E54C" w:rsidR="004C0C92" w:rsidRPr="00234E68" w:rsidRDefault="004C0C92" w:rsidP="00843921">
            <w:pPr>
              <w:spacing w:after="120"/>
              <w:rPr>
                <w:rFonts w:ascii="Arial" w:hAnsi="Arial" w:cs="Arial"/>
                <w:sz w:val="22"/>
                <w:szCs w:val="22"/>
              </w:rPr>
            </w:pPr>
            <w:r>
              <w:rPr>
                <w:rFonts w:ascii="Arial" w:hAnsi="Arial"/>
                <w:sz w:val="22"/>
              </w:rPr>
              <w:t>Todo saldo no utilizado al final de un ejercicio se arrastrará al ejercicio siguiente.</w:t>
            </w:r>
          </w:p>
        </w:tc>
        <w:tc>
          <w:tcPr>
            <w:tcW w:w="1417" w:type="dxa"/>
            <w:tcBorders>
              <w:right w:val="nil"/>
            </w:tcBorders>
          </w:tcPr>
          <w:p w14:paraId="59FECBD2" w14:textId="06B64B16" w:rsidR="004C0C92" w:rsidRPr="00234E68" w:rsidRDefault="004C0C92" w:rsidP="00843921">
            <w:pPr>
              <w:suppressAutoHyphens/>
              <w:spacing w:after="120"/>
              <w:rPr>
                <w:rFonts w:ascii="Arial" w:hAnsi="Arial" w:cs="Arial"/>
                <w:sz w:val="22"/>
                <w:szCs w:val="22"/>
              </w:rPr>
            </w:pPr>
            <w:r>
              <w:rPr>
                <w:rFonts w:ascii="Arial" w:hAnsi="Arial"/>
                <w:strike/>
                <w:sz w:val="22"/>
              </w:rPr>
              <w:t>7.2</w:t>
            </w:r>
            <w:r>
              <w:rPr>
                <w:rFonts w:ascii="Arial" w:hAnsi="Arial"/>
                <w:b/>
                <w:sz w:val="22"/>
                <w:u w:val="single"/>
              </w:rPr>
              <w:t>8.3</w:t>
            </w:r>
          </w:p>
        </w:tc>
        <w:tc>
          <w:tcPr>
            <w:tcW w:w="7366" w:type="dxa"/>
            <w:tcBorders>
              <w:left w:val="nil"/>
            </w:tcBorders>
          </w:tcPr>
          <w:p w14:paraId="1EDE0DE9" w14:textId="77777777" w:rsidR="004C0C92" w:rsidRPr="00234E68" w:rsidRDefault="004C0C92" w:rsidP="00843921">
            <w:pPr>
              <w:suppressAutoHyphens/>
              <w:spacing w:after="120"/>
              <w:rPr>
                <w:rFonts w:ascii="Arial" w:hAnsi="Arial" w:cs="Arial"/>
                <w:sz w:val="22"/>
                <w:szCs w:val="22"/>
              </w:rPr>
            </w:pPr>
            <w:r>
              <w:rPr>
                <w:rFonts w:ascii="Arial" w:hAnsi="Arial"/>
                <w:sz w:val="22"/>
              </w:rPr>
              <w:t>Sin cambios.</w:t>
            </w:r>
          </w:p>
        </w:tc>
      </w:tr>
      <w:tr w:rsidR="004C0C92" w:rsidRPr="00E869B7" w14:paraId="18A6A03E" w14:textId="77777777" w:rsidTr="00CB3E86">
        <w:trPr>
          <w:cantSplit/>
        </w:trPr>
        <w:tc>
          <w:tcPr>
            <w:tcW w:w="1271" w:type="dxa"/>
            <w:tcBorders>
              <w:right w:val="nil"/>
            </w:tcBorders>
          </w:tcPr>
          <w:p w14:paraId="0A46E088" w14:textId="77777777" w:rsidR="004C0C92" w:rsidRPr="00234E68" w:rsidRDefault="004C0C92" w:rsidP="00843921">
            <w:pPr>
              <w:spacing w:after="120"/>
              <w:rPr>
                <w:rFonts w:ascii="Arial" w:hAnsi="Arial" w:cs="Arial"/>
                <w:sz w:val="22"/>
                <w:szCs w:val="22"/>
              </w:rPr>
            </w:pPr>
            <w:r>
              <w:rPr>
                <w:rFonts w:ascii="Arial" w:hAnsi="Arial"/>
                <w:sz w:val="22"/>
              </w:rPr>
              <w:t xml:space="preserve">7.3 </w:t>
            </w:r>
          </w:p>
        </w:tc>
        <w:tc>
          <w:tcPr>
            <w:tcW w:w="4258" w:type="dxa"/>
            <w:tcBorders>
              <w:left w:val="nil"/>
            </w:tcBorders>
          </w:tcPr>
          <w:p w14:paraId="5C2064D9" w14:textId="1F95EFC7" w:rsidR="004C0C92" w:rsidRPr="00234E68" w:rsidRDefault="004C0C92" w:rsidP="00843921">
            <w:pPr>
              <w:spacing w:after="120"/>
              <w:rPr>
                <w:rFonts w:ascii="Arial" w:hAnsi="Arial" w:cs="Arial"/>
                <w:sz w:val="22"/>
                <w:szCs w:val="22"/>
              </w:rPr>
            </w:pPr>
            <w:r>
              <w:rPr>
                <w:rFonts w:ascii="Arial" w:hAnsi="Arial"/>
                <w:sz w:val="22"/>
              </w:rPr>
              <w:t>Las cuentas de la Cuenta Especial se someterán al Auditor Externo de</w:t>
            </w:r>
            <w:r>
              <w:rPr>
                <w:rFonts w:ascii="Arial" w:hAnsi="Arial"/>
                <w:sz w:val="22"/>
              </w:rPr>
              <w:br/>
              <w:t>la UNESCO para su comprobación, junto con las demás cuentas de la</w:t>
            </w:r>
            <w:r>
              <w:rPr>
                <w:rFonts w:ascii="Arial" w:hAnsi="Arial"/>
                <w:sz w:val="22"/>
              </w:rPr>
              <w:br/>
              <w:t>Organización.</w:t>
            </w:r>
          </w:p>
        </w:tc>
        <w:tc>
          <w:tcPr>
            <w:tcW w:w="1417" w:type="dxa"/>
            <w:tcBorders>
              <w:right w:val="nil"/>
            </w:tcBorders>
          </w:tcPr>
          <w:p w14:paraId="61C9AF73" w14:textId="561C5C24" w:rsidR="004C0C92" w:rsidRPr="00234E68" w:rsidRDefault="004C0C92" w:rsidP="00843921">
            <w:pPr>
              <w:suppressAutoHyphens/>
              <w:spacing w:after="120"/>
              <w:rPr>
                <w:rFonts w:ascii="Arial" w:hAnsi="Arial" w:cs="Arial"/>
                <w:sz w:val="22"/>
                <w:szCs w:val="22"/>
              </w:rPr>
            </w:pPr>
            <w:r>
              <w:rPr>
                <w:rFonts w:ascii="Arial" w:hAnsi="Arial"/>
                <w:strike/>
                <w:sz w:val="22"/>
              </w:rPr>
              <w:t>7.3</w:t>
            </w:r>
            <w:r>
              <w:rPr>
                <w:rFonts w:ascii="Arial" w:hAnsi="Arial"/>
                <w:b/>
                <w:sz w:val="22"/>
                <w:u w:val="single"/>
              </w:rPr>
              <w:t>8.4</w:t>
            </w:r>
          </w:p>
        </w:tc>
        <w:tc>
          <w:tcPr>
            <w:tcW w:w="7366" w:type="dxa"/>
            <w:tcBorders>
              <w:left w:val="nil"/>
            </w:tcBorders>
          </w:tcPr>
          <w:p w14:paraId="115CA7B8" w14:textId="55FB4DA1" w:rsidR="004C0C92" w:rsidRPr="00234E68" w:rsidRDefault="004C0C92" w:rsidP="00843921">
            <w:pPr>
              <w:suppressAutoHyphens/>
              <w:spacing w:after="120"/>
              <w:rPr>
                <w:rFonts w:ascii="Arial" w:hAnsi="Arial" w:cs="Arial"/>
                <w:sz w:val="22"/>
                <w:szCs w:val="22"/>
              </w:rPr>
            </w:pPr>
            <w:r>
              <w:rPr>
                <w:rFonts w:ascii="Arial" w:hAnsi="Arial"/>
                <w:sz w:val="22"/>
              </w:rPr>
              <w:t xml:space="preserve">Las cuentas de la Cuenta Especial </w:t>
            </w:r>
            <w:r>
              <w:rPr>
                <w:rFonts w:ascii="Arial" w:hAnsi="Arial"/>
                <w:b/>
                <w:sz w:val="22"/>
                <w:u w:val="single"/>
              </w:rPr>
              <w:t>formarán parte de los estados financieros consolidados presentados, para su auditoría, al Auditor Externo de la UNESCO.</w:t>
            </w:r>
            <w:r>
              <w:rPr>
                <w:rFonts w:ascii="Arial" w:hAnsi="Arial"/>
                <w:sz w:val="22"/>
              </w:rPr>
              <w:t xml:space="preserve"> </w:t>
            </w:r>
            <w:r>
              <w:rPr>
                <w:rFonts w:ascii="Arial" w:hAnsi="Arial"/>
                <w:strike/>
                <w:sz w:val="22"/>
              </w:rPr>
              <w:t>se someterán al Auditor Externo de la UNESCO para su comprobación, junto con las demás cuentas de la Organización</w:t>
            </w:r>
          </w:p>
        </w:tc>
      </w:tr>
      <w:tr w:rsidR="004C0C92" w:rsidRPr="00E869B7" w14:paraId="00B62E01" w14:textId="77777777" w:rsidTr="00CB3E86">
        <w:trPr>
          <w:cantSplit/>
        </w:trPr>
        <w:tc>
          <w:tcPr>
            <w:tcW w:w="1271" w:type="dxa"/>
            <w:tcBorders>
              <w:right w:val="nil"/>
            </w:tcBorders>
          </w:tcPr>
          <w:p w14:paraId="4B5E3441" w14:textId="77777777" w:rsidR="004C0C92" w:rsidRPr="00234E68" w:rsidRDefault="004C0C92" w:rsidP="00843921">
            <w:pPr>
              <w:spacing w:after="120"/>
              <w:rPr>
                <w:rFonts w:ascii="Arial" w:hAnsi="Arial" w:cs="Arial"/>
                <w:sz w:val="22"/>
                <w:szCs w:val="22"/>
              </w:rPr>
            </w:pPr>
            <w:r>
              <w:rPr>
                <w:rFonts w:ascii="Arial" w:hAnsi="Arial"/>
                <w:sz w:val="22"/>
              </w:rPr>
              <w:t xml:space="preserve">7.4 </w:t>
            </w:r>
          </w:p>
        </w:tc>
        <w:tc>
          <w:tcPr>
            <w:tcW w:w="4258" w:type="dxa"/>
            <w:tcBorders>
              <w:left w:val="nil"/>
            </w:tcBorders>
          </w:tcPr>
          <w:p w14:paraId="78077142" w14:textId="77777777" w:rsidR="004C0C92" w:rsidRPr="00234E68" w:rsidRDefault="004C0C92" w:rsidP="00843921">
            <w:pPr>
              <w:spacing w:after="120"/>
              <w:rPr>
                <w:rFonts w:ascii="Arial" w:hAnsi="Arial" w:cs="Arial"/>
                <w:sz w:val="22"/>
                <w:szCs w:val="22"/>
              </w:rPr>
            </w:pPr>
            <w:r>
              <w:rPr>
                <w:rFonts w:ascii="Arial" w:hAnsi="Arial"/>
                <w:sz w:val="22"/>
              </w:rPr>
              <w:t>Las contribuciones en especie se registrarán aparte, y no en la Cuenta Especial.</w:t>
            </w:r>
          </w:p>
        </w:tc>
        <w:tc>
          <w:tcPr>
            <w:tcW w:w="1417" w:type="dxa"/>
            <w:tcBorders>
              <w:right w:val="nil"/>
            </w:tcBorders>
          </w:tcPr>
          <w:p w14:paraId="5090F466" w14:textId="24DDF893" w:rsidR="004C0C92" w:rsidRPr="00234E68" w:rsidRDefault="004C0C92" w:rsidP="00843921">
            <w:pPr>
              <w:suppressAutoHyphens/>
              <w:spacing w:after="120"/>
              <w:rPr>
                <w:rFonts w:ascii="Arial" w:hAnsi="Arial" w:cs="Arial"/>
                <w:sz w:val="22"/>
                <w:szCs w:val="22"/>
              </w:rPr>
            </w:pPr>
            <w:r>
              <w:rPr>
                <w:rFonts w:ascii="Arial" w:hAnsi="Arial"/>
                <w:strike/>
                <w:sz w:val="22"/>
              </w:rPr>
              <w:t>7.4</w:t>
            </w:r>
            <w:r>
              <w:rPr>
                <w:rFonts w:ascii="Arial" w:hAnsi="Arial"/>
                <w:b/>
                <w:sz w:val="22"/>
                <w:u w:val="single"/>
              </w:rPr>
              <w:t>8.5</w:t>
            </w:r>
          </w:p>
        </w:tc>
        <w:tc>
          <w:tcPr>
            <w:tcW w:w="7366" w:type="dxa"/>
            <w:tcBorders>
              <w:left w:val="nil"/>
            </w:tcBorders>
          </w:tcPr>
          <w:p w14:paraId="63FCDDF8" w14:textId="77777777" w:rsidR="004C0C92" w:rsidRPr="00234E68" w:rsidRDefault="004C0C92" w:rsidP="00843921">
            <w:pPr>
              <w:suppressAutoHyphens/>
              <w:spacing w:after="120"/>
              <w:rPr>
                <w:rFonts w:ascii="Arial" w:hAnsi="Arial" w:cs="Arial"/>
                <w:sz w:val="22"/>
                <w:szCs w:val="22"/>
              </w:rPr>
            </w:pPr>
            <w:r>
              <w:rPr>
                <w:rFonts w:ascii="Arial" w:hAnsi="Arial"/>
                <w:sz w:val="22"/>
              </w:rPr>
              <w:t>Sin cambios.</w:t>
            </w:r>
          </w:p>
        </w:tc>
      </w:tr>
      <w:tr w:rsidR="004C0C92" w:rsidRPr="00234E68" w14:paraId="093B9DFB" w14:textId="77777777" w:rsidTr="00CB3E86">
        <w:trPr>
          <w:cantSplit/>
        </w:trPr>
        <w:tc>
          <w:tcPr>
            <w:tcW w:w="1271" w:type="dxa"/>
            <w:tcBorders>
              <w:right w:val="nil"/>
            </w:tcBorders>
          </w:tcPr>
          <w:p w14:paraId="680F8499" w14:textId="77777777" w:rsidR="004C0C92" w:rsidRPr="00234E68" w:rsidRDefault="004C0C92" w:rsidP="00843921">
            <w:pPr>
              <w:spacing w:after="120"/>
              <w:rPr>
                <w:rFonts w:ascii="Arial" w:hAnsi="Arial" w:cs="Arial"/>
                <w:sz w:val="22"/>
                <w:szCs w:val="22"/>
              </w:rPr>
            </w:pPr>
            <w:r>
              <w:rPr>
                <w:rFonts w:ascii="Arial" w:hAnsi="Arial"/>
                <w:sz w:val="22"/>
              </w:rPr>
              <w:t xml:space="preserve">7.5 </w:t>
            </w:r>
          </w:p>
        </w:tc>
        <w:tc>
          <w:tcPr>
            <w:tcW w:w="4258" w:type="dxa"/>
            <w:tcBorders>
              <w:left w:val="nil"/>
            </w:tcBorders>
          </w:tcPr>
          <w:p w14:paraId="365ED02E" w14:textId="7BAA922C" w:rsidR="004C0C92" w:rsidRPr="00234E68" w:rsidRDefault="004C0C92" w:rsidP="00843921">
            <w:pPr>
              <w:spacing w:after="120"/>
              <w:rPr>
                <w:rFonts w:ascii="Arial" w:hAnsi="Arial" w:cs="Arial"/>
                <w:sz w:val="22"/>
                <w:szCs w:val="22"/>
              </w:rPr>
            </w:pPr>
            <w:r>
              <w:rPr>
                <w:rFonts w:ascii="Arial" w:hAnsi="Arial"/>
                <w:sz w:val="22"/>
              </w:rPr>
              <w:t>EL/La Directora(a) General someterá las cuentas a la Asamblea General de los Estados Partes en la</w:t>
            </w:r>
            <w:r>
              <w:rPr>
                <w:rFonts w:ascii="Arial" w:hAnsi="Arial"/>
                <w:sz w:val="22"/>
              </w:rPr>
              <w:br/>
              <w:t>Convención.</w:t>
            </w:r>
          </w:p>
        </w:tc>
        <w:tc>
          <w:tcPr>
            <w:tcW w:w="1417" w:type="dxa"/>
            <w:tcBorders>
              <w:right w:val="nil"/>
            </w:tcBorders>
          </w:tcPr>
          <w:p w14:paraId="6E65378B" w14:textId="77777777" w:rsidR="004C0C92" w:rsidRPr="00034B17" w:rsidRDefault="004C0C92" w:rsidP="00843921">
            <w:pPr>
              <w:spacing w:after="120"/>
              <w:rPr>
                <w:rFonts w:ascii="Arial" w:hAnsi="Arial" w:cs="Arial"/>
                <w:sz w:val="22"/>
                <w:szCs w:val="22"/>
              </w:rPr>
            </w:pPr>
          </w:p>
        </w:tc>
        <w:tc>
          <w:tcPr>
            <w:tcW w:w="7366" w:type="dxa"/>
            <w:tcBorders>
              <w:left w:val="nil"/>
            </w:tcBorders>
          </w:tcPr>
          <w:p w14:paraId="3C10D099" w14:textId="77777777" w:rsidR="004C0C92" w:rsidRPr="00234E68" w:rsidRDefault="004C0C92" w:rsidP="00843921">
            <w:pPr>
              <w:spacing w:after="120"/>
              <w:rPr>
                <w:rFonts w:ascii="Arial" w:hAnsi="Arial" w:cs="Arial"/>
                <w:sz w:val="22"/>
                <w:szCs w:val="22"/>
              </w:rPr>
            </w:pPr>
            <w:r>
              <w:rPr>
                <w:rFonts w:ascii="Arial" w:hAnsi="Arial"/>
                <w:sz w:val="22"/>
              </w:rPr>
              <w:t>[Retirado]</w:t>
            </w:r>
          </w:p>
        </w:tc>
      </w:tr>
      <w:tr w:rsidR="004C0C92" w:rsidRPr="00234E68" w14:paraId="464E644F" w14:textId="77777777" w:rsidTr="00CB3E86">
        <w:trPr>
          <w:cantSplit/>
        </w:trPr>
        <w:tc>
          <w:tcPr>
            <w:tcW w:w="1271" w:type="dxa"/>
            <w:tcBorders>
              <w:right w:val="nil"/>
            </w:tcBorders>
          </w:tcPr>
          <w:p w14:paraId="4F284E92" w14:textId="77777777" w:rsidR="004C0C92" w:rsidRPr="00234E68" w:rsidRDefault="004C0C92" w:rsidP="00843921">
            <w:pPr>
              <w:spacing w:after="120"/>
              <w:rPr>
                <w:rFonts w:ascii="Arial" w:hAnsi="Arial" w:cs="Arial"/>
                <w:b/>
                <w:sz w:val="22"/>
                <w:szCs w:val="22"/>
              </w:rPr>
            </w:pPr>
            <w:r>
              <w:rPr>
                <w:rFonts w:ascii="Arial" w:hAnsi="Arial"/>
                <w:b/>
                <w:sz w:val="22"/>
              </w:rPr>
              <w:t>Artículo 8</w:t>
            </w:r>
          </w:p>
        </w:tc>
        <w:tc>
          <w:tcPr>
            <w:tcW w:w="4258" w:type="dxa"/>
            <w:tcBorders>
              <w:left w:val="nil"/>
            </w:tcBorders>
          </w:tcPr>
          <w:p w14:paraId="585B0D35" w14:textId="77777777" w:rsidR="004C0C92" w:rsidRPr="00234E68" w:rsidRDefault="004C0C92" w:rsidP="00843921">
            <w:pPr>
              <w:spacing w:after="120"/>
              <w:rPr>
                <w:rFonts w:ascii="Arial" w:hAnsi="Arial" w:cs="Arial"/>
                <w:b/>
                <w:sz w:val="22"/>
                <w:szCs w:val="22"/>
              </w:rPr>
            </w:pPr>
            <w:r>
              <w:rPr>
                <w:rFonts w:ascii="Arial" w:hAnsi="Arial"/>
                <w:b/>
                <w:sz w:val="22"/>
              </w:rPr>
              <w:t>Inversiones</w:t>
            </w:r>
          </w:p>
        </w:tc>
        <w:tc>
          <w:tcPr>
            <w:tcW w:w="1417" w:type="dxa"/>
            <w:tcBorders>
              <w:right w:val="nil"/>
            </w:tcBorders>
          </w:tcPr>
          <w:p w14:paraId="38167FBF" w14:textId="77777777" w:rsidR="004C0C92" w:rsidRPr="00234E68" w:rsidRDefault="004C0C92" w:rsidP="00843921">
            <w:pPr>
              <w:keepNext/>
              <w:suppressAutoHyphens/>
              <w:spacing w:after="120"/>
              <w:rPr>
                <w:rFonts w:ascii="Arial" w:hAnsi="Arial" w:cs="Arial"/>
                <w:b/>
                <w:bCs/>
                <w:sz w:val="22"/>
                <w:szCs w:val="22"/>
              </w:rPr>
            </w:pPr>
            <w:r>
              <w:rPr>
                <w:rFonts w:ascii="Arial" w:hAnsi="Arial"/>
                <w:b/>
                <w:sz w:val="22"/>
              </w:rPr>
              <w:t xml:space="preserve">Artículo </w:t>
            </w:r>
            <w:r>
              <w:rPr>
                <w:rFonts w:ascii="Arial" w:hAnsi="Arial"/>
                <w:b/>
                <w:strike/>
                <w:sz w:val="22"/>
              </w:rPr>
              <w:t>8</w:t>
            </w:r>
            <w:r>
              <w:rPr>
                <w:rFonts w:ascii="Arial" w:hAnsi="Arial"/>
                <w:b/>
                <w:sz w:val="22"/>
                <w:u w:val="single"/>
              </w:rPr>
              <w:t>9</w:t>
            </w:r>
          </w:p>
        </w:tc>
        <w:tc>
          <w:tcPr>
            <w:tcW w:w="7366" w:type="dxa"/>
            <w:tcBorders>
              <w:left w:val="nil"/>
            </w:tcBorders>
          </w:tcPr>
          <w:p w14:paraId="522FA5E4" w14:textId="77777777" w:rsidR="004C0C92" w:rsidRPr="00234E68" w:rsidRDefault="004C0C92" w:rsidP="00843921">
            <w:pPr>
              <w:keepNext/>
              <w:suppressAutoHyphens/>
              <w:spacing w:after="120"/>
              <w:rPr>
                <w:rFonts w:ascii="Arial" w:hAnsi="Arial" w:cs="Arial"/>
                <w:b/>
                <w:sz w:val="22"/>
                <w:szCs w:val="22"/>
              </w:rPr>
            </w:pPr>
            <w:r>
              <w:rPr>
                <w:rFonts w:ascii="Arial" w:hAnsi="Arial"/>
                <w:sz w:val="22"/>
              </w:rPr>
              <w:t>Sin cambios.</w:t>
            </w:r>
          </w:p>
        </w:tc>
      </w:tr>
      <w:tr w:rsidR="004C0C92" w:rsidRPr="00E869B7" w14:paraId="66C6C0D2" w14:textId="77777777" w:rsidTr="00CB3E86">
        <w:trPr>
          <w:cantSplit/>
        </w:trPr>
        <w:tc>
          <w:tcPr>
            <w:tcW w:w="1271" w:type="dxa"/>
            <w:tcBorders>
              <w:right w:val="nil"/>
            </w:tcBorders>
          </w:tcPr>
          <w:p w14:paraId="486B02E4" w14:textId="77777777" w:rsidR="004C0C92" w:rsidRPr="00234E68" w:rsidRDefault="004C0C92" w:rsidP="00843921">
            <w:pPr>
              <w:spacing w:after="120"/>
              <w:rPr>
                <w:rFonts w:ascii="Arial" w:hAnsi="Arial" w:cs="Arial"/>
                <w:sz w:val="22"/>
                <w:szCs w:val="22"/>
              </w:rPr>
            </w:pPr>
            <w:r>
              <w:rPr>
                <w:rFonts w:ascii="Arial" w:hAnsi="Arial"/>
                <w:sz w:val="22"/>
              </w:rPr>
              <w:t xml:space="preserve">8.1 </w:t>
            </w:r>
          </w:p>
        </w:tc>
        <w:tc>
          <w:tcPr>
            <w:tcW w:w="4258" w:type="dxa"/>
            <w:tcBorders>
              <w:left w:val="nil"/>
            </w:tcBorders>
          </w:tcPr>
          <w:p w14:paraId="4C5AB6A6" w14:textId="59B68A82" w:rsidR="004C0C92" w:rsidRPr="00234E68" w:rsidRDefault="004C0C92" w:rsidP="00843921">
            <w:pPr>
              <w:spacing w:after="120"/>
              <w:rPr>
                <w:rFonts w:ascii="Arial" w:hAnsi="Arial" w:cs="Arial"/>
                <w:sz w:val="22"/>
                <w:szCs w:val="22"/>
              </w:rPr>
            </w:pPr>
            <w:r>
              <w:rPr>
                <w:rFonts w:ascii="Arial" w:hAnsi="Arial"/>
                <w:sz w:val="22"/>
              </w:rPr>
              <w:t>EL/La Directora(a) General estará facultada para efectuar inversiones a corto plazo con los fondos que la Cuenta Especial tenga en su haber.</w:t>
            </w:r>
          </w:p>
        </w:tc>
        <w:tc>
          <w:tcPr>
            <w:tcW w:w="1417" w:type="dxa"/>
            <w:tcBorders>
              <w:right w:val="nil"/>
            </w:tcBorders>
          </w:tcPr>
          <w:p w14:paraId="4F1DE5A1" w14:textId="77777777" w:rsidR="004C0C92" w:rsidRPr="00234E68" w:rsidRDefault="004C0C92" w:rsidP="00843921">
            <w:pPr>
              <w:suppressAutoHyphens/>
              <w:spacing w:after="120"/>
              <w:rPr>
                <w:rFonts w:ascii="Arial" w:hAnsi="Arial" w:cs="Arial"/>
                <w:sz w:val="22"/>
                <w:szCs w:val="22"/>
              </w:rPr>
            </w:pPr>
            <w:r>
              <w:rPr>
                <w:rFonts w:ascii="Arial" w:hAnsi="Arial"/>
                <w:strike/>
                <w:sz w:val="22"/>
              </w:rPr>
              <w:t>8.1</w:t>
            </w:r>
            <w:r>
              <w:rPr>
                <w:rFonts w:ascii="Arial" w:hAnsi="Arial"/>
                <w:b/>
                <w:sz w:val="22"/>
                <w:u w:val="single"/>
              </w:rPr>
              <w:t>9.1</w:t>
            </w:r>
          </w:p>
        </w:tc>
        <w:tc>
          <w:tcPr>
            <w:tcW w:w="7366" w:type="dxa"/>
            <w:tcBorders>
              <w:left w:val="nil"/>
            </w:tcBorders>
          </w:tcPr>
          <w:p w14:paraId="48FF3DD6" w14:textId="4AEC860D" w:rsidR="004C0C92" w:rsidRPr="00234E68" w:rsidRDefault="004C0C92" w:rsidP="00843921">
            <w:pPr>
              <w:suppressAutoHyphens/>
              <w:spacing w:after="120"/>
              <w:rPr>
                <w:rFonts w:ascii="Arial" w:hAnsi="Arial" w:cs="Arial"/>
                <w:sz w:val="22"/>
                <w:szCs w:val="22"/>
              </w:rPr>
            </w:pPr>
            <w:r>
              <w:rPr>
                <w:rFonts w:ascii="Arial" w:hAnsi="Arial"/>
                <w:sz w:val="22"/>
              </w:rPr>
              <w:t xml:space="preserve">El/La Directora(a) General estará facultado(a) para efectuar inversiones a corto </w:t>
            </w:r>
            <w:r>
              <w:rPr>
                <w:rFonts w:ascii="Arial" w:hAnsi="Arial"/>
                <w:b/>
                <w:sz w:val="22"/>
                <w:u w:val="single"/>
              </w:rPr>
              <w:t>o a largo plazo</w:t>
            </w:r>
            <w:r>
              <w:rPr>
                <w:rFonts w:ascii="Arial" w:hAnsi="Arial"/>
                <w:sz w:val="22"/>
              </w:rPr>
              <w:t xml:space="preserve"> con los fondos que la Cuenta Especial tenga en su haber.</w:t>
            </w:r>
          </w:p>
        </w:tc>
      </w:tr>
      <w:tr w:rsidR="004C0C92" w:rsidRPr="00E869B7" w14:paraId="5661B9C4" w14:textId="77777777" w:rsidTr="00CB3E86">
        <w:trPr>
          <w:cantSplit/>
        </w:trPr>
        <w:tc>
          <w:tcPr>
            <w:tcW w:w="1271" w:type="dxa"/>
            <w:tcBorders>
              <w:right w:val="nil"/>
            </w:tcBorders>
          </w:tcPr>
          <w:p w14:paraId="71E01653" w14:textId="77777777" w:rsidR="004C0C92" w:rsidRPr="00234E68" w:rsidRDefault="004C0C92" w:rsidP="00843921">
            <w:pPr>
              <w:spacing w:after="120"/>
              <w:rPr>
                <w:rFonts w:ascii="Arial" w:hAnsi="Arial" w:cs="Arial"/>
                <w:sz w:val="22"/>
                <w:szCs w:val="22"/>
              </w:rPr>
            </w:pPr>
            <w:r>
              <w:rPr>
                <w:rFonts w:ascii="Arial" w:hAnsi="Arial"/>
                <w:sz w:val="22"/>
              </w:rPr>
              <w:t xml:space="preserve">8.2 </w:t>
            </w:r>
          </w:p>
        </w:tc>
        <w:tc>
          <w:tcPr>
            <w:tcW w:w="4258" w:type="dxa"/>
            <w:tcBorders>
              <w:left w:val="nil"/>
            </w:tcBorders>
          </w:tcPr>
          <w:p w14:paraId="3CC55D6C" w14:textId="77777777" w:rsidR="004C0C92" w:rsidRPr="00234E68" w:rsidRDefault="004C0C92" w:rsidP="00843921">
            <w:pPr>
              <w:spacing w:after="120"/>
              <w:rPr>
                <w:rFonts w:ascii="Arial" w:hAnsi="Arial" w:cs="Arial"/>
                <w:sz w:val="22"/>
                <w:szCs w:val="22"/>
              </w:rPr>
            </w:pPr>
            <w:r>
              <w:rPr>
                <w:rFonts w:ascii="Arial" w:hAnsi="Arial"/>
                <w:sz w:val="22"/>
              </w:rPr>
              <w:t>Los intereses devengados por esas inversiones se acreditarán a la Cuenta Especial.</w:t>
            </w:r>
          </w:p>
        </w:tc>
        <w:tc>
          <w:tcPr>
            <w:tcW w:w="1417" w:type="dxa"/>
            <w:tcBorders>
              <w:right w:val="nil"/>
            </w:tcBorders>
          </w:tcPr>
          <w:p w14:paraId="7A9DC808" w14:textId="6EDF7EFB" w:rsidR="004C0C92" w:rsidRPr="00234E68" w:rsidRDefault="004C0C92" w:rsidP="00843921">
            <w:pPr>
              <w:suppressAutoHyphens/>
              <w:spacing w:after="120"/>
              <w:rPr>
                <w:rFonts w:ascii="Arial" w:hAnsi="Arial" w:cs="Arial"/>
                <w:sz w:val="22"/>
                <w:szCs w:val="22"/>
              </w:rPr>
            </w:pPr>
            <w:r>
              <w:rPr>
                <w:rFonts w:ascii="Arial" w:hAnsi="Arial"/>
                <w:strike/>
                <w:sz w:val="22"/>
              </w:rPr>
              <w:t>8.2</w:t>
            </w:r>
            <w:r>
              <w:rPr>
                <w:rFonts w:ascii="Arial" w:hAnsi="Arial"/>
                <w:b/>
                <w:sz w:val="22"/>
                <w:u w:val="single"/>
              </w:rPr>
              <w:t>9.2</w:t>
            </w:r>
          </w:p>
        </w:tc>
        <w:tc>
          <w:tcPr>
            <w:tcW w:w="7366" w:type="dxa"/>
            <w:tcBorders>
              <w:left w:val="nil"/>
            </w:tcBorders>
          </w:tcPr>
          <w:p w14:paraId="120FC5E8" w14:textId="77777777" w:rsidR="004C0C92" w:rsidRPr="00234E68" w:rsidRDefault="004C0C92" w:rsidP="00843921">
            <w:pPr>
              <w:suppressAutoHyphens/>
              <w:spacing w:after="120"/>
              <w:rPr>
                <w:rFonts w:ascii="Arial" w:hAnsi="Arial" w:cs="Arial"/>
                <w:sz w:val="22"/>
                <w:szCs w:val="22"/>
              </w:rPr>
            </w:pPr>
            <w:r>
              <w:rPr>
                <w:rFonts w:ascii="Arial" w:hAnsi="Arial"/>
                <w:strike/>
                <w:sz w:val="22"/>
              </w:rPr>
              <w:t>Los intereses devengados por</w:t>
            </w:r>
            <w:r>
              <w:rPr>
                <w:rFonts w:ascii="Arial" w:hAnsi="Arial"/>
                <w:sz w:val="22"/>
              </w:rPr>
              <w:t xml:space="preserve"> </w:t>
            </w:r>
            <w:r>
              <w:rPr>
                <w:rFonts w:ascii="Arial" w:hAnsi="Arial"/>
                <w:b/>
                <w:sz w:val="22"/>
                <w:u w:val="single"/>
              </w:rPr>
              <w:t>Los ingresos generados por</w:t>
            </w:r>
            <w:r>
              <w:rPr>
                <w:rFonts w:ascii="Arial" w:hAnsi="Arial"/>
                <w:sz w:val="22"/>
              </w:rPr>
              <w:t xml:space="preserve"> estas inversiones se acreditarán en la Cuenta Especial, </w:t>
            </w:r>
            <w:r>
              <w:rPr>
                <w:rFonts w:ascii="Arial" w:hAnsi="Arial"/>
                <w:b/>
                <w:sz w:val="22"/>
                <w:u w:val="single"/>
              </w:rPr>
              <w:t>de conformidad con el Reglamento Financiero de la UNESCO.</w:t>
            </w:r>
          </w:p>
        </w:tc>
      </w:tr>
      <w:tr w:rsidR="004C0C92" w:rsidRPr="00234E68" w14:paraId="1A68C37E" w14:textId="77777777" w:rsidTr="00CB3E86">
        <w:trPr>
          <w:cantSplit/>
        </w:trPr>
        <w:tc>
          <w:tcPr>
            <w:tcW w:w="1271" w:type="dxa"/>
            <w:tcBorders>
              <w:right w:val="nil"/>
            </w:tcBorders>
          </w:tcPr>
          <w:p w14:paraId="7E207622" w14:textId="77777777" w:rsidR="004C0C92" w:rsidRPr="00034B17" w:rsidRDefault="004C0C92" w:rsidP="00843921">
            <w:pPr>
              <w:spacing w:after="120"/>
              <w:rPr>
                <w:rFonts w:ascii="Arial" w:hAnsi="Arial" w:cs="Arial"/>
                <w:b/>
                <w:sz w:val="22"/>
                <w:szCs w:val="22"/>
              </w:rPr>
            </w:pPr>
          </w:p>
        </w:tc>
        <w:tc>
          <w:tcPr>
            <w:tcW w:w="4258" w:type="dxa"/>
            <w:tcBorders>
              <w:left w:val="nil"/>
            </w:tcBorders>
          </w:tcPr>
          <w:p w14:paraId="3E60DFB4" w14:textId="77777777" w:rsidR="004C0C92" w:rsidRPr="00034B17" w:rsidRDefault="004C0C92" w:rsidP="00843921">
            <w:pPr>
              <w:spacing w:after="120"/>
              <w:rPr>
                <w:rFonts w:ascii="Arial" w:hAnsi="Arial" w:cs="Arial"/>
                <w:b/>
                <w:sz w:val="22"/>
                <w:szCs w:val="22"/>
              </w:rPr>
            </w:pPr>
          </w:p>
        </w:tc>
        <w:tc>
          <w:tcPr>
            <w:tcW w:w="1417" w:type="dxa"/>
            <w:tcBorders>
              <w:right w:val="nil"/>
            </w:tcBorders>
          </w:tcPr>
          <w:p w14:paraId="2572BEDB" w14:textId="77777777" w:rsidR="004C0C92" w:rsidRPr="00234E68" w:rsidRDefault="004C0C92" w:rsidP="00843921">
            <w:pPr>
              <w:suppressAutoHyphens/>
              <w:spacing w:after="120"/>
              <w:rPr>
                <w:rFonts w:ascii="Arial" w:hAnsi="Arial" w:cs="Arial"/>
                <w:b/>
                <w:sz w:val="22"/>
                <w:szCs w:val="22"/>
                <w:u w:val="single"/>
              </w:rPr>
            </w:pPr>
            <w:r>
              <w:rPr>
                <w:rFonts w:ascii="Arial" w:hAnsi="Arial"/>
                <w:b/>
                <w:sz w:val="22"/>
                <w:u w:val="single"/>
              </w:rPr>
              <w:t>Artículo 10</w:t>
            </w:r>
          </w:p>
        </w:tc>
        <w:tc>
          <w:tcPr>
            <w:tcW w:w="7366" w:type="dxa"/>
            <w:tcBorders>
              <w:left w:val="nil"/>
            </w:tcBorders>
          </w:tcPr>
          <w:p w14:paraId="3E108F75" w14:textId="77777777" w:rsidR="004C0C92" w:rsidRPr="00234E68" w:rsidRDefault="004C0C92" w:rsidP="00843921">
            <w:pPr>
              <w:suppressAutoHyphens/>
              <w:spacing w:after="120"/>
              <w:rPr>
                <w:rFonts w:ascii="Arial" w:hAnsi="Arial" w:cs="Arial"/>
                <w:b/>
                <w:sz w:val="22"/>
                <w:szCs w:val="22"/>
                <w:u w:val="single"/>
              </w:rPr>
            </w:pPr>
            <w:r>
              <w:rPr>
                <w:rFonts w:ascii="Arial" w:hAnsi="Arial"/>
                <w:b/>
                <w:sz w:val="22"/>
                <w:u w:val="single"/>
              </w:rPr>
              <w:t>Presentación de informes</w:t>
            </w:r>
          </w:p>
        </w:tc>
      </w:tr>
      <w:tr w:rsidR="004C0C92" w:rsidRPr="00E869B7" w14:paraId="764BC33A" w14:textId="77777777" w:rsidTr="00CB3E86">
        <w:trPr>
          <w:cantSplit/>
        </w:trPr>
        <w:tc>
          <w:tcPr>
            <w:tcW w:w="1271" w:type="dxa"/>
            <w:tcBorders>
              <w:right w:val="nil"/>
            </w:tcBorders>
          </w:tcPr>
          <w:p w14:paraId="402076BD" w14:textId="77777777" w:rsidR="004C0C92" w:rsidRPr="00234E68" w:rsidRDefault="004C0C92" w:rsidP="00843921">
            <w:pPr>
              <w:spacing w:after="120"/>
              <w:rPr>
                <w:rFonts w:ascii="Arial" w:hAnsi="Arial" w:cs="Arial"/>
                <w:sz w:val="22"/>
                <w:szCs w:val="22"/>
                <w:lang w:val="en-US"/>
              </w:rPr>
            </w:pPr>
          </w:p>
        </w:tc>
        <w:tc>
          <w:tcPr>
            <w:tcW w:w="4258" w:type="dxa"/>
            <w:tcBorders>
              <w:left w:val="nil"/>
            </w:tcBorders>
          </w:tcPr>
          <w:p w14:paraId="387812D1" w14:textId="77777777" w:rsidR="004C0C92" w:rsidRPr="00234E68" w:rsidRDefault="004C0C92" w:rsidP="00843921">
            <w:pPr>
              <w:spacing w:after="120"/>
              <w:rPr>
                <w:rFonts w:ascii="Arial" w:hAnsi="Arial" w:cs="Arial"/>
                <w:sz w:val="22"/>
                <w:szCs w:val="22"/>
                <w:lang w:val="en-US"/>
              </w:rPr>
            </w:pPr>
          </w:p>
        </w:tc>
        <w:tc>
          <w:tcPr>
            <w:tcW w:w="1417" w:type="dxa"/>
            <w:tcBorders>
              <w:right w:val="nil"/>
            </w:tcBorders>
          </w:tcPr>
          <w:p w14:paraId="7176B3D0" w14:textId="77777777" w:rsidR="004C0C92" w:rsidRPr="009C211A" w:rsidRDefault="004C0C92" w:rsidP="00843921">
            <w:pPr>
              <w:suppressAutoHyphens/>
              <w:spacing w:after="120"/>
              <w:rPr>
                <w:rFonts w:ascii="Arial" w:hAnsi="Arial" w:cs="Arial"/>
                <w:b/>
                <w:bCs/>
                <w:sz w:val="22"/>
                <w:szCs w:val="22"/>
                <w:u w:val="single"/>
              </w:rPr>
            </w:pPr>
            <w:r w:rsidRPr="009C211A">
              <w:rPr>
                <w:rFonts w:ascii="Arial" w:hAnsi="Arial"/>
                <w:b/>
                <w:bCs/>
                <w:sz w:val="22"/>
                <w:u w:val="single"/>
              </w:rPr>
              <w:t xml:space="preserve">10.1 </w:t>
            </w:r>
          </w:p>
        </w:tc>
        <w:tc>
          <w:tcPr>
            <w:tcW w:w="7366" w:type="dxa"/>
            <w:tcBorders>
              <w:left w:val="nil"/>
            </w:tcBorders>
          </w:tcPr>
          <w:p w14:paraId="71DD353C" w14:textId="5C8E0F36" w:rsidR="004C0C92" w:rsidRPr="00234E68" w:rsidRDefault="004C0C92" w:rsidP="00843921">
            <w:pPr>
              <w:suppressAutoHyphens/>
              <w:spacing w:after="120"/>
              <w:rPr>
                <w:rFonts w:ascii="Arial" w:hAnsi="Arial" w:cs="Arial"/>
                <w:b/>
                <w:bCs/>
                <w:sz w:val="22"/>
                <w:szCs w:val="22"/>
                <w:u w:val="single"/>
              </w:rPr>
            </w:pPr>
            <w:r>
              <w:rPr>
                <w:rFonts w:ascii="Arial" w:hAnsi="Arial"/>
                <w:b/>
                <w:sz w:val="22"/>
                <w:u w:val="single"/>
              </w:rPr>
              <w:t xml:space="preserve">Se preparará y presentará al Comité y a la Asamblea General un informe financiero bienal que muestre los ingresos y gastos de la Cuenta Especial.  </w:t>
            </w:r>
          </w:p>
        </w:tc>
      </w:tr>
      <w:tr w:rsidR="004C0C92" w:rsidRPr="00E869B7" w14:paraId="17FDF3B2" w14:textId="77777777" w:rsidTr="00CB3E86">
        <w:trPr>
          <w:cantSplit/>
        </w:trPr>
        <w:tc>
          <w:tcPr>
            <w:tcW w:w="1271" w:type="dxa"/>
            <w:tcBorders>
              <w:right w:val="nil"/>
            </w:tcBorders>
          </w:tcPr>
          <w:p w14:paraId="538D8FFD" w14:textId="77777777" w:rsidR="004C0C92" w:rsidRPr="00034B17" w:rsidRDefault="004C0C92" w:rsidP="00843921">
            <w:pPr>
              <w:spacing w:after="120"/>
              <w:rPr>
                <w:rFonts w:ascii="Arial" w:hAnsi="Arial" w:cs="Arial"/>
                <w:sz w:val="22"/>
                <w:szCs w:val="22"/>
              </w:rPr>
            </w:pPr>
          </w:p>
        </w:tc>
        <w:tc>
          <w:tcPr>
            <w:tcW w:w="4258" w:type="dxa"/>
            <w:tcBorders>
              <w:left w:val="nil"/>
            </w:tcBorders>
          </w:tcPr>
          <w:p w14:paraId="78D9C9ED" w14:textId="77777777" w:rsidR="004C0C92" w:rsidRPr="00034B17" w:rsidRDefault="004C0C92" w:rsidP="00843921">
            <w:pPr>
              <w:spacing w:after="120"/>
              <w:rPr>
                <w:rFonts w:ascii="Arial" w:hAnsi="Arial" w:cs="Arial"/>
                <w:sz w:val="22"/>
                <w:szCs w:val="22"/>
              </w:rPr>
            </w:pPr>
          </w:p>
        </w:tc>
        <w:tc>
          <w:tcPr>
            <w:tcW w:w="1417" w:type="dxa"/>
            <w:tcBorders>
              <w:right w:val="nil"/>
            </w:tcBorders>
          </w:tcPr>
          <w:p w14:paraId="56249450" w14:textId="77777777" w:rsidR="004C0C92" w:rsidRPr="009C211A" w:rsidRDefault="004C0C92" w:rsidP="00843921">
            <w:pPr>
              <w:spacing w:after="120"/>
              <w:rPr>
                <w:rFonts w:ascii="Arial" w:hAnsi="Arial" w:cs="Arial"/>
                <w:b/>
                <w:bCs/>
                <w:sz w:val="22"/>
                <w:szCs w:val="22"/>
                <w:u w:val="single"/>
              </w:rPr>
            </w:pPr>
            <w:r w:rsidRPr="009C211A">
              <w:rPr>
                <w:rFonts w:ascii="Arial" w:hAnsi="Arial"/>
                <w:b/>
                <w:bCs/>
                <w:sz w:val="22"/>
                <w:u w:val="single"/>
              </w:rPr>
              <w:t>10.2</w:t>
            </w:r>
          </w:p>
        </w:tc>
        <w:tc>
          <w:tcPr>
            <w:tcW w:w="7366" w:type="dxa"/>
            <w:tcBorders>
              <w:left w:val="nil"/>
            </w:tcBorders>
          </w:tcPr>
          <w:p w14:paraId="545AADC8" w14:textId="6D625400" w:rsidR="004C0C92" w:rsidRPr="00234E68" w:rsidRDefault="004C0C92" w:rsidP="00843921">
            <w:pPr>
              <w:suppressAutoHyphens/>
              <w:spacing w:after="120"/>
              <w:rPr>
                <w:rFonts w:ascii="Arial" w:hAnsi="Arial" w:cs="Arial"/>
                <w:b/>
                <w:bCs/>
                <w:sz w:val="22"/>
                <w:szCs w:val="22"/>
                <w:u w:val="single"/>
              </w:rPr>
            </w:pPr>
            <w:r>
              <w:rPr>
                <w:rFonts w:ascii="Arial" w:hAnsi="Arial"/>
                <w:b/>
                <w:sz w:val="22"/>
                <w:u w:val="single"/>
              </w:rPr>
              <w:t>Se presentará un informe descriptivo bienal al Comité y a la Asamblea General.</w:t>
            </w:r>
          </w:p>
        </w:tc>
      </w:tr>
      <w:tr w:rsidR="004C0C92" w:rsidRPr="00E869B7" w14:paraId="1907208A" w14:textId="77777777" w:rsidTr="00CB3E86">
        <w:trPr>
          <w:cantSplit/>
        </w:trPr>
        <w:tc>
          <w:tcPr>
            <w:tcW w:w="1271" w:type="dxa"/>
            <w:tcBorders>
              <w:right w:val="nil"/>
            </w:tcBorders>
          </w:tcPr>
          <w:p w14:paraId="047AAD37" w14:textId="77777777" w:rsidR="004C0C92" w:rsidRPr="009C211A" w:rsidRDefault="004C0C92" w:rsidP="00843921">
            <w:pPr>
              <w:spacing w:after="120"/>
              <w:rPr>
                <w:rFonts w:ascii="Arial" w:hAnsi="Arial" w:cs="Arial"/>
                <w:sz w:val="22"/>
                <w:szCs w:val="22"/>
              </w:rPr>
            </w:pPr>
          </w:p>
        </w:tc>
        <w:tc>
          <w:tcPr>
            <w:tcW w:w="4258" w:type="dxa"/>
            <w:tcBorders>
              <w:left w:val="nil"/>
            </w:tcBorders>
          </w:tcPr>
          <w:p w14:paraId="7153B746" w14:textId="77777777" w:rsidR="004C0C92" w:rsidRPr="009C211A" w:rsidRDefault="004C0C92" w:rsidP="00843921">
            <w:pPr>
              <w:spacing w:after="120"/>
              <w:rPr>
                <w:rFonts w:ascii="Arial" w:hAnsi="Arial" w:cs="Arial"/>
                <w:sz w:val="22"/>
                <w:szCs w:val="22"/>
              </w:rPr>
            </w:pPr>
          </w:p>
        </w:tc>
        <w:tc>
          <w:tcPr>
            <w:tcW w:w="1417" w:type="dxa"/>
            <w:tcBorders>
              <w:right w:val="nil"/>
            </w:tcBorders>
          </w:tcPr>
          <w:p w14:paraId="33AADD49" w14:textId="77777777" w:rsidR="004C0C92" w:rsidRPr="00234E68" w:rsidRDefault="004C0C92" w:rsidP="00843921">
            <w:pPr>
              <w:keepNext/>
              <w:suppressAutoHyphens/>
              <w:spacing w:after="120"/>
              <w:rPr>
                <w:rFonts w:ascii="Arial" w:hAnsi="Arial" w:cs="Arial"/>
                <w:sz w:val="22"/>
                <w:szCs w:val="22"/>
                <w:u w:val="single"/>
              </w:rPr>
            </w:pPr>
            <w:r>
              <w:rPr>
                <w:rFonts w:ascii="Arial" w:hAnsi="Arial"/>
                <w:b/>
                <w:sz w:val="22"/>
                <w:u w:val="single"/>
              </w:rPr>
              <w:t>Artículo 11</w:t>
            </w:r>
          </w:p>
        </w:tc>
        <w:tc>
          <w:tcPr>
            <w:tcW w:w="7366" w:type="dxa"/>
            <w:tcBorders>
              <w:left w:val="nil"/>
            </w:tcBorders>
          </w:tcPr>
          <w:p w14:paraId="3CF7FFE1" w14:textId="77777777" w:rsidR="004C0C92" w:rsidRPr="00234E68" w:rsidRDefault="004C0C92" w:rsidP="00843921">
            <w:pPr>
              <w:keepNext/>
              <w:suppressAutoHyphens/>
              <w:spacing w:after="120"/>
              <w:rPr>
                <w:rFonts w:ascii="Arial" w:hAnsi="Arial" w:cs="Arial"/>
                <w:sz w:val="22"/>
                <w:szCs w:val="22"/>
                <w:u w:val="single"/>
              </w:rPr>
            </w:pPr>
            <w:r>
              <w:rPr>
                <w:rFonts w:ascii="Arial" w:hAnsi="Arial"/>
                <w:b/>
                <w:sz w:val="22"/>
                <w:u w:val="single"/>
              </w:rPr>
              <w:t>Cierre de la Cuenta Especial</w:t>
            </w:r>
          </w:p>
        </w:tc>
      </w:tr>
      <w:tr w:rsidR="004C0C92" w:rsidRPr="00E869B7" w14:paraId="370A0DB8" w14:textId="77777777" w:rsidTr="00CB3E86">
        <w:trPr>
          <w:cantSplit/>
        </w:trPr>
        <w:tc>
          <w:tcPr>
            <w:tcW w:w="1271" w:type="dxa"/>
            <w:tcBorders>
              <w:right w:val="nil"/>
            </w:tcBorders>
          </w:tcPr>
          <w:p w14:paraId="417807AE" w14:textId="77777777" w:rsidR="004C0C92" w:rsidRPr="00034B17" w:rsidRDefault="004C0C92" w:rsidP="00843921">
            <w:pPr>
              <w:spacing w:after="120"/>
              <w:rPr>
                <w:rFonts w:ascii="Arial" w:hAnsi="Arial" w:cs="Arial"/>
                <w:sz w:val="22"/>
                <w:szCs w:val="22"/>
              </w:rPr>
            </w:pPr>
          </w:p>
        </w:tc>
        <w:tc>
          <w:tcPr>
            <w:tcW w:w="4258" w:type="dxa"/>
            <w:tcBorders>
              <w:left w:val="nil"/>
            </w:tcBorders>
          </w:tcPr>
          <w:p w14:paraId="34CB64DF" w14:textId="77777777" w:rsidR="004C0C92" w:rsidRPr="00034B17" w:rsidRDefault="004C0C92" w:rsidP="00843921">
            <w:pPr>
              <w:spacing w:after="120"/>
              <w:rPr>
                <w:rFonts w:ascii="Arial" w:hAnsi="Arial" w:cs="Arial"/>
                <w:sz w:val="22"/>
                <w:szCs w:val="22"/>
              </w:rPr>
            </w:pPr>
          </w:p>
        </w:tc>
        <w:tc>
          <w:tcPr>
            <w:tcW w:w="1417" w:type="dxa"/>
            <w:tcBorders>
              <w:right w:val="nil"/>
            </w:tcBorders>
          </w:tcPr>
          <w:p w14:paraId="79E97D80" w14:textId="77777777" w:rsidR="004C0C92" w:rsidRPr="009C211A" w:rsidRDefault="004C0C92" w:rsidP="00843921">
            <w:pPr>
              <w:suppressAutoHyphens/>
              <w:spacing w:after="120"/>
              <w:rPr>
                <w:rFonts w:ascii="Arial" w:hAnsi="Arial" w:cs="Arial"/>
                <w:b/>
                <w:bCs/>
                <w:sz w:val="22"/>
                <w:szCs w:val="22"/>
                <w:u w:val="single"/>
              </w:rPr>
            </w:pPr>
            <w:r w:rsidRPr="009C211A">
              <w:rPr>
                <w:rFonts w:ascii="Arial" w:hAnsi="Arial"/>
                <w:b/>
                <w:bCs/>
                <w:sz w:val="22"/>
                <w:u w:val="single"/>
              </w:rPr>
              <w:t xml:space="preserve">11.1 </w:t>
            </w:r>
          </w:p>
        </w:tc>
        <w:tc>
          <w:tcPr>
            <w:tcW w:w="7366" w:type="dxa"/>
            <w:tcBorders>
              <w:left w:val="nil"/>
            </w:tcBorders>
          </w:tcPr>
          <w:p w14:paraId="0D808413" w14:textId="456AF631" w:rsidR="004C0C92" w:rsidRPr="00234E68" w:rsidRDefault="004C0C92" w:rsidP="00843921">
            <w:pPr>
              <w:suppressAutoHyphens/>
              <w:spacing w:after="120"/>
              <w:rPr>
                <w:rFonts w:ascii="Arial" w:hAnsi="Arial" w:cs="Arial"/>
                <w:b/>
                <w:bCs/>
                <w:sz w:val="22"/>
                <w:szCs w:val="22"/>
                <w:u w:val="single"/>
              </w:rPr>
            </w:pPr>
            <w:r>
              <w:rPr>
                <w:rFonts w:ascii="Arial" w:hAnsi="Arial"/>
                <w:b/>
                <w:sz w:val="22"/>
                <w:u w:val="single"/>
              </w:rPr>
              <w:t>El/La Directora(a) General consultará a la Asamblea General en el momento en que considere que el funcionamiento de la Cuenta Especial ya no es necesario. Dicha consulta deberá estipular una decisión sobre el uso de cualquier saldo no utilizado.</w:t>
            </w:r>
          </w:p>
        </w:tc>
      </w:tr>
      <w:tr w:rsidR="004C0C92" w:rsidRPr="00E869B7" w14:paraId="517A8A85" w14:textId="77777777" w:rsidTr="00CB3E86">
        <w:trPr>
          <w:cantSplit/>
        </w:trPr>
        <w:tc>
          <w:tcPr>
            <w:tcW w:w="1271" w:type="dxa"/>
            <w:tcBorders>
              <w:right w:val="nil"/>
            </w:tcBorders>
          </w:tcPr>
          <w:p w14:paraId="17BD26E2" w14:textId="77777777" w:rsidR="004C0C92" w:rsidRPr="00034B17" w:rsidRDefault="004C0C92" w:rsidP="00843921">
            <w:pPr>
              <w:spacing w:after="120"/>
              <w:rPr>
                <w:rFonts w:ascii="Arial" w:hAnsi="Arial" w:cs="Arial"/>
                <w:sz w:val="22"/>
                <w:szCs w:val="22"/>
              </w:rPr>
            </w:pPr>
          </w:p>
        </w:tc>
        <w:tc>
          <w:tcPr>
            <w:tcW w:w="4258" w:type="dxa"/>
            <w:tcBorders>
              <w:left w:val="nil"/>
            </w:tcBorders>
          </w:tcPr>
          <w:p w14:paraId="4E897A2D" w14:textId="77777777" w:rsidR="004C0C92" w:rsidRPr="00034B17" w:rsidRDefault="004C0C92" w:rsidP="00843921">
            <w:pPr>
              <w:spacing w:after="120"/>
              <w:rPr>
                <w:rFonts w:ascii="Arial" w:hAnsi="Arial" w:cs="Arial"/>
                <w:sz w:val="22"/>
                <w:szCs w:val="22"/>
              </w:rPr>
            </w:pPr>
          </w:p>
        </w:tc>
        <w:tc>
          <w:tcPr>
            <w:tcW w:w="1417" w:type="dxa"/>
            <w:tcBorders>
              <w:right w:val="nil"/>
            </w:tcBorders>
          </w:tcPr>
          <w:p w14:paraId="0B20F488" w14:textId="77777777" w:rsidR="004C0C92" w:rsidRPr="009C211A" w:rsidRDefault="004C0C92" w:rsidP="00843921">
            <w:pPr>
              <w:suppressAutoHyphens/>
              <w:spacing w:after="120"/>
              <w:rPr>
                <w:rFonts w:ascii="Arial" w:hAnsi="Arial" w:cs="Arial"/>
                <w:b/>
                <w:bCs/>
                <w:sz w:val="22"/>
                <w:szCs w:val="22"/>
                <w:u w:val="single"/>
              </w:rPr>
            </w:pPr>
            <w:r w:rsidRPr="009C211A">
              <w:rPr>
                <w:rFonts w:ascii="Arial" w:hAnsi="Arial"/>
                <w:b/>
                <w:bCs/>
                <w:sz w:val="22"/>
                <w:u w:val="single"/>
              </w:rPr>
              <w:t xml:space="preserve">11.2 </w:t>
            </w:r>
          </w:p>
        </w:tc>
        <w:tc>
          <w:tcPr>
            <w:tcW w:w="7366" w:type="dxa"/>
            <w:tcBorders>
              <w:left w:val="nil"/>
            </w:tcBorders>
          </w:tcPr>
          <w:p w14:paraId="0A51B344" w14:textId="3373A06D" w:rsidR="004C0C92" w:rsidRPr="00234E68" w:rsidRDefault="004C0C92" w:rsidP="00843921">
            <w:pPr>
              <w:suppressAutoHyphens/>
              <w:spacing w:after="120"/>
              <w:rPr>
                <w:rFonts w:ascii="Arial" w:hAnsi="Arial" w:cs="Arial"/>
                <w:b/>
                <w:bCs/>
                <w:sz w:val="22"/>
                <w:szCs w:val="22"/>
                <w:u w:val="single"/>
              </w:rPr>
            </w:pPr>
            <w:r>
              <w:rPr>
                <w:rFonts w:ascii="Arial" w:hAnsi="Arial"/>
                <w:b/>
                <w:sz w:val="22"/>
                <w:u w:val="single"/>
              </w:rPr>
              <w:t>La decisión de la Asamblea General se transmitirá al Consejo Ejecutivo antes del cierre efectivo de la Cuenta Especial.</w:t>
            </w:r>
          </w:p>
        </w:tc>
      </w:tr>
      <w:tr w:rsidR="004C0C92" w:rsidRPr="00234E68" w14:paraId="7195ED88" w14:textId="77777777" w:rsidTr="00CB3E86">
        <w:trPr>
          <w:cantSplit/>
        </w:trPr>
        <w:tc>
          <w:tcPr>
            <w:tcW w:w="1271" w:type="dxa"/>
            <w:tcBorders>
              <w:right w:val="nil"/>
            </w:tcBorders>
          </w:tcPr>
          <w:p w14:paraId="6520E8F4" w14:textId="77777777" w:rsidR="004C0C92" w:rsidRPr="00234E68" w:rsidRDefault="004C0C92" w:rsidP="00843921">
            <w:pPr>
              <w:spacing w:after="120"/>
              <w:rPr>
                <w:rFonts w:ascii="Arial" w:hAnsi="Arial" w:cs="Arial"/>
                <w:sz w:val="22"/>
                <w:szCs w:val="22"/>
              </w:rPr>
            </w:pPr>
            <w:r>
              <w:rPr>
                <w:rFonts w:ascii="Arial" w:hAnsi="Arial"/>
                <w:b/>
                <w:sz w:val="22"/>
              </w:rPr>
              <w:t>Artículo 9</w:t>
            </w:r>
          </w:p>
        </w:tc>
        <w:tc>
          <w:tcPr>
            <w:tcW w:w="4258" w:type="dxa"/>
            <w:tcBorders>
              <w:left w:val="nil"/>
            </w:tcBorders>
          </w:tcPr>
          <w:p w14:paraId="3A95D446" w14:textId="77777777" w:rsidR="004C0C92" w:rsidRPr="00234E68" w:rsidRDefault="004C0C92" w:rsidP="00843921">
            <w:pPr>
              <w:spacing w:after="120"/>
              <w:rPr>
                <w:rFonts w:ascii="Arial" w:hAnsi="Arial" w:cs="Arial"/>
                <w:sz w:val="22"/>
                <w:szCs w:val="22"/>
              </w:rPr>
            </w:pPr>
            <w:r>
              <w:rPr>
                <w:rFonts w:ascii="Arial" w:hAnsi="Arial"/>
                <w:b/>
                <w:sz w:val="22"/>
              </w:rPr>
              <w:t>Disposición General</w:t>
            </w:r>
          </w:p>
        </w:tc>
        <w:tc>
          <w:tcPr>
            <w:tcW w:w="1417" w:type="dxa"/>
            <w:tcBorders>
              <w:right w:val="nil"/>
            </w:tcBorders>
          </w:tcPr>
          <w:p w14:paraId="20FD5008" w14:textId="77777777" w:rsidR="004C0C92" w:rsidRPr="00234E68" w:rsidRDefault="004C0C92" w:rsidP="00843921">
            <w:pPr>
              <w:keepNext/>
              <w:suppressAutoHyphens/>
              <w:spacing w:after="120"/>
              <w:rPr>
                <w:rFonts w:ascii="Arial" w:hAnsi="Arial" w:cs="Arial"/>
                <w:sz w:val="22"/>
                <w:szCs w:val="22"/>
              </w:rPr>
            </w:pPr>
            <w:r>
              <w:rPr>
                <w:rFonts w:ascii="Arial" w:hAnsi="Arial"/>
                <w:b/>
                <w:sz w:val="22"/>
              </w:rPr>
              <w:t xml:space="preserve">Artículo </w:t>
            </w:r>
            <w:r>
              <w:rPr>
                <w:rFonts w:ascii="Arial" w:hAnsi="Arial"/>
                <w:b/>
                <w:strike/>
                <w:color w:val="000000" w:themeColor="text1"/>
                <w:sz w:val="22"/>
              </w:rPr>
              <w:t>9</w:t>
            </w:r>
            <w:r>
              <w:rPr>
                <w:rFonts w:ascii="Arial" w:hAnsi="Arial"/>
                <w:b/>
                <w:sz w:val="22"/>
              </w:rPr>
              <w:t>12</w:t>
            </w:r>
          </w:p>
        </w:tc>
        <w:tc>
          <w:tcPr>
            <w:tcW w:w="7366" w:type="dxa"/>
            <w:tcBorders>
              <w:left w:val="nil"/>
            </w:tcBorders>
          </w:tcPr>
          <w:p w14:paraId="30F40B23" w14:textId="77777777" w:rsidR="004C0C92" w:rsidRPr="00234E68" w:rsidRDefault="004C0C92" w:rsidP="00843921">
            <w:pPr>
              <w:keepNext/>
              <w:suppressAutoHyphens/>
              <w:spacing w:after="120"/>
              <w:rPr>
                <w:rFonts w:ascii="Arial" w:hAnsi="Arial" w:cs="Arial"/>
                <w:sz w:val="22"/>
                <w:szCs w:val="22"/>
              </w:rPr>
            </w:pPr>
            <w:r>
              <w:rPr>
                <w:rFonts w:ascii="Arial" w:hAnsi="Arial"/>
                <w:sz w:val="22"/>
              </w:rPr>
              <w:t>Sin cambios.</w:t>
            </w:r>
          </w:p>
        </w:tc>
      </w:tr>
      <w:tr w:rsidR="004C0C92" w:rsidRPr="00E869B7" w14:paraId="7892E56C" w14:textId="77777777" w:rsidTr="00CB3E86">
        <w:trPr>
          <w:cantSplit/>
        </w:trPr>
        <w:tc>
          <w:tcPr>
            <w:tcW w:w="1271" w:type="dxa"/>
            <w:tcBorders>
              <w:right w:val="nil"/>
            </w:tcBorders>
          </w:tcPr>
          <w:p w14:paraId="1FC663AF" w14:textId="77777777" w:rsidR="004C0C92" w:rsidRPr="00234E68" w:rsidRDefault="004C0C92" w:rsidP="00843921">
            <w:pPr>
              <w:spacing w:after="120"/>
              <w:rPr>
                <w:rFonts w:ascii="Arial" w:hAnsi="Arial" w:cs="Arial"/>
                <w:sz w:val="22"/>
                <w:szCs w:val="22"/>
                <w:lang w:val="en-US"/>
              </w:rPr>
            </w:pPr>
          </w:p>
        </w:tc>
        <w:tc>
          <w:tcPr>
            <w:tcW w:w="4258" w:type="dxa"/>
            <w:tcBorders>
              <w:left w:val="nil"/>
            </w:tcBorders>
          </w:tcPr>
          <w:p w14:paraId="18EAEBFF" w14:textId="77777777" w:rsidR="004C0C92" w:rsidRPr="00234E68" w:rsidRDefault="004C0C92" w:rsidP="00843921">
            <w:pPr>
              <w:spacing w:after="120"/>
              <w:rPr>
                <w:rFonts w:ascii="Arial" w:hAnsi="Arial" w:cs="Arial"/>
                <w:sz w:val="22"/>
                <w:szCs w:val="22"/>
                <w:lang w:val="en-US"/>
              </w:rPr>
            </w:pPr>
          </w:p>
        </w:tc>
        <w:tc>
          <w:tcPr>
            <w:tcW w:w="1417" w:type="dxa"/>
            <w:tcBorders>
              <w:right w:val="nil"/>
            </w:tcBorders>
          </w:tcPr>
          <w:p w14:paraId="076C4AB1" w14:textId="77777777" w:rsidR="004C0C92" w:rsidRPr="009C211A" w:rsidRDefault="004C0C92" w:rsidP="00843921">
            <w:pPr>
              <w:keepNext/>
              <w:suppressAutoHyphens/>
              <w:spacing w:after="120"/>
              <w:rPr>
                <w:rFonts w:ascii="Arial" w:hAnsi="Arial" w:cs="Arial"/>
                <w:b/>
                <w:bCs/>
                <w:spacing w:val="-3"/>
                <w:sz w:val="22"/>
                <w:szCs w:val="22"/>
                <w:u w:val="single"/>
              </w:rPr>
            </w:pPr>
            <w:r w:rsidRPr="009C211A">
              <w:rPr>
                <w:rFonts w:ascii="Arial" w:hAnsi="Arial"/>
                <w:b/>
                <w:bCs/>
                <w:sz w:val="22"/>
                <w:u w:val="single"/>
              </w:rPr>
              <w:t xml:space="preserve">12.1 </w:t>
            </w:r>
          </w:p>
        </w:tc>
        <w:tc>
          <w:tcPr>
            <w:tcW w:w="7366" w:type="dxa"/>
            <w:tcBorders>
              <w:left w:val="nil"/>
            </w:tcBorders>
          </w:tcPr>
          <w:p w14:paraId="607A0C7D" w14:textId="77777777" w:rsidR="004C0C92" w:rsidRPr="00234E68" w:rsidRDefault="004C0C92" w:rsidP="00843921">
            <w:pPr>
              <w:keepNext/>
              <w:suppressAutoHyphens/>
              <w:spacing w:after="120"/>
              <w:rPr>
                <w:rFonts w:ascii="Arial" w:hAnsi="Arial" w:cs="Arial"/>
                <w:b/>
                <w:bCs/>
                <w:spacing w:val="-3"/>
                <w:sz w:val="22"/>
                <w:szCs w:val="22"/>
                <w:u w:val="single"/>
              </w:rPr>
            </w:pPr>
            <w:r>
              <w:rPr>
                <w:rFonts w:ascii="Arial" w:hAnsi="Arial"/>
                <w:b/>
                <w:sz w:val="22"/>
                <w:u w:val="single"/>
              </w:rPr>
              <w:t>Cualquier enmienda a este Reglamento Financiero deberá ser aprobada por la Asamblea General. El Consejo Ejecutivo deberá ser informado de tales enmiendas.</w:t>
            </w:r>
          </w:p>
        </w:tc>
      </w:tr>
      <w:tr w:rsidR="004C0C92" w:rsidRPr="00E869B7" w14:paraId="796E05D1" w14:textId="77777777" w:rsidTr="00CB3E86">
        <w:trPr>
          <w:cantSplit/>
        </w:trPr>
        <w:tc>
          <w:tcPr>
            <w:tcW w:w="1271" w:type="dxa"/>
            <w:tcBorders>
              <w:right w:val="nil"/>
            </w:tcBorders>
          </w:tcPr>
          <w:p w14:paraId="36785520" w14:textId="77777777" w:rsidR="004C0C92" w:rsidRPr="009C211A" w:rsidRDefault="004C0C92" w:rsidP="00843921">
            <w:pPr>
              <w:spacing w:after="120"/>
              <w:rPr>
                <w:rFonts w:ascii="Arial" w:hAnsi="Arial" w:cs="Arial"/>
                <w:sz w:val="22"/>
                <w:szCs w:val="22"/>
              </w:rPr>
            </w:pPr>
          </w:p>
        </w:tc>
        <w:tc>
          <w:tcPr>
            <w:tcW w:w="4258" w:type="dxa"/>
            <w:tcBorders>
              <w:left w:val="nil"/>
            </w:tcBorders>
          </w:tcPr>
          <w:p w14:paraId="41666DE3" w14:textId="77777777" w:rsidR="004C0C92" w:rsidRPr="00234E68" w:rsidRDefault="004C0C92" w:rsidP="00843921">
            <w:pPr>
              <w:spacing w:after="120"/>
              <w:rPr>
                <w:rFonts w:ascii="Arial" w:hAnsi="Arial" w:cs="Arial"/>
                <w:sz w:val="22"/>
                <w:szCs w:val="22"/>
              </w:rPr>
            </w:pPr>
            <w:r>
              <w:rPr>
                <w:rFonts w:ascii="Arial" w:hAnsi="Arial"/>
                <w:sz w:val="22"/>
              </w:rPr>
              <w:t>Salvo disposición en contrario del presente Reglamento, la Cuenta Especial se administrará con arreglo al Reglamento Financiero de la UNESCO.</w:t>
            </w:r>
          </w:p>
        </w:tc>
        <w:tc>
          <w:tcPr>
            <w:tcW w:w="1417" w:type="dxa"/>
            <w:tcBorders>
              <w:right w:val="nil"/>
            </w:tcBorders>
          </w:tcPr>
          <w:p w14:paraId="11927F53" w14:textId="77777777" w:rsidR="004C0C92" w:rsidRPr="009C211A" w:rsidRDefault="004C0C92" w:rsidP="00843921">
            <w:pPr>
              <w:keepNext/>
              <w:suppressAutoHyphens/>
              <w:spacing w:after="120"/>
              <w:rPr>
                <w:rFonts w:ascii="Arial" w:hAnsi="Arial" w:cs="Arial"/>
                <w:b/>
                <w:bCs/>
                <w:sz w:val="22"/>
                <w:szCs w:val="22"/>
                <w:u w:val="single"/>
              </w:rPr>
            </w:pPr>
            <w:r w:rsidRPr="009C211A">
              <w:rPr>
                <w:rFonts w:ascii="Arial" w:hAnsi="Arial"/>
                <w:b/>
                <w:bCs/>
                <w:sz w:val="22"/>
                <w:u w:val="single"/>
              </w:rPr>
              <w:t>12.2</w:t>
            </w:r>
          </w:p>
        </w:tc>
        <w:tc>
          <w:tcPr>
            <w:tcW w:w="7366" w:type="dxa"/>
            <w:tcBorders>
              <w:left w:val="nil"/>
            </w:tcBorders>
          </w:tcPr>
          <w:p w14:paraId="3C2B4F2C" w14:textId="77777777" w:rsidR="004C0C92" w:rsidRPr="00234E68" w:rsidRDefault="004C0C92" w:rsidP="00843921">
            <w:pPr>
              <w:keepNext/>
              <w:suppressAutoHyphens/>
              <w:spacing w:after="120"/>
              <w:rPr>
                <w:rFonts w:ascii="Arial" w:hAnsi="Arial" w:cs="Arial"/>
                <w:sz w:val="22"/>
                <w:szCs w:val="22"/>
              </w:rPr>
            </w:pPr>
            <w:r>
              <w:rPr>
                <w:rFonts w:ascii="Arial" w:hAnsi="Arial"/>
                <w:sz w:val="22"/>
              </w:rPr>
              <w:t>Sin cambios.</w:t>
            </w:r>
          </w:p>
        </w:tc>
      </w:tr>
    </w:tbl>
    <w:p w14:paraId="0CE21BDD" w14:textId="77777777" w:rsidR="00A432F7" w:rsidRPr="00034B17" w:rsidRDefault="00A432F7" w:rsidP="00A432F7">
      <w:pPr>
        <w:spacing w:after="120"/>
        <w:rPr>
          <w:rFonts w:ascii="Arial" w:hAnsi="Arial" w:cs="Arial"/>
          <w:sz w:val="22"/>
          <w:szCs w:val="22"/>
        </w:rPr>
      </w:pPr>
    </w:p>
    <w:sectPr w:rsidR="00A432F7" w:rsidRPr="00034B17" w:rsidSect="00A432F7">
      <w:pgSz w:w="16838" w:h="11906" w:orient="landscape" w:code="9"/>
      <w:pgMar w:top="1134" w:right="1418" w:bottom="1134" w:left="1134"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C64BC" w14:textId="77777777" w:rsidR="0056077B" w:rsidRDefault="0056077B" w:rsidP="00655736">
      <w:r>
        <w:separator/>
      </w:r>
    </w:p>
  </w:endnote>
  <w:endnote w:type="continuationSeparator" w:id="0">
    <w:p w14:paraId="59A58A84" w14:textId="77777777" w:rsidR="0056077B" w:rsidRDefault="0056077B"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013A7" w14:textId="77777777" w:rsidR="00672EF2" w:rsidRDefault="00672EF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14811" w14:textId="77777777" w:rsidR="00672EF2" w:rsidRDefault="00672EF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787CC" w14:textId="77777777" w:rsidR="00672EF2" w:rsidRDefault="00672EF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89010" w14:textId="77777777" w:rsidR="0056077B" w:rsidRDefault="0056077B" w:rsidP="00655736">
      <w:r>
        <w:separator/>
      </w:r>
    </w:p>
  </w:footnote>
  <w:footnote w:type="continuationSeparator" w:id="0">
    <w:p w14:paraId="67613518" w14:textId="77777777" w:rsidR="0056077B" w:rsidRDefault="0056077B" w:rsidP="00655736">
      <w:r>
        <w:continuationSeparator/>
      </w:r>
    </w:p>
  </w:footnote>
  <w:footnote w:id="1">
    <w:p w14:paraId="1632EBA0" w14:textId="3E07CFF6" w:rsidR="0056077B" w:rsidRPr="00617C63" w:rsidRDefault="0056077B" w:rsidP="00B702ED">
      <w:pPr>
        <w:pStyle w:val="Notedebasdepage"/>
        <w:tabs>
          <w:tab w:val="left" w:pos="426"/>
        </w:tabs>
        <w:spacing w:before="0" w:after="0"/>
        <w:ind w:left="426" w:hanging="426"/>
        <w:rPr>
          <w:sz w:val="18"/>
          <w:szCs w:val="18"/>
        </w:rPr>
      </w:pPr>
      <w:r>
        <w:rPr>
          <w:rStyle w:val="Appelnotedebasdep"/>
          <w:rFonts w:eastAsiaTheme="minorHAnsi"/>
          <w:sz w:val="18"/>
          <w:szCs w:val="18"/>
          <w:vertAlign w:val="baseline"/>
          <w:lang w:val="en-US" w:eastAsia="en-US"/>
        </w:rPr>
        <w:footnoteRef/>
      </w:r>
      <w:r>
        <w:rPr>
          <w:rStyle w:val="Appelnotedebasdep"/>
          <w:sz w:val="18"/>
          <w:vertAlign w:val="baseline"/>
        </w:rPr>
        <w:t>.</w:t>
      </w:r>
      <w:r>
        <w:rPr>
          <w:rStyle w:val="Appelnotedebasdep"/>
          <w:sz w:val="18"/>
          <w:vertAlign w:val="baseline"/>
        </w:rPr>
        <w:tab/>
        <w:t>En comparación con el bienio 2014–2015 (37C/5), el número de solicitudes examinadas por la Mesa ha aumentado en un 142 %. Este aumento del índice no tiene en cuenta las solicitudes de Asistencia Internacional que la Mesa examinó en el segundo semestre de 2019.</w:t>
      </w:r>
    </w:p>
  </w:footnote>
  <w:footnote w:id="2">
    <w:p w14:paraId="2BEEE298" w14:textId="13B6E21E" w:rsidR="0056077B" w:rsidRPr="00617C63" w:rsidRDefault="0056077B" w:rsidP="009C211A">
      <w:pPr>
        <w:pStyle w:val="Notedebasdepage"/>
        <w:spacing w:before="0"/>
        <w:ind w:left="448" w:hanging="448"/>
        <w:rPr>
          <w:rFonts w:cs="Arial"/>
          <w:sz w:val="18"/>
          <w:szCs w:val="18"/>
        </w:rPr>
      </w:pPr>
      <w:r>
        <w:rPr>
          <w:rStyle w:val="Appelnotedebasdep"/>
          <w:rFonts w:cs="Arial"/>
          <w:sz w:val="18"/>
          <w:szCs w:val="18"/>
          <w:vertAlign w:val="baseline"/>
        </w:rPr>
        <w:footnoteRef/>
      </w:r>
      <w:r>
        <w:rPr>
          <w:sz w:val="18"/>
        </w:rPr>
        <w:t>.</w:t>
      </w:r>
      <w:r>
        <w:rPr>
          <w:sz w:val="18"/>
        </w:rPr>
        <w:tab/>
        <w:t>El último estado de contribuciones obligatorias se encuentra disponible en:</w:t>
      </w:r>
      <w:r w:rsidR="001B2B7A" w:rsidDel="001B2B7A">
        <w:rPr>
          <w:sz w:val="18"/>
        </w:rPr>
        <w:t xml:space="preserve"> </w:t>
      </w:r>
      <w:r>
        <w:rPr>
          <w:sz w:val="18"/>
        </w:rPr>
        <w:t xml:space="preserve"> </w:t>
      </w:r>
      <w:hyperlink r:id="rId1" w:history="1">
        <w:r>
          <w:rPr>
            <w:rStyle w:val="Lienhypertexte"/>
            <w:sz w:val="18"/>
          </w:rPr>
          <w:t>http://www.unesco.org/eri/cp/factsheets/ICH-Status-of-Contributions.pdf</w:t>
        </w:r>
      </w:hyperlink>
    </w:p>
  </w:footnote>
  <w:footnote w:id="3">
    <w:p w14:paraId="52BFAF99" w14:textId="533051E3" w:rsidR="000B0E88" w:rsidRPr="006E2706" w:rsidRDefault="000B0E88" w:rsidP="009C211A">
      <w:pPr>
        <w:pStyle w:val="Notedebasdepage"/>
        <w:ind w:left="426" w:hanging="426"/>
      </w:pPr>
      <w:r w:rsidRPr="009C211A">
        <w:rPr>
          <w:rStyle w:val="Appelnotedebasdep"/>
          <w:sz w:val="18"/>
          <w:szCs w:val="18"/>
          <w:vertAlign w:val="baseline"/>
        </w:rPr>
        <w:footnoteRef/>
      </w:r>
      <w:r w:rsidRPr="009C211A">
        <w:rPr>
          <w:sz w:val="18"/>
          <w:szCs w:val="18"/>
        </w:rPr>
        <w:t>.</w:t>
      </w:r>
      <w:r>
        <w:t xml:space="preserve"> </w:t>
      </w:r>
      <w:r>
        <w:tab/>
      </w:r>
      <w:r>
        <w:rPr>
          <w:sz w:val="18"/>
        </w:rPr>
        <w:t>La "asistencia preparatoria" corresponde a la asistencia que los Estados Partes pueden solicitar para elaborar candidaturas a la Lista del Patrimonio Cultural Inmaterial que requiere medidas urgentes de salvaguardia o propuestas para el Registro de buenas prácticas de salvaguardia (párrafo 21 de las</w:t>
      </w:r>
      <w:r>
        <w:t xml:space="preserve"> </w:t>
      </w:r>
      <w:hyperlink r:id="rId2" w:history="1">
        <w:r>
          <w:rPr>
            <w:rStyle w:val="Lienhypertexte"/>
            <w:sz w:val="18"/>
          </w:rPr>
          <w:t>Directrices Operativas</w:t>
        </w:r>
      </w:hyperlink>
      <w:r>
        <w:t>)</w:t>
      </w:r>
      <w:r>
        <w:rPr>
          <w:sz w:val="18"/>
        </w:rPr>
        <w:t>. "Asistencia técnica" se refiere a la provisión de expertos, como se describe en el Artículo 21 de la Convención, a los Estados Partes que deseen elaborar solicitudes de asistencia internacional (</w:t>
      </w:r>
      <w:hyperlink r:id="rId3" w:history="1">
        <w:r>
          <w:rPr>
            <w:rStyle w:val="Lienhypertexte"/>
            <w:sz w:val="18"/>
          </w:rPr>
          <w:t>Decisión 8.COM 7.c</w:t>
        </w:r>
      </w:hyperlink>
      <w:r>
        <w:rPr>
          <w:sz w:val="18"/>
        </w:rPr>
        <w:t>).</w:t>
      </w:r>
    </w:p>
  </w:footnote>
  <w:footnote w:id="4">
    <w:p w14:paraId="218E6F9E" w14:textId="68352CFF" w:rsidR="0056077B" w:rsidRPr="009C211A" w:rsidRDefault="0056077B" w:rsidP="009C211A">
      <w:pPr>
        <w:pStyle w:val="Notedebasdepage"/>
        <w:ind w:left="426" w:hanging="426"/>
        <w:rPr>
          <w:sz w:val="16"/>
          <w:szCs w:val="18"/>
        </w:rPr>
      </w:pPr>
      <w:r w:rsidRPr="009C211A">
        <w:rPr>
          <w:rStyle w:val="Appelnotedebasdep"/>
          <w:sz w:val="18"/>
          <w:szCs w:val="18"/>
          <w:vertAlign w:val="baseline"/>
        </w:rPr>
        <w:footnoteRef/>
      </w:r>
      <w:r w:rsidR="000B0E88">
        <w:rPr>
          <w:sz w:val="18"/>
          <w:szCs w:val="18"/>
        </w:rPr>
        <w:t>.</w:t>
      </w:r>
      <w:r w:rsidRPr="009C211A">
        <w:rPr>
          <w:sz w:val="18"/>
          <w:szCs w:val="18"/>
        </w:rPr>
        <w:t xml:space="preserve"> </w:t>
      </w:r>
      <w:r w:rsidRPr="009C211A">
        <w:rPr>
          <w:sz w:val="18"/>
          <w:szCs w:val="18"/>
        </w:rPr>
        <w:tab/>
        <w:t xml:space="preserve">El desglose por </w:t>
      </w:r>
      <w:r>
        <w:rPr>
          <w:sz w:val="18"/>
        </w:rPr>
        <w:t>R</w:t>
      </w:r>
      <w:r w:rsidRPr="006C26EE">
        <w:rPr>
          <w:sz w:val="18"/>
        </w:rPr>
        <w:t xml:space="preserve">esultados </w:t>
      </w:r>
      <w:r>
        <w:rPr>
          <w:sz w:val="18"/>
        </w:rPr>
        <w:t>Esperado</w:t>
      </w:r>
      <w:r w:rsidRPr="006C26EE">
        <w:rPr>
          <w:sz w:val="18"/>
        </w:rPr>
        <w:t xml:space="preserve"> </w:t>
      </w:r>
      <w:r w:rsidRPr="009C211A">
        <w:rPr>
          <w:sz w:val="18"/>
          <w:szCs w:val="18"/>
        </w:rPr>
        <w:t>para 2018-2019 fue aprobado por la Mesa del Comité Intergubernamental en 2018 (</w:t>
      </w:r>
      <w:hyperlink r:id="rId4" w:history="1">
        <w:r w:rsidRPr="00C448CF">
          <w:rPr>
            <w:rStyle w:val="Lienhypertexte"/>
            <w:sz w:val="18"/>
            <w:szCs w:val="18"/>
          </w:rPr>
          <w:t>Decisi</w:t>
        </w:r>
        <w:r>
          <w:rPr>
            <w:rStyle w:val="Lienhypertexte"/>
            <w:sz w:val="18"/>
            <w:szCs w:val="18"/>
          </w:rPr>
          <w:t>ó</w:t>
        </w:r>
        <w:r w:rsidRPr="00C448CF">
          <w:rPr>
            <w:rStyle w:val="Lienhypertexte"/>
            <w:sz w:val="18"/>
            <w:szCs w:val="18"/>
          </w:rPr>
          <w:t>n 13.COM 2.BUR 3</w:t>
        </w:r>
      </w:hyperlink>
      <w:r>
        <w:rPr>
          <w:sz w:val="18"/>
          <w:szCs w:val="18"/>
        </w:rPr>
        <w:t>).</w:t>
      </w:r>
    </w:p>
  </w:footnote>
  <w:footnote w:id="5">
    <w:p w14:paraId="04577A7B" w14:textId="5B0C1012" w:rsidR="0056077B" w:rsidRPr="007C4629" w:rsidRDefault="0056077B" w:rsidP="007C4629">
      <w:pPr>
        <w:pStyle w:val="Notedebasdepage"/>
        <w:ind w:left="426" w:hanging="426"/>
      </w:pPr>
      <w:r w:rsidRPr="009C211A">
        <w:rPr>
          <w:rStyle w:val="Appelnotedebasdep"/>
          <w:vertAlign w:val="baseline"/>
        </w:rPr>
        <w:footnoteRef/>
      </w:r>
      <w:r w:rsidR="000B0E88">
        <w:rPr>
          <w:rStyle w:val="Appelnotedebasdep"/>
          <w:vertAlign w:val="baseline"/>
        </w:rPr>
        <w:t>.</w:t>
      </w:r>
      <w:r w:rsidRPr="009C211A">
        <w:rPr>
          <w:rStyle w:val="Appelnotedebasdep"/>
          <w:vertAlign w:val="baseline"/>
        </w:rPr>
        <w:t xml:space="preserve"> </w:t>
      </w:r>
      <w:r w:rsidRPr="009C211A">
        <w:tab/>
      </w:r>
      <w:r w:rsidRPr="009C211A">
        <w:rPr>
          <w:sz w:val="18"/>
        </w:rPr>
        <w:t xml:space="preserve">El desglose por </w:t>
      </w:r>
      <w:r>
        <w:rPr>
          <w:sz w:val="18"/>
        </w:rPr>
        <w:t>R</w:t>
      </w:r>
      <w:r w:rsidRPr="009C211A">
        <w:rPr>
          <w:sz w:val="18"/>
        </w:rPr>
        <w:t xml:space="preserve">esultados </w:t>
      </w:r>
      <w:r>
        <w:rPr>
          <w:sz w:val="18"/>
        </w:rPr>
        <w:t>Esperado</w:t>
      </w:r>
      <w:r w:rsidRPr="009C211A">
        <w:rPr>
          <w:sz w:val="18"/>
        </w:rPr>
        <w:t xml:space="preserve"> para el primer semestre de 2020 fue aprobado por la Mesa del Comité Intergubernamental en 2019 (</w:t>
      </w:r>
      <w:hyperlink r:id="rId5" w:history="1">
        <w:r w:rsidRPr="00C448CF">
          <w:rPr>
            <w:rStyle w:val="Lienhypertexte"/>
            <w:sz w:val="18"/>
            <w:szCs w:val="18"/>
          </w:rPr>
          <w:t>Decisi</w:t>
        </w:r>
        <w:r>
          <w:rPr>
            <w:rStyle w:val="Lienhypertexte"/>
            <w:sz w:val="18"/>
            <w:szCs w:val="18"/>
          </w:rPr>
          <w:t>ó</w:t>
        </w:r>
        <w:r w:rsidRPr="00C448CF">
          <w:rPr>
            <w:rStyle w:val="Lienhypertexte"/>
            <w:sz w:val="18"/>
            <w:szCs w:val="18"/>
          </w:rPr>
          <w:t>n 14.COM 2.BUR 3</w:t>
        </w:r>
      </w:hyperlink>
      <w:r w:rsidRPr="00C448CF">
        <w:rPr>
          <w:sz w:val="18"/>
          <w:szCs w:val="18"/>
        </w:rPr>
        <w:t>).</w:t>
      </w:r>
    </w:p>
  </w:footnote>
  <w:footnote w:id="6">
    <w:p w14:paraId="467F669A" w14:textId="0F76A6A7" w:rsidR="0056077B" w:rsidRPr="00617C63" w:rsidRDefault="0056077B">
      <w:pPr>
        <w:pStyle w:val="Notedebasdepage"/>
        <w:tabs>
          <w:tab w:val="left" w:pos="432"/>
          <w:tab w:val="left" w:pos="475"/>
        </w:tabs>
        <w:ind w:left="450" w:hanging="450"/>
        <w:rPr>
          <w:sz w:val="18"/>
          <w:szCs w:val="18"/>
        </w:rPr>
      </w:pPr>
      <w:r>
        <w:rPr>
          <w:rStyle w:val="Appelnotedebasdep"/>
          <w:rFonts w:cs="Arial"/>
          <w:sz w:val="18"/>
          <w:szCs w:val="18"/>
          <w:vertAlign w:val="baseline"/>
        </w:rPr>
        <w:footnoteRef/>
      </w:r>
      <w:r>
        <w:rPr>
          <w:rStyle w:val="Appelnotedebasdep"/>
          <w:sz w:val="18"/>
          <w:vertAlign w:val="baseline"/>
        </w:rPr>
        <w:t>.</w:t>
      </w:r>
      <w:r>
        <w:rPr>
          <w:sz w:val="18"/>
        </w:rPr>
        <w:tab/>
        <w:t>Véase la Resolución de consignación para 2020-2021 en</w:t>
      </w:r>
      <w:r>
        <w:t xml:space="preserve"> el </w:t>
      </w:r>
      <w:hyperlink r:id="rId6" w:history="1">
        <w:r>
          <w:rPr>
            <w:rStyle w:val="Lienhypertexte"/>
            <w:sz w:val="18"/>
          </w:rPr>
          <w:t>40 C/5, volumen 1:</w:t>
        </w:r>
      </w:hyperlink>
      <w:r w:rsidR="001B2B7A">
        <w:rPr>
          <w:rStyle w:val="Lienhypertexte"/>
          <w:sz w:val="18"/>
        </w:rPr>
        <w:t xml:space="preserve"> </w:t>
      </w:r>
      <w:hyperlink r:id="rId7" w:history="1">
        <w:r>
          <w:rPr>
            <w:rStyle w:val="Lienhypertexte"/>
            <w:sz w:val="18"/>
          </w:rPr>
          <w:t>Proyectos de Resolución, segundo bienio 2020-2021</w:t>
        </w:r>
      </w:hyperlink>
      <w:r>
        <w:t xml:space="preserve"> </w:t>
      </w:r>
      <w:r>
        <w:rPr>
          <w:sz w:val="18"/>
        </w:rPr>
        <w:t>(página 12).</w:t>
      </w:r>
    </w:p>
  </w:footnote>
  <w:footnote w:id="7">
    <w:p w14:paraId="40B46097" w14:textId="52C1CABC" w:rsidR="0056077B" w:rsidRPr="00617C63" w:rsidRDefault="0056077B">
      <w:pPr>
        <w:pStyle w:val="Notedebasdepage"/>
        <w:tabs>
          <w:tab w:val="left" w:pos="475"/>
          <w:tab w:val="left" w:pos="540"/>
        </w:tabs>
        <w:ind w:left="450" w:hanging="450"/>
        <w:rPr>
          <w:rFonts w:cs="Arial"/>
          <w:sz w:val="18"/>
          <w:szCs w:val="18"/>
        </w:rPr>
      </w:pPr>
      <w:r>
        <w:rPr>
          <w:rFonts w:cs="Arial"/>
          <w:sz w:val="18"/>
          <w:szCs w:val="18"/>
        </w:rPr>
        <w:footnoteRef/>
      </w:r>
      <w:r>
        <w:rPr>
          <w:sz w:val="18"/>
        </w:rPr>
        <w:t>.</w:t>
      </w:r>
      <w:r>
        <w:rPr>
          <w:sz w:val="18"/>
        </w:rPr>
        <w:tab/>
        <w:t>Los porcentajes se aplican al saldo del Fondo en fecha del 31 de diciembre de 2019. Este saldo no incluye el Fondo de Reserva (1 millón de dólares estadounidenses).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336BE" w14:textId="455A57A6" w:rsidR="0056077B" w:rsidRPr="00C23A97" w:rsidRDefault="0056077B">
    <w:pPr>
      <w:pStyle w:val="En-tte"/>
      <w:rPr>
        <w:rFonts w:ascii="Arial" w:hAnsi="Arial" w:cs="Arial"/>
      </w:rPr>
    </w:pPr>
    <w:r>
      <w:rPr>
        <w:rFonts w:ascii="Arial" w:hAnsi="Arial"/>
        <w:sz w:val="20"/>
      </w:rPr>
      <w:t>LHE/20/8.GA/7</w:t>
    </w:r>
    <w:r w:rsidR="00B25E39">
      <w:rPr>
        <w:rFonts w:ascii="Arial" w:hAnsi="Arial"/>
        <w:sz w:val="20"/>
      </w:rPr>
      <w:t xml:space="preserve"> Rev.</w:t>
    </w:r>
    <w:r>
      <w:rPr>
        <w:rFonts w:ascii="Arial" w:hAnsi="Arial"/>
        <w:sz w:val="20"/>
      </w:rPr>
      <w:t xml:space="preserve"> – página </w:t>
    </w:r>
    <w:r w:rsidRPr="007E0222">
      <w:rPr>
        <w:rStyle w:val="Numrodepage"/>
        <w:rFonts w:ascii="Arial" w:hAnsi="Arial" w:cs="Arial"/>
        <w:sz w:val="20"/>
        <w:szCs w:val="20"/>
      </w:rPr>
      <w:fldChar w:fldCharType="begin"/>
    </w:r>
    <w:r w:rsidRPr="00FA3850">
      <w:rPr>
        <w:rStyle w:val="Numrodepage"/>
        <w:rFonts w:ascii="Arial" w:hAnsi="Arial" w:cs="Arial"/>
        <w:sz w:val="20"/>
        <w:szCs w:val="20"/>
      </w:rPr>
      <w:instrText xml:space="preserve"> PAGE </w:instrText>
    </w:r>
    <w:r w:rsidRPr="007E0222">
      <w:rPr>
        <w:rStyle w:val="Numrodepage"/>
        <w:rFonts w:ascii="Arial" w:hAnsi="Arial" w:cs="Arial"/>
        <w:sz w:val="20"/>
        <w:szCs w:val="20"/>
      </w:rPr>
      <w:fldChar w:fldCharType="separate"/>
    </w:r>
    <w:r w:rsidR="00D92DDF">
      <w:rPr>
        <w:rStyle w:val="Numrodepage"/>
        <w:rFonts w:ascii="Arial" w:hAnsi="Arial" w:cs="Arial"/>
        <w:noProof/>
        <w:sz w:val="20"/>
        <w:szCs w:val="20"/>
      </w:rPr>
      <w:t>20</w:t>
    </w:r>
    <w:r w:rsidRPr="007E0222">
      <w:rPr>
        <w:rStyle w:val="Numrodepage"/>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8F761" w14:textId="1EB7B332" w:rsidR="0056077B" w:rsidRPr="0063300C" w:rsidRDefault="0056077B" w:rsidP="0063300C">
    <w:pPr>
      <w:pStyle w:val="En-tte"/>
      <w:jc w:val="right"/>
      <w:rPr>
        <w:rFonts w:ascii="Arial" w:hAnsi="Arial" w:cs="Arial"/>
      </w:rPr>
    </w:pPr>
    <w:r>
      <w:rPr>
        <w:rFonts w:ascii="Arial" w:hAnsi="Arial"/>
        <w:sz w:val="20"/>
      </w:rPr>
      <w:t>LHE/20/8.GA/7</w:t>
    </w:r>
    <w:r w:rsidR="00B25E39">
      <w:rPr>
        <w:rFonts w:ascii="Arial" w:hAnsi="Arial"/>
        <w:sz w:val="20"/>
      </w:rPr>
      <w:t xml:space="preserve"> Rev.</w:t>
    </w:r>
    <w:r>
      <w:rPr>
        <w:rFonts w:ascii="Arial" w:hAnsi="Arial"/>
        <w:sz w:val="20"/>
      </w:rPr>
      <w:t xml:space="preserve"> – página </w:t>
    </w:r>
    <w:r w:rsidRPr="00EA145D">
      <w:rPr>
        <w:rStyle w:val="Numrodepage"/>
        <w:rFonts w:ascii="Arial" w:hAnsi="Arial" w:cs="Arial"/>
        <w:sz w:val="20"/>
        <w:szCs w:val="20"/>
      </w:rPr>
      <w:fldChar w:fldCharType="begin"/>
    </w:r>
    <w:r w:rsidRPr="00EA145D">
      <w:rPr>
        <w:rStyle w:val="Numrodepage"/>
        <w:rFonts w:ascii="Arial" w:hAnsi="Arial" w:cs="Arial"/>
        <w:sz w:val="20"/>
        <w:szCs w:val="20"/>
      </w:rPr>
      <w:instrText xml:space="preserve"> PAGE </w:instrText>
    </w:r>
    <w:r w:rsidRPr="00EA145D">
      <w:rPr>
        <w:rStyle w:val="Numrodepage"/>
        <w:rFonts w:ascii="Arial" w:hAnsi="Arial" w:cs="Arial"/>
        <w:sz w:val="20"/>
        <w:szCs w:val="20"/>
      </w:rPr>
      <w:fldChar w:fldCharType="separate"/>
    </w:r>
    <w:r w:rsidR="00D92DDF">
      <w:rPr>
        <w:rStyle w:val="Numrodepage"/>
        <w:rFonts w:ascii="Arial" w:hAnsi="Arial" w:cs="Arial"/>
        <w:noProof/>
        <w:sz w:val="20"/>
        <w:szCs w:val="20"/>
      </w:rPr>
      <w:t>21</w:t>
    </w:r>
    <w:r w:rsidRPr="00EA145D">
      <w:rPr>
        <w:rStyle w:val="Numrodepage"/>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4CEEB" w14:textId="076C6F36" w:rsidR="0056077B" w:rsidRPr="008724E5" w:rsidRDefault="0056077B">
    <w:pPr>
      <w:pStyle w:val="En-tte"/>
    </w:pPr>
    <w:r>
      <w:rPr>
        <w:noProof/>
        <w:lang w:val="fr-FR"/>
      </w:rPr>
      <w:drawing>
        <wp:anchor distT="0" distB="0" distL="114300" distR="114300" simplePos="0" relativeHeight="251656703" behindDoc="1" locked="0" layoutInCell="1" allowOverlap="1" wp14:anchorId="4B33ED45" wp14:editId="72E99E57">
          <wp:simplePos x="0" y="0"/>
          <wp:positionH relativeFrom="page">
            <wp:posOffset>272415</wp:posOffset>
          </wp:positionH>
          <wp:positionV relativeFrom="page">
            <wp:posOffset>252095</wp:posOffset>
          </wp:positionV>
          <wp:extent cx="2109600" cy="1422000"/>
          <wp:effectExtent l="0" t="0" r="5080" b="6985"/>
          <wp:wrapNone/>
          <wp:docPr id="4" name="Image 1" descr="unesco_logo_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_logo_es"/>
                  <pic:cNvPicPr>
                    <a:picLocks noChangeAspect="1" noChangeArrowheads="1"/>
                  </pic:cNvPicPr>
                </pic:nvPicPr>
                <pic:blipFill>
                  <a:blip r:embed="rId1"/>
                  <a:srcRect b="7323"/>
                  <a:stretch>
                    <a:fillRect/>
                  </a:stretch>
                </pic:blipFill>
                <pic:spPr bwMode="auto">
                  <a:xfrm>
                    <a:off x="0" y="0"/>
                    <a:ext cx="2109600" cy="1422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1E3088E" w14:textId="50FE48D0" w:rsidR="0056077B" w:rsidRPr="00034B17" w:rsidRDefault="0056077B" w:rsidP="00655736">
    <w:pPr>
      <w:pStyle w:val="En-tte"/>
      <w:spacing w:after="520"/>
      <w:jc w:val="right"/>
      <w:rPr>
        <w:rFonts w:ascii="Arial" w:hAnsi="Arial" w:cs="Arial"/>
        <w:b/>
        <w:sz w:val="44"/>
        <w:szCs w:val="44"/>
        <w:lang w:val="pt-PT"/>
      </w:rPr>
    </w:pPr>
    <w:r w:rsidRPr="00034B17">
      <w:rPr>
        <w:rFonts w:ascii="Arial" w:hAnsi="Arial"/>
        <w:b/>
        <w:sz w:val="44"/>
        <w:lang w:val="pt-PT"/>
      </w:rPr>
      <w:t>8 GA</w:t>
    </w:r>
  </w:p>
  <w:p w14:paraId="1DCBFABE" w14:textId="1B67F9D3" w:rsidR="0056077B" w:rsidRPr="00034B17" w:rsidRDefault="0056077B" w:rsidP="00655736">
    <w:pPr>
      <w:jc w:val="right"/>
      <w:rPr>
        <w:rFonts w:ascii="Arial" w:hAnsi="Arial" w:cs="Arial"/>
        <w:b/>
        <w:sz w:val="22"/>
        <w:szCs w:val="22"/>
        <w:lang w:val="pt-PT"/>
      </w:rPr>
    </w:pPr>
    <w:r w:rsidRPr="00034B17">
      <w:rPr>
        <w:rFonts w:ascii="Arial" w:hAnsi="Arial"/>
        <w:b/>
        <w:sz w:val="22"/>
        <w:lang w:val="pt-PT"/>
      </w:rPr>
      <w:t>LHE/20/8.GA/7</w:t>
    </w:r>
    <w:r w:rsidR="00B25E39">
      <w:rPr>
        <w:rFonts w:ascii="Arial" w:hAnsi="Arial"/>
        <w:b/>
        <w:sz w:val="22"/>
        <w:lang w:val="pt-PT"/>
      </w:rPr>
      <w:t xml:space="preserve"> </w:t>
    </w:r>
    <w:r w:rsidR="00D92DDF">
      <w:rPr>
        <w:rFonts w:ascii="Arial" w:hAnsi="Arial"/>
        <w:b/>
        <w:sz w:val="22"/>
        <w:lang w:val="pt-PT"/>
      </w:rPr>
      <w:t>Rev</w:t>
    </w:r>
    <w:r w:rsidR="00B25E39">
      <w:rPr>
        <w:rFonts w:ascii="Arial" w:hAnsi="Arial"/>
        <w:b/>
        <w:sz w:val="22"/>
        <w:lang w:val="pt-PT"/>
      </w:rPr>
      <w:t>.</w:t>
    </w:r>
  </w:p>
  <w:p w14:paraId="355F059E" w14:textId="510039AE" w:rsidR="0056077B" w:rsidRPr="00034B17" w:rsidRDefault="0056077B" w:rsidP="00257003">
    <w:pPr>
      <w:jc w:val="right"/>
      <w:rPr>
        <w:rFonts w:ascii="Arial" w:hAnsi="Arial" w:cs="Arial"/>
        <w:b/>
        <w:sz w:val="22"/>
        <w:szCs w:val="22"/>
        <w:lang w:val="pt-PT"/>
      </w:rPr>
    </w:pPr>
    <w:r w:rsidRPr="00034B17">
      <w:rPr>
        <w:rFonts w:ascii="Arial" w:hAnsi="Arial"/>
        <w:b/>
        <w:sz w:val="22"/>
        <w:lang w:val="pt-PT"/>
      </w:rPr>
      <w:t xml:space="preserve">París, </w:t>
    </w:r>
    <w:r w:rsidR="00B25E39">
      <w:rPr>
        <w:rFonts w:ascii="Arial" w:hAnsi="Arial"/>
        <w:b/>
        <w:sz w:val="22"/>
        <w:lang w:val="pt-PT"/>
      </w:rPr>
      <w:t>2</w:t>
    </w:r>
    <w:r w:rsidR="00672EF2">
      <w:rPr>
        <w:rFonts w:ascii="Arial" w:hAnsi="Arial"/>
        <w:b/>
        <w:sz w:val="22"/>
        <w:lang w:val="pt-PT"/>
      </w:rPr>
      <w:t>5</w:t>
    </w:r>
    <w:bookmarkStart w:id="8" w:name="_GoBack"/>
    <w:bookmarkEnd w:id="8"/>
    <w:r w:rsidR="00B25E39" w:rsidRPr="00034B17">
      <w:rPr>
        <w:rFonts w:ascii="Arial" w:hAnsi="Arial"/>
        <w:b/>
        <w:sz w:val="22"/>
        <w:lang w:val="pt-PT"/>
      </w:rPr>
      <w:t xml:space="preserve"> </w:t>
    </w:r>
    <w:r w:rsidRPr="00034B17">
      <w:rPr>
        <w:rFonts w:ascii="Arial" w:hAnsi="Arial"/>
        <w:b/>
        <w:sz w:val="22"/>
        <w:lang w:val="pt-PT"/>
      </w:rPr>
      <w:t>de agosto de 2020</w:t>
    </w:r>
  </w:p>
  <w:p w14:paraId="196759E3" w14:textId="2F347EF3" w:rsidR="0056077B" w:rsidRPr="00CF1575" w:rsidRDefault="000007F7" w:rsidP="00703FBF">
    <w:pPr>
      <w:jc w:val="right"/>
      <w:rPr>
        <w:rFonts w:ascii="Arial" w:hAnsi="Arial" w:cs="Arial"/>
        <w:b/>
        <w:sz w:val="22"/>
        <w:szCs w:val="22"/>
        <w:lang w:val="pt-PT"/>
      </w:rPr>
    </w:pPr>
    <w:r w:rsidRPr="00CF1575">
      <w:rPr>
        <w:rFonts w:ascii="Arial" w:hAnsi="Arial"/>
        <w:b/>
        <w:sz w:val="22"/>
        <w:lang w:val="pt-PT"/>
      </w:rPr>
      <w:t>Original: I</w:t>
    </w:r>
    <w:r w:rsidR="0056077B" w:rsidRPr="00CF1575">
      <w:rPr>
        <w:rFonts w:ascii="Arial" w:hAnsi="Arial"/>
        <w:b/>
        <w:sz w:val="22"/>
        <w:lang w:val="pt-PT"/>
      </w:rPr>
      <w:t>nglés</w:t>
    </w:r>
  </w:p>
  <w:p w14:paraId="2CF02AFD" w14:textId="77777777" w:rsidR="0056077B" w:rsidRPr="00CF1575" w:rsidRDefault="0056077B" w:rsidP="00540FE0">
    <w:pPr>
      <w:rPr>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F6E1D"/>
    <w:multiLevelType w:val="hybridMultilevel"/>
    <w:tmpl w:val="443C33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7B637A"/>
    <w:multiLevelType w:val="hybridMultilevel"/>
    <w:tmpl w:val="3BCC57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50353E"/>
    <w:multiLevelType w:val="multilevel"/>
    <w:tmpl w:val="9C3E8BB2"/>
    <w:lvl w:ilvl="0">
      <w:start w:val="1"/>
      <w:numFmt w:val="decimal"/>
      <w:lvlText w:val="%1"/>
      <w:lvlJc w:val="left"/>
      <w:pPr>
        <w:ind w:left="570" w:hanging="570"/>
      </w:pPr>
      <w:rPr>
        <w:rFonts w:cs="Arial" w:hint="default"/>
      </w:rPr>
    </w:lvl>
    <w:lvl w:ilvl="1">
      <w:start w:val="1"/>
      <w:numFmt w:val="decimal"/>
      <w:lvlText w:val="%1.%2"/>
      <w:lvlJc w:val="left"/>
      <w:pPr>
        <w:ind w:left="570" w:hanging="57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3"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16986ED5"/>
    <w:multiLevelType w:val="hybridMultilevel"/>
    <w:tmpl w:val="4D38AE3C"/>
    <w:lvl w:ilvl="0" w:tplc="7FB2384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8005F2E"/>
    <w:multiLevelType w:val="hybridMultilevel"/>
    <w:tmpl w:val="A25E7CB0"/>
    <w:lvl w:ilvl="0" w:tplc="02F8421A">
      <w:start w:val="1"/>
      <w:numFmt w:val="bullet"/>
      <w:lvlText w:val=""/>
      <w:lvlJc w:val="left"/>
      <w:pPr>
        <w:ind w:left="1287" w:hanging="360"/>
      </w:pPr>
      <w:rPr>
        <w:rFonts w:ascii="Symbol" w:hAnsi="Symbol" w:hint="default"/>
        <w:color w:val="auto"/>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abstractNum w:abstractNumId="6" w15:restartNumberingAfterBreak="0">
    <w:nsid w:val="1E414D81"/>
    <w:multiLevelType w:val="hybridMultilevel"/>
    <w:tmpl w:val="2FD43008"/>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4A625F2"/>
    <w:multiLevelType w:val="hybridMultilevel"/>
    <w:tmpl w:val="27A8AF6A"/>
    <w:lvl w:ilvl="0" w:tplc="0B4CCFF6">
      <w:start w:val="1"/>
      <w:numFmt w:val="lowerLetter"/>
      <w:pStyle w:val="5GAparabodytext"/>
      <w:lvlText w:val="%1."/>
      <w:lvlJc w:val="left"/>
      <w:pPr>
        <w:ind w:left="1647" w:hanging="360"/>
      </w:p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abstractNum w:abstractNumId="8" w15:restartNumberingAfterBreak="0">
    <w:nsid w:val="29281AC5"/>
    <w:multiLevelType w:val="hybridMultilevel"/>
    <w:tmpl w:val="8182BC24"/>
    <w:lvl w:ilvl="0" w:tplc="B128C476">
      <w:start w:val="3"/>
      <w:numFmt w:val="bullet"/>
      <w:lvlText w:val="-"/>
      <w:lvlJc w:val="left"/>
      <w:pPr>
        <w:ind w:left="2355" w:hanging="360"/>
      </w:pPr>
      <w:rPr>
        <w:rFonts w:ascii="Arial" w:eastAsia="Times New Roman" w:hAnsi="Arial" w:cs="Arial" w:hint="default"/>
      </w:rPr>
    </w:lvl>
    <w:lvl w:ilvl="1" w:tplc="040C0003">
      <w:start w:val="1"/>
      <w:numFmt w:val="bullet"/>
      <w:lvlText w:val="o"/>
      <w:lvlJc w:val="left"/>
      <w:pPr>
        <w:ind w:left="3075" w:hanging="360"/>
      </w:pPr>
      <w:rPr>
        <w:rFonts w:ascii="Courier New" w:hAnsi="Courier New" w:cs="Courier New" w:hint="default"/>
      </w:rPr>
    </w:lvl>
    <w:lvl w:ilvl="2" w:tplc="040C0005">
      <w:start w:val="1"/>
      <w:numFmt w:val="bullet"/>
      <w:lvlText w:val=""/>
      <w:lvlJc w:val="left"/>
      <w:pPr>
        <w:ind w:left="3795" w:hanging="360"/>
      </w:pPr>
      <w:rPr>
        <w:rFonts w:ascii="Wingdings" w:hAnsi="Wingdings" w:hint="default"/>
      </w:rPr>
    </w:lvl>
    <w:lvl w:ilvl="3" w:tplc="040C0001">
      <w:start w:val="1"/>
      <w:numFmt w:val="bullet"/>
      <w:lvlText w:val=""/>
      <w:lvlJc w:val="left"/>
      <w:pPr>
        <w:ind w:left="4515" w:hanging="360"/>
      </w:pPr>
      <w:rPr>
        <w:rFonts w:ascii="Symbol" w:hAnsi="Symbol" w:hint="default"/>
      </w:rPr>
    </w:lvl>
    <w:lvl w:ilvl="4" w:tplc="040C0003">
      <w:start w:val="1"/>
      <w:numFmt w:val="bullet"/>
      <w:lvlText w:val="o"/>
      <w:lvlJc w:val="left"/>
      <w:pPr>
        <w:ind w:left="5235" w:hanging="360"/>
      </w:pPr>
      <w:rPr>
        <w:rFonts w:ascii="Courier New" w:hAnsi="Courier New" w:cs="Courier New" w:hint="default"/>
      </w:rPr>
    </w:lvl>
    <w:lvl w:ilvl="5" w:tplc="040C0005">
      <w:start w:val="1"/>
      <w:numFmt w:val="bullet"/>
      <w:lvlText w:val=""/>
      <w:lvlJc w:val="left"/>
      <w:pPr>
        <w:ind w:left="5955" w:hanging="360"/>
      </w:pPr>
      <w:rPr>
        <w:rFonts w:ascii="Wingdings" w:hAnsi="Wingdings" w:hint="default"/>
      </w:rPr>
    </w:lvl>
    <w:lvl w:ilvl="6" w:tplc="040C0001">
      <w:start w:val="1"/>
      <w:numFmt w:val="bullet"/>
      <w:lvlText w:val=""/>
      <w:lvlJc w:val="left"/>
      <w:pPr>
        <w:ind w:left="6675" w:hanging="360"/>
      </w:pPr>
      <w:rPr>
        <w:rFonts w:ascii="Symbol" w:hAnsi="Symbol" w:hint="default"/>
      </w:rPr>
    </w:lvl>
    <w:lvl w:ilvl="7" w:tplc="040C0003">
      <w:start w:val="1"/>
      <w:numFmt w:val="bullet"/>
      <w:lvlText w:val="o"/>
      <w:lvlJc w:val="left"/>
      <w:pPr>
        <w:ind w:left="7395" w:hanging="360"/>
      </w:pPr>
      <w:rPr>
        <w:rFonts w:ascii="Courier New" w:hAnsi="Courier New" w:cs="Courier New" w:hint="default"/>
      </w:rPr>
    </w:lvl>
    <w:lvl w:ilvl="8" w:tplc="040C0005">
      <w:start w:val="1"/>
      <w:numFmt w:val="bullet"/>
      <w:lvlText w:val=""/>
      <w:lvlJc w:val="left"/>
      <w:pPr>
        <w:ind w:left="8115" w:hanging="360"/>
      </w:pPr>
      <w:rPr>
        <w:rFonts w:ascii="Wingdings" w:hAnsi="Wingdings" w:hint="default"/>
      </w:rPr>
    </w:lvl>
  </w:abstractNum>
  <w:abstractNum w:abstractNumId="9" w15:restartNumberingAfterBreak="0">
    <w:nsid w:val="35F07BFE"/>
    <w:multiLevelType w:val="hybridMultilevel"/>
    <w:tmpl w:val="E2C09020"/>
    <w:lvl w:ilvl="0" w:tplc="80A0EA2C">
      <w:start w:val="1"/>
      <w:numFmt w:val="decimal"/>
      <w:pStyle w:val="GAPara"/>
      <w:lvlText w:val="%1."/>
      <w:lvlJc w:val="left"/>
      <w:pPr>
        <w:ind w:left="720" w:hanging="360"/>
      </w:pPr>
      <w:rPr>
        <w:rFonts w:ascii="Arial" w:hAnsi="Arial" w:cs="Arial" w:hint="default"/>
        <w:b w:val="0"/>
        <w:bCs w:val="0"/>
        <w:i w:val="0"/>
        <w:iCs w:val="0"/>
        <w:strike w:val="0"/>
        <w:sz w:val="22"/>
        <w:szCs w:val="22"/>
      </w:rPr>
    </w:lvl>
    <w:lvl w:ilvl="1" w:tplc="040C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3AC30BD2"/>
    <w:multiLevelType w:val="hybridMultilevel"/>
    <w:tmpl w:val="2F02E984"/>
    <w:lvl w:ilvl="0" w:tplc="DFC65752">
      <w:start w:val="1"/>
      <w:numFmt w:val="upperRoman"/>
      <w:pStyle w:val="Titre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63070DB"/>
    <w:multiLevelType w:val="hybridMultilevel"/>
    <w:tmpl w:val="4D38AE3C"/>
    <w:lvl w:ilvl="0" w:tplc="7FB2384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1BC67AB"/>
    <w:multiLevelType w:val="multilevel"/>
    <w:tmpl w:val="B622E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A15509"/>
    <w:multiLevelType w:val="hybridMultilevel"/>
    <w:tmpl w:val="2B62A086"/>
    <w:lvl w:ilvl="0" w:tplc="E3002142">
      <w:start w:val="2"/>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26A3822"/>
    <w:multiLevelType w:val="hybridMultilevel"/>
    <w:tmpl w:val="08E21D18"/>
    <w:lvl w:ilvl="0" w:tplc="DFDA30F2">
      <w:start w:val="1"/>
      <w:numFmt w:val="lowerRoman"/>
      <w:lvlText w:val="(%1)"/>
      <w:lvlJc w:val="left"/>
      <w:pPr>
        <w:ind w:left="1041" w:hanging="720"/>
      </w:pPr>
      <w:rPr>
        <w:rFonts w:hint="default"/>
      </w:rPr>
    </w:lvl>
    <w:lvl w:ilvl="1" w:tplc="040C0019" w:tentative="1">
      <w:start w:val="1"/>
      <w:numFmt w:val="lowerLetter"/>
      <w:lvlText w:val="%2."/>
      <w:lvlJc w:val="left"/>
      <w:pPr>
        <w:ind w:left="1401" w:hanging="360"/>
      </w:pPr>
    </w:lvl>
    <w:lvl w:ilvl="2" w:tplc="040C001B" w:tentative="1">
      <w:start w:val="1"/>
      <w:numFmt w:val="lowerRoman"/>
      <w:lvlText w:val="%3."/>
      <w:lvlJc w:val="right"/>
      <w:pPr>
        <w:ind w:left="2121" w:hanging="180"/>
      </w:pPr>
    </w:lvl>
    <w:lvl w:ilvl="3" w:tplc="040C000F" w:tentative="1">
      <w:start w:val="1"/>
      <w:numFmt w:val="decimal"/>
      <w:lvlText w:val="%4."/>
      <w:lvlJc w:val="left"/>
      <w:pPr>
        <w:ind w:left="2841" w:hanging="360"/>
      </w:pPr>
    </w:lvl>
    <w:lvl w:ilvl="4" w:tplc="040C0019" w:tentative="1">
      <w:start w:val="1"/>
      <w:numFmt w:val="lowerLetter"/>
      <w:lvlText w:val="%5."/>
      <w:lvlJc w:val="left"/>
      <w:pPr>
        <w:ind w:left="3561" w:hanging="360"/>
      </w:pPr>
    </w:lvl>
    <w:lvl w:ilvl="5" w:tplc="040C001B" w:tentative="1">
      <w:start w:val="1"/>
      <w:numFmt w:val="lowerRoman"/>
      <w:lvlText w:val="%6."/>
      <w:lvlJc w:val="right"/>
      <w:pPr>
        <w:ind w:left="4281" w:hanging="180"/>
      </w:pPr>
    </w:lvl>
    <w:lvl w:ilvl="6" w:tplc="040C000F" w:tentative="1">
      <w:start w:val="1"/>
      <w:numFmt w:val="decimal"/>
      <w:lvlText w:val="%7."/>
      <w:lvlJc w:val="left"/>
      <w:pPr>
        <w:ind w:left="5001" w:hanging="360"/>
      </w:pPr>
    </w:lvl>
    <w:lvl w:ilvl="7" w:tplc="040C0019" w:tentative="1">
      <w:start w:val="1"/>
      <w:numFmt w:val="lowerLetter"/>
      <w:lvlText w:val="%8."/>
      <w:lvlJc w:val="left"/>
      <w:pPr>
        <w:ind w:left="5721" w:hanging="360"/>
      </w:pPr>
    </w:lvl>
    <w:lvl w:ilvl="8" w:tplc="040C001B" w:tentative="1">
      <w:start w:val="1"/>
      <w:numFmt w:val="lowerRoman"/>
      <w:lvlText w:val="%9."/>
      <w:lvlJc w:val="right"/>
      <w:pPr>
        <w:ind w:left="6441" w:hanging="180"/>
      </w:pPr>
    </w:lvl>
  </w:abstractNum>
  <w:abstractNum w:abstractNumId="16" w15:restartNumberingAfterBreak="0">
    <w:nsid w:val="632673D5"/>
    <w:multiLevelType w:val="hybridMultilevel"/>
    <w:tmpl w:val="4D38AE3C"/>
    <w:lvl w:ilvl="0" w:tplc="7FB2384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EA57578"/>
    <w:multiLevelType w:val="hybridMultilevel"/>
    <w:tmpl w:val="71647DD4"/>
    <w:lvl w:ilvl="0" w:tplc="C38083E8">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7566D9C"/>
    <w:multiLevelType w:val="hybridMultilevel"/>
    <w:tmpl w:val="B3BCA2B2"/>
    <w:lvl w:ilvl="0" w:tplc="AE2A221C">
      <w:start w:val="3"/>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B802E06"/>
    <w:multiLevelType w:val="hybridMultilevel"/>
    <w:tmpl w:val="08E21D18"/>
    <w:lvl w:ilvl="0" w:tplc="DFDA30F2">
      <w:start w:val="1"/>
      <w:numFmt w:val="lowerRoman"/>
      <w:lvlText w:val="(%1)"/>
      <w:lvlJc w:val="left"/>
      <w:pPr>
        <w:ind w:left="1041" w:hanging="720"/>
      </w:pPr>
      <w:rPr>
        <w:rFonts w:hint="default"/>
      </w:rPr>
    </w:lvl>
    <w:lvl w:ilvl="1" w:tplc="040C0019" w:tentative="1">
      <w:start w:val="1"/>
      <w:numFmt w:val="lowerLetter"/>
      <w:lvlText w:val="%2."/>
      <w:lvlJc w:val="left"/>
      <w:pPr>
        <w:ind w:left="1401" w:hanging="360"/>
      </w:pPr>
    </w:lvl>
    <w:lvl w:ilvl="2" w:tplc="040C001B" w:tentative="1">
      <w:start w:val="1"/>
      <w:numFmt w:val="lowerRoman"/>
      <w:lvlText w:val="%3."/>
      <w:lvlJc w:val="right"/>
      <w:pPr>
        <w:ind w:left="2121" w:hanging="180"/>
      </w:pPr>
    </w:lvl>
    <w:lvl w:ilvl="3" w:tplc="040C000F" w:tentative="1">
      <w:start w:val="1"/>
      <w:numFmt w:val="decimal"/>
      <w:lvlText w:val="%4."/>
      <w:lvlJc w:val="left"/>
      <w:pPr>
        <w:ind w:left="2841" w:hanging="360"/>
      </w:pPr>
    </w:lvl>
    <w:lvl w:ilvl="4" w:tplc="040C0019" w:tentative="1">
      <w:start w:val="1"/>
      <w:numFmt w:val="lowerLetter"/>
      <w:lvlText w:val="%5."/>
      <w:lvlJc w:val="left"/>
      <w:pPr>
        <w:ind w:left="3561" w:hanging="360"/>
      </w:pPr>
    </w:lvl>
    <w:lvl w:ilvl="5" w:tplc="040C001B" w:tentative="1">
      <w:start w:val="1"/>
      <w:numFmt w:val="lowerRoman"/>
      <w:lvlText w:val="%6."/>
      <w:lvlJc w:val="right"/>
      <w:pPr>
        <w:ind w:left="4281" w:hanging="180"/>
      </w:pPr>
    </w:lvl>
    <w:lvl w:ilvl="6" w:tplc="040C000F" w:tentative="1">
      <w:start w:val="1"/>
      <w:numFmt w:val="decimal"/>
      <w:lvlText w:val="%7."/>
      <w:lvlJc w:val="left"/>
      <w:pPr>
        <w:ind w:left="5001" w:hanging="360"/>
      </w:pPr>
    </w:lvl>
    <w:lvl w:ilvl="7" w:tplc="040C0019" w:tentative="1">
      <w:start w:val="1"/>
      <w:numFmt w:val="lowerLetter"/>
      <w:lvlText w:val="%8."/>
      <w:lvlJc w:val="left"/>
      <w:pPr>
        <w:ind w:left="5721" w:hanging="360"/>
      </w:pPr>
    </w:lvl>
    <w:lvl w:ilvl="8" w:tplc="040C001B" w:tentative="1">
      <w:start w:val="1"/>
      <w:numFmt w:val="lowerRoman"/>
      <w:lvlText w:val="%9."/>
      <w:lvlJc w:val="right"/>
      <w:pPr>
        <w:ind w:left="6441" w:hanging="180"/>
      </w:pPr>
    </w:lvl>
  </w:abstractNum>
  <w:abstractNum w:abstractNumId="20" w15:restartNumberingAfterBreak="0">
    <w:nsid w:val="7D585C35"/>
    <w:multiLevelType w:val="hybridMultilevel"/>
    <w:tmpl w:val="08E21D18"/>
    <w:lvl w:ilvl="0" w:tplc="DFDA30F2">
      <w:start w:val="1"/>
      <w:numFmt w:val="lowerRoman"/>
      <w:lvlText w:val="(%1)"/>
      <w:lvlJc w:val="left"/>
      <w:pPr>
        <w:ind w:left="1041" w:hanging="720"/>
      </w:pPr>
      <w:rPr>
        <w:rFonts w:hint="default"/>
      </w:rPr>
    </w:lvl>
    <w:lvl w:ilvl="1" w:tplc="040C0019" w:tentative="1">
      <w:start w:val="1"/>
      <w:numFmt w:val="lowerLetter"/>
      <w:lvlText w:val="%2."/>
      <w:lvlJc w:val="left"/>
      <w:pPr>
        <w:ind w:left="1401" w:hanging="360"/>
      </w:pPr>
    </w:lvl>
    <w:lvl w:ilvl="2" w:tplc="040C001B" w:tentative="1">
      <w:start w:val="1"/>
      <w:numFmt w:val="lowerRoman"/>
      <w:lvlText w:val="%3."/>
      <w:lvlJc w:val="right"/>
      <w:pPr>
        <w:ind w:left="2121" w:hanging="180"/>
      </w:pPr>
    </w:lvl>
    <w:lvl w:ilvl="3" w:tplc="040C000F" w:tentative="1">
      <w:start w:val="1"/>
      <w:numFmt w:val="decimal"/>
      <w:lvlText w:val="%4."/>
      <w:lvlJc w:val="left"/>
      <w:pPr>
        <w:ind w:left="2841" w:hanging="360"/>
      </w:pPr>
    </w:lvl>
    <w:lvl w:ilvl="4" w:tplc="040C0019" w:tentative="1">
      <w:start w:val="1"/>
      <w:numFmt w:val="lowerLetter"/>
      <w:lvlText w:val="%5."/>
      <w:lvlJc w:val="left"/>
      <w:pPr>
        <w:ind w:left="3561" w:hanging="360"/>
      </w:pPr>
    </w:lvl>
    <w:lvl w:ilvl="5" w:tplc="040C001B" w:tentative="1">
      <w:start w:val="1"/>
      <w:numFmt w:val="lowerRoman"/>
      <w:lvlText w:val="%6."/>
      <w:lvlJc w:val="right"/>
      <w:pPr>
        <w:ind w:left="4281" w:hanging="180"/>
      </w:pPr>
    </w:lvl>
    <w:lvl w:ilvl="6" w:tplc="040C000F" w:tentative="1">
      <w:start w:val="1"/>
      <w:numFmt w:val="decimal"/>
      <w:lvlText w:val="%7."/>
      <w:lvlJc w:val="left"/>
      <w:pPr>
        <w:ind w:left="5001" w:hanging="360"/>
      </w:pPr>
    </w:lvl>
    <w:lvl w:ilvl="7" w:tplc="040C0019" w:tentative="1">
      <w:start w:val="1"/>
      <w:numFmt w:val="lowerLetter"/>
      <w:lvlText w:val="%8."/>
      <w:lvlJc w:val="left"/>
      <w:pPr>
        <w:ind w:left="5721" w:hanging="360"/>
      </w:pPr>
    </w:lvl>
    <w:lvl w:ilvl="8" w:tplc="040C001B" w:tentative="1">
      <w:start w:val="1"/>
      <w:numFmt w:val="lowerRoman"/>
      <w:lvlText w:val="%9."/>
      <w:lvlJc w:val="right"/>
      <w:pPr>
        <w:ind w:left="6441" w:hanging="180"/>
      </w:pPr>
    </w:lvl>
  </w:abstractNum>
  <w:num w:numId="1">
    <w:abstractNumId w:val="3"/>
  </w:num>
  <w:num w:numId="2">
    <w:abstractNumId w:val="9"/>
  </w:num>
  <w:num w:numId="3">
    <w:abstractNumId w:val="10"/>
  </w:num>
  <w:num w:numId="4">
    <w:abstractNumId w:val="11"/>
  </w:num>
  <w:num w:numId="5">
    <w:abstractNumId w:val="9"/>
  </w:num>
  <w:num w:numId="6">
    <w:abstractNumId w:val="14"/>
  </w:num>
  <w:num w:numId="7">
    <w:abstractNumId w:val="17"/>
  </w:num>
  <w:num w:numId="8">
    <w:abstractNumId w:val="7"/>
  </w:num>
  <w:num w:numId="9">
    <w:abstractNumId w:val="2"/>
  </w:num>
  <w:num w:numId="10">
    <w:abstractNumId w:val="12"/>
  </w:num>
  <w:num w:numId="11">
    <w:abstractNumId w:val="15"/>
  </w:num>
  <w:num w:numId="12">
    <w:abstractNumId w:val="16"/>
  </w:num>
  <w:num w:numId="13">
    <w:abstractNumId w:val="20"/>
  </w:num>
  <w:num w:numId="14">
    <w:abstractNumId w:val="5"/>
  </w:num>
  <w:num w:numId="15">
    <w:abstractNumId w:val="8"/>
  </w:num>
  <w:num w:numId="16">
    <w:abstractNumId w:val="6"/>
  </w:num>
  <w:num w:numId="17">
    <w:abstractNumId w:val="18"/>
  </w:num>
  <w:num w:numId="18">
    <w:abstractNumId w:val="9"/>
  </w:num>
  <w:num w:numId="19">
    <w:abstractNumId w:val="13"/>
  </w:num>
  <w:num w:numId="20">
    <w:abstractNumId w:val="1"/>
  </w:num>
  <w:num w:numId="21">
    <w:abstractNumId w:val="0"/>
  </w:num>
  <w:num w:numId="22">
    <w:abstractNumId w:val="4"/>
  </w:num>
  <w:num w:numId="23">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pt-PT" w:vendorID="64" w:dllVersion="6" w:nlCheck="1" w:checkStyle="0"/>
  <w:activeWritingStyle w:appName="MSWord" w:lang="pt-PT" w:vendorID="64" w:dllVersion="0" w:nlCheck="1" w:checkStyle="0"/>
  <w:activeWritingStyle w:appName="MSWord" w:lang="es-ES" w:vendorID="64" w:dllVersion="6" w:nlCheck="1" w:checkStyle="0"/>
  <w:activeWritingStyle w:appName="MSWord" w:lang="es-ES" w:vendorID="64" w:dllVersion="0"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6"/>
  <w:hyphenationZone w:val="425"/>
  <w:evenAndOddHeaders/>
  <w:characterSpacingControl w:val="doNotCompress"/>
  <w:hdrShapeDefaults>
    <o:shapedefaults v:ext="edit" spidmax="798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866"/>
    <w:rsid w:val="000007F7"/>
    <w:rsid w:val="00002B68"/>
    <w:rsid w:val="000042D9"/>
    <w:rsid w:val="000048ED"/>
    <w:rsid w:val="000070D4"/>
    <w:rsid w:val="000138FA"/>
    <w:rsid w:val="00017854"/>
    <w:rsid w:val="00017A34"/>
    <w:rsid w:val="000278F0"/>
    <w:rsid w:val="00031F44"/>
    <w:rsid w:val="00034B17"/>
    <w:rsid w:val="0004143A"/>
    <w:rsid w:val="00041A66"/>
    <w:rsid w:val="00045121"/>
    <w:rsid w:val="0005176E"/>
    <w:rsid w:val="000545DA"/>
    <w:rsid w:val="00054FF2"/>
    <w:rsid w:val="0006331E"/>
    <w:rsid w:val="00065199"/>
    <w:rsid w:val="0007040C"/>
    <w:rsid w:val="00073E38"/>
    <w:rsid w:val="000765F7"/>
    <w:rsid w:val="00077AB7"/>
    <w:rsid w:val="00080F75"/>
    <w:rsid w:val="00081514"/>
    <w:rsid w:val="00081CD8"/>
    <w:rsid w:val="00087DF4"/>
    <w:rsid w:val="000909A9"/>
    <w:rsid w:val="00090ADD"/>
    <w:rsid w:val="00092FA8"/>
    <w:rsid w:val="00093685"/>
    <w:rsid w:val="0009445E"/>
    <w:rsid w:val="000A7F0E"/>
    <w:rsid w:val="000B0616"/>
    <w:rsid w:val="000B0E88"/>
    <w:rsid w:val="000B109B"/>
    <w:rsid w:val="000B3BCF"/>
    <w:rsid w:val="000B4B7D"/>
    <w:rsid w:val="000B5945"/>
    <w:rsid w:val="000B79F5"/>
    <w:rsid w:val="000C0D61"/>
    <w:rsid w:val="000C421F"/>
    <w:rsid w:val="000C6878"/>
    <w:rsid w:val="000C7242"/>
    <w:rsid w:val="000D0395"/>
    <w:rsid w:val="000D0C29"/>
    <w:rsid w:val="000D1034"/>
    <w:rsid w:val="000D16BE"/>
    <w:rsid w:val="000F0AC6"/>
    <w:rsid w:val="000F365A"/>
    <w:rsid w:val="000F3A3F"/>
    <w:rsid w:val="000F6659"/>
    <w:rsid w:val="0010136D"/>
    <w:rsid w:val="001022B2"/>
    <w:rsid w:val="00102557"/>
    <w:rsid w:val="0010309F"/>
    <w:rsid w:val="001077D0"/>
    <w:rsid w:val="0011096D"/>
    <w:rsid w:val="00111696"/>
    <w:rsid w:val="001145CA"/>
    <w:rsid w:val="00123778"/>
    <w:rsid w:val="00126E0C"/>
    <w:rsid w:val="00127A03"/>
    <w:rsid w:val="00130731"/>
    <w:rsid w:val="00143269"/>
    <w:rsid w:val="00143867"/>
    <w:rsid w:val="00144F48"/>
    <w:rsid w:val="00145A22"/>
    <w:rsid w:val="00150E24"/>
    <w:rsid w:val="00153A66"/>
    <w:rsid w:val="00156D4C"/>
    <w:rsid w:val="00157863"/>
    <w:rsid w:val="00157DD2"/>
    <w:rsid w:val="00164D56"/>
    <w:rsid w:val="00167B10"/>
    <w:rsid w:val="00173544"/>
    <w:rsid w:val="0017402F"/>
    <w:rsid w:val="001740D7"/>
    <w:rsid w:val="00176720"/>
    <w:rsid w:val="00177578"/>
    <w:rsid w:val="0018192F"/>
    <w:rsid w:val="00186FDB"/>
    <w:rsid w:val="001919B0"/>
    <w:rsid w:val="0019406E"/>
    <w:rsid w:val="00195100"/>
    <w:rsid w:val="00196C1B"/>
    <w:rsid w:val="001A0BE0"/>
    <w:rsid w:val="001A5DFD"/>
    <w:rsid w:val="001A6380"/>
    <w:rsid w:val="001B0F73"/>
    <w:rsid w:val="001B2445"/>
    <w:rsid w:val="001B2B7A"/>
    <w:rsid w:val="001C41D9"/>
    <w:rsid w:val="001C5DB8"/>
    <w:rsid w:val="001C5E3A"/>
    <w:rsid w:val="001D08DC"/>
    <w:rsid w:val="001D388F"/>
    <w:rsid w:val="001D5C04"/>
    <w:rsid w:val="001D7CE7"/>
    <w:rsid w:val="001E2FAF"/>
    <w:rsid w:val="001F4627"/>
    <w:rsid w:val="001F59B5"/>
    <w:rsid w:val="001F707C"/>
    <w:rsid w:val="001F7F7C"/>
    <w:rsid w:val="00201106"/>
    <w:rsid w:val="002037F7"/>
    <w:rsid w:val="0021397E"/>
    <w:rsid w:val="00220825"/>
    <w:rsid w:val="002223E6"/>
    <w:rsid w:val="00222A2D"/>
    <w:rsid w:val="00223029"/>
    <w:rsid w:val="00233695"/>
    <w:rsid w:val="0023419D"/>
    <w:rsid w:val="00234745"/>
    <w:rsid w:val="00234E68"/>
    <w:rsid w:val="002407AF"/>
    <w:rsid w:val="00243359"/>
    <w:rsid w:val="00243B11"/>
    <w:rsid w:val="00246384"/>
    <w:rsid w:val="00250398"/>
    <w:rsid w:val="002509D4"/>
    <w:rsid w:val="00252447"/>
    <w:rsid w:val="00257003"/>
    <w:rsid w:val="002573A6"/>
    <w:rsid w:val="002616B6"/>
    <w:rsid w:val="002625CB"/>
    <w:rsid w:val="002650C2"/>
    <w:rsid w:val="00265A72"/>
    <w:rsid w:val="002664BF"/>
    <w:rsid w:val="002740CE"/>
    <w:rsid w:val="00280223"/>
    <w:rsid w:val="00281092"/>
    <w:rsid w:val="0028775E"/>
    <w:rsid w:val="00293BCF"/>
    <w:rsid w:val="00295957"/>
    <w:rsid w:val="00295FA1"/>
    <w:rsid w:val="00296A67"/>
    <w:rsid w:val="002A321C"/>
    <w:rsid w:val="002A5AF1"/>
    <w:rsid w:val="002A6A40"/>
    <w:rsid w:val="002A6F7F"/>
    <w:rsid w:val="002B25F6"/>
    <w:rsid w:val="002C09E3"/>
    <w:rsid w:val="002C2233"/>
    <w:rsid w:val="002C29E9"/>
    <w:rsid w:val="002C2E29"/>
    <w:rsid w:val="002C4BD5"/>
    <w:rsid w:val="002D2557"/>
    <w:rsid w:val="002D7313"/>
    <w:rsid w:val="002E0D10"/>
    <w:rsid w:val="002E45EE"/>
    <w:rsid w:val="002E6DAE"/>
    <w:rsid w:val="002E7D69"/>
    <w:rsid w:val="002F11E1"/>
    <w:rsid w:val="002F312A"/>
    <w:rsid w:val="002F343D"/>
    <w:rsid w:val="002F70B3"/>
    <w:rsid w:val="002F755B"/>
    <w:rsid w:val="00302FE0"/>
    <w:rsid w:val="00303E0A"/>
    <w:rsid w:val="00311EF6"/>
    <w:rsid w:val="00314146"/>
    <w:rsid w:val="0032347D"/>
    <w:rsid w:val="00324D28"/>
    <w:rsid w:val="00326A45"/>
    <w:rsid w:val="00327DD3"/>
    <w:rsid w:val="00330014"/>
    <w:rsid w:val="0033134A"/>
    <w:rsid w:val="00332449"/>
    <w:rsid w:val="00333D07"/>
    <w:rsid w:val="00335F41"/>
    <w:rsid w:val="00336FB5"/>
    <w:rsid w:val="00345CB4"/>
    <w:rsid w:val="00345DD2"/>
    <w:rsid w:val="00346D99"/>
    <w:rsid w:val="00353649"/>
    <w:rsid w:val="00353754"/>
    <w:rsid w:val="003541E8"/>
    <w:rsid w:val="003543FC"/>
    <w:rsid w:val="003549B8"/>
    <w:rsid w:val="003675A7"/>
    <w:rsid w:val="0036799A"/>
    <w:rsid w:val="00367E21"/>
    <w:rsid w:val="00371921"/>
    <w:rsid w:val="003752DD"/>
    <w:rsid w:val="0038185A"/>
    <w:rsid w:val="003821E9"/>
    <w:rsid w:val="00382DA9"/>
    <w:rsid w:val="00382F25"/>
    <w:rsid w:val="00387011"/>
    <w:rsid w:val="00393406"/>
    <w:rsid w:val="00395868"/>
    <w:rsid w:val="003A4E2B"/>
    <w:rsid w:val="003A5485"/>
    <w:rsid w:val="003B0AF5"/>
    <w:rsid w:val="003B14D2"/>
    <w:rsid w:val="003B42C4"/>
    <w:rsid w:val="003B5A49"/>
    <w:rsid w:val="003C1324"/>
    <w:rsid w:val="003C2814"/>
    <w:rsid w:val="003C4985"/>
    <w:rsid w:val="003C5333"/>
    <w:rsid w:val="003C5991"/>
    <w:rsid w:val="003C5FE9"/>
    <w:rsid w:val="003D0391"/>
    <w:rsid w:val="003D069C"/>
    <w:rsid w:val="003D2D65"/>
    <w:rsid w:val="003D3368"/>
    <w:rsid w:val="003D3B2C"/>
    <w:rsid w:val="003D7646"/>
    <w:rsid w:val="003E396B"/>
    <w:rsid w:val="003E4E50"/>
    <w:rsid w:val="003E76A1"/>
    <w:rsid w:val="003F113A"/>
    <w:rsid w:val="003F24A9"/>
    <w:rsid w:val="003F340E"/>
    <w:rsid w:val="003F7C52"/>
    <w:rsid w:val="00400757"/>
    <w:rsid w:val="00402FC5"/>
    <w:rsid w:val="00404E4B"/>
    <w:rsid w:val="00407C4F"/>
    <w:rsid w:val="0041073A"/>
    <w:rsid w:val="00412320"/>
    <w:rsid w:val="004133BA"/>
    <w:rsid w:val="00414643"/>
    <w:rsid w:val="004218B4"/>
    <w:rsid w:val="004222E6"/>
    <w:rsid w:val="00425427"/>
    <w:rsid w:val="00427DD7"/>
    <w:rsid w:val="004351A6"/>
    <w:rsid w:val="004354D9"/>
    <w:rsid w:val="0044038D"/>
    <w:rsid w:val="004407F8"/>
    <w:rsid w:val="004421E5"/>
    <w:rsid w:val="0044593A"/>
    <w:rsid w:val="004468F0"/>
    <w:rsid w:val="00452284"/>
    <w:rsid w:val="004562A2"/>
    <w:rsid w:val="00460AEC"/>
    <w:rsid w:val="00462569"/>
    <w:rsid w:val="004630A3"/>
    <w:rsid w:val="00465A62"/>
    <w:rsid w:val="00474429"/>
    <w:rsid w:val="00477D31"/>
    <w:rsid w:val="00482041"/>
    <w:rsid w:val="00482805"/>
    <w:rsid w:val="004856CA"/>
    <w:rsid w:val="00485CB4"/>
    <w:rsid w:val="00485E72"/>
    <w:rsid w:val="00486A7A"/>
    <w:rsid w:val="0049355B"/>
    <w:rsid w:val="00495844"/>
    <w:rsid w:val="0049705E"/>
    <w:rsid w:val="004A13F9"/>
    <w:rsid w:val="004A3206"/>
    <w:rsid w:val="004A34A0"/>
    <w:rsid w:val="004A47A0"/>
    <w:rsid w:val="004A5437"/>
    <w:rsid w:val="004A5D10"/>
    <w:rsid w:val="004B3D16"/>
    <w:rsid w:val="004B4B63"/>
    <w:rsid w:val="004B6BBB"/>
    <w:rsid w:val="004C0C92"/>
    <w:rsid w:val="004C25C3"/>
    <w:rsid w:val="004D0F76"/>
    <w:rsid w:val="004D4ACB"/>
    <w:rsid w:val="004E1047"/>
    <w:rsid w:val="004F09A4"/>
    <w:rsid w:val="004F53E9"/>
    <w:rsid w:val="00500789"/>
    <w:rsid w:val="00500CFC"/>
    <w:rsid w:val="00502136"/>
    <w:rsid w:val="00502A3B"/>
    <w:rsid w:val="005030C8"/>
    <w:rsid w:val="005033EC"/>
    <w:rsid w:val="00506398"/>
    <w:rsid w:val="00507EFC"/>
    <w:rsid w:val="00512764"/>
    <w:rsid w:val="00520745"/>
    <w:rsid w:val="005218C5"/>
    <w:rsid w:val="00526B7B"/>
    <w:rsid w:val="00527E1C"/>
    <w:rsid w:val="005305BD"/>
    <w:rsid w:val="005308CE"/>
    <w:rsid w:val="00537499"/>
    <w:rsid w:val="00540FE0"/>
    <w:rsid w:val="0054167F"/>
    <w:rsid w:val="00541AC8"/>
    <w:rsid w:val="00542F06"/>
    <w:rsid w:val="00544211"/>
    <w:rsid w:val="00550DD1"/>
    <w:rsid w:val="00550F3E"/>
    <w:rsid w:val="00554FFE"/>
    <w:rsid w:val="0055563E"/>
    <w:rsid w:val="0055635F"/>
    <w:rsid w:val="0056077B"/>
    <w:rsid w:val="0056211C"/>
    <w:rsid w:val="00566E21"/>
    <w:rsid w:val="00567416"/>
    <w:rsid w:val="00572A69"/>
    <w:rsid w:val="0057439C"/>
    <w:rsid w:val="005749F3"/>
    <w:rsid w:val="00576E1D"/>
    <w:rsid w:val="0058132B"/>
    <w:rsid w:val="005820DD"/>
    <w:rsid w:val="00582D3E"/>
    <w:rsid w:val="00584A8F"/>
    <w:rsid w:val="00591722"/>
    <w:rsid w:val="00594342"/>
    <w:rsid w:val="00595D63"/>
    <w:rsid w:val="005A442B"/>
    <w:rsid w:val="005A7D5F"/>
    <w:rsid w:val="005B0127"/>
    <w:rsid w:val="005B0C5B"/>
    <w:rsid w:val="005B28C7"/>
    <w:rsid w:val="005B3E56"/>
    <w:rsid w:val="005B6123"/>
    <w:rsid w:val="005B7A35"/>
    <w:rsid w:val="005C4B73"/>
    <w:rsid w:val="005D09CC"/>
    <w:rsid w:val="005D5581"/>
    <w:rsid w:val="005D60CA"/>
    <w:rsid w:val="005D7FC5"/>
    <w:rsid w:val="005E1302"/>
    <w:rsid w:val="005E1D2B"/>
    <w:rsid w:val="005E1D6A"/>
    <w:rsid w:val="005E2E4D"/>
    <w:rsid w:val="005E6D01"/>
    <w:rsid w:val="005F0F59"/>
    <w:rsid w:val="005F1B14"/>
    <w:rsid w:val="005F47C6"/>
    <w:rsid w:val="005F60F7"/>
    <w:rsid w:val="005F7152"/>
    <w:rsid w:val="00600219"/>
    <w:rsid w:val="00600D93"/>
    <w:rsid w:val="00601B38"/>
    <w:rsid w:val="00602BA4"/>
    <w:rsid w:val="006031D4"/>
    <w:rsid w:val="00605C62"/>
    <w:rsid w:val="00610D9B"/>
    <w:rsid w:val="00613352"/>
    <w:rsid w:val="006134F5"/>
    <w:rsid w:val="006162E9"/>
    <w:rsid w:val="00616F67"/>
    <w:rsid w:val="00617C63"/>
    <w:rsid w:val="00620B1C"/>
    <w:rsid w:val="00623F63"/>
    <w:rsid w:val="006267E2"/>
    <w:rsid w:val="0063003B"/>
    <w:rsid w:val="0063300C"/>
    <w:rsid w:val="00635DE5"/>
    <w:rsid w:val="006360C8"/>
    <w:rsid w:val="006376A7"/>
    <w:rsid w:val="006403BC"/>
    <w:rsid w:val="00640617"/>
    <w:rsid w:val="006407AB"/>
    <w:rsid w:val="00646422"/>
    <w:rsid w:val="00655736"/>
    <w:rsid w:val="0066359F"/>
    <w:rsid w:val="00663B8D"/>
    <w:rsid w:val="00664D87"/>
    <w:rsid w:val="006679E9"/>
    <w:rsid w:val="00670A94"/>
    <w:rsid w:val="00672EF2"/>
    <w:rsid w:val="0067399B"/>
    <w:rsid w:val="00674CA4"/>
    <w:rsid w:val="00677F6C"/>
    <w:rsid w:val="00680B7E"/>
    <w:rsid w:val="0068343C"/>
    <w:rsid w:val="00684D3B"/>
    <w:rsid w:val="006910B6"/>
    <w:rsid w:val="00693DAA"/>
    <w:rsid w:val="00696C8D"/>
    <w:rsid w:val="00697E37"/>
    <w:rsid w:val="006A24F2"/>
    <w:rsid w:val="006A2AC2"/>
    <w:rsid w:val="006A3617"/>
    <w:rsid w:val="006A4147"/>
    <w:rsid w:val="006A5EDA"/>
    <w:rsid w:val="006A66FE"/>
    <w:rsid w:val="006C0EF0"/>
    <w:rsid w:val="006C39AE"/>
    <w:rsid w:val="006C3F6B"/>
    <w:rsid w:val="006C5B88"/>
    <w:rsid w:val="006D40D9"/>
    <w:rsid w:val="006D59E3"/>
    <w:rsid w:val="006D67EA"/>
    <w:rsid w:val="006D690C"/>
    <w:rsid w:val="006E15CE"/>
    <w:rsid w:val="006E36C8"/>
    <w:rsid w:val="006E44A1"/>
    <w:rsid w:val="006E46E4"/>
    <w:rsid w:val="006F12CD"/>
    <w:rsid w:val="006F7946"/>
    <w:rsid w:val="006F7F34"/>
    <w:rsid w:val="007004A1"/>
    <w:rsid w:val="007009B7"/>
    <w:rsid w:val="007038EB"/>
    <w:rsid w:val="00703FBF"/>
    <w:rsid w:val="00711089"/>
    <w:rsid w:val="00712566"/>
    <w:rsid w:val="00712AC3"/>
    <w:rsid w:val="00713408"/>
    <w:rsid w:val="0071659D"/>
    <w:rsid w:val="00717142"/>
    <w:rsid w:val="00717DA5"/>
    <w:rsid w:val="0072327E"/>
    <w:rsid w:val="0072369D"/>
    <w:rsid w:val="00723C97"/>
    <w:rsid w:val="00724CC0"/>
    <w:rsid w:val="007340A6"/>
    <w:rsid w:val="0074380C"/>
    <w:rsid w:val="00744484"/>
    <w:rsid w:val="00752461"/>
    <w:rsid w:val="007564BF"/>
    <w:rsid w:val="00757D56"/>
    <w:rsid w:val="00760DB4"/>
    <w:rsid w:val="00763A0D"/>
    <w:rsid w:val="00764F9C"/>
    <w:rsid w:val="00765859"/>
    <w:rsid w:val="0076647E"/>
    <w:rsid w:val="00766AD6"/>
    <w:rsid w:val="007675C0"/>
    <w:rsid w:val="0077315E"/>
    <w:rsid w:val="00773188"/>
    <w:rsid w:val="007772B8"/>
    <w:rsid w:val="00777F6F"/>
    <w:rsid w:val="00783782"/>
    <w:rsid w:val="00784B8C"/>
    <w:rsid w:val="00795C39"/>
    <w:rsid w:val="007A1295"/>
    <w:rsid w:val="007B5C48"/>
    <w:rsid w:val="007C1699"/>
    <w:rsid w:val="007C2112"/>
    <w:rsid w:val="007C4629"/>
    <w:rsid w:val="007D3298"/>
    <w:rsid w:val="007D4880"/>
    <w:rsid w:val="007E0222"/>
    <w:rsid w:val="007E1A05"/>
    <w:rsid w:val="007E29F0"/>
    <w:rsid w:val="007E4B9F"/>
    <w:rsid w:val="007E54BF"/>
    <w:rsid w:val="007E59FD"/>
    <w:rsid w:val="007E697B"/>
    <w:rsid w:val="007E7008"/>
    <w:rsid w:val="007F3B92"/>
    <w:rsid w:val="007F5060"/>
    <w:rsid w:val="007F5A6C"/>
    <w:rsid w:val="00800763"/>
    <w:rsid w:val="00800AC7"/>
    <w:rsid w:val="0080143E"/>
    <w:rsid w:val="008070C9"/>
    <w:rsid w:val="00810A3D"/>
    <w:rsid w:val="0081123C"/>
    <w:rsid w:val="008172E0"/>
    <w:rsid w:val="00821EE1"/>
    <w:rsid w:val="008222F8"/>
    <w:rsid w:val="00823A11"/>
    <w:rsid w:val="00827160"/>
    <w:rsid w:val="00827421"/>
    <w:rsid w:val="00827DD1"/>
    <w:rsid w:val="00840BF0"/>
    <w:rsid w:val="00843921"/>
    <w:rsid w:val="00850A43"/>
    <w:rsid w:val="00852866"/>
    <w:rsid w:val="0085414A"/>
    <w:rsid w:val="00854C99"/>
    <w:rsid w:val="00860B65"/>
    <w:rsid w:val="0086269D"/>
    <w:rsid w:val="008638E3"/>
    <w:rsid w:val="00864367"/>
    <w:rsid w:val="0086543A"/>
    <w:rsid w:val="008663E0"/>
    <w:rsid w:val="008679E2"/>
    <w:rsid w:val="00871617"/>
    <w:rsid w:val="008724E5"/>
    <w:rsid w:val="00872E63"/>
    <w:rsid w:val="00876545"/>
    <w:rsid w:val="00884277"/>
    <w:rsid w:val="00884576"/>
    <w:rsid w:val="00884A9D"/>
    <w:rsid w:val="0088512B"/>
    <w:rsid w:val="00886FA9"/>
    <w:rsid w:val="00891767"/>
    <w:rsid w:val="008948AA"/>
    <w:rsid w:val="008A0C2D"/>
    <w:rsid w:val="008A1ED4"/>
    <w:rsid w:val="008A2B2D"/>
    <w:rsid w:val="008A4E1E"/>
    <w:rsid w:val="008B3BEC"/>
    <w:rsid w:val="008B7469"/>
    <w:rsid w:val="008B7968"/>
    <w:rsid w:val="008C05C4"/>
    <w:rsid w:val="008C1F89"/>
    <w:rsid w:val="008C296C"/>
    <w:rsid w:val="008C3708"/>
    <w:rsid w:val="008C6777"/>
    <w:rsid w:val="008C69AC"/>
    <w:rsid w:val="008C70FA"/>
    <w:rsid w:val="008C7D30"/>
    <w:rsid w:val="008D4305"/>
    <w:rsid w:val="008D43E4"/>
    <w:rsid w:val="008D66DA"/>
    <w:rsid w:val="008E71C1"/>
    <w:rsid w:val="008E7D2C"/>
    <w:rsid w:val="008F4645"/>
    <w:rsid w:val="008F5B5B"/>
    <w:rsid w:val="00900ED1"/>
    <w:rsid w:val="00910154"/>
    <w:rsid w:val="0091018E"/>
    <w:rsid w:val="0091093B"/>
    <w:rsid w:val="0091168F"/>
    <w:rsid w:val="00912C49"/>
    <w:rsid w:val="009163A7"/>
    <w:rsid w:val="00916DDD"/>
    <w:rsid w:val="0091727F"/>
    <w:rsid w:val="00920EF6"/>
    <w:rsid w:val="009230D8"/>
    <w:rsid w:val="009232D8"/>
    <w:rsid w:val="0093773A"/>
    <w:rsid w:val="009414D3"/>
    <w:rsid w:val="00946D0B"/>
    <w:rsid w:val="00947053"/>
    <w:rsid w:val="0095272A"/>
    <w:rsid w:val="00952BC7"/>
    <w:rsid w:val="009533DB"/>
    <w:rsid w:val="00965923"/>
    <w:rsid w:val="009720B8"/>
    <w:rsid w:val="0097232E"/>
    <w:rsid w:val="00972BB1"/>
    <w:rsid w:val="0097402D"/>
    <w:rsid w:val="00983874"/>
    <w:rsid w:val="00990A37"/>
    <w:rsid w:val="00990B90"/>
    <w:rsid w:val="009A18CD"/>
    <w:rsid w:val="009A7488"/>
    <w:rsid w:val="009C1BB3"/>
    <w:rsid w:val="009C211A"/>
    <w:rsid w:val="009C6B5E"/>
    <w:rsid w:val="009D0EA2"/>
    <w:rsid w:val="009D1A8D"/>
    <w:rsid w:val="009D2BC9"/>
    <w:rsid w:val="009D59ED"/>
    <w:rsid w:val="009D741F"/>
    <w:rsid w:val="009E1FED"/>
    <w:rsid w:val="009E7DD8"/>
    <w:rsid w:val="009F1339"/>
    <w:rsid w:val="009F468E"/>
    <w:rsid w:val="009F6006"/>
    <w:rsid w:val="00A12558"/>
    <w:rsid w:val="00A13903"/>
    <w:rsid w:val="00A15A88"/>
    <w:rsid w:val="00A15AEB"/>
    <w:rsid w:val="00A34ED5"/>
    <w:rsid w:val="00A34FFB"/>
    <w:rsid w:val="00A432F7"/>
    <w:rsid w:val="00A45DBF"/>
    <w:rsid w:val="00A53EEB"/>
    <w:rsid w:val="00A61283"/>
    <w:rsid w:val="00A63BE9"/>
    <w:rsid w:val="00A645DF"/>
    <w:rsid w:val="00A65C29"/>
    <w:rsid w:val="00A755A2"/>
    <w:rsid w:val="00A81304"/>
    <w:rsid w:val="00A82C1E"/>
    <w:rsid w:val="00A945A5"/>
    <w:rsid w:val="00A97264"/>
    <w:rsid w:val="00A97B68"/>
    <w:rsid w:val="00AA076B"/>
    <w:rsid w:val="00AA5439"/>
    <w:rsid w:val="00AA6660"/>
    <w:rsid w:val="00AB2B31"/>
    <w:rsid w:val="00AB2C36"/>
    <w:rsid w:val="00AB3B45"/>
    <w:rsid w:val="00AB6B0C"/>
    <w:rsid w:val="00AB70B6"/>
    <w:rsid w:val="00AC0D52"/>
    <w:rsid w:val="00AC5A55"/>
    <w:rsid w:val="00AD03A3"/>
    <w:rsid w:val="00AD0571"/>
    <w:rsid w:val="00AD1A86"/>
    <w:rsid w:val="00AE103E"/>
    <w:rsid w:val="00AE42AC"/>
    <w:rsid w:val="00AF0A07"/>
    <w:rsid w:val="00AF11E4"/>
    <w:rsid w:val="00AF1214"/>
    <w:rsid w:val="00AF2979"/>
    <w:rsid w:val="00AF436C"/>
    <w:rsid w:val="00AF4AEC"/>
    <w:rsid w:val="00AF5C88"/>
    <w:rsid w:val="00AF625E"/>
    <w:rsid w:val="00B03E6D"/>
    <w:rsid w:val="00B05797"/>
    <w:rsid w:val="00B07D32"/>
    <w:rsid w:val="00B128CC"/>
    <w:rsid w:val="00B1539F"/>
    <w:rsid w:val="00B22768"/>
    <w:rsid w:val="00B2450B"/>
    <w:rsid w:val="00B2493E"/>
    <w:rsid w:val="00B25E39"/>
    <w:rsid w:val="00B30C28"/>
    <w:rsid w:val="00B34348"/>
    <w:rsid w:val="00B41707"/>
    <w:rsid w:val="00B50A30"/>
    <w:rsid w:val="00B5600A"/>
    <w:rsid w:val="00B6469B"/>
    <w:rsid w:val="00B65D85"/>
    <w:rsid w:val="00B702ED"/>
    <w:rsid w:val="00B71C63"/>
    <w:rsid w:val="00B77BE9"/>
    <w:rsid w:val="00B80AF9"/>
    <w:rsid w:val="00B81105"/>
    <w:rsid w:val="00B84102"/>
    <w:rsid w:val="00B85E17"/>
    <w:rsid w:val="00B9439A"/>
    <w:rsid w:val="00B94960"/>
    <w:rsid w:val="00B960B3"/>
    <w:rsid w:val="00B96B09"/>
    <w:rsid w:val="00B97248"/>
    <w:rsid w:val="00BA6E0C"/>
    <w:rsid w:val="00BB04AF"/>
    <w:rsid w:val="00BB3DF5"/>
    <w:rsid w:val="00BB6929"/>
    <w:rsid w:val="00BC518E"/>
    <w:rsid w:val="00BD28AC"/>
    <w:rsid w:val="00BD52C9"/>
    <w:rsid w:val="00BE3CD5"/>
    <w:rsid w:val="00BE5818"/>
    <w:rsid w:val="00BE6354"/>
    <w:rsid w:val="00BF768A"/>
    <w:rsid w:val="00C0212E"/>
    <w:rsid w:val="00C054CE"/>
    <w:rsid w:val="00C0683F"/>
    <w:rsid w:val="00C21695"/>
    <w:rsid w:val="00C23A97"/>
    <w:rsid w:val="00C23FEB"/>
    <w:rsid w:val="00C278E9"/>
    <w:rsid w:val="00C31325"/>
    <w:rsid w:val="00C33B4E"/>
    <w:rsid w:val="00C4133A"/>
    <w:rsid w:val="00C42075"/>
    <w:rsid w:val="00C420AA"/>
    <w:rsid w:val="00C42C66"/>
    <w:rsid w:val="00C43221"/>
    <w:rsid w:val="00C43B17"/>
    <w:rsid w:val="00C45470"/>
    <w:rsid w:val="00C460F8"/>
    <w:rsid w:val="00C47184"/>
    <w:rsid w:val="00C4772B"/>
    <w:rsid w:val="00C6563D"/>
    <w:rsid w:val="00C70EA7"/>
    <w:rsid w:val="00C714E4"/>
    <w:rsid w:val="00C72B1B"/>
    <w:rsid w:val="00C7516E"/>
    <w:rsid w:val="00C75770"/>
    <w:rsid w:val="00C77225"/>
    <w:rsid w:val="00C81098"/>
    <w:rsid w:val="00C82521"/>
    <w:rsid w:val="00C85C3C"/>
    <w:rsid w:val="00C87887"/>
    <w:rsid w:val="00C965B5"/>
    <w:rsid w:val="00CA2963"/>
    <w:rsid w:val="00CA334F"/>
    <w:rsid w:val="00CA35EA"/>
    <w:rsid w:val="00CA45A1"/>
    <w:rsid w:val="00CA4F8D"/>
    <w:rsid w:val="00CB170C"/>
    <w:rsid w:val="00CB3E86"/>
    <w:rsid w:val="00CB5A4B"/>
    <w:rsid w:val="00CC042B"/>
    <w:rsid w:val="00CC711C"/>
    <w:rsid w:val="00CD5438"/>
    <w:rsid w:val="00CD60FB"/>
    <w:rsid w:val="00CD632D"/>
    <w:rsid w:val="00CE1E82"/>
    <w:rsid w:val="00CE26EE"/>
    <w:rsid w:val="00CE3838"/>
    <w:rsid w:val="00CE4600"/>
    <w:rsid w:val="00CE606E"/>
    <w:rsid w:val="00CE76B7"/>
    <w:rsid w:val="00CF07CB"/>
    <w:rsid w:val="00CF1575"/>
    <w:rsid w:val="00D00B2B"/>
    <w:rsid w:val="00D07459"/>
    <w:rsid w:val="00D151A7"/>
    <w:rsid w:val="00D20E68"/>
    <w:rsid w:val="00D22279"/>
    <w:rsid w:val="00D24877"/>
    <w:rsid w:val="00D26644"/>
    <w:rsid w:val="00D303C5"/>
    <w:rsid w:val="00D322E7"/>
    <w:rsid w:val="00D408F7"/>
    <w:rsid w:val="00D44A18"/>
    <w:rsid w:val="00D46EC3"/>
    <w:rsid w:val="00D52471"/>
    <w:rsid w:val="00D52B40"/>
    <w:rsid w:val="00D52C71"/>
    <w:rsid w:val="00D56E06"/>
    <w:rsid w:val="00D621D6"/>
    <w:rsid w:val="00D66131"/>
    <w:rsid w:val="00D70E97"/>
    <w:rsid w:val="00D74CFC"/>
    <w:rsid w:val="00D75104"/>
    <w:rsid w:val="00D7513B"/>
    <w:rsid w:val="00D85FEE"/>
    <w:rsid w:val="00D91A18"/>
    <w:rsid w:val="00D92DDF"/>
    <w:rsid w:val="00D95C4C"/>
    <w:rsid w:val="00D97987"/>
    <w:rsid w:val="00DA10B9"/>
    <w:rsid w:val="00DA1F6A"/>
    <w:rsid w:val="00DA2BCF"/>
    <w:rsid w:val="00DA36ED"/>
    <w:rsid w:val="00DB3E77"/>
    <w:rsid w:val="00DB4BF5"/>
    <w:rsid w:val="00DB6E4D"/>
    <w:rsid w:val="00DC2577"/>
    <w:rsid w:val="00DC3038"/>
    <w:rsid w:val="00DD5475"/>
    <w:rsid w:val="00DE34F1"/>
    <w:rsid w:val="00DE5DA9"/>
    <w:rsid w:val="00DF216B"/>
    <w:rsid w:val="00DF288B"/>
    <w:rsid w:val="00DF3E9D"/>
    <w:rsid w:val="00DF4942"/>
    <w:rsid w:val="00DF73EE"/>
    <w:rsid w:val="00E00456"/>
    <w:rsid w:val="00E01292"/>
    <w:rsid w:val="00E01D31"/>
    <w:rsid w:val="00E0424B"/>
    <w:rsid w:val="00E04EC1"/>
    <w:rsid w:val="00E05364"/>
    <w:rsid w:val="00E06179"/>
    <w:rsid w:val="00E06A23"/>
    <w:rsid w:val="00E07554"/>
    <w:rsid w:val="00E15776"/>
    <w:rsid w:val="00E17265"/>
    <w:rsid w:val="00E23BAD"/>
    <w:rsid w:val="00E24C64"/>
    <w:rsid w:val="00E253B5"/>
    <w:rsid w:val="00E25D7B"/>
    <w:rsid w:val="00E330D0"/>
    <w:rsid w:val="00E37064"/>
    <w:rsid w:val="00E60229"/>
    <w:rsid w:val="00E61214"/>
    <w:rsid w:val="00E627B1"/>
    <w:rsid w:val="00E6289A"/>
    <w:rsid w:val="00E628F1"/>
    <w:rsid w:val="00E62BC7"/>
    <w:rsid w:val="00E63170"/>
    <w:rsid w:val="00E646ED"/>
    <w:rsid w:val="00E657C5"/>
    <w:rsid w:val="00E65B08"/>
    <w:rsid w:val="00E662BF"/>
    <w:rsid w:val="00E72044"/>
    <w:rsid w:val="00E7332C"/>
    <w:rsid w:val="00E77116"/>
    <w:rsid w:val="00E83EA1"/>
    <w:rsid w:val="00E84EA7"/>
    <w:rsid w:val="00E869B7"/>
    <w:rsid w:val="00E87F93"/>
    <w:rsid w:val="00E90840"/>
    <w:rsid w:val="00E90FE0"/>
    <w:rsid w:val="00E912CE"/>
    <w:rsid w:val="00E9376C"/>
    <w:rsid w:val="00E949CA"/>
    <w:rsid w:val="00EA145D"/>
    <w:rsid w:val="00EA1603"/>
    <w:rsid w:val="00EA1D70"/>
    <w:rsid w:val="00EA335E"/>
    <w:rsid w:val="00EA4868"/>
    <w:rsid w:val="00EA528C"/>
    <w:rsid w:val="00EA5966"/>
    <w:rsid w:val="00EA5C29"/>
    <w:rsid w:val="00EA6948"/>
    <w:rsid w:val="00EB2987"/>
    <w:rsid w:val="00EC6060"/>
    <w:rsid w:val="00ED3AF8"/>
    <w:rsid w:val="00ED5501"/>
    <w:rsid w:val="00ED5DAF"/>
    <w:rsid w:val="00EE09C4"/>
    <w:rsid w:val="00EE0F36"/>
    <w:rsid w:val="00EE3491"/>
    <w:rsid w:val="00EE6FAF"/>
    <w:rsid w:val="00EF026D"/>
    <w:rsid w:val="00EF34E2"/>
    <w:rsid w:val="00EF4F1F"/>
    <w:rsid w:val="00EF69E3"/>
    <w:rsid w:val="00F03809"/>
    <w:rsid w:val="00F101F8"/>
    <w:rsid w:val="00F13D0B"/>
    <w:rsid w:val="00F15E57"/>
    <w:rsid w:val="00F2096A"/>
    <w:rsid w:val="00F2180B"/>
    <w:rsid w:val="00F24B3F"/>
    <w:rsid w:val="00F26166"/>
    <w:rsid w:val="00F31908"/>
    <w:rsid w:val="00F32805"/>
    <w:rsid w:val="00F4482E"/>
    <w:rsid w:val="00F53DE9"/>
    <w:rsid w:val="00F544DA"/>
    <w:rsid w:val="00F55BE6"/>
    <w:rsid w:val="00F576CB"/>
    <w:rsid w:val="00F57A8B"/>
    <w:rsid w:val="00F6120F"/>
    <w:rsid w:val="00F70835"/>
    <w:rsid w:val="00F71A02"/>
    <w:rsid w:val="00F87711"/>
    <w:rsid w:val="00FA0AB0"/>
    <w:rsid w:val="00FA1EB7"/>
    <w:rsid w:val="00FA3850"/>
    <w:rsid w:val="00FA7E04"/>
    <w:rsid w:val="00FB0B14"/>
    <w:rsid w:val="00FB1065"/>
    <w:rsid w:val="00FB6630"/>
    <w:rsid w:val="00FC4493"/>
    <w:rsid w:val="00FC5DA1"/>
    <w:rsid w:val="00FD1226"/>
    <w:rsid w:val="00FD4ABA"/>
    <w:rsid w:val="00FD60B0"/>
    <w:rsid w:val="00FD7CB9"/>
    <w:rsid w:val="00FE04F3"/>
    <w:rsid w:val="00FE2BDE"/>
    <w:rsid w:val="00FF2BCB"/>
    <w:rsid w:val="00FF4830"/>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54FDCCB3"/>
  <w15:docId w15:val="{075EA3C4-99CD-48CC-B78E-963A634C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s-ES" w:eastAsia="en-GB" w:bidi="ar-SA"/>
      </w:rPr>
    </w:rPrDefault>
    <w:pPrDefault/>
  </w:docDefaults>
  <w:latentStyles w:defLockedState="0" w:defUIPriority="99" w:defSemiHidden="0" w:defUnhideWhenUsed="0" w:defQFormat="0" w:count="377">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345CB4"/>
    <w:rPr>
      <w:rFonts w:ascii="Times New Roman" w:eastAsia="Times New Roman" w:hAnsi="Times New Roman"/>
      <w:sz w:val="24"/>
      <w:szCs w:val="24"/>
      <w:lang w:eastAsia="fr-FR"/>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GA Heading,COM Heading"/>
    <w:basedOn w:val="Normal"/>
    <w:next w:val="Normal"/>
    <w:link w:val="Titre4Car"/>
    <w:qFormat/>
    <w:rsid w:val="00F71A02"/>
    <w:pPr>
      <w:keepNext/>
      <w:keepLines/>
      <w:numPr>
        <w:numId w:val="4"/>
      </w:numPr>
      <w:tabs>
        <w:tab w:val="left" w:pos="567"/>
      </w:tabs>
      <w:snapToGrid w:val="0"/>
      <w:spacing w:after="240"/>
      <w:outlineLvl w:val="3"/>
    </w:pPr>
    <w:rPr>
      <w:rFonts w:ascii="Arial" w:hAnsi="Arial"/>
      <w:b/>
      <w:bCs/>
      <w:snapToGrid w:val="0"/>
      <w:sz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es-ES"/>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s-ES"/>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s-ES"/>
    </w:rPr>
  </w:style>
  <w:style w:type="paragraph" w:customStyle="1" w:styleId="Sansinterligne2">
    <w:name w:val="Sans interligne2"/>
    <w:uiPriority w:val="1"/>
    <w:rsid w:val="006C3FFC"/>
    <w:rPr>
      <w:rFonts w:ascii="Times New Roman" w:eastAsia="Times New Roman" w:hAnsi="Times New Roman"/>
      <w:sz w:val="24"/>
      <w:szCs w:val="24"/>
      <w:lang w:eastAsia="fr-FR"/>
    </w:rPr>
  </w:style>
  <w:style w:type="table" w:styleId="Grilledutableau">
    <w:name w:val="Table Grid"/>
    <w:basedOn w:val="TableauNormal"/>
    <w:uiPriority w:val="3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GA Heading Car,COM Heading Car"/>
    <w:link w:val="Titre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rsid w:val="0057439C"/>
    <w:rPr>
      <w:rFonts w:ascii="Times New Roman" w:eastAsia="Times New Roman" w:hAnsi="Times New Roman"/>
      <w:sz w:val="24"/>
      <w:szCs w:val="24"/>
      <w:lang w:eastAsia="fr-FR"/>
    </w:rPr>
  </w:style>
  <w:style w:type="paragraph" w:customStyle="1" w:styleId="GAPara">
    <w:name w:val="GA Para"/>
    <w:qFormat/>
    <w:rsid w:val="00345CB4"/>
    <w:pPr>
      <w:numPr>
        <w:numId w:val="2"/>
      </w:numPr>
      <w:spacing w:after="120"/>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rPr>
  </w:style>
  <w:style w:type="paragraph" w:customStyle="1" w:styleId="GAParaResolution">
    <w:name w:val="GA Para Resolution"/>
    <w:basedOn w:val="Normal"/>
    <w:qFormat/>
    <w:rsid w:val="00345CB4"/>
    <w:pPr>
      <w:numPr>
        <w:numId w:val="3"/>
      </w:numPr>
      <w:autoSpaceDE w:val="0"/>
      <w:autoSpaceDN w:val="0"/>
      <w:adjustRightInd w:val="0"/>
      <w:spacing w:after="120"/>
      <w:jc w:val="both"/>
    </w:pPr>
    <w:rPr>
      <w:rFonts w:ascii="Arial" w:eastAsia="SimSun" w:hAnsi="Arial" w:cs="Arial"/>
      <w:sz w:val="22"/>
      <w:szCs w:val="22"/>
      <w:u w:val="single"/>
    </w:rPr>
  </w:style>
  <w:style w:type="paragraph" w:styleId="Paragraphedeliste">
    <w:name w:val="List Paragraph"/>
    <w:aliases w:val="Table of contents numbered,Normal bullet 2,Bullet list,List Paragraph1,Numbered List,1st level - Bullet List Paragraph,Lettre d'introduction,lp1,Farbige Liste - Akzent 11,List Paragraph compact,Paragraphe de liste 2,Reference list"/>
    <w:basedOn w:val="Normal"/>
    <w:link w:val="ParagraphedelisteCar"/>
    <w:uiPriority w:val="34"/>
    <w:qFormat/>
    <w:rsid w:val="002F312A"/>
    <w:pPr>
      <w:ind w:left="720"/>
      <w:contextualSpacing/>
    </w:pPr>
  </w:style>
  <w:style w:type="paragraph" w:customStyle="1" w:styleId="COMParaDecision">
    <w:name w:val="COM Para Decision"/>
    <w:basedOn w:val="Normal"/>
    <w:qFormat/>
    <w:rsid w:val="008A1ED4"/>
    <w:pPr>
      <w:autoSpaceDE w:val="0"/>
      <w:autoSpaceDN w:val="0"/>
      <w:adjustRightInd w:val="0"/>
      <w:spacing w:after="120"/>
      <w:ind w:left="1134" w:hanging="567"/>
      <w:jc w:val="both"/>
    </w:pPr>
    <w:rPr>
      <w:rFonts w:ascii="Arial" w:eastAsia="SimSun" w:hAnsi="Arial" w:cs="Arial"/>
      <w:sz w:val="22"/>
      <w:szCs w:val="22"/>
      <w:u w:val="single"/>
    </w:rPr>
  </w:style>
  <w:style w:type="character" w:styleId="Lienhypertexte">
    <w:name w:val="Hyperlink"/>
    <w:unhideWhenUsed/>
    <w:rsid w:val="007E0222"/>
    <w:rPr>
      <w:color w:val="0000FF"/>
      <w:u w:val="single"/>
    </w:rPr>
  </w:style>
  <w:style w:type="paragraph" w:styleId="Notedebasdepage">
    <w:name w:val="footnote text"/>
    <w:basedOn w:val="Normal"/>
    <w:link w:val="NotedebasdepageCar"/>
    <w:uiPriority w:val="99"/>
    <w:unhideWhenUsed/>
    <w:rsid w:val="00EA145D"/>
    <w:pPr>
      <w:spacing w:before="60" w:after="60"/>
      <w:jc w:val="both"/>
    </w:pPr>
    <w:rPr>
      <w:rFonts w:ascii="Arial" w:hAnsi="Arial"/>
      <w:sz w:val="20"/>
      <w:szCs w:val="20"/>
    </w:rPr>
  </w:style>
  <w:style w:type="character" w:customStyle="1" w:styleId="NotedebasdepageCar">
    <w:name w:val="Note de bas de page Car"/>
    <w:basedOn w:val="Policepardfaut"/>
    <w:link w:val="Notedebasdepage"/>
    <w:uiPriority w:val="99"/>
    <w:rsid w:val="00EA145D"/>
    <w:rPr>
      <w:rFonts w:ascii="Arial" w:eastAsia="Times New Roman" w:hAnsi="Arial"/>
      <w:lang w:eastAsia="fr-FR"/>
    </w:rPr>
  </w:style>
  <w:style w:type="character" w:styleId="Appelnotedebasdep">
    <w:name w:val="footnote reference"/>
    <w:uiPriority w:val="99"/>
    <w:unhideWhenUsed/>
    <w:rsid w:val="00EA145D"/>
    <w:rPr>
      <w:vertAlign w:val="superscript"/>
    </w:rPr>
  </w:style>
  <w:style w:type="character" w:customStyle="1" w:styleId="hps">
    <w:name w:val="hps"/>
    <w:rsid w:val="00EA145D"/>
  </w:style>
  <w:style w:type="character" w:styleId="Marquedecommentaire">
    <w:name w:val="annotation reference"/>
    <w:basedOn w:val="Policepardfaut"/>
    <w:uiPriority w:val="99"/>
    <w:semiHidden/>
    <w:unhideWhenUsed/>
    <w:rsid w:val="00FA3850"/>
    <w:rPr>
      <w:sz w:val="16"/>
      <w:szCs w:val="16"/>
    </w:rPr>
  </w:style>
  <w:style w:type="paragraph" w:styleId="Commentaire">
    <w:name w:val="annotation text"/>
    <w:basedOn w:val="Normal"/>
    <w:link w:val="CommentaireCar"/>
    <w:uiPriority w:val="99"/>
    <w:semiHidden/>
    <w:unhideWhenUsed/>
    <w:rsid w:val="00FA3850"/>
    <w:rPr>
      <w:sz w:val="20"/>
      <w:szCs w:val="20"/>
    </w:rPr>
  </w:style>
  <w:style w:type="character" w:customStyle="1" w:styleId="CommentaireCar">
    <w:name w:val="Commentaire Car"/>
    <w:basedOn w:val="Policepardfaut"/>
    <w:link w:val="Commentaire"/>
    <w:uiPriority w:val="99"/>
    <w:semiHidden/>
    <w:rsid w:val="00FA3850"/>
    <w:rPr>
      <w:rFonts w:ascii="Times New Roman" w:eastAsia="Times New Roman" w:hAnsi="Times New Roman"/>
      <w:lang w:val="es-ES" w:eastAsia="fr-FR"/>
    </w:rPr>
  </w:style>
  <w:style w:type="paragraph" w:styleId="Objetducommentaire">
    <w:name w:val="annotation subject"/>
    <w:basedOn w:val="Commentaire"/>
    <w:next w:val="Commentaire"/>
    <w:link w:val="ObjetducommentaireCar"/>
    <w:uiPriority w:val="99"/>
    <w:semiHidden/>
    <w:unhideWhenUsed/>
    <w:rsid w:val="00FA3850"/>
    <w:rPr>
      <w:b/>
      <w:bCs/>
    </w:rPr>
  </w:style>
  <w:style w:type="character" w:customStyle="1" w:styleId="ObjetducommentaireCar">
    <w:name w:val="Objet du commentaire Car"/>
    <w:basedOn w:val="CommentaireCar"/>
    <w:link w:val="Objetducommentaire"/>
    <w:uiPriority w:val="99"/>
    <w:semiHidden/>
    <w:rsid w:val="00FA3850"/>
    <w:rPr>
      <w:rFonts w:ascii="Times New Roman" w:eastAsia="Times New Roman" w:hAnsi="Times New Roman"/>
      <w:b/>
      <w:bCs/>
      <w:lang w:val="es-ES" w:eastAsia="fr-FR"/>
    </w:rPr>
  </w:style>
  <w:style w:type="paragraph" w:styleId="Rvision">
    <w:name w:val="Revision"/>
    <w:hidden/>
    <w:uiPriority w:val="99"/>
    <w:semiHidden/>
    <w:rsid w:val="00FA3850"/>
    <w:rPr>
      <w:rFonts w:ascii="Times New Roman" w:eastAsia="Times New Roman" w:hAnsi="Times New Roman"/>
      <w:sz w:val="24"/>
      <w:szCs w:val="24"/>
      <w:lang w:eastAsia="fr-FR"/>
    </w:rPr>
  </w:style>
  <w:style w:type="character" w:styleId="lev">
    <w:name w:val="Strong"/>
    <w:uiPriority w:val="22"/>
    <w:qFormat/>
    <w:rsid w:val="007009B7"/>
    <w:rPr>
      <w:b/>
      <w:bCs/>
    </w:rPr>
  </w:style>
  <w:style w:type="paragraph" w:customStyle="1" w:styleId="5GAParaResolution">
    <w:name w:val="5GA Para Resolution"/>
    <w:basedOn w:val="Normal"/>
    <w:qFormat/>
    <w:rsid w:val="00AF1214"/>
    <w:pPr>
      <w:autoSpaceDE w:val="0"/>
      <w:autoSpaceDN w:val="0"/>
      <w:adjustRightInd w:val="0"/>
      <w:spacing w:after="120"/>
      <w:ind w:left="1134" w:hanging="567"/>
      <w:jc w:val="both"/>
    </w:pPr>
    <w:rPr>
      <w:rFonts w:ascii="Arial" w:eastAsia="SimSun" w:hAnsi="Arial" w:cs="Arial"/>
      <w:sz w:val="22"/>
      <w:szCs w:val="22"/>
    </w:rPr>
  </w:style>
  <w:style w:type="character" w:styleId="Lienhypertextesuivivisit">
    <w:name w:val="FollowedHyperlink"/>
    <w:basedOn w:val="Policepardfaut"/>
    <w:uiPriority w:val="99"/>
    <w:semiHidden/>
    <w:unhideWhenUsed/>
    <w:rsid w:val="00F24B3F"/>
    <w:rPr>
      <w:color w:val="954F72" w:themeColor="followedHyperlink"/>
      <w:u w:val="single"/>
    </w:rPr>
  </w:style>
  <w:style w:type="character" w:customStyle="1" w:styleId="ac">
    <w:name w:val="ac"/>
    <w:basedOn w:val="Policepardfaut"/>
    <w:rsid w:val="000D1034"/>
  </w:style>
  <w:style w:type="paragraph" w:customStyle="1" w:styleId="COMPara">
    <w:name w:val="COM Para"/>
    <w:qFormat/>
    <w:rsid w:val="00576E1D"/>
    <w:pPr>
      <w:spacing w:after="120"/>
      <w:ind w:left="720" w:hanging="360"/>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576E1D"/>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576E1D"/>
    <w:pPr>
      <w:keepNext/>
      <w:spacing w:after="120"/>
      <w:ind w:left="567"/>
      <w:jc w:val="both"/>
    </w:pPr>
    <w:rPr>
      <w:rFonts w:ascii="Arial" w:hAnsi="Arial" w:cs="Arial"/>
      <w:sz w:val="22"/>
      <w:szCs w:val="22"/>
    </w:rPr>
  </w:style>
  <w:style w:type="paragraph" w:customStyle="1" w:styleId="Paragraph">
    <w:name w:val="Paragraph"/>
    <w:basedOn w:val="Normal"/>
    <w:link w:val="ParagraphChar"/>
    <w:qFormat/>
    <w:rsid w:val="00576E1D"/>
    <w:pPr>
      <w:autoSpaceDE w:val="0"/>
      <w:autoSpaceDN w:val="0"/>
      <w:adjustRightInd w:val="0"/>
      <w:spacing w:after="240"/>
      <w:jc w:val="both"/>
    </w:pPr>
    <w:rPr>
      <w:rFonts w:ascii="Arial" w:eastAsia="SimSun" w:hAnsi="Arial" w:cs="Arial"/>
      <w:bCs/>
      <w:color w:val="000000"/>
      <w:sz w:val="22"/>
      <w:szCs w:val="22"/>
      <w:lang w:eastAsia="zh-CN"/>
    </w:rPr>
  </w:style>
  <w:style w:type="character" w:customStyle="1" w:styleId="ParagraphChar">
    <w:name w:val="Paragraph Char"/>
    <w:link w:val="Paragraph"/>
    <w:rsid w:val="00576E1D"/>
    <w:rPr>
      <w:rFonts w:ascii="Arial" w:hAnsi="Arial" w:cs="Arial"/>
      <w:bCs/>
      <w:color w:val="000000"/>
      <w:sz w:val="22"/>
      <w:szCs w:val="22"/>
      <w:lang w:eastAsia="zh-CN"/>
    </w:rPr>
  </w:style>
  <w:style w:type="paragraph" w:customStyle="1" w:styleId="Annex">
    <w:name w:val="Annex"/>
    <w:basedOn w:val="Normal"/>
    <w:next w:val="Normal"/>
    <w:rsid w:val="00576E1D"/>
    <w:pPr>
      <w:pageBreakBefore/>
      <w:autoSpaceDE w:val="0"/>
      <w:autoSpaceDN w:val="0"/>
      <w:adjustRightInd w:val="0"/>
      <w:spacing w:before="360" w:after="240"/>
      <w:jc w:val="center"/>
      <w:outlineLvl w:val="0"/>
    </w:pPr>
    <w:rPr>
      <w:rFonts w:ascii="Arial" w:eastAsia="SimSun" w:hAnsi="Arial" w:cs="Arial"/>
      <w:b/>
      <w:bCs/>
      <w:sz w:val="22"/>
      <w:szCs w:val="22"/>
      <w:lang w:eastAsia="zh-CN"/>
    </w:rPr>
  </w:style>
  <w:style w:type="paragraph" w:customStyle="1" w:styleId="5GAparabodytext">
    <w:name w:val="5GA para body text"/>
    <w:basedOn w:val="Marge"/>
    <w:autoRedefine/>
    <w:uiPriority w:val="99"/>
    <w:qFormat/>
    <w:rsid w:val="005749F3"/>
    <w:pPr>
      <w:numPr>
        <w:numId w:val="8"/>
      </w:numPr>
      <w:spacing w:after="120"/>
    </w:pPr>
    <w:rPr>
      <w:rFonts w:cs="Arial"/>
      <w:szCs w:val="22"/>
    </w:rPr>
  </w:style>
  <w:style w:type="paragraph" w:customStyle="1" w:styleId="Default">
    <w:name w:val="Default"/>
    <w:link w:val="DefaultChar"/>
    <w:uiPriority w:val="99"/>
    <w:rsid w:val="00233695"/>
    <w:pPr>
      <w:autoSpaceDE w:val="0"/>
      <w:autoSpaceDN w:val="0"/>
      <w:adjustRightInd w:val="0"/>
    </w:pPr>
    <w:rPr>
      <w:rFonts w:ascii="Arial" w:hAnsi="Arial" w:cs="Arial"/>
      <w:color w:val="000000"/>
      <w:sz w:val="24"/>
      <w:szCs w:val="24"/>
      <w:lang w:eastAsia="zh-CN"/>
    </w:rPr>
  </w:style>
  <w:style w:type="character" w:customStyle="1" w:styleId="DefaultChar">
    <w:name w:val="Default Char"/>
    <w:link w:val="Default"/>
    <w:uiPriority w:val="99"/>
    <w:rsid w:val="00233695"/>
    <w:rPr>
      <w:rFonts w:ascii="Arial" w:hAnsi="Arial" w:cs="Arial"/>
      <w:color w:val="000000"/>
      <w:sz w:val="24"/>
      <w:szCs w:val="24"/>
      <w:lang w:val="es-ES" w:eastAsia="zh-CN"/>
    </w:rPr>
  </w:style>
  <w:style w:type="paragraph" w:customStyle="1" w:styleId="5GATitleResolution">
    <w:name w:val="5GA Title Resolution"/>
    <w:basedOn w:val="Normal"/>
    <w:qFormat/>
    <w:rsid w:val="00D75104"/>
    <w:pPr>
      <w:keepNext/>
      <w:spacing w:before="240" w:after="120"/>
      <w:ind w:left="567"/>
      <w:jc w:val="both"/>
    </w:pPr>
    <w:rPr>
      <w:rFonts w:ascii="Arial" w:hAnsi="Arial" w:cs="Arial"/>
      <w:b/>
      <w:sz w:val="22"/>
      <w:szCs w:val="22"/>
    </w:rPr>
  </w:style>
  <w:style w:type="paragraph" w:customStyle="1" w:styleId="5GAPreambulaResolution">
    <w:name w:val="5GA Preambula Resolution"/>
    <w:basedOn w:val="Normal"/>
    <w:qFormat/>
    <w:rsid w:val="00D75104"/>
    <w:pPr>
      <w:keepNext/>
      <w:spacing w:after="120"/>
      <w:ind w:left="567"/>
      <w:jc w:val="both"/>
    </w:pPr>
    <w:rPr>
      <w:rFonts w:ascii="Arial" w:hAnsi="Arial" w:cs="Arial"/>
      <w:sz w:val="22"/>
      <w:szCs w:val="22"/>
    </w:rPr>
  </w:style>
  <w:style w:type="character" w:customStyle="1" w:styleId="UnresolvedMention1">
    <w:name w:val="Unresolved Mention1"/>
    <w:basedOn w:val="Policepardfaut"/>
    <w:uiPriority w:val="99"/>
    <w:semiHidden/>
    <w:unhideWhenUsed/>
    <w:rsid w:val="00F57A8B"/>
    <w:rPr>
      <w:color w:val="605E5C"/>
      <w:shd w:val="clear" w:color="auto" w:fill="E1DFDD"/>
    </w:rPr>
  </w:style>
  <w:style w:type="paragraph" w:styleId="Sansinterligne">
    <w:name w:val="No Spacing"/>
    <w:uiPriority w:val="1"/>
    <w:qFormat/>
    <w:rsid w:val="00A432F7"/>
    <w:rPr>
      <w:rFonts w:asciiTheme="minorHAnsi" w:eastAsiaTheme="minorHAnsi" w:hAnsiTheme="minorHAnsi" w:cstheme="minorBidi"/>
      <w:sz w:val="22"/>
      <w:szCs w:val="22"/>
      <w:lang w:eastAsia="en-US"/>
    </w:rPr>
  </w:style>
  <w:style w:type="character" w:customStyle="1" w:styleId="ParagraphedelisteCar">
    <w:name w:val="Paragraphe de liste Car"/>
    <w:aliases w:val="Table of contents numbered Car,Normal bullet 2 Car,Bullet list Car,List Paragraph1 Car,Numbered List Car,1st level - Bullet List Paragraph Car,Lettre d'introduction Car,lp1 Car,Farbige Liste - Akzent 11 Car,Reference list Car"/>
    <w:link w:val="Paragraphedeliste"/>
    <w:uiPriority w:val="34"/>
    <w:qFormat/>
    <w:locked/>
    <w:rsid w:val="00E07554"/>
    <w:rPr>
      <w:rFonts w:ascii="Times New Roman" w:eastAsia="Times New Roman" w:hAnsi="Times New Roman"/>
      <w:sz w:val="24"/>
      <w:szCs w:val="24"/>
      <w:lang w:val="es-ES" w:eastAsia="fr-FR"/>
    </w:rPr>
  </w:style>
  <w:style w:type="table" w:customStyle="1" w:styleId="TableGrid1">
    <w:name w:val="Table Grid1"/>
    <w:basedOn w:val="TableauNormal"/>
    <w:uiPriority w:val="59"/>
    <w:rsid w:val="00CD632D"/>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Policepardfaut"/>
    <w:uiPriority w:val="99"/>
    <w:semiHidden/>
    <w:unhideWhenUsed/>
    <w:rsid w:val="00387011"/>
    <w:rPr>
      <w:color w:val="605E5C"/>
      <w:shd w:val="clear" w:color="auto" w:fill="E1DFDD"/>
    </w:rPr>
  </w:style>
  <w:style w:type="character" w:customStyle="1" w:styleId="UnresolvedMention3">
    <w:name w:val="Unresolved Mention3"/>
    <w:basedOn w:val="Policepardfaut"/>
    <w:uiPriority w:val="99"/>
    <w:semiHidden/>
    <w:unhideWhenUsed/>
    <w:rsid w:val="003F24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595202">
      <w:bodyDiv w:val="1"/>
      <w:marLeft w:val="0"/>
      <w:marRight w:val="0"/>
      <w:marTop w:val="0"/>
      <w:marBottom w:val="0"/>
      <w:divBdr>
        <w:top w:val="none" w:sz="0" w:space="0" w:color="auto"/>
        <w:left w:val="none" w:sz="0" w:space="0" w:color="auto"/>
        <w:bottom w:val="none" w:sz="0" w:space="0" w:color="auto"/>
        <w:right w:val="none" w:sz="0" w:space="0" w:color="auto"/>
      </w:divBdr>
    </w:div>
    <w:div w:id="391277138">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42053479">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ch.unesco.org/doc/src/LHE-20-8.GA-INF.7-EN.docx" TargetMode="External"/><Relationship Id="rId18" Type="http://schemas.openxmlformats.org/officeDocument/2006/relationships/hyperlink" Target="http://www.unesco.org/eri/cp/factsheets/ICH-Status-of-Contributions.pdf" TargetMode="External"/><Relationship Id="rId26" Type="http://schemas.openxmlformats.org/officeDocument/2006/relationships/hyperlink" Target="https://ich.unesco.org/en/Decisions/13.COM/6" TargetMode="External"/><Relationship Id="rId39" Type="http://schemas.openxmlformats.org/officeDocument/2006/relationships/hyperlink" Target="https://ich.unesco.org/doc/src/ITH-10-3.GA-CONF.201-Resolution%20Rev.-EN.doc" TargetMode="External"/><Relationship Id="rId21" Type="http://schemas.openxmlformats.org/officeDocument/2006/relationships/hyperlink" Target="https://ich.unesco.org/en/Decisions/12.COM/7" TargetMode="External"/><Relationship Id="rId34" Type="http://schemas.openxmlformats.org/officeDocument/2006/relationships/hyperlink" Target="https://ich.unesco.org/en/living-heritage-experiences-and-the-covid-19-pandemic-01123" TargetMode="External"/><Relationship Id="rId42" Type="http://schemas.openxmlformats.org/officeDocument/2006/relationships/hyperlink" Target="https://ich.unesco.org/en/Decisions/14.COM/6" TargetMode="External"/><Relationship Id="rId47" Type="http://schemas.openxmlformats.org/officeDocument/2006/relationships/hyperlink" Target="https://ich.unesco.org/en/Decisions/14.COM/6" TargetMode="External"/><Relationship Id="rId50" Type="http://schemas.openxmlformats.org/officeDocument/2006/relationships/hyperlink" Target="https://unesdoc.unesco.org/in/documentViewer.xhtml?v=2.1.196&amp;id=p::usmarcdef_0000248900_spa&amp;file=/in/rest/annotationSVC/DownloadWatermarkedAttachment/attach_import_235d28df-91c1-4eaf-86e3-99fd4f6c4233%3F_%3D248900spa.pdf&amp;locale=en&amp;multi=true&amp;ark=/ark:/48223/pf0000248900_spa/PDF/248900spa.pdf"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ich.unesco.org/doc/src/LHE-20-8.GA-INF.7-EN.docx" TargetMode="External"/><Relationship Id="rId17" Type="http://schemas.openxmlformats.org/officeDocument/2006/relationships/image" Target="media/image2.png"/><Relationship Id="rId25" Type="http://schemas.openxmlformats.org/officeDocument/2006/relationships/hyperlink" Target="https://ich.unesco.org/en/Decisions/14.COM/7" TargetMode="External"/><Relationship Id="rId33" Type="http://schemas.openxmlformats.org/officeDocument/2006/relationships/hyperlink" Target="https://ich.unesco.org/" TargetMode="External"/><Relationship Id="rId38" Type="http://schemas.openxmlformats.org/officeDocument/2006/relationships/hyperlink" Target="https://ich.unesco.org/en/Decisions/7.GA/8" TargetMode="External"/><Relationship Id="rId46" Type="http://schemas.openxmlformats.org/officeDocument/2006/relationships/hyperlink" Target="https://whc.unesco.org/document/168796"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ch.unesco.org/en/Resolutions/6.GA/7" TargetMode="External"/><Relationship Id="rId20" Type="http://schemas.openxmlformats.org/officeDocument/2006/relationships/hyperlink" Target="https://ich.unesco.org/en/Decisions/14.COM/7" TargetMode="External"/><Relationship Id="rId29" Type="http://schemas.openxmlformats.org/officeDocument/2006/relationships/hyperlink" Target="https://ich.unesco.org/en/Decisions/14.COM/10" TargetMode="External"/><Relationship Id="rId41" Type="http://schemas.openxmlformats.org/officeDocument/2006/relationships/hyperlink" Target="https://ich.unesco.org/doc/src/LHE-20-8.GA-INF.7-EN.docx"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12.COM/6" TargetMode="External"/><Relationship Id="rId24" Type="http://schemas.openxmlformats.org/officeDocument/2006/relationships/hyperlink" Target="https://ich.unesco.org/doc/src/LHE-19-14.COM_2.BUR-Decisions-EN.docx" TargetMode="External"/><Relationship Id="rId32" Type="http://schemas.openxmlformats.org/officeDocument/2006/relationships/hyperlink" Target="https://ich.unesco.org/en/Decisions/13.COM/20" TargetMode="External"/><Relationship Id="rId37" Type="http://schemas.openxmlformats.org/officeDocument/2006/relationships/hyperlink" Target="https://ich.unesco.org/en/Decisions/14.COM/7" TargetMode="External"/><Relationship Id="rId40" Type="http://schemas.openxmlformats.org/officeDocument/2006/relationships/hyperlink" Target="https://ich.unesco.org/en/Decisions/7.GA/8" TargetMode="External"/><Relationship Id="rId45" Type="http://schemas.openxmlformats.org/officeDocument/2006/relationships/hyperlink" Target="https://unesdoc.unesco.org/ark:/48223/pf0000261576_spa/PDF/261576spa.pdf.multi"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unesdoc.unesco.org/ark:/48223/pf0000373473_spa/PDF/373473spa.pdf.multi" TargetMode="External"/><Relationship Id="rId28" Type="http://schemas.openxmlformats.org/officeDocument/2006/relationships/hyperlink" Target="https://ich.unesco.org/en/Decisions/14.COM/14" TargetMode="External"/><Relationship Id="rId36" Type="http://schemas.openxmlformats.org/officeDocument/2006/relationships/hyperlink" Target="https://ich.unesco.org/en/Decisions/14.COM/7" TargetMode="External"/><Relationship Id="rId49" Type="http://schemas.openxmlformats.org/officeDocument/2006/relationships/hyperlink" Target="https://unesdoc.unesco.org/ark:/48223/pf0000246369_spa" TargetMode="External"/><Relationship Id="rId57" Type="http://schemas.openxmlformats.org/officeDocument/2006/relationships/header" Target="header3.xml"/><Relationship Id="rId10" Type="http://schemas.openxmlformats.org/officeDocument/2006/relationships/hyperlink" Target="https://ich.unesco.org/en/Decisions/7.GA/8" TargetMode="External"/><Relationship Id="rId19" Type="http://schemas.openxmlformats.org/officeDocument/2006/relationships/hyperlink" Target="https://ich.unesco.org/en/Decisions/7.GA/8" TargetMode="External"/><Relationship Id="rId31" Type="http://schemas.openxmlformats.org/officeDocument/2006/relationships/hyperlink" Target="https://ich.unesco.org/en/Decisions/12.COM/6" TargetMode="External"/><Relationship Id="rId44" Type="http://schemas.openxmlformats.org/officeDocument/2006/relationships/hyperlink" Target="https://unesdoc.unesco.org/ark:/48223/pf0000261576_spa/PDF/261576spa.pdf.multi" TargetMode="External"/><Relationship Id="rId52" Type="http://schemas.openxmlformats.org/officeDocument/2006/relationships/hyperlink" Target="https://ich.unesco.org/doc/src/LHE-20-8.GA-INF.7-EN.docx"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ch.unesco.org/doc/src/LHE-20-8.GA-INF.7-EN.docx" TargetMode="External"/><Relationship Id="rId14" Type="http://schemas.openxmlformats.org/officeDocument/2006/relationships/hyperlink" Target="https://ich.unesco.org/doc/src/ITH-18-7.GA-8-EN.docx" TargetMode="External"/><Relationship Id="rId22" Type="http://schemas.openxmlformats.org/officeDocument/2006/relationships/hyperlink" Target="https://ich.unesco.org/en/Decisions/14.COM/7" TargetMode="External"/><Relationship Id="rId27" Type="http://schemas.openxmlformats.org/officeDocument/2006/relationships/hyperlink" Target="https://ich.unesco.org/en/Decisions/13.COM/10" TargetMode="External"/><Relationship Id="rId30" Type="http://schemas.openxmlformats.org/officeDocument/2006/relationships/hyperlink" Target="https://ich.unesco.org/en/Decisions/14.COM/15" TargetMode="External"/><Relationship Id="rId35" Type="http://schemas.openxmlformats.org/officeDocument/2006/relationships/hyperlink" Target="https://ich.unesco.org/en/Decisions/7.GA/8" TargetMode="External"/><Relationship Id="rId43" Type="http://schemas.openxmlformats.org/officeDocument/2006/relationships/hyperlink" Target="https://ich.unesco.org/en/Decisions/13.COM/6" TargetMode="External"/><Relationship Id="rId48" Type="http://schemas.openxmlformats.org/officeDocument/2006/relationships/hyperlink" Target="https://unesdoc.unesco.org/ark:/48223/pf0000245750_spa" TargetMode="External"/><Relationship Id="rId56" Type="http://schemas.openxmlformats.org/officeDocument/2006/relationships/footer" Target="footer2.xml"/><Relationship Id="rId8" Type="http://schemas.openxmlformats.org/officeDocument/2006/relationships/hyperlink" Target="https://ich.unesco.org/en/Decisions/14.COM/7" TargetMode="External"/><Relationship Id="rId51" Type="http://schemas.openxmlformats.org/officeDocument/2006/relationships/hyperlink" Target="https://ich.unesco.org/en/Decisions/14.COM/7"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ich.unesco.org/en/Decisions/8.COM/7.c" TargetMode="External"/><Relationship Id="rId7" Type="http://schemas.openxmlformats.org/officeDocument/2006/relationships/hyperlink" Target="https://unesdoc.unesco.org/ark:/48223/pf0000367155" TargetMode="External"/><Relationship Id="rId2" Type="http://schemas.openxmlformats.org/officeDocument/2006/relationships/hyperlink" Target="https://ich.unesco.org/doc/src/ICH-Operational_Directives-7.GA-PDF-EN.pdf" TargetMode="External"/><Relationship Id="rId1" Type="http://schemas.openxmlformats.org/officeDocument/2006/relationships/hyperlink" Target="http://www.unesco.org/eri/cp/factsheets/ICH-Status-of-Contributions.pdf" TargetMode="External"/><Relationship Id="rId6" Type="http://schemas.openxmlformats.org/officeDocument/2006/relationships/hyperlink" Target="https://unesdoc.unesco.org/ark:/48223/pf0000367155" TargetMode="External"/><Relationship Id="rId5" Type="http://schemas.openxmlformats.org/officeDocument/2006/relationships/hyperlink" Target="https://ich.unesco.org/doc/src/LHE-19-14.COM_2.BUR-Decisions-EN.docx" TargetMode="External"/><Relationship Id="rId4" Type="http://schemas.openxmlformats.org/officeDocument/2006/relationships/hyperlink" Target="https://ich.unesco.org/doc/src/ITH-18-13.COM_2.BUR-Decisions_Rev.-EN.doc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8FB00-6DBF-4BAC-BC60-FE812C6B6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26</Pages>
  <Words>10772</Words>
  <Characters>61401</Characters>
  <Application>Microsoft Office Word</Application>
  <DocSecurity>0</DocSecurity>
  <Lines>511</Lines>
  <Paragraphs>144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72029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dc:description/>
  <cp:lastModifiedBy>Theuninck, Ingrid</cp:lastModifiedBy>
  <cp:revision>8</cp:revision>
  <cp:lastPrinted>2020-07-21T09:13:00Z</cp:lastPrinted>
  <dcterms:created xsi:type="dcterms:W3CDTF">2020-08-18T15:09:00Z</dcterms:created>
  <dcterms:modified xsi:type="dcterms:W3CDTF">2020-08-25T15:48:00Z</dcterms:modified>
</cp:coreProperties>
</file>