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57BFD" w14:textId="2ABE73C2" w:rsidR="00655736" w:rsidRPr="00414643" w:rsidRDefault="00655736" w:rsidP="001740D7">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bookmarkStart w:id="0" w:name="_GoBack"/>
      <w:bookmarkEnd w:id="0"/>
      <w:r w:rsidRPr="00414643">
        <w:rPr>
          <w:rFonts w:ascii="Arial" w:hAnsi="Arial" w:cs="Arial"/>
          <w:b/>
          <w:sz w:val="22"/>
          <w:szCs w:val="22"/>
          <w:lang w:val="en-GB"/>
        </w:rPr>
        <w:br/>
        <w:t>INTANGIBLE CULTURAL HERITAGE</w:t>
      </w:r>
    </w:p>
    <w:p w14:paraId="78B23C0C" w14:textId="77777777" w:rsidR="00655736" w:rsidRPr="00414643" w:rsidRDefault="00D95C4C" w:rsidP="001740D7">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68B69FD4" w14:textId="095709EB" w:rsidR="00D95C4C" w:rsidRPr="00FD624F" w:rsidRDefault="00065199" w:rsidP="001740D7">
      <w:pPr>
        <w:spacing w:before="840"/>
        <w:jc w:val="center"/>
        <w:rPr>
          <w:rFonts w:ascii="Arial" w:hAnsi="Arial" w:cs="Arial"/>
          <w:b/>
          <w:sz w:val="22"/>
          <w:szCs w:val="22"/>
          <w:lang w:val="en-GB"/>
        </w:rPr>
      </w:pPr>
      <w:r>
        <w:rPr>
          <w:rFonts w:ascii="Arial" w:hAnsi="Arial" w:cs="Arial"/>
          <w:b/>
          <w:sz w:val="22"/>
          <w:szCs w:val="22"/>
          <w:lang w:val="en-GB"/>
        </w:rPr>
        <w:t>Eigh</w:t>
      </w:r>
      <w:r w:rsidR="00EF69E3">
        <w:rPr>
          <w:rFonts w:ascii="Arial" w:hAnsi="Arial" w:cs="Arial"/>
          <w:b/>
          <w:sz w:val="22"/>
          <w:szCs w:val="22"/>
          <w:lang w:val="en-GB"/>
        </w:rPr>
        <w:t>th</w:t>
      </w:r>
      <w:r w:rsidR="00D95C4C" w:rsidRPr="00FD624F">
        <w:rPr>
          <w:rFonts w:ascii="Arial" w:hAnsi="Arial" w:cs="Arial"/>
          <w:b/>
          <w:sz w:val="22"/>
          <w:szCs w:val="22"/>
          <w:lang w:val="en-GB"/>
        </w:rPr>
        <w:t xml:space="preserve"> session</w:t>
      </w:r>
    </w:p>
    <w:p w14:paraId="411E7171" w14:textId="6C127BE3" w:rsidR="00D95C4C" w:rsidRPr="00FD624F" w:rsidRDefault="00D95C4C" w:rsidP="001740D7">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065199">
        <w:rPr>
          <w:rFonts w:ascii="Arial" w:hAnsi="Arial" w:cs="Arial"/>
          <w:b/>
          <w:sz w:val="22"/>
          <w:szCs w:val="22"/>
          <w:lang w:val="en-GB"/>
        </w:rPr>
        <w:t>I</w:t>
      </w:r>
    </w:p>
    <w:p w14:paraId="47F2C555" w14:textId="781E031B" w:rsidR="00655736" w:rsidRPr="00414643" w:rsidRDefault="000F365A" w:rsidP="001740D7">
      <w:pPr>
        <w:jc w:val="center"/>
        <w:rPr>
          <w:rFonts w:ascii="Arial" w:hAnsi="Arial" w:cs="Arial"/>
          <w:b/>
          <w:sz w:val="22"/>
          <w:szCs w:val="22"/>
          <w:lang w:val="en-GB"/>
        </w:rPr>
      </w:pPr>
      <w:r>
        <w:rPr>
          <w:rFonts w:ascii="Arial" w:hAnsi="Arial" w:cs="Arial"/>
          <w:b/>
          <w:sz w:val="22"/>
          <w:szCs w:val="22"/>
          <w:lang w:val="en-GB"/>
        </w:rPr>
        <w:t>8 to 10 September</w:t>
      </w:r>
      <w:r w:rsidR="00065199" w:rsidRPr="00E90FE0">
        <w:rPr>
          <w:rFonts w:ascii="Arial" w:hAnsi="Arial" w:cs="Arial"/>
          <w:b/>
          <w:sz w:val="22"/>
          <w:szCs w:val="22"/>
          <w:lang w:val="en-GB"/>
        </w:rPr>
        <w:t xml:space="preserve"> 2020</w:t>
      </w:r>
    </w:p>
    <w:p w14:paraId="47891A15" w14:textId="7FB75E34" w:rsidR="00655736" w:rsidRPr="00414643" w:rsidRDefault="00655736" w:rsidP="001740D7">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576E1D">
        <w:rPr>
          <w:rFonts w:ascii="Arial" w:hAnsi="Arial" w:cs="Arial"/>
          <w:b/>
          <w:sz w:val="22"/>
          <w:szCs w:val="22"/>
          <w:u w:val="single"/>
          <w:lang w:val="en-GB"/>
        </w:rPr>
        <w:t>7</w:t>
      </w:r>
      <w:r w:rsidRPr="00414643">
        <w:rPr>
          <w:rFonts w:ascii="Arial" w:hAnsi="Arial" w:cs="Arial"/>
          <w:b/>
          <w:sz w:val="22"/>
          <w:szCs w:val="22"/>
          <w:u w:val="single"/>
          <w:lang w:val="en-GB"/>
        </w:rPr>
        <w:t xml:space="preserve"> of the Provisional Agenda</w:t>
      </w:r>
      <w:r w:rsidRPr="00B2493E">
        <w:rPr>
          <w:rFonts w:ascii="Arial" w:hAnsi="Arial" w:cs="Arial"/>
          <w:b/>
          <w:sz w:val="22"/>
          <w:szCs w:val="22"/>
          <w:lang w:val="en-GB"/>
        </w:rPr>
        <w:t>:</w:t>
      </w:r>
    </w:p>
    <w:p w14:paraId="71BA670D" w14:textId="062D69FF" w:rsidR="002F312A" w:rsidRPr="00576E1D" w:rsidRDefault="00576E1D" w:rsidP="001740D7">
      <w:pPr>
        <w:pStyle w:val="Sansinterligne2"/>
        <w:spacing w:after="1200"/>
        <w:jc w:val="center"/>
        <w:rPr>
          <w:rFonts w:ascii="Arial" w:hAnsi="Arial" w:cs="Arial"/>
          <w:b/>
          <w:sz w:val="22"/>
          <w:szCs w:val="22"/>
          <w:lang w:val="en-GB"/>
        </w:rPr>
      </w:pPr>
      <w:r w:rsidRPr="00576E1D">
        <w:rPr>
          <w:rFonts w:ascii="Arial" w:hAnsi="Arial" w:cs="Arial"/>
          <w:b/>
          <w:sz w:val="22"/>
          <w:szCs w:val="22"/>
          <w:lang w:val="en-GB"/>
        </w:rPr>
        <w:t>Use of the resources of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77777777" w:rsidR="0057439C" w:rsidRDefault="0057439C" w:rsidP="001740D7">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78668A32" w14:textId="793A6F71" w:rsidR="00576E1D" w:rsidRPr="00576E1D" w:rsidRDefault="00576E1D" w:rsidP="001740D7">
            <w:pPr>
              <w:pStyle w:val="Sansinterligne1"/>
              <w:jc w:val="both"/>
              <w:rPr>
                <w:rFonts w:ascii="Arial" w:hAnsi="Arial" w:cs="Arial"/>
                <w:sz w:val="22"/>
                <w:szCs w:val="22"/>
                <w:lang w:val="en-GB"/>
              </w:rPr>
            </w:pPr>
            <w:r w:rsidRPr="00576E1D">
              <w:rPr>
                <w:rFonts w:ascii="Arial" w:hAnsi="Arial" w:cs="Arial"/>
                <w:sz w:val="22"/>
                <w:szCs w:val="22"/>
                <w:lang w:val="en-GB"/>
              </w:rPr>
              <w:t>Article 7(c) of the Convention provides that the Committee shall prepare and submit to the General Assembly for approval a draft plan for the use of the resources of the Fund. This document presents such a draft plan, as recommended by the Committee for the period 20</w:t>
            </w:r>
            <w:r>
              <w:rPr>
                <w:rFonts w:ascii="Arial" w:hAnsi="Arial" w:cs="Arial"/>
                <w:sz w:val="22"/>
                <w:szCs w:val="22"/>
                <w:lang w:val="en-GB"/>
              </w:rPr>
              <w:t>20</w:t>
            </w:r>
            <w:r w:rsidR="003C5991">
              <w:rPr>
                <w:rFonts w:ascii="Arial" w:hAnsi="Arial" w:cs="Arial"/>
                <w:sz w:val="22"/>
                <w:szCs w:val="22"/>
                <w:lang w:val="en-GB"/>
              </w:rPr>
              <w:t>–</w:t>
            </w:r>
            <w:r>
              <w:rPr>
                <w:rFonts w:ascii="Arial" w:hAnsi="Arial" w:cs="Arial"/>
                <w:sz w:val="22"/>
                <w:szCs w:val="22"/>
                <w:lang w:val="en-GB"/>
              </w:rPr>
              <w:t>2021</w:t>
            </w:r>
            <w:r w:rsidRPr="00576E1D">
              <w:rPr>
                <w:rFonts w:ascii="Arial" w:hAnsi="Arial" w:cs="Arial"/>
                <w:sz w:val="22"/>
                <w:szCs w:val="22"/>
                <w:lang w:val="en-GB"/>
              </w:rPr>
              <w:t xml:space="preserve"> and the first semester of 202</w:t>
            </w:r>
            <w:r>
              <w:rPr>
                <w:rFonts w:ascii="Arial" w:hAnsi="Arial" w:cs="Arial"/>
                <w:sz w:val="22"/>
                <w:szCs w:val="22"/>
                <w:lang w:val="en-GB"/>
              </w:rPr>
              <w:t>2</w:t>
            </w:r>
            <w:r w:rsidRPr="00576E1D">
              <w:rPr>
                <w:rFonts w:ascii="Arial" w:hAnsi="Arial" w:cs="Arial"/>
                <w:sz w:val="22"/>
                <w:szCs w:val="22"/>
                <w:lang w:val="en-GB"/>
              </w:rPr>
              <w:t xml:space="preserve"> (Annex</w:t>
            </w:r>
            <w:r w:rsidR="00800AC7">
              <w:rPr>
                <w:rFonts w:ascii="Arial" w:hAnsi="Arial" w:cs="Arial"/>
                <w:sz w:val="22"/>
                <w:szCs w:val="22"/>
                <w:lang w:val="en-GB"/>
              </w:rPr>
              <w:t> </w:t>
            </w:r>
            <w:r w:rsidR="007078E5">
              <w:rPr>
                <w:rFonts w:ascii="Arial" w:hAnsi="Arial" w:cs="Arial"/>
                <w:sz w:val="22"/>
                <w:szCs w:val="22"/>
                <w:lang w:val="en-GB"/>
              </w:rPr>
              <w:t>I</w:t>
            </w:r>
            <w:r w:rsidRPr="00576E1D">
              <w:rPr>
                <w:rFonts w:ascii="Arial" w:hAnsi="Arial" w:cs="Arial"/>
                <w:sz w:val="22"/>
                <w:szCs w:val="22"/>
                <w:lang w:val="en-GB"/>
              </w:rPr>
              <w:t>).</w:t>
            </w:r>
          </w:p>
          <w:p w14:paraId="12F286A2" w14:textId="7FBD5F2C" w:rsidR="00655736" w:rsidRPr="00414643" w:rsidRDefault="00FB6630" w:rsidP="001740D7">
            <w:pPr>
              <w:pStyle w:val="Sansinterligne2"/>
              <w:spacing w:before="120"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283A91" w:rsidRPr="004779E0">
              <w:rPr>
                <w:rFonts w:ascii="Arial" w:hAnsi="Arial" w:cs="Arial"/>
                <w:bCs/>
                <w:sz w:val="22"/>
                <w:szCs w:val="22"/>
                <w:lang w:val="en-GB"/>
              </w:rPr>
              <w:t>49</w:t>
            </w:r>
          </w:p>
        </w:tc>
      </w:tr>
    </w:tbl>
    <w:p w14:paraId="5DA11D4E" w14:textId="77777777" w:rsidR="00176720" w:rsidRDefault="00655736" w:rsidP="001740D7">
      <w:pPr>
        <w:pStyle w:val="GAPara"/>
        <w:numPr>
          <w:ilvl w:val="0"/>
          <w:numId w:val="0"/>
        </w:numPr>
        <w:jc w:val="both"/>
      </w:pPr>
      <w:r w:rsidRPr="00414643">
        <w:br w:type="page"/>
      </w:r>
    </w:p>
    <w:p w14:paraId="5323E653" w14:textId="77777777" w:rsidR="00AD0571" w:rsidRPr="00AD0571" w:rsidRDefault="00AD0571" w:rsidP="00C21695">
      <w:pPr>
        <w:pStyle w:val="COMPara"/>
        <w:numPr>
          <w:ilvl w:val="0"/>
          <w:numId w:val="7"/>
        </w:numPr>
        <w:spacing w:before="360"/>
        <w:ind w:left="567" w:hanging="567"/>
        <w:rPr>
          <w:b/>
          <w:bCs/>
        </w:rPr>
      </w:pPr>
      <w:r w:rsidRPr="00AD0571">
        <w:rPr>
          <w:b/>
          <w:bCs/>
        </w:rPr>
        <w:lastRenderedPageBreak/>
        <w:t>Background</w:t>
      </w:r>
    </w:p>
    <w:p w14:paraId="6550973A" w14:textId="75DD196A" w:rsidR="00800AC7" w:rsidRDefault="00576E1D" w:rsidP="00C21695">
      <w:pPr>
        <w:pStyle w:val="COMPara"/>
        <w:numPr>
          <w:ilvl w:val="0"/>
          <w:numId w:val="5"/>
        </w:numPr>
        <w:tabs>
          <w:tab w:val="left" w:pos="567"/>
        </w:tabs>
        <w:ind w:left="567" w:hanging="567"/>
        <w:jc w:val="both"/>
      </w:pPr>
      <w:r w:rsidRPr="00785AA3">
        <w:t xml:space="preserve">Article 7(c) of the Convention requests </w:t>
      </w:r>
      <w:r>
        <w:t xml:space="preserve">that </w:t>
      </w:r>
      <w:r w:rsidRPr="00785AA3">
        <w:t xml:space="preserve">the Committee ‘prepare and submit to the General Assembly for approval a draft plan for the use of the resources of the </w:t>
      </w:r>
      <w:r w:rsidR="00B3385D">
        <w:t>[</w:t>
      </w:r>
      <w:r w:rsidR="005030C8">
        <w:t>Intangible Cultural Heritage</w:t>
      </w:r>
      <w:r w:rsidR="00B3385D">
        <w:t>] Fund</w:t>
      </w:r>
      <w:r w:rsidR="005030C8">
        <w:t xml:space="preserve"> </w:t>
      </w:r>
      <w:r w:rsidR="00B3385D">
        <w:t>[</w:t>
      </w:r>
      <w:r w:rsidR="005030C8">
        <w:t xml:space="preserve">Special Account (hereafter ‘the </w:t>
      </w:r>
      <w:r w:rsidRPr="00785AA3">
        <w:t>Fund</w:t>
      </w:r>
      <w:r w:rsidR="005030C8">
        <w:t>’)</w:t>
      </w:r>
      <w:r w:rsidR="00B3385D">
        <w:t>]</w:t>
      </w:r>
      <w:r w:rsidR="00800AC7">
        <w:t>, in accordance with Article 25</w:t>
      </w:r>
      <w:r>
        <w:t>’</w:t>
      </w:r>
      <w:r w:rsidR="00800AC7">
        <w:t xml:space="preserve"> of the Convention</w:t>
      </w:r>
      <w:r>
        <w:t>.</w:t>
      </w:r>
      <w:r w:rsidRPr="00785AA3">
        <w:t xml:space="preserve"> </w:t>
      </w:r>
      <w:r w:rsidR="00800AC7" w:rsidRPr="000C3818">
        <w:t xml:space="preserve">The </w:t>
      </w:r>
      <w:r w:rsidR="00800AC7">
        <w:t>draft plan (hereafter the ‘Plan’)</w:t>
      </w:r>
      <w:r w:rsidR="00800AC7" w:rsidRPr="000C3818">
        <w:t>, submitted by the Committee in</w:t>
      </w:r>
      <w:r w:rsidR="00800AC7">
        <w:t xml:space="preserve"> accordance with</w:t>
      </w:r>
      <w:r w:rsidR="00800AC7" w:rsidRPr="000C3818">
        <w:t xml:space="preserve"> its </w:t>
      </w:r>
      <w:hyperlink r:id="rId8" w:history="1">
        <w:r w:rsidR="00800AC7">
          <w:rPr>
            <w:rStyle w:val="Lienhypertexte"/>
          </w:rPr>
          <w:t>Decision 14</w:t>
        </w:r>
        <w:r w:rsidR="00800AC7" w:rsidRPr="007F1E6C">
          <w:rPr>
            <w:rStyle w:val="Lienhypertexte"/>
          </w:rPr>
          <w:t>.COM 7</w:t>
        </w:r>
      </w:hyperlink>
      <w:r w:rsidR="00800AC7" w:rsidRPr="000C3818">
        <w:t xml:space="preserve"> </w:t>
      </w:r>
      <w:r w:rsidR="00800AC7">
        <w:t xml:space="preserve">and </w:t>
      </w:r>
      <w:r w:rsidR="00800AC7" w:rsidRPr="000C3818">
        <w:t xml:space="preserve">annexed to the present document, was prepared in conformity with </w:t>
      </w:r>
      <w:r w:rsidR="00FF2BCB">
        <w:t>the</w:t>
      </w:r>
      <w:r w:rsidR="00FF2BCB" w:rsidRPr="000C3818">
        <w:t xml:space="preserve"> </w:t>
      </w:r>
      <w:r w:rsidR="00800AC7" w:rsidRPr="000C3818">
        <w:t xml:space="preserve">guidelines </w:t>
      </w:r>
      <w:r w:rsidR="00FF2BCB">
        <w:t xml:space="preserve">found in Chapter II.1 of the Operational Directives </w:t>
      </w:r>
      <w:r w:rsidR="00800AC7" w:rsidRPr="000C3818">
        <w:t>and based on the experience of implementing the Plan</w:t>
      </w:r>
      <w:r w:rsidR="00800AC7">
        <w:t xml:space="preserve"> during previous biennia</w:t>
      </w:r>
      <w:r w:rsidR="00800AC7" w:rsidRPr="000C3818">
        <w:t>. The financial repo</w:t>
      </w:r>
      <w:r w:rsidR="00800AC7">
        <w:t>rt for the period 1 January 2018 to 31 December 2019</w:t>
      </w:r>
      <w:r w:rsidR="00800AC7" w:rsidRPr="000C3818">
        <w:t xml:space="preserve"> is available </w:t>
      </w:r>
      <w:r w:rsidR="00800AC7" w:rsidRPr="00630F0E">
        <w:t xml:space="preserve">in </w:t>
      </w:r>
      <w:hyperlink r:id="rId9" w:history="1">
        <w:r w:rsidR="00800AC7" w:rsidRPr="00630F0E">
          <w:rPr>
            <w:rStyle w:val="Lienhypertexte"/>
          </w:rPr>
          <w:t xml:space="preserve">document </w:t>
        </w:r>
        <w:r w:rsidR="00C51E4E" w:rsidRPr="00630F0E">
          <w:rPr>
            <w:rStyle w:val="Lienhypertexte"/>
          </w:rPr>
          <w:t>LHE</w:t>
        </w:r>
        <w:r w:rsidR="00800AC7" w:rsidRPr="00630F0E">
          <w:rPr>
            <w:rStyle w:val="Lienhypertexte"/>
          </w:rPr>
          <w:t>/20/8.GA/INF.7</w:t>
        </w:r>
      </w:hyperlink>
      <w:r w:rsidR="00800AC7" w:rsidRPr="00630F0E">
        <w:t>, along</w:t>
      </w:r>
      <w:r w:rsidR="00800AC7" w:rsidRPr="00377CCD">
        <w:t xml:space="preserve"> with an explanatory note.</w:t>
      </w:r>
    </w:p>
    <w:p w14:paraId="7192B118" w14:textId="110B2B72" w:rsidR="00800AC7" w:rsidRPr="004D6F7D" w:rsidRDefault="00800AC7" w:rsidP="00C21695">
      <w:pPr>
        <w:pStyle w:val="COMPara"/>
        <w:numPr>
          <w:ilvl w:val="0"/>
          <w:numId w:val="5"/>
        </w:numPr>
        <w:tabs>
          <w:tab w:val="left" w:pos="567"/>
        </w:tabs>
        <w:ind w:left="567" w:hanging="567"/>
        <w:jc w:val="both"/>
      </w:pPr>
      <w:r>
        <w:t xml:space="preserve">In accordance with </w:t>
      </w:r>
      <w:r w:rsidRPr="000C3818">
        <w:t xml:space="preserve">Article 2 of </w:t>
      </w:r>
      <w:r>
        <w:t>the</w:t>
      </w:r>
      <w:r w:rsidRPr="000C3818">
        <w:t xml:space="preserve"> Financial Regulations</w:t>
      </w:r>
      <w:r>
        <w:t xml:space="preserve"> of the Fund, ‘the financial period [of the Fund] shall correspond to that of UNESCO’.</w:t>
      </w:r>
      <w:r w:rsidRPr="000C3818" w:rsidDel="00B24221">
        <w:t xml:space="preserve"> </w:t>
      </w:r>
      <w:r>
        <w:t>However, t</w:t>
      </w:r>
      <w:r w:rsidRPr="000C3818">
        <w:t>he General Assembly of the States Parties to the Convention meets in ordinary session in even years, about six months after the start of UNESCO’s financial period</w:t>
      </w:r>
      <w:r>
        <w:t>. It</w:t>
      </w:r>
      <w:r w:rsidRPr="000C3818">
        <w:t xml:space="preserve"> is therefore requested to approve a </w:t>
      </w:r>
      <w:r>
        <w:t>Plan for the period 1 January 2020 to 31 December 2021</w:t>
      </w:r>
      <w:r w:rsidRPr="000C3818">
        <w:t xml:space="preserve"> and, on a provisional basis,</w:t>
      </w:r>
      <w:r>
        <w:t xml:space="preserve"> for</w:t>
      </w:r>
      <w:r w:rsidRPr="000C3818">
        <w:t xml:space="preserve"> the first six months of </w:t>
      </w:r>
      <w:r w:rsidRPr="004D6F7D">
        <w:t>the next financial period, i.e. from 1 January 2022 to 30 June 2022. The provisional budget for the first semester of 2020 adopted by the seventh session of the General Assembly (</w:t>
      </w:r>
      <w:hyperlink r:id="rId10" w:history="1">
        <w:r w:rsidRPr="004D6F7D">
          <w:rPr>
            <w:rStyle w:val="Lienhypertexte"/>
          </w:rPr>
          <w:t>Resolution 7.GA 8</w:t>
        </w:r>
      </w:hyperlink>
      <w:r w:rsidRPr="004D6F7D">
        <w:t>) will in turn be superseded by the present Plan once adopted by the current session of the General Assembly.</w:t>
      </w:r>
    </w:p>
    <w:p w14:paraId="512602B9" w14:textId="5EB55850" w:rsidR="00B65D85" w:rsidRPr="00825A9A" w:rsidRDefault="00550290" w:rsidP="00C21695">
      <w:pPr>
        <w:pStyle w:val="COMPara"/>
        <w:numPr>
          <w:ilvl w:val="0"/>
          <w:numId w:val="5"/>
        </w:numPr>
        <w:tabs>
          <w:tab w:val="left" w:pos="567"/>
        </w:tabs>
        <w:ind w:left="567" w:hanging="567"/>
        <w:jc w:val="both"/>
        <w:rPr>
          <w:bCs/>
        </w:rPr>
      </w:pPr>
      <w:r w:rsidRPr="00825A9A">
        <w:t xml:space="preserve">At year-end 2019, the fund balance available for programme activities was US$7,840,379, excluding the Reserve Fund. </w:t>
      </w:r>
      <w:r w:rsidR="00B65D85" w:rsidRPr="00825A9A">
        <w:t xml:space="preserve">It is proposed that </w:t>
      </w:r>
      <w:r w:rsidR="00975730" w:rsidRPr="00825A9A">
        <w:t xml:space="preserve">the General Assembly allocates </w:t>
      </w:r>
      <w:r w:rsidR="00B65D85" w:rsidRPr="00825A9A">
        <w:t xml:space="preserve">funds in each line </w:t>
      </w:r>
      <w:proofErr w:type="gramStart"/>
      <w:r w:rsidR="00E84D8C" w:rsidRPr="00825A9A">
        <w:t>on the basis of</w:t>
      </w:r>
      <w:proofErr w:type="gramEnd"/>
      <w:r w:rsidR="00B65D85" w:rsidRPr="00825A9A">
        <w:t xml:space="preserve"> percentages of the total resources available, rather than in absolute figures.</w:t>
      </w:r>
      <w:r w:rsidR="009F69C5" w:rsidRPr="00825A9A">
        <w:t xml:space="preserve"> This will allow, in case of need, for assessed contributions received during the biennium to be allocated to each budget line following the</w:t>
      </w:r>
      <w:r w:rsidR="00975730" w:rsidRPr="00825A9A">
        <w:t xml:space="preserve"> approved</w:t>
      </w:r>
      <w:r w:rsidR="009F69C5" w:rsidRPr="00825A9A">
        <w:t xml:space="preserve"> percentages.</w:t>
      </w:r>
      <w:r w:rsidR="00B65D85" w:rsidRPr="00825A9A">
        <w:t xml:space="preserve"> </w:t>
      </w:r>
      <w:r w:rsidR="009F69C5" w:rsidRPr="00825A9A">
        <w:t xml:space="preserve">In </w:t>
      </w:r>
      <w:r w:rsidR="00975730" w:rsidRPr="00825A9A">
        <w:t>this way,</w:t>
      </w:r>
      <w:r w:rsidR="00B65D85" w:rsidRPr="00825A9A">
        <w:t xml:space="preserve"> the Committee </w:t>
      </w:r>
      <w:r w:rsidR="00975730" w:rsidRPr="00825A9A">
        <w:t xml:space="preserve">will be able </w:t>
      </w:r>
      <w:r w:rsidR="00B65D85" w:rsidRPr="00825A9A">
        <w:t xml:space="preserve">to make use of any significant unrestricted voluntary supplementary contributions (as described in Article 27) that might be credited to the Fund during the biennium. </w:t>
      </w:r>
      <w:r w:rsidR="00876545" w:rsidRPr="00825A9A">
        <w:t xml:space="preserve">At the same time, </w:t>
      </w:r>
      <w:r w:rsidR="00B65D85" w:rsidRPr="00825A9A">
        <w:t>it is</w:t>
      </w:r>
      <w:r w:rsidR="00876545" w:rsidRPr="004D6F7D">
        <w:t xml:space="preserve"> also</w:t>
      </w:r>
      <w:r w:rsidR="00B65D85" w:rsidRPr="004D6F7D">
        <w:t xml:space="preserve"> </w:t>
      </w:r>
      <w:r w:rsidR="00876545" w:rsidRPr="004D6F7D">
        <w:t xml:space="preserve">suggested </w:t>
      </w:r>
      <w:r w:rsidR="00B65D85" w:rsidRPr="00825A9A">
        <w:t>that the General Assembly, as it did during its previous sessions, authorize the Committee to make immediate use of any such contributions upon receipt, in conformity with the percentages established in the Plan.</w:t>
      </w:r>
    </w:p>
    <w:p w14:paraId="7910BA60" w14:textId="73044005" w:rsidR="00B65D85" w:rsidRPr="0062665D" w:rsidRDefault="00876545" w:rsidP="00C21695">
      <w:pPr>
        <w:pStyle w:val="COMPara"/>
        <w:numPr>
          <w:ilvl w:val="0"/>
          <w:numId w:val="5"/>
        </w:numPr>
        <w:tabs>
          <w:tab w:val="left" w:pos="567"/>
        </w:tabs>
        <w:ind w:left="567" w:hanging="567"/>
        <w:jc w:val="both"/>
      </w:pPr>
      <w:r>
        <w:rPr>
          <w:bCs/>
        </w:rPr>
        <w:t xml:space="preserve">Furthermore, </w:t>
      </w:r>
      <w:r w:rsidR="00B65D85" w:rsidRPr="00B65D85">
        <w:rPr>
          <w:bCs/>
        </w:rPr>
        <w:t xml:space="preserve">the General Assembly </w:t>
      </w:r>
      <w:r>
        <w:rPr>
          <w:bCs/>
        </w:rPr>
        <w:t>is on</w:t>
      </w:r>
      <w:r w:rsidR="00EE51D0">
        <w:rPr>
          <w:bCs/>
        </w:rPr>
        <w:t>c</w:t>
      </w:r>
      <w:r>
        <w:rPr>
          <w:bCs/>
        </w:rPr>
        <w:t xml:space="preserve">e </w:t>
      </w:r>
      <w:r w:rsidR="00B65D85" w:rsidRPr="00B65D85">
        <w:rPr>
          <w:bCs/>
        </w:rPr>
        <w:t xml:space="preserve">again </w:t>
      </w:r>
      <w:r>
        <w:rPr>
          <w:bCs/>
        </w:rPr>
        <w:t xml:space="preserve">asked to </w:t>
      </w:r>
      <w:r w:rsidR="00B65D85" w:rsidRPr="00B65D85">
        <w:rPr>
          <w:bCs/>
        </w:rPr>
        <w:t>authorize the Committee to make immediate use of contributions related to specific projects</w:t>
      </w:r>
      <w:r w:rsidR="00B65D85" w:rsidRPr="009C30D7">
        <w:t>,</w:t>
      </w:r>
      <w:r w:rsidR="00B65D85" w:rsidRPr="00B65D85">
        <w:rPr>
          <w:bCs/>
        </w:rPr>
        <w:t xml:space="preserve"> provided that </w:t>
      </w:r>
      <w:r w:rsidR="007F5A6C">
        <w:rPr>
          <w:bCs/>
        </w:rPr>
        <w:t>they are within the scope of the</w:t>
      </w:r>
      <w:r w:rsidR="00B65D85">
        <w:t xml:space="preserve"> two </w:t>
      </w:r>
      <w:r w:rsidR="00B65D85" w:rsidRPr="00B65D85">
        <w:rPr>
          <w:lang w:val="en-US"/>
        </w:rPr>
        <w:t>funding priorities</w:t>
      </w:r>
      <w:r w:rsidR="007F5A6C">
        <w:rPr>
          <w:lang w:val="en-US"/>
        </w:rPr>
        <w:t xml:space="preserve"> approved by the Committee</w:t>
      </w:r>
      <w:r w:rsidR="000C7242">
        <w:rPr>
          <w:lang w:val="en-US"/>
        </w:rPr>
        <w:t xml:space="preserve"> for</w:t>
      </w:r>
      <w:r w:rsidR="00B65D85" w:rsidRPr="00DE1B10">
        <w:t xml:space="preserve"> the period 2018</w:t>
      </w:r>
      <w:r w:rsidR="000C7242">
        <w:t>–</w:t>
      </w:r>
      <w:r w:rsidR="00B65D85" w:rsidRPr="00DE1B10">
        <w:t>2021</w:t>
      </w:r>
      <w:r w:rsidR="00B65D85">
        <w:t xml:space="preserve"> (</w:t>
      </w:r>
      <w:hyperlink r:id="rId11" w:history="1">
        <w:r w:rsidR="00B65D85" w:rsidRPr="004320C1">
          <w:rPr>
            <w:rStyle w:val="Lienhypertexte"/>
          </w:rPr>
          <w:t>Decision</w:t>
        </w:r>
        <w:r w:rsidR="00B65D85">
          <w:rPr>
            <w:rStyle w:val="Lienhypertexte"/>
          </w:rPr>
          <w:t> </w:t>
        </w:r>
        <w:r w:rsidR="00B65D85" w:rsidRPr="004320C1">
          <w:rPr>
            <w:rStyle w:val="Lienhypertexte"/>
          </w:rPr>
          <w:t>12.COM 6</w:t>
        </w:r>
      </w:hyperlink>
      <w:r w:rsidR="00B65D85">
        <w:t xml:space="preserve">): </w:t>
      </w:r>
      <w:r w:rsidR="00B65D85" w:rsidRPr="00DE1B10">
        <w:t>‘Strengthening</w:t>
      </w:r>
      <w:r w:rsidR="00B65D85" w:rsidRPr="005E220A">
        <w:t xml:space="preserve"> capacities to safeguard intangible cultural heritage and contribute to sustainable development’ and ‘Safeguarding intangible cultural heritage in formal and non-formal education’</w:t>
      </w:r>
      <w:r w:rsidR="00B65D85">
        <w:t>.</w:t>
      </w:r>
      <w:r w:rsidR="00EC6060" w:rsidRPr="00EC6060">
        <w:t xml:space="preserve"> The list of </w:t>
      </w:r>
      <w:r w:rsidR="00617C63">
        <w:t xml:space="preserve">such </w:t>
      </w:r>
      <w:r w:rsidR="00EC6060">
        <w:t xml:space="preserve">contributions, </w:t>
      </w:r>
      <w:r w:rsidR="00425427">
        <w:t xml:space="preserve">as well as </w:t>
      </w:r>
      <w:r w:rsidR="00EC6060">
        <w:t>other voluntary supplementary contributions an</w:t>
      </w:r>
      <w:r w:rsidR="00EC6060" w:rsidRPr="00630F0E">
        <w:t>d donors</w:t>
      </w:r>
      <w:r w:rsidR="00425427" w:rsidRPr="00630F0E">
        <w:t>,</w:t>
      </w:r>
      <w:r w:rsidR="00EC6060" w:rsidRPr="00630F0E">
        <w:t xml:space="preserve"> can be found in the information </w:t>
      </w:r>
      <w:r w:rsidR="00EC6060" w:rsidRPr="00F642A6">
        <w:rPr>
          <w:rStyle w:val="Lienhypertexte"/>
        </w:rPr>
        <w:t xml:space="preserve">document </w:t>
      </w:r>
      <w:r w:rsidR="00F642A6">
        <w:rPr>
          <w:rStyle w:val="Lienhypertexte"/>
        </w:rPr>
        <w:t> </w:t>
      </w:r>
      <w:hyperlink r:id="rId12" w:history="1">
        <w:r w:rsidR="00EC6060" w:rsidRPr="00630F0E">
          <w:rPr>
            <w:rStyle w:val="Lienhypertexte"/>
          </w:rPr>
          <w:t>LHE/20/8.GA/INF.7</w:t>
        </w:r>
      </w:hyperlink>
      <w:r w:rsidR="00EC6060" w:rsidRPr="00630F0E">
        <w:t>.</w:t>
      </w:r>
    </w:p>
    <w:p w14:paraId="2926C305" w14:textId="1217265A" w:rsidR="00576E1D" w:rsidRPr="00DC490B" w:rsidRDefault="00576E1D" w:rsidP="000278F0">
      <w:pPr>
        <w:pStyle w:val="COMPara"/>
        <w:numPr>
          <w:ilvl w:val="0"/>
          <w:numId w:val="5"/>
        </w:numPr>
        <w:tabs>
          <w:tab w:val="left" w:pos="567"/>
        </w:tabs>
        <w:ind w:left="567" w:hanging="567"/>
        <w:jc w:val="both"/>
      </w:pPr>
      <w:r w:rsidRPr="00AC2733">
        <w:t>In order to better understand the context of the proposed plan for the use of the resources of the Intangible Cultural Heritage Fund for the period 2020–2021 (</w:t>
      </w:r>
      <w:hyperlink w:anchor="III_Plan" w:history="1">
        <w:r w:rsidRPr="00605C62">
          <w:rPr>
            <w:rStyle w:val="Lienhypertexte"/>
          </w:rPr>
          <w:t>Part II</w:t>
        </w:r>
        <w:r w:rsidR="007F3B92" w:rsidRPr="00605C62">
          <w:rPr>
            <w:rStyle w:val="Lienhypertexte"/>
          </w:rPr>
          <w:t>I</w:t>
        </w:r>
      </w:hyperlink>
      <w:r w:rsidRPr="00AC2733">
        <w:t>), the present document first provides an overview of the present status of the Fund and of current trends (</w:t>
      </w:r>
      <w:hyperlink w:anchor="II_Status" w:history="1">
        <w:r w:rsidRPr="00605C62">
          <w:rPr>
            <w:rStyle w:val="Lienhypertexte"/>
          </w:rPr>
          <w:t>Part </w:t>
        </w:r>
        <w:r w:rsidR="007F3B92" w:rsidRPr="00605C62">
          <w:rPr>
            <w:rStyle w:val="Lienhypertexte"/>
          </w:rPr>
          <w:t>I</w:t>
        </w:r>
        <w:r w:rsidRPr="00605C62">
          <w:rPr>
            <w:rStyle w:val="Lienhypertexte"/>
          </w:rPr>
          <w:t>I</w:t>
        </w:r>
      </w:hyperlink>
      <w:r w:rsidRPr="00AC2733">
        <w:t xml:space="preserve">). </w:t>
      </w:r>
      <w:r w:rsidR="000278F0">
        <w:t xml:space="preserve">It </w:t>
      </w:r>
      <w:r w:rsidR="004B6BBB">
        <w:t xml:space="preserve">also </w:t>
      </w:r>
      <w:r w:rsidR="000278F0">
        <w:t>describes</w:t>
      </w:r>
      <w:r w:rsidRPr="0032141F">
        <w:t xml:space="preserve"> the</w:t>
      </w:r>
      <w:r w:rsidR="00605C62">
        <w:t xml:space="preserve"> measure</w:t>
      </w:r>
      <w:r w:rsidR="00425427">
        <w:t>s</w:t>
      </w:r>
      <w:r w:rsidR="00605C62">
        <w:t xml:space="preserve"> taken to preserve the continuity of the work of the Secretariat </w:t>
      </w:r>
      <w:r w:rsidR="00605C62" w:rsidRPr="002E26EC">
        <w:t xml:space="preserve">following the postponement of the eighth session of the General Assembly from June to September 2020 </w:t>
      </w:r>
      <w:r w:rsidRPr="002E26EC">
        <w:t>(</w:t>
      </w:r>
      <w:hyperlink w:anchor="IV_Continuity_Measures" w:history="1">
        <w:r w:rsidRPr="002E26EC">
          <w:rPr>
            <w:rStyle w:val="Lienhypertexte"/>
          </w:rPr>
          <w:t>Part I</w:t>
        </w:r>
        <w:r w:rsidR="007F3B92" w:rsidRPr="002E26EC">
          <w:rPr>
            <w:rStyle w:val="Lienhypertexte"/>
          </w:rPr>
          <w:t>V</w:t>
        </w:r>
      </w:hyperlink>
      <w:r w:rsidRPr="002E26EC">
        <w:t>)</w:t>
      </w:r>
      <w:r w:rsidR="009533DB" w:rsidRPr="002E26EC">
        <w:t xml:space="preserve">, while </w:t>
      </w:r>
      <w:r w:rsidR="000456A8" w:rsidRPr="002E26EC">
        <w:t xml:space="preserve">its </w:t>
      </w:r>
      <w:r w:rsidR="009533DB" w:rsidRPr="002E26EC">
        <w:t>f</w:t>
      </w:r>
      <w:r w:rsidR="007F3B92" w:rsidRPr="002E26EC">
        <w:t>ifth</w:t>
      </w:r>
      <w:r w:rsidR="009533DB" w:rsidRPr="002E26EC">
        <w:t xml:space="preserve"> section </w:t>
      </w:r>
      <w:r w:rsidR="00605C62" w:rsidRPr="002E26EC">
        <w:t>proposes a new annual target for the sub-fund</w:t>
      </w:r>
      <w:r w:rsidR="009533DB" w:rsidRPr="002E26EC">
        <w:t xml:space="preserve"> </w:t>
      </w:r>
      <w:r w:rsidR="00393406" w:rsidRPr="002E26EC">
        <w:t>(</w:t>
      </w:r>
      <w:hyperlink w:anchor="V_Subfund" w:history="1">
        <w:r w:rsidR="00393406" w:rsidRPr="002E26EC">
          <w:rPr>
            <w:rStyle w:val="Lienhypertexte"/>
          </w:rPr>
          <w:t>Part V</w:t>
        </w:r>
      </w:hyperlink>
      <w:r w:rsidR="00393406" w:rsidRPr="002E26EC">
        <w:t>)</w:t>
      </w:r>
      <w:r w:rsidRPr="002E26EC">
        <w:t xml:space="preserve">. </w:t>
      </w:r>
      <w:r w:rsidR="00605C62" w:rsidRPr="002E26EC">
        <w:t>The sixth section addresses the continued application of a Management Cost rate of 0 per cent for all assessed</w:t>
      </w:r>
      <w:r w:rsidR="00605C62" w:rsidRPr="00605C62">
        <w:t xml:space="preserve"> contributions</w:t>
      </w:r>
      <w:r w:rsidR="00605C62">
        <w:t xml:space="preserve"> (</w:t>
      </w:r>
      <w:hyperlink w:anchor="VI_Management_Cost" w:history="1">
        <w:r w:rsidR="00605C62" w:rsidRPr="00605C62">
          <w:rPr>
            <w:rStyle w:val="Lienhypertexte"/>
          </w:rPr>
          <w:t>Part VI</w:t>
        </w:r>
      </w:hyperlink>
      <w:r w:rsidR="00605C62">
        <w:t xml:space="preserve">). </w:t>
      </w:r>
      <w:r w:rsidRPr="0032141F">
        <w:t>Finally, the document</w:t>
      </w:r>
      <w:r w:rsidR="00393406">
        <w:t xml:space="preserve"> proposes revisions to the</w:t>
      </w:r>
      <w:r w:rsidR="00393406" w:rsidRPr="0032141F">
        <w:t xml:space="preserve"> Financial Regulations of the Fund</w:t>
      </w:r>
      <w:r w:rsidR="00393406">
        <w:t xml:space="preserve"> in conformity with decisions from </w:t>
      </w:r>
      <w:r w:rsidRPr="0032141F">
        <w:t>UNESCO’s Executive Board concerning the Financial Regulations of Special Accounts (</w:t>
      </w:r>
      <w:hyperlink w:anchor="VII_Financial_Regulations" w:history="1">
        <w:r w:rsidRPr="00605C62">
          <w:rPr>
            <w:rStyle w:val="Lienhypertexte"/>
          </w:rPr>
          <w:t>Part V</w:t>
        </w:r>
        <w:r w:rsidR="00605C62">
          <w:rPr>
            <w:rStyle w:val="Lienhypertexte"/>
          </w:rPr>
          <w:t>I</w:t>
        </w:r>
        <w:r w:rsidR="00605C62" w:rsidRPr="00605C62">
          <w:rPr>
            <w:rStyle w:val="Lienhypertexte"/>
          </w:rPr>
          <w:t>I</w:t>
        </w:r>
      </w:hyperlink>
      <w:r w:rsidRPr="0032141F">
        <w:t>).</w:t>
      </w:r>
    </w:p>
    <w:p w14:paraId="4F146C62" w14:textId="77777777" w:rsidR="00576E1D" w:rsidRPr="00E73F49" w:rsidRDefault="00576E1D" w:rsidP="00B702ED">
      <w:pPr>
        <w:pStyle w:val="COMPara"/>
        <w:keepNext/>
        <w:numPr>
          <w:ilvl w:val="0"/>
          <w:numId w:val="7"/>
        </w:numPr>
        <w:spacing w:before="360"/>
        <w:ind w:left="567" w:hanging="567"/>
      </w:pPr>
      <w:bookmarkStart w:id="1" w:name="II_Status"/>
      <w:bookmarkEnd w:id="1"/>
      <w:r w:rsidRPr="0022736C">
        <w:rPr>
          <w:rFonts w:cs="Times New Roman"/>
          <w:b/>
          <w:bCs/>
          <w:szCs w:val="24"/>
        </w:rPr>
        <w:t>STATUS AND TRENDS</w:t>
      </w:r>
    </w:p>
    <w:p w14:paraId="5D8ED613" w14:textId="78A0105D" w:rsidR="00576E1D" w:rsidRPr="00DB375D" w:rsidRDefault="00576E1D" w:rsidP="00C21695">
      <w:pPr>
        <w:pStyle w:val="COMPara"/>
        <w:numPr>
          <w:ilvl w:val="0"/>
          <w:numId w:val="5"/>
        </w:numPr>
        <w:tabs>
          <w:tab w:val="left" w:pos="567"/>
        </w:tabs>
        <w:ind w:left="567" w:hanging="567"/>
        <w:jc w:val="both"/>
      </w:pPr>
      <w:r>
        <w:t>Based on the financial repo</w:t>
      </w:r>
      <w:r w:rsidRPr="00630F0E">
        <w:t xml:space="preserve">rt for the period 1 January 2018 to </w:t>
      </w:r>
      <w:r w:rsidR="00E05364" w:rsidRPr="00630F0E">
        <w:t>31 December</w:t>
      </w:r>
      <w:r w:rsidRPr="00630F0E">
        <w:t xml:space="preserve"> 2019</w:t>
      </w:r>
      <w:r w:rsidR="005A7D5F" w:rsidRPr="00630F0E">
        <w:t xml:space="preserve"> (</w:t>
      </w:r>
      <w:hyperlink r:id="rId13" w:history="1">
        <w:r w:rsidR="005A7D5F" w:rsidRPr="00630F0E">
          <w:rPr>
            <w:rStyle w:val="Lienhypertexte"/>
          </w:rPr>
          <w:t>document</w:t>
        </w:r>
        <w:r w:rsidR="0071232D">
          <w:rPr>
            <w:rStyle w:val="Lienhypertexte"/>
          </w:rPr>
          <w:t> </w:t>
        </w:r>
        <w:r w:rsidR="005A7D5F" w:rsidRPr="00630F0E">
          <w:rPr>
            <w:rStyle w:val="Lienhypertexte"/>
          </w:rPr>
          <w:t>LHE/20/8.GA/INF.7</w:t>
        </w:r>
      </w:hyperlink>
      <w:r w:rsidR="005A7D5F" w:rsidRPr="00630F0E">
        <w:t>)</w:t>
      </w:r>
      <w:r w:rsidRPr="00630F0E">
        <w:t xml:space="preserve"> and following</w:t>
      </w:r>
      <w:r>
        <w:t xml:space="preserve"> the analysis of trends outlined in </w:t>
      </w:r>
      <w:r w:rsidRPr="00E05364">
        <w:t>document </w:t>
      </w:r>
      <w:hyperlink r:id="rId14" w:history="1">
        <w:r w:rsidRPr="00E05364">
          <w:rPr>
            <w:rStyle w:val="Lienhypertexte"/>
          </w:rPr>
          <w:t>ITH/1</w:t>
        </w:r>
        <w:r w:rsidR="00E05364" w:rsidRPr="00E05364">
          <w:rPr>
            <w:rStyle w:val="Lienhypertexte"/>
          </w:rPr>
          <w:t>8</w:t>
        </w:r>
        <w:r w:rsidRPr="00E05364">
          <w:rPr>
            <w:rStyle w:val="Lienhypertexte"/>
          </w:rPr>
          <w:t>/</w:t>
        </w:r>
        <w:r w:rsidR="00E05364" w:rsidRPr="00E05364">
          <w:rPr>
            <w:rStyle w:val="Lienhypertexte"/>
          </w:rPr>
          <w:t>7</w:t>
        </w:r>
        <w:r w:rsidRPr="00E05364">
          <w:rPr>
            <w:rStyle w:val="Lienhypertexte"/>
          </w:rPr>
          <w:t>.</w:t>
        </w:r>
        <w:r w:rsidR="00E05364" w:rsidRPr="00E05364">
          <w:rPr>
            <w:rStyle w:val="Lienhypertexte"/>
          </w:rPr>
          <w:t>GA</w:t>
        </w:r>
        <w:r w:rsidRPr="00E05364">
          <w:rPr>
            <w:rStyle w:val="Lienhypertexte"/>
          </w:rPr>
          <w:t>/</w:t>
        </w:r>
        <w:r w:rsidR="00E05364" w:rsidRPr="00E05364">
          <w:rPr>
            <w:rStyle w:val="Lienhypertexte"/>
          </w:rPr>
          <w:t>8</w:t>
        </w:r>
      </w:hyperlink>
      <w:r>
        <w:t>, this section describes the evolution of the income and expenditures of the</w:t>
      </w:r>
      <w:r w:rsidRPr="00BE68D8">
        <w:t xml:space="preserve"> </w:t>
      </w:r>
      <w:r w:rsidR="00393406">
        <w:t>Fund</w:t>
      </w:r>
      <w:r>
        <w:t xml:space="preserve"> until </w:t>
      </w:r>
      <w:r w:rsidR="00CE1E82">
        <w:t>31</w:t>
      </w:r>
      <w:r w:rsidR="00617C63">
        <w:t> </w:t>
      </w:r>
      <w:r w:rsidR="00CE1E82">
        <w:t>December</w:t>
      </w:r>
      <w:r>
        <w:t xml:space="preserve"> 2019</w:t>
      </w:r>
      <w:r w:rsidRPr="009942D6">
        <w:t>.</w:t>
      </w:r>
    </w:p>
    <w:p w14:paraId="12A4AFBE" w14:textId="117F7E0A" w:rsidR="00092FA8" w:rsidRDefault="00E05364" w:rsidP="0028775E">
      <w:pPr>
        <w:pStyle w:val="COMPara"/>
        <w:numPr>
          <w:ilvl w:val="0"/>
          <w:numId w:val="5"/>
        </w:numPr>
        <w:tabs>
          <w:tab w:val="left" w:pos="567"/>
        </w:tabs>
        <w:ind w:left="567" w:hanging="567"/>
        <w:jc w:val="both"/>
      </w:pPr>
      <w:r>
        <w:rPr>
          <w:bCs/>
        </w:rPr>
        <w:t>D</w:t>
      </w:r>
      <w:r w:rsidR="00576E1D" w:rsidRPr="00D91A09">
        <w:rPr>
          <w:bCs/>
        </w:rPr>
        <w:t xml:space="preserve">uring the </w:t>
      </w:r>
      <w:r>
        <w:rPr>
          <w:bCs/>
        </w:rPr>
        <w:t>2018</w:t>
      </w:r>
      <w:bookmarkStart w:id="2" w:name="_Hlk47628512"/>
      <w:r w:rsidR="00AF436C">
        <w:rPr>
          <w:bCs/>
        </w:rPr>
        <w:t>–</w:t>
      </w:r>
      <w:bookmarkEnd w:id="2"/>
      <w:r>
        <w:rPr>
          <w:bCs/>
        </w:rPr>
        <w:t xml:space="preserve">2019 </w:t>
      </w:r>
      <w:r w:rsidR="00576E1D" w:rsidRPr="00D91A09">
        <w:rPr>
          <w:bCs/>
        </w:rPr>
        <w:t>biennium, the expenditures</w:t>
      </w:r>
      <w:r w:rsidR="000738AC">
        <w:rPr>
          <w:bCs/>
        </w:rPr>
        <w:t xml:space="preserve"> for programme activities</w:t>
      </w:r>
      <w:r w:rsidR="00576E1D" w:rsidRPr="00D91A09">
        <w:rPr>
          <w:bCs/>
        </w:rPr>
        <w:t xml:space="preserve"> have, for the first time, surpassed US$</w:t>
      </w:r>
      <w:r w:rsidR="00D20E68">
        <w:rPr>
          <w:bCs/>
        </w:rPr>
        <w:t>5</w:t>
      </w:r>
      <w:r w:rsidR="00576E1D" w:rsidRPr="00D91A09">
        <w:rPr>
          <w:bCs/>
        </w:rPr>
        <w:t> million and represent 1</w:t>
      </w:r>
      <w:r w:rsidR="00D20E68">
        <w:rPr>
          <w:bCs/>
        </w:rPr>
        <w:t>49</w:t>
      </w:r>
      <w:r w:rsidR="00576E1D" w:rsidRPr="00D91A09">
        <w:rPr>
          <w:bCs/>
        </w:rPr>
        <w:t>%</w:t>
      </w:r>
      <w:r w:rsidR="00576E1D" w:rsidRPr="00DD1E1F">
        <w:rPr>
          <w:bCs/>
        </w:rPr>
        <w:t xml:space="preserve"> of the compulsory </w:t>
      </w:r>
      <w:r w:rsidR="00576E1D" w:rsidRPr="00D91A09">
        <w:rPr>
          <w:bCs/>
        </w:rPr>
        <w:t>assessed contributions due for 2018</w:t>
      </w:r>
      <w:r w:rsidR="0040477D">
        <w:rPr>
          <w:bCs/>
        </w:rPr>
        <w:t>–</w:t>
      </w:r>
      <w:r w:rsidR="00576E1D" w:rsidRPr="00D91A09">
        <w:rPr>
          <w:bCs/>
        </w:rPr>
        <w:t>2019</w:t>
      </w:r>
      <w:r>
        <w:rPr>
          <w:bCs/>
        </w:rPr>
        <w:t xml:space="preserve"> (see Figure 1 below)</w:t>
      </w:r>
      <w:r w:rsidR="00576E1D" w:rsidRPr="00DD1E1F">
        <w:rPr>
          <w:bCs/>
        </w:rPr>
        <w:t>.</w:t>
      </w:r>
      <w:r w:rsidR="00576E1D">
        <w:rPr>
          <w:bCs/>
        </w:rPr>
        <w:t xml:space="preserve"> The increase in expenditure is linked to the improvement in the capacity to deliver. I</w:t>
      </w:r>
      <w:r w:rsidR="00576E1D" w:rsidRPr="00D91A09">
        <w:rPr>
          <w:bCs/>
        </w:rPr>
        <w:t>t is worth noting that this</w:t>
      </w:r>
      <w:r w:rsidR="00576E1D">
        <w:rPr>
          <w:bCs/>
        </w:rPr>
        <w:t xml:space="preserve"> </w:t>
      </w:r>
      <w:r w:rsidR="00092FA8">
        <w:rPr>
          <w:bCs/>
        </w:rPr>
        <w:t>has led</w:t>
      </w:r>
      <w:r w:rsidR="00576E1D">
        <w:rPr>
          <w:bCs/>
        </w:rPr>
        <w:t xml:space="preserve"> to a decrease of </w:t>
      </w:r>
      <w:bookmarkStart w:id="3" w:name="_Hlk47429882"/>
      <w:r w:rsidR="00576E1D">
        <w:rPr>
          <w:bCs/>
        </w:rPr>
        <w:t xml:space="preserve">the </w:t>
      </w:r>
      <w:r w:rsidR="008C7D30">
        <w:rPr>
          <w:bCs/>
        </w:rPr>
        <w:t>fund balance</w:t>
      </w:r>
      <w:r w:rsidR="00B0790E">
        <w:rPr>
          <w:bCs/>
        </w:rPr>
        <w:t xml:space="preserve"> at year</w:t>
      </w:r>
      <w:r w:rsidR="00745E31">
        <w:rPr>
          <w:bCs/>
        </w:rPr>
        <w:t>-</w:t>
      </w:r>
      <w:r w:rsidR="00B0790E">
        <w:rPr>
          <w:bCs/>
        </w:rPr>
        <w:t>end</w:t>
      </w:r>
      <w:r w:rsidR="00745E31">
        <w:rPr>
          <w:bCs/>
        </w:rPr>
        <w:t xml:space="preserve"> 2019 </w:t>
      </w:r>
      <w:bookmarkEnd w:id="3"/>
      <w:r w:rsidR="00745E31">
        <w:rPr>
          <w:bCs/>
        </w:rPr>
        <w:t>compared to the previous period.</w:t>
      </w:r>
    </w:p>
    <w:p w14:paraId="316EBADF" w14:textId="04503C9A" w:rsidR="00576E1D" w:rsidRPr="000407D0" w:rsidRDefault="004779E0" w:rsidP="001740D7">
      <w:pPr>
        <w:pStyle w:val="COMPara"/>
        <w:tabs>
          <w:tab w:val="left" w:pos="567"/>
        </w:tabs>
        <w:ind w:left="567" w:firstLine="0"/>
        <w:jc w:val="both"/>
      </w:pPr>
      <w:r>
        <w:rPr>
          <w:noProof/>
          <w:lang w:val="fr-FR" w:eastAsia="fr-FR"/>
        </w:rPr>
        <w:drawing>
          <wp:inline distT="0" distB="0" distL="0" distR="0" wp14:anchorId="2539D891" wp14:editId="765A6314">
            <wp:extent cx="5752859" cy="3329995"/>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4617" cy="3348378"/>
                    </a:xfrm>
                    <a:prstGeom prst="rect">
                      <a:avLst/>
                    </a:prstGeom>
                    <a:noFill/>
                  </pic:spPr>
                </pic:pic>
              </a:graphicData>
            </a:graphic>
          </wp:inline>
        </w:drawing>
      </w:r>
    </w:p>
    <w:p w14:paraId="0003BFDA" w14:textId="77777777" w:rsidR="00576E1D" w:rsidRPr="0004143A" w:rsidRDefault="00576E1D" w:rsidP="001740D7">
      <w:pPr>
        <w:pStyle w:val="COMPara"/>
        <w:tabs>
          <w:tab w:val="left" w:pos="567"/>
        </w:tabs>
        <w:spacing w:after="0"/>
        <w:ind w:left="567" w:firstLine="0"/>
        <w:jc w:val="both"/>
        <w:rPr>
          <w:noProof/>
          <w:lang w:eastAsia="fr-FR"/>
        </w:rPr>
      </w:pPr>
      <w:r w:rsidRPr="0004143A">
        <w:rPr>
          <w:noProof/>
          <w:lang w:val="fr-FR" w:eastAsia="fr-FR"/>
        </w:rPr>
        <mc:AlternateContent>
          <mc:Choice Requires="wps">
            <w:drawing>
              <wp:inline distT="0" distB="0" distL="0" distR="0" wp14:anchorId="0E8473BB" wp14:editId="25DB4F50">
                <wp:extent cx="5708508" cy="300251"/>
                <wp:effectExtent l="0" t="0" r="6985" b="508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08" cy="300251"/>
                        </a:xfrm>
                        <a:prstGeom prst="rect">
                          <a:avLst/>
                        </a:prstGeom>
                        <a:solidFill>
                          <a:srgbClr val="FFFFFF"/>
                        </a:solidFill>
                        <a:ln w="9525">
                          <a:noFill/>
                          <a:miter lim="800000"/>
                          <a:headEnd/>
                          <a:tailEnd/>
                        </a:ln>
                      </wps:spPr>
                      <wps:txbx>
                        <w:txbxContent>
                          <w:p w14:paraId="5BCB6CA4" w14:textId="1C957AB1" w:rsidR="00A10416" w:rsidRPr="000B21E2" w:rsidRDefault="00A10416" w:rsidP="00AF436C">
                            <w:pPr>
                              <w:tabs>
                                <w:tab w:val="left" w:pos="0"/>
                              </w:tabs>
                              <w:spacing w:after="120"/>
                              <w:ind w:right="201"/>
                              <w:rPr>
                                <w:rFonts w:ascii="Arial" w:hAnsi="Arial" w:cs="Arial"/>
                                <w:sz w:val="16"/>
                                <w:szCs w:val="16"/>
                                <w:lang w:val="en-US"/>
                              </w:rPr>
                            </w:pPr>
                            <w:r w:rsidRPr="000B21E2">
                              <w:rPr>
                                <w:rFonts w:ascii="Arial" w:hAnsi="Arial" w:cs="Arial"/>
                                <w:b/>
                                <w:sz w:val="16"/>
                                <w:szCs w:val="16"/>
                                <w:lang w:val="en-US"/>
                              </w:rPr>
                              <w:t xml:space="preserve">Figure </w:t>
                            </w:r>
                            <w:r>
                              <w:rPr>
                                <w:rFonts w:ascii="Arial" w:hAnsi="Arial" w:cs="Arial"/>
                                <w:b/>
                                <w:sz w:val="16"/>
                                <w:szCs w:val="16"/>
                                <w:lang w:val="en-US"/>
                              </w:rPr>
                              <w:t>1</w:t>
                            </w:r>
                            <w:r w:rsidRPr="000B21E2">
                              <w:rPr>
                                <w:rFonts w:ascii="Arial" w:hAnsi="Arial" w:cs="Arial"/>
                                <w:b/>
                                <w:sz w:val="16"/>
                                <w:szCs w:val="16"/>
                                <w:lang w:val="en-US"/>
                              </w:rPr>
                              <w:t xml:space="preserve">: </w:t>
                            </w:r>
                            <w:r w:rsidRPr="00D91A09">
                              <w:rPr>
                                <w:rFonts w:ascii="Arial" w:hAnsi="Arial" w:cs="Arial"/>
                                <w:sz w:val="16"/>
                                <w:szCs w:val="16"/>
                                <w:lang w:val="en-US"/>
                              </w:rPr>
                              <w:t>Evolution of</w:t>
                            </w:r>
                            <w:r>
                              <w:rPr>
                                <w:rFonts w:ascii="Arial" w:hAnsi="Arial" w:cs="Arial"/>
                                <w:b/>
                                <w:sz w:val="16"/>
                                <w:szCs w:val="16"/>
                                <w:lang w:val="en-US"/>
                              </w:rPr>
                              <w:t xml:space="preserve"> </w:t>
                            </w:r>
                            <w:r>
                              <w:rPr>
                                <w:rFonts w:ascii="Arial" w:hAnsi="Arial" w:cs="Arial"/>
                                <w:sz w:val="16"/>
                                <w:szCs w:val="16"/>
                                <w:lang w:val="en-US"/>
                              </w:rPr>
                              <w:t>expenditures of the Fund (2010–2019)</w:t>
                            </w:r>
                          </w:p>
                        </w:txbxContent>
                      </wps:txbx>
                      <wps:bodyPr rot="0" vert="horz" wrap="square" lIns="91440" tIns="45720" rIns="91440" bIns="45720" anchor="t" anchorCtr="0">
                        <a:noAutofit/>
                      </wps:bodyPr>
                    </wps:wsp>
                  </a:graphicData>
                </a:graphic>
              </wp:inline>
            </w:drawing>
          </mc:Choice>
          <mc:Fallback>
            <w:pict>
              <v:shapetype w14:anchorId="0E8473BB" id="_x0000_t202" coordsize="21600,21600" o:spt="202" path="m,l,21600r21600,l21600,xe">
                <v:stroke joinstyle="miter"/>
                <v:path gradientshapeok="t" o:connecttype="rect"/>
              </v:shapetype>
              <v:shape id="Zone de texte 2" o:spid="_x0000_s1026" type="#_x0000_t202" style="width:44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" stroked="f">
                <v:textbox>
                  <w:txbxContent>
                    <w:p w14:paraId="5BCB6CA4" w14:textId="1C957AB1" w:rsidR="00A10416" w:rsidRPr="000B21E2" w:rsidRDefault="00A10416" w:rsidP="00AF436C">
                      <w:pPr>
                        <w:tabs>
                          <w:tab w:val="left" w:pos="0"/>
                        </w:tabs>
                        <w:spacing w:after="120"/>
                        <w:ind w:right="201"/>
                        <w:rPr>
                          <w:rFonts w:ascii="Arial" w:hAnsi="Arial" w:cs="Arial"/>
                          <w:sz w:val="16"/>
                          <w:szCs w:val="16"/>
                          <w:lang w:val="en-US"/>
                        </w:rPr>
                      </w:pPr>
                      <w:r w:rsidRPr="000B21E2">
                        <w:rPr>
                          <w:rFonts w:ascii="Arial" w:hAnsi="Arial" w:cs="Arial"/>
                          <w:b/>
                          <w:sz w:val="16"/>
                          <w:szCs w:val="16"/>
                          <w:lang w:val="en-US"/>
                        </w:rPr>
                        <w:t xml:space="preserve">Figure </w:t>
                      </w:r>
                      <w:r>
                        <w:rPr>
                          <w:rFonts w:ascii="Arial" w:hAnsi="Arial" w:cs="Arial"/>
                          <w:b/>
                          <w:sz w:val="16"/>
                          <w:szCs w:val="16"/>
                          <w:lang w:val="en-US"/>
                        </w:rPr>
                        <w:t>1</w:t>
                      </w:r>
                      <w:r w:rsidRPr="000B21E2">
                        <w:rPr>
                          <w:rFonts w:ascii="Arial" w:hAnsi="Arial" w:cs="Arial"/>
                          <w:b/>
                          <w:sz w:val="16"/>
                          <w:szCs w:val="16"/>
                          <w:lang w:val="en-US"/>
                        </w:rPr>
                        <w:t xml:space="preserve">: </w:t>
                      </w:r>
                      <w:r w:rsidRPr="00D91A09">
                        <w:rPr>
                          <w:rFonts w:ascii="Arial" w:hAnsi="Arial" w:cs="Arial"/>
                          <w:sz w:val="16"/>
                          <w:szCs w:val="16"/>
                          <w:lang w:val="en-US"/>
                        </w:rPr>
                        <w:t>Evolution of</w:t>
                      </w:r>
                      <w:r>
                        <w:rPr>
                          <w:rFonts w:ascii="Arial" w:hAnsi="Arial" w:cs="Arial"/>
                          <w:b/>
                          <w:sz w:val="16"/>
                          <w:szCs w:val="16"/>
                          <w:lang w:val="en-US"/>
                        </w:rPr>
                        <w:t xml:space="preserve"> </w:t>
                      </w:r>
                      <w:r>
                        <w:rPr>
                          <w:rFonts w:ascii="Arial" w:hAnsi="Arial" w:cs="Arial"/>
                          <w:sz w:val="16"/>
                          <w:szCs w:val="16"/>
                          <w:lang w:val="en-US"/>
                        </w:rPr>
                        <w:t>expenditures of the Fund (2010–2019)</w:t>
                      </w:r>
                    </w:p>
                  </w:txbxContent>
                </v:textbox>
                <w10:anchorlock/>
              </v:shape>
            </w:pict>
          </mc:Fallback>
        </mc:AlternateContent>
      </w:r>
    </w:p>
    <w:p w14:paraId="345D8266" w14:textId="6EBDBC32" w:rsidR="00CE1E82" w:rsidRPr="0004143A" w:rsidRDefault="005F0F59" w:rsidP="00C21695">
      <w:pPr>
        <w:pStyle w:val="COMPara"/>
        <w:numPr>
          <w:ilvl w:val="0"/>
          <w:numId w:val="5"/>
        </w:numPr>
        <w:tabs>
          <w:tab w:val="left" w:pos="567"/>
        </w:tabs>
        <w:ind w:left="567" w:hanging="567"/>
        <w:jc w:val="both"/>
      </w:pPr>
      <w:r w:rsidRPr="0004143A">
        <w:t>A clear feature in the use of the Fund during the 2018</w:t>
      </w:r>
      <w:r w:rsidR="00AF436C">
        <w:t>–</w:t>
      </w:r>
      <w:r w:rsidRPr="0004143A">
        <w:t>2019 biennium is</w:t>
      </w:r>
      <w:r w:rsidR="00CE1E82" w:rsidRPr="0004143A">
        <w:t xml:space="preserve"> </w:t>
      </w:r>
      <w:r w:rsidR="00E628F1">
        <w:t xml:space="preserve">that </w:t>
      </w:r>
      <w:r w:rsidR="00486A7A">
        <w:t>the</w:t>
      </w:r>
      <w:r w:rsidR="00CE1E82" w:rsidRPr="0004143A">
        <w:t xml:space="preserve"> use of the </w:t>
      </w:r>
      <w:r w:rsidR="00CE1E82" w:rsidRPr="0004143A">
        <w:rPr>
          <w:b/>
        </w:rPr>
        <w:t>International Assistance mechanisms</w:t>
      </w:r>
      <w:r w:rsidR="00CE1E82" w:rsidRPr="0004143A">
        <w:t>, corresponding to budget lines 1</w:t>
      </w:r>
      <w:r w:rsidR="00884576" w:rsidRPr="0004143A">
        <w:t>, 1.1</w:t>
      </w:r>
      <w:r w:rsidR="00CE1E82" w:rsidRPr="0004143A">
        <w:t xml:space="preserve"> and 2</w:t>
      </w:r>
      <w:r w:rsidRPr="0004143A">
        <w:t xml:space="preserve"> (see Figure 2 below)</w:t>
      </w:r>
      <w:r w:rsidR="00E628F1">
        <w:t>,</w:t>
      </w:r>
      <w:r w:rsidR="00486A7A">
        <w:t xml:space="preserve"> increased significantly (</w:t>
      </w:r>
      <w:r w:rsidR="000C421F" w:rsidRPr="0004143A">
        <w:t>116</w:t>
      </w:r>
      <w:r w:rsidR="00CE1E82" w:rsidRPr="0004143A">
        <w:t>%</w:t>
      </w:r>
      <w:r w:rsidR="00486A7A">
        <w:t>) compared to the previous biennium</w:t>
      </w:r>
      <w:r w:rsidR="00CE1E82" w:rsidRPr="0004143A">
        <w:t xml:space="preserve">. As for the expenditure rate, it reached </w:t>
      </w:r>
      <w:r w:rsidR="00884576" w:rsidRPr="0004143A">
        <w:t>52</w:t>
      </w:r>
      <w:r w:rsidR="00CE1E82" w:rsidRPr="0004143A">
        <w:t xml:space="preserve">% as at </w:t>
      </w:r>
      <w:r w:rsidR="00884576" w:rsidRPr="0004143A">
        <w:t>31 December</w:t>
      </w:r>
      <w:r w:rsidR="00CE1E82" w:rsidRPr="0004143A">
        <w:t xml:space="preserve"> 2019</w:t>
      </w:r>
      <w:r w:rsidR="00884576" w:rsidRPr="0004143A">
        <w:t>, its highest point in</w:t>
      </w:r>
      <w:r w:rsidR="000C421F" w:rsidRPr="0004143A">
        <w:t xml:space="preserve"> both</w:t>
      </w:r>
      <w:r w:rsidR="00884576" w:rsidRPr="0004143A">
        <w:t xml:space="preserve"> nominal amount and percentage since 2010</w:t>
      </w:r>
      <w:r w:rsidR="00CE1E82" w:rsidRPr="0004143A">
        <w:t>.</w:t>
      </w:r>
      <w:r w:rsidR="00CE1E82" w:rsidRPr="0004143A">
        <w:rPr>
          <w:bCs/>
        </w:rPr>
        <w:t xml:space="preserve"> </w:t>
      </w:r>
      <w:r w:rsidR="00CE1E82" w:rsidRPr="0004143A">
        <w:t>This positive result is mainly thanks to: 1) the increase in the ceiling of International Assistance requests that can be presented to the Bureau from US$25,000 to US$100,000 (</w:t>
      </w:r>
      <w:hyperlink r:id="rId16" w:history="1">
        <w:r w:rsidR="00CE1E82" w:rsidRPr="0004143A">
          <w:rPr>
            <w:rStyle w:val="Lienhypertexte"/>
          </w:rPr>
          <w:t>Resolution 6.GA 7</w:t>
        </w:r>
      </w:hyperlink>
      <w:r w:rsidR="00CE1E82" w:rsidRPr="0004143A">
        <w:t xml:space="preserve">); 2) the </w:t>
      </w:r>
      <w:r w:rsidR="0004143A" w:rsidRPr="0004143A">
        <w:t>90</w:t>
      </w:r>
      <w:r w:rsidR="00CE1E82" w:rsidRPr="0004143A">
        <w:t>% increase (compared to the previous 2016</w:t>
      </w:r>
      <w:r w:rsidR="007E59FD">
        <w:t>–</w:t>
      </w:r>
      <w:r w:rsidR="00CE1E82" w:rsidRPr="0004143A">
        <w:t>2017 biennium</w:t>
      </w:r>
      <w:r w:rsidR="00CE1E82" w:rsidRPr="0004143A">
        <w:rPr>
          <w:rStyle w:val="Appelnotedebasdep"/>
        </w:rPr>
        <w:footnoteReference w:id="1"/>
      </w:r>
      <w:r w:rsidR="00CE1E82" w:rsidRPr="0004143A">
        <w:t>) in the number of requests examined by the Bureau, with the corresponding recommendations prepared by the Secretariat and 3) the continuation of a relatively high proportion of requests approved by the Bureau (</w:t>
      </w:r>
      <w:r w:rsidR="0004143A" w:rsidRPr="0004143A">
        <w:t>70</w:t>
      </w:r>
      <w:r w:rsidR="00CE1E82" w:rsidRPr="0004143A">
        <w:t xml:space="preserve">% of requests examined by the Bureau </w:t>
      </w:r>
      <w:r w:rsidR="00156D4C" w:rsidRPr="0004143A">
        <w:t xml:space="preserve">in </w:t>
      </w:r>
      <w:r w:rsidR="00CE1E82" w:rsidRPr="0004143A">
        <w:t xml:space="preserve">2018 </w:t>
      </w:r>
      <w:r w:rsidR="00156D4C" w:rsidRPr="0004143A">
        <w:t xml:space="preserve">and 2019 </w:t>
      </w:r>
      <w:r w:rsidR="00CE1E82" w:rsidRPr="0004143A">
        <w:t>have been approved), demonstrating the overall satisfactory quality of the requests received by the Secretariat.</w:t>
      </w:r>
    </w:p>
    <w:p w14:paraId="004134C7" w14:textId="1909BC1E" w:rsidR="00884576" w:rsidRPr="0004143A" w:rsidRDefault="00C633B8" w:rsidP="001740D7">
      <w:pPr>
        <w:pStyle w:val="COMPara"/>
        <w:tabs>
          <w:tab w:val="left" w:pos="567"/>
        </w:tabs>
        <w:ind w:left="567" w:firstLine="0"/>
        <w:jc w:val="both"/>
      </w:pPr>
      <w:r>
        <w:rPr>
          <w:noProof/>
          <w:lang w:val="fr-FR" w:eastAsia="fr-FR"/>
        </w:rPr>
        <w:drawing>
          <wp:inline distT="0" distB="0" distL="0" distR="0" wp14:anchorId="3FB78C5C" wp14:editId="27C9C58C">
            <wp:extent cx="5688564" cy="28289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9012" cy="2834121"/>
                    </a:xfrm>
                    <a:prstGeom prst="rect">
                      <a:avLst/>
                    </a:prstGeom>
                    <a:noFill/>
                  </pic:spPr>
                </pic:pic>
              </a:graphicData>
            </a:graphic>
          </wp:inline>
        </w:drawing>
      </w:r>
    </w:p>
    <w:p w14:paraId="44CD3AE4" w14:textId="77777777" w:rsidR="00CE1E82" w:rsidRPr="0004143A" w:rsidRDefault="00CE1E82" w:rsidP="001740D7">
      <w:pPr>
        <w:pStyle w:val="COMPara"/>
        <w:tabs>
          <w:tab w:val="left" w:pos="567"/>
        </w:tabs>
        <w:ind w:left="567" w:firstLine="0"/>
        <w:jc w:val="both"/>
      </w:pPr>
      <w:r w:rsidRPr="0004143A">
        <w:rPr>
          <w:noProof/>
          <w:lang w:val="fr-FR" w:eastAsia="fr-FR"/>
        </w:rPr>
        <mc:AlternateContent>
          <mc:Choice Requires="wps">
            <w:drawing>
              <wp:inline distT="0" distB="0" distL="0" distR="0" wp14:anchorId="0EBACF25" wp14:editId="2FA98A7F">
                <wp:extent cx="5238750" cy="1404620"/>
                <wp:effectExtent l="0" t="0" r="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1102D2CB" w14:textId="367D76C9" w:rsidR="00A10416" w:rsidRPr="000B21E2" w:rsidRDefault="00A10416" w:rsidP="00CE1E82">
                            <w:pPr>
                              <w:ind w:right="201"/>
                              <w:rPr>
                                <w:rFonts w:ascii="Arial" w:hAnsi="Arial" w:cs="Arial"/>
                                <w:sz w:val="16"/>
                                <w:szCs w:val="16"/>
                                <w:lang w:val="en-US"/>
                              </w:rPr>
                            </w:pPr>
                            <w:r w:rsidRPr="00884576">
                              <w:rPr>
                                <w:rFonts w:ascii="Arial" w:hAnsi="Arial" w:cs="Arial"/>
                                <w:b/>
                                <w:sz w:val="16"/>
                                <w:szCs w:val="16"/>
                                <w:lang w:val="en-US"/>
                              </w:rPr>
                              <w:t xml:space="preserve">Figure 2: </w:t>
                            </w:r>
                            <w:r w:rsidRPr="00884576">
                              <w:rPr>
                                <w:rFonts w:ascii="Arial" w:hAnsi="Arial" w:cs="Arial"/>
                                <w:sz w:val="16"/>
                                <w:szCs w:val="16"/>
                                <w:lang w:val="en-US"/>
                              </w:rPr>
                              <w:t>Expenditure rate for International and Preparatory Assistance</w:t>
                            </w:r>
                          </w:p>
                        </w:txbxContent>
                      </wps:txbx>
                      <wps:bodyPr rot="0" vert="horz" wrap="square" lIns="91440" tIns="45720" rIns="91440" bIns="45720" anchor="t" anchorCtr="0">
                        <a:spAutoFit/>
                      </wps:bodyPr>
                    </wps:wsp>
                  </a:graphicData>
                </a:graphic>
              </wp:inline>
            </w:drawing>
          </mc:Choice>
          <mc:Fallback>
            <w:pict>
              <v:shape w14:anchorId="0EBACF25" id="_x0000_s1027" type="#_x0000_t202" style="width: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" stroked="f">
                <v:textbox style="mso-fit-shape-to-text:t">
                  <w:txbxContent>
                    <w:p w14:paraId="1102D2CB" w14:textId="367D76C9" w:rsidR="00A10416" w:rsidRPr="000B21E2" w:rsidRDefault="00A10416" w:rsidP="00CE1E82">
                      <w:pPr>
                        <w:ind w:right="201"/>
                        <w:rPr>
                          <w:rFonts w:ascii="Arial" w:hAnsi="Arial" w:cs="Arial"/>
                          <w:sz w:val="16"/>
                          <w:szCs w:val="16"/>
                          <w:lang w:val="en-US"/>
                        </w:rPr>
                      </w:pPr>
                      <w:r w:rsidRPr="00884576">
                        <w:rPr>
                          <w:rFonts w:ascii="Arial" w:hAnsi="Arial" w:cs="Arial"/>
                          <w:b/>
                          <w:sz w:val="16"/>
                          <w:szCs w:val="16"/>
                          <w:lang w:val="en-US"/>
                        </w:rPr>
                        <w:t xml:space="preserve">Figure 2: </w:t>
                      </w:r>
                      <w:r w:rsidRPr="00884576">
                        <w:rPr>
                          <w:rFonts w:ascii="Arial" w:hAnsi="Arial" w:cs="Arial"/>
                          <w:sz w:val="16"/>
                          <w:szCs w:val="16"/>
                          <w:lang w:val="en-US"/>
                        </w:rPr>
                        <w:t>Expenditure rate for International and Preparatory Assistance</w:t>
                      </w:r>
                    </w:p>
                  </w:txbxContent>
                </v:textbox>
                <w10:anchorlock/>
              </v:shape>
            </w:pict>
          </mc:Fallback>
        </mc:AlternateContent>
      </w:r>
    </w:p>
    <w:p w14:paraId="150B2A7F" w14:textId="0E1F8A1D" w:rsidR="00BE5818" w:rsidRPr="0004143A" w:rsidRDefault="00BE5818" w:rsidP="001740D7">
      <w:pPr>
        <w:pStyle w:val="GAPara"/>
        <w:keepNext/>
        <w:numPr>
          <w:ilvl w:val="0"/>
          <w:numId w:val="0"/>
        </w:numPr>
        <w:spacing w:before="240"/>
        <w:jc w:val="both"/>
      </w:pPr>
      <w:r w:rsidRPr="0004143A">
        <w:rPr>
          <w:b/>
          <w:bCs/>
        </w:rPr>
        <w:t>Assessed contributions</w:t>
      </w:r>
    </w:p>
    <w:p w14:paraId="76587E91" w14:textId="2499E2D2" w:rsidR="00576E1D" w:rsidRPr="002E26EC" w:rsidRDefault="00576E1D" w:rsidP="00680B7E">
      <w:pPr>
        <w:pStyle w:val="COMPara"/>
        <w:numPr>
          <w:ilvl w:val="0"/>
          <w:numId w:val="5"/>
        </w:numPr>
        <w:tabs>
          <w:tab w:val="left" w:pos="567"/>
        </w:tabs>
        <w:spacing w:before="120"/>
        <w:ind w:left="567" w:hanging="567"/>
        <w:jc w:val="both"/>
      </w:pPr>
      <w:r w:rsidRPr="0004143A">
        <w:t xml:space="preserve">It should be recalled that the </w:t>
      </w:r>
      <w:r w:rsidRPr="008C7D30">
        <w:rPr>
          <w:b/>
        </w:rPr>
        <w:t>payment of contributions</w:t>
      </w:r>
      <w:r w:rsidRPr="0004143A">
        <w:t xml:space="preserve"> is an obligation incumbent on all States Parties that have ratified the Convention, in accordance with </w:t>
      </w:r>
      <w:r w:rsidR="00045121" w:rsidRPr="0004143A">
        <w:t>Article</w:t>
      </w:r>
      <w:r w:rsidR="00045121">
        <w:t> </w:t>
      </w:r>
      <w:r w:rsidRPr="0004143A">
        <w:t xml:space="preserve">26. </w:t>
      </w:r>
      <w:r w:rsidR="0041073A" w:rsidRPr="00130731">
        <w:t>As at 31</w:t>
      </w:r>
      <w:r w:rsidR="00045121">
        <w:t> </w:t>
      </w:r>
      <w:r w:rsidR="0041073A" w:rsidRPr="00130731">
        <w:t xml:space="preserve">December 2019, </w:t>
      </w:r>
      <w:r w:rsidRPr="00130731">
        <w:t xml:space="preserve">the arrears </w:t>
      </w:r>
      <w:r w:rsidR="0055563E">
        <w:t xml:space="preserve">in </w:t>
      </w:r>
      <w:r w:rsidR="0055563E" w:rsidRPr="008C7D30">
        <w:rPr>
          <w:b/>
        </w:rPr>
        <w:t xml:space="preserve">compulsory assessed </w:t>
      </w:r>
      <w:r w:rsidR="0055563E" w:rsidRPr="002E26EC">
        <w:rPr>
          <w:b/>
        </w:rPr>
        <w:t>contributions</w:t>
      </w:r>
      <w:r w:rsidR="0055563E" w:rsidRPr="002E26EC">
        <w:t xml:space="preserve"> </w:t>
      </w:r>
      <w:r w:rsidRPr="002E26EC">
        <w:t>amount</w:t>
      </w:r>
      <w:r w:rsidR="0055563E" w:rsidRPr="002E26EC">
        <w:t>ed</w:t>
      </w:r>
      <w:r w:rsidRPr="002E26EC">
        <w:t xml:space="preserve"> to US$</w:t>
      </w:r>
      <w:r w:rsidR="002870FA" w:rsidRPr="002E26EC">
        <w:t>435,318</w:t>
      </w:r>
      <w:r w:rsidRPr="002E26EC">
        <w:t> (against US$</w:t>
      </w:r>
      <w:r w:rsidR="002870FA" w:rsidRPr="002E26EC">
        <w:t>455,033</w:t>
      </w:r>
      <w:r w:rsidRPr="002E26EC">
        <w:t xml:space="preserve"> at 3</w:t>
      </w:r>
      <w:r w:rsidR="00400757" w:rsidRPr="002E26EC">
        <w:t>1</w:t>
      </w:r>
      <w:r w:rsidRPr="002E26EC">
        <w:t xml:space="preserve"> </w:t>
      </w:r>
      <w:r w:rsidR="00400757" w:rsidRPr="002E26EC">
        <w:t>December</w:t>
      </w:r>
      <w:r w:rsidRPr="002E26EC">
        <w:t xml:space="preserve"> 2017), </w:t>
      </w:r>
      <w:r w:rsidR="000456A8" w:rsidRPr="002E26EC">
        <w:t xml:space="preserve">of which </w:t>
      </w:r>
      <w:r w:rsidRPr="002E26EC">
        <w:t>US$</w:t>
      </w:r>
      <w:r w:rsidR="00400757" w:rsidRPr="002E26EC">
        <w:t>202</w:t>
      </w:r>
      <w:r w:rsidRPr="002E26EC">
        <w:t>,</w:t>
      </w:r>
      <w:r w:rsidR="00400757" w:rsidRPr="002E26EC">
        <w:t>682</w:t>
      </w:r>
      <w:r w:rsidRPr="002E26EC">
        <w:t xml:space="preserve"> correspond</w:t>
      </w:r>
      <w:r w:rsidR="000456A8" w:rsidRPr="002E26EC">
        <w:t>ed</w:t>
      </w:r>
      <w:r w:rsidRPr="002E26EC">
        <w:t xml:space="preserve"> to unpaid contributions of years</w:t>
      </w:r>
      <w:r w:rsidR="000456A8" w:rsidRPr="002E26EC">
        <w:t xml:space="preserve"> prior to 2019</w:t>
      </w:r>
      <w:r w:rsidRPr="002E26EC">
        <w:t>.</w:t>
      </w:r>
      <w:r w:rsidR="0041073A" w:rsidRPr="002E26EC">
        <w:t xml:space="preserve"> The amount of unpaid contributions has </w:t>
      </w:r>
      <w:r w:rsidR="000456A8" w:rsidRPr="002E26EC">
        <w:t xml:space="preserve">remained </w:t>
      </w:r>
      <w:r w:rsidR="0041073A" w:rsidRPr="002E26EC">
        <w:t xml:space="preserve">around US$400,000 since 2016. </w:t>
      </w:r>
      <w:r w:rsidRPr="002E26EC">
        <w:t>As of 3</w:t>
      </w:r>
      <w:r w:rsidR="00400757" w:rsidRPr="002E26EC">
        <w:t>1</w:t>
      </w:r>
      <w:r w:rsidR="0041073A" w:rsidRPr="002E26EC">
        <w:t> </w:t>
      </w:r>
      <w:r w:rsidR="00400757" w:rsidRPr="002E26EC">
        <w:t>December</w:t>
      </w:r>
      <w:r w:rsidRPr="002E26EC">
        <w:t xml:space="preserve"> 2019, </w:t>
      </w:r>
      <w:r w:rsidR="001A5DFD" w:rsidRPr="002E26EC">
        <w:t>82</w:t>
      </w:r>
      <w:r w:rsidR="001302EE" w:rsidRPr="002E26EC">
        <w:t> </w:t>
      </w:r>
      <w:r w:rsidRPr="002E26EC">
        <w:t>States Parties (</w:t>
      </w:r>
      <w:r w:rsidR="00844C1F" w:rsidRPr="002E26EC">
        <w:t>47%</w:t>
      </w:r>
      <w:r w:rsidRPr="002E26EC">
        <w:t>) ha</w:t>
      </w:r>
      <w:r w:rsidR="000456A8" w:rsidRPr="002E26EC">
        <w:t>d</w:t>
      </w:r>
      <w:r w:rsidRPr="002E26EC">
        <w:t xml:space="preserve"> not paid their contribution for 2019. Amongst them, </w:t>
      </w:r>
      <w:r w:rsidR="005F7152" w:rsidRPr="002E26EC">
        <w:t>46</w:t>
      </w:r>
      <w:r w:rsidRPr="002E26EC">
        <w:t xml:space="preserve"> States Parties (</w:t>
      </w:r>
      <w:r w:rsidR="00844C1F" w:rsidRPr="002E26EC">
        <w:t>27%</w:t>
      </w:r>
      <w:r w:rsidRPr="002E26EC">
        <w:t>) ha</w:t>
      </w:r>
      <w:r w:rsidR="000456A8" w:rsidRPr="002E26EC">
        <w:t>d</w:t>
      </w:r>
      <w:r w:rsidRPr="002E26EC">
        <w:t xml:space="preserve"> also not paid their contribution for </w:t>
      </w:r>
      <w:r w:rsidR="000456A8" w:rsidRPr="002E26EC">
        <w:t>years prior to 2019</w:t>
      </w:r>
      <w:r w:rsidRPr="002E26EC">
        <w:t xml:space="preserve"> (see </w:t>
      </w:r>
      <w:hyperlink r:id="rId18" w:history="1">
        <w:r w:rsidR="00BC1E6E" w:rsidRPr="002E26EC">
          <w:rPr>
            <w:rStyle w:val="Lienhypertexte"/>
          </w:rPr>
          <w:t>Statement of compulsory contributions as at 31 December 2019</w:t>
        </w:r>
      </w:hyperlink>
      <w:r w:rsidRPr="002E26EC">
        <w:t>).</w:t>
      </w:r>
      <w:bookmarkStart w:id="4" w:name="_Ref46843650"/>
      <w:r w:rsidRPr="002E26EC">
        <w:rPr>
          <w:rStyle w:val="Appelnotedebasdep"/>
        </w:rPr>
        <w:footnoteReference w:id="2"/>
      </w:r>
      <w:bookmarkEnd w:id="4"/>
      <w:r w:rsidR="005B0C5B" w:rsidRPr="002E26EC">
        <w:t xml:space="preserve"> </w:t>
      </w:r>
      <w:r w:rsidRPr="002E26EC">
        <w:t xml:space="preserve">With regards to the </w:t>
      </w:r>
      <w:r w:rsidRPr="002E26EC">
        <w:rPr>
          <w:b/>
        </w:rPr>
        <w:t>voluntary assessed contributions</w:t>
      </w:r>
      <w:r w:rsidRPr="002E26EC">
        <w:t xml:space="preserve"> </w:t>
      </w:r>
      <w:r w:rsidR="000456A8" w:rsidRPr="002E26EC">
        <w:t xml:space="preserve">of </w:t>
      </w:r>
      <w:r w:rsidRPr="002E26EC">
        <w:t xml:space="preserve">States Parties </w:t>
      </w:r>
      <w:r w:rsidR="000456A8" w:rsidRPr="002E26EC">
        <w:t>assessed</w:t>
      </w:r>
      <w:r w:rsidRPr="002E26EC">
        <w:t xml:space="preserve"> in accordance with Article 26.2 of the Convention, a comparison over the past six years shows that payments remain</w:t>
      </w:r>
      <w:r w:rsidR="000456A8" w:rsidRPr="002E26EC">
        <w:t>ed</w:t>
      </w:r>
      <w:r w:rsidRPr="002E26EC">
        <w:t xml:space="preserve"> on average at </w:t>
      </w:r>
      <w:r w:rsidR="005F7152" w:rsidRPr="002E26EC">
        <w:t>63</w:t>
      </w:r>
      <w:r w:rsidRPr="002E26EC">
        <w:t xml:space="preserve">% of the </w:t>
      </w:r>
      <w:r w:rsidR="000456A8" w:rsidRPr="002E26EC">
        <w:t xml:space="preserve">assessed </w:t>
      </w:r>
      <w:r w:rsidRPr="002E26EC">
        <w:t>amounts.</w:t>
      </w:r>
      <w:r w:rsidR="005F1753" w:rsidRPr="002E26EC">
        <w:rPr>
          <w:vertAlign w:val="superscript"/>
        </w:rPr>
        <w:fldChar w:fldCharType="begin"/>
      </w:r>
      <w:r w:rsidR="005F1753" w:rsidRPr="002E26EC">
        <w:rPr>
          <w:vertAlign w:val="superscript"/>
        </w:rPr>
        <w:instrText xml:space="preserve"> NOTEREF _Ref46843650 \h  \* MERGEFORMAT </w:instrText>
      </w:r>
      <w:r w:rsidR="005F1753" w:rsidRPr="002E26EC">
        <w:rPr>
          <w:vertAlign w:val="superscript"/>
        </w:rPr>
      </w:r>
      <w:r w:rsidR="005F1753" w:rsidRPr="002E26EC">
        <w:rPr>
          <w:vertAlign w:val="superscript"/>
        </w:rPr>
        <w:fldChar w:fldCharType="separate"/>
      </w:r>
      <w:r w:rsidR="00041A90" w:rsidRPr="002E26EC">
        <w:rPr>
          <w:vertAlign w:val="superscript"/>
        </w:rPr>
        <w:t>2</w:t>
      </w:r>
      <w:r w:rsidR="005F1753" w:rsidRPr="002E26EC">
        <w:rPr>
          <w:vertAlign w:val="superscript"/>
        </w:rPr>
        <w:fldChar w:fldCharType="end"/>
      </w:r>
    </w:p>
    <w:p w14:paraId="4D3A3B0F" w14:textId="4F4F2851" w:rsidR="008E71C1" w:rsidRPr="00825A9A" w:rsidRDefault="008E71C1" w:rsidP="00B702ED">
      <w:pPr>
        <w:pStyle w:val="GAPara"/>
        <w:numPr>
          <w:ilvl w:val="0"/>
          <w:numId w:val="0"/>
        </w:numPr>
        <w:spacing w:before="240"/>
        <w:jc w:val="both"/>
        <w:rPr>
          <w:b/>
          <w:bCs/>
        </w:rPr>
      </w:pPr>
      <w:r w:rsidRPr="00825A9A">
        <w:rPr>
          <w:b/>
          <w:bCs/>
        </w:rPr>
        <w:t>Prospects for future budget cycles</w:t>
      </w:r>
    </w:p>
    <w:p w14:paraId="21CD483B" w14:textId="13176E5A" w:rsidR="008E71C1" w:rsidRPr="00825A9A" w:rsidRDefault="00130731" w:rsidP="00B702ED">
      <w:pPr>
        <w:pStyle w:val="COMPara"/>
        <w:numPr>
          <w:ilvl w:val="0"/>
          <w:numId w:val="5"/>
        </w:numPr>
        <w:tabs>
          <w:tab w:val="left" w:pos="567"/>
        </w:tabs>
        <w:ind w:left="567" w:hanging="567"/>
        <w:jc w:val="both"/>
      </w:pPr>
      <w:r w:rsidRPr="00825A9A">
        <w:t xml:space="preserve">After ten years of constant increase, the </w:t>
      </w:r>
      <w:r w:rsidR="00E44844" w:rsidRPr="00825A9A">
        <w:t xml:space="preserve">fund balance at year-end </w:t>
      </w:r>
      <w:r w:rsidRPr="00825A9A">
        <w:t xml:space="preserve">has decreased for the first time and is expected to decrease </w:t>
      </w:r>
      <w:r w:rsidR="00E44844" w:rsidRPr="00825A9A">
        <w:t>at the end of the 2020-2021 biennium</w:t>
      </w:r>
      <w:r w:rsidR="00E84D8C" w:rsidRPr="00825A9A">
        <w:t xml:space="preserve"> as well</w:t>
      </w:r>
      <w:r w:rsidRPr="00825A9A">
        <w:t xml:space="preserve">. </w:t>
      </w:r>
      <w:r w:rsidR="008E71C1" w:rsidRPr="00825A9A">
        <w:t>Th</w:t>
      </w:r>
      <w:r w:rsidRPr="00825A9A">
        <w:t>is</w:t>
      </w:r>
      <w:r w:rsidR="008E71C1" w:rsidRPr="00825A9A">
        <w:t xml:space="preserve"> forecast trend is a positive sign from an operational point of view. It reflects States’ increased capacity to access funds that support programmes and projects </w:t>
      </w:r>
      <w:r w:rsidR="00425427" w:rsidRPr="00825A9A">
        <w:t xml:space="preserve">which </w:t>
      </w:r>
      <w:r w:rsidR="008E71C1" w:rsidRPr="00825A9A">
        <w:t>contribute to the safeguarding of living heritage</w:t>
      </w:r>
      <w:r w:rsidR="00425427" w:rsidRPr="00825A9A">
        <w:t>, as well as</w:t>
      </w:r>
      <w:r w:rsidR="008E71C1" w:rsidRPr="00825A9A">
        <w:t xml:space="preserve"> the improved ability of the governing bodies of the Convention and of the Secretariat to respond to their requests. However, this trend also means that the amount of financial resources available to support State efforts to safeguard intangible cultural heritage </w:t>
      </w:r>
      <w:r w:rsidR="00425427" w:rsidRPr="00825A9A">
        <w:t xml:space="preserve">will likely </w:t>
      </w:r>
      <w:r w:rsidR="008E71C1" w:rsidRPr="00825A9A">
        <w:t xml:space="preserve">diminish in the future, </w:t>
      </w:r>
      <w:r w:rsidR="00425427" w:rsidRPr="00825A9A">
        <w:t xml:space="preserve">even though </w:t>
      </w:r>
      <w:r w:rsidR="008E71C1" w:rsidRPr="00825A9A">
        <w:t>this is not an immediate concern. On the other hand</w:t>
      </w:r>
      <w:r w:rsidR="004133BA" w:rsidRPr="00825A9A">
        <w:t>,</w:t>
      </w:r>
      <w:r w:rsidR="008E71C1" w:rsidRPr="00825A9A">
        <w:t xml:space="preserve"> now that the Fund is in a healthier operational situation, the </w:t>
      </w:r>
      <w:r w:rsidR="005B0C5B" w:rsidRPr="00825A9A">
        <w:t>Convention</w:t>
      </w:r>
      <w:r w:rsidR="00425427" w:rsidRPr="00825A9A">
        <w:t xml:space="preserve"> </w:t>
      </w:r>
      <w:r w:rsidR="008E71C1" w:rsidRPr="00825A9A">
        <w:t xml:space="preserve">is in a better position to pursue voluntary supplementary contributions. </w:t>
      </w:r>
    </w:p>
    <w:p w14:paraId="1BAFB74D" w14:textId="2888176E" w:rsidR="00576E1D" w:rsidRPr="00825A9A" w:rsidRDefault="003E4E50" w:rsidP="000D16BE">
      <w:pPr>
        <w:pStyle w:val="Titre4"/>
        <w:numPr>
          <w:ilvl w:val="0"/>
          <w:numId w:val="17"/>
        </w:numPr>
        <w:spacing w:before="240" w:after="120"/>
        <w:ind w:left="567" w:hanging="567"/>
        <w:jc w:val="both"/>
      </w:pPr>
      <w:bookmarkStart w:id="5" w:name="III_Plan"/>
      <w:bookmarkEnd w:id="5"/>
      <w:r w:rsidRPr="00825A9A">
        <w:t>BUDGET LINES AND ALLOCATIONS FOR THE 40 C/5 (</w:t>
      </w:r>
      <w:r w:rsidR="00576E1D" w:rsidRPr="00825A9A">
        <w:t>2020–2021</w:t>
      </w:r>
      <w:r w:rsidRPr="00825A9A">
        <w:t>)</w:t>
      </w:r>
    </w:p>
    <w:p w14:paraId="1D0D3852" w14:textId="570ED070" w:rsidR="006F12CD" w:rsidRPr="00825A9A" w:rsidRDefault="003E4E50" w:rsidP="00C21695">
      <w:pPr>
        <w:pStyle w:val="COMPara"/>
        <w:keepLines/>
        <w:numPr>
          <w:ilvl w:val="0"/>
          <w:numId w:val="5"/>
        </w:numPr>
        <w:tabs>
          <w:tab w:val="left" w:pos="567"/>
        </w:tabs>
        <w:ind w:left="567" w:hanging="567"/>
        <w:jc w:val="both"/>
      </w:pPr>
      <w:r w:rsidRPr="00825A9A">
        <w:t>The proposal for the allocation of funds for the 40 C/5 (2020</w:t>
      </w:r>
      <w:r w:rsidR="004133BA" w:rsidRPr="00825A9A">
        <w:t>–</w:t>
      </w:r>
      <w:r w:rsidRPr="00825A9A">
        <w:t xml:space="preserve">2021) follows the structure based on budget lines, which has been used for the past equivalent exercises. These budget lines can be divided into </w:t>
      </w:r>
      <w:r w:rsidR="00E84D8C" w:rsidRPr="00825A9A">
        <w:t xml:space="preserve">three </w:t>
      </w:r>
      <w:r w:rsidRPr="00825A9A">
        <w:t>categories, namely those expenditures related to: a) International Assistance; b) ‘other functions’ of the Committee in the sense of Article 7 of the Convention;</w:t>
      </w:r>
      <w:r w:rsidR="005D6DF1" w:rsidRPr="00825A9A">
        <w:t xml:space="preserve"> and</w:t>
      </w:r>
      <w:r w:rsidRPr="00825A9A">
        <w:t xml:space="preserve"> c) participation in the meetings of the governing bodies and assistance to the Committee. The percentage of allocation expressed for each budget line proposed on this occasion also largely follows the same proportionality as the past biennium, with minor variations</w:t>
      </w:r>
      <w:r w:rsidR="00E44844" w:rsidRPr="00825A9A">
        <w:t xml:space="preserve"> taking into account the 9% decrease of funds available at the </w:t>
      </w:r>
      <w:r w:rsidR="00A80F08" w:rsidRPr="00825A9A">
        <w:t>end of the 2018-2019</w:t>
      </w:r>
      <w:r w:rsidR="00E44844" w:rsidRPr="00825A9A">
        <w:t xml:space="preserve"> biennium (US$7.84</w:t>
      </w:r>
      <w:r w:rsidR="00A80F08" w:rsidRPr="00825A9A">
        <w:t> </w:t>
      </w:r>
      <w:r w:rsidR="00E44844" w:rsidRPr="00825A9A">
        <w:t>million) compared with the</w:t>
      </w:r>
      <w:r w:rsidR="00A80F08" w:rsidRPr="00825A9A">
        <w:t xml:space="preserve"> end of</w:t>
      </w:r>
      <w:r w:rsidR="00E44844" w:rsidRPr="00825A9A">
        <w:t xml:space="preserve"> 201</w:t>
      </w:r>
      <w:r w:rsidR="00A80F08" w:rsidRPr="00825A9A">
        <w:t>6</w:t>
      </w:r>
      <w:r w:rsidR="00E44844" w:rsidRPr="00825A9A">
        <w:t>-201</w:t>
      </w:r>
      <w:r w:rsidR="00A80F08" w:rsidRPr="00825A9A">
        <w:t>7</w:t>
      </w:r>
      <w:r w:rsidR="00E44844" w:rsidRPr="00825A9A">
        <w:t xml:space="preserve"> biennium (US$8.59 million)</w:t>
      </w:r>
      <w:r w:rsidRPr="00825A9A">
        <w:t>.</w:t>
      </w:r>
    </w:p>
    <w:p w14:paraId="13ED1381" w14:textId="77777777" w:rsidR="00233695" w:rsidRPr="00825A9A" w:rsidRDefault="00233695" w:rsidP="001740D7">
      <w:pPr>
        <w:pStyle w:val="GAPara"/>
        <w:keepNext/>
        <w:numPr>
          <w:ilvl w:val="0"/>
          <w:numId w:val="0"/>
        </w:numPr>
        <w:spacing w:before="240"/>
        <w:jc w:val="both"/>
      </w:pPr>
      <w:r w:rsidRPr="00825A9A">
        <w:rPr>
          <w:b/>
          <w:bCs/>
        </w:rPr>
        <w:t>International Assistance</w:t>
      </w:r>
    </w:p>
    <w:p w14:paraId="0B9BCA7F" w14:textId="79ED030A" w:rsidR="00576E1D" w:rsidRPr="001A34BE" w:rsidRDefault="008E7D2C" w:rsidP="00C21695">
      <w:pPr>
        <w:pStyle w:val="COMPara"/>
        <w:numPr>
          <w:ilvl w:val="0"/>
          <w:numId w:val="5"/>
        </w:numPr>
        <w:tabs>
          <w:tab w:val="left" w:pos="567"/>
        </w:tabs>
        <w:ind w:left="567" w:hanging="567"/>
        <w:jc w:val="both"/>
      </w:pPr>
      <w:proofErr w:type="gramStart"/>
      <w:r w:rsidRPr="00825A9A">
        <w:t>T</w:t>
      </w:r>
      <w:r w:rsidR="00576E1D" w:rsidRPr="00825A9A">
        <w:t>he majority of</w:t>
      </w:r>
      <w:proofErr w:type="gramEnd"/>
      <w:r w:rsidR="00576E1D" w:rsidRPr="00825A9A">
        <w:t xml:space="preserve"> the resources</w:t>
      </w:r>
      <w:r w:rsidRPr="00825A9A">
        <w:t xml:space="preserve"> </w:t>
      </w:r>
      <w:r w:rsidR="00425427" w:rsidRPr="00825A9A">
        <w:t xml:space="preserve">are </w:t>
      </w:r>
      <w:r w:rsidRPr="00825A9A">
        <w:t>proposed to</w:t>
      </w:r>
      <w:r w:rsidR="00576E1D" w:rsidRPr="00825A9A">
        <w:t xml:space="preserve"> be allocated </w:t>
      </w:r>
      <w:r w:rsidRPr="00825A9A">
        <w:t>for</w:t>
      </w:r>
      <w:r w:rsidR="00576E1D" w:rsidRPr="00825A9A">
        <w:t xml:space="preserve"> providing International Assistance to States Parties to supplement their national efforts to safeguard intangible cultural heritage (</w:t>
      </w:r>
      <w:r w:rsidR="00576E1D" w:rsidRPr="00825A9A">
        <w:rPr>
          <w:b/>
        </w:rPr>
        <w:t>budget lines 1, 1.1 and 2</w:t>
      </w:r>
      <w:r w:rsidR="00576E1D" w:rsidRPr="00825A9A">
        <w:t>). The combined percentage of these three lines (64.75</w:t>
      </w:r>
      <w:r w:rsidR="00576E1D" w:rsidRPr="001A34BE">
        <w:t xml:space="preserve">%) </w:t>
      </w:r>
      <w:r w:rsidR="00576E1D">
        <w:t>remains the same as during the previous biennium.</w:t>
      </w:r>
    </w:p>
    <w:p w14:paraId="72B4246E" w14:textId="35BD769F" w:rsidR="00576E1D" w:rsidRPr="00FC62B4" w:rsidRDefault="00C965F0" w:rsidP="00C21695">
      <w:pPr>
        <w:pStyle w:val="COMPara"/>
        <w:numPr>
          <w:ilvl w:val="0"/>
          <w:numId w:val="5"/>
        </w:numPr>
        <w:tabs>
          <w:tab w:val="left" w:pos="567"/>
        </w:tabs>
        <w:ind w:left="567" w:hanging="567"/>
        <w:jc w:val="both"/>
      </w:pPr>
      <w:r>
        <w:t>As part of this combined percentage</w:t>
      </w:r>
      <w:r w:rsidR="00252447" w:rsidRPr="002625CB">
        <w:t xml:space="preserve">, </w:t>
      </w:r>
      <w:r w:rsidR="00576E1D" w:rsidRPr="00252447">
        <w:t>51.96%</w:t>
      </w:r>
      <w:r>
        <w:t xml:space="preserve"> of the total amount to be allocated globally</w:t>
      </w:r>
      <w:r w:rsidR="00576E1D" w:rsidRPr="00252447">
        <w:t xml:space="preserve"> </w:t>
      </w:r>
      <w:r w:rsidR="00252447" w:rsidRPr="002625CB">
        <w:t>are</w:t>
      </w:r>
      <w:r w:rsidR="00252447" w:rsidRPr="00252447">
        <w:t xml:space="preserve"> </w:t>
      </w:r>
      <w:r w:rsidR="00576E1D" w:rsidRPr="00252447">
        <w:t>foreseen for the support provided to States</w:t>
      </w:r>
      <w:r w:rsidR="008C7D30">
        <w:t xml:space="preserve"> </w:t>
      </w:r>
      <w:r w:rsidR="00576E1D" w:rsidRPr="00252447">
        <w:t>for safeguarding programmes</w:t>
      </w:r>
      <w:r w:rsidR="007E1A05">
        <w:t xml:space="preserve"> and projects</w:t>
      </w:r>
      <w:r w:rsidR="00576E1D" w:rsidRPr="00252447">
        <w:t xml:space="preserve"> (</w:t>
      </w:r>
      <w:r w:rsidR="00576E1D" w:rsidRPr="005A442B">
        <w:rPr>
          <w:b/>
        </w:rPr>
        <w:t>budget</w:t>
      </w:r>
      <w:r w:rsidR="00630F0E">
        <w:rPr>
          <w:b/>
        </w:rPr>
        <w:t> </w:t>
      </w:r>
      <w:r w:rsidR="00576E1D" w:rsidRPr="005A442B">
        <w:rPr>
          <w:b/>
        </w:rPr>
        <w:t>line</w:t>
      </w:r>
      <w:r w:rsidR="00576E1D" w:rsidRPr="00252447">
        <w:rPr>
          <w:b/>
        </w:rPr>
        <w:t xml:space="preserve"> 1</w:t>
      </w:r>
      <w:r w:rsidR="00576E1D" w:rsidRPr="00252447">
        <w:t>).</w:t>
      </w:r>
      <w:r w:rsidR="00576E1D" w:rsidRPr="00C807B1">
        <w:t xml:space="preserve"> </w:t>
      </w:r>
      <w:r>
        <w:t>T</w:t>
      </w:r>
      <w:r w:rsidR="00576E1D" w:rsidRPr="00C807B1">
        <w:t xml:space="preserve">his allocation </w:t>
      </w:r>
      <w:r w:rsidR="00576E1D" w:rsidRPr="0061112E">
        <w:t>should</w:t>
      </w:r>
      <w:r w:rsidR="00576E1D" w:rsidRPr="00756F29">
        <w:t xml:space="preserve"> allow the Fund to maintain the current </w:t>
      </w:r>
      <w:r w:rsidR="00576E1D" w:rsidRPr="00FC62B4">
        <w:t xml:space="preserve">level of support </w:t>
      </w:r>
      <w:r w:rsidR="00576E1D" w:rsidRPr="0061112E">
        <w:t xml:space="preserve">to States </w:t>
      </w:r>
      <w:r w:rsidR="00576E1D" w:rsidRPr="00756F29">
        <w:t>through International</w:t>
      </w:r>
      <w:r w:rsidR="00576E1D" w:rsidRPr="00FC62B4">
        <w:t xml:space="preserve"> Assistance</w:t>
      </w:r>
      <w:r w:rsidR="00576E1D" w:rsidRPr="0061112E">
        <w:t>, should the number of requests received remain stable during the 2020</w:t>
      </w:r>
      <w:r w:rsidR="00576E1D">
        <w:t>–</w:t>
      </w:r>
      <w:r w:rsidR="00576E1D" w:rsidRPr="0061112E">
        <w:t>2021 period</w:t>
      </w:r>
      <w:r w:rsidR="00576E1D" w:rsidRPr="00756F29">
        <w:t>.</w:t>
      </w:r>
    </w:p>
    <w:p w14:paraId="03E675F1" w14:textId="6F80572B" w:rsidR="00576E1D" w:rsidRDefault="00576E1D" w:rsidP="00C21695">
      <w:pPr>
        <w:pStyle w:val="COMPara"/>
        <w:numPr>
          <w:ilvl w:val="0"/>
          <w:numId w:val="5"/>
        </w:numPr>
        <w:tabs>
          <w:tab w:val="left" w:pos="567"/>
        </w:tabs>
        <w:ind w:left="567" w:hanging="567"/>
        <w:jc w:val="both"/>
      </w:pPr>
      <w:r>
        <w:t>At its seventh session in June 2018, the General Assembly approved the creation of three extra-budgetary fixed-term</w:t>
      </w:r>
      <w:r w:rsidRPr="008155A2">
        <w:t xml:space="preserve"> posts</w:t>
      </w:r>
      <w:r>
        <w:t xml:space="preserve"> (</w:t>
      </w:r>
      <w:hyperlink r:id="rId19" w:history="1">
        <w:r w:rsidRPr="00F577DB">
          <w:rPr>
            <w:rStyle w:val="Lienhypertexte"/>
          </w:rPr>
          <w:t>Resolution 7.GA 8</w:t>
        </w:r>
      </w:hyperlink>
      <w:r>
        <w:t xml:space="preserve">) </w:t>
      </w:r>
      <w:r w:rsidRPr="00F577DB">
        <w:t>to form a dedicated team to operationalize the implementation of the International Assistance mechanisms</w:t>
      </w:r>
      <w:r w:rsidR="00D26644">
        <w:t>.</w:t>
      </w:r>
      <w:r>
        <w:t xml:space="preserve"> Some 10.79% of the resources of the Fund are proposed to be allocated to cover the costs of these three posts (</w:t>
      </w:r>
      <w:r w:rsidRPr="00B0672D">
        <w:rPr>
          <w:b/>
        </w:rPr>
        <w:t>budget line</w:t>
      </w:r>
      <w:r>
        <w:rPr>
          <w:b/>
        </w:rPr>
        <w:t> </w:t>
      </w:r>
      <w:r w:rsidRPr="00B0672D">
        <w:rPr>
          <w:b/>
        </w:rPr>
        <w:t>1.1</w:t>
      </w:r>
      <w:r>
        <w:t>).</w:t>
      </w:r>
    </w:p>
    <w:p w14:paraId="3B475A45" w14:textId="3473B793" w:rsidR="00576E1D" w:rsidRPr="00132F09" w:rsidRDefault="00576E1D" w:rsidP="00550BBD">
      <w:pPr>
        <w:pStyle w:val="COMPara"/>
        <w:numPr>
          <w:ilvl w:val="0"/>
          <w:numId w:val="5"/>
        </w:numPr>
        <w:tabs>
          <w:tab w:val="left" w:pos="567"/>
        </w:tabs>
        <w:ind w:left="567" w:hanging="567"/>
        <w:jc w:val="both"/>
      </w:pPr>
      <w:r>
        <w:t>Furthermore, i</w:t>
      </w:r>
      <w:r w:rsidRPr="00A953FD">
        <w:t>t i</w:t>
      </w:r>
      <w:r>
        <w:t xml:space="preserve">s proposed </w:t>
      </w:r>
      <w:r w:rsidRPr="00EB21CA">
        <w:t xml:space="preserve">that </w:t>
      </w:r>
      <w:r>
        <w:t>2%</w:t>
      </w:r>
      <w:r w:rsidRPr="00EB21CA">
        <w:t xml:space="preserve"> of the</w:t>
      </w:r>
      <w:r>
        <w:t xml:space="preserve"> funds be budgeted </w:t>
      </w:r>
      <w:r w:rsidRPr="00543F56">
        <w:t xml:space="preserve">for granting preparatory assistance </w:t>
      </w:r>
      <w:r>
        <w:t>(</w:t>
      </w:r>
      <w:r w:rsidRPr="000E0B03">
        <w:rPr>
          <w:b/>
          <w:bCs/>
        </w:rPr>
        <w:t>budget line 2</w:t>
      </w:r>
      <w:r w:rsidRPr="000B21E2">
        <w:rPr>
          <w:bCs/>
        </w:rPr>
        <w:t>)</w:t>
      </w:r>
      <w:r>
        <w:t>.</w:t>
      </w:r>
      <w:r w:rsidRPr="00256B9E">
        <w:t xml:space="preserve"> In</w:t>
      </w:r>
      <w:r w:rsidRPr="00785AA3">
        <w:t xml:space="preserve"> addition to preparatory assistance for nomination files, the Committee decided to use this line to provide technical assistance to States Parties for preparing International Assistance requests.</w:t>
      </w:r>
      <w:r w:rsidR="00550BBD">
        <w:rPr>
          <w:rStyle w:val="Appelnotedebasdep"/>
        </w:rPr>
        <w:footnoteReference w:id="3"/>
      </w:r>
      <w:r>
        <w:t xml:space="preserve"> </w:t>
      </w:r>
      <w:r w:rsidRPr="00785AA3">
        <w:t xml:space="preserve">Considering that </w:t>
      </w:r>
      <w:r>
        <w:t>preparatory assistance is rather underutilized (</w:t>
      </w:r>
      <w:r w:rsidR="006F12CD">
        <w:t>15.</w:t>
      </w:r>
      <w:r w:rsidR="006E6298">
        <w:t>5</w:t>
      </w:r>
      <w:r>
        <w:t xml:space="preserve">% </w:t>
      </w:r>
      <w:r w:rsidR="00EE09C4" w:rsidRPr="002625CB">
        <w:rPr>
          <w:lang w:val="en-US"/>
        </w:rPr>
        <w:t>expenditure</w:t>
      </w:r>
      <w:r w:rsidR="00EE09C4">
        <w:rPr>
          <w:lang w:val="en-US"/>
        </w:rPr>
        <w:t xml:space="preserve"> rate for</w:t>
      </w:r>
      <w:r>
        <w:t xml:space="preserve"> </w:t>
      </w:r>
      <w:r w:rsidR="006F12CD">
        <w:t>2018</w:t>
      </w:r>
      <w:r w:rsidR="00D26644">
        <w:t>–</w:t>
      </w:r>
      <w:r w:rsidR="006F12CD">
        <w:t>2019</w:t>
      </w:r>
      <w:r>
        <w:t>) and that</w:t>
      </w:r>
      <w:r w:rsidRPr="00256B9E">
        <w:t xml:space="preserve"> </w:t>
      </w:r>
      <w:r w:rsidRPr="00785AA3">
        <w:t>States have required technical assistance much more</w:t>
      </w:r>
      <w:r>
        <w:t xml:space="preserve"> often</w:t>
      </w:r>
      <w:r w:rsidRPr="00785AA3">
        <w:t xml:space="preserve"> than preparatory assistance in its traditional format, it is proposed that </w:t>
      </w:r>
      <w:r w:rsidR="00C965F0">
        <w:t>the budget allocated</w:t>
      </w:r>
      <w:r w:rsidRPr="00785AA3">
        <w:t xml:space="preserve"> under this line </w:t>
      </w:r>
      <w:r w:rsidRPr="00132F09">
        <w:t xml:space="preserve">continue to be used for </w:t>
      </w:r>
      <w:r w:rsidR="00EE09C4">
        <w:t>technical assistance.</w:t>
      </w:r>
    </w:p>
    <w:p w14:paraId="197CBC5C" w14:textId="77777777" w:rsidR="00233695" w:rsidRPr="009C1BB3" w:rsidRDefault="00233695" w:rsidP="001740D7">
      <w:pPr>
        <w:pStyle w:val="GAPara"/>
        <w:keepNext/>
        <w:numPr>
          <w:ilvl w:val="0"/>
          <w:numId w:val="0"/>
        </w:numPr>
        <w:spacing w:before="240"/>
        <w:rPr>
          <w:b/>
          <w:bCs/>
        </w:rPr>
      </w:pPr>
      <w:r w:rsidRPr="009C1BB3">
        <w:rPr>
          <w:b/>
          <w:bCs/>
        </w:rPr>
        <w:t>‘Other functions of the Committee’</w:t>
      </w:r>
    </w:p>
    <w:p w14:paraId="5E209C19" w14:textId="331F8D03" w:rsidR="00AF11E4" w:rsidRDefault="001022B2" w:rsidP="00C21695">
      <w:pPr>
        <w:pStyle w:val="COMPara"/>
        <w:numPr>
          <w:ilvl w:val="0"/>
          <w:numId w:val="5"/>
        </w:numPr>
        <w:tabs>
          <w:tab w:val="left" w:pos="567"/>
        </w:tabs>
        <w:ind w:left="567" w:hanging="567"/>
        <w:jc w:val="both"/>
      </w:pPr>
      <w:r w:rsidRPr="00F101F8">
        <w:rPr>
          <w:b/>
        </w:rPr>
        <w:t>Budget line 3</w:t>
      </w:r>
      <w:r w:rsidRPr="00F101F8">
        <w:t>, ‘</w:t>
      </w:r>
      <w:r w:rsidR="0040477D">
        <w:t>O</w:t>
      </w:r>
      <w:r w:rsidRPr="00F101F8">
        <w:t>ther functions of the Committee’, will be maintained at 20% in order to strengthen the work initiated during the current biennium.</w:t>
      </w:r>
      <w:r w:rsidR="00AF11E4">
        <w:t xml:space="preserve"> </w:t>
      </w:r>
      <w:r w:rsidR="00AF11E4" w:rsidRPr="000C3818">
        <w:t>Such functions are listed under Article 7 of the Convention</w:t>
      </w:r>
      <w:r w:rsidR="00AF11E4">
        <w:t xml:space="preserve"> and</w:t>
      </w:r>
      <w:r w:rsidR="00AF11E4" w:rsidRPr="000C3818">
        <w:t xml:space="preserve"> </w:t>
      </w:r>
      <w:r w:rsidR="00AF11E4">
        <w:t>t</w:t>
      </w:r>
      <w:r w:rsidR="00AF11E4" w:rsidRPr="000C3818">
        <w:t xml:space="preserve">he Secretariat makes use of these funds to assist the Committee in performing these functions, as required by Article 10 of the Convention. </w:t>
      </w:r>
      <w:r w:rsidR="00AF11E4">
        <w:t>In other words,</w:t>
      </w:r>
      <w:r w:rsidR="00AF11E4" w:rsidRPr="000C3818">
        <w:t xml:space="preserve"> these funds </w:t>
      </w:r>
      <w:r w:rsidR="00AF11E4">
        <w:t xml:space="preserve">will </w:t>
      </w:r>
      <w:r w:rsidR="00AF11E4" w:rsidRPr="000C3818">
        <w:t xml:space="preserve">primarily </w:t>
      </w:r>
      <w:r w:rsidR="00AF11E4">
        <w:t xml:space="preserve">be used </w:t>
      </w:r>
      <w:r w:rsidR="00AF11E4" w:rsidRPr="000C3818">
        <w:t>for promoting the objectives of the Convention and encouraging and monitoring its implementation (Article 7 [a]).</w:t>
      </w:r>
    </w:p>
    <w:p w14:paraId="47ADD16B" w14:textId="080F6573" w:rsidR="00D52471" w:rsidRDefault="00080F75" w:rsidP="00C21695">
      <w:pPr>
        <w:pStyle w:val="COMPara"/>
        <w:numPr>
          <w:ilvl w:val="0"/>
          <w:numId w:val="5"/>
        </w:numPr>
        <w:tabs>
          <w:tab w:val="left" w:pos="567"/>
        </w:tabs>
        <w:ind w:left="567" w:hanging="567"/>
        <w:jc w:val="both"/>
      </w:pPr>
      <w:r w:rsidRPr="00252447">
        <w:rPr>
          <w:bCs/>
        </w:rPr>
        <w:t xml:space="preserve">At its </w:t>
      </w:r>
      <w:r w:rsidR="00252447" w:rsidRPr="002625CB">
        <w:rPr>
          <w:bCs/>
        </w:rPr>
        <w:t>four</w:t>
      </w:r>
      <w:r w:rsidR="00252447" w:rsidRPr="00252447">
        <w:rPr>
          <w:bCs/>
        </w:rPr>
        <w:t xml:space="preserve">teenth </w:t>
      </w:r>
      <w:r w:rsidRPr="00252447">
        <w:rPr>
          <w:bCs/>
        </w:rPr>
        <w:t xml:space="preserve">session in 2019, the Committee </w:t>
      </w:r>
      <w:r w:rsidR="00150E24" w:rsidRPr="00252447">
        <w:rPr>
          <w:bCs/>
        </w:rPr>
        <w:t xml:space="preserve">introduced a new approval </w:t>
      </w:r>
      <w:r w:rsidR="0072369D">
        <w:rPr>
          <w:bCs/>
        </w:rPr>
        <w:t>procedure</w:t>
      </w:r>
      <w:r w:rsidR="0072369D" w:rsidRPr="00252447">
        <w:rPr>
          <w:bCs/>
        </w:rPr>
        <w:t xml:space="preserve"> </w:t>
      </w:r>
      <w:r w:rsidR="00150E24" w:rsidRPr="00252447">
        <w:rPr>
          <w:bCs/>
        </w:rPr>
        <w:t xml:space="preserve">for the </w:t>
      </w:r>
      <w:r w:rsidR="0010309F" w:rsidRPr="00252447">
        <w:rPr>
          <w:bCs/>
        </w:rPr>
        <w:t>spending plan under budget line 3</w:t>
      </w:r>
      <w:r w:rsidR="00252447">
        <w:rPr>
          <w:bCs/>
        </w:rPr>
        <w:t xml:space="preserve"> </w:t>
      </w:r>
      <w:r w:rsidR="00252447" w:rsidRPr="00080F75">
        <w:rPr>
          <w:bCs/>
        </w:rPr>
        <w:t>(</w:t>
      </w:r>
      <w:hyperlink r:id="rId20" w:history="1">
        <w:r w:rsidR="00252447" w:rsidRPr="00080F75">
          <w:rPr>
            <w:rStyle w:val="Lienhypertexte"/>
            <w:bCs/>
          </w:rPr>
          <w:t>Decision 14.COM 7</w:t>
        </w:r>
      </w:hyperlink>
      <w:r w:rsidR="00252447" w:rsidRPr="00080F75">
        <w:rPr>
          <w:bCs/>
        </w:rPr>
        <w:t>)</w:t>
      </w:r>
      <w:r w:rsidR="0010309F" w:rsidRPr="00252447">
        <w:rPr>
          <w:bCs/>
        </w:rPr>
        <w:t>. Until</w:t>
      </w:r>
      <w:r w:rsidR="0010309F">
        <w:rPr>
          <w:bCs/>
        </w:rPr>
        <w:t xml:space="preserve"> the 20</w:t>
      </w:r>
      <w:r w:rsidR="00C21695">
        <w:rPr>
          <w:bCs/>
        </w:rPr>
        <w:t>1</w:t>
      </w:r>
      <w:r w:rsidR="0010309F">
        <w:rPr>
          <w:bCs/>
        </w:rPr>
        <w:t>8</w:t>
      </w:r>
      <w:r w:rsidR="00C45470">
        <w:rPr>
          <w:bCs/>
        </w:rPr>
        <w:t>–</w:t>
      </w:r>
      <w:r w:rsidR="0010309F">
        <w:rPr>
          <w:bCs/>
        </w:rPr>
        <w:t>2019 biennium, the</w:t>
      </w:r>
      <w:r w:rsidR="00C21695">
        <w:rPr>
          <w:bCs/>
        </w:rPr>
        <w:t xml:space="preserve"> Committee delegated </w:t>
      </w:r>
      <w:r w:rsidR="00C21695" w:rsidRPr="00C21695">
        <w:rPr>
          <w:bCs/>
        </w:rPr>
        <w:t>to its Bureau the authority to decide upon the utilization of the funds allocated under budget line 3, on the basis of specific proposals to be prepared by the Secretariat</w:t>
      </w:r>
      <w:r w:rsidR="00C21695">
        <w:rPr>
          <w:bCs/>
        </w:rPr>
        <w:t xml:space="preserve"> (most recently in </w:t>
      </w:r>
      <w:hyperlink r:id="rId21" w:history="1">
        <w:r w:rsidR="00C21695" w:rsidRPr="00C21695">
          <w:rPr>
            <w:rStyle w:val="Lienhypertexte"/>
            <w:bCs/>
          </w:rPr>
          <w:t>Decision 12.COM 7</w:t>
        </w:r>
      </w:hyperlink>
      <w:r w:rsidR="00C21695">
        <w:rPr>
          <w:bCs/>
        </w:rPr>
        <w:t>)</w:t>
      </w:r>
      <w:r w:rsidR="00D46EC3">
        <w:rPr>
          <w:bCs/>
        </w:rPr>
        <w:t xml:space="preserve">. </w:t>
      </w:r>
      <w:r w:rsidR="00C21695">
        <w:rPr>
          <w:bCs/>
        </w:rPr>
        <w:t>From the 2020</w:t>
      </w:r>
      <w:r w:rsidR="00C45470">
        <w:rPr>
          <w:bCs/>
        </w:rPr>
        <w:t>–</w:t>
      </w:r>
      <w:r w:rsidR="00C21695">
        <w:rPr>
          <w:bCs/>
        </w:rPr>
        <w:t xml:space="preserve">2021 biennium onwards, the Committee </w:t>
      </w:r>
      <w:r w:rsidRPr="00080F75">
        <w:rPr>
          <w:bCs/>
        </w:rPr>
        <w:t>requested that the Secretariat present for examination by the sixteenth session of the Committee, and every session thereafter in odd-numbered years, a percentage breakdown under budget line 3 of the Plan, ‘</w:t>
      </w:r>
      <w:r w:rsidR="0040477D">
        <w:rPr>
          <w:bCs/>
        </w:rPr>
        <w:t>O</w:t>
      </w:r>
      <w:r w:rsidRPr="00080F75">
        <w:rPr>
          <w:bCs/>
        </w:rPr>
        <w:t>ther functions of the Committee’, in terms of Expected Results as per the approved C/5, with a view to present</w:t>
      </w:r>
      <w:r w:rsidR="00425427">
        <w:rPr>
          <w:bCs/>
        </w:rPr>
        <w:t>ing</w:t>
      </w:r>
      <w:r w:rsidRPr="00080F75">
        <w:rPr>
          <w:bCs/>
        </w:rPr>
        <w:t xml:space="preserve"> it for approval by the following session of the General Assembly (</w:t>
      </w:r>
      <w:hyperlink r:id="rId22" w:history="1">
        <w:r w:rsidRPr="00080F75">
          <w:rPr>
            <w:rStyle w:val="Lienhypertexte"/>
            <w:bCs/>
          </w:rPr>
          <w:t>Decision 14.COM 7</w:t>
        </w:r>
      </w:hyperlink>
      <w:r w:rsidRPr="00080F75">
        <w:rPr>
          <w:bCs/>
        </w:rPr>
        <w:t>). In the same decision</w:t>
      </w:r>
      <w:r w:rsidR="00C21695">
        <w:rPr>
          <w:bCs/>
        </w:rPr>
        <w:t xml:space="preserve"> and as a transitional measure</w:t>
      </w:r>
      <w:r w:rsidRPr="00080F75">
        <w:rPr>
          <w:bCs/>
        </w:rPr>
        <w:t>, the Committee requested</w:t>
      </w:r>
      <w:r w:rsidR="00C21695">
        <w:t xml:space="preserve"> that</w:t>
      </w:r>
      <w:r>
        <w:t xml:space="preserve"> a percentage breakdown </w:t>
      </w:r>
      <w:r w:rsidR="005305BD">
        <w:t xml:space="preserve">be submitted to the present session of the General Assembly </w:t>
      </w:r>
      <w:r>
        <w:t>under budget line 3 of the Plan, ‘Other functions of the Committee’, in terms of Expected Results as per the approved C/5.</w:t>
      </w:r>
    </w:p>
    <w:p w14:paraId="480ECBCB" w14:textId="768035E7" w:rsidR="00D46EC3" w:rsidRPr="00825A9A" w:rsidRDefault="0010309F" w:rsidP="00D46EC3">
      <w:pPr>
        <w:pStyle w:val="COMPara"/>
        <w:numPr>
          <w:ilvl w:val="0"/>
          <w:numId w:val="5"/>
        </w:numPr>
        <w:tabs>
          <w:tab w:val="left" w:pos="567"/>
        </w:tabs>
        <w:ind w:left="567" w:hanging="567"/>
        <w:jc w:val="both"/>
      </w:pPr>
      <w:r w:rsidRPr="00243B11">
        <w:rPr>
          <w:b/>
          <w:bCs/>
        </w:rPr>
        <w:t xml:space="preserve">Strategic </w:t>
      </w:r>
      <w:r w:rsidR="00D52471">
        <w:rPr>
          <w:b/>
          <w:bCs/>
        </w:rPr>
        <w:t>rationale</w:t>
      </w:r>
      <w:r w:rsidRPr="009414D3">
        <w:t>.</w:t>
      </w:r>
      <w:r>
        <w:t xml:space="preserve"> </w:t>
      </w:r>
      <w:r w:rsidR="00080F75" w:rsidRPr="009414D3">
        <w:rPr>
          <w:rStyle w:val="hps"/>
        </w:rPr>
        <w:t xml:space="preserve">The proposed </w:t>
      </w:r>
      <w:r w:rsidR="00947053">
        <w:rPr>
          <w:rStyle w:val="hps"/>
        </w:rPr>
        <w:t>plan for this budget line</w:t>
      </w:r>
      <w:r w:rsidR="00080F75" w:rsidRPr="009414D3">
        <w:rPr>
          <w:rStyle w:val="hps"/>
        </w:rPr>
        <w:t xml:space="preserve"> builds on the lessons learnt from activities implemented during the previous biennium. For consistency with the approved 40</w:t>
      </w:r>
      <w:r w:rsidR="00080F75">
        <w:rPr>
          <w:rStyle w:val="hps"/>
        </w:rPr>
        <w:t> </w:t>
      </w:r>
      <w:r w:rsidR="00080F75" w:rsidRPr="009414D3">
        <w:rPr>
          <w:rStyle w:val="hps"/>
        </w:rPr>
        <w:t xml:space="preserve">C/5 and integration with the related reports to the governing bodies of both the Convention and UNESCO, the proposed </w:t>
      </w:r>
      <w:r w:rsidR="00243B11">
        <w:rPr>
          <w:rStyle w:val="hps"/>
        </w:rPr>
        <w:t>E</w:t>
      </w:r>
      <w:r w:rsidR="00947053">
        <w:rPr>
          <w:rStyle w:val="hps"/>
        </w:rPr>
        <w:t xml:space="preserve">xpected </w:t>
      </w:r>
      <w:r w:rsidR="00243B11">
        <w:rPr>
          <w:rStyle w:val="hps"/>
        </w:rPr>
        <w:t>R</w:t>
      </w:r>
      <w:r w:rsidR="00947053">
        <w:rPr>
          <w:rStyle w:val="hps"/>
        </w:rPr>
        <w:t>esults</w:t>
      </w:r>
      <w:r w:rsidR="00243B11">
        <w:rPr>
          <w:rStyle w:val="hps"/>
        </w:rPr>
        <w:t xml:space="preserve"> (ERs)</w:t>
      </w:r>
      <w:r w:rsidR="00080F75" w:rsidRPr="009414D3">
        <w:rPr>
          <w:rStyle w:val="hps"/>
        </w:rPr>
        <w:t xml:space="preserve"> </w:t>
      </w:r>
      <w:r w:rsidR="00947053">
        <w:rPr>
          <w:rStyle w:val="hps"/>
        </w:rPr>
        <w:t>are</w:t>
      </w:r>
      <w:r w:rsidR="00080F75" w:rsidRPr="009414D3">
        <w:rPr>
          <w:rStyle w:val="hps"/>
        </w:rPr>
        <w:t xml:space="preserve"> aligned with </w:t>
      </w:r>
      <w:r w:rsidR="00947053">
        <w:rPr>
          <w:rStyle w:val="hps"/>
        </w:rPr>
        <w:t xml:space="preserve">the </w:t>
      </w:r>
      <w:hyperlink r:id="rId23" w:history="1">
        <w:r w:rsidR="00947053" w:rsidRPr="00D52471">
          <w:rPr>
            <w:rStyle w:val="Lienhypertexte"/>
          </w:rPr>
          <w:t>performance indicators</w:t>
        </w:r>
      </w:hyperlink>
      <w:r w:rsidR="00947053">
        <w:rPr>
          <w:rStyle w:val="hps"/>
        </w:rPr>
        <w:t xml:space="preserve"> defined</w:t>
      </w:r>
      <w:r w:rsidR="00080F75" w:rsidRPr="009414D3">
        <w:rPr>
          <w:rStyle w:val="hps"/>
        </w:rPr>
        <w:t xml:space="preserve"> in the 40</w:t>
      </w:r>
      <w:r w:rsidR="00080F75">
        <w:rPr>
          <w:rStyle w:val="hps"/>
        </w:rPr>
        <w:t> </w:t>
      </w:r>
      <w:r w:rsidR="00080F75" w:rsidRPr="009414D3">
        <w:rPr>
          <w:rStyle w:val="hps"/>
        </w:rPr>
        <w:t>C/5 for the Major Programme IV Culture, Main Line of Action 2, ER 6 ‘</w:t>
      </w:r>
      <w:r w:rsidR="00080F75" w:rsidRPr="0071659D">
        <w:rPr>
          <w:rStyle w:val="hps"/>
        </w:rPr>
        <w:t>Intangible cultural heritage identified and safeguarded by Member States and communities, in particular through the effective implementation of the 2003 Convention</w:t>
      </w:r>
      <w:r w:rsidR="00080F75" w:rsidRPr="009414D3">
        <w:rPr>
          <w:rStyle w:val="hps"/>
        </w:rPr>
        <w:t>’.</w:t>
      </w:r>
      <w:r w:rsidR="00080F75">
        <w:rPr>
          <w:rStyle w:val="hps"/>
        </w:rPr>
        <w:t xml:space="preserve"> </w:t>
      </w:r>
      <w:r w:rsidR="00D46EC3">
        <w:rPr>
          <w:rStyle w:val="hps"/>
        </w:rPr>
        <w:t>Furthermore, s</w:t>
      </w:r>
      <w:r w:rsidR="00D46EC3" w:rsidRPr="009414D3">
        <w:rPr>
          <w:rStyle w:val="hps"/>
        </w:rPr>
        <w:t xml:space="preserve">ince </w:t>
      </w:r>
      <w:r w:rsidR="00D46EC3" w:rsidRPr="00825A9A">
        <w:rPr>
          <w:rStyle w:val="hps"/>
        </w:rPr>
        <w:t>the annexed proposal covers the full biennium of 2020</w:t>
      </w:r>
      <w:r w:rsidR="005305BD" w:rsidRPr="00825A9A">
        <w:rPr>
          <w:rStyle w:val="hps"/>
        </w:rPr>
        <w:t>–</w:t>
      </w:r>
      <w:r w:rsidR="00D46EC3" w:rsidRPr="00825A9A">
        <w:rPr>
          <w:rStyle w:val="hps"/>
        </w:rPr>
        <w:t>2021 and supersedes the provisional spending plan previously approved by the Bureau of the Committee for the first six months of 2020 (</w:t>
      </w:r>
      <w:hyperlink r:id="rId24" w:history="1">
        <w:r w:rsidR="00D46EC3" w:rsidRPr="00825A9A">
          <w:rPr>
            <w:rStyle w:val="Lienhypertexte"/>
          </w:rPr>
          <w:t>Decision 14.COM</w:t>
        </w:r>
        <w:r w:rsidR="00D46EC3" w:rsidRPr="00825A9A">
          <w:rPr>
            <w:rStyle w:val="Lienhypertexte"/>
            <w:lang w:val="en-US"/>
          </w:rPr>
          <w:t> 2.BUR</w:t>
        </w:r>
        <w:r w:rsidR="00D46EC3" w:rsidRPr="00825A9A">
          <w:rPr>
            <w:rStyle w:val="Lienhypertexte"/>
          </w:rPr>
          <w:t xml:space="preserve"> 3</w:t>
        </w:r>
      </w:hyperlink>
      <w:r w:rsidR="00D46EC3" w:rsidRPr="00825A9A">
        <w:t>)</w:t>
      </w:r>
      <w:r w:rsidR="00D46EC3" w:rsidRPr="00825A9A">
        <w:rPr>
          <w:rStyle w:val="hps"/>
        </w:rPr>
        <w:t>, the ERs also include work accomplished in the first semester of 2020</w:t>
      </w:r>
      <w:r w:rsidR="00165DF8">
        <w:rPr>
          <w:rStyle w:val="hps"/>
        </w:rPr>
        <w:t>.</w:t>
      </w:r>
    </w:p>
    <w:p w14:paraId="242BCBFB" w14:textId="44126483" w:rsidR="00D52471" w:rsidRPr="00825A9A" w:rsidRDefault="00382F25" w:rsidP="00C21695">
      <w:pPr>
        <w:pStyle w:val="COMPara"/>
        <w:numPr>
          <w:ilvl w:val="0"/>
          <w:numId w:val="5"/>
        </w:numPr>
        <w:tabs>
          <w:tab w:val="left" w:pos="567"/>
        </w:tabs>
        <w:ind w:left="567" w:hanging="567"/>
        <w:jc w:val="both"/>
      </w:pPr>
      <w:r w:rsidRPr="00825A9A">
        <w:t>F</w:t>
      </w:r>
      <w:r w:rsidR="005820DD" w:rsidRPr="00825A9A">
        <w:t xml:space="preserve">unds allocated to this budget line will continue to provide essential support for </w:t>
      </w:r>
      <w:proofErr w:type="gramStart"/>
      <w:r w:rsidR="005820DD" w:rsidRPr="00825A9A">
        <w:t>a number of</w:t>
      </w:r>
      <w:proofErr w:type="gramEnd"/>
      <w:r w:rsidR="005820DD" w:rsidRPr="00825A9A">
        <w:t xml:space="preserve"> upstream and cross-cutting </w:t>
      </w:r>
      <w:r w:rsidR="00D52471" w:rsidRPr="00825A9A">
        <w:t>actions that have an overall and long-term impact for the implementation of the Convention</w:t>
      </w:r>
      <w:r w:rsidR="00B6469B" w:rsidRPr="00825A9A">
        <w:t>.</w:t>
      </w:r>
      <w:r w:rsidR="00D52471" w:rsidRPr="00825A9A">
        <w:t xml:space="preserve"> </w:t>
      </w:r>
      <w:r w:rsidR="00B6469B" w:rsidRPr="00825A9A">
        <w:t>Specifically, the fund will support</w:t>
      </w:r>
      <w:r w:rsidR="00D52471" w:rsidRPr="00825A9A">
        <w:t xml:space="preserve"> </w:t>
      </w:r>
      <w:r w:rsidR="0080143E" w:rsidRPr="00825A9A">
        <w:t xml:space="preserve">cross-cutting </w:t>
      </w:r>
      <w:r w:rsidR="00D52471" w:rsidRPr="00825A9A">
        <w:t>orientations</w:t>
      </w:r>
      <w:r w:rsidR="00B6469B" w:rsidRPr="00825A9A">
        <w:t xml:space="preserve"> to</w:t>
      </w:r>
      <w:r w:rsidR="00D52471" w:rsidRPr="00825A9A">
        <w:t>:</w:t>
      </w:r>
    </w:p>
    <w:p w14:paraId="2923E867" w14:textId="2F06D887" w:rsidR="00D52471" w:rsidRPr="00825A9A" w:rsidRDefault="00D52471" w:rsidP="00D52471">
      <w:pPr>
        <w:pStyle w:val="GAPara"/>
        <w:numPr>
          <w:ilvl w:val="0"/>
          <w:numId w:val="16"/>
        </w:numPr>
        <w:ind w:left="1134" w:hanging="567"/>
        <w:jc w:val="both"/>
      </w:pPr>
      <w:r w:rsidRPr="00825A9A">
        <w:t xml:space="preserve">Highlight the contributions that safeguarding living heritage can make for sustaining the world’s cultural diversity </w:t>
      </w:r>
      <w:r w:rsidR="000D0C29" w:rsidRPr="00825A9A">
        <w:t>and for addressing</w:t>
      </w:r>
      <w:r w:rsidRPr="00825A9A">
        <w:t xml:space="preserve"> a broad range of sustainable development issues in line with the 2030 Agenda</w:t>
      </w:r>
      <w:r w:rsidR="000D0C29" w:rsidRPr="00825A9A">
        <w:t>:</w:t>
      </w:r>
      <w:r w:rsidRPr="00825A9A">
        <w:t> </w:t>
      </w:r>
      <w:r w:rsidR="007C2112" w:rsidRPr="00825A9A">
        <w:t xml:space="preserve">this includes efforts to deepen the integration of living heritage into broader UNESCO programmes and </w:t>
      </w:r>
      <w:r w:rsidR="000D0C29" w:rsidRPr="00825A9A">
        <w:t xml:space="preserve">strengthen its </w:t>
      </w:r>
      <w:r w:rsidR="007C2112" w:rsidRPr="00825A9A">
        <w:t>contribution to SDGs</w:t>
      </w:r>
      <w:r w:rsidR="000D0C29" w:rsidRPr="00825A9A">
        <w:t>, in particular</w:t>
      </w:r>
      <w:r w:rsidR="007C2112" w:rsidRPr="00825A9A">
        <w:t xml:space="preserve"> those concerning education, gender, climate change, indigenous people and youth;</w:t>
      </w:r>
    </w:p>
    <w:p w14:paraId="66FC3D22" w14:textId="2E4CF087" w:rsidR="007C2112" w:rsidRDefault="007C2112" w:rsidP="007C2112">
      <w:pPr>
        <w:pStyle w:val="GAPara"/>
        <w:numPr>
          <w:ilvl w:val="0"/>
          <w:numId w:val="16"/>
        </w:numPr>
        <w:ind w:left="1134" w:hanging="567"/>
        <w:jc w:val="both"/>
      </w:pPr>
      <w:r w:rsidRPr="0072422D">
        <w:t xml:space="preserve">Seek means </w:t>
      </w:r>
      <w:r>
        <w:t>to mobilize financial</w:t>
      </w:r>
      <w:r w:rsidRPr="0072422D">
        <w:t xml:space="preserve"> resources </w:t>
      </w:r>
      <w:r>
        <w:t>for</w:t>
      </w:r>
      <w:r w:rsidRPr="0072422D">
        <w:t xml:space="preserve"> the Convention</w:t>
      </w:r>
      <w:r>
        <w:t xml:space="preserve"> in order</w:t>
      </w:r>
      <w:r w:rsidRPr="0072422D">
        <w:t xml:space="preserve"> to meet the growing demands of </w:t>
      </w:r>
      <w:r w:rsidR="00B6469B">
        <w:t>its</w:t>
      </w:r>
      <w:r w:rsidRPr="0072422D">
        <w:t xml:space="preserve"> </w:t>
      </w:r>
      <w:r>
        <w:t xml:space="preserve">governing bodies </w:t>
      </w:r>
      <w:r w:rsidRPr="0072422D">
        <w:t>and th</w:t>
      </w:r>
      <w:r>
        <w:t>ose</w:t>
      </w:r>
      <w:r w:rsidRPr="0072422D">
        <w:t xml:space="preserve"> </w:t>
      </w:r>
      <w:r>
        <w:t>of</w:t>
      </w:r>
      <w:r w:rsidRPr="0072422D">
        <w:t xml:space="preserve"> the international community;</w:t>
      </w:r>
    </w:p>
    <w:p w14:paraId="65417FF7" w14:textId="1E2D15A3" w:rsidR="00D52471" w:rsidRDefault="00314146" w:rsidP="00D52471">
      <w:pPr>
        <w:pStyle w:val="GAPara"/>
        <w:numPr>
          <w:ilvl w:val="0"/>
          <w:numId w:val="16"/>
        </w:numPr>
        <w:ind w:left="1134" w:hanging="567"/>
        <w:jc w:val="both"/>
      </w:pPr>
      <w:r>
        <w:t>Enhance</w:t>
      </w:r>
      <w:r w:rsidR="00425427">
        <w:t xml:space="preserve"> the visibility of the Convention and t</w:t>
      </w:r>
      <w:r w:rsidR="00FC4493">
        <w:t xml:space="preserve">he accessibility of information through </w:t>
      </w:r>
      <w:r>
        <w:t>an improved</w:t>
      </w:r>
      <w:r w:rsidR="00FC4493">
        <w:t xml:space="preserve"> website, as well as</w:t>
      </w:r>
      <w:r w:rsidR="00D52471" w:rsidRPr="0072422D">
        <w:t xml:space="preserve"> outreach and communication</w:t>
      </w:r>
      <w:r w:rsidR="007C2112">
        <w:t xml:space="preserve"> initiatives</w:t>
      </w:r>
      <w:r w:rsidR="00D52471">
        <w:t>;</w:t>
      </w:r>
    </w:p>
    <w:p w14:paraId="5CAB5380" w14:textId="440B3FE9" w:rsidR="007C2112" w:rsidRPr="0072422D" w:rsidRDefault="007C2112" w:rsidP="007C2112">
      <w:pPr>
        <w:pStyle w:val="GAPara"/>
        <w:numPr>
          <w:ilvl w:val="0"/>
          <w:numId w:val="16"/>
        </w:numPr>
        <w:ind w:left="1134" w:hanging="567"/>
        <w:jc w:val="both"/>
      </w:pPr>
      <w:r w:rsidRPr="0072422D">
        <w:t xml:space="preserve">Support the reflections on the core issues identified by the Committee that are crucial for the further </w:t>
      </w:r>
      <w:r w:rsidRPr="00684003">
        <w:t>development of the Convention</w:t>
      </w:r>
      <w:r>
        <w:t xml:space="preserve">, including on the future of the </w:t>
      </w:r>
      <w:r w:rsidRPr="00684003">
        <w:t xml:space="preserve">listing mechanisms, </w:t>
      </w:r>
      <w:r>
        <w:t xml:space="preserve">the </w:t>
      </w:r>
      <w:r w:rsidRPr="00684003">
        <w:t xml:space="preserve">economic </w:t>
      </w:r>
      <w:r>
        <w:t>implications</w:t>
      </w:r>
      <w:r w:rsidRPr="00684003">
        <w:t xml:space="preserve"> of</w:t>
      </w:r>
      <w:r>
        <w:t xml:space="preserve"> activities linked to</w:t>
      </w:r>
      <w:r w:rsidRPr="00684003">
        <w:t xml:space="preserve"> living heritage</w:t>
      </w:r>
      <w:r>
        <w:t xml:space="preserve"> and the enhanced </w:t>
      </w:r>
      <w:r w:rsidRPr="00684003">
        <w:t xml:space="preserve">participation of civil society and NGOs; </w:t>
      </w:r>
    </w:p>
    <w:p w14:paraId="3EEC03B8" w14:textId="21D4C049" w:rsidR="007C2112" w:rsidRPr="00CA334F" w:rsidRDefault="007C2112" w:rsidP="007C2112">
      <w:pPr>
        <w:pStyle w:val="GAPara"/>
        <w:numPr>
          <w:ilvl w:val="0"/>
          <w:numId w:val="16"/>
        </w:numPr>
        <w:ind w:left="1134" w:hanging="567"/>
        <w:jc w:val="both"/>
      </w:pPr>
      <w:r>
        <w:t>Continue</w:t>
      </w:r>
      <w:r w:rsidRPr="0072422D">
        <w:t xml:space="preserve"> the </w:t>
      </w:r>
      <w:r w:rsidRPr="00CA334F">
        <w:t>ongoing transition of the global capacity-building programme to support States</w:t>
      </w:r>
      <w:r w:rsidR="0080143E" w:rsidRPr="00CA334F">
        <w:t xml:space="preserve"> and communities</w:t>
      </w:r>
      <w:r w:rsidRPr="00CA334F">
        <w:t xml:space="preserve"> in the implementation of the Convention at the national level through </w:t>
      </w:r>
      <w:r w:rsidR="00425427">
        <w:t xml:space="preserve">a broader range of </w:t>
      </w:r>
      <w:r w:rsidR="00425427" w:rsidRPr="0072422D">
        <w:t xml:space="preserve">institutional partnerships </w:t>
      </w:r>
      <w:r w:rsidR="00425427">
        <w:t xml:space="preserve">and </w:t>
      </w:r>
      <w:r w:rsidRPr="00CA334F">
        <w:t>more diversified training formats and contents.</w:t>
      </w:r>
    </w:p>
    <w:p w14:paraId="71EB922F" w14:textId="1EEB993E" w:rsidR="00CE26EE" w:rsidRPr="00CA334F" w:rsidRDefault="00582D3E" w:rsidP="00C21695">
      <w:pPr>
        <w:pStyle w:val="COMPara"/>
        <w:numPr>
          <w:ilvl w:val="0"/>
          <w:numId w:val="5"/>
        </w:numPr>
        <w:tabs>
          <w:tab w:val="left" w:pos="567"/>
        </w:tabs>
        <w:ind w:left="567" w:hanging="567"/>
        <w:jc w:val="both"/>
      </w:pPr>
      <w:r w:rsidRPr="00CA334F">
        <w:rPr>
          <w:rStyle w:val="hps"/>
          <w:b/>
        </w:rPr>
        <w:t>Breakdown by Expected Result</w:t>
      </w:r>
      <w:r w:rsidR="0071659D" w:rsidRPr="00CA334F">
        <w:rPr>
          <w:rStyle w:val="hps"/>
          <w:b/>
        </w:rPr>
        <w:t>.</w:t>
      </w:r>
      <w:r w:rsidRPr="00CA334F">
        <w:rPr>
          <w:rStyle w:val="hps"/>
        </w:rPr>
        <w:t xml:space="preserve"> </w:t>
      </w:r>
      <w:r w:rsidR="00D52471" w:rsidRPr="00CA334F">
        <w:rPr>
          <w:rStyle w:val="hps"/>
        </w:rPr>
        <w:t>A</w:t>
      </w:r>
      <w:r w:rsidR="0071659D" w:rsidRPr="00CA334F">
        <w:rPr>
          <w:rStyle w:val="hps"/>
        </w:rPr>
        <w:t xml:space="preserve">ll four </w:t>
      </w:r>
      <w:r w:rsidR="00CE26EE" w:rsidRPr="00CA334F">
        <w:rPr>
          <w:rStyle w:val="hps"/>
        </w:rPr>
        <w:t>ERs remain the same as in the previous biennium</w:t>
      </w:r>
      <w:r w:rsidR="00CA334F" w:rsidRPr="00CA334F">
        <w:rPr>
          <w:rStyle w:val="hps"/>
        </w:rPr>
        <w:t>,</w:t>
      </w:r>
      <w:r w:rsidR="00D52471" w:rsidRPr="00CA334F">
        <w:rPr>
          <w:rStyle w:val="hps"/>
        </w:rPr>
        <w:t xml:space="preserve"> in line with the 40 C/5</w:t>
      </w:r>
      <w:r w:rsidR="00CE26EE" w:rsidRPr="00CA334F">
        <w:rPr>
          <w:rStyle w:val="hps"/>
        </w:rPr>
        <w:t xml:space="preserve">. </w:t>
      </w:r>
      <w:r w:rsidR="00CA334F" w:rsidRPr="00CA334F">
        <w:rPr>
          <w:rStyle w:val="hps"/>
        </w:rPr>
        <w:t>The budget proposed for the current biennium aims to balance the allocation between the different ERs</w:t>
      </w:r>
      <w:r w:rsidR="002E7D69">
        <w:rPr>
          <w:rStyle w:val="hps"/>
        </w:rPr>
        <w:t>:</w:t>
      </w:r>
    </w:p>
    <w:tbl>
      <w:tblPr>
        <w:tblW w:w="7938" w:type="dxa"/>
        <w:tblInd w:w="1276" w:type="dxa"/>
        <w:tblLook w:val="04A0" w:firstRow="1" w:lastRow="0" w:firstColumn="1" w:lastColumn="0" w:noHBand="0" w:noVBand="1"/>
      </w:tblPr>
      <w:tblGrid>
        <w:gridCol w:w="4194"/>
        <w:gridCol w:w="1289"/>
        <w:gridCol w:w="1225"/>
        <w:gridCol w:w="1230"/>
      </w:tblGrid>
      <w:tr w:rsidR="009D1A8D" w:rsidRPr="00601B38" w14:paraId="55F0F31A" w14:textId="2E404748" w:rsidTr="00E07554">
        <w:tc>
          <w:tcPr>
            <w:tcW w:w="4249" w:type="dxa"/>
            <w:shd w:val="clear" w:color="auto" w:fill="BFBFBF"/>
          </w:tcPr>
          <w:p w14:paraId="75541978" w14:textId="77777777" w:rsidR="009D1A8D" w:rsidRPr="009D1A8D" w:rsidRDefault="009D1A8D" w:rsidP="00FB0B14">
            <w:pPr>
              <w:keepNext/>
              <w:spacing w:before="60" w:after="60"/>
              <w:rPr>
                <w:rFonts w:ascii="Arial" w:hAnsi="Arial" w:cs="Arial"/>
                <w:b/>
                <w:sz w:val="20"/>
                <w:szCs w:val="20"/>
                <w:lang w:val="en-GB"/>
              </w:rPr>
            </w:pPr>
            <w:r w:rsidRPr="009D1A8D">
              <w:rPr>
                <w:rFonts w:ascii="Arial" w:hAnsi="Arial" w:cs="Arial"/>
                <w:b/>
                <w:sz w:val="20"/>
                <w:szCs w:val="20"/>
                <w:lang w:val="en-GB"/>
              </w:rPr>
              <w:t>Expected Result</w:t>
            </w:r>
          </w:p>
        </w:tc>
        <w:tc>
          <w:tcPr>
            <w:tcW w:w="1229" w:type="dxa"/>
            <w:shd w:val="clear" w:color="auto" w:fill="BFBFBF"/>
          </w:tcPr>
          <w:p w14:paraId="36620F4C" w14:textId="6BD52817" w:rsidR="009D1A8D" w:rsidRPr="009D1A8D" w:rsidRDefault="007263B0" w:rsidP="00FB0B14">
            <w:pPr>
              <w:keepNext/>
              <w:spacing w:before="60" w:after="60"/>
              <w:jc w:val="center"/>
              <w:rPr>
                <w:rFonts w:ascii="Arial" w:hAnsi="Arial" w:cs="Arial"/>
                <w:b/>
                <w:sz w:val="20"/>
                <w:szCs w:val="20"/>
                <w:lang w:val="en-GB"/>
              </w:rPr>
            </w:pPr>
            <w:r>
              <w:rPr>
                <w:rFonts w:ascii="Arial" w:hAnsi="Arial" w:cs="Arial"/>
                <w:b/>
                <w:sz w:val="20"/>
                <w:szCs w:val="20"/>
                <w:lang w:val="en-GB"/>
              </w:rPr>
              <w:t>2018</w:t>
            </w:r>
            <w:r>
              <w:rPr>
                <w:rFonts w:ascii="Arial" w:hAnsi="Arial" w:cs="Arial"/>
                <w:b/>
                <w:sz w:val="20"/>
                <w:szCs w:val="20"/>
                <w:lang w:val="en-GB"/>
              </w:rPr>
              <w:sym w:font="Symbol" w:char="F02D"/>
            </w:r>
            <w:r w:rsidR="009D1A8D" w:rsidRPr="009D1A8D">
              <w:rPr>
                <w:rFonts w:ascii="Arial" w:hAnsi="Arial" w:cs="Arial"/>
                <w:b/>
                <w:sz w:val="20"/>
                <w:szCs w:val="20"/>
                <w:lang w:val="en-GB"/>
              </w:rPr>
              <w:t>2019</w:t>
            </w:r>
            <w:r w:rsidR="00A75AA8">
              <w:rPr>
                <w:rStyle w:val="Appelnotedebasdep"/>
                <w:rFonts w:ascii="Arial" w:hAnsi="Arial" w:cs="Arial"/>
                <w:b/>
                <w:sz w:val="20"/>
                <w:szCs w:val="20"/>
                <w:lang w:val="en-GB"/>
              </w:rPr>
              <w:footnoteReference w:id="4"/>
            </w:r>
          </w:p>
        </w:tc>
        <w:tc>
          <w:tcPr>
            <w:tcW w:w="1230" w:type="dxa"/>
            <w:shd w:val="clear" w:color="auto" w:fill="BFBFBF"/>
          </w:tcPr>
          <w:p w14:paraId="6BC67746" w14:textId="51696914" w:rsidR="009D1A8D" w:rsidRPr="009D1A8D" w:rsidRDefault="009D1A8D" w:rsidP="00FB0B14">
            <w:pPr>
              <w:keepNext/>
              <w:spacing w:before="60" w:after="60"/>
              <w:jc w:val="center"/>
              <w:rPr>
                <w:rFonts w:ascii="Arial" w:hAnsi="Arial" w:cs="Arial"/>
                <w:b/>
                <w:sz w:val="20"/>
                <w:szCs w:val="20"/>
                <w:lang w:val="en-GB"/>
              </w:rPr>
            </w:pPr>
            <w:r w:rsidRPr="009D1A8D">
              <w:rPr>
                <w:rFonts w:ascii="Arial" w:hAnsi="Arial" w:cs="Arial"/>
                <w:b/>
                <w:sz w:val="20"/>
                <w:szCs w:val="20"/>
                <w:lang w:val="en-GB"/>
              </w:rPr>
              <w:t xml:space="preserve">1 January </w:t>
            </w:r>
            <w:r w:rsidR="007263B0">
              <w:rPr>
                <w:rFonts w:ascii="Arial" w:hAnsi="Arial" w:cs="Arial"/>
                <w:b/>
                <w:sz w:val="20"/>
                <w:szCs w:val="20"/>
                <w:lang w:val="en-GB"/>
              </w:rPr>
              <w:sym w:font="Symbol" w:char="F02D"/>
            </w:r>
            <w:r w:rsidRPr="009D1A8D">
              <w:rPr>
                <w:rFonts w:ascii="Arial" w:hAnsi="Arial" w:cs="Arial"/>
                <w:b/>
                <w:sz w:val="20"/>
                <w:szCs w:val="20"/>
                <w:lang w:val="en-GB"/>
              </w:rPr>
              <w:t xml:space="preserve"> 30 June 2020</w:t>
            </w:r>
            <w:r w:rsidR="00543D43">
              <w:rPr>
                <w:rStyle w:val="Appelnotedebasdep"/>
                <w:rFonts w:ascii="Arial" w:hAnsi="Arial" w:cs="Arial"/>
                <w:b/>
                <w:sz w:val="20"/>
                <w:szCs w:val="20"/>
                <w:lang w:val="en-GB"/>
              </w:rPr>
              <w:footnoteReference w:id="5"/>
            </w:r>
          </w:p>
        </w:tc>
        <w:tc>
          <w:tcPr>
            <w:tcW w:w="1230" w:type="dxa"/>
            <w:shd w:val="clear" w:color="auto" w:fill="BFBFBF"/>
          </w:tcPr>
          <w:p w14:paraId="6AF1B671" w14:textId="5B9A8EB5" w:rsidR="009D1A8D" w:rsidRPr="009D1A8D" w:rsidRDefault="009D1A8D" w:rsidP="00FB0B14">
            <w:pPr>
              <w:keepNext/>
              <w:spacing w:before="60" w:after="60"/>
              <w:jc w:val="center"/>
              <w:rPr>
                <w:rFonts w:ascii="Arial" w:hAnsi="Arial" w:cs="Arial"/>
                <w:b/>
                <w:sz w:val="20"/>
                <w:szCs w:val="20"/>
                <w:lang w:val="en-GB"/>
              </w:rPr>
            </w:pPr>
            <w:r w:rsidRPr="009D1A8D">
              <w:rPr>
                <w:rFonts w:ascii="Arial" w:hAnsi="Arial" w:cs="Arial"/>
                <w:b/>
                <w:sz w:val="20"/>
                <w:szCs w:val="20"/>
                <w:lang w:val="en-GB"/>
              </w:rPr>
              <w:t>2020</w:t>
            </w:r>
            <w:r w:rsidR="007263B0">
              <w:rPr>
                <w:rFonts w:ascii="Arial" w:hAnsi="Arial" w:cs="Arial"/>
                <w:b/>
                <w:sz w:val="20"/>
                <w:szCs w:val="20"/>
                <w:lang w:val="en-GB"/>
              </w:rPr>
              <w:sym w:font="Symbol" w:char="F02D"/>
            </w:r>
            <w:r w:rsidRPr="009D1A8D">
              <w:rPr>
                <w:rFonts w:ascii="Arial" w:hAnsi="Arial" w:cs="Arial"/>
                <w:b/>
                <w:sz w:val="20"/>
                <w:szCs w:val="20"/>
                <w:lang w:val="en-GB"/>
              </w:rPr>
              <w:t>2021</w:t>
            </w:r>
          </w:p>
        </w:tc>
      </w:tr>
      <w:tr w:rsidR="009D1A8D" w:rsidRPr="00601B38" w14:paraId="24684C64" w14:textId="305FDB05" w:rsidTr="00E07554">
        <w:tc>
          <w:tcPr>
            <w:tcW w:w="4249" w:type="dxa"/>
            <w:shd w:val="clear" w:color="auto" w:fill="auto"/>
          </w:tcPr>
          <w:p w14:paraId="17AB1593" w14:textId="51EB329B" w:rsidR="009D1A8D" w:rsidRPr="009D1A8D" w:rsidRDefault="009D1A8D" w:rsidP="00FB0B14">
            <w:pPr>
              <w:keepNext/>
              <w:spacing w:before="60" w:after="60"/>
              <w:rPr>
                <w:rFonts w:ascii="Arial" w:hAnsi="Arial" w:cs="Arial"/>
                <w:sz w:val="20"/>
                <w:szCs w:val="20"/>
                <w:lang w:val="en-GB"/>
              </w:rPr>
            </w:pPr>
            <w:r w:rsidRPr="009D1A8D">
              <w:rPr>
                <w:rFonts w:ascii="Arial" w:hAnsi="Arial" w:cs="Arial"/>
                <w:sz w:val="20"/>
                <w:szCs w:val="20"/>
                <w:lang w:val="en-GB"/>
              </w:rPr>
              <w:t>ER 1: Sound governance of the 2003 Convention facilitated by enhanced monitoring</w:t>
            </w:r>
            <w:r w:rsidR="00165DF8">
              <w:rPr>
                <w:rFonts w:ascii="Arial" w:hAnsi="Arial" w:cs="Arial"/>
                <w:sz w:val="20"/>
                <w:szCs w:val="20"/>
                <w:lang w:val="en-GB"/>
              </w:rPr>
              <w:t xml:space="preserve"> and</w:t>
            </w:r>
            <w:r w:rsidRPr="009D1A8D">
              <w:rPr>
                <w:rFonts w:ascii="Arial" w:hAnsi="Arial" w:cs="Arial"/>
                <w:sz w:val="20"/>
                <w:szCs w:val="20"/>
                <w:lang w:val="en-GB"/>
              </w:rPr>
              <w:t xml:space="preserve"> knowledge management services</w:t>
            </w:r>
          </w:p>
        </w:tc>
        <w:tc>
          <w:tcPr>
            <w:tcW w:w="1229" w:type="dxa"/>
          </w:tcPr>
          <w:p w14:paraId="196755D0" w14:textId="4F62A774" w:rsidR="009D1A8D" w:rsidRPr="009D1A8D" w:rsidRDefault="003C5FE9" w:rsidP="00FB0B14">
            <w:pPr>
              <w:keepNext/>
              <w:spacing w:before="60" w:after="60"/>
              <w:jc w:val="center"/>
              <w:rPr>
                <w:rFonts w:ascii="Arial" w:hAnsi="Arial" w:cs="Arial"/>
                <w:sz w:val="20"/>
                <w:szCs w:val="20"/>
                <w:lang w:val="en-GB"/>
              </w:rPr>
            </w:pPr>
            <w:r>
              <w:rPr>
                <w:rFonts w:ascii="Arial" w:hAnsi="Arial" w:cs="Arial"/>
                <w:sz w:val="20"/>
                <w:szCs w:val="20"/>
                <w:lang w:val="en-GB"/>
              </w:rPr>
              <w:t>20</w:t>
            </w:r>
            <w:r w:rsidR="009D1A8D" w:rsidRPr="009D1A8D">
              <w:rPr>
                <w:rFonts w:ascii="Arial" w:hAnsi="Arial" w:cs="Arial"/>
                <w:sz w:val="20"/>
                <w:szCs w:val="20"/>
                <w:lang w:val="en-GB"/>
              </w:rPr>
              <w:t>%</w:t>
            </w:r>
          </w:p>
        </w:tc>
        <w:tc>
          <w:tcPr>
            <w:tcW w:w="1230" w:type="dxa"/>
          </w:tcPr>
          <w:p w14:paraId="5BA51F49" w14:textId="5B44240E" w:rsidR="009D1A8D" w:rsidRPr="009D1A8D" w:rsidRDefault="009D1A8D" w:rsidP="00FB0B14">
            <w:pPr>
              <w:keepNext/>
              <w:spacing w:before="60" w:after="60"/>
              <w:jc w:val="center"/>
              <w:rPr>
                <w:rFonts w:ascii="Arial" w:hAnsi="Arial" w:cs="Arial"/>
                <w:sz w:val="20"/>
                <w:szCs w:val="20"/>
                <w:lang w:val="en-GB"/>
              </w:rPr>
            </w:pPr>
            <w:r w:rsidRPr="009D1A8D">
              <w:rPr>
                <w:rFonts w:ascii="Arial" w:hAnsi="Arial" w:cs="Arial"/>
                <w:sz w:val="20"/>
                <w:szCs w:val="20"/>
                <w:lang w:val="en-GB"/>
              </w:rPr>
              <w:t>23%</w:t>
            </w:r>
          </w:p>
        </w:tc>
        <w:tc>
          <w:tcPr>
            <w:tcW w:w="1230" w:type="dxa"/>
            <w:shd w:val="clear" w:color="auto" w:fill="auto"/>
          </w:tcPr>
          <w:p w14:paraId="2C53C2E3" w14:textId="16BEF55E" w:rsidR="009D1A8D" w:rsidRPr="00B702ED" w:rsidRDefault="008C7D30" w:rsidP="00FB0B14">
            <w:pPr>
              <w:keepNext/>
              <w:spacing w:before="60" w:after="60"/>
              <w:jc w:val="center"/>
              <w:rPr>
                <w:rFonts w:ascii="Arial" w:hAnsi="Arial" w:cs="Arial"/>
                <w:sz w:val="20"/>
                <w:szCs w:val="20"/>
                <w:lang w:val="en-GB"/>
              </w:rPr>
            </w:pPr>
            <w:r w:rsidRPr="00B702ED">
              <w:rPr>
                <w:rFonts w:ascii="Arial" w:hAnsi="Arial" w:cs="Arial"/>
                <w:sz w:val="20"/>
                <w:szCs w:val="20"/>
                <w:lang w:val="en-GB"/>
              </w:rPr>
              <w:t>27</w:t>
            </w:r>
            <w:r w:rsidR="009D1A8D" w:rsidRPr="00B702ED">
              <w:rPr>
                <w:rFonts w:ascii="Arial" w:hAnsi="Arial" w:cs="Arial"/>
                <w:sz w:val="20"/>
                <w:szCs w:val="20"/>
                <w:lang w:val="en-GB"/>
              </w:rPr>
              <w:t>%</w:t>
            </w:r>
          </w:p>
        </w:tc>
      </w:tr>
      <w:tr w:rsidR="009D1A8D" w:rsidRPr="00601B38" w14:paraId="37E604B5" w14:textId="17CD1192" w:rsidTr="00E07554">
        <w:tc>
          <w:tcPr>
            <w:tcW w:w="4249" w:type="dxa"/>
            <w:shd w:val="clear" w:color="auto" w:fill="auto"/>
          </w:tcPr>
          <w:p w14:paraId="50476E92" w14:textId="3E9F5473" w:rsidR="009D1A8D" w:rsidRPr="002E26EC" w:rsidRDefault="009D1A8D" w:rsidP="00FB0B14">
            <w:pPr>
              <w:keepNext/>
              <w:spacing w:before="60" w:after="60"/>
              <w:rPr>
                <w:rFonts w:ascii="Arial" w:hAnsi="Arial" w:cs="Arial"/>
                <w:sz w:val="20"/>
                <w:szCs w:val="20"/>
                <w:lang w:val="en-GB"/>
              </w:rPr>
            </w:pPr>
            <w:r w:rsidRPr="002E26EC">
              <w:rPr>
                <w:rFonts w:ascii="Arial" w:hAnsi="Arial" w:cs="Arial"/>
                <w:sz w:val="20"/>
                <w:szCs w:val="20"/>
                <w:lang w:val="en-GB"/>
              </w:rPr>
              <w:t xml:space="preserve">ER 2: Implementation of the Convention in Member States encouraged through a strengthened capacity-building programme </w:t>
            </w:r>
          </w:p>
        </w:tc>
        <w:tc>
          <w:tcPr>
            <w:tcW w:w="1229" w:type="dxa"/>
          </w:tcPr>
          <w:p w14:paraId="5F69B380" w14:textId="36D7E407" w:rsidR="009D1A8D" w:rsidRPr="002E26EC" w:rsidRDefault="003C5FE9" w:rsidP="00FB0B14">
            <w:pPr>
              <w:keepNext/>
              <w:spacing w:before="60" w:after="60"/>
              <w:jc w:val="center"/>
              <w:rPr>
                <w:rFonts w:ascii="Arial" w:hAnsi="Arial" w:cs="Arial"/>
                <w:sz w:val="20"/>
                <w:szCs w:val="20"/>
                <w:lang w:val="en-GB"/>
              </w:rPr>
            </w:pPr>
            <w:r w:rsidRPr="002E26EC">
              <w:rPr>
                <w:rFonts w:ascii="Arial" w:hAnsi="Arial" w:cs="Arial"/>
                <w:sz w:val="20"/>
                <w:szCs w:val="20"/>
                <w:lang w:val="en-GB"/>
              </w:rPr>
              <w:t>36</w:t>
            </w:r>
            <w:r w:rsidR="009D1A8D" w:rsidRPr="002E26EC">
              <w:rPr>
                <w:rFonts w:ascii="Arial" w:hAnsi="Arial" w:cs="Arial"/>
                <w:sz w:val="20"/>
                <w:szCs w:val="20"/>
                <w:lang w:val="en-GB"/>
              </w:rPr>
              <w:t>%</w:t>
            </w:r>
          </w:p>
        </w:tc>
        <w:tc>
          <w:tcPr>
            <w:tcW w:w="1230" w:type="dxa"/>
          </w:tcPr>
          <w:p w14:paraId="7B14D3A1" w14:textId="60281F93" w:rsidR="009D1A8D" w:rsidRPr="002E26EC" w:rsidRDefault="009D1A8D" w:rsidP="00FB0B14">
            <w:pPr>
              <w:keepNext/>
              <w:spacing w:before="60" w:after="60"/>
              <w:jc w:val="center"/>
              <w:rPr>
                <w:rFonts w:ascii="Arial" w:hAnsi="Arial" w:cs="Arial"/>
                <w:sz w:val="20"/>
                <w:szCs w:val="20"/>
                <w:lang w:val="en-GB"/>
              </w:rPr>
            </w:pPr>
            <w:r w:rsidRPr="002E26EC">
              <w:rPr>
                <w:rFonts w:ascii="Arial" w:hAnsi="Arial" w:cs="Arial"/>
                <w:sz w:val="20"/>
                <w:szCs w:val="20"/>
                <w:lang w:val="en-GB"/>
              </w:rPr>
              <w:t>43%</w:t>
            </w:r>
          </w:p>
        </w:tc>
        <w:tc>
          <w:tcPr>
            <w:tcW w:w="1230" w:type="dxa"/>
            <w:shd w:val="clear" w:color="auto" w:fill="auto"/>
          </w:tcPr>
          <w:p w14:paraId="751814E1" w14:textId="1353A1F5" w:rsidR="009D1A8D" w:rsidRPr="00B702ED" w:rsidRDefault="008C7D30" w:rsidP="00FB0B14">
            <w:pPr>
              <w:keepNext/>
              <w:spacing w:before="60" w:after="60"/>
              <w:jc w:val="center"/>
              <w:rPr>
                <w:rFonts w:ascii="Arial" w:hAnsi="Arial" w:cs="Arial"/>
                <w:sz w:val="20"/>
                <w:szCs w:val="20"/>
                <w:lang w:val="en-GB"/>
              </w:rPr>
            </w:pPr>
            <w:r w:rsidRPr="002E26EC">
              <w:rPr>
                <w:rFonts w:ascii="Arial" w:hAnsi="Arial" w:cs="Arial"/>
                <w:sz w:val="20"/>
                <w:szCs w:val="20"/>
                <w:lang w:val="en-GB"/>
              </w:rPr>
              <w:t>33</w:t>
            </w:r>
            <w:r w:rsidR="009D1A8D" w:rsidRPr="002E26EC">
              <w:rPr>
                <w:rFonts w:ascii="Arial" w:hAnsi="Arial" w:cs="Arial"/>
                <w:sz w:val="20"/>
                <w:szCs w:val="20"/>
                <w:lang w:val="en-GB"/>
              </w:rPr>
              <w:t>%</w:t>
            </w:r>
          </w:p>
        </w:tc>
      </w:tr>
      <w:tr w:rsidR="009D1A8D" w:rsidRPr="00601B38" w14:paraId="6197639F" w14:textId="5D48F5D9" w:rsidTr="00E07554">
        <w:tc>
          <w:tcPr>
            <w:tcW w:w="4249" w:type="dxa"/>
            <w:shd w:val="clear" w:color="auto" w:fill="auto"/>
          </w:tcPr>
          <w:p w14:paraId="0E4F6F18" w14:textId="77777777" w:rsidR="009D1A8D" w:rsidRPr="009D1A8D" w:rsidRDefault="009D1A8D" w:rsidP="00FB0B14">
            <w:pPr>
              <w:keepNext/>
              <w:spacing w:before="60" w:after="60"/>
              <w:rPr>
                <w:rFonts w:ascii="Arial" w:hAnsi="Arial" w:cs="Arial"/>
                <w:sz w:val="20"/>
                <w:szCs w:val="20"/>
                <w:lang w:val="en-GB"/>
              </w:rPr>
            </w:pPr>
            <w:r w:rsidRPr="009D1A8D">
              <w:rPr>
                <w:rFonts w:ascii="Arial" w:hAnsi="Arial" w:cs="Arial"/>
                <w:sz w:val="20"/>
                <w:szCs w:val="20"/>
                <w:lang w:val="en-GB"/>
              </w:rPr>
              <w:t>ER 3: Integration of intangible cultural heritage into development plans, policies and programmes supported</w:t>
            </w:r>
          </w:p>
        </w:tc>
        <w:tc>
          <w:tcPr>
            <w:tcW w:w="1229" w:type="dxa"/>
          </w:tcPr>
          <w:p w14:paraId="1865AF4F" w14:textId="0A78FD70" w:rsidR="009D1A8D" w:rsidRPr="009D1A8D" w:rsidRDefault="003C5FE9" w:rsidP="00FB0B14">
            <w:pPr>
              <w:keepNext/>
              <w:spacing w:before="60" w:after="60"/>
              <w:jc w:val="center"/>
              <w:rPr>
                <w:rFonts w:ascii="Arial" w:hAnsi="Arial" w:cs="Arial"/>
                <w:sz w:val="20"/>
                <w:szCs w:val="20"/>
                <w:lang w:val="en-GB"/>
              </w:rPr>
            </w:pPr>
            <w:r>
              <w:rPr>
                <w:rFonts w:ascii="Arial" w:hAnsi="Arial" w:cs="Arial"/>
                <w:sz w:val="20"/>
                <w:szCs w:val="20"/>
                <w:lang w:val="en-GB"/>
              </w:rPr>
              <w:t>17</w:t>
            </w:r>
            <w:r w:rsidR="009D1A8D" w:rsidRPr="009D1A8D">
              <w:rPr>
                <w:rFonts w:ascii="Arial" w:hAnsi="Arial" w:cs="Arial"/>
                <w:sz w:val="20"/>
                <w:szCs w:val="20"/>
                <w:lang w:val="en-GB"/>
              </w:rPr>
              <w:t>%</w:t>
            </w:r>
          </w:p>
        </w:tc>
        <w:tc>
          <w:tcPr>
            <w:tcW w:w="1230" w:type="dxa"/>
          </w:tcPr>
          <w:p w14:paraId="6AAA014A" w14:textId="7E503938" w:rsidR="009D1A8D" w:rsidRPr="009D1A8D" w:rsidRDefault="009D1A8D" w:rsidP="00FB0B14">
            <w:pPr>
              <w:keepNext/>
              <w:spacing w:before="60" w:after="60"/>
              <w:jc w:val="center"/>
              <w:rPr>
                <w:rFonts w:ascii="Arial" w:hAnsi="Arial" w:cs="Arial"/>
                <w:sz w:val="20"/>
                <w:szCs w:val="20"/>
                <w:lang w:val="en-GB"/>
              </w:rPr>
            </w:pPr>
            <w:r w:rsidRPr="009D1A8D">
              <w:rPr>
                <w:rFonts w:ascii="Arial" w:hAnsi="Arial" w:cs="Arial"/>
                <w:sz w:val="20"/>
                <w:szCs w:val="20"/>
                <w:lang w:val="en-GB"/>
              </w:rPr>
              <w:t>14%</w:t>
            </w:r>
          </w:p>
        </w:tc>
        <w:tc>
          <w:tcPr>
            <w:tcW w:w="1230" w:type="dxa"/>
            <w:shd w:val="clear" w:color="auto" w:fill="auto"/>
          </w:tcPr>
          <w:p w14:paraId="10031709" w14:textId="5E9F6576" w:rsidR="009D1A8D" w:rsidRPr="00B702ED" w:rsidRDefault="008C7D30" w:rsidP="00FB0B14">
            <w:pPr>
              <w:keepNext/>
              <w:spacing w:before="60" w:after="60"/>
              <w:jc w:val="center"/>
              <w:rPr>
                <w:rFonts w:ascii="Arial" w:hAnsi="Arial" w:cs="Arial"/>
                <w:sz w:val="20"/>
                <w:szCs w:val="20"/>
                <w:lang w:val="en-GB"/>
              </w:rPr>
            </w:pPr>
            <w:r w:rsidRPr="00B702ED">
              <w:rPr>
                <w:rFonts w:ascii="Arial" w:hAnsi="Arial" w:cs="Arial"/>
                <w:sz w:val="20"/>
                <w:szCs w:val="20"/>
                <w:lang w:val="en-GB"/>
              </w:rPr>
              <w:t>13</w:t>
            </w:r>
            <w:r w:rsidR="009D1A8D" w:rsidRPr="00B702ED">
              <w:rPr>
                <w:rFonts w:ascii="Arial" w:hAnsi="Arial" w:cs="Arial"/>
                <w:sz w:val="20"/>
                <w:szCs w:val="20"/>
                <w:lang w:val="en-GB"/>
              </w:rPr>
              <w:t>%</w:t>
            </w:r>
          </w:p>
        </w:tc>
      </w:tr>
      <w:tr w:rsidR="009D1A8D" w:rsidRPr="00601B38" w14:paraId="0A7F9557" w14:textId="1EB90466" w:rsidTr="00E07554">
        <w:tc>
          <w:tcPr>
            <w:tcW w:w="4249" w:type="dxa"/>
            <w:shd w:val="clear" w:color="auto" w:fill="auto"/>
          </w:tcPr>
          <w:p w14:paraId="07D5C32D" w14:textId="77777777" w:rsidR="009D1A8D" w:rsidRPr="009D1A8D" w:rsidRDefault="009D1A8D" w:rsidP="00FB0B14">
            <w:pPr>
              <w:keepNext/>
              <w:spacing w:before="60" w:after="60"/>
              <w:rPr>
                <w:rFonts w:ascii="Arial" w:hAnsi="Arial" w:cs="Arial"/>
                <w:sz w:val="20"/>
                <w:szCs w:val="20"/>
                <w:lang w:val="en-GB"/>
              </w:rPr>
            </w:pPr>
            <w:r w:rsidRPr="009D1A8D">
              <w:rPr>
                <w:rFonts w:ascii="Arial" w:hAnsi="Arial" w:cs="Arial"/>
                <w:sz w:val="20"/>
                <w:szCs w:val="20"/>
                <w:lang w:val="en-GB"/>
              </w:rPr>
              <w:t>ER 4: Objectives of the Convention promoted through awareness-raising and outreach</w:t>
            </w:r>
          </w:p>
        </w:tc>
        <w:tc>
          <w:tcPr>
            <w:tcW w:w="1229" w:type="dxa"/>
          </w:tcPr>
          <w:p w14:paraId="2EAD44DB" w14:textId="24044D6A" w:rsidR="009D1A8D" w:rsidRPr="009D1A8D" w:rsidRDefault="003C5FE9" w:rsidP="00FB0B14">
            <w:pPr>
              <w:keepNext/>
              <w:spacing w:before="60" w:after="60"/>
              <w:jc w:val="center"/>
              <w:rPr>
                <w:rFonts w:ascii="Arial" w:hAnsi="Arial" w:cs="Arial"/>
                <w:sz w:val="20"/>
                <w:szCs w:val="20"/>
                <w:lang w:val="en-GB"/>
              </w:rPr>
            </w:pPr>
            <w:r>
              <w:rPr>
                <w:rFonts w:ascii="Arial" w:hAnsi="Arial" w:cs="Arial"/>
                <w:sz w:val="20"/>
                <w:szCs w:val="20"/>
                <w:lang w:val="en-GB"/>
              </w:rPr>
              <w:t>27</w:t>
            </w:r>
            <w:r w:rsidR="009D1A8D" w:rsidRPr="009D1A8D">
              <w:rPr>
                <w:rFonts w:ascii="Arial" w:hAnsi="Arial" w:cs="Arial"/>
                <w:sz w:val="20"/>
                <w:szCs w:val="20"/>
                <w:lang w:val="en-GB"/>
              </w:rPr>
              <w:t>%</w:t>
            </w:r>
          </w:p>
        </w:tc>
        <w:tc>
          <w:tcPr>
            <w:tcW w:w="1230" w:type="dxa"/>
          </w:tcPr>
          <w:p w14:paraId="05197CB2" w14:textId="66B00BFB" w:rsidR="009D1A8D" w:rsidRPr="009D1A8D" w:rsidRDefault="009D1A8D" w:rsidP="00FB0B14">
            <w:pPr>
              <w:keepNext/>
              <w:spacing w:before="60" w:after="60"/>
              <w:jc w:val="center"/>
              <w:rPr>
                <w:rFonts w:ascii="Arial" w:hAnsi="Arial" w:cs="Arial"/>
                <w:sz w:val="20"/>
                <w:szCs w:val="20"/>
                <w:lang w:val="en-GB"/>
              </w:rPr>
            </w:pPr>
            <w:r w:rsidRPr="009D1A8D">
              <w:rPr>
                <w:rFonts w:ascii="Arial" w:hAnsi="Arial" w:cs="Arial"/>
                <w:sz w:val="20"/>
                <w:szCs w:val="20"/>
                <w:lang w:val="en-GB"/>
              </w:rPr>
              <w:t>20%</w:t>
            </w:r>
          </w:p>
        </w:tc>
        <w:tc>
          <w:tcPr>
            <w:tcW w:w="1230" w:type="dxa"/>
            <w:shd w:val="clear" w:color="auto" w:fill="auto"/>
          </w:tcPr>
          <w:p w14:paraId="48373F2E" w14:textId="541AA46A" w:rsidR="009D1A8D" w:rsidRPr="00B702ED" w:rsidRDefault="008C7D30" w:rsidP="00FB0B14">
            <w:pPr>
              <w:keepNext/>
              <w:spacing w:before="60" w:after="60"/>
              <w:jc w:val="center"/>
              <w:rPr>
                <w:rFonts w:ascii="Arial" w:hAnsi="Arial" w:cs="Arial"/>
                <w:sz w:val="20"/>
                <w:szCs w:val="20"/>
                <w:lang w:val="en-GB"/>
              </w:rPr>
            </w:pPr>
            <w:r w:rsidRPr="00B702ED">
              <w:rPr>
                <w:rFonts w:ascii="Arial" w:hAnsi="Arial" w:cs="Arial"/>
                <w:sz w:val="20"/>
                <w:szCs w:val="20"/>
                <w:lang w:val="en-GB"/>
              </w:rPr>
              <w:t>2</w:t>
            </w:r>
            <w:r w:rsidR="00E912CE">
              <w:rPr>
                <w:rFonts w:ascii="Arial" w:hAnsi="Arial" w:cs="Arial"/>
                <w:sz w:val="20"/>
                <w:szCs w:val="20"/>
                <w:lang w:val="en-GB"/>
              </w:rPr>
              <w:t>7</w:t>
            </w:r>
            <w:r w:rsidR="009D1A8D" w:rsidRPr="00B702ED">
              <w:rPr>
                <w:rFonts w:ascii="Arial" w:hAnsi="Arial" w:cs="Arial"/>
                <w:sz w:val="20"/>
                <w:szCs w:val="20"/>
                <w:lang w:val="en-GB"/>
              </w:rPr>
              <w:t>%</w:t>
            </w:r>
          </w:p>
        </w:tc>
      </w:tr>
      <w:tr w:rsidR="009D1A8D" w:rsidRPr="00601B38" w14:paraId="043DCCAB" w14:textId="4F649DA5" w:rsidTr="00E07554">
        <w:tc>
          <w:tcPr>
            <w:tcW w:w="4249" w:type="dxa"/>
            <w:shd w:val="clear" w:color="auto" w:fill="auto"/>
          </w:tcPr>
          <w:p w14:paraId="5B90E4F9" w14:textId="77777777" w:rsidR="009D1A8D" w:rsidRPr="009D1A8D" w:rsidRDefault="009D1A8D" w:rsidP="00FB0B14">
            <w:pPr>
              <w:keepNext/>
              <w:spacing w:before="60" w:after="60"/>
              <w:jc w:val="both"/>
              <w:rPr>
                <w:rFonts w:ascii="Arial" w:hAnsi="Arial" w:cs="Arial"/>
                <w:sz w:val="20"/>
                <w:szCs w:val="20"/>
                <w:lang w:val="en-GB"/>
              </w:rPr>
            </w:pPr>
            <w:r w:rsidRPr="009D1A8D">
              <w:rPr>
                <w:rFonts w:ascii="Arial" w:hAnsi="Arial" w:cs="Arial"/>
                <w:sz w:val="20"/>
                <w:szCs w:val="20"/>
                <w:lang w:val="en-GB"/>
              </w:rPr>
              <w:t>Total budget</w:t>
            </w:r>
          </w:p>
        </w:tc>
        <w:tc>
          <w:tcPr>
            <w:tcW w:w="1229" w:type="dxa"/>
          </w:tcPr>
          <w:p w14:paraId="60AD1167" w14:textId="77777777" w:rsidR="009D1A8D" w:rsidRPr="009D1A8D" w:rsidRDefault="009D1A8D" w:rsidP="00FB0B14">
            <w:pPr>
              <w:keepNext/>
              <w:spacing w:before="60" w:after="60"/>
              <w:jc w:val="center"/>
              <w:rPr>
                <w:rFonts w:ascii="Arial" w:hAnsi="Arial" w:cs="Arial"/>
                <w:sz w:val="20"/>
                <w:szCs w:val="20"/>
                <w:lang w:val="en-GB"/>
              </w:rPr>
            </w:pPr>
            <w:r w:rsidRPr="009D1A8D">
              <w:rPr>
                <w:rFonts w:ascii="Arial" w:hAnsi="Arial" w:cs="Arial"/>
                <w:sz w:val="20"/>
                <w:szCs w:val="20"/>
                <w:lang w:val="en-GB"/>
              </w:rPr>
              <w:t>100%</w:t>
            </w:r>
          </w:p>
        </w:tc>
        <w:tc>
          <w:tcPr>
            <w:tcW w:w="1230" w:type="dxa"/>
          </w:tcPr>
          <w:p w14:paraId="28B535A7" w14:textId="0AC89918" w:rsidR="009D1A8D" w:rsidRPr="009D1A8D" w:rsidRDefault="009D1A8D" w:rsidP="00FB0B14">
            <w:pPr>
              <w:keepNext/>
              <w:spacing w:before="60" w:after="60"/>
              <w:jc w:val="center"/>
              <w:rPr>
                <w:rFonts w:ascii="Arial" w:hAnsi="Arial" w:cs="Arial"/>
                <w:sz w:val="20"/>
                <w:szCs w:val="20"/>
                <w:lang w:val="en-GB"/>
              </w:rPr>
            </w:pPr>
            <w:r w:rsidRPr="009D1A8D">
              <w:rPr>
                <w:rFonts w:ascii="Arial" w:hAnsi="Arial" w:cs="Arial"/>
                <w:sz w:val="20"/>
                <w:szCs w:val="20"/>
                <w:lang w:val="en-GB"/>
              </w:rPr>
              <w:t>100%</w:t>
            </w:r>
          </w:p>
        </w:tc>
        <w:tc>
          <w:tcPr>
            <w:tcW w:w="1230" w:type="dxa"/>
            <w:shd w:val="clear" w:color="auto" w:fill="auto"/>
          </w:tcPr>
          <w:p w14:paraId="6A817A4D" w14:textId="3DD17D00" w:rsidR="009D1A8D" w:rsidRPr="00601B38" w:rsidRDefault="009D1A8D" w:rsidP="00FB0B14">
            <w:pPr>
              <w:keepNext/>
              <w:spacing w:before="60" w:after="60"/>
              <w:jc w:val="center"/>
              <w:rPr>
                <w:rFonts w:ascii="Arial" w:hAnsi="Arial" w:cs="Arial"/>
                <w:sz w:val="20"/>
                <w:szCs w:val="20"/>
                <w:highlight w:val="magenta"/>
                <w:lang w:val="en-GB"/>
              </w:rPr>
            </w:pPr>
            <w:r w:rsidRPr="009D1A8D">
              <w:rPr>
                <w:rFonts w:ascii="Arial" w:hAnsi="Arial" w:cs="Arial"/>
                <w:sz w:val="20"/>
                <w:szCs w:val="20"/>
                <w:lang w:val="en-GB"/>
              </w:rPr>
              <w:t>100%</w:t>
            </w:r>
          </w:p>
        </w:tc>
      </w:tr>
    </w:tbl>
    <w:p w14:paraId="4B102C46" w14:textId="68DB32DE" w:rsidR="00E07554" w:rsidRPr="005820DD" w:rsidRDefault="00E07554" w:rsidP="00C21695">
      <w:pPr>
        <w:pStyle w:val="COMPara"/>
        <w:numPr>
          <w:ilvl w:val="0"/>
          <w:numId w:val="5"/>
        </w:numPr>
        <w:tabs>
          <w:tab w:val="left" w:pos="567"/>
        </w:tabs>
        <w:spacing w:before="240"/>
        <w:ind w:left="567" w:hanging="567"/>
        <w:jc w:val="both"/>
      </w:pPr>
      <w:r w:rsidRPr="005820DD">
        <w:t>In order to avoid interruptions or delays in execution and in line with the resolution adopted by the General Conference at its fortieth session in November 2019, authorizing the Director-General to make transfers between appropriation lines of UNESCO’s regular programme up to an amount of 5% of the initial appropriation under the 40 C/5</w:t>
      </w:r>
      <w:r w:rsidR="008679E2">
        <w:t>,</w:t>
      </w:r>
      <w:r w:rsidRPr="005820DD">
        <w:rPr>
          <w:rStyle w:val="Appelnotedebasdep"/>
        </w:rPr>
        <w:footnoteReference w:id="6"/>
      </w:r>
      <w:r w:rsidRPr="005820DD">
        <w:t xml:space="preserve"> the Committee authorized the Secretariat to make transfers between activities within budget line 3 up to a cumulative amount equivalent to 5% of the initial total allocation</w:t>
      </w:r>
      <w:r>
        <w:t xml:space="preserve"> (</w:t>
      </w:r>
      <w:hyperlink r:id="rId25" w:history="1">
        <w:r w:rsidRPr="005820DD">
          <w:rPr>
            <w:rStyle w:val="Lienhypertexte"/>
          </w:rPr>
          <w:t>Decision 14.COM 7</w:t>
        </w:r>
      </w:hyperlink>
      <w:r>
        <w:t>)</w:t>
      </w:r>
      <w:r w:rsidRPr="005820DD">
        <w:t xml:space="preserve">. </w:t>
      </w:r>
      <w:r w:rsidR="00161ACE">
        <w:t>Base</w:t>
      </w:r>
      <w:r w:rsidR="008D7EFB">
        <w:t>d</w:t>
      </w:r>
      <w:r w:rsidR="00161ACE">
        <w:t xml:space="preserve"> on the indicative amount of the budget indicated in Annex I</w:t>
      </w:r>
      <w:r w:rsidR="0055566B">
        <w:t>, t</w:t>
      </w:r>
      <w:r w:rsidRPr="005820DD">
        <w:t xml:space="preserve">his </w:t>
      </w:r>
      <w:r w:rsidR="0055566B">
        <w:t>would be</w:t>
      </w:r>
      <w:r w:rsidR="0055566B" w:rsidRPr="005820DD">
        <w:t xml:space="preserve"> </w:t>
      </w:r>
      <w:r w:rsidRPr="005820DD">
        <w:t xml:space="preserve">equivalent </w:t>
      </w:r>
      <w:r w:rsidRPr="007C2112">
        <w:t>to US$</w:t>
      </w:r>
      <w:r w:rsidR="007C2112" w:rsidRPr="007C2112">
        <w:t>78,403</w:t>
      </w:r>
      <w:r w:rsidRPr="005820DD">
        <w:t>. The Secretariat would inform the Committee in writing, at the session following such action, of the details and reasons for these transfers</w:t>
      </w:r>
      <w:r w:rsidR="00FC4493">
        <w:t>, should they occur</w:t>
      </w:r>
      <w:r w:rsidRPr="005820DD">
        <w:t>.</w:t>
      </w:r>
    </w:p>
    <w:p w14:paraId="258450E1" w14:textId="77777777" w:rsidR="00CE26EE" w:rsidRPr="00E07554" w:rsidRDefault="00CE26EE" w:rsidP="001740D7">
      <w:pPr>
        <w:pStyle w:val="Titre2"/>
        <w:tabs>
          <w:tab w:val="left" w:pos="567"/>
        </w:tabs>
        <w:snapToGrid w:val="0"/>
        <w:spacing w:before="360" w:after="240"/>
        <w:ind w:left="567"/>
        <w:jc w:val="both"/>
        <w:rPr>
          <w:rStyle w:val="hps"/>
          <w:rFonts w:ascii="Times New Roman" w:hAnsi="Times New Roman"/>
          <w:bCs w:val="0"/>
          <w:iCs w:val="0"/>
          <w:sz w:val="24"/>
          <w:szCs w:val="24"/>
          <w:lang w:val="en-US"/>
        </w:rPr>
      </w:pPr>
      <w:r w:rsidRPr="00E07554">
        <w:rPr>
          <w:rFonts w:ascii="Arial" w:hAnsi="Arial" w:cs="Arial"/>
          <w:bCs w:val="0"/>
          <w:i w:val="0"/>
          <w:iCs w:val="0"/>
          <w:snapToGrid w:val="0"/>
          <w:sz w:val="22"/>
          <w:szCs w:val="22"/>
          <w:lang w:val="en-GB" w:eastAsia="en-US"/>
        </w:rPr>
        <w:t>Expected Result 1: Sound governance of the 2003 Convention facilitated by enhanced monitoring and knowledge management services</w:t>
      </w:r>
    </w:p>
    <w:p w14:paraId="5523931F" w14:textId="10B26B08" w:rsidR="00E07554" w:rsidRPr="007263B0" w:rsidRDefault="00E07554">
      <w:pPr>
        <w:pStyle w:val="COMPara"/>
        <w:numPr>
          <w:ilvl w:val="0"/>
          <w:numId w:val="5"/>
        </w:numPr>
        <w:tabs>
          <w:tab w:val="left" w:pos="567"/>
        </w:tabs>
        <w:ind w:left="567" w:hanging="567"/>
        <w:jc w:val="both"/>
        <w:rPr>
          <w:rStyle w:val="hps"/>
          <w:rFonts w:ascii="Cambria" w:hAnsi="Cambria" w:cs="Times New Roman"/>
          <w:b/>
          <w:bCs/>
          <w:iCs/>
          <w:snapToGrid/>
          <w:sz w:val="28"/>
          <w:szCs w:val="28"/>
          <w:lang w:eastAsia="fr-FR"/>
        </w:rPr>
      </w:pPr>
      <w:r w:rsidRPr="00E07554">
        <w:rPr>
          <w:rStyle w:val="hps"/>
        </w:rPr>
        <w:t xml:space="preserve">Sound governance of the 2003 Convention is paramount to ensuring that all stakeholders can be efficient and innovative in their work to implement the Convention at the national and international levels and enables a broader demonstration of the importance of safeguarding living heritage in general for sustainable development. To this end, the Secretariat facilitates continual improvements to monitoring and knowledge management and ensures follow up on decisions of the Committee. The global reflection on the listing mechanisms will be a focus of the next couple of years (Decisions </w:t>
      </w:r>
      <w:hyperlink r:id="rId26" w:history="1">
        <w:r w:rsidRPr="00465A62">
          <w:rPr>
            <w:rStyle w:val="Lienhypertexte"/>
          </w:rPr>
          <w:t>13.COM 6</w:t>
        </w:r>
      </w:hyperlink>
      <w:r w:rsidRPr="00E07554">
        <w:rPr>
          <w:rStyle w:val="hps"/>
        </w:rPr>
        <w:t xml:space="preserve">, </w:t>
      </w:r>
      <w:hyperlink r:id="rId27" w:history="1">
        <w:r w:rsidRPr="00465A62">
          <w:rPr>
            <w:rStyle w:val="Lienhypertexte"/>
          </w:rPr>
          <w:t>13.COM 10</w:t>
        </w:r>
      </w:hyperlink>
      <w:r w:rsidRPr="00E07554">
        <w:rPr>
          <w:rStyle w:val="hps"/>
        </w:rPr>
        <w:t xml:space="preserve"> and </w:t>
      </w:r>
      <w:hyperlink r:id="rId28" w:history="1">
        <w:r w:rsidRPr="00465A62">
          <w:rPr>
            <w:rStyle w:val="Lienhypertexte"/>
          </w:rPr>
          <w:t>14.COM 14</w:t>
        </w:r>
      </w:hyperlink>
      <w:r w:rsidRPr="00E07554">
        <w:rPr>
          <w:rStyle w:val="hps"/>
        </w:rPr>
        <w:t xml:space="preserve">), and as such, the Secretariat will continue to support this process, which is </w:t>
      </w:r>
      <w:r w:rsidR="00C77225">
        <w:rPr>
          <w:rStyle w:val="hps"/>
        </w:rPr>
        <w:t>funded largely</w:t>
      </w:r>
      <w:r w:rsidR="00C77225" w:rsidRPr="00E07554">
        <w:rPr>
          <w:rStyle w:val="hps"/>
        </w:rPr>
        <w:t xml:space="preserve"> </w:t>
      </w:r>
      <w:r w:rsidRPr="00E07554">
        <w:rPr>
          <w:rStyle w:val="hps"/>
        </w:rPr>
        <w:t xml:space="preserve">by Japan, notably </w:t>
      </w:r>
      <w:r w:rsidRPr="002625CB">
        <w:rPr>
          <w:rStyle w:val="hps"/>
        </w:rPr>
        <w:t>through the organization of an expert meeting and an intergovernmental open-ended working group</w:t>
      </w:r>
      <w:r w:rsidRPr="0028775E">
        <w:rPr>
          <w:rStyle w:val="hps"/>
        </w:rPr>
        <w:t>.</w:t>
      </w:r>
      <w:r w:rsidRPr="00E07554">
        <w:rPr>
          <w:rStyle w:val="hps"/>
        </w:rPr>
        <w:t xml:space="preserve"> Similarly, in response </w:t>
      </w:r>
      <w:r w:rsidR="008C7D30">
        <w:rPr>
          <w:rStyle w:val="hps"/>
        </w:rPr>
        <w:t>to</w:t>
      </w:r>
      <w:r w:rsidRPr="00E07554">
        <w:rPr>
          <w:rStyle w:val="hps"/>
        </w:rPr>
        <w:t xml:space="preserve"> recurrent recommendations of the Evaluation Body</w:t>
      </w:r>
      <w:r w:rsidR="008C7D30">
        <w:rPr>
          <w:rStyle w:val="hps"/>
        </w:rPr>
        <w:t xml:space="preserve"> and</w:t>
      </w:r>
      <w:r w:rsidR="008C7D30" w:rsidRPr="00E07554">
        <w:rPr>
          <w:rStyle w:val="hps"/>
        </w:rPr>
        <w:t xml:space="preserve"> a decision of the Committee </w:t>
      </w:r>
      <w:r w:rsidR="008C7D30">
        <w:rPr>
          <w:rStyle w:val="hps"/>
        </w:rPr>
        <w:t xml:space="preserve">requesting </w:t>
      </w:r>
      <w:r w:rsidR="00E912CE">
        <w:rPr>
          <w:rStyle w:val="hps"/>
        </w:rPr>
        <w:t>‘</w:t>
      </w:r>
      <w:r w:rsidR="008C7D30">
        <w:rPr>
          <w:rStyle w:val="hps"/>
        </w:rPr>
        <w:t xml:space="preserve">the Secretariat </w:t>
      </w:r>
      <w:r w:rsidR="00FC4493">
        <w:rPr>
          <w:rStyle w:val="hps"/>
        </w:rPr>
        <w:t>t</w:t>
      </w:r>
      <w:r w:rsidR="00E912CE" w:rsidRPr="00E912CE">
        <w:rPr>
          <w:rStyle w:val="hps"/>
        </w:rPr>
        <w:t>o publish the recommendations of the Evaluation Body on the safeguarding measures and good practices that address the risk of decontextualization and over-commercialization of elements</w:t>
      </w:r>
      <w:r w:rsidR="00E912CE">
        <w:rPr>
          <w:rStyle w:val="hps"/>
        </w:rPr>
        <w:t>’</w:t>
      </w:r>
      <w:r w:rsidR="008C7D30">
        <w:rPr>
          <w:rStyle w:val="hps"/>
        </w:rPr>
        <w:t xml:space="preserve"> </w:t>
      </w:r>
      <w:r w:rsidR="008C7D30" w:rsidRPr="00E07554">
        <w:rPr>
          <w:rStyle w:val="hps"/>
        </w:rPr>
        <w:t>(</w:t>
      </w:r>
      <w:hyperlink r:id="rId29" w:history="1">
        <w:r w:rsidR="008C7D30" w:rsidRPr="0076647E">
          <w:rPr>
            <w:rStyle w:val="Lienhypertexte"/>
          </w:rPr>
          <w:t>Decision 14.COM 10</w:t>
        </w:r>
      </w:hyperlink>
      <w:r w:rsidR="008C7D30" w:rsidRPr="00E07554">
        <w:rPr>
          <w:rStyle w:val="hps"/>
        </w:rPr>
        <w:t>)</w:t>
      </w:r>
      <w:r w:rsidRPr="00E07554">
        <w:rPr>
          <w:rStyle w:val="hps"/>
        </w:rPr>
        <w:t xml:space="preserve">, the Secretariat </w:t>
      </w:r>
      <w:r w:rsidR="00FC4493">
        <w:rPr>
          <w:rStyle w:val="hps"/>
        </w:rPr>
        <w:t xml:space="preserve">also </w:t>
      </w:r>
      <w:r w:rsidR="00E912CE">
        <w:rPr>
          <w:rStyle w:val="hps"/>
        </w:rPr>
        <w:t xml:space="preserve">proposes </w:t>
      </w:r>
      <w:r w:rsidR="00FC4493">
        <w:rPr>
          <w:rStyle w:val="hps"/>
        </w:rPr>
        <w:t xml:space="preserve">to </w:t>
      </w:r>
      <w:r w:rsidRPr="00E07554">
        <w:rPr>
          <w:rStyle w:val="hps"/>
        </w:rPr>
        <w:t>work on guidance</w:t>
      </w:r>
      <w:r w:rsidR="0076647E">
        <w:rPr>
          <w:rStyle w:val="hps"/>
        </w:rPr>
        <w:t xml:space="preserve"> for States Parties and communities</w:t>
      </w:r>
      <w:r w:rsidRPr="00E07554">
        <w:rPr>
          <w:rStyle w:val="hps"/>
        </w:rPr>
        <w:t xml:space="preserve"> </w:t>
      </w:r>
      <w:r w:rsidR="00E912CE">
        <w:rPr>
          <w:rStyle w:val="hps"/>
        </w:rPr>
        <w:t>for</w:t>
      </w:r>
      <w:r w:rsidR="00E912CE" w:rsidRPr="00E07554">
        <w:rPr>
          <w:rStyle w:val="hps"/>
        </w:rPr>
        <w:t xml:space="preserve"> </w:t>
      </w:r>
      <w:r w:rsidR="0076647E">
        <w:rPr>
          <w:rStyle w:val="hps"/>
        </w:rPr>
        <w:t xml:space="preserve">leveraging </w:t>
      </w:r>
      <w:r w:rsidRPr="00E07554">
        <w:rPr>
          <w:rStyle w:val="hps"/>
        </w:rPr>
        <w:t xml:space="preserve">the economic potential of living heritage </w:t>
      </w:r>
      <w:r w:rsidR="0076647E">
        <w:rPr>
          <w:rStyle w:val="hps"/>
        </w:rPr>
        <w:t xml:space="preserve">while addressing </w:t>
      </w:r>
      <w:r w:rsidRPr="00E07554">
        <w:rPr>
          <w:rStyle w:val="hps"/>
        </w:rPr>
        <w:t xml:space="preserve">the risks of </w:t>
      </w:r>
      <w:r w:rsidR="00D66131" w:rsidRPr="00E07554">
        <w:rPr>
          <w:rStyle w:val="hps"/>
        </w:rPr>
        <w:t>decontextualization</w:t>
      </w:r>
      <w:r w:rsidRPr="00E07554">
        <w:rPr>
          <w:rStyle w:val="hps"/>
        </w:rPr>
        <w:t xml:space="preserve"> and over-commercialization.</w:t>
      </w:r>
    </w:p>
    <w:p w14:paraId="53E077ED" w14:textId="115E35B1" w:rsidR="00E07554" w:rsidRDefault="00D66131" w:rsidP="00D66131">
      <w:pPr>
        <w:pStyle w:val="COMPara"/>
        <w:numPr>
          <w:ilvl w:val="0"/>
          <w:numId w:val="5"/>
        </w:numPr>
        <w:tabs>
          <w:tab w:val="left" w:pos="567"/>
        </w:tabs>
        <w:ind w:left="567" w:hanging="567"/>
        <w:jc w:val="both"/>
        <w:rPr>
          <w:rStyle w:val="hps"/>
        </w:rPr>
      </w:pPr>
      <w:r w:rsidRPr="00E07554">
        <w:rPr>
          <w:rStyle w:val="hps"/>
        </w:rPr>
        <w:t>Overall, the Secretariat relies on knowledge management as a key support to encourage new ways of working in response to ever-changing circumstances and new priorities.</w:t>
      </w:r>
      <w:r>
        <w:rPr>
          <w:rStyle w:val="hps"/>
        </w:rPr>
        <w:t xml:space="preserve"> </w:t>
      </w:r>
      <w:r w:rsidR="00E07554" w:rsidRPr="00E07554">
        <w:rPr>
          <w:rStyle w:val="hps"/>
        </w:rPr>
        <w:t xml:space="preserve">This situation reinforced the need to continually upgrade and improve data management and provide innovative web-based solutions that can streamline routine processes, for example, through developing online forms for requests and submissions. Furthermore, online interfaces can make it possible to collect, disseminate and navigate information on topics such as </w:t>
      </w:r>
      <w:r>
        <w:rPr>
          <w:rStyle w:val="hps"/>
        </w:rPr>
        <w:t>the</w:t>
      </w:r>
      <w:r w:rsidR="00E07554" w:rsidRPr="00E07554">
        <w:rPr>
          <w:rStyle w:val="hps"/>
        </w:rPr>
        <w:t xml:space="preserve"> domains of competence of accredited NGOs (</w:t>
      </w:r>
      <w:hyperlink r:id="rId30" w:history="1">
        <w:r w:rsidR="00E07554" w:rsidRPr="00D66131">
          <w:rPr>
            <w:rStyle w:val="Lienhypertexte"/>
          </w:rPr>
          <w:t>Decision 14.COM 15</w:t>
        </w:r>
      </w:hyperlink>
      <w:r w:rsidR="00E07554" w:rsidRPr="00E07554">
        <w:rPr>
          <w:rStyle w:val="hps"/>
        </w:rPr>
        <w:t xml:space="preserve">). Not only can these developments simplify and consolidate information, but they will also make it accessible to multiple stakeholders. </w:t>
      </w:r>
      <w:r w:rsidR="00FC4493">
        <w:rPr>
          <w:rStyle w:val="hps"/>
        </w:rPr>
        <w:t>The COVID-19 crisis, during which the Secretariat and many Convention’s stakeholders</w:t>
      </w:r>
      <w:r w:rsidR="00B30C28">
        <w:rPr>
          <w:rStyle w:val="hps"/>
        </w:rPr>
        <w:t xml:space="preserve"> (including the Evaluation Body)</w:t>
      </w:r>
      <w:r w:rsidR="00FC4493">
        <w:rPr>
          <w:rStyle w:val="hps"/>
        </w:rPr>
        <w:t xml:space="preserve"> worked</w:t>
      </w:r>
      <w:r w:rsidR="00B30C28">
        <w:rPr>
          <w:rStyle w:val="hps"/>
        </w:rPr>
        <w:t xml:space="preserve"> from home</w:t>
      </w:r>
      <w:r w:rsidR="00FC4493">
        <w:rPr>
          <w:rStyle w:val="hps"/>
        </w:rPr>
        <w:t>, showed</w:t>
      </w:r>
      <w:r w:rsidR="00B30C28">
        <w:rPr>
          <w:rStyle w:val="hps"/>
        </w:rPr>
        <w:t xml:space="preserve"> even more clearly</w:t>
      </w:r>
      <w:r w:rsidR="00FC4493">
        <w:rPr>
          <w:rStyle w:val="hps"/>
        </w:rPr>
        <w:t xml:space="preserve"> that the online accessibility of information </w:t>
      </w:r>
      <w:r w:rsidR="00B30C28">
        <w:rPr>
          <w:rStyle w:val="hps"/>
        </w:rPr>
        <w:t>and the availability of online tools are</w:t>
      </w:r>
      <w:r w:rsidR="00FC4493">
        <w:rPr>
          <w:rStyle w:val="hps"/>
        </w:rPr>
        <w:t xml:space="preserve"> critical for the continuity of </w:t>
      </w:r>
      <w:r w:rsidR="00B30C28">
        <w:rPr>
          <w:rStyle w:val="hps"/>
        </w:rPr>
        <w:t>statutory processes.</w:t>
      </w:r>
    </w:p>
    <w:p w14:paraId="02602830" w14:textId="11538A77" w:rsidR="00D66131" w:rsidRPr="002E26EC" w:rsidRDefault="00D66131" w:rsidP="00D66131">
      <w:pPr>
        <w:pStyle w:val="COMPara"/>
        <w:numPr>
          <w:ilvl w:val="0"/>
          <w:numId w:val="5"/>
        </w:numPr>
        <w:tabs>
          <w:tab w:val="left" w:pos="567"/>
        </w:tabs>
        <w:ind w:left="567" w:hanging="567"/>
        <w:jc w:val="both"/>
        <w:rPr>
          <w:rStyle w:val="hps"/>
        </w:rPr>
      </w:pPr>
      <w:r w:rsidRPr="002E26EC">
        <w:rPr>
          <w:rStyle w:val="hps"/>
        </w:rPr>
        <w:t>Furthermore, building on the increased operationalization of the International Assistance mechanism over the past few years, the newly recruited Safeguarding Implementation</w:t>
      </w:r>
      <w:r w:rsidR="008679E2" w:rsidRPr="002E26EC">
        <w:rPr>
          <w:rStyle w:val="hps"/>
        </w:rPr>
        <w:t xml:space="preserve"> and Mon</w:t>
      </w:r>
      <w:r w:rsidR="003A4E2B" w:rsidRPr="002E26EC">
        <w:rPr>
          <w:rStyle w:val="hps"/>
        </w:rPr>
        <w:t>i</w:t>
      </w:r>
      <w:r w:rsidR="008679E2" w:rsidRPr="002E26EC">
        <w:rPr>
          <w:rStyle w:val="hps"/>
        </w:rPr>
        <w:t>toring</w:t>
      </w:r>
      <w:r w:rsidRPr="002E26EC">
        <w:rPr>
          <w:rStyle w:val="hps"/>
        </w:rPr>
        <w:t xml:space="preserve"> Team will initiate an enhanced monitoring of ongoing projects funded by the Fund and gather lessons learned from ongoing and completed projects. This will be achieved with the introduction of tools to guide States Parties and through </w:t>
      </w:r>
      <w:r w:rsidR="008679E2" w:rsidRPr="002E26EC">
        <w:rPr>
          <w:rStyle w:val="hps"/>
        </w:rPr>
        <w:t>improving</w:t>
      </w:r>
      <w:r w:rsidRPr="002E26EC">
        <w:rPr>
          <w:rStyle w:val="hps"/>
        </w:rPr>
        <w:t xml:space="preserve"> qualitative an</w:t>
      </w:r>
      <w:r w:rsidR="00B2338F">
        <w:rPr>
          <w:rStyle w:val="hps"/>
        </w:rPr>
        <w:t>d quantitative data collection.</w:t>
      </w:r>
    </w:p>
    <w:p w14:paraId="59C26A7D" w14:textId="77777777" w:rsidR="00CE26EE" w:rsidRPr="00E07554" w:rsidRDefault="00CE26EE" w:rsidP="001740D7">
      <w:pPr>
        <w:pStyle w:val="Titre2"/>
        <w:tabs>
          <w:tab w:val="left" w:pos="567"/>
        </w:tabs>
        <w:snapToGrid w:val="0"/>
        <w:spacing w:before="360" w:after="240"/>
        <w:ind w:left="567"/>
        <w:jc w:val="both"/>
        <w:rPr>
          <w:rFonts w:ascii="Arial" w:hAnsi="Arial" w:cs="Arial"/>
          <w:bCs w:val="0"/>
          <w:i w:val="0"/>
          <w:iCs w:val="0"/>
          <w:snapToGrid w:val="0"/>
          <w:sz w:val="22"/>
          <w:szCs w:val="22"/>
          <w:lang w:val="en-GB" w:eastAsia="en-US"/>
        </w:rPr>
      </w:pPr>
      <w:r w:rsidRPr="00E07554">
        <w:rPr>
          <w:rFonts w:ascii="Arial" w:hAnsi="Arial" w:cs="Arial"/>
          <w:bCs w:val="0"/>
          <w:i w:val="0"/>
          <w:iCs w:val="0"/>
          <w:snapToGrid w:val="0"/>
          <w:sz w:val="22"/>
          <w:szCs w:val="22"/>
          <w:lang w:val="en-GB" w:eastAsia="en-US"/>
        </w:rPr>
        <w:t>Expected Result 2: Implementation of the Convention in Member States encouraged through a strengthened capacity-building programme</w:t>
      </w:r>
    </w:p>
    <w:p w14:paraId="61BE84E5" w14:textId="1E2F36C4" w:rsidR="00E07554" w:rsidRPr="00E07554" w:rsidRDefault="00E07554" w:rsidP="00C21695">
      <w:pPr>
        <w:pStyle w:val="COMPara"/>
        <w:numPr>
          <w:ilvl w:val="0"/>
          <w:numId w:val="5"/>
        </w:numPr>
        <w:tabs>
          <w:tab w:val="left" w:pos="567"/>
        </w:tabs>
        <w:ind w:left="567" w:hanging="567"/>
        <w:jc w:val="both"/>
        <w:rPr>
          <w:rStyle w:val="hps"/>
        </w:rPr>
      </w:pPr>
      <w:r w:rsidRPr="00E07554">
        <w:rPr>
          <w:rStyle w:val="hps"/>
        </w:rPr>
        <w:t>With the</w:t>
      </w:r>
      <w:r w:rsidR="008663E0">
        <w:rPr>
          <w:rStyle w:val="hps"/>
        </w:rPr>
        <w:t xml:space="preserve"> continuous</w:t>
      </w:r>
      <w:r w:rsidRPr="00E07554">
        <w:rPr>
          <w:rStyle w:val="hps"/>
        </w:rPr>
        <w:t xml:space="preserve"> </w:t>
      </w:r>
      <w:r w:rsidR="008663E0">
        <w:rPr>
          <w:rStyle w:val="hps"/>
        </w:rPr>
        <w:t>expansion</w:t>
      </w:r>
      <w:r w:rsidRPr="00E07554">
        <w:rPr>
          <w:rStyle w:val="hps"/>
        </w:rPr>
        <w:t xml:space="preserve"> of the Convention, demand for capacity</w:t>
      </w:r>
      <w:r w:rsidR="008663E0">
        <w:rPr>
          <w:rStyle w:val="hps"/>
        </w:rPr>
        <w:t>-</w:t>
      </w:r>
      <w:r w:rsidRPr="00E07554">
        <w:rPr>
          <w:rStyle w:val="hps"/>
        </w:rPr>
        <w:t xml:space="preserve">building remains high, as States Parties are confronted with new challenges. At the same time, the context and conditions for implementing the capacity-building programme are evolving, requiring new approaches and strategies. </w:t>
      </w:r>
      <w:r w:rsidR="008663E0">
        <w:rPr>
          <w:rStyle w:val="hps"/>
        </w:rPr>
        <w:t xml:space="preserve">The emergence of the COVID-19 crisis – and the </w:t>
      </w:r>
      <w:r w:rsidR="0080143E">
        <w:rPr>
          <w:rStyle w:val="hps"/>
        </w:rPr>
        <w:t xml:space="preserve">subsequent </w:t>
      </w:r>
      <w:r w:rsidR="008663E0">
        <w:rPr>
          <w:rStyle w:val="hps"/>
        </w:rPr>
        <w:t xml:space="preserve">restrictions on the organization of public meetings and </w:t>
      </w:r>
      <w:r w:rsidR="005B6123">
        <w:rPr>
          <w:rStyle w:val="hps"/>
        </w:rPr>
        <w:t xml:space="preserve">international travel – </w:t>
      </w:r>
      <w:r w:rsidR="008663E0">
        <w:rPr>
          <w:rStyle w:val="hps"/>
        </w:rPr>
        <w:t>made</w:t>
      </w:r>
      <w:r w:rsidR="005B6123">
        <w:rPr>
          <w:rStyle w:val="hps"/>
        </w:rPr>
        <w:t xml:space="preserve"> </w:t>
      </w:r>
      <w:r w:rsidR="008663E0">
        <w:rPr>
          <w:rStyle w:val="hps"/>
        </w:rPr>
        <w:t>particularly</w:t>
      </w:r>
      <w:r w:rsidR="005B6123">
        <w:rPr>
          <w:rStyle w:val="hps"/>
        </w:rPr>
        <w:t xml:space="preserve"> </w:t>
      </w:r>
      <w:r w:rsidR="008663E0">
        <w:rPr>
          <w:rStyle w:val="hps"/>
        </w:rPr>
        <w:t>clear th</w:t>
      </w:r>
      <w:r w:rsidR="005B6123">
        <w:rPr>
          <w:rStyle w:val="hps"/>
        </w:rPr>
        <w:t>a</w:t>
      </w:r>
      <w:r w:rsidR="008663E0">
        <w:rPr>
          <w:rStyle w:val="hps"/>
        </w:rPr>
        <w:t xml:space="preserve">t </w:t>
      </w:r>
      <w:r w:rsidR="005B6123">
        <w:rPr>
          <w:rStyle w:val="hps"/>
        </w:rPr>
        <w:t>the capacity-building programme needs to adapt.</w:t>
      </w:r>
    </w:p>
    <w:p w14:paraId="347E709F" w14:textId="224E072C" w:rsidR="005B6123" w:rsidRDefault="00E646ED" w:rsidP="005B6123">
      <w:pPr>
        <w:pStyle w:val="COMPara"/>
        <w:numPr>
          <w:ilvl w:val="0"/>
          <w:numId w:val="5"/>
        </w:numPr>
        <w:tabs>
          <w:tab w:val="left" w:pos="567"/>
        </w:tabs>
        <w:ind w:left="567" w:hanging="567"/>
        <w:jc w:val="both"/>
        <w:rPr>
          <w:rStyle w:val="hps"/>
        </w:rPr>
      </w:pPr>
      <w:r>
        <w:rPr>
          <w:rStyle w:val="hps"/>
        </w:rPr>
        <w:t>During the present biennium, t</w:t>
      </w:r>
      <w:r w:rsidR="005B6123" w:rsidRPr="00E07554">
        <w:rPr>
          <w:rStyle w:val="hps"/>
        </w:rPr>
        <w:t xml:space="preserve">he Secretariat </w:t>
      </w:r>
      <w:r w:rsidR="005B6123">
        <w:rPr>
          <w:rStyle w:val="hps"/>
        </w:rPr>
        <w:t>will</w:t>
      </w:r>
      <w:r w:rsidR="005B6123" w:rsidRPr="00E07554">
        <w:rPr>
          <w:rStyle w:val="hps"/>
        </w:rPr>
        <w:t xml:space="preserve"> focus on implementing a strategic </w:t>
      </w:r>
      <w:r w:rsidR="00E912CE">
        <w:rPr>
          <w:rStyle w:val="hps"/>
        </w:rPr>
        <w:t>repositioning of the programme to include a larger percentage of online training</w:t>
      </w:r>
      <w:r w:rsidR="00E912CE" w:rsidRPr="00E07554">
        <w:rPr>
          <w:rStyle w:val="hps"/>
        </w:rPr>
        <w:t xml:space="preserve"> </w:t>
      </w:r>
      <w:r w:rsidR="00326A45">
        <w:rPr>
          <w:rStyle w:val="hps"/>
        </w:rPr>
        <w:t>in content areas covered by the programme, relying on both self-</w:t>
      </w:r>
      <w:r w:rsidR="005F47C6">
        <w:rPr>
          <w:rStyle w:val="hps"/>
        </w:rPr>
        <w:t>guided</w:t>
      </w:r>
      <w:r w:rsidR="00326A45">
        <w:rPr>
          <w:rStyle w:val="hps"/>
        </w:rPr>
        <w:t xml:space="preserve"> and instructor-based modalities</w:t>
      </w:r>
      <w:r w:rsidR="005B6123" w:rsidRPr="00E07554">
        <w:rPr>
          <w:rStyle w:val="hps"/>
        </w:rPr>
        <w:t>.</w:t>
      </w:r>
      <w:r w:rsidR="000909A9">
        <w:rPr>
          <w:rStyle w:val="hps"/>
        </w:rPr>
        <w:t xml:space="preserve"> Considering the large scope that the programme has covered since its launch, this represents a </w:t>
      </w:r>
      <w:r w:rsidR="00371921">
        <w:rPr>
          <w:rStyle w:val="hps"/>
        </w:rPr>
        <w:t xml:space="preserve">considerable </w:t>
      </w:r>
      <w:r w:rsidR="000909A9">
        <w:rPr>
          <w:rStyle w:val="hps"/>
        </w:rPr>
        <w:t xml:space="preserve">undertaking that will be </w:t>
      </w:r>
      <w:r w:rsidR="0080143E">
        <w:rPr>
          <w:rStyle w:val="hps"/>
        </w:rPr>
        <w:t>intensified</w:t>
      </w:r>
      <w:r w:rsidR="000909A9">
        <w:rPr>
          <w:rStyle w:val="hps"/>
        </w:rPr>
        <w:t xml:space="preserve"> this </w:t>
      </w:r>
      <w:r w:rsidR="0080143E">
        <w:rPr>
          <w:rStyle w:val="hps"/>
        </w:rPr>
        <w:t>biennium</w:t>
      </w:r>
      <w:r w:rsidR="000909A9">
        <w:rPr>
          <w:rStyle w:val="hps"/>
        </w:rPr>
        <w:t xml:space="preserve">. </w:t>
      </w:r>
      <w:r w:rsidR="00E07554" w:rsidRPr="00E07554">
        <w:rPr>
          <w:rStyle w:val="hps"/>
        </w:rPr>
        <w:t>Th</w:t>
      </w:r>
      <w:r>
        <w:rPr>
          <w:rStyle w:val="hps"/>
        </w:rPr>
        <w:t>e</w:t>
      </w:r>
      <w:r w:rsidR="00E07554" w:rsidRPr="00E07554">
        <w:rPr>
          <w:rStyle w:val="hps"/>
        </w:rPr>
        <w:t xml:space="preserve"> successful experience </w:t>
      </w:r>
      <w:r w:rsidR="00B30C28">
        <w:rPr>
          <w:rStyle w:val="hps"/>
        </w:rPr>
        <w:t xml:space="preserve">of </w:t>
      </w:r>
      <w:r w:rsidR="00314146">
        <w:rPr>
          <w:rStyle w:val="hps"/>
        </w:rPr>
        <w:t xml:space="preserve">capacity-building for </w:t>
      </w:r>
      <w:r w:rsidR="00B30C28">
        <w:rPr>
          <w:rStyle w:val="hps"/>
        </w:rPr>
        <w:t>the periodic reporting cycle in Latin America and the Caribbean</w:t>
      </w:r>
      <w:r>
        <w:rPr>
          <w:rStyle w:val="hps"/>
        </w:rPr>
        <w:t xml:space="preserve"> </w:t>
      </w:r>
      <w:r w:rsidR="00E07554" w:rsidRPr="00E07554">
        <w:rPr>
          <w:rStyle w:val="hps"/>
        </w:rPr>
        <w:t xml:space="preserve">allowed the Secretariat to </w:t>
      </w:r>
      <w:r w:rsidR="005B6123">
        <w:rPr>
          <w:rStyle w:val="hps"/>
        </w:rPr>
        <w:t>gather</w:t>
      </w:r>
      <w:r w:rsidR="00E07554" w:rsidRPr="00E07554">
        <w:rPr>
          <w:rStyle w:val="hps"/>
        </w:rPr>
        <w:t xml:space="preserve"> useful knowledge and skills to design, produce and implement online training</w:t>
      </w:r>
      <w:r w:rsidR="005B6123">
        <w:rPr>
          <w:rStyle w:val="hps"/>
        </w:rPr>
        <w:t xml:space="preserve"> programme</w:t>
      </w:r>
      <w:r w:rsidR="00E07554" w:rsidRPr="00E07554">
        <w:rPr>
          <w:rStyle w:val="hps"/>
        </w:rPr>
        <w:t xml:space="preserve">s. The online </w:t>
      </w:r>
      <w:r w:rsidR="005B6123">
        <w:rPr>
          <w:rStyle w:val="hps"/>
        </w:rPr>
        <w:t>format</w:t>
      </w:r>
      <w:r w:rsidR="00E07554" w:rsidRPr="00E07554">
        <w:rPr>
          <w:rStyle w:val="hps"/>
        </w:rPr>
        <w:t xml:space="preserve"> means that the programme can reach and train a larger group of people, without requiring participants’ travel and lodging, thus proving to be cost</w:t>
      </w:r>
      <w:r w:rsidR="005B6123">
        <w:rPr>
          <w:rStyle w:val="hps"/>
        </w:rPr>
        <w:t xml:space="preserve"> </w:t>
      </w:r>
      <w:r w:rsidR="00E07554" w:rsidRPr="00E07554">
        <w:rPr>
          <w:rStyle w:val="hps"/>
        </w:rPr>
        <w:t>effective and more environmentally friendly.</w:t>
      </w:r>
    </w:p>
    <w:p w14:paraId="64FD41F2" w14:textId="2F1EFCFC" w:rsidR="00E07554" w:rsidRPr="00E07554" w:rsidRDefault="005B6123" w:rsidP="005B6123">
      <w:pPr>
        <w:pStyle w:val="COMPara"/>
        <w:numPr>
          <w:ilvl w:val="0"/>
          <w:numId w:val="5"/>
        </w:numPr>
        <w:tabs>
          <w:tab w:val="left" w:pos="567"/>
        </w:tabs>
        <w:ind w:left="567" w:hanging="567"/>
        <w:jc w:val="both"/>
        <w:rPr>
          <w:rStyle w:val="hps"/>
        </w:rPr>
      </w:pPr>
      <w:r w:rsidRPr="00E07554">
        <w:rPr>
          <w:rStyle w:val="hps"/>
        </w:rPr>
        <w:t xml:space="preserve">To ensure the sustainability of the capacity-building programme going forward, the Secretariat will </w:t>
      </w:r>
      <w:r w:rsidR="00E646ED">
        <w:rPr>
          <w:rStyle w:val="hps"/>
        </w:rPr>
        <w:t xml:space="preserve">continue monitoring </w:t>
      </w:r>
      <w:r w:rsidR="00326A45">
        <w:rPr>
          <w:rStyle w:val="hps"/>
        </w:rPr>
        <w:t>its results,</w:t>
      </w:r>
      <w:r w:rsidR="000909A9">
        <w:rPr>
          <w:rStyle w:val="hps"/>
        </w:rPr>
        <w:t xml:space="preserve"> </w:t>
      </w:r>
      <w:proofErr w:type="gramStart"/>
      <w:r w:rsidR="000909A9">
        <w:rPr>
          <w:rStyle w:val="hps"/>
        </w:rPr>
        <w:t>in particular regarding</w:t>
      </w:r>
      <w:proofErr w:type="gramEnd"/>
      <w:r w:rsidR="000909A9">
        <w:rPr>
          <w:rStyle w:val="hps"/>
        </w:rPr>
        <w:t xml:space="preserve"> the integration of intangible cultural heritage safeguarding in policies.</w:t>
      </w:r>
      <w:r w:rsidR="00326A45">
        <w:rPr>
          <w:rStyle w:val="hps"/>
        </w:rPr>
        <w:t xml:space="preserve"> </w:t>
      </w:r>
      <w:r w:rsidR="000909A9">
        <w:rPr>
          <w:rStyle w:val="hps"/>
        </w:rPr>
        <w:t>The i</w:t>
      </w:r>
      <w:r w:rsidRPr="00E07554">
        <w:rPr>
          <w:rStyle w:val="hps"/>
        </w:rPr>
        <w:t>dentif</w:t>
      </w:r>
      <w:r w:rsidR="000909A9">
        <w:rPr>
          <w:rStyle w:val="hps"/>
        </w:rPr>
        <w:t>ication</w:t>
      </w:r>
      <w:r w:rsidRPr="00E07554">
        <w:rPr>
          <w:rStyle w:val="hps"/>
        </w:rPr>
        <w:t xml:space="preserve"> and build</w:t>
      </w:r>
      <w:r w:rsidR="000909A9">
        <w:rPr>
          <w:rStyle w:val="hps"/>
        </w:rPr>
        <w:t>ing of</w:t>
      </w:r>
      <w:r w:rsidRPr="00E07554">
        <w:rPr>
          <w:rStyle w:val="hps"/>
        </w:rPr>
        <w:t xml:space="preserve"> strategic partnerships with other organisations </w:t>
      </w:r>
      <w:r w:rsidR="00527E1C">
        <w:rPr>
          <w:rStyle w:val="hps"/>
        </w:rPr>
        <w:t>active</w:t>
      </w:r>
      <w:r w:rsidRPr="00E07554">
        <w:rPr>
          <w:rStyle w:val="hps"/>
        </w:rPr>
        <w:t xml:space="preserve"> in the fields of culture and heritage</w:t>
      </w:r>
      <w:r w:rsidR="000909A9">
        <w:rPr>
          <w:rStyle w:val="hps"/>
        </w:rPr>
        <w:t xml:space="preserve">, including </w:t>
      </w:r>
      <w:r w:rsidR="00D621D6">
        <w:rPr>
          <w:rStyle w:val="hps"/>
        </w:rPr>
        <w:t>C</w:t>
      </w:r>
      <w:r w:rsidR="000909A9">
        <w:rPr>
          <w:rStyle w:val="hps"/>
        </w:rPr>
        <w:t xml:space="preserve">ategory 2 </w:t>
      </w:r>
      <w:r w:rsidR="00D621D6">
        <w:rPr>
          <w:rStyle w:val="hps"/>
        </w:rPr>
        <w:t>C</w:t>
      </w:r>
      <w:r w:rsidR="000909A9">
        <w:rPr>
          <w:rStyle w:val="hps"/>
        </w:rPr>
        <w:t>entres and universities will also remain a priority</w:t>
      </w:r>
      <w:r w:rsidRPr="00E07554">
        <w:rPr>
          <w:rStyle w:val="hps"/>
        </w:rPr>
        <w:t xml:space="preserve">. </w:t>
      </w:r>
      <w:r w:rsidR="000909A9">
        <w:rPr>
          <w:rStyle w:val="hps"/>
        </w:rPr>
        <w:t xml:space="preserve">In this regard, the Secretariat foresees the development of </w:t>
      </w:r>
      <w:r w:rsidR="00E07554" w:rsidRPr="00E07554">
        <w:rPr>
          <w:rStyle w:val="hps"/>
        </w:rPr>
        <w:t xml:space="preserve">Massive Open Online courses (MOOCs), </w:t>
      </w:r>
      <w:r w:rsidR="000909A9">
        <w:rPr>
          <w:rStyle w:val="hps"/>
        </w:rPr>
        <w:t>as</w:t>
      </w:r>
      <w:r w:rsidR="00E07554" w:rsidRPr="00E07554">
        <w:rPr>
          <w:rStyle w:val="hps"/>
        </w:rPr>
        <w:t xml:space="preserve"> an innovative way to expand the reach of the capacity-building programme to younger audiences of students and young people with an interest in living heritage, along with government officials and NGOs.</w:t>
      </w:r>
    </w:p>
    <w:p w14:paraId="5FF61816" w14:textId="52DC2557" w:rsidR="00CE26EE" w:rsidRPr="00FB0B14" w:rsidRDefault="00CE26EE" w:rsidP="001740D7">
      <w:pPr>
        <w:pStyle w:val="Titre2"/>
        <w:tabs>
          <w:tab w:val="left" w:pos="567"/>
        </w:tabs>
        <w:snapToGrid w:val="0"/>
        <w:spacing w:before="360" w:after="240"/>
        <w:ind w:left="567"/>
        <w:jc w:val="both"/>
        <w:rPr>
          <w:rFonts w:ascii="Arial" w:hAnsi="Arial" w:cs="Arial"/>
          <w:i w:val="0"/>
          <w:sz w:val="22"/>
          <w:szCs w:val="22"/>
          <w:lang w:val="en-GB"/>
        </w:rPr>
      </w:pPr>
      <w:r w:rsidRPr="00FB0B14">
        <w:rPr>
          <w:rFonts w:ascii="Arial" w:hAnsi="Arial" w:cs="Arial"/>
          <w:bCs w:val="0"/>
          <w:i w:val="0"/>
          <w:iCs w:val="0"/>
          <w:snapToGrid w:val="0"/>
          <w:sz w:val="22"/>
          <w:szCs w:val="22"/>
          <w:lang w:val="en-GB" w:eastAsia="en-US"/>
        </w:rPr>
        <w:t xml:space="preserve">Expected Result 3: </w:t>
      </w:r>
      <w:r w:rsidRPr="00FB0B14">
        <w:rPr>
          <w:rFonts w:ascii="Arial" w:hAnsi="Arial" w:cs="Arial"/>
          <w:i w:val="0"/>
          <w:sz w:val="22"/>
          <w:szCs w:val="22"/>
          <w:lang w:val="en-GB"/>
        </w:rPr>
        <w:t>Integration of intangible cultural heritage into development plans, policies and programmes supported</w:t>
      </w:r>
    </w:p>
    <w:p w14:paraId="2748026F" w14:textId="1444FBF6" w:rsidR="00E07554" w:rsidRPr="00CC042B" w:rsidRDefault="00CC042B" w:rsidP="00CC042B">
      <w:pPr>
        <w:pStyle w:val="COMPara"/>
        <w:numPr>
          <w:ilvl w:val="0"/>
          <w:numId w:val="5"/>
        </w:numPr>
        <w:tabs>
          <w:tab w:val="left" w:pos="567"/>
        </w:tabs>
        <w:ind w:left="567" w:hanging="567"/>
        <w:jc w:val="both"/>
        <w:rPr>
          <w:rStyle w:val="hps"/>
          <w:bCs/>
        </w:rPr>
      </w:pPr>
      <w:r>
        <w:rPr>
          <w:rStyle w:val="hps"/>
          <w:bCs/>
        </w:rPr>
        <w:t>In response to the Committee’s adoption of two funding priorities for 2018</w:t>
      </w:r>
      <w:r w:rsidR="00566E21">
        <w:rPr>
          <w:rStyle w:val="hps"/>
          <w:bCs/>
        </w:rPr>
        <w:t>–</w:t>
      </w:r>
      <w:r>
        <w:rPr>
          <w:rStyle w:val="hps"/>
          <w:bCs/>
        </w:rPr>
        <w:t>20</w:t>
      </w:r>
      <w:r w:rsidR="00B128CC">
        <w:rPr>
          <w:rStyle w:val="hps"/>
          <w:bCs/>
        </w:rPr>
        <w:t>21</w:t>
      </w:r>
      <w:r>
        <w:rPr>
          <w:rStyle w:val="hps"/>
          <w:bCs/>
        </w:rPr>
        <w:t xml:space="preserve"> </w:t>
      </w:r>
      <w:r w:rsidRPr="00E07554">
        <w:rPr>
          <w:rStyle w:val="hps"/>
          <w:bCs/>
        </w:rPr>
        <w:t>(</w:t>
      </w:r>
      <w:hyperlink r:id="rId31" w:history="1">
        <w:r w:rsidRPr="00CC042B">
          <w:rPr>
            <w:rStyle w:val="Lienhypertexte"/>
            <w:bCs/>
          </w:rPr>
          <w:t>Decision</w:t>
        </w:r>
        <w:r w:rsidR="0071232D">
          <w:rPr>
            <w:rStyle w:val="Lienhypertexte"/>
            <w:bCs/>
          </w:rPr>
          <w:t> </w:t>
        </w:r>
        <w:r w:rsidRPr="00CC042B">
          <w:rPr>
            <w:rStyle w:val="Lienhypertexte"/>
            <w:bCs/>
          </w:rPr>
          <w:t>12.COM 6</w:t>
        </w:r>
      </w:hyperlink>
      <w:r w:rsidRPr="00E07554">
        <w:rPr>
          <w:rStyle w:val="hps"/>
          <w:bCs/>
        </w:rPr>
        <w:t>)</w:t>
      </w:r>
      <w:r>
        <w:rPr>
          <w:rStyle w:val="hps"/>
          <w:bCs/>
        </w:rPr>
        <w:t>, t</w:t>
      </w:r>
      <w:r w:rsidRPr="00E07554">
        <w:rPr>
          <w:rStyle w:val="hps"/>
          <w:bCs/>
        </w:rPr>
        <w:t>he Secretariat developed</w:t>
      </w:r>
      <w:r>
        <w:rPr>
          <w:rStyle w:val="hps"/>
          <w:bCs/>
        </w:rPr>
        <w:t>,</w:t>
      </w:r>
      <w:r w:rsidRPr="00E07554">
        <w:rPr>
          <w:rStyle w:val="hps"/>
          <w:bCs/>
        </w:rPr>
        <w:t xml:space="preserve"> </w:t>
      </w:r>
      <w:r>
        <w:rPr>
          <w:rStyle w:val="hps"/>
          <w:bCs/>
        </w:rPr>
        <w:t>o</w:t>
      </w:r>
      <w:r w:rsidR="00E07554" w:rsidRPr="00E07554">
        <w:rPr>
          <w:rStyle w:val="hps"/>
          <w:bCs/>
        </w:rPr>
        <w:t>ver the past two years, the intersectoral initiative ‘Safeguarding intangible cultural heritage through formal and non-formal education’</w:t>
      </w:r>
      <w:r>
        <w:rPr>
          <w:rStyle w:val="hps"/>
          <w:bCs/>
        </w:rPr>
        <w:t xml:space="preserve"> which </w:t>
      </w:r>
      <w:r w:rsidRPr="00CC042B">
        <w:rPr>
          <w:rStyle w:val="hps"/>
          <w:bCs/>
        </w:rPr>
        <w:t>contribut</w:t>
      </w:r>
      <w:r>
        <w:rPr>
          <w:rStyle w:val="hps"/>
          <w:bCs/>
        </w:rPr>
        <w:t>es</w:t>
      </w:r>
      <w:r w:rsidRPr="00CC042B">
        <w:rPr>
          <w:rStyle w:val="hps"/>
          <w:bCs/>
        </w:rPr>
        <w:t xml:space="preserve"> to a UNESCO house-wide intersectoral initiative on ‘Education and Culture together in action to advance the SDGs’</w:t>
      </w:r>
      <w:r w:rsidR="00E07554" w:rsidRPr="00E07554">
        <w:rPr>
          <w:rStyle w:val="hps"/>
          <w:bCs/>
        </w:rPr>
        <w:t xml:space="preserve">. </w:t>
      </w:r>
      <w:r>
        <w:rPr>
          <w:rStyle w:val="hps"/>
          <w:bCs/>
        </w:rPr>
        <w:t>As an upstream action, th</w:t>
      </w:r>
      <w:r w:rsidR="00280223" w:rsidRPr="00CC042B">
        <w:rPr>
          <w:rStyle w:val="hps"/>
          <w:bCs/>
        </w:rPr>
        <w:t>e Secretariat will</w:t>
      </w:r>
      <w:r>
        <w:rPr>
          <w:rStyle w:val="hps"/>
          <w:bCs/>
        </w:rPr>
        <w:t xml:space="preserve"> launch and further develop the</w:t>
      </w:r>
      <w:r w:rsidR="00E07554" w:rsidRPr="00CC042B">
        <w:rPr>
          <w:rStyle w:val="hps"/>
          <w:bCs/>
        </w:rPr>
        <w:t xml:space="preserve"> clearing house for knowledge sharing, cooperation and innovation on intangible cultural heritage and education to facilitate work in this area at the global level. </w:t>
      </w:r>
      <w:r>
        <w:rPr>
          <w:rStyle w:val="hps"/>
          <w:bCs/>
        </w:rPr>
        <w:t xml:space="preserve">Efforts will be intensified </w:t>
      </w:r>
      <w:r w:rsidR="00E07554" w:rsidRPr="00CC042B">
        <w:rPr>
          <w:rStyle w:val="hps"/>
          <w:bCs/>
        </w:rPr>
        <w:t>to build and sustain partnerships with relevant donors, global education programmes and institutions to find support for this growing demand and activities will be developed accordingly.</w:t>
      </w:r>
    </w:p>
    <w:p w14:paraId="10921D11" w14:textId="3C3B4DA8" w:rsidR="00E07554" w:rsidRPr="0054167F" w:rsidRDefault="00495844" w:rsidP="004F3AC9">
      <w:pPr>
        <w:pStyle w:val="COMPara"/>
        <w:numPr>
          <w:ilvl w:val="0"/>
          <w:numId w:val="5"/>
        </w:numPr>
        <w:tabs>
          <w:tab w:val="left" w:pos="567"/>
        </w:tabs>
        <w:ind w:left="567" w:hanging="567"/>
        <w:jc w:val="both"/>
        <w:rPr>
          <w:rStyle w:val="hps"/>
          <w:bCs/>
        </w:rPr>
      </w:pPr>
      <w:r w:rsidRPr="0054167F">
        <w:rPr>
          <w:rStyle w:val="hps"/>
          <w:bCs/>
        </w:rPr>
        <w:t xml:space="preserve">At its thirteenth session in </w:t>
      </w:r>
      <w:r w:rsidR="00D408F7">
        <w:rPr>
          <w:rStyle w:val="hps"/>
          <w:bCs/>
        </w:rPr>
        <w:t>2018</w:t>
      </w:r>
      <w:r w:rsidRPr="0054167F">
        <w:rPr>
          <w:rStyle w:val="hps"/>
          <w:bCs/>
        </w:rPr>
        <w:t xml:space="preserve">, the Committee recognized the importance </w:t>
      </w:r>
      <w:r w:rsidR="00566E21">
        <w:rPr>
          <w:rStyle w:val="hps"/>
          <w:bCs/>
        </w:rPr>
        <w:t>of</w:t>
      </w:r>
      <w:r w:rsidRPr="0054167F">
        <w:rPr>
          <w:rStyle w:val="hps"/>
          <w:bCs/>
        </w:rPr>
        <w:t xml:space="preserve"> indigenous peoples worldwide in ensuring the sustainability, learning, use and transmission of their languages as fundamental vehicles of intangible cultural heritage (</w:t>
      </w:r>
      <w:hyperlink r:id="rId32" w:history="1">
        <w:r w:rsidRPr="0054167F">
          <w:rPr>
            <w:rStyle w:val="Lienhypertexte"/>
            <w:bCs/>
          </w:rPr>
          <w:t>Decision 13.COM 20</w:t>
        </w:r>
      </w:hyperlink>
      <w:r w:rsidRPr="0054167F">
        <w:rPr>
          <w:rStyle w:val="hps"/>
          <w:bCs/>
        </w:rPr>
        <w:t>). I</w:t>
      </w:r>
      <w:r w:rsidR="00B128CC">
        <w:rPr>
          <w:rStyle w:val="hps"/>
          <w:bCs/>
        </w:rPr>
        <w:t>n</w:t>
      </w:r>
      <w:r w:rsidRPr="0054167F">
        <w:rPr>
          <w:rStyle w:val="hps"/>
          <w:bCs/>
        </w:rPr>
        <w:t xml:space="preserve"> line with this decision, </w:t>
      </w:r>
      <w:r w:rsidR="00E07554" w:rsidRPr="0054167F">
        <w:rPr>
          <w:rStyle w:val="hps"/>
          <w:bCs/>
        </w:rPr>
        <w:t xml:space="preserve">the Secretariat will reach out to indigenous peoples and associations that are actively engaged in integrating their living heritage into formal and non-formal education programmes to reflect their experiences in the clearing house and in the action plan that UNESCO is developing </w:t>
      </w:r>
      <w:r w:rsidRPr="0054167F">
        <w:rPr>
          <w:rStyle w:val="hps"/>
          <w:bCs/>
        </w:rPr>
        <w:t>for</w:t>
      </w:r>
      <w:r w:rsidR="00E07554" w:rsidRPr="0054167F">
        <w:rPr>
          <w:rStyle w:val="hps"/>
          <w:bCs/>
        </w:rPr>
        <w:t xml:space="preserve"> the International Decade on Indigenous Languages. F</w:t>
      </w:r>
      <w:r w:rsidRPr="0054167F">
        <w:rPr>
          <w:rStyle w:val="hps"/>
          <w:bCs/>
        </w:rPr>
        <w:t>urthermore</w:t>
      </w:r>
      <w:r w:rsidR="00E07554" w:rsidRPr="0054167F">
        <w:rPr>
          <w:rStyle w:val="hps"/>
          <w:bCs/>
        </w:rPr>
        <w:t xml:space="preserve">, synergies between the 2003 Convention and </w:t>
      </w:r>
      <w:r w:rsidR="00B128CC">
        <w:rPr>
          <w:rStyle w:val="hps"/>
          <w:bCs/>
        </w:rPr>
        <w:t xml:space="preserve">the UN system’s </w:t>
      </w:r>
      <w:r w:rsidR="00E07554" w:rsidRPr="0054167F">
        <w:rPr>
          <w:rStyle w:val="hps"/>
          <w:bCs/>
        </w:rPr>
        <w:t>work in the framework of the 2030 Agenda will be further pursued in the area of climate change and biodiversity</w:t>
      </w:r>
      <w:r w:rsidR="004F3AC9">
        <w:rPr>
          <w:rStyle w:val="hps"/>
          <w:bCs/>
        </w:rPr>
        <w:t>,</w:t>
      </w:r>
      <w:r w:rsidR="00E07554" w:rsidRPr="0054167F">
        <w:rPr>
          <w:rStyle w:val="hps"/>
          <w:bCs/>
        </w:rPr>
        <w:t xml:space="preserve"> with new opportunities arising in the context of </w:t>
      </w:r>
      <w:r w:rsidR="004F3AC9">
        <w:rPr>
          <w:rStyle w:val="hps"/>
          <w:bCs/>
        </w:rPr>
        <w:t xml:space="preserve">the </w:t>
      </w:r>
      <w:r w:rsidR="00E07554" w:rsidRPr="0054167F">
        <w:rPr>
          <w:rStyle w:val="hps"/>
          <w:bCs/>
        </w:rPr>
        <w:t xml:space="preserve">preparation </w:t>
      </w:r>
      <w:r w:rsidR="000B49CC">
        <w:rPr>
          <w:rStyle w:val="hps"/>
          <w:bCs/>
        </w:rPr>
        <w:t xml:space="preserve">of the </w:t>
      </w:r>
      <w:r w:rsidR="00E07554" w:rsidRPr="0054167F">
        <w:rPr>
          <w:rStyle w:val="hps"/>
          <w:bCs/>
        </w:rPr>
        <w:t>post-2020 Global Biodiversity Framework</w:t>
      </w:r>
      <w:r w:rsidR="000B49CC">
        <w:rPr>
          <w:rStyle w:val="hps"/>
          <w:bCs/>
        </w:rPr>
        <w:t xml:space="preserve"> of the</w:t>
      </w:r>
      <w:r w:rsidR="000B49CC" w:rsidRPr="0054167F">
        <w:rPr>
          <w:rStyle w:val="hps"/>
          <w:bCs/>
        </w:rPr>
        <w:t xml:space="preserve"> Convention for Biological Diversity</w:t>
      </w:r>
      <w:r w:rsidR="00E07554" w:rsidRPr="0054167F">
        <w:rPr>
          <w:rStyle w:val="hps"/>
          <w:bCs/>
        </w:rPr>
        <w:t>.</w:t>
      </w:r>
    </w:p>
    <w:p w14:paraId="4C6DB542" w14:textId="77777777" w:rsidR="00CE26EE" w:rsidRPr="00B2338F" w:rsidRDefault="00CE26EE" w:rsidP="001740D7">
      <w:pPr>
        <w:pStyle w:val="Titre2"/>
        <w:tabs>
          <w:tab w:val="left" w:pos="567"/>
        </w:tabs>
        <w:snapToGrid w:val="0"/>
        <w:spacing w:before="360" w:after="240"/>
        <w:ind w:left="567"/>
        <w:jc w:val="both"/>
        <w:rPr>
          <w:rStyle w:val="hps"/>
          <w:rFonts w:cs="Arial"/>
          <w:bCs w:val="0"/>
          <w:i w:val="0"/>
          <w:iCs w:val="0"/>
          <w:sz w:val="22"/>
          <w:szCs w:val="22"/>
          <w:lang w:val="en-US"/>
        </w:rPr>
      </w:pPr>
      <w:r w:rsidRPr="00E07554">
        <w:rPr>
          <w:rFonts w:ascii="Arial" w:hAnsi="Arial" w:cs="Arial"/>
          <w:bCs w:val="0"/>
          <w:i w:val="0"/>
          <w:iCs w:val="0"/>
          <w:snapToGrid w:val="0"/>
          <w:sz w:val="22"/>
          <w:szCs w:val="22"/>
          <w:lang w:val="en-GB" w:eastAsia="en-US"/>
        </w:rPr>
        <w:t>Expected Result 4: Objectives of the Convention promoted through awareness-raising and outreach</w:t>
      </w:r>
    </w:p>
    <w:p w14:paraId="77998382" w14:textId="32C84AA5" w:rsidR="00E07554" w:rsidRPr="00E07554" w:rsidRDefault="00E07554" w:rsidP="00E63170">
      <w:pPr>
        <w:pStyle w:val="COMPara"/>
        <w:numPr>
          <w:ilvl w:val="0"/>
          <w:numId w:val="5"/>
        </w:numPr>
        <w:tabs>
          <w:tab w:val="left" w:pos="567"/>
        </w:tabs>
        <w:ind w:left="567" w:hanging="567"/>
        <w:jc w:val="both"/>
        <w:rPr>
          <w:bCs/>
        </w:rPr>
      </w:pPr>
      <w:r w:rsidRPr="00E07554">
        <w:rPr>
          <w:bCs/>
        </w:rPr>
        <w:t>As defined in its Article</w:t>
      </w:r>
      <w:r w:rsidR="00FB0B14">
        <w:rPr>
          <w:bCs/>
        </w:rPr>
        <w:t> 1</w:t>
      </w:r>
      <w:r w:rsidRPr="00E07554">
        <w:rPr>
          <w:bCs/>
        </w:rPr>
        <w:t xml:space="preserve">, one of the </w:t>
      </w:r>
      <w:r w:rsidR="00C054CE">
        <w:rPr>
          <w:bCs/>
        </w:rPr>
        <w:t xml:space="preserve">main </w:t>
      </w:r>
      <w:r w:rsidRPr="00E07554">
        <w:rPr>
          <w:bCs/>
        </w:rPr>
        <w:t xml:space="preserve">purposes of the Convention is to raise awareness </w:t>
      </w:r>
      <w:r w:rsidR="00E63170">
        <w:rPr>
          <w:bCs/>
        </w:rPr>
        <w:t xml:space="preserve">about </w:t>
      </w:r>
      <w:r w:rsidR="00E63170" w:rsidRPr="00E07554">
        <w:rPr>
          <w:bCs/>
        </w:rPr>
        <w:t xml:space="preserve">the importance of intangible cultural heritage </w:t>
      </w:r>
      <w:r w:rsidRPr="00E07554">
        <w:rPr>
          <w:bCs/>
        </w:rPr>
        <w:t xml:space="preserve">at the local, national and international levels. </w:t>
      </w:r>
      <w:r w:rsidR="00E63170">
        <w:rPr>
          <w:bCs/>
        </w:rPr>
        <w:t xml:space="preserve">Based on actions carried out in the previous biennium, the Secretariat will continue initiating </w:t>
      </w:r>
      <w:r w:rsidRPr="00E07554">
        <w:rPr>
          <w:bCs/>
        </w:rPr>
        <w:t xml:space="preserve">communication activities to raise awareness and outreach at all levels, and </w:t>
      </w:r>
      <w:proofErr w:type="gramStart"/>
      <w:r w:rsidRPr="00E07554">
        <w:rPr>
          <w:bCs/>
        </w:rPr>
        <w:t>in particular at</w:t>
      </w:r>
      <w:proofErr w:type="gramEnd"/>
      <w:r w:rsidRPr="00E07554">
        <w:rPr>
          <w:bCs/>
        </w:rPr>
        <w:t xml:space="preserve"> the international level. </w:t>
      </w:r>
      <w:r w:rsidR="00E63170">
        <w:rPr>
          <w:bCs/>
        </w:rPr>
        <w:t>Furthermore,</w:t>
      </w:r>
      <w:r w:rsidR="00E63170" w:rsidRPr="00E63170">
        <w:t xml:space="preserve"> </w:t>
      </w:r>
      <w:r w:rsidR="00E63170">
        <w:rPr>
          <w:bCs/>
        </w:rPr>
        <w:t>d</w:t>
      </w:r>
      <w:r w:rsidR="00E63170" w:rsidRPr="00E63170">
        <w:rPr>
          <w:bCs/>
        </w:rPr>
        <w:t xml:space="preserve">eveloping strategic and effective institutional partnerships </w:t>
      </w:r>
      <w:r w:rsidR="00C054CE">
        <w:rPr>
          <w:bCs/>
        </w:rPr>
        <w:t>will remain</w:t>
      </w:r>
      <w:r w:rsidR="00E63170" w:rsidRPr="00E63170">
        <w:rPr>
          <w:bCs/>
        </w:rPr>
        <w:t xml:space="preserve"> key to promoting the objectives of the Convention</w:t>
      </w:r>
      <w:r w:rsidR="00C054CE">
        <w:rPr>
          <w:bCs/>
        </w:rPr>
        <w:t>. In this regard, the Secretariat plans to strengthen its efforts to seek means for increasing the financial resources received for implementing the Convention.</w:t>
      </w:r>
    </w:p>
    <w:p w14:paraId="575710A1" w14:textId="2DA8C447" w:rsidR="00E07554" w:rsidRPr="00E07554" w:rsidRDefault="00E07554" w:rsidP="00C21695">
      <w:pPr>
        <w:pStyle w:val="COMPara"/>
        <w:numPr>
          <w:ilvl w:val="0"/>
          <w:numId w:val="5"/>
        </w:numPr>
        <w:tabs>
          <w:tab w:val="left" w:pos="567"/>
        </w:tabs>
        <w:ind w:left="567" w:hanging="567"/>
        <w:jc w:val="both"/>
        <w:rPr>
          <w:bCs/>
        </w:rPr>
      </w:pPr>
      <w:r w:rsidRPr="00E07554">
        <w:rPr>
          <w:bCs/>
        </w:rPr>
        <w:t xml:space="preserve">The </w:t>
      </w:r>
      <w:hyperlink r:id="rId33" w:history="1">
        <w:r w:rsidRPr="00C054CE">
          <w:rPr>
            <w:rStyle w:val="Lienhypertexte"/>
            <w:bCs/>
          </w:rPr>
          <w:t>Convention</w:t>
        </w:r>
        <w:r w:rsidR="00C054CE" w:rsidRPr="00C054CE">
          <w:rPr>
            <w:rStyle w:val="Lienhypertexte"/>
            <w:bCs/>
          </w:rPr>
          <w:t>’s</w:t>
        </w:r>
        <w:r w:rsidRPr="00C054CE">
          <w:rPr>
            <w:rStyle w:val="Lienhypertexte"/>
            <w:bCs/>
          </w:rPr>
          <w:t xml:space="preserve"> website</w:t>
        </w:r>
      </w:hyperlink>
      <w:r w:rsidRPr="00E07554">
        <w:rPr>
          <w:bCs/>
        </w:rPr>
        <w:t xml:space="preserve"> is the backbone for disseminat</w:t>
      </w:r>
      <w:r w:rsidR="00566E21">
        <w:rPr>
          <w:bCs/>
        </w:rPr>
        <w:t>ing</w:t>
      </w:r>
      <w:r w:rsidRPr="00E07554">
        <w:rPr>
          <w:bCs/>
        </w:rPr>
        <w:t xml:space="preserve"> information on the Convention and its implementation,</w:t>
      </w:r>
      <w:r w:rsidR="00C054CE">
        <w:rPr>
          <w:bCs/>
        </w:rPr>
        <w:t xml:space="preserve"> from the work of the governing bodies to projects and activities implemented at the national level.</w:t>
      </w:r>
      <w:r w:rsidRPr="00E07554">
        <w:rPr>
          <w:bCs/>
        </w:rPr>
        <w:t xml:space="preserve"> </w:t>
      </w:r>
      <w:r w:rsidR="00C054CE">
        <w:rPr>
          <w:bCs/>
        </w:rPr>
        <w:t xml:space="preserve">The growth of the Convention – both in its geographical scope and thematic expansion – has led to a wealth of information that </w:t>
      </w:r>
      <w:r w:rsidRPr="00E07554">
        <w:rPr>
          <w:bCs/>
        </w:rPr>
        <w:t>will be reorganized</w:t>
      </w:r>
      <w:r w:rsidR="00C054CE">
        <w:rPr>
          <w:bCs/>
        </w:rPr>
        <w:t>. The</w:t>
      </w:r>
      <w:r w:rsidRPr="00E07554">
        <w:rPr>
          <w:bCs/>
        </w:rPr>
        <w:t xml:space="preserve"> </w:t>
      </w:r>
      <w:r w:rsidR="00C054CE">
        <w:rPr>
          <w:bCs/>
        </w:rPr>
        <w:t>website’s redesign will</w:t>
      </w:r>
      <w:r w:rsidRPr="00E07554">
        <w:rPr>
          <w:bCs/>
        </w:rPr>
        <w:t xml:space="preserve"> improve the accessibility of all the information it contains, with a focus on the </w:t>
      </w:r>
      <w:r w:rsidR="004A3206">
        <w:rPr>
          <w:bCs/>
        </w:rPr>
        <w:t>connections between</w:t>
      </w:r>
      <w:r w:rsidRPr="00E07554">
        <w:rPr>
          <w:bCs/>
        </w:rPr>
        <w:t xml:space="preserve"> living heritage </w:t>
      </w:r>
      <w:r w:rsidR="004A3206">
        <w:rPr>
          <w:bCs/>
        </w:rPr>
        <w:t>and</w:t>
      </w:r>
      <w:r w:rsidRPr="00E07554">
        <w:rPr>
          <w:bCs/>
        </w:rPr>
        <w:t xml:space="preserve"> sustainable development. </w:t>
      </w:r>
      <w:r w:rsidR="004A3206">
        <w:rPr>
          <w:bCs/>
        </w:rPr>
        <w:t xml:space="preserve">Building on the successful experience of the </w:t>
      </w:r>
      <w:hyperlink r:id="rId34" w:history="1">
        <w:r w:rsidR="004A3206" w:rsidRPr="004A3206">
          <w:rPr>
            <w:rStyle w:val="Lienhypertexte"/>
            <w:bCs/>
          </w:rPr>
          <w:t>platform on living heritage experiences and the COVID-19 pandemic</w:t>
        </w:r>
      </w:hyperlink>
      <w:r w:rsidR="004A3206">
        <w:rPr>
          <w:bCs/>
        </w:rPr>
        <w:t xml:space="preserve"> launched in May 2020, t</w:t>
      </w:r>
      <w:r w:rsidRPr="00E07554">
        <w:rPr>
          <w:bCs/>
        </w:rPr>
        <w:t>he Secretariat will also reinforce the capacity of its website to serve as an exchange and communication platform.</w:t>
      </w:r>
    </w:p>
    <w:p w14:paraId="4225DAD0" w14:textId="44F73F35" w:rsidR="00E07554" w:rsidRPr="00E07554" w:rsidRDefault="004A3206" w:rsidP="00C21695">
      <w:pPr>
        <w:pStyle w:val="COMPara"/>
        <w:numPr>
          <w:ilvl w:val="0"/>
          <w:numId w:val="5"/>
        </w:numPr>
        <w:tabs>
          <w:tab w:val="left" w:pos="567"/>
        </w:tabs>
        <w:ind w:left="567" w:hanging="567"/>
        <w:jc w:val="both"/>
        <w:rPr>
          <w:bCs/>
        </w:rPr>
      </w:pPr>
      <w:r>
        <w:rPr>
          <w:bCs/>
        </w:rPr>
        <w:t>A</w:t>
      </w:r>
      <w:r w:rsidRPr="00E07554">
        <w:rPr>
          <w:bCs/>
        </w:rPr>
        <w:t xml:space="preserve"> broad range of tools and communication initiatives will be launched and developed to reach </w:t>
      </w:r>
      <w:r>
        <w:rPr>
          <w:bCs/>
        </w:rPr>
        <w:t>a wide range of</w:t>
      </w:r>
      <w:r w:rsidRPr="00E07554">
        <w:rPr>
          <w:bCs/>
        </w:rPr>
        <w:t xml:space="preserve"> stakeholders</w:t>
      </w:r>
      <w:r>
        <w:rPr>
          <w:bCs/>
        </w:rPr>
        <w:t xml:space="preserve">, </w:t>
      </w:r>
      <w:r w:rsidRPr="00221D34">
        <w:rPr>
          <w:rFonts w:eastAsia="Calibri"/>
        </w:rPr>
        <w:t xml:space="preserve">including </w:t>
      </w:r>
      <w:r>
        <w:rPr>
          <w:rFonts w:eastAsia="Calibri"/>
        </w:rPr>
        <w:t>governmental authorities</w:t>
      </w:r>
      <w:r w:rsidRPr="00221D34">
        <w:rPr>
          <w:rFonts w:eastAsia="Calibri"/>
        </w:rPr>
        <w:t xml:space="preserve">, partner organizations such as accredited NGOs and </w:t>
      </w:r>
      <w:r w:rsidR="00566E21">
        <w:rPr>
          <w:rFonts w:eastAsia="Calibri"/>
        </w:rPr>
        <w:t>c</w:t>
      </w:r>
      <w:r w:rsidRPr="00221D34">
        <w:rPr>
          <w:rFonts w:eastAsia="Calibri"/>
        </w:rPr>
        <w:t xml:space="preserve">ategory 2 </w:t>
      </w:r>
      <w:r w:rsidR="00566E21">
        <w:rPr>
          <w:rFonts w:eastAsia="Calibri"/>
        </w:rPr>
        <w:t>c</w:t>
      </w:r>
      <w:r w:rsidRPr="00221D34">
        <w:rPr>
          <w:rFonts w:eastAsia="Calibri"/>
        </w:rPr>
        <w:t>entres as well as communities.</w:t>
      </w:r>
      <w:r>
        <w:rPr>
          <w:bCs/>
        </w:rPr>
        <w:t xml:space="preserve"> </w:t>
      </w:r>
      <w:r w:rsidR="00AC5A55" w:rsidRPr="00E07554">
        <w:rPr>
          <w:bCs/>
        </w:rPr>
        <w:t xml:space="preserve">Communication tools and guidance will be </w:t>
      </w:r>
      <w:r w:rsidR="00566E21">
        <w:rPr>
          <w:bCs/>
        </w:rPr>
        <w:t>developed</w:t>
      </w:r>
      <w:r w:rsidR="00566E21" w:rsidRPr="00E07554">
        <w:rPr>
          <w:bCs/>
        </w:rPr>
        <w:t xml:space="preserve"> </w:t>
      </w:r>
      <w:r w:rsidR="00AC5A55" w:rsidRPr="00E07554">
        <w:rPr>
          <w:bCs/>
        </w:rPr>
        <w:t>for States Parties.</w:t>
      </w:r>
      <w:r w:rsidR="00AC5A55">
        <w:rPr>
          <w:bCs/>
        </w:rPr>
        <w:t xml:space="preserve"> </w:t>
      </w:r>
      <w:r w:rsidR="00280223">
        <w:rPr>
          <w:bCs/>
        </w:rPr>
        <w:t xml:space="preserve">Interactive visualization tools (such as the online </w:t>
      </w:r>
      <w:r w:rsidR="00280223" w:rsidRPr="00252447">
        <w:rPr>
          <w:bCs/>
        </w:rPr>
        <w:t>interface ‘</w:t>
      </w:r>
      <w:r w:rsidR="00280223" w:rsidRPr="002625CB">
        <w:t>Dive into intangible cultural heritage!</w:t>
      </w:r>
      <w:r w:rsidR="00280223" w:rsidRPr="00252447">
        <w:rPr>
          <w:bCs/>
        </w:rPr>
        <w:t>’), e</w:t>
      </w:r>
      <w:r w:rsidR="00E07554" w:rsidRPr="00252447">
        <w:rPr>
          <w:bCs/>
        </w:rPr>
        <w:t>xhibitions</w:t>
      </w:r>
      <w:r w:rsidRPr="00252447">
        <w:rPr>
          <w:bCs/>
        </w:rPr>
        <w:t xml:space="preserve"> – </w:t>
      </w:r>
      <w:r w:rsidR="00566E21" w:rsidRPr="005A442B">
        <w:rPr>
          <w:bCs/>
        </w:rPr>
        <w:t>both physical and virtual</w:t>
      </w:r>
      <w:r w:rsidRPr="005A442B">
        <w:rPr>
          <w:bCs/>
        </w:rPr>
        <w:t xml:space="preserve"> –</w:t>
      </w:r>
      <w:r w:rsidR="00E07554" w:rsidRPr="00252447">
        <w:rPr>
          <w:bCs/>
        </w:rPr>
        <w:t xml:space="preserve"> as</w:t>
      </w:r>
      <w:r w:rsidRPr="00252447">
        <w:rPr>
          <w:bCs/>
        </w:rPr>
        <w:t xml:space="preserve"> </w:t>
      </w:r>
      <w:r w:rsidR="00E07554" w:rsidRPr="00252447">
        <w:rPr>
          <w:bCs/>
        </w:rPr>
        <w:t xml:space="preserve">well as electronic brochures will be </w:t>
      </w:r>
      <w:r w:rsidRPr="00252447">
        <w:rPr>
          <w:bCs/>
        </w:rPr>
        <w:t>prepared</w:t>
      </w:r>
      <w:r w:rsidR="00E07554" w:rsidRPr="00252447">
        <w:rPr>
          <w:bCs/>
        </w:rPr>
        <w:t xml:space="preserve"> and </w:t>
      </w:r>
      <w:r w:rsidRPr="00252447">
        <w:rPr>
          <w:bCs/>
        </w:rPr>
        <w:t xml:space="preserve">organized </w:t>
      </w:r>
      <w:r w:rsidR="00E07554" w:rsidRPr="00252447">
        <w:rPr>
          <w:bCs/>
        </w:rPr>
        <w:t xml:space="preserve">around strategic themes, </w:t>
      </w:r>
      <w:proofErr w:type="gramStart"/>
      <w:r w:rsidR="00E07554" w:rsidRPr="00252447">
        <w:rPr>
          <w:bCs/>
        </w:rPr>
        <w:t>in particular on</w:t>
      </w:r>
      <w:proofErr w:type="gramEnd"/>
      <w:r w:rsidR="00E07554" w:rsidRPr="00252447">
        <w:rPr>
          <w:bCs/>
        </w:rPr>
        <w:t xml:space="preserve"> sustainable development and emergencies. </w:t>
      </w:r>
      <w:r w:rsidRPr="00252447">
        <w:rPr>
          <w:bCs/>
        </w:rPr>
        <w:t>Specific</w:t>
      </w:r>
      <w:r w:rsidR="00E07554" w:rsidRPr="00252447">
        <w:rPr>
          <w:bCs/>
        </w:rPr>
        <w:t xml:space="preserve"> efforts will be undertaken to reach out beyond usual UNESCO audiences</w:t>
      </w:r>
      <w:r w:rsidRPr="00252447">
        <w:rPr>
          <w:bCs/>
        </w:rPr>
        <w:t xml:space="preserve"> </w:t>
      </w:r>
      <w:r w:rsidR="00E07554" w:rsidRPr="00252447">
        <w:rPr>
          <w:bCs/>
        </w:rPr>
        <w:t>and ensure the presence of</w:t>
      </w:r>
      <w:r w:rsidRPr="00252447">
        <w:rPr>
          <w:bCs/>
        </w:rPr>
        <w:t xml:space="preserve"> </w:t>
      </w:r>
      <w:r w:rsidR="00E07554" w:rsidRPr="00252447">
        <w:rPr>
          <w:bCs/>
        </w:rPr>
        <w:t xml:space="preserve">living heritage </w:t>
      </w:r>
      <w:r w:rsidRPr="00252447">
        <w:rPr>
          <w:bCs/>
        </w:rPr>
        <w:t xml:space="preserve">in </w:t>
      </w:r>
      <w:r w:rsidR="00E07554" w:rsidRPr="00252447">
        <w:rPr>
          <w:bCs/>
        </w:rPr>
        <w:t>at</w:t>
      </w:r>
      <w:r w:rsidR="00C33B4E">
        <w:rPr>
          <w:bCs/>
        </w:rPr>
        <w:t xml:space="preserve"> </w:t>
      </w:r>
      <w:r w:rsidR="00E07554" w:rsidRPr="00252447">
        <w:rPr>
          <w:bCs/>
        </w:rPr>
        <w:t>least one major international event on sustainable development.</w:t>
      </w:r>
    </w:p>
    <w:p w14:paraId="01227BCB" w14:textId="77777777" w:rsidR="00233695" w:rsidRPr="00233695" w:rsidRDefault="00233695" w:rsidP="001740D7">
      <w:pPr>
        <w:pStyle w:val="GAPara"/>
        <w:keepNext/>
        <w:numPr>
          <w:ilvl w:val="0"/>
          <w:numId w:val="0"/>
        </w:numPr>
        <w:spacing w:before="240"/>
        <w:rPr>
          <w:b/>
          <w:bCs/>
        </w:rPr>
      </w:pPr>
      <w:r w:rsidRPr="00233695">
        <w:rPr>
          <w:b/>
          <w:bCs/>
        </w:rPr>
        <w:t>Participation in the meetings of the governing bodies and assistance to the Committee</w:t>
      </w:r>
    </w:p>
    <w:p w14:paraId="1136C40B" w14:textId="307A60F4" w:rsidR="00576E1D" w:rsidRPr="00EB21CA" w:rsidRDefault="00576E1D" w:rsidP="00C21695">
      <w:pPr>
        <w:pStyle w:val="COMPara"/>
        <w:keepLines/>
        <w:numPr>
          <w:ilvl w:val="0"/>
          <w:numId w:val="5"/>
        </w:numPr>
        <w:tabs>
          <w:tab w:val="left" w:pos="567"/>
        </w:tabs>
        <w:ind w:left="567" w:hanging="567"/>
        <w:jc w:val="both"/>
      </w:pPr>
      <w:r w:rsidRPr="00785AA3">
        <w:t>The participation</w:t>
      </w:r>
      <w:r w:rsidR="005E1302">
        <w:t xml:space="preserve"> of</w:t>
      </w:r>
      <w:r w:rsidR="005E1302" w:rsidRPr="00785AA3">
        <w:t xml:space="preserve"> experts in intangible cultural heritage representing developing States Parties</w:t>
      </w:r>
      <w:r w:rsidRPr="00785AA3">
        <w:t xml:space="preserve"> in statutory meetings is covered either by </w:t>
      </w:r>
      <w:r w:rsidRPr="00785AA3">
        <w:rPr>
          <w:b/>
          <w:bCs/>
        </w:rPr>
        <w:t>budget line 4</w:t>
      </w:r>
      <w:r w:rsidRPr="00785AA3">
        <w:t xml:space="preserve"> when they are members of the Committee or by </w:t>
      </w:r>
      <w:r w:rsidRPr="00785AA3">
        <w:rPr>
          <w:b/>
          <w:bCs/>
        </w:rPr>
        <w:t>budget line 5</w:t>
      </w:r>
      <w:r w:rsidRPr="00785AA3">
        <w:t xml:space="preserve"> when they are not.</w:t>
      </w:r>
      <w:r>
        <w:t xml:space="preserve"> The participation </w:t>
      </w:r>
      <w:r w:rsidRPr="00785AA3">
        <w:t xml:space="preserve">of experts in intangible cultural heritage representing accredited </w:t>
      </w:r>
      <w:r>
        <w:t xml:space="preserve">NGOs </w:t>
      </w:r>
      <w:r w:rsidRPr="00785AA3">
        <w:t xml:space="preserve">from </w:t>
      </w:r>
      <w:r w:rsidRPr="00EB21CA">
        <w:t xml:space="preserve">developing countries in the sessions of the Committee is covered by </w:t>
      </w:r>
      <w:r w:rsidRPr="00EB21CA">
        <w:rPr>
          <w:b/>
        </w:rPr>
        <w:t>budget line 6</w:t>
      </w:r>
      <w:r w:rsidRPr="00EB21CA">
        <w:t xml:space="preserve">. It </w:t>
      </w:r>
      <w:r>
        <w:t xml:space="preserve">is </w:t>
      </w:r>
      <w:r w:rsidRPr="00EB21CA">
        <w:t>proposed that 2</w:t>
      </w:r>
      <w:r>
        <w:t>.63%</w:t>
      </w:r>
      <w:r w:rsidRPr="00EB21CA">
        <w:t>, 3.</w:t>
      </w:r>
      <w:r>
        <w:t>31%</w:t>
      </w:r>
      <w:r w:rsidRPr="00EB21CA">
        <w:t xml:space="preserve"> and </w:t>
      </w:r>
      <w:r>
        <w:t>3.31%</w:t>
      </w:r>
      <w:r w:rsidRPr="00EB21CA">
        <w:t>, respectively, be dedicated to the above-mentioned lines.</w:t>
      </w:r>
      <w:r>
        <w:t xml:space="preserve"> The slight </w:t>
      </w:r>
      <w:r w:rsidR="00827DD1">
        <w:t>adjustments in the percentages aim to ensure support to all eligible members of the Committee, while balanc</w:t>
      </w:r>
      <w:r w:rsidR="007A009B">
        <w:t>ing</w:t>
      </w:r>
      <w:r w:rsidR="00827DD1">
        <w:t xml:space="preserve"> at the same time the support provided to </w:t>
      </w:r>
      <w:r>
        <w:t xml:space="preserve">States Parties and accredited NGOs, </w:t>
      </w:r>
      <w:r w:rsidR="007A009B">
        <w:t xml:space="preserve">given </w:t>
      </w:r>
      <w:r w:rsidR="00550BBD">
        <w:t xml:space="preserve">the </w:t>
      </w:r>
      <w:r>
        <w:t>increasing number of ratifications in recent years.</w:t>
      </w:r>
    </w:p>
    <w:p w14:paraId="441A1359" w14:textId="13DC3913" w:rsidR="00C6563D" w:rsidRDefault="0009445E" w:rsidP="00C21695">
      <w:pPr>
        <w:pStyle w:val="COMPara"/>
        <w:numPr>
          <w:ilvl w:val="0"/>
          <w:numId w:val="5"/>
        </w:numPr>
        <w:tabs>
          <w:tab w:val="left" w:pos="567"/>
        </w:tabs>
        <w:ind w:left="567" w:hanging="567"/>
        <w:jc w:val="both"/>
      </w:pPr>
      <w:r>
        <w:t xml:space="preserve">At its seventh session </w:t>
      </w:r>
      <w:r w:rsidRPr="000C3818">
        <w:t>(</w:t>
      </w:r>
      <w:hyperlink r:id="rId35" w:history="1">
        <w:r w:rsidRPr="00CF35E8">
          <w:rPr>
            <w:rStyle w:val="Lienhypertexte"/>
          </w:rPr>
          <w:t>Resolution 7.GA 8</w:t>
        </w:r>
      </w:hyperlink>
      <w:r>
        <w:t xml:space="preserve">), the General Assembly recommended that the Secretariat be authorized to make transfers between budget lines 4, 5 and 6, up to 30% of their initial total allocation. </w:t>
      </w:r>
      <w:r w:rsidR="00C6563D">
        <w:t>During the reporting period</w:t>
      </w:r>
      <w:r w:rsidR="00500CFC">
        <w:t xml:space="preserve"> 2018</w:t>
      </w:r>
      <w:r w:rsidR="005E1302">
        <w:t>–</w:t>
      </w:r>
      <w:r w:rsidR="00500CFC">
        <w:t>2019</w:t>
      </w:r>
      <w:r w:rsidR="00C6563D">
        <w:t xml:space="preserve">, </w:t>
      </w:r>
      <w:r w:rsidR="00500CFC">
        <w:t>the following two transfers were carried out</w:t>
      </w:r>
      <w:r w:rsidR="005E1302">
        <w:t>, in September and November 2019 respectively,</w:t>
      </w:r>
      <w:r w:rsidR="00500CFC">
        <w:t xml:space="preserve"> between these three budget lines</w:t>
      </w:r>
      <w:r w:rsidR="005E1302">
        <w:t xml:space="preserve"> </w:t>
      </w:r>
      <w:r w:rsidR="00500CFC">
        <w:t>as follows:</w:t>
      </w:r>
    </w:p>
    <w:p w14:paraId="5AF9AFAA" w14:textId="7271BB1D" w:rsidR="00500CFC" w:rsidRDefault="00500CFC" w:rsidP="00E63170">
      <w:pPr>
        <w:pStyle w:val="COMPara"/>
        <w:numPr>
          <w:ilvl w:val="1"/>
          <w:numId w:val="5"/>
        </w:numPr>
        <w:tabs>
          <w:tab w:val="left" w:pos="567"/>
        </w:tabs>
        <w:ind w:left="1134" w:hanging="567"/>
        <w:jc w:val="both"/>
      </w:pPr>
      <w:r>
        <w:t xml:space="preserve">US$24,866 from budget line 4 to budget line 5 (this amount represents 14% of the initial allocation under budget line 4); </w:t>
      </w:r>
    </w:p>
    <w:p w14:paraId="1BFC1082" w14:textId="36D1524A" w:rsidR="00500CFC" w:rsidRDefault="00500CFC" w:rsidP="00E63170">
      <w:pPr>
        <w:pStyle w:val="COMPara"/>
        <w:numPr>
          <w:ilvl w:val="1"/>
          <w:numId w:val="5"/>
        </w:numPr>
        <w:tabs>
          <w:tab w:val="left" w:pos="567"/>
        </w:tabs>
        <w:ind w:left="1134" w:hanging="567"/>
        <w:jc w:val="both"/>
      </w:pPr>
      <w:r>
        <w:t>US$45,000 from budget line 6 to budget line 5 (this amount represents 13% of the initial allocation under budget line 6).</w:t>
      </w:r>
    </w:p>
    <w:p w14:paraId="4E92D632" w14:textId="7E39A1FE" w:rsidR="0044038D" w:rsidRPr="00E17265" w:rsidRDefault="0044038D" w:rsidP="00C21695">
      <w:pPr>
        <w:pStyle w:val="COMPara"/>
        <w:numPr>
          <w:ilvl w:val="0"/>
          <w:numId w:val="5"/>
        </w:numPr>
        <w:tabs>
          <w:tab w:val="left" w:pos="567"/>
        </w:tabs>
        <w:ind w:left="567" w:hanging="567"/>
        <w:jc w:val="both"/>
      </w:pPr>
      <w:r w:rsidRPr="00E17265">
        <w:t xml:space="preserve">These two transfers allowed the Fund to </w:t>
      </w:r>
      <w:r w:rsidR="00827DD1">
        <w:t>a) </w:t>
      </w:r>
      <w:r w:rsidRPr="00E17265">
        <w:t>cover</w:t>
      </w:r>
      <w:r w:rsidR="00827DD1">
        <w:t> </w:t>
      </w:r>
      <w:r w:rsidRPr="00E17265">
        <w:t xml:space="preserve">the travel costs of forty experts </w:t>
      </w:r>
      <w:r w:rsidR="00827DD1">
        <w:t xml:space="preserve">from developing States </w:t>
      </w:r>
      <w:r w:rsidRPr="00E17265">
        <w:t>Parties to the Convention but not Members of the Committee</w:t>
      </w:r>
      <w:r w:rsidR="00827DD1">
        <w:t xml:space="preserve"> </w:t>
      </w:r>
      <w:r w:rsidRPr="00E17265">
        <w:t>to participate in the fourteenth session of the Committee in 2019</w:t>
      </w:r>
      <w:r w:rsidR="001740D7" w:rsidRPr="00E17265">
        <w:t xml:space="preserve"> (budget line 5)</w:t>
      </w:r>
      <w:r w:rsidR="00827DD1">
        <w:t>; b) </w:t>
      </w:r>
      <w:r w:rsidRPr="00E17265">
        <w:t xml:space="preserve">to respond positively to </w:t>
      </w:r>
      <w:r w:rsidR="00E17265" w:rsidRPr="00E17265">
        <w:t xml:space="preserve">all </w:t>
      </w:r>
      <w:r w:rsidRPr="00E17265">
        <w:t xml:space="preserve">requests </w:t>
      </w:r>
      <w:r w:rsidR="00E17265" w:rsidRPr="00E17265">
        <w:t>from</w:t>
      </w:r>
      <w:r w:rsidR="001740D7" w:rsidRPr="00E17265">
        <w:t xml:space="preserve"> experts representing developing States that are Members of the Committee</w:t>
      </w:r>
      <w:r w:rsidR="00E17265" w:rsidRPr="00E17265">
        <w:t xml:space="preserve"> to attend the fourteenth session of the Committee in 2019 </w:t>
      </w:r>
      <w:r w:rsidR="001740D7" w:rsidRPr="00E17265">
        <w:t>(budget line 4)</w:t>
      </w:r>
      <w:r w:rsidR="00827DD1">
        <w:t>; and c) cover the t</w:t>
      </w:r>
      <w:r w:rsidR="00E17265" w:rsidRPr="00E17265">
        <w:t>ravel costs of twenty-five experts</w:t>
      </w:r>
      <w:r w:rsidR="001740D7" w:rsidRPr="00E17265">
        <w:t xml:space="preserve"> representing accredited </w:t>
      </w:r>
      <w:r w:rsidR="00E17265" w:rsidRPr="00E17265">
        <w:t>non-governmental organizations</w:t>
      </w:r>
      <w:r w:rsidR="001740D7" w:rsidRPr="00E17265">
        <w:t xml:space="preserve"> from developing countries</w:t>
      </w:r>
      <w:r w:rsidR="00E17265" w:rsidRPr="00E17265">
        <w:t xml:space="preserve"> for this same session of the Committee</w:t>
      </w:r>
      <w:r w:rsidR="001740D7" w:rsidRPr="00E17265">
        <w:t xml:space="preserve"> (budget line 6).</w:t>
      </w:r>
    </w:p>
    <w:p w14:paraId="5B3312E8" w14:textId="77777777" w:rsidR="001740D7" w:rsidRDefault="001740D7" w:rsidP="00C21695">
      <w:pPr>
        <w:pStyle w:val="COMPara"/>
        <w:numPr>
          <w:ilvl w:val="0"/>
          <w:numId w:val="5"/>
        </w:numPr>
        <w:tabs>
          <w:tab w:val="left" w:pos="567"/>
        </w:tabs>
        <w:ind w:left="567" w:hanging="567"/>
        <w:jc w:val="both"/>
      </w:pPr>
      <w:r w:rsidRPr="0022736C">
        <w:rPr>
          <w:b/>
        </w:rPr>
        <w:t>Budget line 7</w:t>
      </w:r>
      <w:r w:rsidRPr="0022736C">
        <w:t xml:space="preserve"> is proposed to be maintained at 6% to cover the cost of the advisory services provided at the request of the Committee from January 2020 to December 2021.</w:t>
      </w:r>
    </w:p>
    <w:p w14:paraId="557A9242" w14:textId="7A741E54" w:rsidR="0009445E" w:rsidRPr="00E17265" w:rsidRDefault="00C31325" w:rsidP="00C21695">
      <w:pPr>
        <w:pStyle w:val="COMPara"/>
        <w:numPr>
          <w:ilvl w:val="0"/>
          <w:numId w:val="5"/>
        </w:numPr>
        <w:tabs>
          <w:tab w:val="left" w:pos="567"/>
        </w:tabs>
        <w:ind w:left="567" w:hanging="567"/>
        <w:jc w:val="both"/>
      </w:pPr>
      <w:r w:rsidRPr="00E17265">
        <w:t xml:space="preserve">For the period </w:t>
      </w:r>
      <w:r w:rsidR="00827DD1">
        <w:t>2020</w:t>
      </w:r>
      <w:r w:rsidR="005E1302">
        <w:t>–</w:t>
      </w:r>
      <w:r w:rsidRPr="00E17265">
        <w:t>2021</w:t>
      </w:r>
      <w:r w:rsidR="0009445E" w:rsidRPr="00E17265">
        <w:t xml:space="preserve">, the intention </w:t>
      </w:r>
      <w:r w:rsidR="008B7968">
        <w:t>remains</w:t>
      </w:r>
      <w:r w:rsidR="0009445E" w:rsidRPr="00E17265">
        <w:t xml:space="preserve"> to make efficient use of the funds in accordance with the necessities of each cycle. </w:t>
      </w:r>
      <w:r w:rsidR="00E17265" w:rsidRPr="00E17265">
        <w:t>In this regard</w:t>
      </w:r>
      <w:r w:rsidR="0009445E" w:rsidRPr="00E17265">
        <w:t xml:space="preserve">, it has been observed that the use of the funds allocated to budget line 7 can significantly vary from one year to another, as </w:t>
      </w:r>
      <w:r w:rsidR="00827DD1">
        <w:t>eligibility</w:t>
      </w:r>
      <w:r w:rsidR="00827DD1" w:rsidRPr="00E17265">
        <w:t xml:space="preserve"> </w:t>
      </w:r>
      <w:r w:rsidR="0009445E" w:rsidRPr="00E17265">
        <w:t xml:space="preserve">depend on the country of </w:t>
      </w:r>
      <w:r w:rsidR="00827DD1">
        <w:t>expert</w:t>
      </w:r>
      <w:r w:rsidR="0009445E" w:rsidRPr="00E17265">
        <w:t xml:space="preserve"> members of the Evaluation Body. Therefore, to enhance efforts to respond to as many requests for financial assistance as possible across the different categories of participants, the Committee recommend</w:t>
      </w:r>
      <w:r w:rsidR="004F09A4" w:rsidRPr="00E17265">
        <w:t>ed</w:t>
      </w:r>
      <w:r w:rsidR="0009445E" w:rsidRPr="00E17265">
        <w:t xml:space="preserve"> to the General Assembly to also authorize the Secretariat to make transfers between budget lines 4, 5, 6 and 7, up to an equivalent of 30% of their initial total</w:t>
      </w:r>
      <w:r w:rsidR="004F09A4" w:rsidRPr="00E17265">
        <w:t xml:space="preserve"> (</w:t>
      </w:r>
      <w:hyperlink r:id="rId36" w:history="1">
        <w:r w:rsidR="004F09A4" w:rsidRPr="00E17265">
          <w:rPr>
            <w:rStyle w:val="Lienhypertexte"/>
          </w:rPr>
          <w:t>Decision 14.COM 7</w:t>
        </w:r>
      </w:hyperlink>
      <w:r w:rsidR="004F09A4" w:rsidRPr="00E17265">
        <w:t>)</w:t>
      </w:r>
      <w:r w:rsidR="0009445E" w:rsidRPr="00E17265">
        <w:t xml:space="preserve">. </w:t>
      </w:r>
      <w:r w:rsidR="004F09A4" w:rsidRPr="00E17265">
        <w:t>In the same decision</w:t>
      </w:r>
      <w:r w:rsidR="0009445E" w:rsidRPr="00E17265">
        <w:t xml:space="preserve">, the Secretariat </w:t>
      </w:r>
      <w:r w:rsidR="004F09A4" w:rsidRPr="00E17265">
        <w:t>was</w:t>
      </w:r>
      <w:r w:rsidR="0009445E" w:rsidRPr="00E17265">
        <w:t xml:space="preserve"> requested to inform the Committee and the General Assembly in writing, at the session following such action, of the details of and reasons for these transfers.</w:t>
      </w:r>
    </w:p>
    <w:p w14:paraId="6DECC0C4" w14:textId="40B9083A" w:rsidR="00600219" w:rsidRDefault="003F7C52" w:rsidP="000D16BE">
      <w:pPr>
        <w:pStyle w:val="Titre4"/>
        <w:numPr>
          <w:ilvl w:val="0"/>
          <w:numId w:val="17"/>
        </w:numPr>
        <w:spacing w:before="360" w:after="120"/>
        <w:ind w:left="567" w:hanging="567"/>
        <w:jc w:val="both"/>
      </w:pPr>
      <w:bookmarkStart w:id="6" w:name="IV_Continuity_Measures"/>
      <w:bookmarkEnd w:id="6"/>
      <w:r>
        <w:t>CONTINUITY MEASURE</w:t>
      </w:r>
      <w:r w:rsidR="00B84102">
        <w:t>S</w:t>
      </w:r>
      <w:r>
        <w:t xml:space="preserve"> </w:t>
      </w:r>
      <w:r w:rsidR="00684D3B">
        <w:t xml:space="preserve">FOLLOWING THE POSTPONEMENT OF </w:t>
      </w:r>
      <w:r w:rsidR="00600219" w:rsidRPr="00600219">
        <w:t xml:space="preserve">THE </w:t>
      </w:r>
      <w:r>
        <w:t>EIGHTH SESSION OF THE GENERAL ASSEMBLY</w:t>
      </w:r>
    </w:p>
    <w:p w14:paraId="2BBBC61A" w14:textId="1B7A9802" w:rsidR="005D5581" w:rsidRPr="002E26EC" w:rsidRDefault="00684D3B" w:rsidP="0028775E">
      <w:pPr>
        <w:pStyle w:val="COMPara"/>
        <w:numPr>
          <w:ilvl w:val="0"/>
          <w:numId w:val="5"/>
        </w:numPr>
        <w:tabs>
          <w:tab w:val="left" w:pos="567"/>
        </w:tabs>
        <w:ind w:left="567" w:hanging="567"/>
        <w:jc w:val="both"/>
      </w:pPr>
      <w:proofErr w:type="gramStart"/>
      <w:r w:rsidRPr="002E26EC">
        <w:t>In light of</w:t>
      </w:r>
      <w:proofErr w:type="gramEnd"/>
      <w:r w:rsidRPr="002E26EC">
        <w:t xml:space="preserve"> the postponement of the eighth session of the General Assembly</w:t>
      </w:r>
      <w:r w:rsidR="006C0EF0" w:rsidRPr="002E26EC">
        <w:t xml:space="preserve"> </w:t>
      </w:r>
      <w:r w:rsidRPr="002E26EC">
        <w:t xml:space="preserve">due to the COVID-19 pandemic, the Secretariat </w:t>
      </w:r>
      <w:r w:rsidR="006C0EF0" w:rsidRPr="002E26EC">
        <w:t xml:space="preserve">was obliged to </w:t>
      </w:r>
      <w:proofErr w:type="spellStart"/>
      <w:r w:rsidRPr="002E26EC">
        <w:t>r</w:t>
      </w:r>
      <w:r w:rsidR="005D5581" w:rsidRPr="002E26EC">
        <w:t>eprogramm</w:t>
      </w:r>
      <w:r w:rsidRPr="002E26EC">
        <w:t>e</w:t>
      </w:r>
      <w:proofErr w:type="spellEnd"/>
      <w:r w:rsidR="005D5581" w:rsidRPr="002E26EC">
        <w:t xml:space="preserve"> part of the </w:t>
      </w:r>
      <w:r w:rsidRPr="002E26EC">
        <w:t>Fund</w:t>
      </w:r>
      <w:r w:rsidR="005D5581" w:rsidRPr="002E26EC">
        <w:t xml:space="preserve"> budget approved for the first semester </w:t>
      </w:r>
      <w:r w:rsidR="008B7968" w:rsidRPr="002E26EC">
        <w:t xml:space="preserve">of </w:t>
      </w:r>
      <w:r w:rsidR="005D5581" w:rsidRPr="002E26EC">
        <w:t>2020 for business continuity</w:t>
      </w:r>
      <w:r w:rsidRPr="002E26EC">
        <w:t>.</w:t>
      </w:r>
      <w:r w:rsidR="006C0EF0" w:rsidRPr="002E26EC">
        <w:t xml:space="preserve"> T</w:t>
      </w:r>
      <w:r w:rsidR="005D5581" w:rsidRPr="002E26EC">
        <w:t>he General Assembly</w:t>
      </w:r>
      <w:r w:rsidR="006C0EF0" w:rsidRPr="002E26EC">
        <w:t xml:space="preserve">, at the original dates from 9 </w:t>
      </w:r>
      <w:r w:rsidR="0040477D" w:rsidRPr="002E26EC">
        <w:t>to</w:t>
      </w:r>
      <w:r w:rsidR="006C0EF0" w:rsidRPr="002E26EC">
        <w:t xml:space="preserve"> 11 June 2020</w:t>
      </w:r>
      <w:r w:rsidR="00EA6948" w:rsidRPr="002E26EC">
        <w:t>,</w:t>
      </w:r>
      <w:r w:rsidR="005D5581" w:rsidRPr="002E26EC">
        <w:t xml:space="preserve"> would have examined the proposal of the Committee to approve the</w:t>
      </w:r>
      <w:r w:rsidR="008B7968" w:rsidRPr="002E26EC">
        <w:t xml:space="preserve"> present</w:t>
      </w:r>
      <w:r w:rsidR="005D5581" w:rsidRPr="002E26EC">
        <w:t xml:space="preserve"> Plan for the use of the resources of the Intangible Cultural Heritage Fund for the biennium 2020</w:t>
      </w:r>
      <w:r w:rsidR="00F87711" w:rsidRPr="002E26EC">
        <w:t>–</w:t>
      </w:r>
      <w:r w:rsidR="005D5581" w:rsidRPr="002E26EC">
        <w:t>2021 as well as one fourth of the amount established for the two-year period from 1 January 2020 to 31 December 2021 be provisionally allocated to the first semester of 2022 (</w:t>
      </w:r>
      <w:hyperlink r:id="rId37" w:history="1">
        <w:r w:rsidR="005D5581" w:rsidRPr="002E26EC">
          <w:rPr>
            <w:rStyle w:val="Lienhypertexte"/>
          </w:rPr>
          <w:t>Decision 14.COM 7</w:t>
        </w:r>
      </w:hyperlink>
      <w:r w:rsidR="005D5581" w:rsidRPr="002E26EC">
        <w:t>).</w:t>
      </w:r>
    </w:p>
    <w:p w14:paraId="2F4CF583" w14:textId="3179A3AD" w:rsidR="005D5581" w:rsidRPr="00B702ED" w:rsidRDefault="0028775E">
      <w:pPr>
        <w:pStyle w:val="COMPara"/>
        <w:numPr>
          <w:ilvl w:val="0"/>
          <w:numId w:val="5"/>
        </w:numPr>
        <w:tabs>
          <w:tab w:val="left" w:pos="567"/>
        </w:tabs>
        <w:ind w:left="567" w:hanging="567"/>
        <w:jc w:val="both"/>
        <w:rPr>
          <w:strike/>
        </w:rPr>
      </w:pPr>
      <w:r w:rsidRPr="00684D3B">
        <w:t xml:space="preserve">Given that the General Assembly at its seventh session approved the </w:t>
      </w:r>
      <w:r>
        <w:t>P</w:t>
      </w:r>
      <w:r w:rsidRPr="00684D3B">
        <w:t>lan for the use of the resources of the Fund for the period 1 January 2018 to 31 December 2019 as well as for the period 1 January 2020 to 30 June 2020 (</w:t>
      </w:r>
      <w:hyperlink r:id="rId38" w:history="1">
        <w:r w:rsidRPr="008B7968">
          <w:rPr>
            <w:rStyle w:val="Lienhypertexte"/>
          </w:rPr>
          <w:t>Resolution 7.GA 8</w:t>
        </w:r>
      </w:hyperlink>
      <w:r w:rsidRPr="00684D3B">
        <w:t>), the Secretariat face</w:t>
      </w:r>
      <w:r>
        <w:t>d</w:t>
      </w:r>
      <w:r w:rsidRPr="00684D3B">
        <w:t xml:space="preserve"> a risk of disruption in its operations after 30 June 2020.</w:t>
      </w:r>
      <w:r>
        <w:t xml:space="preserve"> </w:t>
      </w:r>
      <w:r w:rsidRPr="00684D3B">
        <w:t>In order to maintain its operations and as an intermediary measure, the Secretariat</w:t>
      </w:r>
      <w:r>
        <w:t xml:space="preserve">, in consultation with UNESCO’s Central Services, </w:t>
      </w:r>
      <w:r w:rsidR="00EA6948">
        <w:t>decided</w:t>
      </w:r>
      <w:r w:rsidR="00EA6948" w:rsidRPr="00684D3B">
        <w:t xml:space="preserve"> </w:t>
      </w:r>
      <w:r w:rsidRPr="00684D3B">
        <w:t xml:space="preserve">to </w:t>
      </w:r>
      <w:r w:rsidR="002F755B">
        <w:t xml:space="preserve">extend the validity of the </w:t>
      </w:r>
      <w:r w:rsidRPr="00684D3B">
        <w:t xml:space="preserve">approved budget for the first </w:t>
      </w:r>
      <w:r w:rsidR="00B30C28">
        <w:t>six months</w:t>
      </w:r>
      <w:r w:rsidR="00B30C28" w:rsidRPr="00684D3B">
        <w:t xml:space="preserve"> </w:t>
      </w:r>
      <w:r w:rsidRPr="00684D3B">
        <w:t xml:space="preserve">of 2020 </w:t>
      </w:r>
      <w:r w:rsidR="002F755B" w:rsidRPr="00684D3B">
        <w:t xml:space="preserve">until the eighth session of the General Assembly of the Convention </w:t>
      </w:r>
      <w:r w:rsidR="002F755B">
        <w:t>could be</w:t>
      </w:r>
      <w:r w:rsidR="002F755B" w:rsidRPr="00684D3B">
        <w:t xml:space="preserve"> convened.</w:t>
      </w:r>
      <w:r w:rsidR="002F755B">
        <w:t xml:space="preserve"> This extension did not affect </w:t>
      </w:r>
      <w:r w:rsidR="00EA6948">
        <w:t>the overall budget of US$2,147,73</w:t>
      </w:r>
      <w:r w:rsidR="00D96913">
        <w:t>1</w:t>
      </w:r>
      <w:r w:rsidR="00EA6948">
        <w:t xml:space="preserve"> approved by the General Assembly for the first </w:t>
      </w:r>
      <w:r w:rsidR="00B30C28">
        <w:t xml:space="preserve">six months </w:t>
      </w:r>
      <w:r w:rsidR="00EA6948">
        <w:t>of 2020</w:t>
      </w:r>
      <w:r w:rsidR="00314146">
        <w:t xml:space="preserve"> and </w:t>
      </w:r>
      <w:r w:rsidR="00EA6948">
        <w:t>does not impact the overall biennial Plan and the percentages proposed.</w:t>
      </w:r>
    </w:p>
    <w:p w14:paraId="13F3A3AD" w14:textId="4F441261" w:rsidR="006360C8" w:rsidRDefault="006360C8" w:rsidP="000D16BE">
      <w:pPr>
        <w:pStyle w:val="Titre4"/>
        <w:numPr>
          <w:ilvl w:val="0"/>
          <w:numId w:val="17"/>
        </w:numPr>
        <w:spacing w:before="360" w:after="120"/>
        <w:ind w:left="567" w:hanging="567"/>
        <w:jc w:val="both"/>
        <w:rPr>
          <w:rFonts w:cs="Arial"/>
          <w:szCs w:val="22"/>
        </w:rPr>
      </w:pPr>
      <w:bookmarkStart w:id="7" w:name="V_Subfund"/>
      <w:bookmarkEnd w:id="7"/>
      <w:r>
        <w:rPr>
          <w:rFonts w:cs="Arial"/>
          <w:szCs w:val="22"/>
        </w:rPr>
        <w:t>STRENGTHENING THE HUMAN RESOURCES OF THE SECRETARIAT</w:t>
      </w:r>
    </w:p>
    <w:p w14:paraId="7A938E88" w14:textId="0181E1B1" w:rsidR="00D85FEE" w:rsidRDefault="00D85FEE" w:rsidP="00C21695">
      <w:pPr>
        <w:pStyle w:val="COMPara"/>
        <w:numPr>
          <w:ilvl w:val="0"/>
          <w:numId w:val="5"/>
        </w:numPr>
        <w:tabs>
          <w:tab w:val="left" w:pos="567"/>
        </w:tabs>
        <w:ind w:left="567" w:hanging="567"/>
        <w:jc w:val="both"/>
      </w:pPr>
      <w:r>
        <w:t xml:space="preserve">In 2010, the General Assembly established a dedicated sub-fund, within the Intangible Cultural Heritage Fund, to be used exclusively for enhancing the human capacities of the Secretariat. At the time, the General Assembly considered that </w:t>
      </w:r>
      <w:r w:rsidRPr="0081123C">
        <w:t xml:space="preserve">funds in the amount of approximately </w:t>
      </w:r>
      <w:r w:rsidR="008B7968" w:rsidRPr="007E29F0">
        <w:t>US$1.1 million</w:t>
      </w:r>
      <w:r w:rsidRPr="0081123C">
        <w:t xml:space="preserve"> per year </w:t>
      </w:r>
      <w:r w:rsidR="00821EE1">
        <w:t>we</w:t>
      </w:r>
      <w:r w:rsidRPr="0081123C">
        <w:t>re needed for this purpose</w:t>
      </w:r>
      <w:r>
        <w:t xml:space="preserve"> (</w:t>
      </w:r>
      <w:hyperlink r:id="rId39" w:history="1">
        <w:r w:rsidRPr="0081123C">
          <w:rPr>
            <w:rStyle w:val="Lienhypertexte"/>
          </w:rPr>
          <w:t>Resolution 3.GA 9</w:t>
        </w:r>
      </w:hyperlink>
      <w:r>
        <w:t>).</w:t>
      </w:r>
    </w:p>
    <w:p w14:paraId="3F27C466" w14:textId="6FCD3C69" w:rsidR="00D85FEE" w:rsidRDefault="00D85FEE" w:rsidP="00C21695">
      <w:pPr>
        <w:pStyle w:val="COMPara"/>
        <w:numPr>
          <w:ilvl w:val="0"/>
          <w:numId w:val="5"/>
        </w:numPr>
        <w:tabs>
          <w:tab w:val="left" w:pos="567"/>
        </w:tabs>
        <w:ind w:left="567" w:hanging="567"/>
        <w:jc w:val="both"/>
      </w:pPr>
      <w:r w:rsidRPr="0091093B">
        <w:t xml:space="preserve">Recognizing that the Secretariat’s ability to provide quality services to Member States depends largely on its human resources, many and various donors have provided support over the years. This support was most recently reflected in </w:t>
      </w:r>
      <w:hyperlink r:id="rId40" w:history="1">
        <w:r w:rsidRPr="0091093B">
          <w:rPr>
            <w:rStyle w:val="Lienhypertexte"/>
          </w:rPr>
          <w:t>Decision 7.GA 8</w:t>
        </w:r>
      </w:hyperlink>
      <w:r w:rsidRPr="0091093B">
        <w:t xml:space="preserve"> of the General Assembly to create three new extra-budgetary fixed-term posts in order to enhance the human resources of the Secretariat for the implementation of the International Assistance mechanisms of the Fund (see </w:t>
      </w:r>
      <w:hyperlink r:id="rId41" w:history="1">
        <w:r w:rsidRPr="0071232D">
          <w:rPr>
            <w:rStyle w:val="Lienhypertexte"/>
          </w:rPr>
          <w:t>document LHE/20/8.GA/INF.7</w:t>
        </w:r>
      </w:hyperlink>
      <w:r w:rsidRPr="0071232D">
        <w:t>).</w:t>
      </w:r>
      <w:r>
        <w:t xml:space="preserve"> </w:t>
      </w:r>
      <w:r w:rsidRPr="007E29F0">
        <w:t xml:space="preserve">The three posts, together with the in-kind and financial contributions received during the present biennium, contribute to addressing the needs identified by the Secretariat in terms of human resources, even though the annual target of the sub-fund, set at US$1.1 million, </w:t>
      </w:r>
      <w:r w:rsidR="00821EE1">
        <w:t xml:space="preserve">was </w:t>
      </w:r>
      <w:r w:rsidRPr="007E29F0">
        <w:t>not reached.</w:t>
      </w:r>
    </w:p>
    <w:p w14:paraId="6B2C0AE5" w14:textId="0797BEAE" w:rsidR="0081123C" w:rsidRDefault="0081123C" w:rsidP="00C21695">
      <w:pPr>
        <w:pStyle w:val="COMPara"/>
        <w:numPr>
          <w:ilvl w:val="0"/>
          <w:numId w:val="5"/>
        </w:numPr>
        <w:tabs>
          <w:tab w:val="left" w:pos="567"/>
        </w:tabs>
        <w:ind w:left="567" w:hanging="567"/>
        <w:jc w:val="both"/>
      </w:pPr>
      <w:r w:rsidRPr="007E29F0">
        <w:t>Since th</w:t>
      </w:r>
      <w:r>
        <w:t>is</w:t>
      </w:r>
      <w:r w:rsidRPr="007E29F0">
        <w:t xml:space="preserve"> target was first set in 2010, the Convention has considerably expanded its geographical reach (from 113</w:t>
      </w:r>
      <w:r w:rsidR="00D85FEE">
        <w:t> </w:t>
      </w:r>
      <w:r w:rsidRPr="007E29F0">
        <w:t xml:space="preserve">States Parties to 178 as of July 2020) and its thematic scope. </w:t>
      </w:r>
      <w:r w:rsidR="00D85FEE">
        <w:t>In 2019, t</w:t>
      </w:r>
      <w:r w:rsidRPr="007E29F0">
        <w:t>he Committee therefore requested ‘that the Secretariat reassess its human resource needs and submit a new revised annual target of the sub-fund’ for examination by the General Assembly at the present session (</w:t>
      </w:r>
      <w:hyperlink r:id="rId42" w:history="1">
        <w:r w:rsidRPr="007E29F0">
          <w:rPr>
            <w:rStyle w:val="Lienhypertexte"/>
          </w:rPr>
          <w:t>Decision 14.COM 6</w:t>
        </w:r>
      </w:hyperlink>
      <w:r w:rsidRPr="007E29F0">
        <w:t>).</w:t>
      </w:r>
    </w:p>
    <w:p w14:paraId="0916A1E6" w14:textId="3EB89AC1" w:rsidR="00D85FEE" w:rsidRDefault="00D85FEE" w:rsidP="005B0C5B">
      <w:pPr>
        <w:pStyle w:val="COMPara"/>
        <w:numPr>
          <w:ilvl w:val="0"/>
          <w:numId w:val="5"/>
        </w:numPr>
        <w:tabs>
          <w:tab w:val="left" w:pos="567"/>
        </w:tabs>
        <w:ind w:left="567" w:hanging="567"/>
        <w:jc w:val="both"/>
      </w:pPr>
      <w:r w:rsidRPr="004E1047">
        <w:t xml:space="preserve">Currently there are </w:t>
      </w:r>
      <w:r>
        <w:t>ten</w:t>
      </w:r>
      <w:r w:rsidRPr="004E1047">
        <w:t xml:space="preserve"> professional and </w:t>
      </w:r>
      <w:r>
        <w:t>five</w:t>
      </w:r>
      <w:r w:rsidRPr="004E1047">
        <w:t xml:space="preserve"> general fixed</w:t>
      </w:r>
      <w:r w:rsidR="00821EE1">
        <w:t>-</w:t>
      </w:r>
      <w:r w:rsidRPr="004E1047">
        <w:t xml:space="preserve">term staff working at the </w:t>
      </w:r>
      <w:r>
        <w:t>Living Heritage Entity</w:t>
      </w:r>
      <w:r w:rsidRPr="004E1047">
        <w:t>, including the Secretary of the Convention</w:t>
      </w:r>
      <w:r>
        <w:t>,</w:t>
      </w:r>
      <w:r w:rsidRPr="004E1047">
        <w:t xml:space="preserve"> the </w:t>
      </w:r>
      <w:r w:rsidR="00ED5DAF">
        <w:t>Heads</w:t>
      </w:r>
      <w:r w:rsidR="00ED5DAF" w:rsidRPr="004E1047">
        <w:t xml:space="preserve"> </w:t>
      </w:r>
      <w:r w:rsidRPr="004E1047">
        <w:t xml:space="preserve">of the two units (Programme </w:t>
      </w:r>
      <w:r>
        <w:t>Management</w:t>
      </w:r>
      <w:r w:rsidRPr="004E1047">
        <w:t xml:space="preserve"> Unit a</w:t>
      </w:r>
      <w:r w:rsidR="006267E2">
        <w:t>s well as</w:t>
      </w:r>
      <w:r w:rsidRPr="004E1047">
        <w:t xml:space="preserve"> Capacity-building and Heritage Policy Unit)</w:t>
      </w:r>
      <w:r>
        <w:t xml:space="preserve"> and the three extrabudgetary fixed-term post</w:t>
      </w:r>
      <w:r w:rsidR="006267E2">
        <w:t xml:space="preserve"> holders</w:t>
      </w:r>
      <w:r w:rsidRPr="004E1047">
        <w:t>. These numbers are not sufficient to allow the Secretariat to respond to all its core statutory obligations (such as preparing statutory meetings including drafting documents, supporting the Evaluation Body with its work, treating nominations and non-governmental organizations requests for accreditation and reviewing and following-up on periodic reporting) and other vital functions (regional officer roles</w:t>
      </w:r>
      <w:r>
        <w:t>,</w:t>
      </w:r>
      <w:r w:rsidRPr="004E1047">
        <w:t xml:space="preserve"> capacity</w:t>
      </w:r>
      <w:r>
        <w:t>-</w:t>
      </w:r>
      <w:r w:rsidRPr="004E1047">
        <w:t>building programme</w:t>
      </w:r>
      <w:r>
        <w:t>, thematic work on education and on emergencies, and outreach and communication</w:t>
      </w:r>
      <w:r w:rsidRPr="004E1047">
        <w:t>).</w:t>
      </w:r>
      <w:r w:rsidR="005B0C5B">
        <w:t xml:space="preserve"> </w:t>
      </w:r>
      <w:r>
        <w:t>Under the current situation</w:t>
      </w:r>
      <w:r w:rsidRPr="004E1047">
        <w:t xml:space="preserve">, many of these core obligations and functions are </w:t>
      </w:r>
      <w:r w:rsidR="008B7968">
        <w:t>fulfilled</w:t>
      </w:r>
      <w:r w:rsidRPr="004E1047">
        <w:t xml:space="preserve"> by temporary staff</w:t>
      </w:r>
      <w:r>
        <w:t xml:space="preserve"> under various contract arrangements</w:t>
      </w:r>
      <w:r w:rsidR="00DF216B">
        <w:t>.</w:t>
      </w:r>
    </w:p>
    <w:p w14:paraId="4BE71CCB" w14:textId="456CD914" w:rsidR="0091093B" w:rsidRDefault="005B0C5B" w:rsidP="00C21695">
      <w:pPr>
        <w:pStyle w:val="COMPara"/>
        <w:numPr>
          <w:ilvl w:val="0"/>
          <w:numId w:val="5"/>
        </w:numPr>
        <w:tabs>
          <w:tab w:val="left" w:pos="567"/>
        </w:tabs>
        <w:ind w:left="567" w:hanging="567"/>
        <w:jc w:val="both"/>
      </w:pPr>
      <w:r>
        <w:t>Based on actual costs incurred by the Secretariat, t</w:t>
      </w:r>
      <w:r w:rsidR="00AA076B" w:rsidRPr="008B3BEC">
        <w:t xml:space="preserve">he annual target of the sub-fund would need to be set </w:t>
      </w:r>
      <w:r w:rsidR="00AA076B" w:rsidRPr="00E912CE">
        <w:t xml:space="preserve">at </w:t>
      </w:r>
      <w:r w:rsidR="00AA076B" w:rsidRPr="00B702ED">
        <w:t>US$950,000 per year</w:t>
      </w:r>
      <w:r w:rsidR="00AA076B">
        <w:t xml:space="preserve">. </w:t>
      </w:r>
      <w:r w:rsidR="00D85FEE" w:rsidRPr="008B3BEC">
        <w:t xml:space="preserve">This would permit the Secretariat to adequately continue addressing emerging needs and enhancing the implementation of the Convention, for instance </w:t>
      </w:r>
      <w:r w:rsidR="00821EE1">
        <w:t>through the roll-out</w:t>
      </w:r>
      <w:r w:rsidR="00821EE1" w:rsidRPr="00506398">
        <w:t xml:space="preserve"> of the periodic reporting mechanism</w:t>
      </w:r>
      <w:r w:rsidR="00821EE1">
        <w:t>,</w:t>
      </w:r>
      <w:r w:rsidR="00821EE1" w:rsidRPr="00506398">
        <w:t xml:space="preserve"> </w:t>
      </w:r>
      <w:r w:rsidR="00D85FEE" w:rsidRPr="008B3BEC">
        <w:t xml:space="preserve">the </w:t>
      </w:r>
      <w:r w:rsidR="00821EE1">
        <w:t>implementation</w:t>
      </w:r>
      <w:r w:rsidR="00D85FEE" w:rsidRPr="008B3BEC">
        <w:t xml:space="preserve"> of an outreach</w:t>
      </w:r>
      <w:r w:rsidR="00D85FEE" w:rsidRPr="008C6777">
        <w:t xml:space="preserve"> and communication plan</w:t>
      </w:r>
      <w:r w:rsidR="00821EE1">
        <w:t>, thematic</w:t>
      </w:r>
      <w:r w:rsidR="00D85FEE" w:rsidRPr="00506398">
        <w:t xml:space="preserve"> initiatives on ‘safeguarding intangible cultural heritage in formal and non-formal education’ </w:t>
      </w:r>
      <w:r w:rsidR="00821EE1">
        <w:t>and</w:t>
      </w:r>
      <w:r w:rsidR="00D85FEE" w:rsidRPr="00506398">
        <w:t xml:space="preserve"> ‘intangible cultural heritage in emergencies’</w:t>
      </w:r>
      <w:r w:rsidR="00821EE1">
        <w:t xml:space="preserve"> </w:t>
      </w:r>
      <w:r w:rsidR="00D85FEE" w:rsidRPr="00506398">
        <w:t>and the reflection launched by the Committee on the</w:t>
      </w:r>
      <w:r w:rsidR="00821EE1">
        <w:t xml:space="preserve"> future of the</w:t>
      </w:r>
      <w:r w:rsidR="00D85FEE" w:rsidRPr="00506398">
        <w:t xml:space="preserve"> </w:t>
      </w:r>
      <w:r w:rsidR="00821EE1">
        <w:t xml:space="preserve">Convention’s </w:t>
      </w:r>
      <w:r w:rsidR="00D85FEE" w:rsidRPr="00506398">
        <w:t>listing mechanisms</w:t>
      </w:r>
      <w:r w:rsidR="00D85FEE">
        <w:t xml:space="preserve">. To this end, voluntary </w:t>
      </w:r>
      <w:r w:rsidR="00D85FEE" w:rsidRPr="00506398">
        <w:t>contributions to the sub-fund</w:t>
      </w:r>
      <w:r w:rsidR="00D85FEE">
        <w:t xml:space="preserve">, whether from States or from the private sector, </w:t>
      </w:r>
      <w:r w:rsidR="00D85FEE" w:rsidRPr="00506398">
        <w:t>are still necessary</w:t>
      </w:r>
      <w:r w:rsidR="00D85FEE" w:rsidRPr="008C6777">
        <w:t>.</w:t>
      </w:r>
    </w:p>
    <w:p w14:paraId="52086F06" w14:textId="7896369E" w:rsidR="006360C8" w:rsidRPr="005E29A7" w:rsidRDefault="006360C8" w:rsidP="000D16BE">
      <w:pPr>
        <w:pStyle w:val="Titre4"/>
        <w:numPr>
          <w:ilvl w:val="0"/>
          <w:numId w:val="17"/>
        </w:numPr>
        <w:spacing w:before="360" w:after="120"/>
        <w:ind w:left="567" w:hanging="567"/>
        <w:jc w:val="both"/>
        <w:rPr>
          <w:rFonts w:cs="Arial"/>
          <w:b w:val="0"/>
          <w:szCs w:val="22"/>
        </w:rPr>
      </w:pPr>
      <w:bookmarkStart w:id="8" w:name="VI_Management_Cost"/>
      <w:bookmarkEnd w:id="8"/>
      <w:r>
        <w:rPr>
          <w:rFonts w:cs="Arial"/>
          <w:szCs w:val="22"/>
        </w:rPr>
        <w:t>MANAGEMENT COST RATE OF THE FUND</w:t>
      </w:r>
    </w:p>
    <w:p w14:paraId="28980CF4" w14:textId="5ECC9E72" w:rsidR="006360C8" w:rsidRPr="00E7332C" w:rsidRDefault="006360C8" w:rsidP="001302EE">
      <w:pPr>
        <w:keepLines/>
        <w:numPr>
          <w:ilvl w:val="0"/>
          <w:numId w:val="2"/>
        </w:numPr>
        <w:spacing w:after="120"/>
        <w:ind w:left="567" w:hanging="567"/>
        <w:jc w:val="both"/>
        <w:rPr>
          <w:rFonts w:ascii="Arial" w:eastAsia="SimSun" w:hAnsi="Arial" w:cs="Arial"/>
          <w:snapToGrid w:val="0"/>
          <w:sz w:val="22"/>
          <w:szCs w:val="22"/>
          <w:lang w:val="en-US" w:eastAsia="en-US"/>
        </w:rPr>
      </w:pPr>
      <w:r w:rsidRPr="00E7332C">
        <w:rPr>
          <w:rFonts w:ascii="Arial" w:eastAsia="SimSun" w:hAnsi="Arial" w:cs="Arial"/>
          <w:snapToGrid w:val="0"/>
          <w:sz w:val="22"/>
          <w:szCs w:val="22"/>
          <w:lang w:val="en-US" w:eastAsia="en-US"/>
        </w:rPr>
        <w:t xml:space="preserve">The Fund, as well as other comparable multi-donor special accounts such as the World Heritage Fund, has </w:t>
      </w:r>
      <w:r w:rsidRPr="00E7332C">
        <w:rPr>
          <w:rFonts w:ascii="Arial" w:eastAsia="SimSun" w:hAnsi="Arial" w:cs="Arial"/>
          <w:snapToGrid w:val="0"/>
          <w:sz w:val="22"/>
          <w:szCs w:val="22"/>
          <w:lang w:val="en-GB" w:eastAsia="en-US"/>
        </w:rPr>
        <w:t xml:space="preserve">benefitted from a special Management Cost rate derogation (0 per cent), granted by the Director-General with regard to their </w:t>
      </w:r>
      <w:r w:rsidRPr="00E7332C">
        <w:rPr>
          <w:rFonts w:ascii="Arial" w:eastAsia="SimSun" w:hAnsi="Arial" w:cs="Arial"/>
          <w:snapToGrid w:val="0"/>
          <w:sz w:val="22"/>
          <w:szCs w:val="22"/>
          <w:lang w:val="en-US" w:eastAsia="en-US"/>
        </w:rPr>
        <w:t>assessed contributions, while 10 per cent was charged on voluntary supplementary contributions</w:t>
      </w:r>
      <w:r w:rsidR="00C56282">
        <w:rPr>
          <w:rFonts w:ascii="Arial" w:eastAsia="SimSun" w:hAnsi="Arial" w:cs="Arial"/>
          <w:snapToGrid w:val="0"/>
          <w:sz w:val="22"/>
          <w:szCs w:val="22"/>
          <w:lang w:val="en-US" w:eastAsia="en-US"/>
        </w:rPr>
        <w:t xml:space="preserve"> initially</w:t>
      </w:r>
      <w:r w:rsidRPr="00E7332C">
        <w:rPr>
          <w:rFonts w:ascii="Arial" w:eastAsia="SimSun" w:hAnsi="Arial" w:cs="Arial"/>
          <w:snapToGrid w:val="0"/>
          <w:sz w:val="22"/>
          <w:szCs w:val="22"/>
          <w:lang w:val="en-US" w:eastAsia="en-US"/>
        </w:rPr>
        <w:t>.</w:t>
      </w:r>
    </w:p>
    <w:p w14:paraId="6C35B9F7" w14:textId="66891A55" w:rsidR="006360C8" w:rsidRPr="002E26EC" w:rsidRDefault="006360C8" w:rsidP="00C21695">
      <w:pPr>
        <w:pStyle w:val="COMPara"/>
        <w:numPr>
          <w:ilvl w:val="0"/>
          <w:numId w:val="2"/>
        </w:numPr>
        <w:ind w:left="567" w:hanging="567"/>
        <w:jc w:val="both"/>
        <w:rPr>
          <w:rFonts w:eastAsia="SimSun"/>
          <w:bCs/>
        </w:rPr>
      </w:pPr>
      <w:r w:rsidRPr="002E26EC">
        <w:rPr>
          <w:rFonts w:eastAsia="SimSun"/>
          <w:lang w:val="en"/>
        </w:rPr>
        <w:t>At its thirteenth session (</w:t>
      </w:r>
      <w:hyperlink r:id="rId43" w:history="1">
        <w:r w:rsidRPr="002E26EC">
          <w:rPr>
            <w:rStyle w:val="Lienhypertexte"/>
            <w:rFonts w:eastAsia="SimSun"/>
            <w:lang w:val="en"/>
          </w:rPr>
          <w:t>Decision 13.COM 6</w:t>
        </w:r>
      </w:hyperlink>
      <w:r w:rsidRPr="002E26EC">
        <w:rPr>
          <w:rFonts w:eastAsia="SimSun"/>
          <w:lang w:val="en"/>
        </w:rPr>
        <w:t xml:space="preserve">), the Committee took note of the Executive Board document </w:t>
      </w:r>
      <w:hyperlink r:id="rId44" w:history="1">
        <w:r w:rsidRPr="002E26EC">
          <w:rPr>
            <w:rStyle w:val="Lienhypertexte"/>
            <w:rFonts w:eastAsia="SimSun"/>
            <w:lang w:val="en"/>
          </w:rPr>
          <w:t>204 EX/5 Part II.E</w:t>
        </w:r>
      </w:hyperlink>
      <w:r w:rsidRPr="002E26EC">
        <w:rPr>
          <w:rFonts w:eastAsia="SimSun"/>
          <w:lang w:val="en"/>
        </w:rPr>
        <w:t xml:space="preserve"> on ‘Cost recovery policy: Revised Proposal for a differential rate policy for Management Cost Rates’ and its related decision</w:t>
      </w:r>
      <w:r w:rsidRPr="002E26EC">
        <w:rPr>
          <w:rFonts w:eastAsia="SimSun"/>
        </w:rPr>
        <w:t xml:space="preserve">, according to which the Board decided that </w:t>
      </w:r>
      <w:r w:rsidR="000456A8" w:rsidRPr="002E26EC">
        <w:rPr>
          <w:rFonts w:eastAsia="SimSun"/>
        </w:rPr>
        <w:t xml:space="preserve">all </w:t>
      </w:r>
      <w:r w:rsidRPr="002E26EC">
        <w:rPr>
          <w:rFonts w:eastAsia="SimSun"/>
        </w:rPr>
        <w:t>multi-donor special accounts should now be subject to a new rate of 7 per cent. The document presented to the 204th</w:t>
      </w:r>
      <w:r w:rsidRPr="002E26EC">
        <w:rPr>
          <w:rFonts w:eastAsia="SimSun"/>
          <w:vertAlign w:val="superscript"/>
        </w:rPr>
        <w:t xml:space="preserve"> </w:t>
      </w:r>
      <w:r w:rsidRPr="002E26EC">
        <w:rPr>
          <w:rFonts w:eastAsia="SimSun"/>
        </w:rPr>
        <w:t>session of the Executive Board stated that ‘necessary consultations with the Governing Bodies of States Parties to the Intangible Cultural Heritage Convention and to the World Heritage Convention will take place between June 2018 and November 2019’ (see document </w:t>
      </w:r>
      <w:hyperlink r:id="rId45" w:history="1">
        <w:r w:rsidRPr="002E26EC">
          <w:rPr>
            <w:rFonts w:eastAsia="SimSun"/>
            <w:color w:val="0000FF"/>
            <w:u w:val="single"/>
          </w:rPr>
          <w:t>204 EX/5 Part II.E</w:t>
        </w:r>
      </w:hyperlink>
      <w:r w:rsidRPr="002E26EC">
        <w:rPr>
          <w:rFonts w:eastAsia="SimSun"/>
        </w:rPr>
        <w:t xml:space="preserve">, paragraph 14). At its </w:t>
      </w:r>
      <w:r w:rsidR="008B7968" w:rsidRPr="002E26EC">
        <w:rPr>
          <w:rFonts w:eastAsia="SimSun"/>
        </w:rPr>
        <w:t>forty-second</w:t>
      </w:r>
      <w:r w:rsidRPr="002E26EC">
        <w:rPr>
          <w:rFonts w:eastAsia="SimSun"/>
        </w:rPr>
        <w:t xml:space="preserve"> session in 2018, the World Heritage Committee decided to ‘recommend strongly that the current Management Cost rate of 0 per cent continues to apply to the special account of the World Heritage Fund’ (</w:t>
      </w:r>
      <w:hyperlink r:id="rId46" w:history="1">
        <w:r w:rsidRPr="002E26EC">
          <w:rPr>
            <w:rStyle w:val="Lienhypertexte"/>
            <w:rFonts w:eastAsia="SimSun"/>
            <w:lang w:val="en-US"/>
          </w:rPr>
          <w:t>Decision 42 COM 14</w:t>
        </w:r>
      </w:hyperlink>
      <w:r w:rsidRPr="002E26EC">
        <w:rPr>
          <w:rFonts w:eastAsia="SimSun"/>
        </w:rPr>
        <w:t>).</w:t>
      </w:r>
      <w:r w:rsidR="00E7332C" w:rsidRPr="002E26EC">
        <w:rPr>
          <w:rFonts w:eastAsia="SimSun"/>
        </w:rPr>
        <w:t xml:space="preserve"> At its fourteenth session (</w:t>
      </w:r>
      <w:hyperlink r:id="rId47" w:history="1">
        <w:r w:rsidR="00E7332C" w:rsidRPr="002E26EC">
          <w:rPr>
            <w:rStyle w:val="Lienhypertexte"/>
            <w:rFonts w:eastAsia="SimSun"/>
          </w:rPr>
          <w:t>Decision 14.COM 6</w:t>
        </w:r>
      </w:hyperlink>
      <w:r w:rsidR="00E7332C" w:rsidRPr="002E26EC">
        <w:rPr>
          <w:rFonts w:eastAsia="SimSun"/>
        </w:rPr>
        <w:t>), the Committee</w:t>
      </w:r>
      <w:r w:rsidR="008B7968" w:rsidRPr="002E26EC">
        <w:rPr>
          <w:rFonts w:eastAsia="SimSun"/>
        </w:rPr>
        <w:t xml:space="preserve"> of the 2003 Convention</w:t>
      </w:r>
      <w:r w:rsidR="00E7332C" w:rsidRPr="002E26EC">
        <w:rPr>
          <w:rFonts w:eastAsia="SimSun"/>
        </w:rPr>
        <w:t xml:space="preserve"> recommended ‘that the General Assembly endorse t</w:t>
      </w:r>
      <w:bookmarkStart w:id="9" w:name="_Hlk45717823"/>
      <w:r w:rsidR="00E7332C" w:rsidRPr="002E26EC">
        <w:rPr>
          <w:rFonts w:eastAsia="SimSun"/>
        </w:rPr>
        <w:t xml:space="preserve">he continued application of a Management Cost rate of 0 per cent for all assessed contributions </w:t>
      </w:r>
      <w:bookmarkEnd w:id="9"/>
      <w:r w:rsidR="00E7332C" w:rsidRPr="002E26EC">
        <w:rPr>
          <w:rFonts w:eastAsia="SimSun"/>
        </w:rPr>
        <w:t>to the special account of the Intangible Cultural Heritage Fund and apply a Management Cost rate of 7 per cent for all other contributions.’</w:t>
      </w:r>
    </w:p>
    <w:p w14:paraId="276AD4BF" w14:textId="79754675" w:rsidR="00576E1D" w:rsidRPr="009720B8" w:rsidRDefault="00576E1D" w:rsidP="000D16BE">
      <w:pPr>
        <w:pStyle w:val="Titre4"/>
        <w:numPr>
          <w:ilvl w:val="0"/>
          <w:numId w:val="17"/>
        </w:numPr>
        <w:spacing w:before="360" w:after="120"/>
        <w:ind w:left="567" w:hanging="567"/>
        <w:jc w:val="both"/>
        <w:rPr>
          <w:b w:val="0"/>
        </w:rPr>
      </w:pPr>
      <w:bookmarkStart w:id="10" w:name="VII_Financial_Regulations"/>
      <w:bookmarkEnd w:id="10"/>
      <w:r w:rsidRPr="009720B8">
        <w:t>ALIGNMENT OF FINANCIAL REGULATIONS OF SPECIAL ACCOUNTS</w:t>
      </w:r>
    </w:p>
    <w:p w14:paraId="68442E7A" w14:textId="6CE46060" w:rsidR="00E253B5" w:rsidRPr="002E26EC" w:rsidRDefault="00576E1D" w:rsidP="00C21695">
      <w:pPr>
        <w:pStyle w:val="COMPara"/>
        <w:numPr>
          <w:ilvl w:val="0"/>
          <w:numId w:val="5"/>
        </w:numPr>
        <w:tabs>
          <w:tab w:val="left" w:pos="567"/>
        </w:tabs>
        <w:ind w:left="567" w:hanging="567"/>
        <w:jc w:val="both"/>
      </w:pPr>
      <w:r w:rsidRPr="009720B8">
        <w:t xml:space="preserve">At its 200th session in 2016, UNESCO’s Executive Board approved Standard Financial Regulations for all types of Special Accounts including those related to conventions, as set out in </w:t>
      </w:r>
      <w:hyperlink r:id="rId48" w:history="1">
        <w:r w:rsidRPr="009720B8">
          <w:rPr>
            <w:rStyle w:val="Lienhypertexte"/>
          </w:rPr>
          <w:t>Annex IV of document 200EX/19</w:t>
        </w:r>
      </w:hyperlink>
      <w:r w:rsidRPr="009720B8">
        <w:t xml:space="preserve"> (</w:t>
      </w:r>
      <w:hyperlink r:id="rId49" w:history="1">
        <w:r w:rsidRPr="009720B8">
          <w:rPr>
            <w:rStyle w:val="Lienhypertexte"/>
          </w:rPr>
          <w:t>200 EX/Decision 19</w:t>
        </w:r>
      </w:hyperlink>
      <w:r w:rsidRPr="009720B8">
        <w:t>). At its following session in 2017, the Executive Board requested</w:t>
      </w:r>
      <w:r w:rsidR="00E62BC7">
        <w:t xml:space="preserve"> that</w:t>
      </w:r>
      <w:r w:rsidRPr="009720B8">
        <w:t xml:space="preserve"> the Director-General propose to the relevant governing body of each Special Account, a realignment of the Financial Regulations of their respective Special Account with the abovementioned Standard Financial Regulations (</w:t>
      </w:r>
      <w:hyperlink r:id="rId50" w:history="1">
        <w:r w:rsidRPr="009720B8">
          <w:rPr>
            <w:rStyle w:val="Lienhypertexte"/>
          </w:rPr>
          <w:t>201 EX/Decision 24</w:t>
        </w:r>
      </w:hyperlink>
      <w:r w:rsidRPr="009720B8">
        <w:t xml:space="preserve">). </w:t>
      </w:r>
      <w:r w:rsidR="00910154" w:rsidRPr="009720B8">
        <w:t xml:space="preserve">In 2019, the </w:t>
      </w:r>
      <w:r w:rsidR="00910154" w:rsidRPr="002E26EC">
        <w:t>Committee requested</w:t>
      </w:r>
      <w:r w:rsidR="00E62BC7" w:rsidRPr="002E26EC">
        <w:t xml:space="preserve"> that</w:t>
      </w:r>
      <w:r w:rsidR="00910154" w:rsidRPr="002E26EC">
        <w:t xml:space="preserve"> the Secretariat propose, for examination by the General Assembly at its present</w:t>
      </w:r>
      <w:r w:rsidR="0040477D" w:rsidRPr="002E26EC">
        <w:t xml:space="preserve"> session</w:t>
      </w:r>
      <w:r w:rsidR="00910154" w:rsidRPr="002E26EC">
        <w:t>, draft revisions to the Financial Regulations (</w:t>
      </w:r>
      <w:hyperlink r:id="rId51" w:history="1">
        <w:r w:rsidR="00910154" w:rsidRPr="002E26EC">
          <w:rPr>
            <w:rStyle w:val="Lienhypertexte"/>
          </w:rPr>
          <w:t>Decision</w:t>
        </w:r>
        <w:r w:rsidR="0071232D">
          <w:rPr>
            <w:rStyle w:val="Lienhypertexte"/>
          </w:rPr>
          <w:t> </w:t>
        </w:r>
        <w:r w:rsidR="00910154" w:rsidRPr="002E26EC">
          <w:rPr>
            <w:rStyle w:val="Lienhypertexte"/>
          </w:rPr>
          <w:t>14.COM</w:t>
        </w:r>
        <w:r w:rsidR="0040477D" w:rsidRPr="002E26EC">
          <w:rPr>
            <w:rStyle w:val="Lienhypertexte"/>
          </w:rPr>
          <w:t> </w:t>
        </w:r>
        <w:r w:rsidR="00910154" w:rsidRPr="002E26EC">
          <w:rPr>
            <w:rStyle w:val="Lienhypertexte"/>
          </w:rPr>
          <w:t>7</w:t>
        </w:r>
      </w:hyperlink>
      <w:r w:rsidR="00910154" w:rsidRPr="002E26EC">
        <w:t>).</w:t>
      </w:r>
    </w:p>
    <w:p w14:paraId="487058BC" w14:textId="440EF96D" w:rsidR="00576E1D" w:rsidRPr="009720B8" w:rsidRDefault="005D09CC" w:rsidP="00C21695">
      <w:pPr>
        <w:pStyle w:val="COMPara"/>
        <w:numPr>
          <w:ilvl w:val="0"/>
          <w:numId w:val="5"/>
        </w:numPr>
        <w:tabs>
          <w:tab w:val="left" w:pos="567"/>
        </w:tabs>
        <w:ind w:left="567" w:hanging="567"/>
        <w:jc w:val="both"/>
      </w:pPr>
      <w:r w:rsidRPr="002E26EC">
        <w:t xml:space="preserve">Realigning the Financial Regulations of the Fund requires </w:t>
      </w:r>
      <w:proofErr w:type="gramStart"/>
      <w:r w:rsidRPr="002E26EC">
        <w:t>a number of</w:t>
      </w:r>
      <w:proofErr w:type="gramEnd"/>
      <w:r w:rsidR="00327DD3" w:rsidRPr="002E26EC">
        <w:t xml:space="preserve"> revisions</w:t>
      </w:r>
      <w:r w:rsidRPr="002E26EC">
        <w:t xml:space="preserve"> as presented in Annex III. </w:t>
      </w:r>
      <w:r w:rsidR="00EE6FAF" w:rsidRPr="002E26EC">
        <w:t>In particular, a new Article 4</w:t>
      </w:r>
      <w:r w:rsidR="00C0212E" w:rsidRPr="002E26EC">
        <w:t xml:space="preserve"> as proposed</w:t>
      </w:r>
      <w:r w:rsidR="00EE6FAF" w:rsidRPr="002E26EC">
        <w:t xml:space="preserve"> would stipulate that the General Assembly has authority over the appropriation of the resources of the Fund based on the Operational Directives</w:t>
      </w:r>
      <w:r w:rsidR="00327DD3" w:rsidRPr="002E26EC">
        <w:t xml:space="preserve"> and that the Secretariat administers the Fund in accordance with the Convention, the decisions of the governing bodies of the Convention and the Financial Regulations</w:t>
      </w:r>
      <w:r w:rsidR="00EE6FAF" w:rsidRPr="002E26EC">
        <w:t>. Furthermore, new</w:t>
      </w:r>
      <w:r w:rsidR="00252447" w:rsidRPr="002E26EC">
        <w:t>ly</w:t>
      </w:r>
      <w:r w:rsidR="00EE6FAF" w:rsidRPr="002E26EC">
        <w:t xml:space="preserve"> proposed Article</w:t>
      </w:r>
      <w:r w:rsidR="00327DD3" w:rsidRPr="002E26EC">
        <w:t>s 4.</w:t>
      </w:r>
      <w:r w:rsidR="00E519E7">
        <w:t>4</w:t>
      </w:r>
      <w:r w:rsidR="00E519E7" w:rsidRPr="002E26EC">
        <w:t xml:space="preserve"> </w:t>
      </w:r>
      <w:r w:rsidR="00327DD3" w:rsidRPr="002E26EC">
        <w:t>and</w:t>
      </w:r>
      <w:r w:rsidR="00EE6FAF" w:rsidRPr="002E26EC">
        <w:t xml:space="preserve"> 10 would formalize the current practice applied in terms of reporting, whereby the Secretariat reports to the General Assembly on the use of the resources on a biennial basis.</w:t>
      </w:r>
      <w:r w:rsidR="00327DD3" w:rsidRPr="002E26EC">
        <w:t xml:space="preserve"> A new</w:t>
      </w:r>
      <w:r w:rsidR="00327DD3" w:rsidRPr="00252447">
        <w:t xml:space="preserve"> </w:t>
      </w:r>
      <w:r w:rsidR="00EE6FAF" w:rsidRPr="00252447">
        <w:t>Article 11</w:t>
      </w:r>
      <w:r w:rsidR="00C0212E" w:rsidRPr="00252447">
        <w:t xml:space="preserve"> as proposed</w:t>
      </w:r>
      <w:r w:rsidR="00EE6FAF" w:rsidRPr="00252447">
        <w:t xml:space="preserve"> </w:t>
      </w:r>
      <w:r w:rsidR="00327DD3" w:rsidRPr="00252447">
        <w:t xml:space="preserve">would </w:t>
      </w:r>
      <w:r w:rsidR="00EE6FAF" w:rsidRPr="00252447">
        <w:t>specif</w:t>
      </w:r>
      <w:r w:rsidR="00327DD3" w:rsidRPr="00252447">
        <w:t>y</w:t>
      </w:r>
      <w:r w:rsidR="00EE6FAF" w:rsidRPr="00252447">
        <w:t xml:space="preserve"> the modalities</w:t>
      </w:r>
      <w:r w:rsidR="00327DD3" w:rsidRPr="00252447">
        <w:t xml:space="preserve">, through which the General Assembly could </w:t>
      </w:r>
      <w:r w:rsidR="00EE6FAF" w:rsidRPr="00252447">
        <w:t>clos</w:t>
      </w:r>
      <w:r w:rsidR="00327DD3" w:rsidRPr="00252447">
        <w:t>e</w:t>
      </w:r>
      <w:r w:rsidR="00EE6FAF" w:rsidRPr="00252447">
        <w:t xml:space="preserve"> the Fund.</w:t>
      </w:r>
      <w:r w:rsidR="00327DD3" w:rsidRPr="00252447">
        <w:t xml:space="preserve"> UNESCO’s</w:t>
      </w:r>
      <w:r w:rsidR="00327DD3" w:rsidRPr="009720B8">
        <w:t xml:space="preserve"> Executive Board would be informed of any amendment</w:t>
      </w:r>
      <w:r w:rsidR="00B5600A">
        <w:t xml:space="preserve"> to</w:t>
      </w:r>
      <w:r w:rsidR="00327DD3" w:rsidRPr="009720B8">
        <w:t xml:space="preserve"> the Financial Regulations of the Fund (new Article 12.1)</w:t>
      </w:r>
      <w:r w:rsidR="0040477D">
        <w:t>.</w:t>
      </w:r>
    </w:p>
    <w:p w14:paraId="19090ABA" w14:textId="2A51FEC1" w:rsidR="00576E1D" w:rsidRPr="00DC490B" w:rsidRDefault="00576E1D" w:rsidP="00B702ED">
      <w:pPr>
        <w:pStyle w:val="COMPara"/>
        <w:keepNext/>
        <w:keepLines/>
        <w:numPr>
          <w:ilvl w:val="0"/>
          <w:numId w:val="5"/>
        </w:numPr>
        <w:tabs>
          <w:tab w:val="left" w:pos="567"/>
        </w:tabs>
        <w:ind w:left="567" w:hanging="567"/>
        <w:jc w:val="both"/>
      </w:pPr>
      <w:r w:rsidRPr="00DC490B">
        <w:t xml:space="preserve">The </w:t>
      </w:r>
      <w:r w:rsidR="0009445E">
        <w:t>General Assembly</w:t>
      </w:r>
      <w:r w:rsidRPr="00DC490B">
        <w:t xml:space="preserve"> may wish to adopt the following </w:t>
      </w:r>
      <w:r w:rsidR="0009445E">
        <w:t>resolution</w:t>
      </w:r>
      <w:r w:rsidRPr="00DC490B">
        <w:t>:</w:t>
      </w:r>
    </w:p>
    <w:p w14:paraId="0AED40AA" w14:textId="0A7DEA09" w:rsidR="00576E1D" w:rsidRPr="00DC490B" w:rsidRDefault="00576E1D" w:rsidP="00B702ED">
      <w:pPr>
        <w:pStyle w:val="COMTitleDecision"/>
        <w:keepLines/>
        <w:rPr>
          <w:rFonts w:eastAsia="SimSun"/>
        </w:rPr>
      </w:pPr>
      <w:bookmarkStart w:id="11" w:name="_Hlk42187665"/>
      <w:r w:rsidRPr="00DC490B">
        <w:t xml:space="preserve">DRAFT </w:t>
      </w:r>
      <w:r w:rsidR="0009445E">
        <w:t>RESOLUTION</w:t>
      </w:r>
      <w:r w:rsidRPr="00DC490B">
        <w:t xml:space="preserve"> </w:t>
      </w:r>
      <w:r w:rsidR="0009445E">
        <w:t>8.GA</w:t>
      </w:r>
      <w:r w:rsidRPr="00DC490B">
        <w:t> 7</w:t>
      </w:r>
    </w:p>
    <w:p w14:paraId="4AD66AFC" w14:textId="60EC7D78" w:rsidR="00576E1D" w:rsidRDefault="00576E1D" w:rsidP="00B702ED">
      <w:pPr>
        <w:pStyle w:val="COMPreambulaDecisions"/>
        <w:keepLines/>
      </w:pPr>
      <w:r w:rsidRPr="00DC490B">
        <w:t xml:space="preserve">The </w:t>
      </w:r>
      <w:r w:rsidR="0009445E">
        <w:t>General Assembly</w:t>
      </w:r>
      <w:r w:rsidRPr="00DC490B">
        <w:t>,</w:t>
      </w:r>
    </w:p>
    <w:p w14:paraId="005CBDA4" w14:textId="4D1425F0" w:rsidR="000B109B" w:rsidRPr="00BC230C" w:rsidRDefault="000B109B" w:rsidP="00B702ED">
      <w:pPr>
        <w:pStyle w:val="COMParaDecision"/>
        <w:keepNext/>
        <w:keepLines/>
        <w:numPr>
          <w:ilvl w:val="0"/>
          <w:numId w:val="3"/>
        </w:numPr>
        <w:ind w:left="1134" w:hanging="567"/>
        <w:rPr>
          <w:u w:val="none"/>
        </w:rPr>
      </w:pPr>
      <w:r w:rsidRPr="00BC230C">
        <w:t>Having examined</w:t>
      </w:r>
      <w:r w:rsidRPr="00BC230C">
        <w:rPr>
          <w:u w:val="none"/>
        </w:rPr>
        <w:t xml:space="preserve"> documents LHE/</w:t>
      </w:r>
      <w:r>
        <w:rPr>
          <w:u w:val="none"/>
        </w:rPr>
        <w:t>20</w:t>
      </w:r>
      <w:r w:rsidRPr="00BC230C">
        <w:rPr>
          <w:u w:val="none"/>
        </w:rPr>
        <w:t>/</w:t>
      </w:r>
      <w:r>
        <w:rPr>
          <w:u w:val="none"/>
        </w:rPr>
        <w:t>8.GA</w:t>
      </w:r>
      <w:r w:rsidRPr="00BC230C">
        <w:rPr>
          <w:u w:val="none"/>
        </w:rPr>
        <w:t>/7</w:t>
      </w:r>
      <w:r w:rsidR="000D2E62">
        <w:rPr>
          <w:u w:val="none"/>
        </w:rPr>
        <w:t xml:space="preserve"> Rev.</w:t>
      </w:r>
      <w:r w:rsidRPr="00BC230C">
        <w:rPr>
          <w:u w:val="none"/>
        </w:rPr>
        <w:t xml:space="preserve"> and </w:t>
      </w:r>
      <w:hyperlink r:id="rId52" w:history="1">
        <w:r w:rsidRPr="0071232D">
          <w:rPr>
            <w:rStyle w:val="Lienhypertexte"/>
          </w:rPr>
          <w:t>LHE/20/8.GA/INF</w:t>
        </w:r>
        <w:r w:rsidR="0040477D" w:rsidRPr="0071232D">
          <w:rPr>
            <w:rStyle w:val="Lienhypertexte"/>
          </w:rPr>
          <w:t>.7</w:t>
        </w:r>
      </w:hyperlink>
      <w:r w:rsidRPr="0071232D">
        <w:rPr>
          <w:u w:val="none"/>
        </w:rPr>
        <w:t>,</w:t>
      </w:r>
    </w:p>
    <w:p w14:paraId="00E3DDDA" w14:textId="77777777" w:rsidR="000B109B" w:rsidRPr="00DC490B" w:rsidRDefault="000B109B" w:rsidP="00B702ED">
      <w:pPr>
        <w:pStyle w:val="COMParaDecision"/>
        <w:keepLines/>
        <w:numPr>
          <w:ilvl w:val="0"/>
          <w:numId w:val="3"/>
        </w:numPr>
        <w:ind w:left="1134" w:hanging="567"/>
        <w:rPr>
          <w:u w:val="none"/>
        </w:rPr>
      </w:pPr>
      <w:r w:rsidRPr="00BC230C">
        <w:t>Recalling</w:t>
      </w:r>
      <w:r w:rsidRPr="00BC230C">
        <w:rPr>
          <w:u w:val="none"/>
        </w:rPr>
        <w:t xml:space="preserve"> Article 7(c) of the Convention </w:t>
      </w:r>
      <w:r w:rsidRPr="0009445E">
        <w:rPr>
          <w:u w:val="none"/>
        </w:rPr>
        <w:t>and paragraphs 66 and 67 of the Operational Directives</w:t>
      </w:r>
      <w:r w:rsidRPr="00DC490B">
        <w:rPr>
          <w:u w:val="none"/>
        </w:rPr>
        <w:t>,</w:t>
      </w:r>
    </w:p>
    <w:p w14:paraId="40C29A30" w14:textId="34CEEBCC" w:rsidR="000B109B" w:rsidRPr="00D91A09" w:rsidRDefault="000B109B" w:rsidP="00B702ED">
      <w:pPr>
        <w:pStyle w:val="COMParaDecision"/>
        <w:keepLines/>
        <w:numPr>
          <w:ilvl w:val="0"/>
          <w:numId w:val="3"/>
        </w:numPr>
        <w:ind w:left="1134" w:hanging="567"/>
      </w:pPr>
      <w:r w:rsidRPr="00D91A09">
        <w:t>Further recalling</w:t>
      </w:r>
      <w:r w:rsidRPr="00D91A09">
        <w:rPr>
          <w:u w:val="none"/>
        </w:rPr>
        <w:t xml:space="preserve"> 200 EX/Decision 19 and 201 EX/Decision 24,</w:t>
      </w:r>
      <w:r>
        <w:rPr>
          <w:u w:val="none"/>
        </w:rPr>
        <w:t xml:space="preserve"> as well as the Appropriation Resolution for 2020</w:t>
      </w:r>
      <w:r w:rsidR="002573A6">
        <w:rPr>
          <w:u w:val="none"/>
        </w:rPr>
        <w:t>–</w:t>
      </w:r>
      <w:r>
        <w:rPr>
          <w:u w:val="none"/>
        </w:rPr>
        <w:t>2021 adopted by the General Conference at its fortieth session,</w:t>
      </w:r>
    </w:p>
    <w:p w14:paraId="04A1E8D0" w14:textId="77777777" w:rsidR="000B109B" w:rsidRDefault="000B109B" w:rsidP="00B702ED">
      <w:pPr>
        <w:pStyle w:val="COMParaDecision"/>
        <w:keepNext/>
        <w:keepLines/>
        <w:ind w:left="567" w:firstLine="0"/>
        <w:rPr>
          <w:b/>
          <w:bCs/>
          <w:u w:val="none"/>
        </w:rPr>
      </w:pPr>
      <w:r w:rsidRPr="00527561">
        <w:rPr>
          <w:b/>
          <w:bCs/>
          <w:u w:val="none"/>
        </w:rPr>
        <w:t>Status and trends</w:t>
      </w:r>
      <w:r>
        <w:rPr>
          <w:b/>
          <w:bCs/>
          <w:u w:val="none"/>
        </w:rPr>
        <w:t xml:space="preserve"> of the Fund</w:t>
      </w:r>
    </w:p>
    <w:p w14:paraId="526D234B" w14:textId="03063875" w:rsidR="000B109B" w:rsidRPr="00BC230C" w:rsidRDefault="000B109B" w:rsidP="00B702ED">
      <w:pPr>
        <w:pStyle w:val="COMParaDecision"/>
        <w:keepLines/>
        <w:numPr>
          <w:ilvl w:val="0"/>
          <w:numId w:val="3"/>
        </w:numPr>
        <w:ind w:left="1134" w:hanging="567"/>
        <w:rPr>
          <w:u w:val="none"/>
        </w:rPr>
      </w:pPr>
      <w:r w:rsidRPr="00BC230C">
        <w:t>Welcomes</w:t>
      </w:r>
      <w:r w:rsidRPr="00BC230C">
        <w:rPr>
          <w:u w:val="none"/>
        </w:rPr>
        <w:t xml:space="preserve"> the recent positive trends in the implementation of the Fund, </w:t>
      </w:r>
      <w:r w:rsidRPr="00BC230C">
        <w:t>commends</w:t>
      </w:r>
      <w:r w:rsidRPr="00BC230C">
        <w:rPr>
          <w:u w:val="none"/>
        </w:rPr>
        <w:t xml:space="preserve"> the Secretariat for its efforts to intensify the operationalization of the International Assistance mechanisms, </w:t>
      </w:r>
      <w:r w:rsidRPr="00BC230C">
        <w:t>takes note</w:t>
      </w:r>
      <w:r w:rsidRPr="00BC230C">
        <w:rPr>
          <w:u w:val="none"/>
        </w:rPr>
        <w:t xml:space="preserve"> that a dedicated team has been established with three new extra-budgetary fixed-term posts and </w:t>
      </w:r>
      <w:r w:rsidRPr="00BC230C">
        <w:t>looks forward</w:t>
      </w:r>
      <w:r w:rsidRPr="00BC230C">
        <w:rPr>
          <w:u w:val="none"/>
        </w:rPr>
        <w:t xml:space="preserve"> to observing the improved monitoring of the impact of projects supported by the Fund;</w:t>
      </w:r>
    </w:p>
    <w:p w14:paraId="3FEFC2C5" w14:textId="37E68686" w:rsidR="000B109B" w:rsidRPr="002E26EC" w:rsidRDefault="000B109B" w:rsidP="00B702ED">
      <w:pPr>
        <w:pStyle w:val="COMParaDecision"/>
        <w:keepLines/>
        <w:numPr>
          <w:ilvl w:val="0"/>
          <w:numId w:val="3"/>
        </w:numPr>
        <w:ind w:left="1134" w:hanging="567"/>
        <w:rPr>
          <w:u w:val="none"/>
        </w:rPr>
      </w:pPr>
      <w:r>
        <w:t>Takes note</w:t>
      </w:r>
      <w:r w:rsidRPr="005A1090">
        <w:rPr>
          <w:u w:val="none"/>
        </w:rPr>
        <w:t xml:space="preserve"> of the measure</w:t>
      </w:r>
      <w:r w:rsidR="00854C99">
        <w:rPr>
          <w:u w:val="none"/>
        </w:rPr>
        <w:t>s</w:t>
      </w:r>
      <w:r w:rsidRPr="005A1090">
        <w:rPr>
          <w:u w:val="none"/>
        </w:rPr>
        <w:t xml:space="preserve"> taken by the Secretariat</w:t>
      </w:r>
      <w:r w:rsidR="002F343D">
        <w:rPr>
          <w:u w:val="none"/>
        </w:rPr>
        <w:t xml:space="preserve">, with no impact to the overall </w:t>
      </w:r>
      <w:r w:rsidR="002F343D" w:rsidRPr="002E26EC">
        <w:rPr>
          <w:u w:val="none"/>
        </w:rPr>
        <w:t>biennial Plan,</w:t>
      </w:r>
      <w:r w:rsidRPr="002E26EC">
        <w:rPr>
          <w:u w:val="none"/>
        </w:rPr>
        <w:t xml:space="preserve"> to ensure the continuity of its activities following the postponement of the eighth session of the General Assembly;</w:t>
      </w:r>
    </w:p>
    <w:p w14:paraId="6C0FE731" w14:textId="667FC58E" w:rsidR="000B109B" w:rsidRPr="002E26EC" w:rsidRDefault="000B109B" w:rsidP="00B702ED">
      <w:pPr>
        <w:pStyle w:val="COMParaDecision"/>
        <w:keepLines/>
        <w:numPr>
          <w:ilvl w:val="0"/>
          <w:numId w:val="3"/>
        </w:numPr>
        <w:ind w:left="1134" w:hanging="567"/>
      </w:pPr>
      <w:r w:rsidRPr="002E26EC">
        <w:t>Further takes note</w:t>
      </w:r>
      <w:r w:rsidRPr="002E26EC">
        <w:rPr>
          <w:u w:val="none"/>
        </w:rPr>
        <w:t xml:space="preserve"> of the donors that have provided voluntary supplementary contributions to the Fund since its last session, namely</w:t>
      </w:r>
      <w:r w:rsidR="00B07D32" w:rsidRPr="002E26EC">
        <w:rPr>
          <w:u w:val="none"/>
        </w:rPr>
        <w:t xml:space="preserve"> </w:t>
      </w:r>
      <w:r w:rsidR="006D67EA" w:rsidRPr="002E26EC">
        <w:rPr>
          <w:u w:val="none"/>
        </w:rPr>
        <w:t>the</w:t>
      </w:r>
      <w:r w:rsidRPr="002E26EC">
        <w:rPr>
          <w:u w:val="none"/>
        </w:rPr>
        <w:t xml:space="preserve"> </w:t>
      </w:r>
      <w:r w:rsidR="006D67EA" w:rsidRPr="002E26EC">
        <w:rPr>
          <w:u w:val="none"/>
        </w:rPr>
        <w:t>People’s Republic of China, Finland, Japan, Kazakhstan, Monaco, Montenegro, the Netherlands</w:t>
      </w:r>
      <w:r w:rsidR="00B07D32" w:rsidRPr="002E26EC">
        <w:rPr>
          <w:u w:val="none"/>
        </w:rPr>
        <w:t xml:space="preserve"> and</w:t>
      </w:r>
      <w:r w:rsidR="006D67EA" w:rsidRPr="002E26EC">
        <w:rPr>
          <w:u w:val="none"/>
        </w:rPr>
        <w:t xml:space="preserve"> Sweden, as well as</w:t>
      </w:r>
      <w:r w:rsidR="0040477D" w:rsidRPr="002E26EC">
        <w:rPr>
          <w:u w:val="none"/>
        </w:rPr>
        <w:t xml:space="preserve"> the</w:t>
      </w:r>
      <w:r w:rsidR="006D67EA" w:rsidRPr="002E26EC">
        <w:rPr>
          <w:u w:val="none"/>
        </w:rPr>
        <w:t xml:space="preserve"> </w:t>
      </w:r>
      <w:r w:rsidR="0040477D" w:rsidRPr="002E26EC">
        <w:rPr>
          <w:u w:val="none"/>
        </w:rPr>
        <w:t xml:space="preserve">in-kind support from </w:t>
      </w:r>
      <w:r w:rsidR="006D67EA" w:rsidRPr="002E26EC">
        <w:rPr>
          <w:u w:val="none"/>
        </w:rPr>
        <w:t>the People’s Republic of China, Japan and Singapore</w:t>
      </w:r>
      <w:r w:rsidRPr="002E26EC">
        <w:rPr>
          <w:rFonts w:eastAsia="Times New Roman"/>
          <w:u w:val="none"/>
        </w:rPr>
        <w:t>;</w:t>
      </w:r>
    </w:p>
    <w:p w14:paraId="392524A8" w14:textId="55700EDB" w:rsidR="000B109B" w:rsidRPr="002E26EC" w:rsidRDefault="000B109B" w:rsidP="00B702ED">
      <w:pPr>
        <w:pStyle w:val="COMParaDecision"/>
        <w:keepLines/>
        <w:numPr>
          <w:ilvl w:val="0"/>
          <w:numId w:val="3"/>
        </w:numPr>
        <w:ind w:left="1134" w:hanging="567"/>
        <w:rPr>
          <w:u w:val="none"/>
        </w:rPr>
      </w:pPr>
      <w:r w:rsidRPr="002E26EC">
        <w:t>Thanks</w:t>
      </w:r>
      <w:r w:rsidRPr="002E26EC">
        <w:rPr>
          <w:u w:val="none"/>
        </w:rPr>
        <w:t xml:space="preserve"> all the contributors that have supported the Convention and its Secretariat, since its last session, through different forms of support, financial or in-kind, such as voluntary </w:t>
      </w:r>
      <w:r w:rsidR="0040477D" w:rsidRPr="002E26EC">
        <w:rPr>
          <w:u w:val="none"/>
        </w:rPr>
        <w:t xml:space="preserve">supplementary </w:t>
      </w:r>
      <w:r w:rsidRPr="002E26EC">
        <w:rPr>
          <w:u w:val="none"/>
        </w:rPr>
        <w:t xml:space="preserve">contributions to the Intangible Cultural Heritage Fund </w:t>
      </w:r>
      <w:r w:rsidR="0040477D" w:rsidRPr="002E26EC">
        <w:rPr>
          <w:u w:val="none"/>
        </w:rPr>
        <w:t>and</w:t>
      </w:r>
      <w:r w:rsidRPr="002E26EC">
        <w:rPr>
          <w:u w:val="none"/>
        </w:rPr>
        <w:t xml:space="preserve"> the sub-fund for enhancing the human capacities of the Secretariat, Funds-in-Trust, or loaned personnel, and </w:t>
      </w:r>
      <w:r w:rsidRPr="002E26EC">
        <w:t>encourages</w:t>
      </w:r>
      <w:r w:rsidRPr="002E26EC">
        <w:rPr>
          <w:u w:val="none"/>
        </w:rPr>
        <w:t xml:space="preserve"> other States to consider the possibility of supporting the Convention through the modality of their choice;</w:t>
      </w:r>
    </w:p>
    <w:p w14:paraId="60FC238F" w14:textId="77777777" w:rsidR="000B109B" w:rsidRDefault="000B109B" w:rsidP="00B702ED">
      <w:pPr>
        <w:pStyle w:val="COMParaDecision"/>
        <w:keepNext/>
        <w:keepLines/>
        <w:ind w:left="567" w:firstLine="0"/>
        <w:rPr>
          <w:b/>
          <w:bCs/>
          <w:u w:val="none"/>
        </w:rPr>
      </w:pPr>
      <w:r>
        <w:rPr>
          <w:b/>
          <w:bCs/>
          <w:u w:val="none"/>
        </w:rPr>
        <w:t>Plan for the use of the resources of the Fund</w:t>
      </w:r>
    </w:p>
    <w:p w14:paraId="43ED1FAF" w14:textId="0138D2D2" w:rsidR="000B109B" w:rsidRPr="00527561" w:rsidRDefault="000B109B" w:rsidP="00B702ED">
      <w:pPr>
        <w:pStyle w:val="COMParaDecision"/>
        <w:keepLines/>
        <w:numPr>
          <w:ilvl w:val="0"/>
          <w:numId w:val="3"/>
        </w:numPr>
        <w:ind w:left="1134" w:hanging="567"/>
      </w:pPr>
      <w:r w:rsidRPr="00C24505">
        <w:t>Approves</w:t>
      </w:r>
      <w:r w:rsidRPr="00527561">
        <w:rPr>
          <w:u w:val="none"/>
        </w:rPr>
        <w:t xml:space="preserve"> the Plan for the use of the resources of the Fund for the period 1 January 20</w:t>
      </w:r>
      <w:r>
        <w:rPr>
          <w:u w:val="none"/>
        </w:rPr>
        <w:t>20</w:t>
      </w:r>
      <w:r w:rsidRPr="00527561">
        <w:rPr>
          <w:u w:val="none"/>
        </w:rPr>
        <w:t xml:space="preserve"> to 31 December 20</w:t>
      </w:r>
      <w:r>
        <w:rPr>
          <w:u w:val="none"/>
        </w:rPr>
        <w:t>21</w:t>
      </w:r>
      <w:r w:rsidRPr="00527561">
        <w:rPr>
          <w:u w:val="none"/>
        </w:rPr>
        <w:t xml:space="preserve"> as well as for the period 1 January 202</w:t>
      </w:r>
      <w:r>
        <w:rPr>
          <w:u w:val="none"/>
        </w:rPr>
        <w:t>2</w:t>
      </w:r>
      <w:r w:rsidRPr="00527561">
        <w:rPr>
          <w:u w:val="none"/>
        </w:rPr>
        <w:t xml:space="preserve"> to 30 June 202</w:t>
      </w:r>
      <w:r>
        <w:rPr>
          <w:u w:val="none"/>
        </w:rPr>
        <w:t>2</w:t>
      </w:r>
      <w:r w:rsidRPr="00527561">
        <w:rPr>
          <w:u w:val="none"/>
        </w:rPr>
        <w:t xml:space="preserve"> in the Annex </w:t>
      </w:r>
      <w:r>
        <w:rPr>
          <w:u w:val="none"/>
        </w:rPr>
        <w:t xml:space="preserve">I </w:t>
      </w:r>
      <w:r w:rsidRPr="00527561">
        <w:rPr>
          <w:u w:val="none"/>
        </w:rPr>
        <w:t xml:space="preserve">to this </w:t>
      </w:r>
      <w:r w:rsidR="002F343D">
        <w:rPr>
          <w:u w:val="none"/>
        </w:rPr>
        <w:t>R</w:t>
      </w:r>
      <w:r w:rsidRPr="00527561">
        <w:rPr>
          <w:u w:val="none"/>
        </w:rPr>
        <w:t>esolution;</w:t>
      </w:r>
    </w:p>
    <w:p w14:paraId="3F2F90B1" w14:textId="13C5DD15" w:rsidR="00EA5933" w:rsidRPr="00EA5933" w:rsidRDefault="000B109B" w:rsidP="00EA5933">
      <w:pPr>
        <w:pStyle w:val="COMParaDecision"/>
        <w:keepLines/>
        <w:numPr>
          <w:ilvl w:val="0"/>
          <w:numId w:val="3"/>
        </w:numPr>
        <w:ind w:left="1134" w:hanging="567"/>
        <w:rPr>
          <w:u w:val="none"/>
        </w:rPr>
      </w:pPr>
      <w:r w:rsidRPr="00BF3230">
        <w:t>Understands</w:t>
      </w:r>
      <w:r w:rsidRPr="00527561">
        <w:rPr>
          <w:u w:val="none"/>
        </w:rPr>
        <w:t xml:space="preserve"> that, at the time of its </w:t>
      </w:r>
      <w:r>
        <w:rPr>
          <w:u w:val="none"/>
        </w:rPr>
        <w:t>ninth</w:t>
      </w:r>
      <w:r w:rsidRPr="00527561">
        <w:rPr>
          <w:u w:val="none"/>
        </w:rPr>
        <w:t xml:space="preserve"> session in </w:t>
      </w:r>
      <w:r>
        <w:rPr>
          <w:u w:val="none"/>
        </w:rPr>
        <w:t>2022</w:t>
      </w:r>
      <w:r w:rsidRPr="00527561">
        <w:rPr>
          <w:u w:val="none"/>
        </w:rPr>
        <w:t>, it may readjust the budget plan from 1 January 202</w:t>
      </w:r>
      <w:r>
        <w:rPr>
          <w:u w:val="none"/>
        </w:rPr>
        <w:t>2</w:t>
      </w:r>
      <w:r w:rsidRPr="00527561">
        <w:rPr>
          <w:u w:val="none"/>
        </w:rPr>
        <w:t xml:space="preserve"> to 30 June 202</w:t>
      </w:r>
      <w:r>
        <w:rPr>
          <w:u w:val="none"/>
        </w:rPr>
        <w:t>2</w:t>
      </w:r>
      <w:r w:rsidRPr="00527561">
        <w:rPr>
          <w:u w:val="none"/>
        </w:rPr>
        <w:t>;</w:t>
      </w:r>
      <w:r w:rsidR="00EA5933">
        <w:rPr>
          <w:u w:val="none"/>
        </w:rPr>
        <w:t xml:space="preserve"> if the General Assembly is unable to meet prior to 30 June 2022, the Secretariat is authorized to continue operations until such a time that the General Assembly is able to meet;</w:t>
      </w:r>
    </w:p>
    <w:p w14:paraId="4CDACDBA" w14:textId="3A49AFB5" w:rsidR="00FA0AB0" w:rsidRPr="00854C99" w:rsidRDefault="00FA0AB0" w:rsidP="00680B7E">
      <w:pPr>
        <w:pStyle w:val="COMParaDecision"/>
        <w:keepLines/>
        <w:numPr>
          <w:ilvl w:val="0"/>
          <w:numId w:val="3"/>
        </w:numPr>
        <w:ind w:left="1134" w:hanging="567"/>
        <w:rPr>
          <w:lang w:eastAsia="zh-CN"/>
        </w:rPr>
      </w:pPr>
      <w:r w:rsidRPr="00854C99">
        <w:t>Also takes note</w:t>
      </w:r>
      <w:r w:rsidRPr="00680B7E">
        <w:rPr>
          <w:u w:val="none"/>
        </w:rPr>
        <w:t xml:space="preserve"> of the authorization granted by the Committee to the Secretariat, when utilizing the funds allocated under budget line 3 of the Plan, to make transfers between activities included </w:t>
      </w:r>
      <w:r w:rsidR="00854C99">
        <w:rPr>
          <w:u w:val="none"/>
        </w:rPr>
        <w:t>under</w:t>
      </w:r>
      <w:r w:rsidRPr="00680B7E">
        <w:rPr>
          <w:u w:val="none"/>
        </w:rPr>
        <w:t xml:space="preserve"> budget line 3 up to a cumulative amount equivalent to 5 per cent of the initial total allocation proposed to the General Assembly for this purpose;</w:t>
      </w:r>
    </w:p>
    <w:p w14:paraId="4879517A" w14:textId="77777777" w:rsidR="000B109B" w:rsidRPr="00527561" w:rsidRDefault="000B109B" w:rsidP="00B702ED">
      <w:pPr>
        <w:pStyle w:val="COMParaDecision"/>
        <w:keepLines/>
        <w:numPr>
          <w:ilvl w:val="0"/>
          <w:numId w:val="3"/>
        </w:numPr>
        <w:ind w:left="1134" w:hanging="567"/>
        <w:rPr>
          <w:u w:val="none"/>
        </w:rPr>
      </w:pPr>
      <w:r w:rsidRPr="00527561">
        <w:t>Authorizes</w:t>
      </w:r>
      <w:r w:rsidRPr="00527561">
        <w:rPr>
          <w:u w:val="none"/>
        </w:rPr>
        <w:t xml:space="preserve"> the Committee to make immediate use of any voluntary supplementary contributions that might be received during these periods, as described in Article 27 of the Convention, in accordance with the percentages laid out in the Plan;</w:t>
      </w:r>
    </w:p>
    <w:p w14:paraId="71378E8F" w14:textId="77777777" w:rsidR="000B109B" w:rsidRPr="00527561" w:rsidRDefault="000B109B" w:rsidP="00B702ED">
      <w:pPr>
        <w:pStyle w:val="COMParaDecision"/>
        <w:keepLines/>
        <w:numPr>
          <w:ilvl w:val="0"/>
          <w:numId w:val="3"/>
        </w:numPr>
        <w:ind w:left="1134" w:hanging="567"/>
        <w:rPr>
          <w:u w:val="none"/>
        </w:rPr>
      </w:pPr>
      <w:r w:rsidRPr="00527561">
        <w:t>Further authorizes</w:t>
      </w:r>
      <w:r w:rsidRPr="00527561">
        <w:rPr>
          <w:u w:val="none"/>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14:paraId="7B64EA99" w14:textId="0C79C743" w:rsidR="000B109B" w:rsidRPr="00234FB6" w:rsidRDefault="00D303C5" w:rsidP="00B702ED">
      <w:pPr>
        <w:pStyle w:val="COMParaDecision"/>
        <w:keepLines/>
        <w:numPr>
          <w:ilvl w:val="0"/>
          <w:numId w:val="3"/>
        </w:numPr>
        <w:ind w:left="1134" w:hanging="567"/>
        <w:rPr>
          <w:u w:val="none"/>
        </w:rPr>
      </w:pPr>
      <w:r>
        <w:t>Also a</w:t>
      </w:r>
      <w:r w:rsidR="000B109B" w:rsidRPr="005D5710">
        <w:t>uthorizes</w:t>
      </w:r>
      <w:r w:rsidR="000B109B" w:rsidRPr="00234FB6">
        <w:rPr>
          <w:u w:val="none"/>
        </w:rPr>
        <w:t xml:space="preserve"> the Secretariat to make transfers between budget lines 4, 5</w:t>
      </w:r>
      <w:r w:rsidR="00B5600A">
        <w:rPr>
          <w:u w:val="none"/>
        </w:rPr>
        <w:t xml:space="preserve">, </w:t>
      </w:r>
      <w:r w:rsidR="000B109B" w:rsidRPr="00234FB6">
        <w:rPr>
          <w:u w:val="none"/>
        </w:rPr>
        <w:t>6</w:t>
      </w:r>
      <w:r w:rsidR="00B5600A">
        <w:rPr>
          <w:u w:val="none"/>
        </w:rPr>
        <w:t xml:space="preserve"> and 7,</w:t>
      </w:r>
      <w:r w:rsidR="000B109B" w:rsidRPr="00234FB6">
        <w:rPr>
          <w:u w:val="none"/>
        </w:rPr>
        <w:t xml:space="preserve"> up to an equivalent of 30</w:t>
      </w:r>
      <w:r w:rsidR="00B5600A">
        <w:rPr>
          <w:u w:val="none"/>
        </w:rPr>
        <w:t xml:space="preserve"> per cent </w:t>
      </w:r>
      <w:r w:rsidR="000B109B" w:rsidRPr="00234FB6">
        <w:rPr>
          <w:u w:val="none"/>
        </w:rPr>
        <w:t>of their initial total</w:t>
      </w:r>
      <w:r w:rsidR="00B5600A">
        <w:rPr>
          <w:u w:val="none"/>
        </w:rPr>
        <w:t xml:space="preserve"> allocation</w:t>
      </w:r>
      <w:r w:rsidR="000B109B" w:rsidRPr="00234FB6">
        <w:rPr>
          <w:u w:val="none"/>
        </w:rPr>
        <w:t xml:space="preserve">, and </w:t>
      </w:r>
      <w:r w:rsidR="000B109B" w:rsidRPr="00234FB6">
        <w:t>requests</w:t>
      </w:r>
      <w:r w:rsidR="000B109B" w:rsidRPr="00234FB6">
        <w:rPr>
          <w:u w:val="none"/>
        </w:rPr>
        <w:t xml:space="preserve"> that the Secretariat inform the Committee and the General Assembly in writing, at the session following such action, of the details of and reasons for these transfers</w:t>
      </w:r>
      <w:r w:rsidR="000B109B">
        <w:rPr>
          <w:u w:val="none"/>
        </w:rPr>
        <w:t>;</w:t>
      </w:r>
    </w:p>
    <w:p w14:paraId="6988EA16" w14:textId="77777777" w:rsidR="000B109B" w:rsidRPr="005A1090" w:rsidRDefault="000B109B" w:rsidP="00B702ED">
      <w:pPr>
        <w:pStyle w:val="COMParaDecision"/>
        <w:keepNext/>
        <w:keepLines/>
        <w:ind w:left="567" w:firstLine="0"/>
        <w:rPr>
          <w:b/>
          <w:bCs/>
          <w:u w:val="none"/>
        </w:rPr>
      </w:pPr>
      <w:r w:rsidRPr="005A1090">
        <w:rPr>
          <w:b/>
          <w:bCs/>
          <w:u w:val="none"/>
        </w:rPr>
        <w:t>Sub-fund for enhancing the human resources of the</w:t>
      </w:r>
      <w:r>
        <w:rPr>
          <w:b/>
          <w:bCs/>
          <w:u w:val="none"/>
        </w:rPr>
        <w:t xml:space="preserve"> Secretariat</w:t>
      </w:r>
    </w:p>
    <w:p w14:paraId="44894D98" w14:textId="6071704E" w:rsidR="000B109B" w:rsidRPr="00D303C5" w:rsidRDefault="00B5600A" w:rsidP="00B702ED">
      <w:pPr>
        <w:pStyle w:val="COMParaDecision"/>
        <w:keepLines/>
        <w:numPr>
          <w:ilvl w:val="0"/>
          <w:numId w:val="3"/>
        </w:numPr>
        <w:ind w:left="1134" w:hanging="567"/>
      </w:pPr>
      <w:r>
        <w:t>Underlines</w:t>
      </w:r>
      <w:r w:rsidR="000B109B" w:rsidRPr="00527561">
        <w:rPr>
          <w:u w:val="none"/>
        </w:rPr>
        <w:t xml:space="preserve"> the need to enhance the human resources of the Secretariat on a lasting basis in order that it may better respond to the wishes and needs of States Parties, </w:t>
      </w:r>
      <w:r w:rsidR="000B109B" w:rsidRPr="00527561">
        <w:t>recognizes</w:t>
      </w:r>
      <w:r w:rsidR="000B109B" w:rsidRPr="00527561">
        <w:rPr>
          <w:u w:val="none"/>
        </w:rPr>
        <w:t xml:space="preserve"> that funds in the amount of </w:t>
      </w:r>
      <w:r w:rsidR="000B109B" w:rsidRPr="00D303C5">
        <w:rPr>
          <w:u w:val="none"/>
        </w:rPr>
        <w:t>approximately US$</w:t>
      </w:r>
      <w:r w:rsidR="00D85FEE" w:rsidRPr="00D303C5">
        <w:rPr>
          <w:u w:val="none"/>
        </w:rPr>
        <w:t>9</w:t>
      </w:r>
      <w:r w:rsidR="002F343D">
        <w:rPr>
          <w:u w:val="none"/>
        </w:rPr>
        <w:t>5</w:t>
      </w:r>
      <w:r w:rsidR="00D85FEE" w:rsidRPr="00D303C5">
        <w:rPr>
          <w:u w:val="none"/>
        </w:rPr>
        <w:t>0</w:t>
      </w:r>
      <w:r w:rsidR="000B109B" w:rsidRPr="00D303C5">
        <w:rPr>
          <w:u w:val="none"/>
        </w:rPr>
        <w:t xml:space="preserve">,000 per year are needed for this purpose and </w:t>
      </w:r>
      <w:r w:rsidR="000B109B" w:rsidRPr="00D303C5">
        <w:t>invites</w:t>
      </w:r>
      <w:r w:rsidR="000B109B" w:rsidRPr="00D303C5">
        <w:rPr>
          <w:u w:val="none"/>
        </w:rPr>
        <w:t xml:space="preserve"> States Parties to provide voluntary supplementary contributions to the sub-fund in the </w:t>
      </w:r>
      <w:r w:rsidR="002F343D">
        <w:rPr>
          <w:u w:val="none"/>
        </w:rPr>
        <w:t xml:space="preserve">corresponding </w:t>
      </w:r>
      <w:r w:rsidR="000B109B" w:rsidRPr="00D303C5">
        <w:rPr>
          <w:u w:val="none"/>
        </w:rPr>
        <w:t>amount per year;</w:t>
      </w:r>
    </w:p>
    <w:p w14:paraId="6272A6DE" w14:textId="77777777" w:rsidR="000B109B" w:rsidRDefault="000B109B" w:rsidP="00B702ED">
      <w:pPr>
        <w:pStyle w:val="COMParaDecision"/>
        <w:keepNext/>
        <w:keepLines/>
        <w:ind w:left="567" w:firstLine="0"/>
        <w:rPr>
          <w:b/>
          <w:bCs/>
          <w:u w:val="none"/>
        </w:rPr>
      </w:pPr>
      <w:r>
        <w:rPr>
          <w:b/>
          <w:bCs/>
          <w:u w:val="none"/>
        </w:rPr>
        <w:t>Management Cost Rate</w:t>
      </w:r>
    </w:p>
    <w:p w14:paraId="63788D01" w14:textId="77777777" w:rsidR="000B109B" w:rsidRPr="00234FB6" w:rsidRDefault="000B109B" w:rsidP="00B702ED">
      <w:pPr>
        <w:pStyle w:val="COMParaDecision"/>
        <w:keepLines/>
        <w:numPr>
          <w:ilvl w:val="0"/>
          <w:numId w:val="3"/>
        </w:numPr>
        <w:ind w:left="1134" w:hanging="567"/>
        <w:rPr>
          <w:u w:val="none"/>
        </w:rPr>
      </w:pPr>
      <w:r w:rsidRPr="00234FB6">
        <w:t>Endorses</w:t>
      </w:r>
      <w:r w:rsidRPr="00234FB6">
        <w:rPr>
          <w:u w:val="none"/>
        </w:rPr>
        <w:t xml:space="preserve"> the continued application of a Management Cost rate of 0 per cent for all assessed contributions to the special account of the Intangible Cultural Heritage Fund and apply a Management Cost rate of 7 per cent for all other contributions;</w:t>
      </w:r>
    </w:p>
    <w:p w14:paraId="22C650F5" w14:textId="7AEE596B" w:rsidR="000B109B" w:rsidRPr="00527561" w:rsidRDefault="000B109B" w:rsidP="00B702ED">
      <w:pPr>
        <w:pStyle w:val="COMParaDecision"/>
        <w:keepNext/>
        <w:keepLines/>
        <w:ind w:left="567" w:firstLine="0"/>
        <w:rPr>
          <w:b/>
          <w:bCs/>
          <w:u w:val="none"/>
        </w:rPr>
      </w:pPr>
      <w:r>
        <w:rPr>
          <w:b/>
          <w:bCs/>
          <w:u w:val="none"/>
        </w:rPr>
        <w:t>Financial Regulations</w:t>
      </w:r>
    </w:p>
    <w:p w14:paraId="6B96597B" w14:textId="15F4F88E" w:rsidR="000B109B" w:rsidRPr="000B109B" w:rsidRDefault="00D303C5" w:rsidP="00B702ED">
      <w:pPr>
        <w:pStyle w:val="COMParaDecision"/>
        <w:keepLines/>
        <w:numPr>
          <w:ilvl w:val="0"/>
          <w:numId w:val="3"/>
        </w:numPr>
        <w:ind w:left="1134" w:hanging="567"/>
        <w:rPr>
          <w:u w:val="none"/>
        </w:rPr>
      </w:pPr>
      <w:r>
        <w:t>Further a</w:t>
      </w:r>
      <w:r w:rsidR="000B109B">
        <w:t>pproves</w:t>
      </w:r>
      <w:r w:rsidR="000B109B" w:rsidRPr="00D91A09">
        <w:rPr>
          <w:u w:val="none"/>
        </w:rPr>
        <w:t xml:space="preserve"> </w:t>
      </w:r>
      <w:r w:rsidR="000B109B">
        <w:rPr>
          <w:u w:val="none"/>
        </w:rPr>
        <w:t>the</w:t>
      </w:r>
      <w:r w:rsidR="000B109B" w:rsidRPr="00D91A09">
        <w:rPr>
          <w:u w:val="none"/>
        </w:rPr>
        <w:t xml:space="preserve"> revisions to the Financial Regulations of the Special Account for the Fund for the Safeguarding of the Intangible Cultural Heritage</w:t>
      </w:r>
      <w:r w:rsidR="00B5600A">
        <w:rPr>
          <w:u w:val="none"/>
        </w:rPr>
        <w:t xml:space="preserve"> as described in Annex</w:t>
      </w:r>
      <w:r w:rsidR="002F0635">
        <w:rPr>
          <w:u w:val="none"/>
        </w:rPr>
        <w:t>es II and</w:t>
      </w:r>
      <w:r w:rsidR="002573A6">
        <w:rPr>
          <w:u w:val="none"/>
        </w:rPr>
        <w:t> </w:t>
      </w:r>
      <w:r w:rsidR="00B5600A">
        <w:rPr>
          <w:u w:val="none"/>
        </w:rPr>
        <w:t xml:space="preserve">III of the present </w:t>
      </w:r>
      <w:r w:rsidR="005E6D01">
        <w:rPr>
          <w:u w:val="none"/>
        </w:rPr>
        <w:t>Resolution</w:t>
      </w:r>
      <w:r w:rsidR="005E6D01" w:rsidRPr="00D91A09">
        <w:rPr>
          <w:u w:val="none"/>
        </w:rPr>
        <w:t xml:space="preserve"> </w:t>
      </w:r>
      <w:r w:rsidR="000B109B" w:rsidRPr="00D91A09">
        <w:rPr>
          <w:u w:val="none"/>
        </w:rPr>
        <w:t>in order to align them with UNESCO’s Standard Financial Regulations.</w:t>
      </w:r>
    </w:p>
    <w:bookmarkEnd w:id="11"/>
    <w:p w14:paraId="01F407FB" w14:textId="07C3154C" w:rsidR="00576E1D" w:rsidRPr="009E0E94" w:rsidRDefault="00576E1D" w:rsidP="001740D7">
      <w:pPr>
        <w:pStyle w:val="Annex"/>
      </w:pPr>
      <w:r w:rsidRPr="009E0E94">
        <w:t>A</w:t>
      </w:r>
      <w:r w:rsidR="009E0E94" w:rsidRPr="009E0E94">
        <w:t>nnex</w:t>
      </w:r>
      <w:r w:rsidRPr="009E0E94">
        <w:t xml:space="preserve"> I</w:t>
      </w:r>
    </w:p>
    <w:tbl>
      <w:tblPr>
        <w:tblW w:w="5493" w:type="pct"/>
        <w:tblInd w:w="-147" w:type="dxa"/>
        <w:tblLayout w:type="fixed"/>
        <w:tblCellMar>
          <w:left w:w="170" w:type="dxa"/>
          <w:right w:w="170" w:type="dxa"/>
        </w:tblCellMar>
        <w:tblLook w:val="04A0" w:firstRow="1" w:lastRow="0" w:firstColumn="1" w:lastColumn="0" w:noHBand="0" w:noVBand="1"/>
      </w:tblPr>
      <w:tblGrid>
        <w:gridCol w:w="856"/>
        <w:gridCol w:w="4542"/>
        <w:gridCol w:w="1276"/>
        <w:gridCol w:w="652"/>
        <w:gridCol w:w="737"/>
        <w:gridCol w:w="256"/>
        <w:gridCol w:w="1003"/>
        <w:gridCol w:w="1261"/>
      </w:tblGrid>
      <w:tr w:rsidR="00884277" w:rsidRPr="002F61AE" w14:paraId="1E33266E" w14:textId="1A23A27C" w:rsidTr="002625CB">
        <w:trPr>
          <w:cantSplit/>
        </w:trPr>
        <w:tc>
          <w:tcPr>
            <w:tcW w:w="3153" w:type="pct"/>
            <w:gridSpan w:val="3"/>
            <w:tcBorders>
              <w:top w:val="single" w:sz="4" w:space="0" w:color="auto"/>
              <w:left w:val="single" w:sz="4" w:space="0" w:color="auto"/>
              <w:bottom w:val="single" w:sz="4" w:space="0" w:color="auto"/>
              <w:right w:val="single" w:sz="4" w:space="0" w:color="auto"/>
            </w:tcBorders>
            <w:shd w:val="clear" w:color="000000" w:fill="D8D8D8"/>
          </w:tcPr>
          <w:p w14:paraId="6D8520B7" w14:textId="77777777" w:rsidR="00FA7E04" w:rsidRPr="00BB2DEA" w:rsidRDefault="00FA7E04" w:rsidP="001740D7">
            <w:pPr>
              <w:spacing w:before="120" w:after="120"/>
              <w:jc w:val="center"/>
              <w:rPr>
                <w:rFonts w:ascii="Arial" w:hAnsi="Arial" w:cs="Arial"/>
                <w:b/>
                <w:bCs/>
                <w:sz w:val="18"/>
                <w:szCs w:val="18"/>
                <w:lang w:val="en-GB"/>
              </w:rPr>
            </w:pPr>
            <w:r w:rsidRPr="00BB2DEA">
              <w:rPr>
                <w:rFonts w:ascii="Arial" w:hAnsi="Arial" w:cs="Arial"/>
                <w:b/>
                <w:bCs/>
                <w:sz w:val="18"/>
                <w:szCs w:val="18"/>
                <w:lang w:val="en-GB"/>
              </w:rPr>
              <w:t>Draft plan for the use of the resources of the Fund</w:t>
            </w:r>
          </w:p>
        </w:tc>
        <w:tc>
          <w:tcPr>
            <w:tcW w:w="308" w:type="pct"/>
            <w:tcBorders>
              <w:left w:val="single" w:sz="4" w:space="0" w:color="auto"/>
              <w:bottom w:val="dashed" w:sz="4" w:space="0" w:color="auto"/>
            </w:tcBorders>
          </w:tcPr>
          <w:p w14:paraId="55B5819C" w14:textId="77777777" w:rsidR="00FA7E04" w:rsidRPr="00BB2DEA" w:rsidRDefault="00FA7E04" w:rsidP="001740D7">
            <w:pPr>
              <w:spacing w:before="120" w:after="120"/>
              <w:jc w:val="center"/>
              <w:rPr>
                <w:rFonts w:ascii="Arial" w:hAnsi="Arial" w:cs="Arial"/>
                <w:b/>
                <w:bCs/>
                <w:sz w:val="18"/>
                <w:szCs w:val="18"/>
                <w:lang w:val="en-GB"/>
              </w:rPr>
            </w:pPr>
          </w:p>
        </w:tc>
        <w:tc>
          <w:tcPr>
            <w:tcW w:w="469" w:type="pct"/>
            <w:gridSpan w:val="2"/>
            <w:tcBorders>
              <w:bottom w:val="dashed" w:sz="4" w:space="0" w:color="auto"/>
            </w:tcBorders>
            <w:shd w:val="clear" w:color="auto" w:fill="auto"/>
          </w:tcPr>
          <w:p w14:paraId="5CD2CDEF" w14:textId="6EBFF8B7" w:rsidR="00FA7E04" w:rsidRPr="00BB2DEA" w:rsidRDefault="00FA7E04" w:rsidP="001740D7">
            <w:pPr>
              <w:spacing w:before="120" w:after="120"/>
              <w:jc w:val="center"/>
              <w:rPr>
                <w:rFonts w:ascii="Arial" w:hAnsi="Arial" w:cs="Arial"/>
                <w:b/>
                <w:bCs/>
                <w:sz w:val="18"/>
                <w:szCs w:val="18"/>
                <w:lang w:val="en-GB"/>
              </w:rPr>
            </w:pPr>
          </w:p>
        </w:tc>
        <w:tc>
          <w:tcPr>
            <w:tcW w:w="1070" w:type="pct"/>
            <w:gridSpan w:val="2"/>
            <w:tcBorders>
              <w:left w:val="nil"/>
              <w:bottom w:val="dashed" w:sz="4" w:space="0" w:color="auto"/>
            </w:tcBorders>
          </w:tcPr>
          <w:p w14:paraId="6E62B1F2" w14:textId="77777777" w:rsidR="00FA7E04" w:rsidRPr="00BB2DEA" w:rsidRDefault="00FA7E04" w:rsidP="001740D7">
            <w:pPr>
              <w:spacing w:before="120" w:after="120"/>
              <w:jc w:val="center"/>
              <w:rPr>
                <w:rFonts w:ascii="Arial" w:hAnsi="Arial" w:cs="Arial"/>
                <w:b/>
                <w:bCs/>
                <w:sz w:val="18"/>
                <w:szCs w:val="18"/>
                <w:lang w:val="en-GB"/>
              </w:rPr>
            </w:pPr>
          </w:p>
        </w:tc>
      </w:tr>
      <w:tr w:rsidR="00884277" w:rsidRPr="00D74CFC" w14:paraId="38DC3A25" w14:textId="4CAB4163" w:rsidTr="002625CB">
        <w:trPr>
          <w:cantSplit/>
        </w:trPr>
        <w:tc>
          <w:tcPr>
            <w:tcW w:w="25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01A2" w14:textId="793EBEC0" w:rsidR="00FA7E04" w:rsidRPr="00BB2DEA" w:rsidRDefault="00FA7E04" w:rsidP="00884277">
            <w:pPr>
              <w:spacing w:before="120" w:after="120"/>
              <w:contextualSpacing/>
              <w:jc w:val="both"/>
              <w:rPr>
                <w:rFonts w:ascii="Arial" w:hAnsi="Arial" w:cs="Arial"/>
                <w:sz w:val="18"/>
                <w:szCs w:val="18"/>
                <w:lang w:val="en-GB"/>
              </w:rPr>
            </w:pPr>
            <w:r>
              <w:rPr>
                <w:rFonts w:ascii="Arial" w:hAnsi="Arial" w:cs="Arial"/>
                <w:sz w:val="18"/>
                <w:szCs w:val="18"/>
                <w:lang w:val="en-GB"/>
              </w:rPr>
              <w:t>For the period 1 January 2020</w:t>
            </w:r>
            <w:r w:rsidRPr="00BB2DEA">
              <w:rPr>
                <w:rFonts w:ascii="Arial" w:hAnsi="Arial" w:cs="Arial"/>
                <w:sz w:val="18"/>
                <w:szCs w:val="18"/>
                <w:lang w:val="en-GB"/>
              </w:rPr>
              <w:t xml:space="preserve"> to 31 December 20</w:t>
            </w:r>
            <w:r>
              <w:rPr>
                <w:rFonts w:ascii="Arial" w:hAnsi="Arial" w:cs="Arial"/>
                <w:sz w:val="18"/>
                <w:szCs w:val="18"/>
                <w:lang w:val="en-GB"/>
              </w:rPr>
              <w:t>21</w:t>
            </w:r>
            <w:r w:rsidRPr="00BB2DEA">
              <w:rPr>
                <w:rFonts w:ascii="Arial" w:hAnsi="Arial" w:cs="Arial"/>
                <w:sz w:val="18"/>
                <w:szCs w:val="18"/>
                <w:lang w:val="en-GB"/>
              </w:rPr>
              <w:t>, as well as for the period</w:t>
            </w:r>
            <w:r w:rsidR="00884277">
              <w:rPr>
                <w:rFonts w:ascii="Arial" w:hAnsi="Arial" w:cs="Arial"/>
                <w:sz w:val="18"/>
                <w:szCs w:val="18"/>
                <w:lang w:val="en-GB"/>
              </w:rPr>
              <w:t xml:space="preserve"> </w:t>
            </w:r>
            <w:r w:rsidRPr="00BB2DEA">
              <w:rPr>
                <w:rFonts w:ascii="Arial" w:hAnsi="Arial" w:cs="Arial"/>
                <w:sz w:val="18"/>
                <w:szCs w:val="18"/>
                <w:lang w:val="en-GB"/>
              </w:rPr>
              <w:t>1 January to 30 June 202</w:t>
            </w:r>
            <w:r>
              <w:rPr>
                <w:rFonts w:ascii="Arial" w:hAnsi="Arial" w:cs="Arial"/>
                <w:sz w:val="18"/>
                <w:szCs w:val="18"/>
                <w:lang w:val="en-GB"/>
              </w:rPr>
              <w:t>2</w:t>
            </w:r>
            <w:r w:rsidRPr="00BB2DEA">
              <w:rPr>
                <w:rFonts w:ascii="Arial" w:hAnsi="Arial" w:cs="Arial"/>
                <w:sz w:val="18"/>
                <w:szCs w:val="18"/>
                <w:lang w:val="en-GB"/>
              </w:rPr>
              <w:t xml:space="preserve">, the resources of the Intangible Cultural Heritage </w:t>
            </w:r>
            <w:r>
              <w:rPr>
                <w:rFonts w:ascii="Arial" w:hAnsi="Arial" w:cs="Arial"/>
                <w:sz w:val="18"/>
                <w:szCs w:val="18"/>
                <w:lang w:val="en-GB"/>
              </w:rPr>
              <w:t>F</w:t>
            </w:r>
            <w:r w:rsidRPr="00BB2DEA">
              <w:rPr>
                <w:rFonts w:ascii="Arial" w:hAnsi="Arial" w:cs="Arial"/>
                <w:sz w:val="18"/>
                <w:szCs w:val="18"/>
                <w:lang w:val="en-GB"/>
              </w:rPr>
              <w:t>und may be used for the following purposes:</w:t>
            </w:r>
          </w:p>
        </w:tc>
        <w:tc>
          <w:tcPr>
            <w:tcW w:w="603" w:type="pct"/>
            <w:tcBorders>
              <w:top w:val="single" w:sz="4" w:space="0" w:color="auto"/>
              <w:left w:val="single" w:sz="4" w:space="0" w:color="auto"/>
              <w:bottom w:val="single" w:sz="4" w:space="0" w:color="auto"/>
              <w:right w:val="single" w:sz="4" w:space="0" w:color="auto"/>
            </w:tcBorders>
            <w:vAlign w:val="center"/>
          </w:tcPr>
          <w:p w14:paraId="39BF4CCD" w14:textId="6D259485" w:rsidR="00FA7E04" w:rsidRPr="00BB2DEA" w:rsidRDefault="00FA7E04" w:rsidP="00FA7E04">
            <w:pPr>
              <w:spacing w:before="120" w:after="120"/>
              <w:contextualSpacing/>
              <w:jc w:val="center"/>
              <w:rPr>
                <w:rFonts w:ascii="Arial" w:hAnsi="Arial" w:cs="Arial"/>
                <w:sz w:val="18"/>
                <w:szCs w:val="18"/>
                <w:lang w:val="en-GB"/>
              </w:rPr>
            </w:pPr>
            <w:r w:rsidRPr="00FC7DA9">
              <w:rPr>
                <w:rFonts w:ascii="Arial" w:hAnsi="Arial" w:cs="Arial"/>
                <w:sz w:val="18"/>
                <w:szCs w:val="18"/>
                <w:lang w:val="en-GB"/>
              </w:rPr>
              <w:t>% applied during previous biennium 201</w:t>
            </w:r>
            <w:r>
              <w:rPr>
                <w:rFonts w:ascii="Arial" w:hAnsi="Arial" w:cs="Arial"/>
                <w:sz w:val="18"/>
                <w:szCs w:val="18"/>
                <w:lang w:val="en-GB"/>
              </w:rPr>
              <w:t>8</w:t>
            </w:r>
            <w:r w:rsidR="002573A6">
              <w:rPr>
                <w:rFonts w:ascii="Arial" w:hAnsi="Arial" w:cs="Arial"/>
                <w:sz w:val="18"/>
                <w:szCs w:val="18"/>
                <w:lang w:val="en-GB"/>
              </w:rPr>
              <w:t>–</w:t>
            </w:r>
            <w:r w:rsidRPr="00FC7DA9">
              <w:rPr>
                <w:rFonts w:ascii="Arial" w:hAnsi="Arial" w:cs="Arial"/>
                <w:sz w:val="18"/>
                <w:szCs w:val="18"/>
                <w:lang w:val="en-GB"/>
              </w:rPr>
              <w:t>201</w:t>
            </w:r>
            <w:r>
              <w:rPr>
                <w:rFonts w:ascii="Arial" w:hAnsi="Arial" w:cs="Arial"/>
                <w:sz w:val="18"/>
                <w:szCs w:val="18"/>
                <w:lang w:val="en-GB"/>
              </w:rPr>
              <w:t>9</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3E6B63B0" w14:textId="55BF93DF" w:rsidR="00FA7E04" w:rsidRPr="00B02DF5" w:rsidRDefault="00FA7E04" w:rsidP="00FA7E04">
            <w:pPr>
              <w:spacing w:before="120" w:after="120"/>
              <w:contextualSpacing/>
              <w:jc w:val="center"/>
              <w:rPr>
                <w:sz w:val="18"/>
                <w:szCs w:val="18"/>
                <w:lang w:val="en-GB"/>
              </w:rPr>
            </w:pPr>
            <w:r w:rsidRPr="00FC7DA9">
              <w:rPr>
                <w:rFonts w:ascii="Arial" w:hAnsi="Arial" w:cs="Arial"/>
                <w:sz w:val="18"/>
                <w:szCs w:val="18"/>
                <w:lang w:val="en-GB"/>
              </w:rPr>
              <w:t>% of the total amount proposed 20</w:t>
            </w:r>
            <w:r>
              <w:rPr>
                <w:rFonts w:ascii="Arial" w:hAnsi="Arial" w:cs="Arial"/>
                <w:sz w:val="18"/>
                <w:szCs w:val="18"/>
                <w:lang w:val="en-GB"/>
              </w:rPr>
              <w:t>20</w:t>
            </w:r>
            <w:r w:rsidR="002573A6">
              <w:rPr>
                <w:rFonts w:ascii="Arial" w:hAnsi="Arial" w:cs="Arial"/>
                <w:sz w:val="18"/>
                <w:szCs w:val="18"/>
                <w:lang w:val="en-GB"/>
              </w:rPr>
              <w:t>–</w:t>
            </w:r>
            <w:r w:rsidRPr="00FC7DA9">
              <w:rPr>
                <w:rFonts w:ascii="Arial" w:hAnsi="Arial" w:cs="Arial"/>
                <w:sz w:val="18"/>
                <w:szCs w:val="18"/>
                <w:lang w:val="en-GB"/>
              </w:rPr>
              <w:t>20</w:t>
            </w:r>
            <w:r>
              <w:rPr>
                <w:rFonts w:ascii="Arial" w:hAnsi="Arial" w:cs="Arial"/>
                <w:sz w:val="18"/>
                <w:szCs w:val="18"/>
                <w:lang w:val="en-GB"/>
              </w:rPr>
              <w:t>2</w:t>
            </w:r>
            <w:r w:rsidRPr="00FC7DA9">
              <w:rPr>
                <w:rFonts w:ascii="Arial" w:hAnsi="Arial" w:cs="Arial"/>
                <w:sz w:val="18"/>
                <w:szCs w:val="18"/>
                <w:lang w:val="en-GB"/>
              </w:rPr>
              <w:t>1</w:t>
            </w:r>
            <w:r w:rsidRPr="00FC7DA9">
              <w:rPr>
                <w:rStyle w:val="Appelnotedebasdep"/>
                <w:rFonts w:ascii="Arial" w:hAnsi="Arial" w:cs="Arial"/>
                <w:sz w:val="18"/>
                <w:szCs w:val="18"/>
                <w:lang w:val="en-GB"/>
              </w:rPr>
              <w:footnoteReference w:id="7"/>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49EB780" w14:textId="3198BF09" w:rsidR="00FA7E04" w:rsidRPr="00FC7DA9" w:rsidRDefault="00884277" w:rsidP="00884277">
            <w:pPr>
              <w:spacing w:before="120" w:after="120"/>
              <w:contextualSpacing/>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20</w:t>
            </w:r>
            <w:r>
              <w:rPr>
                <w:rFonts w:ascii="Arial" w:hAnsi="Arial" w:cs="Arial"/>
                <w:sz w:val="18"/>
                <w:szCs w:val="18"/>
                <w:lang w:val="en-GB"/>
              </w:rPr>
              <w:t>20</w:t>
            </w:r>
            <w:r w:rsidR="002573A6">
              <w:rPr>
                <w:rFonts w:ascii="Arial" w:hAnsi="Arial" w:cs="Arial"/>
                <w:sz w:val="18"/>
                <w:szCs w:val="18"/>
                <w:lang w:val="en-GB"/>
              </w:rPr>
              <w:t>–</w:t>
            </w:r>
            <w:r w:rsidRPr="00FC7DA9">
              <w:rPr>
                <w:rFonts w:ascii="Arial" w:hAnsi="Arial" w:cs="Arial"/>
                <w:sz w:val="18"/>
                <w:szCs w:val="18"/>
                <w:lang w:val="en-GB"/>
              </w:rPr>
              <w:t>20</w:t>
            </w:r>
            <w:r>
              <w:rPr>
                <w:rFonts w:ascii="Arial" w:hAnsi="Arial" w:cs="Arial"/>
                <w:sz w:val="18"/>
                <w:szCs w:val="18"/>
                <w:lang w:val="en-GB"/>
              </w:rPr>
              <w:t>21</w:t>
            </w:r>
          </w:p>
        </w:tc>
        <w:tc>
          <w:tcPr>
            <w:tcW w:w="596" w:type="pct"/>
            <w:tcBorders>
              <w:top w:val="dashed" w:sz="4" w:space="0" w:color="auto"/>
              <w:left w:val="dashed" w:sz="4" w:space="0" w:color="auto"/>
              <w:bottom w:val="dashed" w:sz="4" w:space="0" w:color="auto"/>
              <w:right w:val="dashed" w:sz="4" w:space="0" w:color="auto"/>
            </w:tcBorders>
            <w:vAlign w:val="center"/>
          </w:tcPr>
          <w:p w14:paraId="5F7BC8C9" w14:textId="4BE57AC2" w:rsidR="00FA7E04" w:rsidRPr="00B02DF5" w:rsidRDefault="00884277" w:rsidP="00FA7E04">
            <w:pPr>
              <w:spacing w:before="120" w:after="120"/>
              <w:contextualSpacing/>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Jan</w:t>
            </w:r>
            <w:r w:rsidR="002573A6">
              <w:rPr>
                <w:rFonts w:ascii="Arial" w:hAnsi="Arial" w:cs="Arial"/>
                <w:sz w:val="18"/>
                <w:szCs w:val="18"/>
                <w:lang w:val="en-GB"/>
              </w:rPr>
              <w:t>–</w:t>
            </w:r>
            <w:r w:rsidRPr="00FC7DA9">
              <w:rPr>
                <w:rFonts w:ascii="Arial" w:hAnsi="Arial" w:cs="Arial"/>
                <w:sz w:val="18"/>
                <w:szCs w:val="18"/>
                <w:lang w:val="en-GB"/>
              </w:rPr>
              <w:t>June 202</w:t>
            </w:r>
            <w:r>
              <w:rPr>
                <w:rFonts w:ascii="Arial" w:hAnsi="Arial" w:cs="Arial"/>
                <w:sz w:val="18"/>
                <w:szCs w:val="18"/>
                <w:lang w:val="en-GB"/>
              </w:rPr>
              <w:t>2</w:t>
            </w:r>
          </w:p>
        </w:tc>
      </w:tr>
      <w:tr w:rsidR="00884277" w:rsidRPr="00AE7DF0" w14:paraId="19C4C053" w14:textId="2FC71699"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F63CC"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A947874"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 xml:space="preserve">International Assistance, comprising the safeguarding of the heritage inscribed on the </w:t>
            </w:r>
            <w:r>
              <w:rPr>
                <w:rFonts w:ascii="Arial" w:hAnsi="Arial" w:cs="Arial"/>
                <w:sz w:val="18"/>
                <w:szCs w:val="18"/>
                <w:lang w:val="en-GB"/>
              </w:rPr>
              <w:t xml:space="preserve">List of Intangible Cultural Heritage in Need of </w:t>
            </w:r>
            <w:r w:rsidRPr="00BB2DEA">
              <w:rPr>
                <w:rFonts w:ascii="Arial" w:hAnsi="Arial" w:cs="Arial"/>
                <w:sz w:val="18"/>
                <w:szCs w:val="18"/>
                <w:lang w:val="en-GB"/>
              </w:rPr>
              <w:t>Urgent Safeguarding, the preparation of inventories and support for other safeguarding programmes, projects and activities;</w:t>
            </w:r>
          </w:p>
        </w:tc>
        <w:tc>
          <w:tcPr>
            <w:tcW w:w="603" w:type="pct"/>
            <w:tcBorders>
              <w:top w:val="single" w:sz="4" w:space="0" w:color="auto"/>
              <w:left w:val="single" w:sz="4" w:space="0" w:color="auto"/>
              <w:bottom w:val="single" w:sz="4" w:space="0" w:color="auto"/>
              <w:right w:val="single" w:sz="4" w:space="0" w:color="auto"/>
            </w:tcBorders>
            <w:vAlign w:val="center"/>
          </w:tcPr>
          <w:p w14:paraId="3460ED58" w14:textId="5BAB5769" w:rsidR="00FA7E04"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52.55%</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04A71B08" w14:textId="766938ED"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51.96%</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E1E2CD8" w14:textId="62E7F177"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$4,073,861</w:t>
            </w:r>
          </w:p>
        </w:tc>
        <w:tc>
          <w:tcPr>
            <w:tcW w:w="596" w:type="pct"/>
            <w:tcBorders>
              <w:top w:val="dashed" w:sz="4" w:space="0" w:color="auto"/>
              <w:left w:val="dashed" w:sz="4" w:space="0" w:color="auto"/>
              <w:bottom w:val="dashed" w:sz="4" w:space="0" w:color="auto"/>
              <w:right w:val="dashed" w:sz="4" w:space="0" w:color="auto"/>
            </w:tcBorders>
            <w:vAlign w:val="center"/>
          </w:tcPr>
          <w:p w14:paraId="6E270172" w14:textId="7981AA42"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$1,018,465</w:t>
            </w:r>
          </w:p>
        </w:tc>
      </w:tr>
      <w:tr w:rsidR="00884277" w:rsidRPr="00AE7DF0" w14:paraId="229FC0E4" w14:textId="2B913BCF"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2EF65"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1.1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D76B4DA" w14:textId="77777777" w:rsidR="00FA7E04" w:rsidRPr="00BB2DEA" w:rsidRDefault="00FA7E04" w:rsidP="008B3BEC">
            <w:pPr>
              <w:spacing w:before="120" w:after="120"/>
              <w:ind w:right="-1"/>
              <w:contextualSpacing/>
              <w:rPr>
                <w:rFonts w:ascii="Arial" w:hAnsi="Arial" w:cs="Arial"/>
                <w:sz w:val="18"/>
                <w:szCs w:val="18"/>
                <w:lang w:val="en-GB"/>
              </w:rPr>
            </w:pPr>
            <w:r w:rsidRPr="00BB2DEA">
              <w:rPr>
                <w:rFonts w:ascii="Arial" w:hAnsi="Arial" w:cs="Arial"/>
                <w:sz w:val="18"/>
                <w:szCs w:val="18"/>
                <w:lang w:val="en-GB"/>
              </w:rPr>
              <w:t xml:space="preserve">Enhancing human resources to improve the implementation of the </w:t>
            </w:r>
            <w:r>
              <w:rPr>
                <w:rFonts w:ascii="Arial" w:hAnsi="Arial" w:cs="Arial"/>
                <w:sz w:val="18"/>
                <w:szCs w:val="18"/>
                <w:lang w:val="en-GB"/>
              </w:rPr>
              <w:t>International</w:t>
            </w:r>
            <w:r w:rsidRPr="00BB2DEA">
              <w:rPr>
                <w:rFonts w:ascii="Arial" w:hAnsi="Arial" w:cs="Arial"/>
                <w:sz w:val="18"/>
                <w:szCs w:val="18"/>
                <w:lang w:val="en-GB"/>
              </w:rPr>
              <w:t xml:space="preserve"> Assistance mechanisms through </w:t>
            </w:r>
            <w:r>
              <w:rPr>
                <w:rFonts w:ascii="Arial" w:hAnsi="Arial" w:cs="Arial"/>
                <w:sz w:val="18"/>
                <w:szCs w:val="18"/>
                <w:lang w:val="en-GB"/>
              </w:rPr>
              <w:t>three</w:t>
            </w:r>
            <w:r w:rsidRPr="00BB2DEA">
              <w:rPr>
                <w:rFonts w:ascii="Arial" w:hAnsi="Arial" w:cs="Arial"/>
                <w:sz w:val="18"/>
                <w:szCs w:val="18"/>
                <w:lang w:val="en-GB"/>
              </w:rPr>
              <w:t xml:space="preserve"> extra-budgetary fixed</w:t>
            </w:r>
            <w:r>
              <w:rPr>
                <w:rFonts w:ascii="Arial" w:hAnsi="Arial" w:cs="Arial"/>
                <w:sz w:val="18"/>
                <w:szCs w:val="18"/>
                <w:lang w:val="en-GB"/>
              </w:rPr>
              <w:t>-</w:t>
            </w:r>
            <w:r w:rsidRPr="00BB2DEA">
              <w:rPr>
                <w:rFonts w:ascii="Arial" w:hAnsi="Arial" w:cs="Arial"/>
                <w:sz w:val="18"/>
                <w:szCs w:val="18"/>
                <w:lang w:val="en-GB"/>
              </w:rPr>
              <w:t>term posts</w:t>
            </w:r>
            <w:r>
              <w:rPr>
                <w:rFonts w:ascii="Arial" w:hAnsi="Arial" w:cs="Arial"/>
                <w:sz w:val="18"/>
                <w:szCs w:val="18"/>
                <w:lang w:val="en-GB"/>
              </w:rPr>
              <w:t xml:space="preserve"> (one P3, one P2 and one G5)</w:t>
            </w:r>
            <w:r w:rsidRPr="00BB2DEA">
              <w:rPr>
                <w:rFonts w:ascii="Arial" w:hAnsi="Arial" w:cs="Arial"/>
                <w:sz w:val="18"/>
                <w:szCs w:val="18"/>
                <w:lang w:val="en-GB"/>
              </w:rPr>
              <w:t>;</w:t>
            </w:r>
          </w:p>
        </w:tc>
        <w:tc>
          <w:tcPr>
            <w:tcW w:w="603" w:type="pct"/>
            <w:tcBorders>
              <w:top w:val="single" w:sz="4" w:space="0" w:color="auto"/>
              <w:left w:val="single" w:sz="4" w:space="0" w:color="auto"/>
              <w:bottom w:val="single" w:sz="4" w:space="0" w:color="auto"/>
              <w:right w:val="single" w:sz="4" w:space="0" w:color="auto"/>
            </w:tcBorders>
            <w:vAlign w:val="center"/>
          </w:tcPr>
          <w:p w14:paraId="516C437E" w14:textId="0559E01F" w:rsidR="00FA7E04"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8.20%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3E1A5BB" w14:textId="650D2A55"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10.79%</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3BFECE4" w14:textId="5C06CDEB"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$845,977</w:t>
            </w:r>
          </w:p>
        </w:tc>
        <w:tc>
          <w:tcPr>
            <w:tcW w:w="596" w:type="pct"/>
            <w:tcBorders>
              <w:top w:val="dashed" w:sz="4" w:space="0" w:color="auto"/>
              <w:left w:val="dashed" w:sz="4" w:space="0" w:color="auto"/>
              <w:bottom w:val="dashed" w:sz="4" w:space="0" w:color="auto"/>
              <w:right w:val="dashed" w:sz="4" w:space="0" w:color="auto"/>
            </w:tcBorders>
            <w:vAlign w:val="center"/>
          </w:tcPr>
          <w:p w14:paraId="6F11FCAB" w14:textId="5DD15E16"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$211,494</w:t>
            </w:r>
          </w:p>
        </w:tc>
      </w:tr>
      <w:tr w:rsidR="00884277" w:rsidRPr="00AE7DF0" w14:paraId="00863C39" w14:textId="6E7DF503"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7A904"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2.</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51DBF583"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Preparatory assistance for International Assistance requests, as well as for nomination files for the Urgent Safeguarding List and for proposals for the Register of Good Safeguarding Practices;</w:t>
            </w:r>
          </w:p>
        </w:tc>
        <w:tc>
          <w:tcPr>
            <w:tcW w:w="603" w:type="pct"/>
            <w:tcBorders>
              <w:top w:val="single" w:sz="4" w:space="0" w:color="auto"/>
              <w:left w:val="single" w:sz="4" w:space="0" w:color="auto"/>
              <w:bottom w:val="single" w:sz="4" w:space="0" w:color="auto"/>
              <w:right w:val="single" w:sz="4" w:space="0" w:color="auto"/>
            </w:tcBorders>
            <w:vAlign w:val="center"/>
          </w:tcPr>
          <w:p w14:paraId="06858473" w14:textId="4AFFBC1A" w:rsidR="00FA7E04"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4.00%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405B101F" w14:textId="57D11ED1"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2.00%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C82D482" w14:textId="25F7DE73"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$156,808</w:t>
            </w:r>
          </w:p>
        </w:tc>
        <w:tc>
          <w:tcPr>
            <w:tcW w:w="596" w:type="pct"/>
            <w:tcBorders>
              <w:top w:val="dashed" w:sz="4" w:space="0" w:color="auto"/>
              <w:left w:val="dashed" w:sz="4" w:space="0" w:color="auto"/>
              <w:bottom w:val="dashed" w:sz="4" w:space="0" w:color="auto"/>
              <w:right w:val="dashed" w:sz="4" w:space="0" w:color="auto"/>
            </w:tcBorders>
            <w:vAlign w:val="center"/>
          </w:tcPr>
          <w:p w14:paraId="332EE7EF" w14:textId="0D886892"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$39,202</w:t>
            </w:r>
          </w:p>
        </w:tc>
      </w:tr>
      <w:tr w:rsidR="00884277" w:rsidRPr="00AE7DF0" w14:paraId="7CE1B4EC" w14:textId="743B5C60"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10AB5"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3.</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0C49DD7" w14:textId="20A564EE"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Other functions of the Committee</w:t>
            </w:r>
            <w:r>
              <w:rPr>
                <w:rFonts w:ascii="Arial" w:hAnsi="Arial" w:cs="Arial"/>
                <w:sz w:val="18"/>
                <w:szCs w:val="18"/>
                <w:lang w:val="en-GB"/>
              </w:rPr>
              <w:t>,</w:t>
            </w:r>
            <w:r w:rsidRPr="00BB2DEA">
              <w:rPr>
                <w:rFonts w:ascii="Arial" w:hAnsi="Arial" w:cs="Arial"/>
                <w:sz w:val="18"/>
                <w:szCs w:val="18"/>
                <w:lang w:val="en-GB"/>
              </w:rPr>
              <w:t xml:space="preserve"> as described in Article 7 of the Convention, aimed at promoting the objectives of the Convention and encouraging and monitoring its implementation, in particular by strengthening capacities </w:t>
            </w:r>
            <w:r>
              <w:rPr>
                <w:rFonts w:ascii="Arial" w:hAnsi="Arial" w:cs="Arial"/>
                <w:sz w:val="18"/>
                <w:szCs w:val="18"/>
                <w:lang w:val="en-GB"/>
              </w:rPr>
              <w:t>to</w:t>
            </w:r>
            <w:r w:rsidRPr="00BB2DEA">
              <w:rPr>
                <w:rFonts w:ascii="Arial" w:hAnsi="Arial" w:cs="Arial"/>
                <w:sz w:val="18"/>
                <w:szCs w:val="18"/>
                <w:lang w:val="en-GB"/>
              </w:rPr>
              <w:t xml:space="preserve"> effectively safeguard intangible cultural heritage, raising awareness of the importance of such heritage, providing guidance on good safeguarding practices and updating and publishing the Lists and the Register of Good Safeguarding Practices</w:t>
            </w:r>
            <w:r w:rsidR="00C278E9">
              <w:rPr>
                <w:rFonts w:ascii="Arial" w:hAnsi="Arial" w:cs="Arial"/>
                <w:sz w:val="18"/>
                <w:szCs w:val="18"/>
                <w:lang w:val="en-GB"/>
              </w:rPr>
              <w:t>:</w:t>
            </w:r>
            <w:r w:rsidRPr="00BB2DEA">
              <w:rPr>
                <w:rFonts w:ascii="Arial" w:hAnsi="Arial" w:cs="Arial"/>
                <w:sz w:val="18"/>
                <w:szCs w:val="18"/>
                <w:lang w:val="en-GB"/>
              </w:rPr>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14:paraId="12DE901E" w14:textId="7299401E" w:rsidR="00FA7E04" w:rsidRPr="00B02DF5"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20.00%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73722426" w14:textId="5DDB7AAD" w:rsidR="00FA7E04" w:rsidRPr="00B02DF5"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20.00%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91002AF" w14:textId="25FD654A"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$1,568,076</w:t>
            </w:r>
          </w:p>
        </w:tc>
        <w:tc>
          <w:tcPr>
            <w:tcW w:w="596" w:type="pct"/>
            <w:tcBorders>
              <w:top w:val="dashed" w:sz="4" w:space="0" w:color="auto"/>
              <w:left w:val="dashed" w:sz="4" w:space="0" w:color="auto"/>
              <w:bottom w:val="dashed" w:sz="4" w:space="0" w:color="auto"/>
              <w:right w:val="dashed" w:sz="4" w:space="0" w:color="auto"/>
            </w:tcBorders>
            <w:vAlign w:val="center"/>
          </w:tcPr>
          <w:p w14:paraId="5C43A563" w14:textId="07BC103D"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$392,019</w:t>
            </w:r>
          </w:p>
        </w:tc>
      </w:tr>
      <w:tr w:rsidR="008B3BEC" w:rsidRPr="008B3BEC" w14:paraId="3B01FDD5"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7BAAC0" w14:textId="4610EB49"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25659" w14:textId="20C56588" w:rsidR="008B3BEC" w:rsidRPr="00C278E9" w:rsidRDefault="00C278E9" w:rsidP="00C278E9">
            <w:pPr>
              <w:spacing w:before="120" w:after="120"/>
              <w:ind w:left="250"/>
              <w:contextualSpacing/>
              <w:rPr>
                <w:rFonts w:ascii="Arial" w:hAnsi="Arial" w:cs="Arial"/>
                <w:i/>
                <w:iCs/>
                <w:sz w:val="16"/>
                <w:szCs w:val="16"/>
                <w:lang w:val="en-GB"/>
              </w:rPr>
            </w:pPr>
            <w:r w:rsidRPr="00C278E9">
              <w:rPr>
                <w:rFonts w:ascii="Arial" w:hAnsi="Arial" w:cs="Arial"/>
                <w:b/>
                <w:bCs/>
                <w:i/>
                <w:iCs/>
                <w:sz w:val="16"/>
                <w:szCs w:val="16"/>
                <w:lang w:val="en-GB"/>
              </w:rPr>
              <w:t>ER 1:</w:t>
            </w:r>
            <w:r w:rsidRPr="00C278E9">
              <w:rPr>
                <w:rFonts w:ascii="Arial" w:hAnsi="Arial" w:cs="Arial"/>
                <w:i/>
                <w:iCs/>
                <w:sz w:val="16"/>
                <w:szCs w:val="16"/>
                <w:lang w:val="en-GB"/>
              </w:rPr>
              <w:t xml:space="preserve"> </w:t>
            </w:r>
            <w:r w:rsidR="008B3BEC" w:rsidRPr="00C278E9">
              <w:rPr>
                <w:rFonts w:ascii="Arial" w:hAnsi="Arial" w:cs="Arial"/>
                <w:i/>
                <w:iCs/>
                <w:sz w:val="16"/>
                <w:szCs w:val="16"/>
                <w:lang w:val="en-GB"/>
              </w:rPr>
              <w:t>Sound governance of the 2003 Convention facilitated by enhanced monitoring and knowledge management services</w:t>
            </w:r>
            <w:r w:rsidRPr="00C278E9">
              <w:rPr>
                <w:rFonts w:ascii="Arial" w:hAnsi="Arial" w:cs="Arial"/>
                <w:i/>
                <w:iCs/>
                <w:sz w:val="16"/>
                <w:szCs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747F7" w14:textId="77777777" w:rsidR="002F755B"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4%</w:t>
            </w:r>
          </w:p>
          <w:p w14:paraId="23C782EE" w14:textId="50E54F61" w:rsidR="008B3BEC" w:rsidRPr="00C278E9"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353754" w:rsidRPr="00C278E9">
              <w:rPr>
                <w:rFonts w:ascii="Arial" w:hAnsi="Arial" w:cs="Arial"/>
                <w:i/>
                <w:iCs/>
                <w:sz w:val="16"/>
                <w:szCs w:val="16"/>
                <w:lang w:val="en-GB"/>
              </w:rPr>
              <w:t>20%</w:t>
            </w:r>
            <w:r>
              <w:rPr>
                <w:rFonts w:ascii="Arial" w:hAnsi="Arial" w:cs="Arial"/>
                <w:i/>
                <w:iCs/>
                <w:sz w:val="16"/>
                <w:szCs w:val="16"/>
                <w:lang w:val="en-GB"/>
              </w:rPr>
              <w:t xml:space="preserve"> of line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4847466" w14:textId="77777777" w:rsidR="002F755B" w:rsidRDefault="002F755B" w:rsidP="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5.4%</w:t>
            </w:r>
          </w:p>
          <w:p w14:paraId="37F69BD5" w14:textId="2D9114D0" w:rsidR="008B3BEC" w:rsidRPr="00B702ED" w:rsidRDefault="002F755B" w:rsidP="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Pr="00C278E9">
              <w:rPr>
                <w:rFonts w:ascii="Arial" w:hAnsi="Arial" w:cs="Arial"/>
                <w:i/>
                <w:iCs/>
                <w:sz w:val="16"/>
                <w:szCs w:val="16"/>
                <w:lang w:val="en-GB"/>
              </w:rPr>
              <w:t>27%</w:t>
            </w:r>
            <w:r>
              <w:rPr>
                <w:rFonts w:ascii="Arial" w:hAnsi="Arial" w:cs="Arial"/>
                <w:i/>
                <w:iCs/>
                <w:sz w:val="16"/>
                <w:szCs w:val="16"/>
                <w:lang w:val="en-GB"/>
              </w:rPr>
              <w:t xml:space="preserve"> of line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AC51D23" w14:textId="31D83B64"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$423,380</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6FB8AA0" w14:textId="4F6B3E46"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$105,845</w:t>
            </w:r>
          </w:p>
        </w:tc>
      </w:tr>
      <w:tr w:rsidR="008B3BEC" w:rsidRPr="008B3BEC" w14:paraId="3D0C4612"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6C39682" w14:textId="121F2790"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1D937" w14:textId="4FD4E5F3" w:rsidR="008B3BEC" w:rsidRPr="00C278E9" w:rsidRDefault="00C278E9" w:rsidP="00C278E9">
            <w:pPr>
              <w:spacing w:before="120" w:after="120"/>
              <w:ind w:left="250"/>
              <w:contextualSpacing/>
              <w:rPr>
                <w:rFonts w:ascii="Arial" w:hAnsi="Arial" w:cs="Arial"/>
                <w:i/>
                <w:iCs/>
                <w:sz w:val="16"/>
                <w:szCs w:val="16"/>
                <w:lang w:val="en-GB"/>
              </w:rPr>
            </w:pPr>
            <w:r w:rsidRPr="00C278E9">
              <w:rPr>
                <w:rFonts w:ascii="Arial" w:hAnsi="Arial" w:cs="Arial"/>
                <w:b/>
                <w:bCs/>
                <w:i/>
                <w:iCs/>
                <w:sz w:val="16"/>
                <w:szCs w:val="16"/>
                <w:lang w:val="en-GB"/>
              </w:rPr>
              <w:t>ER 2:</w:t>
            </w:r>
            <w:r w:rsidRPr="00C278E9">
              <w:rPr>
                <w:rFonts w:ascii="Arial" w:hAnsi="Arial" w:cs="Arial"/>
                <w:i/>
                <w:iCs/>
                <w:sz w:val="16"/>
                <w:szCs w:val="16"/>
                <w:lang w:val="en-GB"/>
              </w:rPr>
              <w:t xml:space="preserve"> </w:t>
            </w:r>
            <w:r w:rsidR="008B3BEC" w:rsidRPr="00C278E9">
              <w:rPr>
                <w:rFonts w:ascii="Arial" w:hAnsi="Arial" w:cs="Arial"/>
                <w:i/>
                <w:iCs/>
                <w:sz w:val="16"/>
                <w:szCs w:val="16"/>
                <w:lang w:val="en-GB"/>
              </w:rPr>
              <w:t>Implementation of the Convention in Member States encouraged through a strengthened capacity-building programme</w:t>
            </w:r>
            <w:r w:rsidRPr="00C278E9">
              <w:rPr>
                <w:rFonts w:ascii="Arial" w:hAnsi="Arial" w:cs="Arial"/>
                <w:i/>
                <w:iCs/>
                <w:sz w:val="16"/>
                <w:szCs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86CE0B" w14:textId="0A8335CB" w:rsidR="002F755B"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7.2%</w:t>
            </w:r>
          </w:p>
          <w:p w14:paraId="12A6BA3F" w14:textId="098D3DA9" w:rsidR="002F755B" w:rsidRPr="00C278E9" w:rsidRDefault="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353754" w:rsidRPr="00C278E9">
              <w:rPr>
                <w:rFonts w:ascii="Arial" w:hAnsi="Arial" w:cs="Arial"/>
                <w:i/>
                <w:iCs/>
                <w:sz w:val="16"/>
                <w:szCs w:val="16"/>
                <w:lang w:val="en-GB"/>
              </w:rPr>
              <w:t>36%</w:t>
            </w:r>
            <w:r>
              <w:rPr>
                <w:rFonts w:ascii="Arial" w:hAnsi="Arial" w:cs="Arial"/>
                <w:i/>
                <w:iCs/>
                <w:sz w:val="16"/>
                <w:szCs w:val="16"/>
                <w:lang w:val="en-GB"/>
              </w:rPr>
              <w:t xml:space="preserve"> of line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22292D1F" w14:textId="77777777" w:rsidR="002F755B"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6.6%</w:t>
            </w:r>
          </w:p>
          <w:p w14:paraId="2143BD42" w14:textId="6040E030" w:rsidR="008B3BEC" w:rsidRPr="00B702ED"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DB6E4D" w:rsidRPr="00B702ED">
              <w:rPr>
                <w:rFonts w:ascii="Arial" w:hAnsi="Arial" w:cs="Arial"/>
                <w:i/>
                <w:iCs/>
                <w:sz w:val="16"/>
                <w:szCs w:val="16"/>
                <w:lang w:val="en-GB"/>
              </w:rPr>
              <w:t>33%</w:t>
            </w:r>
            <w:r>
              <w:rPr>
                <w:rFonts w:ascii="Arial" w:hAnsi="Arial" w:cs="Arial"/>
                <w:i/>
                <w:iCs/>
                <w:sz w:val="16"/>
                <w:szCs w:val="16"/>
                <w:lang w:val="en-GB"/>
              </w:rPr>
              <w:t xml:space="preserve"> of line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EC0538F" w14:textId="33E58CB2"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$517,465</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35272D5" w14:textId="08535ACA" w:rsidR="00542F06" w:rsidRPr="00B702ED" w:rsidRDefault="00542F06">
            <w:pPr>
              <w:spacing w:before="60" w:after="60"/>
              <w:contextualSpacing/>
              <w:jc w:val="center"/>
              <w:rPr>
                <w:rFonts w:ascii="Arial" w:hAnsi="Arial" w:cs="Arial"/>
                <w:i/>
                <w:iCs/>
                <w:sz w:val="16"/>
                <w:szCs w:val="16"/>
                <w:lang w:val="en-GB"/>
              </w:rPr>
            </w:pPr>
            <w:r>
              <w:rPr>
                <w:rFonts w:ascii="Arial" w:hAnsi="Arial" w:cs="Arial"/>
                <w:i/>
                <w:iCs/>
                <w:sz w:val="16"/>
                <w:szCs w:val="16"/>
                <w:lang w:val="en-GB"/>
              </w:rPr>
              <w:t>$129,366</w:t>
            </w:r>
          </w:p>
        </w:tc>
      </w:tr>
      <w:tr w:rsidR="008B3BEC" w:rsidRPr="008B3BEC" w14:paraId="6EDC83FA"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50C673" w14:textId="503D8332"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D9D995" w14:textId="3586896C" w:rsidR="008B3BEC" w:rsidRPr="00C278E9" w:rsidRDefault="00C278E9" w:rsidP="00C278E9">
            <w:pPr>
              <w:spacing w:before="120" w:after="120"/>
              <w:ind w:left="250"/>
              <w:contextualSpacing/>
              <w:rPr>
                <w:rFonts w:ascii="Arial" w:hAnsi="Arial" w:cs="Arial"/>
                <w:i/>
                <w:iCs/>
                <w:sz w:val="16"/>
                <w:szCs w:val="16"/>
                <w:lang w:val="en-GB"/>
              </w:rPr>
            </w:pPr>
            <w:r w:rsidRPr="00C278E9">
              <w:rPr>
                <w:rFonts w:ascii="Arial" w:hAnsi="Arial" w:cs="Arial"/>
                <w:b/>
                <w:bCs/>
                <w:i/>
                <w:iCs/>
                <w:sz w:val="16"/>
                <w:szCs w:val="16"/>
                <w:lang w:val="en-GB"/>
              </w:rPr>
              <w:t>ER 3:</w:t>
            </w:r>
            <w:r w:rsidRPr="00C278E9">
              <w:rPr>
                <w:rFonts w:ascii="Arial" w:hAnsi="Arial" w:cs="Arial"/>
                <w:i/>
                <w:iCs/>
                <w:sz w:val="16"/>
                <w:szCs w:val="16"/>
                <w:lang w:val="en-GB"/>
              </w:rPr>
              <w:t xml:space="preserve"> </w:t>
            </w:r>
            <w:r w:rsidR="008B3BEC" w:rsidRPr="00C278E9">
              <w:rPr>
                <w:rFonts w:ascii="Arial" w:hAnsi="Arial" w:cs="Arial"/>
                <w:i/>
                <w:iCs/>
                <w:sz w:val="16"/>
                <w:szCs w:val="16"/>
                <w:lang w:val="en-GB"/>
              </w:rPr>
              <w:t>Integration of intangible cultural heritage into development plans, policies and programmes supported</w:t>
            </w:r>
            <w:r w:rsidRPr="00C278E9">
              <w:rPr>
                <w:rFonts w:ascii="Arial" w:hAnsi="Arial" w:cs="Arial"/>
                <w:i/>
                <w:iCs/>
                <w:sz w:val="16"/>
                <w:szCs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5C1C8E" w14:textId="77777777" w:rsidR="002F755B"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 xml:space="preserve">3.4% </w:t>
            </w:r>
          </w:p>
          <w:p w14:paraId="007CFEA0" w14:textId="18541258" w:rsidR="008B3BEC" w:rsidRPr="00C278E9"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353754" w:rsidRPr="00C278E9">
              <w:rPr>
                <w:rFonts w:ascii="Arial" w:hAnsi="Arial" w:cs="Arial"/>
                <w:i/>
                <w:iCs/>
                <w:sz w:val="16"/>
                <w:szCs w:val="16"/>
                <w:lang w:val="en-GB"/>
              </w:rPr>
              <w:t>17%</w:t>
            </w:r>
            <w:r>
              <w:rPr>
                <w:rFonts w:ascii="Arial" w:hAnsi="Arial" w:cs="Arial"/>
                <w:i/>
                <w:iCs/>
                <w:sz w:val="16"/>
                <w:szCs w:val="16"/>
                <w:lang w:val="en-GB"/>
              </w:rPr>
              <w:t xml:space="preserve"> of line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F0E0136" w14:textId="354FCF45" w:rsidR="002F755B" w:rsidRDefault="002F755B" w:rsidP="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2.6%</w:t>
            </w:r>
          </w:p>
          <w:p w14:paraId="5640FD44" w14:textId="00CEADDC" w:rsidR="002F755B" w:rsidRPr="00B702ED" w:rsidRDefault="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E912CE" w:rsidRPr="00B702ED">
              <w:rPr>
                <w:rFonts w:ascii="Arial" w:hAnsi="Arial" w:cs="Arial"/>
                <w:i/>
                <w:iCs/>
                <w:sz w:val="16"/>
                <w:szCs w:val="16"/>
                <w:lang w:val="en-GB"/>
              </w:rPr>
              <w:t>13%</w:t>
            </w:r>
            <w:r>
              <w:rPr>
                <w:rFonts w:ascii="Arial" w:hAnsi="Arial" w:cs="Arial"/>
                <w:i/>
                <w:iCs/>
                <w:sz w:val="16"/>
                <w:szCs w:val="16"/>
                <w:lang w:val="en-GB"/>
              </w:rPr>
              <w:t xml:space="preserve"> of line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640FBF0" w14:textId="13F0866C"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$203,850</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60DEA25" w14:textId="0D61AB3D"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$50,962</w:t>
            </w:r>
          </w:p>
        </w:tc>
      </w:tr>
      <w:tr w:rsidR="008B3BEC" w:rsidRPr="008B3BEC" w14:paraId="0DA9303F"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3E57AB" w14:textId="62DF04BB" w:rsidR="008B3BEC" w:rsidRPr="008B3BEC" w:rsidRDefault="008B3BEC" w:rsidP="00FA7E04">
            <w:pPr>
              <w:spacing w:before="120" w:after="120"/>
              <w:contextualSpacing/>
              <w:rPr>
                <w:rFonts w:ascii="Arial"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5F1BF" w14:textId="0552CE87" w:rsidR="008B3BEC" w:rsidRPr="00C278E9" w:rsidRDefault="00C278E9" w:rsidP="00C278E9">
            <w:pPr>
              <w:spacing w:before="120" w:after="120"/>
              <w:ind w:left="250"/>
              <w:contextualSpacing/>
              <w:rPr>
                <w:rFonts w:ascii="Arial" w:hAnsi="Arial" w:cs="Arial"/>
                <w:i/>
                <w:iCs/>
                <w:sz w:val="16"/>
                <w:szCs w:val="16"/>
                <w:lang w:val="en-GB"/>
              </w:rPr>
            </w:pPr>
            <w:r w:rsidRPr="00C278E9">
              <w:rPr>
                <w:rFonts w:ascii="Arial" w:hAnsi="Arial" w:cs="Arial"/>
                <w:b/>
                <w:bCs/>
                <w:i/>
                <w:iCs/>
                <w:sz w:val="16"/>
                <w:szCs w:val="16"/>
                <w:lang w:val="en-GB"/>
              </w:rPr>
              <w:t>ER 4:</w:t>
            </w:r>
            <w:r w:rsidRPr="00C278E9">
              <w:rPr>
                <w:rFonts w:ascii="Arial" w:hAnsi="Arial" w:cs="Arial"/>
                <w:i/>
                <w:iCs/>
                <w:sz w:val="16"/>
                <w:szCs w:val="16"/>
                <w:lang w:val="en-GB"/>
              </w:rPr>
              <w:t xml:space="preserve"> </w:t>
            </w:r>
            <w:r w:rsidR="008B3BEC" w:rsidRPr="00C278E9">
              <w:rPr>
                <w:rFonts w:ascii="Arial" w:hAnsi="Arial" w:cs="Arial"/>
                <w:i/>
                <w:iCs/>
                <w:sz w:val="16"/>
                <w:szCs w:val="16"/>
                <w:lang w:val="en-GB"/>
              </w:rPr>
              <w:t>Objectives of the Convention promoted through awareness-raising and outreach</w:t>
            </w:r>
            <w:r w:rsidRPr="00C278E9">
              <w:rPr>
                <w:rFonts w:ascii="Arial" w:hAnsi="Arial" w:cs="Arial"/>
                <w:i/>
                <w:iCs/>
                <w:sz w:val="16"/>
                <w:szCs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232BB" w14:textId="77777777" w:rsidR="002F755B" w:rsidRDefault="002F755B" w:rsidP="00FA7E04">
            <w:pPr>
              <w:spacing w:before="60" w:after="60"/>
              <w:contextualSpacing/>
              <w:jc w:val="center"/>
              <w:rPr>
                <w:rFonts w:ascii="Arial" w:hAnsi="Arial" w:cs="Arial"/>
                <w:i/>
                <w:iCs/>
                <w:sz w:val="16"/>
                <w:szCs w:val="16"/>
                <w:lang w:val="en-GB"/>
              </w:rPr>
            </w:pPr>
            <w:r>
              <w:rPr>
                <w:rFonts w:ascii="Arial" w:hAnsi="Arial" w:cs="Arial"/>
                <w:i/>
                <w:iCs/>
                <w:sz w:val="16"/>
                <w:szCs w:val="16"/>
                <w:lang w:val="en-GB"/>
              </w:rPr>
              <w:t>5.4%</w:t>
            </w:r>
          </w:p>
          <w:p w14:paraId="2407EFD4" w14:textId="42E09CE8" w:rsidR="002F755B" w:rsidRPr="00C278E9" w:rsidRDefault="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00353754" w:rsidRPr="00C278E9">
              <w:rPr>
                <w:rFonts w:ascii="Arial" w:hAnsi="Arial" w:cs="Arial"/>
                <w:i/>
                <w:iCs/>
                <w:sz w:val="16"/>
                <w:szCs w:val="16"/>
                <w:lang w:val="en-GB"/>
              </w:rPr>
              <w:t>27%</w:t>
            </w:r>
            <w:r>
              <w:rPr>
                <w:rFonts w:ascii="Arial" w:hAnsi="Arial" w:cs="Arial"/>
                <w:i/>
                <w:iCs/>
                <w:sz w:val="16"/>
                <w:szCs w:val="16"/>
                <w:lang w:val="en-GB"/>
              </w:rPr>
              <w:t xml:space="preserve"> of line 3)</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A4CB818" w14:textId="77777777" w:rsidR="002F755B" w:rsidRDefault="002F755B" w:rsidP="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5.4%</w:t>
            </w:r>
          </w:p>
          <w:p w14:paraId="5F884E67" w14:textId="76F30582" w:rsidR="008B3BEC" w:rsidRPr="00B702ED" w:rsidRDefault="002F755B" w:rsidP="002F755B">
            <w:pPr>
              <w:spacing w:before="60" w:after="60"/>
              <w:contextualSpacing/>
              <w:jc w:val="center"/>
              <w:rPr>
                <w:rFonts w:ascii="Arial" w:hAnsi="Arial" w:cs="Arial"/>
                <w:i/>
                <w:iCs/>
                <w:sz w:val="16"/>
                <w:szCs w:val="16"/>
                <w:lang w:val="en-GB"/>
              </w:rPr>
            </w:pPr>
            <w:r>
              <w:rPr>
                <w:rFonts w:ascii="Arial" w:hAnsi="Arial" w:cs="Arial"/>
                <w:i/>
                <w:iCs/>
                <w:sz w:val="16"/>
                <w:szCs w:val="16"/>
                <w:lang w:val="en-GB"/>
              </w:rPr>
              <w:t>(</w:t>
            </w:r>
            <w:r w:rsidRPr="00C278E9">
              <w:rPr>
                <w:rFonts w:ascii="Arial" w:hAnsi="Arial" w:cs="Arial"/>
                <w:i/>
                <w:iCs/>
                <w:sz w:val="16"/>
                <w:szCs w:val="16"/>
                <w:lang w:val="en-GB"/>
              </w:rPr>
              <w:t>27%</w:t>
            </w:r>
            <w:r>
              <w:rPr>
                <w:rFonts w:ascii="Arial" w:hAnsi="Arial" w:cs="Arial"/>
                <w:i/>
                <w:iCs/>
                <w:sz w:val="16"/>
                <w:szCs w:val="16"/>
                <w:lang w:val="en-GB"/>
              </w:rPr>
              <w:t xml:space="preserve"> of line 3)</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B34B16E" w14:textId="64273337"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$423,381</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F87893F" w14:textId="4EE4A543" w:rsidR="008B3BEC" w:rsidRPr="00B702ED" w:rsidRDefault="00542F06" w:rsidP="009C6B5E">
            <w:pPr>
              <w:spacing w:before="60" w:after="60"/>
              <w:contextualSpacing/>
              <w:jc w:val="center"/>
              <w:rPr>
                <w:rFonts w:ascii="Arial" w:hAnsi="Arial" w:cs="Arial"/>
                <w:i/>
                <w:iCs/>
                <w:sz w:val="16"/>
                <w:szCs w:val="16"/>
                <w:lang w:val="en-GB"/>
              </w:rPr>
            </w:pPr>
            <w:r>
              <w:rPr>
                <w:rFonts w:ascii="Arial" w:hAnsi="Arial" w:cs="Arial"/>
                <w:i/>
                <w:iCs/>
                <w:sz w:val="16"/>
                <w:szCs w:val="16"/>
                <w:lang w:val="en-GB"/>
              </w:rPr>
              <w:t>$105,846</w:t>
            </w:r>
          </w:p>
        </w:tc>
      </w:tr>
      <w:tr w:rsidR="00884277" w:rsidRPr="00AE7DF0" w14:paraId="5C45B7CC" w14:textId="3BA12204"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6A9F5"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4.</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1130F52"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 xml:space="preserve">Participation in the sessions of the Committee, its Bureau and subsidiary bodies of experts in intangible cultural heritage representing developing States </w:t>
            </w:r>
            <w:r>
              <w:rPr>
                <w:rFonts w:ascii="Arial" w:hAnsi="Arial" w:cs="Arial"/>
                <w:sz w:val="18"/>
                <w:szCs w:val="18"/>
                <w:lang w:val="en-GB"/>
              </w:rPr>
              <w:t xml:space="preserve">that are </w:t>
            </w:r>
            <w:r w:rsidRPr="00BB2DEA">
              <w:rPr>
                <w:rFonts w:ascii="Arial" w:hAnsi="Arial" w:cs="Arial"/>
                <w:sz w:val="18"/>
                <w:szCs w:val="18"/>
                <w:lang w:val="en-GB"/>
              </w:rPr>
              <w:t>Members of the Committee;</w:t>
            </w:r>
          </w:p>
        </w:tc>
        <w:tc>
          <w:tcPr>
            <w:tcW w:w="603" w:type="pct"/>
            <w:tcBorders>
              <w:top w:val="single" w:sz="4" w:space="0" w:color="auto"/>
              <w:left w:val="single" w:sz="4" w:space="0" w:color="auto"/>
              <w:bottom w:val="single" w:sz="4" w:space="0" w:color="auto"/>
              <w:right w:val="single" w:sz="4" w:space="0" w:color="auto"/>
            </w:tcBorders>
            <w:vAlign w:val="center"/>
          </w:tcPr>
          <w:p w14:paraId="0FB5A476" w14:textId="46A30ACE" w:rsidR="00FA7E04" w:rsidRDefault="00550BBD" w:rsidP="00FA7E04">
            <w:pPr>
              <w:spacing w:before="60" w:after="60"/>
              <w:contextualSpacing/>
              <w:jc w:val="center"/>
              <w:rPr>
                <w:rFonts w:ascii="Arial" w:hAnsi="Arial" w:cs="Arial"/>
                <w:sz w:val="18"/>
                <w:szCs w:val="18"/>
                <w:lang w:val="en-GB"/>
              </w:rPr>
            </w:pPr>
            <w:r>
              <w:rPr>
                <w:rFonts w:ascii="Arial" w:hAnsi="Arial" w:cs="Arial"/>
                <w:sz w:val="18"/>
                <w:szCs w:val="18"/>
                <w:lang w:val="en-GB"/>
              </w:rPr>
              <w:t>1.71</w:t>
            </w:r>
            <w:r w:rsidR="00FA7E04" w:rsidRPr="00B02DF5">
              <w:rPr>
                <w:rFonts w:ascii="Arial" w:hAnsi="Arial" w:cs="Arial"/>
                <w:sz w:val="18"/>
                <w:szCs w:val="18"/>
                <w:lang w:val="en-GB"/>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6E78E29" w14:textId="0DA876B8"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2.63%</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5FA84A26" w14:textId="3470CCB7"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$206,202</w:t>
            </w:r>
          </w:p>
        </w:tc>
        <w:tc>
          <w:tcPr>
            <w:tcW w:w="596" w:type="pct"/>
            <w:tcBorders>
              <w:top w:val="dashed" w:sz="4" w:space="0" w:color="auto"/>
              <w:left w:val="dashed" w:sz="4" w:space="0" w:color="auto"/>
              <w:bottom w:val="dashed" w:sz="4" w:space="0" w:color="auto"/>
              <w:right w:val="dashed" w:sz="4" w:space="0" w:color="auto"/>
            </w:tcBorders>
            <w:vAlign w:val="center"/>
          </w:tcPr>
          <w:p w14:paraId="114680CA" w14:textId="7620DCB9"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$51,550</w:t>
            </w:r>
          </w:p>
        </w:tc>
      </w:tr>
      <w:tr w:rsidR="00884277" w:rsidRPr="00AE7DF0" w14:paraId="00017129" w14:textId="1431A1D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0571"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5.</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442B550"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 xml:space="preserve">Participation in the sessions of the Committee and its consultative bodies of experts in intangible cultural heritage representing developing </w:t>
            </w:r>
            <w:r>
              <w:rPr>
                <w:rFonts w:ascii="Arial" w:hAnsi="Arial" w:cs="Arial"/>
                <w:sz w:val="18"/>
                <w:szCs w:val="18"/>
                <w:lang w:val="en-GB"/>
              </w:rPr>
              <w:t>S</w:t>
            </w:r>
            <w:r w:rsidRPr="00BB2DEA">
              <w:rPr>
                <w:rFonts w:ascii="Arial" w:hAnsi="Arial" w:cs="Arial"/>
                <w:sz w:val="18"/>
                <w:szCs w:val="18"/>
                <w:lang w:val="en-GB"/>
              </w:rPr>
              <w:t>tates that are Parties to the Convention but not Members of the Committee;</w:t>
            </w:r>
          </w:p>
        </w:tc>
        <w:tc>
          <w:tcPr>
            <w:tcW w:w="603" w:type="pct"/>
            <w:tcBorders>
              <w:top w:val="single" w:sz="4" w:space="0" w:color="auto"/>
              <w:left w:val="single" w:sz="4" w:space="0" w:color="auto"/>
              <w:bottom w:val="single" w:sz="4" w:space="0" w:color="auto"/>
              <w:right w:val="single" w:sz="4" w:space="0" w:color="auto"/>
            </w:tcBorders>
            <w:vAlign w:val="center"/>
          </w:tcPr>
          <w:p w14:paraId="46E2374A" w14:textId="77E25C78" w:rsidR="00FA7E04" w:rsidRDefault="00550BBD" w:rsidP="00FA7E04">
            <w:pPr>
              <w:spacing w:before="60" w:after="60"/>
              <w:contextualSpacing/>
              <w:jc w:val="center"/>
              <w:rPr>
                <w:rFonts w:ascii="Arial" w:hAnsi="Arial" w:cs="Arial"/>
                <w:sz w:val="18"/>
                <w:szCs w:val="18"/>
                <w:lang w:val="en-GB"/>
              </w:rPr>
            </w:pPr>
            <w:r>
              <w:rPr>
                <w:rFonts w:ascii="Arial" w:hAnsi="Arial" w:cs="Arial"/>
                <w:sz w:val="18"/>
                <w:szCs w:val="18"/>
                <w:lang w:val="en-GB"/>
              </w:rPr>
              <w:t>4.06</w:t>
            </w:r>
            <w:r w:rsidR="00FA7E04" w:rsidRPr="00B02DF5">
              <w:rPr>
                <w:rFonts w:ascii="Arial" w:hAnsi="Arial" w:cs="Arial"/>
                <w:sz w:val="18"/>
                <w:szCs w:val="18"/>
                <w:lang w:val="en-GB"/>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786F8BF" w14:textId="3A87498D"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192E140" w14:textId="4398E9AB"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$259,516</w:t>
            </w:r>
          </w:p>
        </w:tc>
        <w:tc>
          <w:tcPr>
            <w:tcW w:w="596" w:type="pct"/>
            <w:tcBorders>
              <w:top w:val="dashed" w:sz="4" w:space="0" w:color="auto"/>
              <w:left w:val="dashed" w:sz="4" w:space="0" w:color="auto"/>
              <w:bottom w:val="dashed" w:sz="4" w:space="0" w:color="auto"/>
              <w:right w:val="dashed" w:sz="4" w:space="0" w:color="auto"/>
            </w:tcBorders>
            <w:vAlign w:val="center"/>
          </w:tcPr>
          <w:p w14:paraId="7976EA71" w14:textId="04960E34"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$64,879</w:t>
            </w:r>
          </w:p>
        </w:tc>
      </w:tr>
      <w:tr w:rsidR="00884277" w:rsidRPr="00AE7DF0" w14:paraId="1ACCA985" w14:textId="48918F9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EE718"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6.</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1DD45C36"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 xml:space="preserve">Participation in the sessions of the Committee, its Bureau and consultative bodies of public or private bodies, private persons, notably members of communities and groups, that have been invited by the Committee to advise </w:t>
            </w:r>
            <w:r>
              <w:rPr>
                <w:rFonts w:ascii="Arial" w:hAnsi="Arial" w:cs="Arial"/>
                <w:sz w:val="18"/>
                <w:szCs w:val="18"/>
                <w:lang w:val="en-GB"/>
              </w:rPr>
              <w:t>it</w:t>
            </w:r>
            <w:r w:rsidRPr="00BB2DEA">
              <w:rPr>
                <w:rFonts w:ascii="Arial" w:hAnsi="Arial" w:cs="Arial"/>
                <w:sz w:val="18"/>
                <w:szCs w:val="18"/>
                <w:lang w:val="en-GB"/>
              </w:rPr>
              <w:t xml:space="preserve"> on specific matters, as well as experts in intangible cultural heritage representing accredited NGOs from developing countries;</w:t>
            </w:r>
          </w:p>
        </w:tc>
        <w:tc>
          <w:tcPr>
            <w:tcW w:w="603" w:type="pct"/>
            <w:tcBorders>
              <w:top w:val="single" w:sz="4" w:space="0" w:color="auto"/>
              <w:left w:val="single" w:sz="4" w:space="0" w:color="auto"/>
              <w:bottom w:val="single" w:sz="4" w:space="0" w:color="auto"/>
              <w:right w:val="single" w:sz="4" w:space="0" w:color="auto"/>
            </w:tcBorders>
            <w:vAlign w:val="center"/>
          </w:tcPr>
          <w:p w14:paraId="366A8A95" w14:textId="42026D6A" w:rsidR="00FA7E04" w:rsidRDefault="00550BBD" w:rsidP="00FA7E04">
            <w:pPr>
              <w:spacing w:before="60" w:after="60"/>
              <w:contextualSpacing/>
              <w:jc w:val="center"/>
              <w:rPr>
                <w:rFonts w:ascii="Arial" w:hAnsi="Arial" w:cs="Arial"/>
                <w:sz w:val="18"/>
                <w:szCs w:val="18"/>
                <w:lang w:val="en-GB"/>
              </w:rPr>
            </w:pPr>
            <w:r>
              <w:rPr>
                <w:rFonts w:ascii="Arial" w:hAnsi="Arial" w:cs="Arial"/>
                <w:sz w:val="18"/>
                <w:szCs w:val="18"/>
                <w:lang w:val="en-GB"/>
              </w:rPr>
              <w:t>3.48</w:t>
            </w:r>
            <w:r w:rsidR="00FA7E04" w:rsidRPr="00B02DF5">
              <w:rPr>
                <w:rFonts w:ascii="Arial" w:hAnsi="Arial" w:cs="Arial"/>
                <w:sz w:val="18"/>
                <w:szCs w:val="18"/>
                <w:lang w:val="en-GB"/>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475EB31" w14:textId="3DE07CA6"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138C6D19" w14:textId="76B5206E"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$259,516</w:t>
            </w:r>
          </w:p>
        </w:tc>
        <w:tc>
          <w:tcPr>
            <w:tcW w:w="596" w:type="pct"/>
            <w:tcBorders>
              <w:top w:val="dashed" w:sz="4" w:space="0" w:color="auto"/>
              <w:left w:val="dashed" w:sz="4" w:space="0" w:color="auto"/>
              <w:bottom w:val="dashed" w:sz="4" w:space="0" w:color="auto"/>
              <w:right w:val="dashed" w:sz="4" w:space="0" w:color="auto"/>
            </w:tcBorders>
            <w:vAlign w:val="center"/>
          </w:tcPr>
          <w:p w14:paraId="242E8C32" w14:textId="3EE8E922"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$64,879</w:t>
            </w:r>
          </w:p>
        </w:tc>
      </w:tr>
      <w:tr w:rsidR="00884277" w:rsidRPr="00AE7DF0" w14:paraId="3F0D11C5" w14:textId="6497600A"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00A51" w14:textId="77777777"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7.</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8E88558" w14:textId="77777777" w:rsidR="00FA7E04" w:rsidRPr="00BB2DEA" w:rsidRDefault="00FA7E04" w:rsidP="008B3BEC">
            <w:pPr>
              <w:spacing w:before="120" w:after="120"/>
              <w:contextualSpacing/>
              <w:rPr>
                <w:rFonts w:ascii="Arial" w:hAnsi="Arial" w:cs="Arial"/>
                <w:sz w:val="18"/>
                <w:szCs w:val="18"/>
                <w:lang w:val="en-GB"/>
              </w:rPr>
            </w:pPr>
            <w:r w:rsidRPr="00BB2DEA">
              <w:rPr>
                <w:rFonts w:ascii="Arial" w:hAnsi="Arial" w:cs="Arial"/>
                <w:sz w:val="18"/>
                <w:szCs w:val="18"/>
                <w:lang w:val="en-GB"/>
              </w:rPr>
              <w:t>The costs of advisory services to be provided at the request of the Committee, including support to developing States whose representatives have been appointed to the Evaluation Body;</w:t>
            </w:r>
          </w:p>
        </w:tc>
        <w:tc>
          <w:tcPr>
            <w:tcW w:w="603" w:type="pct"/>
            <w:tcBorders>
              <w:top w:val="single" w:sz="4" w:space="0" w:color="auto"/>
              <w:left w:val="single" w:sz="4" w:space="0" w:color="auto"/>
              <w:bottom w:val="single" w:sz="4" w:space="0" w:color="auto"/>
              <w:right w:val="single" w:sz="4" w:space="0" w:color="auto"/>
            </w:tcBorders>
            <w:vAlign w:val="center"/>
          </w:tcPr>
          <w:p w14:paraId="07242F49" w14:textId="62AA5CFC" w:rsidR="00FA7E04" w:rsidRDefault="00FA7E04" w:rsidP="00FA7E04">
            <w:pPr>
              <w:spacing w:before="60" w:after="60"/>
              <w:contextualSpacing/>
              <w:jc w:val="center"/>
              <w:rPr>
                <w:rFonts w:ascii="Arial" w:hAnsi="Arial" w:cs="Arial"/>
                <w:sz w:val="18"/>
                <w:szCs w:val="18"/>
                <w:lang w:val="en-GB"/>
              </w:rPr>
            </w:pPr>
            <w:r w:rsidRPr="00B02DF5">
              <w:rPr>
                <w:rFonts w:ascii="Arial" w:hAnsi="Arial" w:cs="Arial"/>
                <w:sz w:val="18"/>
                <w:szCs w:val="18"/>
                <w:lang w:val="en-GB"/>
              </w:rPr>
              <w:t>6.00%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E9FAF19" w14:textId="3B8790F2" w:rsidR="00FA7E04" w:rsidRPr="00B02DF5" w:rsidRDefault="00FA7E04" w:rsidP="00FA7E04">
            <w:pPr>
              <w:spacing w:before="60" w:after="60"/>
              <w:contextualSpacing/>
              <w:jc w:val="center"/>
              <w:rPr>
                <w:rFonts w:ascii="Arial" w:hAnsi="Arial" w:cs="Arial"/>
                <w:sz w:val="18"/>
                <w:szCs w:val="18"/>
                <w:lang w:val="en-GB"/>
              </w:rPr>
            </w:pPr>
            <w:r>
              <w:rPr>
                <w:rFonts w:ascii="Arial" w:hAnsi="Arial" w:cs="Arial"/>
                <w:sz w:val="18"/>
                <w:szCs w:val="18"/>
                <w:lang w:val="en-GB"/>
              </w:rPr>
              <w:t>6.00%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B2C6E54" w14:textId="11291F0B" w:rsidR="00FA7E04" w:rsidRPr="00B02DF5" w:rsidRDefault="007038EB" w:rsidP="009C6B5E">
            <w:pPr>
              <w:spacing w:before="60" w:after="60"/>
              <w:contextualSpacing/>
              <w:jc w:val="center"/>
              <w:rPr>
                <w:rFonts w:ascii="Arial" w:hAnsi="Arial" w:cs="Arial"/>
                <w:sz w:val="18"/>
                <w:szCs w:val="18"/>
                <w:lang w:val="en-GB"/>
              </w:rPr>
            </w:pPr>
            <w:r>
              <w:rPr>
                <w:rFonts w:ascii="Arial" w:hAnsi="Arial" w:cs="Arial"/>
                <w:sz w:val="18"/>
                <w:szCs w:val="18"/>
                <w:lang w:val="en-GB"/>
              </w:rPr>
              <w:t>$470,423</w:t>
            </w:r>
          </w:p>
        </w:tc>
        <w:tc>
          <w:tcPr>
            <w:tcW w:w="596" w:type="pct"/>
            <w:tcBorders>
              <w:top w:val="dashed" w:sz="4" w:space="0" w:color="auto"/>
              <w:left w:val="dashed" w:sz="4" w:space="0" w:color="auto"/>
              <w:bottom w:val="dashed" w:sz="4" w:space="0" w:color="auto"/>
              <w:right w:val="dashed" w:sz="4" w:space="0" w:color="auto"/>
            </w:tcBorders>
            <w:vAlign w:val="center"/>
          </w:tcPr>
          <w:p w14:paraId="2BD130EE" w14:textId="79E2567F" w:rsidR="00FA7E04" w:rsidRPr="00B02DF5" w:rsidRDefault="009C6B5E" w:rsidP="009C6B5E">
            <w:pPr>
              <w:spacing w:before="60" w:after="60"/>
              <w:contextualSpacing/>
              <w:jc w:val="center"/>
              <w:rPr>
                <w:rFonts w:ascii="Arial" w:hAnsi="Arial" w:cs="Arial"/>
                <w:sz w:val="18"/>
                <w:szCs w:val="18"/>
                <w:lang w:val="en-GB"/>
              </w:rPr>
            </w:pPr>
            <w:r>
              <w:rPr>
                <w:rFonts w:ascii="Arial" w:hAnsi="Arial" w:cs="Arial"/>
                <w:sz w:val="18"/>
                <w:szCs w:val="18"/>
                <w:lang w:val="en-GB"/>
              </w:rPr>
              <w:t>$117,606</w:t>
            </w:r>
          </w:p>
        </w:tc>
      </w:tr>
      <w:tr w:rsidR="00884277" w:rsidRPr="00884277" w14:paraId="1AC82310" w14:textId="2D54A4CB"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E1C77" w14:textId="77777777" w:rsidR="00FA7E04" w:rsidRPr="00884277" w:rsidRDefault="00FA7E04" w:rsidP="00FA7E04">
            <w:pPr>
              <w:spacing w:before="120" w:after="120"/>
              <w:contextualSpacing/>
              <w:rPr>
                <w:rFonts w:ascii="Arial" w:hAnsi="Arial" w:cs="Arial"/>
                <w:b/>
                <w:bCs/>
                <w:sz w:val="20"/>
                <w:szCs w:val="20"/>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436BD8D" w14:textId="351EF20B" w:rsidR="00FA7E04" w:rsidRPr="009C6B5E" w:rsidRDefault="00884277" w:rsidP="00FA7E04">
            <w:pPr>
              <w:spacing w:before="120" w:after="120"/>
              <w:contextualSpacing/>
              <w:jc w:val="both"/>
              <w:rPr>
                <w:rFonts w:ascii="Arial" w:hAnsi="Arial" w:cs="Arial"/>
                <w:b/>
                <w:bCs/>
                <w:sz w:val="18"/>
                <w:szCs w:val="18"/>
                <w:lang w:val="en-GB"/>
              </w:rPr>
            </w:pPr>
            <w:r w:rsidRPr="009C6B5E">
              <w:rPr>
                <w:rFonts w:ascii="Arial" w:hAnsi="Arial" w:cs="Arial"/>
                <w:b/>
                <w:bCs/>
                <w:sz w:val="18"/>
                <w:szCs w:val="18"/>
                <w:lang w:val="en-GB"/>
              </w:rPr>
              <w:t>TOTAL</w:t>
            </w:r>
          </w:p>
        </w:tc>
        <w:tc>
          <w:tcPr>
            <w:tcW w:w="603" w:type="pct"/>
            <w:tcBorders>
              <w:top w:val="single" w:sz="4" w:space="0" w:color="auto"/>
              <w:left w:val="single" w:sz="4" w:space="0" w:color="auto"/>
              <w:bottom w:val="single" w:sz="4" w:space="0" w:color="auto"/>
              <w:right w:val="single" w:sz="4" w:space="0" w:color="auto"/>
            </w:tcBorders>
            <w:vAlign w:val="center"/>
          </w:tcPr>
          <w:p w14:paraId="7A2E11F8" w14:textId="5E7A2B3A" w:rsidR="00FA7E04" w:rsidRPr="009C6B5E" w:rsidRDefault="00FA7E04" w:rsidP="00FA7E04">
            <w:pPr>
              <w:spacing w:before="60" w:after="60"/>
              <w:contextualSpacing/>
              <w:jc w:val="center"/>
              <w:rPr>
                <w:rFonts w:ascii="Arial" w:hAnsi="Arial" w:cs="Arial"/>
                <w:b/>
                <w:bCs/>
                <w:sz w:val="18"/>
                <w:szCs w:val="18"/>
                <w:lang w:val="en-GB"/>
              </w:rPr>
            </w:pPr>
            <w:r w:rsidRPr="009C6B5E">
              <w:rPr>
                <w:rFonts w:ascii="Arial" w:hAnsi="Arial" w:cs="Arial"/>
                <w:b/>
                <w:bCs/>
                <w:sz w:val="18"/>
                <w:szCs w:val="18"/>
                <w:lang w:val="en-GB"/>
              </w:rPr>
              <w:t>100.00%</w:t>
            </w:r>
          </w:p>
        </w:tc>
        <w:tc>
          <w:tcPr>
            <w:tcW w:w="656" w:type="pct"/>
            <w:gridSpan w:val="2"/>
            <w:tcBorders>
              <w:top w:val="dashed" w:sz="4" w:space="0" w:color="auto"/>
              <w:left w:val="single" w:sz="4" w:space="0" w:color="auto"/>
              <w:bottom w:val="single" w:sz="4" w:space="0" w:color="auto"/>
              <w:right w:val="dashed" w:sz="4" w:space="0" w:color="auto"/>
            </w:tcBorders>
            <w:vAlign w:val="center"/>
          </w:tcPr>
          <w:p w14:paraId="38B1DF16" w14:textId="676FA6FE" w:rsidR="00FA7E04" w:rsidRPr="009C6B5E" w:rsidRDefault="00FA7E04" w:rsidP="00FA7E04">
            <w:pPr>
              <w:spacing w:before="60" w:after="60"/>
              <w:contextualSpacing/>
              <w:jc w:val="center"/>
              <w:rPr>
                <w:rFonts w:ascii="Arial" w:hAnsi="Arial" w:cs="Arial"/>
                <w:b/>
                <w:bCs/>
                <w:sz w:val="18"/>
                <w:szCs w:val="18"/>
                <w:lang w:val="en-GB"/>
              </w:rPr>
            </w:pPr>
            <w:r w:rsidRPr="009C6B5E">
              <w:rPr>
                <w:rFonts w:ascii="Arial" w:hAnsi="Arial" w:cs="Arial"/>
                <w:b/>
                <w:bCs/>
                <w:sz w:val="18"/>
                <w:szCs w:val="18"/>
                <w:lang w:val="en-GB"/>
              </w:rPr>
              <w:t>100.00%</w:t>
            </w:r>
          </w:p>
        </w:tc>
        <w:tc>
          <w:tcPr>
            <w:tcW w:w="595" w:type="pct"/>
            <w:gridSpan w:val="2"/>
            <w:tcBorders>
              <w:top w:val="dashed" w:sz="4" w:space="0" w:color="auto"/>
              <w:left w:val="dashed" w:sz="4" w:space="0" w:color="auto"/>
              <w:bottom w:val="single" w:sz="4" w:space="0" w:color="auto"/>
              <w:right w:val="dashed" w:sz="4" w:space="0" w:color="auto"/>
            </w:tcBorders>
          </w:tcPr>
          <w:p w14:paraId="70849A9A" w14:textId="2A0B75D6" w:rsidR="00FA7E04" w:rsidRPr="009C6B5E" w:rsidRDefault="009C6B5E" w:rsidP="00FA7E04">
            <w:pPr>
              <w:spacing w:before="60" w:after="60"/>
              <w:contextualSpacing/>
              <w:jc w:val="center"/>
              <w:rPr>
                <w:rFonts w:ascii="Arial" w:hAnsi="Arial" w:cs="Arial"/>
                <w:b/>
                <w:bCs/>
                <w:sz w:val="18"/>
                <w:szCs w:val="18"/>
                <w:lang w:val="en-GB"/>
              </w:rPr>
            </w:pPr>
            <w:r w:rsidRPr="009C6B5E">
              <w:rPr>
                <w:rFonts w:ascii="Arial" w:hAnsi="Arial" w:cs="Arial"/>
                <w:b/>
                <w:bCs/>
                <w:sz w:val="18"/>
                <w:szCs w:val="18"/>
                <w:lang w:val="en-GB"/>
              </w:rPr>
              <w:t>$7,840,379</w:t>
            </w:r>
          </w:p>
        </w:tc>
        <w:tc>
          <w:tcPr>
            <w:tcW w:w="596" w:type="pct"/>
            <w:tcBorders>
              <w:top w:val="dashed" w:sz="4" w:space="0" w:color="auto"/>
              <w:left w:val="dashed" w:sz="4" w:space="0" w:color="auto"/>
              <w:bottom w:val="single" w:sz="4" w:space="0" w:color="auto"/>
              <w:right w:val="dashed" w:sz="4" w:space="0" w:color="auto"/>
            </w:tcBorders>
          </w:tcPr>
          <w:p w14:paraId="5C6AF132" w14:textId="659DA05B" w:rsidR="00FA7E04" w:rsidRPr="009C6B5E" w:rsidRDefault="009C6B5E" w:rsidP="00FA7E04">
            <w:pPr>
              <w:spacing w:before="60" w:after="60"/>
              <w:contextualSpacing/>
              <w:jc w:val="center"/>
              <w:rPr>
                <w:rFonts w:ascii="Arial" w:hAnsi="Arial" w:cs="Arial"/>
                <w:b/>
                <w:bCs/>
                <w:sz w:val="18"/>
                <w:szCs w:val="18"/>
                <w:lang w:val="en-GB"/>
              </w:rPr>
            </w:pPr>
            <w:r w:rsidRPr="009C6B5E">
              <w:rPr>
                <w:rFonts w:ascii="Arial" w:hAnsi="Arial" w:cs="Arial"/>
                <w:b/>
                <w:bCs/>
                <w:sz w:val="18"/>
                <w:szCs w:val="18"/>
                <w:lang w:val="en-GB"/>
              </w:rPr>
              <w:t>$1,960,095</w:t>
            </w:r>
          </w:p>
        </w:tc>
      </w:tr>
      <w:tr w:rsidR="00FA7E04" w:rsidRPr="002F61AE" w14:paraId="61975025" w14:textId="53CAE1E2"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29487B50" w14:textId="2A2BECAC" w:rsidR="00FA7E04" w:rsidRPr="00BB2DEA" w:rsidRDefault="00FA7E04" w:rsidP="00FA7E04">
            <w:pPr>
              <w:spacing w:before="120" w:after="120"/>
              <w:contextualSpacing/>
              <w:rPr>
                <w:rFonts w:ascii="Arial" w:hAnsi="Arial" w:cs="Arial"/>
                <w:sz w:val="18"/>
                <w:szCs w:val="18"/>
                <w:lang w:val="en-GB"/>
              </w:rPr>
            </w:pPr>
            <w:r w:rsidRPr="00BB2DEA">
              <w:rPr>
                <w:rFonts w:ascii="Arial" w:hAnsi="Arial" w:cs="Arial"/>
                <w:sz w:val="18"/>
                <w:szCs w:val="18"/>
                <w:lang w:val="en-GB"/>
              </w:rPr>
              <w:t>Funds that have not been committed at the end of the period of this Plan are carried over to the next financial period and shall be allocated in accordance with the Plan approved by the General Assembly at that time.</w:t>
            </w:r>
          </w:p>
        </w:tc>
      </w:tr>
      <w:tr w:rsidR="00FA7E04" w:rsidRPr="002F61AE" w14:paraId="2FA8CDFB" w14:textId="5CAF683A"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503E73CD" w14:textId="3DA3510C" w:rsidR="00FA7E04" w:rsidRPr="00BB2DEA" w:rsidRDefault="00FA7E04" w:rsidP="00FA7E04">
            <w:pPr>
              <w:spacing w:before="120" w:after="120"/>
              <w:contextualSpacing/>
              <w:rPr>
                <w:rFonts w:ascii="Arial" w:hAnsi="Arial" w:cs="Arial"/>
                <w:sz w:val="18"/>
                <w:szCs w:val="18"/>
                <w:lang w:val="en-GB"/>
              </w:rPr>
            </w:pPr>
            <w:r w:rsidRPr="00D74CFC">
              <w:rPr>
                <w:rFonts w:ascii="Arial" w:hAnsi="Arial" w:cs="Arial"/>
                <w:sz w:val="18"/>
                <w:szCs w:val="18"/>
                <w:lang w:val="en-GB"/>
              </w:rPr>
              <w:t>For the period 1 January 202</w:t>
            </w:r>
            <w:r>
              <w:rPr>
                <w:rFonts w:ascii="Arial" w:hAnsi="Arial" w:cs="Arial"/>
                <w:sz w:val="18"/>
                <w:szCs w:val="18"/>
                <w:lang w:val="en-GB"/>
              </w:rPr>
              <w:t>2</w:t>
            </w:r>
            <w:r w:rsidRPr="00D74CFC">
              <w:rPr>
                <w:rFonts w:ascii="Arial" w:hAnsi="Arial" w:cs="Arial"/>
                <w:sz w:val="18"/>
                <w:szCs w:val="18"/>
                <w:lang w:val="en-GB"/>
              </w:rPr>
              <w:t xml:space="preserve"> to 30 June 202</w:t>
            </w:r>
            <w:r>
              <w:rPr>
                <w:rFonts w:ascii="Arial" w:hAnsi="Arial" w:cs="Arial"/>
                <w:sz w:val="18"/>
                <w:szCs w:val="18"/>
                <w:lang w:val="en-GB"/>
              </w:rPr>
              <w:t>2</w:t>
            </w:r>
            <w:r w:rsidRPr="00D74CFC">
              <w:rPr>
                <w:rFonts w:ascii="Arial" w:hAnsi="Arial" w:cs="Arial"/>
                <w:sz w:val="18"/>
                <w:szCs w:val="18"/>
                <w:lang w:val="en-GB"/>
              </w:rPr>
              <w:t>, one-fourth of the amount established for the twenty-four months of the financial period 20</w:t>
            </w:r>
            <w:r>
              <w:rPr>
                <w:rFonts w:ascii="Arial" w:hAnsi="Arial" w:cs="Arial"/>
                <w:sz w:val="18"/>
                <w:szCs w:val="18"/>
                <w:lang w:val="en-GB"/>
              </w:rPr>
              <w:t>20</w:t>
            </w:r>
            <w:r w:rsidR="00677F6C">
              <w:rPr>
                <w:rFonts w:ascii="Arial" w:hAnsi="Arial" w:cs="Arial"/>
                <w:sz w:val="18"/>
                <w:szCs w:val="18"/>
                <w:lang w:val="en-GB"/>
              </w:rPr>
              <w:t>–</w:t>
            </w:r>
            <w:r w:rsidRPr="00D74CFC">
              <w:rPr>
                <w:rFonts w:ascii="Arial" w:hAnsi="Arial" w:cs="Arial"/>
                <w:sz w:val="18"/>
                <w:szCs w:val="18"/>
                <w:lang w:val="en-GB"/>
              </w:rPr>
              <w:t>20</w:t>
            </w:r>
            <w:r>
              <w:rPr>
                <w:rFonts w:ascii="Arial" w:hAnsi="Arial" w:cs="Arial"/>
                <w:sz w:val="18"/>
                <w:szCs w:val="18"/>
                <w:lang w:val="en-GB"/>
              </w:rPr>
              <w:t>21</w:t>
            </w:r>
            <w:r w:rsidRPr="00D74CFC">
              <w:rPr>
                <w:rFonts w:ascii="Arial" w:hAnsi="Arial" w:cs="Arial"/>
                <w:sz w:val="18"/>
                <w:szCs w:val="18"/>
                <w:lang w:val="en-GB"/>
              </w:rPr>
              <w:t xml:space="preserve"> shall be allocated on a provisional basis, except for the Reserve Fund, whose amount was set by the Committee at US$1 million (Decision 10.COM 8).</w:t>
            </w:r>
          </w:p>
        </w:tc>
      </w:tr>
    </w:tbl>
    <w:p w14:paraId="04EA902F" w14:textId="2FD55BFB" w:rsidR="007342CF" w:rsidRDefault="007342CF" w:rsidP="0060226C">
      <w:pPr>
        <w:rPr>
          <w:lang w:val="en-GB"/>
        </w:rPr>
      </w:pPr>
    </w:p>
    <w:p w14:paraId="2736801B" w14:textId="77777777" w:rsidR="007342CF" w:rsidRDefault="007342CF">
      <w:pPr>
        <w:rPr>
          <w:lang w:val="en-GB"/>
        </w:rPr>
      </w:pPr>
      <w:r>
        <w:rPr>
          <w:lang w:val="en-GB"/>
        </w:rPr>
        <w:br w:type="page"/>
      </w:r>
    </w:p>
    <w:p w14:paraId="49E06180" w14:textId="77777777" w:rsidR="0012382D" w:rsidRPr="002E26EC" w:rsidRDefault="0012382D" w:rsidP="0012382D">
      <w:pPr>
        <w:pStyle w:val="Sansinterligne"/>
        <w:jc w:val="center"/>
        <w:rPr>
          <w:rFonts w:ascii="Arial" w:hAnsi="Arial" w:cs="Arial"/>
          <w:b/>
          <w:lang w:val="en-US"/>
        </w:rPr>
      </w:pPr>
      <w:r w:rsidRPr="002E26EC">
        <w:rPr>
          <w:rFonts w:ascii="Arial" w:hAnsi="Arial" w:cs="Arial"/>
          <w:b/>
          <w:lang w:val="en-US"/>
        </w:rPr>
        <w:t>Annex II</w:t>
      </w:r>
    </w:p>
    <w:p w14:paraId="5189DAB8" w14:textId="77777777" w:rsidR="007342CF" w:rsidRPr="002E26EC" w:rsidRDefault="007342CF" w:rsidP="007342CF">
      <w:pPr>
        <w:pStyle w:val="Sansinterligne"/>
        <w:jc w:val="center"/>
        <w:rPr>
          <w:rFonts w:ascii="Arial" w:hAnsi="Arial" w:cs="Arial"/>
          <w:b/>
          <w:lang w:val="en-US"/>
        </w:rPr>
      </w:pPr>
    </w:p>
    <w:p w14:paraId="3098B053" w14:textId="4BBE76FC" w:rsidR="007342CF" w:rsidRPr="002E26EC" w:rsidRDefault="007342CF" w:rsidP="007342CF">
      <w:pPr>
        <w:pStyle w:val="Sansinterligne"/>
        <w:jc w:val="center"/>
        <w:rPr>
          <w:rFonts w:ascii="Arial" w:hAnsi="Arial" w:cs="Arial"/>
          <w:b/>
          <w:lang w:val="en-US"/>
        </w:rPr>
      </w:pPr>
      <w:r w:rsidRPr="002E26EC">
        <w:rPr>
          <w:rFonts w:ascii="Arial" w:hAnsi="Arial" w:cs="Arial"/>
          <w:b/>
          <w:lang w:val="en-US"/>
        </w:rPr>
        <w:t xml:space="preserve">Proposed </w:t>
      </w:r>
      <w:r w:rsidR="00825A9A" w:rsidRPr="002E26EC">
        <w:rPr>
          <w:rFonts w:ascii="Arial" w:hAnsi="Arial" w:cs="Arial"/>
          <w:b/>
          <w:lang w:val="en-US"/>
        </w:rPr>
        <w:t xml:space="preserve">revised </w:t>
      </w:r>
      <w:r w:rsidRPr="002E26EC">
        <w:rPr>
          <w:rFonts w:ascii="Arial" w:hAnsi="Arial" w:cs="Arial"/>
          <w:b/>
          <w:lang w:val="en-US"/>
        </w:rPr>
        <w:t>Financial Regulations of the Special Account for</w:t>
      </w:r>
    </w:p>
    <w:p w14:paraId="6CB134D2" w14:textId="55B4385D" w:rsidR="007342CF" w:rsidRPr="002E26EC" w:rsidRDefault="007342CF" w:rsidP="00825A9A">
      <w:pPr>
        <w:pStyle w:val="Sansinterligne"/>
        <w:spacing w:after="480"/>
        <w:jc w:val="center"/>
        <w:rPr>
          <w:rFonts w:ascii="Arial" w:hAnsi="Arial" w:cs="Arial"/>
          <w:b/>
          <w:lang w:val="en-US"/>
        </w:rPr>
      </w:pPr>
      <w:r w:rsidRPr="002E26EC">
        <w:rPr>
          <w:rFonts w:ascii="Arial" w:hAnsi="Arial" w:cs="Arial"/>
          <w:b/>
          <w:lang w:val="en-US"/>
        </w:rPr>
        <w:t xml:space="preserve"> the Fund for the Safeguarding of the Intangible Cultural Heritage in </w:t>
      </w:r>
      <w:r w:rsidR="00734100" w:rsidRPr="002E26EC">
        <w:rPr>
          <w:rFonts w:ascii="Arial" w:hAnsi="Arial" w:cs="Arial"/>
          <w:b/>
          <w:lang w:val="en-US"/>
        </w:rPr>
        <w:t>line with the Model Financial Regulations for Special Account related to Conventions endorsed by the UNESCO Executive Board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7342CF" w:rsidRPr="002F61AE" w14:paraId="633B596D" w14:textId="77777777" w:rsidTr="00825A9A">
        <w:tc>
          <w:tcPr>
            <w:tcW w:w="1413" w:type="dxa"/>
          </w:tcPr>
          <w:p w14:paraId="1278E6FE" w14:textId="573B4BE3" w:rsidR="007342CF" w:rsidRPr="002E26EC" w:rsidRDefault="007342CF" w:rsidP="00825A9A">
            <w:pPr>
              <w:pStyle w:val="Sansinterligne"/>
              <w:spacing w:before="240" w:after="240"/>
              <w:jc w:val="right"/>
              <w:rPr>
                <w:rFonts w:asciiTheme="minorBidi" w:hAnsiTheme="minorBidi"/>
                <w:b/>
                <w:bCs/>
                <w:lang w:val="en-US"/>
              </w:rPr>
            </w:pPr>
            <w:r w:rsidRPr="002E26EC">
              <w:rPr>
                <w:rFonts w:asciiTheme="minorBidi" w:hAnsiTheme="minorBidi"/>
                <w:b/>
                <w:bCs/>
                <w:lang w:val="en-GB"/>
              </w:rPr>
              <w:t>Article 1</w:t>
            </w:r>
          </w:p>
        </w:tc>
        <w:tc>
          <w:tcPr>
            <w:tcW w:w="8215" w:type="dxa"/>
          </w:tcPr>
          <w:p w14:paraId="4342581E" w14:textId="18DB1DD5" w:rsidR="007342CF" w:rsidRPr="002E26EC" w:rsidRDefault="007342CF" w:rsidP="00825A9A">
            <w:pPr>
              <w:pStyle w:val="Sansinterligne"/>
              <w:spacing w:before="240" w:after="240"/>
              <w:rPr>
                <w:rFonts w:asciiTheme="minorBidi" w:hAnsiTheme="minorBidi"/>
                <w:b/>
                <w:bCs/>
                <w:lang w:val="en-US"/>
              </w:rPr>
            </w:pPr>
            <w:r w:rsidRPr="002E26EC">
              <w:rPr>
                <w:rFonts w:asciiTheme="minorBidi" w:hAnsiTheme="minorBidi"/>
                <w:b/>
                <w:bCs/>
                <w:lang w:val="en-US"/>
              </w:rPr>
              <w:t>Creation of a Special Account</w:t>
            </w:r>
          </w:p>
        </w:tc>
      </w:tr>
      <w:tr w:rsidR="007342CF" w:rsidRPr="002F61AE" w14:paraId="03C4CEE4" w14:textId="77777777" w:rsidTr="00825A9A">
        <w:tc>
          <w:tcPr>
            <w:tcW w:w="1413" w:type="dxa"/>
          </w:tcPr>
          <w:p w14:paraId="76E2A554" w14:textId="124DC706" w:rsidR="007342CF" w:rsidRPr="002E26EC" w:rsidRDefault="007342CF" w:rsidP="00825A9A">
            <w:pPr>
              <w:pStyle w:val="Sansinterligne"/>
              <w:spacing w:after="240"/>
              <w:jc w:val="right"/>
              <w:rPr>
                <w:rFonts w:asciiTheme="minorBidi" w:hAnsiTheme="minorBidi"/>
                <w:bCs/>
                <w:lang w:val="en-US"/>
              </w:rPr>
            </w:pPr>
            <w:r w:rsidRPr="002E26EC">
              <w:rPr>
                <w:rFonts w:asciiTheme="minorBidi" w:hAnsiTheme="minorBidi"/>
                <w:bCs/>
                <w:lang w:val="en-US"/>
              </w:rPr>
              <w:t>1.1</w:t>
            </w:r>
          </w:p>
        </w:tc>
        <w:tc>
          <w:tcPr>
            <w:tcW w:w="8215" w:type="dxa"/>
          </w:tcPr>
          <w:p w14:paraId="6FED7595" w14:textId="3C59E163"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lang w:val="en-US"/>
              </w:rPr>
              <w:t xml:space="preserve">Article 25 of the Convention for the Safeguarding of the Intangible Cultural Heritage (hereinafter referred to as the ‘Convention’) establishes a Fund called the Fund for the Safeguarding of the Intangible Cultural Heritage (hereinafter referred to as the ‘Fund’). </w:t>
            </w:r>
          </w:p>
        </w:tc>
      </w:tr>
      <w:tr w:rsidR="007342CF" w:rsidRPr="002F61AE" w14:paraId="536246B6" w14:textId="77777777" w:rsidTr="00825A9A">
        <w:tc>
          <w:tcPr>
            <w:tcW w:w="1413" w:type="dxa"/>
          </w:tcPr>
          <w:p w14:paraId="3041BAC0" w14:textId="47FA9A77" w:rsidR="007342CF" w:rsidRPr="002E26EC" w:rsidRDefault="007342CF" w:rsidP="00825A9A">
            <w:pPr>
              <w:pStyle w:val="Sansinterligne"/>
              <w:spacing w:after="240"/>
              <w:jc w:val="right"/>
              <w:rPr>
                <w:rFonts w:asciiTheme="minorBidi" w:hAnsiTheme="minorBidi"/>
                <w:b/>
                <w:lang w:val="en-US"/>
              </w:rPr>
            </w:pPr>
            <w:r w:rsidRPr="002E26EC">
              <w:rPr>
                <w:rFonts w:asciiTheme="minorBidi" w:hAnsiTheme="minorBidi"/>
                <w:spacing w:val="-3"/>
                <w:lang w:val="en-US" w:eastAsia="en-GB"/>
              </w:rPr>
              <w:t>1.2</w:t>
            </w:r>
          </w:p>
        </w:tc>
        <w:tc>
          <w:tcPr>
            <w:tcW w:w="8215" w:type="dxa"/>
          </w:tcPr>
          <w:p w14:paraId="64A61AE2" w14:textId="517A08F5"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spacing w:val="-3"/>
                <w:lang w:val="en-US" w:eastAsia="en-GB"/>
              </w:rPr>
              <w:t xml:space="preserve">In accordance with Article 25 of the Convention and Article 6, paragraphs 5 and 6, of the Financial Regulations of UNESCO, there is hereby created a Special Account for </w:t>
            </w:r>
            <w:r w:rsidRPr="002E26EC">
              <w:rPr>
                <w:rFonts w:asciiTheme="minorBidi" w:hAnsiTheme="minorBidi"/>
                <w:lang w:val="en-US"/>
              </w:rPr>
              <w:t>the Fund for the Safeguarding of the Intangible Cultural Heritage (hereinafter referred to as the ‘Special Account’).</w:t>
            </w:r>
          </w:p>
        </w:tc>
      </w:tr>
      <w:tr w:rsidR="007342CF" w:rsidRPr="002F61AE" w14:paraId="77F7A33E" w14:textId="77777777" w:rsidTr="00825A9A">
        <w:tc>
          <w:tcPr>
            <w:tcW w:w="1413" w:type="dxa"/>
          </w:tcPr>
          <w:p w14:paraId="7C3FA28F" w14:textId="3733596E" w:rsidR="007342CF" w:rsidRPr="002E26EC" w:rsidRDefault="007342CF" w:rsidP="00825A9A">
            <w:pPr>
              <w:pStyle w:val="Sansinterligne"/>
              <w:spacing w:after="240"/>
              <w:jc w:val="right"/>
              <w:rPr>
                <w:rFonts w:asciiTheme="minorBidi" w:hAnsiTheme="minorBidi"/>
                <w:b/>
                <w:lang w:val="en-US"/>
              </w:rPr>
            </w:pPr>
            <w:r w:rsidRPr="002E26EC">
              <w:rPr>
                <w:rFonts w:asciiTheme="minorBidi" w:hAnsiTheme="minorBidi"/>
                <w:spacing w:val="-3"/>
                <w:lang w:val="en-US" w:eastAsia="en-GB"/>
              </w:rPr>
              <w:t>1.3</w:t>
            </w:r>
          </w:p>
        </w:tc>
        <w:tc>
          <w:tcPr>
            <w:tcW w:w="8215" w:type="dxa"/>
          </w:tcPr>
          <w:p w14:paraId="304C3E1D" w14:textId="4AF35FC1"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spacing w:val="-3"/>
                <w:lang w:val="en-US" w:eastAsia="en-GB"/>
              </w:rPr>
              <w:t>The following regulations shall govern the operation of the Special Account.</w:t>
            </w:r>
          </w:p>
        </w:tc>
      </w:tr>
      <w:tr w:rsidR="007342CF" w:rsidRPr="002E26EC" w14:paraId="0B1E7C60" w14:textId="77777777" w:rsidTr="00825A9A">
        <w:tc>
          <w:tcPr>
            <w:tcW w:w="1413" w:type="dxa"/>
          </w:tcPr>
          <w:p w14:paraId="723E7104" w14:textId="1761F071" w:rsidR="007342CF" w:rsidRPr="002E26EC" w:rsidRDefault="007342CF" w:rsidP="00825A9A">
            <w:pPr>
              <w:pStyle w:val="Sansinterligne"/>
              <w:spacing w:before="240" w:after="240"/>
              <w:jc w:val="right"/>
              <w:rPr>
                <w:rFonts w:asciiTheme="minorBidi" w:hAnsiTheme="minorBidi"/>
                <w:b/>
                <w:lang w:val="en-US"/>
              </w:rPr>
            </w:pPr>
            <w:r w:rsidRPr="002E26EC">
              <w:rPr>
                <w:rFonts w:asciiTheme="minorBidi" w:hAnsiTheme="minorBidi"/>
                <w:b/>
                <w:bCs/>
                <w:spacing w:val="-3"/>
                <w:lang w:eastAsia="en-GB"/>
              </w:rPr>
              <w:t>Article 2</w:t>
            </w:r>
          </w:p>
        </w:tc>
        <w:tc>
          <w:tcPr>
            <w:tcW w:w="8215" w:type="dxa"/>
          </w:tcPr>
          <w:p w14:paraId="60828B15" w14:textId="626BE47E" w:rsidR="007342CF" w:rsidRPr="002E26EC" w:rsidRDefault="007342CF" w:rsidP="00825A9A">
            <w:pPr>
              <w:pStyle w:val="Sansinterligne"/>
              <w:spacing w:before="240"/>
              <w:rPr>
                <w:rFonts w:asciiTheme="minorBidi" w:hAnsiTheme="minorBidi"/>
                <w:b/>
                <w:lang w:val="en-US"/>
              </w:rPr>
            </w:pPr>
            <w:r w:rsidRPr="002E26EC">
              <w:rPr>
                <w:rFonts w:asciiTheme="minorBidi" w:hAnsiTheme="minorBidi"/>
                <w:b/>
                <w:bCs/>
                <w:lang w:val="en-GB"/>
              </w:rPr>
              <w:t>Financial</w:t>
            </w:r>
            <w:r w:rsidRPr="002E26EC">
              <w:rPr>
                <w:rFonts w:asciiTheme="minorBidi" w:hAnsiTheme="minorBidi"/>
                <w:b/>
                <w:lang w:val="en-US"/>
              </w:rPr>
              <w:t xml:space="preserve"> period</w:t>
            </w:r>
          </w:p>
        </w:tc>
      </w:tr>
      <w:tr w:rsidR="007342CF" w:rsidRPr="002F61AE" w14:paraId="6122AE44" w14:textId="77777777" w:rsidTr="00825A9A">
        <w:tc>
          <w:tcPr>
            <w:tcW w:w="1413" w:type="dxa"/>
          </w:tcPr>
          <w:p w14:paraId="2B9616E3" w14:textId="16AFC394"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spacing w:val="-3"/>
                <w:lang w:val="en-US" w:eastAsia="en-GB"/>
              </w:rPr>
              <w:t>2.1</w:t>
            </w:r>
          </w:p>
        </w:tc>
        <w:tc>
          <w:tcPr>
            <w:tcW w:w="8215" w:type="dxa"/>
          </w:tcPr>
          <w:p w14:paraId="37F8DC28" w14:textId="58DC214F"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spacing w:val="-3"/>
                <w:lang w:val="en-US" w:eastAsia="en-GB"/>
              </w:rPr>
              <w:t>The financial period for budget estimates shall be two consecutive calendar years beginning with an even-numbered year.</w:t>
            </w:r>
          </w:p>
        </w:tc>
      </w:tr>
      <w:tr w:rsidR="007342CF" w:rsidRPr="002F61AE" w14:paraId="66A1DDA3" w14:textId="77777777" w:rsidTr="00825A9A">
        <w:tc>
          <w:tcPr>
            <w:tcW w:w="1413" w:type="dxa"/>
          </w:tcPr>
          <w:p w14:paraId="0A844857" w14:textId="34A32E3F"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spacing w:val="-3"/>
                <w:lang w:val="en-US" w:eastAsia="en-GB"/>
              </w:rPr>
              <w:t>2.2</w:t>
            </w:r>
          </w:p>
        </w:tc>
        <w:tc>
          <w:tcPr>
            <w:tcW w:w="8215" w:type="dxa"/>
          </w:tcPr>
          <w:p w14:paraId="0FD7D8B9" w14:textId="73320285" w:rsidR="007342CF" w:rsidRPr="002E26EC" w:rsidRDefault="007342CF" w:rsidP="00825A9A">
            <w:pPr>
              <w:pStyle w:val="Sansinterligne"/>
              <w:spacing w:after="240"/>
              <w:rPr>
                <w:rFonts w:asciiTheme="minorBidi" w:hAnsiTheme="minorBidi"/>
                <w:lang w:val="en-US"/>
              </w:rPr>
            </w:pPr>
            <w:r w:rsidRPr="002E26EC">
              <w:rPr>
                <w:rFonts w:asciiTheme="minorBidi" w:hAnsiTheme="minorBidi"/>
                <w:spacing w:val="-3"/>
                <w:lang w:val="en-US" w:eastAsia="en-GB"/>
              </w:rPr>
              <w:t>The financial period for accounting shall be an annual calendar year.</w:t>
            </w:r>
          </w:p>
        </w:tc>
      </w:tr>
      <w:tr w:rsidR="007342CF" w:rsidRPr="002E26EC" w14:paraId="4C36F7F5" w14:textId="77777777" w:rsidTr="00825A9A">
        <w:tc>
          <w:tcPr>
            <w:tcW w:w="1413" w:type="dxa"/>
          </w:tcPr>
          <w:p w14:paraId="6AC0AB67" w14:textId="6097AE23" w:rsidR="007342CF" w:rsidRPr="002E26EC" w:rsidRDefault="007342CF" w:rsidP="00825A9A">
            <w:pPr>
              <w:pStyle w:val="Sansinterligne"/>
              <w:spacing w:before="240" w:after="240"/>
              <w:jc w:val="right"/>
              <w:rPr>
                <w:rFonts w:asciiTheme="minorBidi" w:hAnsiTheme="minorBidi"/>
                <w:b/>
                <w:lang w:val="en-US"/>
              </w:rPr>
            </w:pPr>
            <w:r w:rsidRPr="002E26EC">
              <w:rPr>
                <w:rFonts w:asciiTheme="minorBidi" w:hAnsiTheme="minorBidi"/>
                <w:b/>
                <w:bCs/>
                <w:spacing w:val="-3"/>
                <w:lang w:eastAsia="en-GB"/>
              </w:rPr>
              <w:t>Article 3</w:t>
            </w:r>
          </w:p>
        </w:tc>
        <w:tc>
          <w:tcPr>
            <w:tcW w:w="8215" w:type="dxa"/>
          </w:tcPr>
          <w:p w14:paraId="7C7C6B8D" w14:textId="1E0F9A4E" w:rsidR="007342CF" w:rsidRPr="002E26EC" w:rsidRDefault="007342CF" w:rsidP="00825A9A">
            <w:pPr>
              <w:pStyle w:val="Sansinterligne"/>
              <w:spacing w:before="240" w:after="240"/>
              <w:rPr>
                <w:rFonts w:asciiTheme="minorBidi" w:hAnsiTheme="minorBidi"/>
                <w:b/>
                <w:lang w:val="en-US"/>
              </w:rPr>
            </w:pPr>
            <w:r w:rsidRPr="002E26EC">
              <w:rPr>
                <w:rFonts w:asciiTheme="minorBidi" w:hAnsiTheme="minorBidi"/>
                <w:b/>
                <w:lang w:val="en-US"/>
              </w:rPr>
              <w:t>Purpose</w:t>
            </w:r>
          </w:p>
        </w:tc>
      </w:tr>
      <w:tr w:rsidR="007342CF" w:rsidRPr="002F61AE" w14:paraId="756E543F" w14:textId="77777777" w:rsidTr="00825A9A">
        <w:tc>
          <w:tcPr>
            <w:tcW w:w="1413" w:type="dxa"/>
          </w:tcPr>
          <w:p w14:paraId="5DBB3A5A" w14:textId="77777777" w:rsidR="007342CF" w:rsidRPr="002E26EC" w:rsidRDefault="007342CF" w:rsidP="00825A9A">
            <w:pPr>
              <w:pStyle w:val="Sansinterligne"/>
              <w:spacing w:after="240"/>
              <w:jc w:val="right"/>
              <w:rPr>
                <w:rFonts w:asciiTheme="minorBidi" w:hAnsiTheme="minorBidi"/>
                <w:b/>
                <w:lang w:val="en-US"/>
              </w:rPr>
            </w:pPr>
          </w:p>
        </w:tc>
        <w:tc>
          <w:tcPr>
            <w:tcW w:w="8215" w:type="dxa"/>
          </w:tcPr>
          <w:p w14:paraId="72BA702D" w14:textId="043EF6DF"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lang w:val="en-US"/>
              </w:rPr>
              <w:t>In accordance with Article 25 of the Convention, the purpose of this Special Account shall be to receive contributions from the sources indicated in Article 5.1 below and to make payments therefrom, to assist in the safeguarding of intangible cultural heritage in accordance with the terms of the Convention and the present Regulations.</w:t>
            </w:r>
          </w:p>
        </w:tc>
      </w:tr>
      <w:tr w:rsidR="007342CF" w:rsidRPr="002E26EC" w14:paraId="1C4B750E" w14:textId="77777777" w:rsidTr="00825A9A">
        <w:tc>
          <w:tcPr>
            <w:tcW w:w="1413" w:type="dxa"/>
          </w:tcPr>
          <w:p w14:paraId="24A2F64A" w14:textId="2A52C130" w:rsidR="007342CF" w:rsidRPr="002E26EC" w:rsidRDefault="007342CF" w:rsidP="00825A9A">
            <w:pPr>
              <w:pStyle w:val="Sansinterligne"/>
              <w:spacing w:before="240" w:after="240"/>
              <w:jc w:val="right"/>
              <w:rPr>
                <w:rFonts w:asciiTheme="minorBidi" w:hAnsiTheme="minorBidi"/>
                <w:b/>
                <w:bCs/>
                <w:lang w:val="en-US"/>
              </w:rPr>
            </w:pPr>
            <w:r w:rsidRPr="002E26EC">
              <w:rPr>
                <w:rFonts w:asciiTheme="minorBidi" w:hAnsiTheme="minorBidi"/>
                <w:b/>
                <w:bCs/>
                <w:spacing w:val="-3"/>
                <w:lang w:eastAsia="en-GB"/>
              </w:rPr>
              <w:t>Article 4</w:t>
            </w:r>
          </w:p>
        </w:tc>
        <w:tc>
          <w:tcPr>
            <w:tcW w:w="8215" w:type="dxa"/>
          </w:tcPr>
          <w:p w14:paraId="1ACF4309" w14:textId="43CA1F5C" w:rsidR="007342CF" w:rsidRPr="00B2338F" w:rsidRDefault="007342CF" w:rsidP="00825A9A">
            <w:pPr>
              <w:pStyle w:val="Sansinterligne"/>
              <w:spacing w:before="240" w:after="240"/>
              <w:rPr>
                <w:rFonts w:asciiTheme="minorBidi" w:hAnsiTheme="minorBidi"/>
                <w:b/>
                <w:lang w:val="en-GB"/>
              </w:rPr>
            </w:pPr>
            <w:r w:rsidRPr="00B2338F">
              <w:rPr>
                <w:rFonts w:asciiTheme="minorBidi" w:hAnsiTheme="minorBidi"/>
                <w:b/>
                <w:bCs/>
                <w:spacing w:val="-3"/>
                <w:lang w:val="en-GB" w:eastAsia="en-GB"/>
              </w:rPr>
              <w:t>Governance</w:t>
            </w:r>
          </w:p>
        </w:tc>
      </w:tr>
      <w:tr w:rsidR="007342CF" w:rsidRPr="002F61AE" w14:paraId="6DDCC52B" w14:textId="2AE23DE5" w:rsidTr="00825A9A">
        <w:tc>
          <w:tcPr>
            <w:tcW w:w="1413" w:type="dxa"/>
          </w:tcPr>
          <w:p w14:paraId="15D66A30" w14:textId="1B83B2B0"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spacing w:val="-3"/>
                <w:lang w:val="en-US" w:eastAsia="en-GB"/>
              </w:rPr>
              <w:t>4.1</w:t>
            </w:r>
          </w:p>
        </w:tc>
        <w:tc>
          <w:tcPr>
            <w:tcW w:w="8215" w:type="dxa"/>
          </w:tcPr>
          <w:p w14:paraId="5DB46D95" w14:textId="63130F80" w:rsidR="007342CF" w:rsidRPr="002E26EC" w:rsidRDefault="007342CF" w:rsidP="00825A9A">
            <w:pPr>
              <w:pStyle w:val="Sansinterligne"/>
              <w:spacing w:after="240"/>
              <w:rPr>
                <w:rFonts w:asciiTheme="minorBidi" w:hAnsiTheme="minorBidi"/>
                <w:lang w:val="en-US"/>
              </w:rPr>
            </w:pPr>
            <w:r w:rsidRPr="002E26EC">
              <w:rPr>
                <w:rFonts w:asciiTheme="minorBidi" w:hAnsiTheme="minorBidi"/>
                <w:lang w:val="en-US" w:eastAsia="en-GB"/>
              </w:rPr>
              <w:t xml:space="preserve">The General Assembly of the States Parties </w:t>
            </w:r>
            <w:r w:rsidRPr="002E26EC">
              <w:rPr>
                <w:rFonts w:asciiTheme="minorBidi" w:hAnsiTheme="minorBidi"/>
                <w:lang w:val="en-US"/>
              </w:rPr>
              <w:t xml:space="preserve">(hereinafter referred to as the </w:t>
            </w:r>
            <w:r w:rsidRPr="002E26EC">
              <w:rPr>
                <w:rFonts w:asciiTheme="minorBidi" w:hAnsiTheme="minorBidi"/>
                <w:lang w:val="en-US" w:eastAsia="en-GB"/>
              </w:rPr>
              <w:t>‘General Assembly’) has authority over the appropriation of the resources under this Special Account.</w:t>
            </w:r>
          </w:p>
        </w:tc>
      </w:tr>
      <w:tr w:rsidR="00C144E3" w:rsidRPr="002F61AE" w14:paraId="79940DA3" w14:textId="77777777" w:rsidTr="00825A9A">
        <w:tc>
          <w:tcPr>
            <w:tcW w:w="1413" w:type="dxa"/>
          </w:tcPr>
          <w:p w14:paraId="4E4B0BF7" w14:textId="70019E65" w:rsidR="00C144E3" w:rsidRPr="002E26EC" w:rsidRDefault="00C144E3" w:rsidP="00825A9A">
            <w:pPr>
              <w:pStyle w:val="Sansinterligne"/>
              <w:spacing w:after="240"/>
              <w:jc w:val="right"/>
              <w:rPr>
                <w:rFonts w:asciiTheme="minorBidi" w:hAnsiTheme="minorBidi"/>
                <w:spacing w:val="-3"/>
                <w:lang w:val="en-US" w:eastAsia="en-GB"/>
              </w:rPr>
            </w:pPr>
            <w:r>
              <w:rPr>
                <w:rFonts w:asciiTheme="minorBidi" w:hAnsiTheme="minorBidi"/>
                <w:spacing w:val="-3"/>
                <w:lang w:val="en-US" w:eastAsia="en-GB"/>
              </w:rPr>
              <w:t>4.2</w:t>
            </w:r>
          </w:p>
        </w:tc>
        <w:tc>
          <w:tcPr>
            <w:tcW w:w="8215" w:type="dxa"/>
          </w:tcPr>
          <w:p w14:paraId="3016E676" w14:textId="357650DB" w:rsidR="00C144E3" w:rsidRPr="002E26EC" w:rsidRDefault="00C144E3" w:rsidP="00825A9A">
            <w:pPr>
              <w:pStyle w:val="Sansinterligne"/>
              <w:spacing w:after="240"/>
              <w:rPr>
                <w:rFonts w:asciiTheme="minorBidi" w:hAnsiTheme="minorBidi"/>
                <w:lang w:val="en-US" w:eastAsia="en-GB"/>
              </w:rPr>
            </w:pPr>
            <w:r w:rsidRPr="007078E5">
              <w:rPr>
                <w:rFonts w:asciiTheme="minorBidi" w:hAnsiTheme="minorBidi"/>
                <w:lang w:val="en-US" w:eastAsia="en-GB"/>
              </w:rPr>
              <w:t>In accordance with Article 7 of the Convention, the Intergovernmental Committee for the Safeguarding of the Intangible Cultural Heritage (hereinafter referred to as the ‘Committee’) shall prepare and submit to the General Assembly for approval a draft plan for the use of the resources of the Fund, in accordance with Article 25 of the Convention.</w:t>
            </w:r>
          </w:p>
        </w:tc>
      </w:tr>
      <w:tr w:rsidR="007342CF" w:rsidRPr="002F61AE" w14:paraId="4A33A17F" w14:textId="77777777" w:rsidTr="00825A9A">
        <w:tc>
          <w:tcPr>
            <w:tcW w:w="1413" w:type="dxa"/>
          </w:tcPr>
          <w:p w14:paraId="7E192A17" w14:textId="16B77AD3"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spacing w:val="-3"/>
                <w:lang w:val="en-US" w:eastAsia="en-GB"/>
              </w:rPr>
              <w:t>4.</w:t>
            </w:r>
            <w:r w:rsidR="00C144E3">
              <w:rPr>
                <w:rFonts w:asciiTheme="minorBidi" w:hAnsiTheme="minorBidi"/>
                <w:spacing w:val="-3"/>
                <w:lang w:val="en-US" w:eastAsia="en-GB"/>
              </w:rPr>
              <w:t>3</w:t>
            </w:r>
          </w:p>
        </w:tc>
        <w:tc>
          <w:tcPr>
            <w:tcW w:w="8215" w:type="dxa"/>
          </w:tcPr>
          <w:p w14:paraId="2670A340" w14:textId="63001A0B" w:rsidR="007342CF" w:rsidRPr="002E26EC" w:rsidRDefault="007342CF" w:rsidP="00825A9A">
            <w:pPr>
              <w:pStyle w:val="Sansinterligne"/>
              <w:spacing w:after="240"/>
              <w:rPr>
                <w:rFonts w:asciiTheme="minorBidi" w:hAnsiTheme="minorBidi"/>
                <w:lang w:val="en-US"/>
              </w:rPr>
            </w:pPr>
            <w:r w:rsidRPr="002E26EC">
              <w:rPr>
                <w:rFonts w:asciiTheme="minorBidi" w:hAnsiTheme="minorBidi"/>
                <w:lang w:val="en-US" w:eastAsia="en-GB"/>
              </w:rPr>
              <w:t>The Director-General shall manage and administer the funds of the Special Account in accordance with the text of the Convention</w:t>
            </w:r>
            <w:r w:rsidRPr="002E26EC">
              <w:rPr>
                <w:rFonts w:asciiTheme="minorBidi" w:hAnsiTheme="minorBidi"/>
                <w:spacing w:val="-3"/>
                <w:lang w:val="en-US" w:eastAsia="en-GB"/>
              </w:rPr>
              <w:t>,</w:t>
            </w:r>
            <w:r w:rsidRPr="002E26EC">
              <w:rPr>
                <w:rFonts w:asciiTheme="minorBidi" w:hAnsiTheme="minorBidi"/>
                <w:lang w:val="en-US" w:eastAsia="en-GB"/>
              </w:rPr>
              <w:t xml:space="preserve"> </w:t>
            </w:r>
            <w:r w:rsidR="00F90C36" w:rsidRPr="002E26EC">
              <w:rPr>
                <w:rFonts w:asciiTheme="minorBidi" w:hAnsiTheme="minorBidi"/>
                <w:lang w:val="en-US" w:eastAsia="en-GB"/>
              </w:rPr>
              <w:t xml:space="preserve">the Operational Directives, </w:t>
            </w:r>
            <w:r w:rsidRPr="002E26EC">
              <w:rPr>
                <w:rFonts w:asciiTheme="minorBidi" w:hAnsiTheme="minorBidi"/>
                <w:lang w:val="en-US" w:eastAsia="en-GB"/>
              </w:rPr>
              <w:t xml:space="preserve">the decisions approved by the General Assembly and </w:t>
            </w:r>
            <w:r w:rsidRPr="002E26EC">
              <w:rPr>
                <w:rFonts w:asciiTheme="minorBidi" w:hAnsiTheme="minorBidi"/>
                <w:lang w:val="en-US"/>
              </w:rPr>
              <w:t>the Committee</w:t>
            </w:r>
            <w:r w:rsidRPr="002E26EC">
              <w:rPr>
                <w:rFonts w:asciiTheme="minorBidi" w:hAnsiTheme="minorBidi"/>
                <w:lang w:val="en-US" w:eastAsia="en-GB"/>
              </w:rPr>
              <w:t>, and the present Financial Regulations.</w:t>
            </w:r>
          </w:p>
        </w:tc>
      </w:tr>
      <w:tr w:rsidR="007342CF" w:rsidRPr="002F61AE" w14:paraId="213AEA35" w14:textId="77777777" w:rsidTr="00825A9A">
        <w:tc>
          <w:tcPr>
            <w:tcW w:w="1413" w:type="dxa"/>
          </w:tcPr>
          <w:p w14:paraId="39C75769" w14:textId="17EF9DB0"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spacing w:val="-3"/>
                <w:lang w:val="en-US" w:eastAsia="en-GB"/>
              </w:rPr>
              <w:t>4.</w:t>
            </w:r>
            <w:r w:rsidR="00C144E3">
              <w:rPr>
                <w:rFonts w:asciiTheme="minorBidi" w:hAnsiTheme="minorBidi"/>
                <w:spacing w:val="-3"/>
                <w:lang w:val="en-US" w:eastAsia="en-GB"/>
              </w:rPr>
              <w:t>4</w:t>
            </w:r>
          </w:p>
        </w:tc>
        <w:tc>
          <w:tcPr>
            <w:tcW w:w="8215" w:type="dxa"/>
          </w:tcPr>
          <w:p w14:paraId="2F711B8E" w14:textId="2BEEF547" w:rsidR="007342CF" w:rsidRPr="002E26EC" w:rsidRDefault="007342CF" w:rsidP="00825A9A">
            <w:pPr>
              <w:spacing w:after="120"/>
              <w:ind w:left="-1" w:firstLine="2"/>
              <w:rPr>
                <w:rFonts w:asciiTheme="minorBidi" w:hAnsiTheme="minorBidi" w:cstheme="minorBidi"/>
                <w:lang w:val="en-US" w:eastAsia="en-GB"/>
              </w:rPr>
            </w:pPr>
            <w:r w:rsidRPr="002E26EC">
              <w:rPr>
                <w:rFonts w:asciiTheme="minorBidi" w:hAnsiTheme="minorBidi" w:cstheme="minorBidi"/>
                <w:sz w:val="22"/>
                <w:szCs w:val="22"/>
                <w:lang w:val="en-US" w:eastAsia="en-GB"/>
              </w:rPr>
              <w:t>The Director-General shall, every two years, submit to the</w:t>
            </w:r>
            <w:r w:rsidRPr="002E26EC">
              <w:rPr>
                <w:rFonts w:asciiTheme="minorBidi" w:hAnsiTheme="minorBidi" w:cstheme="minorBidi"/>
                <w:spacing w:val="-3"/>
                <w:sz w:val="22"/>
                <w:szCs w:val="22"/>
                <w:lang w:val="en-US" w:eastAsia="en-GB"/>
              </w:rPr>
              <w:t xml:space="preserve"> General Assembly and the Committee </w:t>
            </w:r>
            <w:r w:rsidRPr="002E26EC">
              <w:rPr>
                <w:rFonts w:asciiTheme="minorBidi" w:hAnsiTheme="minorBidi" w:cstheme="minorBidi"/>
                <w:sz w:val="22"/>
                <w:szCs w:val="22"/>
                <w:lang w:val="en-US"/>
              </w:rPr>
              <w:t xml:space="preserve">narrative and financial reports </w:t>
            </w:r>
            <w:r w:rsidRPr="002E26EC">
              <w:rPr>
                <w:rFonts w:asciiTheme="minorBidi" w:hAnsiTheme="minorBidi" w:cstheme="minorBidi"/>
                <w:sz w:val="22"/>
                <w:szCs w:val="22"/>
                <w:lang w:val="en-US" w:eastAsia="en-GB"/>
              </w:rPr>
              <w:t>as indicated under Article 10 below.</w:t>
            </w:r>
          </w:p>
        </w:tc>
      </w:tr>
      <w:tr w:rsidR="007342CF" w:rsidRPr="002E26EC" w14:paraId="3C42150D" w14:textId="77777777" w:rsidTr="00825A9A">
        <w:tc>
          <w:tcPr>
            <w:tcW w:w="1413" w:type="dxa"/>
          </w:tcPr>
          <w:p w14:paraId="6C37C200" w14:textId="60053625" w:rsidR="007342CF" w:rsidRPr="002E26EC" w:rsidRDefault="007342CF" w:rsidP="009B7D9D">
            <w:pPr>
              <w:pStyle w:val="Sansinterligne"/>
              <w:keepNext/>
              <w:spacing w:before="240" w:after="240"/>
              <w:jc w:val="right"/>
              <w:rPr>
                <w:rFonts w:asciiTheme="minorBidi" w:hAnsiTheme="minorBidi"/>
                <w:b/>
                <w:bCs/>
                <w:lang w:val="en-US"/>
              </w:rPr>
            </w:pPr>
            <w:r w:rsidRPr="002E26EC">
              <w:rPr>
                <w:rFonts w:asciiTheme="minorBidi" w:hAnsiTheme="minorBidi"/>
                <w:b/>
                <w:bCs/>
                <w:spacing w:val="-3"/>
                <w:lang w:eastAsia="en-GB"/>
              </w:rPr>
              <w:t>Article 5</w:t>
            </w:r>
          </w:p>
        </w:tc>
        <w:tc>
          <w:tcPr>
            <w:tcW w:w="8215" w:type="dxa"/>
          </w:tcPr>
          <w:p w14:paraId="321A7688" w14:textId="7D42F042" w:rsidR="007342CF" w:rsidRPr="002E26EC" w:rsidRDefault="00591458" w:rsidP="009B7D9D">
            <w:pPr>
              <w:pStyle w:val="Sansinterligne"/>
              <w:keepNext/>
              <w:spacing w:before="240" w:after="240"/>
              <w:rPr>
                <w:rFonts w:asciiTheme="minorBidi" w:hAnsiTheme="minorBidi"/>
                <w:b/>
                <w:bCs/>
                <w:lang w:val="en-US"/>
              </w:rPr>
            </w:pPr>
            <w:r w:rsidRPr="002E26EC">
              <w:rPr>
                <w:rFonts w:asciiTheme="minorBidi" w:hAnsiTheme="minorBidi"/>
                <w:b/>
                <w:bCs/>
                <w:lang w:val="en-US"/>
              </w:rPr>
              <w:t>Income</w:t>
            </w:r>
          </w:p>
        </w:tc>
      </w:tr>
      <w:tr w:rsidR="007342CF" w:rsidRPr="002F61AE" w14:paraId="316C667A" w14:textId="77777777" w:rsidTr="00825A9A">
        <w:tc>
          <w:tcPr>
            <w:tcW w:w="1413" w:type="dxa"/>
          </w:tcPr>
          <w:p w14:paraId="4E2E5ECD" w14:textId="2A9D3636"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5.1</w:t>
            </w:r>
          </w:p>
        </w:tc>
        <w:tc>
          <w:tcPr>
            <w:tcW w:w="8215" w:type="dxa"/>
          </w:tcPr>
          <w:p w14:paraId="76F81AE4" w14:textId="77777777" w:rsidR="007342CF" w:rsidRPr="002E26EC" w:rsidRDefault="007342CF" w:rsidP="007342CF">
            <w:pPr>
              <w:spacing w:after="120"/>
              <w:rPr>
                <w:rFonts w:asciiTheme="minorBidi" w:hAnsiTheme="minorBidi" w:cstheme="minorBidi"/>
                <w:sz w:val="22"/>
                <w:szCs w:val="22"/>
                <w:lang w:val="en-US"/>
              </w:rPr>
            </w:pPr>
            <w:r w:rsidRPr="002E26EC">
              <w:rPr>
                <w:rFonts w:asciiTheme="minorBidi" w:hAnsiTheme="minorBidi" w:cstheme="minorBidi"/>
                <w:sz w:val="22"/>
                <w:szCs w:val="22"/>
                <w:lang w:val="en-US"/>
              </w:rPr>
              <w:t>In accordance with Article 25.3 of the Convention, the income of the Special Account shall consist of:</w:t>
            </w:r>
          </w:p>
          <w:p w14:paraId="272C8940" w14:textId="4D7D6C43" w:rsidR="007342CF" w:rsidRPr="002E26EC" w:rsidRDefault="007342CF" w:rsidP="007342CF">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iCs/>
                <w:spacing w:val="-3"/>
                <w:sz w:val="22"/>
                <w:szCs w:val="22"/>
                <w:lang w:val="en-GB" w:eastAsia="en-GB"/>
              </w:rPr>
            </w:pPr>
            <w:r w:rsidRPr="002E26EC">
              <w:rPr>
                <w:rFonts w:asciiTheme="minorBidi" w:hAnsiTheme="minorBidi" w:cstheme="minorBidi"/>
                <w:iCs/>
                <w:spacing w:val="-3"/>
                <w:sz w:val="22"/>
                <w:szCs w:val="22"/>
                <w:lang w:val="en-GB" w:eastAsia="en-GB"/>
              </w:rPr>
              <w:t>contributions made by States Parties;</w:t>
            </w:r>
          </w:p>
          <w:p w14:paraId="729A2FCB" w14:textId="77777777" w:rsidR="007342CF" w:rsidRPr="002E26EC" w:rsidRDefault="007342CF" w:rsidP="007342CF">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iCs/>
                <w:spacing w:val="-3"/>
                <w:sz w:val="22"/>
                <w:szCs w:val="22"/>
                <w:lang w:val="en-GB" w:eastAsia="en-GB"/>
              </w:rPr>
            </w:pPr>
            <w:r w:rsidRPr="002E26EC">
              <w:rPr>
                <w:rFonts w:asciiTheme="minorBidi" w:hAnsiTheme="minorBidi" w:cstheme="minorBidi"/>
                <w:iCs/>
                <w:spacing w:val="-3"/>
                <w:sz w:val="22"/>
                <w:szCs w:val="22"/>
                <w:lang w:val="en-GB" w:eastAsia="en-GB"/>
              </w:rPr>
              <w:t>funds appropriated for this purpose by the General Conference of UNESCO;</w:t>
            </w:r>
          </w:p>
          <w:p w14:paraId="20286CE5" w14:textId="40B01BDE" w:rsidR="007342CF" w:rsidRPr="002E26EC" w:rsidRDefault="007342CF" w:rsidP="007342CF">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iCs/>
                <w:spacing w:val="-3"/>
                <w:sz w:val="22"/>
                <w:szCs w:val="22"/>
                <w:lang w:val="en-GB" w:eastAsia="en-GB"/>
              </w:rPr>
            </w:pPr>
            <w:r w:rsidRPr="002E26EC">
              <w:rPr>
                <w:rFonts w:asciiTheme="minorBidi" w:hAnsiTheme="minorBidi" w:cstheme="minorBidi"/>
                <w:iCs/>
                <w:spacing w:val="-3"/>
                <w:sz w:val="22"/>
                <w:szCs w:val="22"/>
                <w:lang w:val="en-GB" w:eastAsia="en-GB"/>
              </w:rPr>
              <w:t>contributions, gifts or bequests, which may be made by:</w:t>
            </w:r>
          </w:p>
          <w:p w14:paraId="49E64144" w14:textId="77777777" w:rsidR="007342CF" w:rsidRPr="002E26EC" w:rsidRDefault="007342CF" w:rsidP="007342CF">
            <w:pPr>
              <w:pStyle w:val="Paragraphedeliste"/>
              <w:numPr>
                <w:ilvl w:val="0"/>
                <w:numId w:val="13"/>
              </w:numPr>
              <w:tabs>
                <w:tab w:val="left" w:pos="746"/>
              </w:tabs>
              <w:snapToGrid w:val="0"/>
              <w:spacing w:after="60"/>
              <w:contextualSpacing w:val="0"/>
              <w:rPr>
                <w:rFonts w:asciiTheme="minorBidi" w:hAnsiTheme="minorBidi" w:cstheme="minorBidi"/>
                <w:sz w:val="22"/>
                <w:szCs w:val="22"/>
                <w:lang w:val="en-US"/>
              </w:rPr>
            </w:pPr>
            <w:r w:rsidRPr="002E26EC">
              <w:rPr>
                <w:rFonts w:asciiTheme="minorBidi" w:hAnsiTheme="minorBidi" w:cstheme="minorBidi"/>
                <w:sz w:val="22"/>
                <w:szCs w:val="22"/>
                <w:lang w:val="en-US"/>
              </w:rPr>
              <w:t xml:space="preserve">other States; </w:t>
            </w:r>
          </w:p>
          <w:p w14:paraId="2162B0C3" w14:textId="77777777" w:rsidR="007342CF" w:rsidRPr="002E26EC" w:rsidRDefault="007342CF" w:rsidP="007342CF">
            <w:pPr>
              <w:pStyle w:val="Paragraphedeliste"/>
              <w:numPr>
                <w:ilvl w:val="0"/>
                <w:numId w:val="13"/>
              </w:numPr>
              <w:tabs>
                <w:tab w:val="left" w:pos="746"/>
              </w:tabs>
              <w:snapToGrid w:val="0"/>
              <w:spacing w:after="60"/>
              <w:ind w:left="746" w:hanging="425"/>
              <w:contextualSpacing w:val="0"/>
              <w:rPr>
                <w:rFonts w:asciiTheme="minorBidi" w:hAnsiTheme="minorBidi" w:cstheme="minorBidi"/>
                <w:sz w:val="22"/>
                <w:szCs w:val="22"/>
                <w:lang w:val="en-US"/>
              </w:rPr>
            </w:pPr>
            <w:r w:rsidRPr="002E26EC">
              <w:rPr>
                <w:rFonts w:asciiTheme="minorBidi" w:hAnsiTheme="minorBidi" w:cstheme="minorBidi"/>
                <w:sz w:val="22"/>
                <w:szCs w:val="22"/>
                <w:lang w:val="en-US"/>
              </w:rPr>
              <w:t xml:space="preserve">organizations and </w:t>
            </w:r>
            <w:proofErr w:type="spellStart"/>
            <w:r w:rsidRPr="002E26EC">
              <w:rPr>
                <w:rFonts w:asciiTheme="minorBidi" w:hAnsiTheme="minorBidi" w:cstheme="minorBidi"/>
                <w:sz w:val="22"/>
                <w:szCs w:val="22"/>
                <w:lang w:val="en-US"/>
              </w:rPr>
              <w:t>programmes</w:t>
            </w:r>
            <w:proofErr w:type="spellEnd"/>
            <w:r w:rsidRPr="002E26EC">
              <w:rPr>
                <w:rFonts w:asciiTheme="minorBidi" w:hAnsiTheme="minorBidi" w:cstheme="minorBidi"/>
                <w:sz w:val="22"/>
                <w:szCs w:val="22"/>
                <w:lang w:val="en-US"/>
              </w:rPr>
              <w:t xml:space="preserve"> of the United Nations system, particularly the United Nations Development </w:t>
            </w:r>
            <w:proofErr w:type="spellStart"/>
            <w:r w:rsidRPr="002E26EC">
              <w:rPr>
                <w:rFonts w:asciiTheme="minorBidi" w:hAnsiTheme="minorBidi" w:cstheme="minorBidi"/>
                <w:sz w:val="22"/>
                <w:szCs w:val="22"/>
                <w:lang w:val="en-US"/>
              </w:rPr>
              <w:t>Programme</w:t>
            </w:r>
            <w:proofErr w:type="spellEnd"/>
            <w:r w:rsidRPr="002E26EC">
              <w:rPr>
                <w:rFonts w:asciiTheme="minorBidi" w:hAnsiTheme="minorBidi" w:cstheme="minorBidi"/>
                <w:sz w:val="22"/>
                <w:szCs w:val="22"/>
                <w:lang w:val="en-US"/>
              </w:rPr>
              <w:t>, as well as other international organizations;</w:t>
            </w:r>
          </w:p>
          <w:p w14:paraId="6223E142" w14:textId="77777777" w:rsidR="007342CF" w:rsidRPr="002E26EC" w:rsidRDefault="007342CF" w:rsidP="007342CF">
            <w:pPr>
              <w:pStyle w:val="Paragraphedeliste"/>
              <w:numPr>
                <w:ilvl w:val="0"/>
                <w:numId w:val="13"/>
              </w:numPr>
              <w:tabs>
                <w:tab w:val="left" w:pos="746"/>
              </w:tabs>
              <w:snapToGrid w:val="0"/>
              <w:spacing w:after="60"/>
              <w:ind w:left="746" w:hanging="425"/>
              <w:contextualSpacing w:val="0"/>
              <w:rPr>
                <w:rFonts w:asciiTheme="minorBidi" w:hAnsiTheme="minorBidi" w:cstheme="minorBidi"/>
                <w:sz w:val="22"/>
                <w:szCs w:val="22"/>
                <w:lang w:val="en-US"/>
              </w:rPr>
            </w:pPr>
            <w:r w:rsidRPr="002E26EC">
              <w:rPr>
                <w:rFonts w:asciiTheme="minorBidi" w:hAnsiTheme="minorBidi" w:cstheme="minorBidi"/>
                <w:sz w:val="22"/>
                <w:szCs w:val="22"/>
                <w:lang w:val="en-US"/>
              </w:rPr>
              <w:t>public or private bodies or individuals;</w:t>
            </w:r>
          </w:p>
          <w:p w14:paraId="413AA241" w14:textId="1CE00E47" w:rsidR="007342CF" w:rsidRPr="002E26EC" w:rsidRDefault="007342CF" w:rsidP="007342CF">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iCs/>
                <w:spacing w:val="-3"/>
                <w:sz w:val="22"/>
                <w:szCs w:val="22"/>
                <w:lang w:val="en-GB" w:eastAsia="en-GB"/>
              </w:rPr>
            </w:pPr>
            <w:r w:rsidRPr="002E26EC">
              <w:rPr>
                <w:rFonts w:asciiTheme="minorBidi" w:hAnsiTheme="minorBidi" w:cstheme="minorBidi"/>
                <w:iCs/>
                <w:spacing w:val="-3"/>
                <w:sz w:val="22"/>
                <w:szCs w:val="22"/>
                <w:lang w:val="en-GB" w:eastAsia="en-GB"/>
              </w:rPr>
              <w:t xml:space="preserve">any interest </w:t>
            </w:r>
            <w:r w:rsidR="00F90C36" w:rsidRPr="002E26EC">
              <w:rPr>
                <w:rFonts w:asciiTheme="minorBidi" w:hAnsiTheme="minorBidi" w:cstheme="minorBidi"/>
                <w:iCs/>
                <w:spacing w:val="-3"/>
                <w:sz w:val="22"/>
                <w:szCs w:val="22"/>
                <w:lang w:val="en-GB" w:eastAsia="en-GB"/>
              </w:rPr>
              <w:t>due on the resources of the Special Account</w:t>
            </w:r>
            <w:r w:rsidRPr="002E26EC">
              <w:rPr>
                <w:rFonts w:asciiTheme="minorBidi" w:hAnsiTheme="minorBidi" w:cstheme="minorBidi"/>
                <w:iCs/>
                <w:spacing w:val="-3"/>
                <w:sz w:val="22"/>
                <w:szCs w:val="22"/>
                <w:lang w:val="en-GB" w:eastAsia="en-GB"/>
              </w:rPr>
              <w:t>;</w:t>
            </w:r>
          </w:p>
          <w:p w14:paraId="016F7E92" w14:textId="77777777" w:rsidR="007342CF" w:rsidRPr="002E26EC" w:rsidRDefault="007342CF" w:rsidP="007342CF">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iCs/>
                <w:spacing w:val="-3"/>
                <w:sz w:val="22"/>
                <w:szCs w:val="22"/>
                <w:lang w:val="en-GB" w:eastAsia="en-GB"/>
              </w:rPr>
            </w:pPr>
            <w:r w:rsidRPr="002E26EC">
              <w:rPr>
                <w:rFonts w:asciiTheme="minorBidi" w:hAnsiTheme="minorBidi" w:cstheme="minorBidi"/>
                <w:iCs/>
                <w:spacing w:val="-3"/>
                <w:sz w:val="22"/>
                <w:szCs w:val="22"/>
                <w:lang w:val="en-GB" w:eastAsia="en-GB"/>
              </w:rPr>
              <w:t>funds raised through collections, and receipts from events organized for the benefit of the Special Account;</w:t>
            </w:r>
          </w:p>
          <w:p w14:paraId="63F7B876" w14:textId="39AAC068" w:rsidR="007342CF" w:rsidRPr="002E26EC" w:rsidRDefault="007342CF" w:rsidP="00825A9A">
            <w:pPr>
              <w:pStyle w:val="Paragraphedeliste"/>
              <w:numPr>
                <w:ilvl w:val="0"/>
                <w:numId w:val="12"/>
              </w:numPr>
              <w:tabs>
                <w:tab w:val="left" w:pos="567"/>
              </w:tabs>
              <w:suppressAutoHyphens/>
              <w:snapToGrid w:val="0"/>
              <w:spacing w:after="60"/>
              <w:ind w:left="321"/>
              <w:contextualSpacing w:val="0"/>
              <w:rPr>
                <w:rFonts w:asciiTheme="minorBidi" w:hAnsiTheme="minorBidi" w:cstheme="minorBidi"/>
                <w:lang w:val="en-US"/>
              </w:rPr>
            </w:pPr>
            <w:r w:rsidRPr="002E26EC">
              <w:rPr>
                <w:rFonts w:asciiTheme="minorBidi" w:hAnsiTheme="minorBidi" w:cstheme="minorBidi"/>
                <w:iCs/>
                <w:spacing w:val="-3"/>
                <w:sz w:val="22"/>
                <w:szCs w:val="22"/>
                <w:lang w:val="en-GB" w:eastAsia="en-GB"/>
              </w:rPr>
              <w:t>any other resources authorized by the Committee.</w:t>
            </w:r>
          </w:p>
        </w:tc>
      </w:tr>
      <w:tr w:rsidR="007342CF" w:rsidRPr="002F61AE" w14:paraId="27FBA6C0" w14:textId="77777777" w:rsidTr="00825A9A">
        <w:tc>
          <w:tcPr>
            <w:tcW w:w="1413" w:type="dxa"/>
          </w:tcPr>
          <w:p w14:paraId="26A42778" w14:textId="682F39F2"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5.2</w:t>
            </w:r>
          </w:p>
        </w:tc>
        <w:tc>
          <w:tcPr>
            <w:tcW w:w="8215" w:type="dxa"/>
          </w:tcPr>
          <w:p w14:paraId="028AF592" w14:textId="1164230E" w:rsidR="007342CF" w:rsidRPr="002E26EC" w:rsidRDefault="00591458" w:rsidP="00825A9A">
            <w:pPr>
              <w:pStyle w:val="Sansinterligne"/>
              <w:spacing w:after="240"/>
              <w:rPr>
                <w:rFonts w:asciiTheme="minorBidi" w:hAnsiTheme="minorBidi"/>
                <w:b/>
                <w:lang w:val="en-US"/>
              </w:rPr>
            </w:pPr>
            <w:r w:rsidRPr="002E26EC">
              <w:rPr>
                <w:rFonts w:ascii="Arial" w:hAnsi="Arial" w:cs="Arial"/>
                <w:lang w:val="en-US"/>
              </w:rPr>
              <w:t>As stipulated in Article 26.1 of the Convention, the contributions of States Parties which have not made the declaration referred to in Article 26.2 of the Convention shall be made according to the uniform percentage determined by the General Assembly of the States Parties to the Convention.</w:t>
            </w:r>
          </w:p>
        </w:tc>
      </w:tr>
      <w:tr w:rsidR="007342CF" w:rsidRPr="002E26EC" w14:paraId="10B4CE44" w14:textId="77777777" w:rsidTr="00825A9A">
        <w:tc>
          <w:tcPr>
            <w:tcW w:w="1413" w:type="dxa"/>
          </w:tcPr>
          <w:p w14:paraId="7C38DCE1" w14:textId="76CEE3D6" w:rsidR="007342CF" w:rsidRPr="002E26EC" w:rsidRDefault="007342CF" w:rsidP="00825A9A">
            <w:pPr>
              <w:pStyle w:val="Sansinterligne"/>
              <w:spacing w:before="240" w:after="240"/>
              <w:jc w:val="right"/>
              <w:rPr>
                <w:rFonts w:asciiTheme="minorBidi" w:hAnsiTheme="minorBidi"/>
                <w:b/>
                <w:bCs/>
                <w:lang w:val="en-US"/>
              </w:rPr>
            </w:pPr>
            <w:r w:rsidRPr="002E26EC">
              <w:rPr>
                <w:rFonts w:asciiTheme="minorBidi" w:hAnsiTheme="minorBidi"/>
                <w:b/>
                <w:bCs/>
                <w:spacing w:val="-3"/>
                <w:lang w:eastAsia="en-GB"/>
              </w:rPr>
              <w:t>Article 6</w:t>
            </w:r>
          </w:p>
        </w:tc>
        <w:tc>
          <w:tcPr>
            <w:tcW w:w="8215" w:type="dxa"/>
          </w:tcPr>
          <w:p w14:paraId="2C7E9F5F" w14:textId="24E7694C" w:rsidR="007342CF" w:rsidRPr="002E26EC" w:rsidRDefault="00591458" w:rsidP="00825A9A">
            <w:pPr>
              <w:pStyle w:val="Sansinterligne"/>
              <w:spacing w:before="240" w:after="240"/>
              <w:rPr>
                <w:rFonts w:asciiTheme="minorBidi" w:hAnsiTheme="minorBidi"/>
                <w:b/>
                <w:bCs/>
                <w:lang w:val="en-US"/>
              </w:rPr>
            </w:pPr>
            <w:r w:rsidRPr="002E26EC">
              <w:rPr>
                <w:rFonts w:asciiTheme="minorBidi" w:hAnsiTheme="minorBidi"/>
                <w:b/>
                <w:bCs/>
                <w:lang w:val="en-US"/>
              </w:rPr>
              <w:t>Expenditure</w:t>
            </w:r>
          </w:p>
        </w:tc>
      </w:tr>
      <w:tr w:rsidR="007342CF" w:rsidRPr="002F61AE" w14:paraId="68936C59" w14:textId="77777777" w:rsidTr="00825A9A">
        <w:tc>
          <w:tcPr>
            <w:tcW w:w="1413" w:type="dxa"/>
          </w:tcPr>
          <w:p w14:paraId="0359B683" w14:textId="2EACC4DA"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6.1</w:t>
            </w:r>
          </w:p>
        </w:tc>
        <w:tc>
          <w:tcPr>
            <w:tcW w:w="8215" w:type="dxa"/>
          </w:tcPr>
          <w:p w14:paraId="23BB6EB9" w14:textId="5E8122C8" w:rsidR="007342CF" w:rsidRPr="002E26EC" w:rsidRDefault="007342CF" w:rsidP="00C144E3">
            <w:pPr>
              <w:pStyle w:val="Sansinterligne"/>
              <w:spacing w:after="240"/>
              <w:rPr>
                <w:rFonts w:asciiTheme="minorBidi" w:hAnsiTheme="minorBidi"/>
                <w:lang w:val="en-US"/>
              </w:rPr>
            </w:pPr>
            <w:r w:rsidRPr="002E26EC">
              <w:rPr>
                <w:rFonts w:asciiTheme="minorBidi" w:hAnsiTheme="minorBidi"/>
                <w:spacing w:val="-3"/>
                <w:lang w:val="en-GB" w:eastAsia="en-GB"/>
              </w:rPr>
              <w:t xml:space="preserve">The </w:t>
            </w:r>
            <w:r w:rsidR="00C144E3">
              <w:rPr>
                <w:rFonts w:asciiTheme="minorBidi" w:hAnsiTheme="minorBidi"/>
                <w:spacing w:val="-3"/>
                <w:lang w:val="en-GB" w:eastAsia="en-GB"/>
              </w:rPr>
              <w:t>use</w:t>
            </w:r>
            <w:r w:rsidR="00C144E3" w:rsidRPr="002E26EC">
              <w:rPr>
                <w:rFonts w:asciiTheme="minorBidi" w:hAnsiTheme="minorBidi"/>
                <w:spacing w:val="-3"/>
                <w:lang w:val="en-GB" w:eastAsia="en-GB"/>
              </w:rPr>
              <w:t xml:space="preserve"> </w:t>
            </w:r>
            <w:r w:rsidRPr="002E26EC">
              <w:rPr>
                <w:rFonts w:asciiTheme="minorBidi" w:hAnsiTheme="minorBidi"/>
                <w:spacing w:val="-3"/>
                <w:lang w:val="en-GB" w:eastAsia="en-GB"/>
              </w:rPr>
              <w:t>of the resources of the Special Account shall be approved by the General Assembly on a biennial basis.</w:t>
            </w:r>
          </w:p>
        </w:tc>
      </w:tr>
      <w:tr w:rsidR="007342CF" w:rsidRPr="002F61AE" w14:paraId="39D84B53" w14:textId="77777777" w:rsidTr="00825A9A">
        <w:tc>
          <w:tcPr>
            <w:tcW w:w="1413" w:type="dxa"/>
          </w:tcPr>
          <w:p w14:paraId="7AB0748F" w14:textId="15AA3C53"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6.2</w:t>
            </w:r>
          </w:p>
        </w:tc>
        <w:tc>
          <w:tcPr>
            <w:tcW w:w="8215" w:type="dxa"/>
          </w:tcPr>
          <w:p w14:paraId="5E74972C" w14:textId="0281006B" w:rsidR="007342CF" w:rsidRPr="002E26EC" w:rsidRDefault="007342CF" w:rsidP="00825A9A">
            <w:pPr>
              <w:pStyle w:val="Sansinterligne"/>
              <w:spacing w:after="240"/>
              <w:rPr>
                <w:rFonts w:asciiTheme="minorBidi" w:hAnsiTheme="minorBidi"/>
                <w:lang w:val="en-US"/>
              </w:rPr>
            </w:pPr>
            <w:r w:rsidRPr="002E26EC">
              <w:rPr>
                <w:rFonts w:asciiTheme="minorBidi" w:hAnsiTheme="minorBidi"/>
                <w:spacing w:val="-3"/>
                <w:lang w:val="en-GB" w:eastAsia="en-GB"/>
              </w:rPr>
              <w:t>The Special Account shall be debited with the expenditure relating to its purpose as described in Article 3 above, including administrative expenses specifically relating to it and management costs applicable.</w:t>
            </w:r>
          </w:p>
        </w:tc>
      </w:tr>
      <w:tr w:rsidR="007342CF" w:rsidRPr="002F61AE" w14:paraId="675E4FAA" w14:textId="77777777" w:rsidTr="00825A9A">
        <w:tc>
          <w:tcPr>
            <w:tcW w:w="1413" w:type="dxa"/>
          </w:tcPr>
          <w:p w14:paraId="39CE8EE9" w14:textId="5A5B9633"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6.3</w:t>
            </w:r>
          </w:p>
        </w:tc>
        <w:tc>
          <w:tcPr>
            <w:tcW w:w="8215" w:type="dxa"/>
          </w:tcPr>
          <w:p w14:paraId="444D5FBB" w14:textId="71641950" w:rsidR="007342CF" w:rsidRPr="002E26EC" w:rsidRDefault="00591458" w:rsidP="00825A9A">
            <w:pPr>
              <w:pStyle w:val="Sansinterligne"/>
              <w:spacing w:after="240"/>
              <w:rPr>
                <w:rFonts w:asciiTheme="minorBidi" w:hAnsiTheme="minorBidi"/>
                <w:lang w:val="en-US"/>
              </w:rPr>
            </w:pPr>
            <w:r w:rsidRPr="002E26EC">
              <w:rPr>
                <w:rFonts w:asciiTheme="minorBidi" w:hAnsiTheme="minorBidi"/>
                <w:lang w:val="en-US"/>
              </w:rPr>
              <w:t>Expenditure shall be made within the limits of funds available.</w:t>
            </w:r>
          </w:p>
        </w:tc>
      </w:tr>
      <w:tr w:rsidR="007342CF" w:rsidRPr="002E26EC" w14:paraId="005DF5C4" w14:textId="77777777" w:rsidTr="00825A9A">
        <w:tc>
          <w:tcPr>
            <w:tcW w:w="1413" w:type="dxa"/>
          </w:tcPr>
          <w:p w14:paraId="28231895" w14:textId="6DA8B341" w:rsidR="007342CF" w:rsidRPr="002E26EC" w:rsidRDefault="007342CF" w:rsidP="00825A9A">
            <w:pPr>
              <w:pStyle w:val="Sansinterligne"/>
              <w:spacing w:before="240" w:after="240"/>
              <w:jc w:val="right"/>
              <w:rPr>
                <w:rFonts w:asciiTheme="minorBidi" w:hAnsiTheme="minorBidi"/>
                <w:b/>
                <w:lang w:val="en-US"/>
              </w:rPr>
            </w:pPr>
            <w:r w:rsidRPr="002E26EC">
              <w:rPr>
                <w:rFonts w:asciiTheme="minorBidi" w:hAnsiTheme="minorBidi"/>
                <w:b/>
                <w:lang w:val="en-US"/>
              </w:rPr>
              <w:t>Article 7</w:t>
            </w:r>
          </w:p>
        </w:tc>
        <w:tc>
          <w:tcPr>
            <w:tcW w:w="8215" w:type="dxa"/>
          </w:tcPr>
          <w:p w14:paraId="6572CE37" w14:textId="59C174BF" w:rsidR="007342CF" w:rsidRPr="002E26EC" w:rsidRDefault="00591458" w:rsidP="00825A9A">
            <w:pPr>
              <w:pStyle w:val="Sansinterligne"/>
              <w:spacing w:before="240" w:after="240"/>
              <w:rPr>
                <w:rFonts w:asciiTheme="minorBidi" w:hAnsiTheme="minorBidi"/>
                <w:b/>
                <w:lang w:val="en-US"/>
              </w:rPr>
            </w:pPr>
            <w:r w:rsidRPr="002E26EC">
              <w:rPr>
                <w:rFonts w:asciiTheme="minorBidi" w:hAnsiTheme="minorBidi"/>
                <w:b/>
                <w:lang w:val="en-US"/>
              </w:rPr>
              <w:t>Reserve Fund</w:t>
            </w:r>
          </w:p>
        </w:tc>
      </w:tr>
      <w:tr w:rsidR="007342CF" w:rsidRPr="002F61AE" w14:paraId="737E3494" w14:textId="77777777" w:rsidTr="00825A9A">
        <w:tc>
          <w:tcPr>
            <w:tcW w:w="1413" w:type="dxa"/>
          </w:tcPr>
          <w:p w14:paraId="2FAA1541" w14:textId="77777777" w:rsidR="007342CF" w:rsidRPr="002E26EC" w:rsidRDefault="007342CF" w:rsidP="00825A9A">
            <w:pPr>
              <w:pStyle w:val="Sansinterligne"/>
              <w:spacing w:after="240"/>
              <w:jc w:val="right"/>
              <w:rPr>
                <w:rFonts w:asciiTheme="minorBidi" w:hAnsiTheme="minorBidi"/>
                <w:bCs/>
                <w:lang w:val="en-US"/>
              </w:rPr>
            </w:pPr>
          </w:p>
        </w:tc>
        <w:tc>
          <w:tcPr>
            <w:tcW w:w="8215" w:type="dxa"/>
          </w:tcPr>
          <w:p w14:paraId="2AFE292C" w14:textId="46F6D208" w:rsidR="007342CF" w:rsidRPr="002E26EC" w:rsidRDefault="00591458" w:rsidP="00825A9A">
            <w:pPr>
              <w:pStyle w:val="Sansinterligne"/>
              <w:spacing w:after="240"/>
              <w:rPr>
                <w:rFonts w:asciiTheme="minorBidi" w:hAnsiTheme="minorBidi"/>
                <w:b/>
                <w:lang w:val="en-US"/>
              </w:rPr>
            </w:pPr>
            <w:r w:rsidRPr="002E26EC">
              <w:rPr>
                <w:rFonts w:ascii="Arial" w:hAnsi="Arial" w:cs="Arial"/>
                <w:lang w:val="en-US"/>
              </w:rPr>
              <w:t>Within the Special Account there shall be established a reserve fund to meet requests for assistance in cases of extreme urgency, as foreseen in Article 17.3 and 22.2 of the Convention. The amount of the reserve shall be determined by the Committee</w:t>
            </w:r>
            <w:r w:rsidR="0040477D" w:rsidRPr="002E26EC">
              <w:rPr>
                <w:rFonts w:ascii="Arial" w:hAnsi="Arial" w:cs="Arial"/>
                <w:lang w:val="en-US"/>
              </w:rPr>
              <w:t>.</w:t>
            </w:r>
          </w:p>
        </w:tc>
      </w:tr>
      <w:tr w:rsidR="007342CF" w:rsidRPr="002E26EC" w14:paraId="5C2A78ED" w14:textId="77777777" w:rsidTr="00825A9A">
        <w:tc>
          <w:tcPr>
            <w:tcW w:w="1413" w:type="dxa"/>
          </w:tcPr>
          <w:p w14:paraId="4BB4096D" w14:textId="6B00B132" w:rsidR="007342CF" w:rsidRPr="002E26EC" w:rsidRDefault="007342CF" w:rsidP="00825A9A">
            <w:pPr>
              <w:pStyle w:val="Sansinterligne"/>
              <w:spacing w:before="240" w:after="240"/>
              <w:jc w:val="right"/>
              <w:rPr>
                <w:rFonts w:asciiTheme="minorBidi" w:hAnsiTheme="minorBidi"/>
                <w:b/>
                <w:lang w:val="en-US"/>
              </w:rPr>
            </w:pPr>
            <w:r w:rsidRPr="002E26EC">
              <w:rPr>
                <w:rFonts w:asciiTheme="minorBidi" w:hAnsiTheme="minorBidi"/>
                <w:b/>
                <w:bCs/>
                <w:spacing w:val="-3"/>
                <w:lang w:eastAsia="en-GB"/>
              </w:rPr>
              <w:t>Article 8</w:t>
            </w:r>
          </w:p>
        </w:tc>
        <w:tc>
          <w:tcPr>
            <w:tcW w:w="8215" w:type="dxa"/>
          </w:tcPr>
          <w:p w14:paraId="54DA7795" w14:textId="3D25A4F7" w:rsidR="007342CF" w:rsidRPr="002E26EC" w:rsidRDefault="00591458" w:rsidP="00825A9A">
            <w:pPr>
              <w:pStyle w:val="Sansinterligne"/>
              <w:spacing w:before="240" w:after="240"/>
              <w:rPr>
                <w:rFonts w:asciiTheme="minorBidi" w:hAnsiTheme="minorBidi"/>
                <w:b/>
                <w:lang w:val="en-US"/>
              </w:rPr>
            </w:pPr>
            <w:r w:rsidRPr="002E26EC">
              <w:rPr>
                <w:rFonts w:asciiTheme="minorBidi" w:hAnsiTheme="minorBidi"/>
                <w:b/>
                <w:lang w:val="en-US"/>
              </w:rPr>
              <w:t>Accounts</w:t>
            </w:r>
          </w:p>
        </w:tc>
      </w:tr>
      <w:tr w:rsidR="007342CF" w:rsidRPr="002F61AE" w14:paraId="27E9C3A3" w14:textId="77777777" w:rsidTr="00825A9A">
        <w:tc>
          <w:tcPr>
            <w:tcW w:w="1413" w:type="dxa"/>
          </w:tcPr>
          <w:p w14:paraId="646E0838" w14:textId="679AC564"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rPr>
              <w:t>8.1</w:t>
            </w:r>
          </w:p>
        </w:tc>
        <w:tc>
          <w:tcPr>
            <w:tcW w:w="8215" w:type="dxa"/>
          </w:tcPr>
          <w:p w14:paraId="6C3E2A4D" w14:textId="37937029" w:rsidR="007342CF" w:rsidRPr="002E26EC" w:rsidRDefault="007342CF" w:rsidP="00825A9A">
            <w:pPr>
              <w:pStyle w:val="Sansinterligne"/>
              <w:spacing w:after="240"/>
              <w:rPr>
                <w:rFonts w:asciiTheme="minorBidi" w:hAnsiTheme="minorBidi"/>
                <w:b/>
                <w:lang w:val="en-US"/>
              </w:rPr>
            </w:pPr>
            <w:r w:rsidRPr="002E26EC">
              <w:rPr>
                <w:rFonts w:asciiTheme="minorBidi" w:eastAsiaTheme="minorEastAsia" w:hAnsiTheme="minorBidi"/>
                <w:lang w:val="en-US"/>
              </w:rPr>
              <w:t>Subsidiary Accounts may be established by the General Assembly and the Committee.</w:t>
            </w:r>
          </w:p>
        </w:tc>
      </w:tr>
      <w:tr w:rsidR="007342CF" w:rsidRPr="002F61AE" w14:paraId="20A31342" w14:textId="77777777" w:rsidTr="00825A9A">
        <w:tc>
          <w:tcPr>
            <w:tcW w:w="1413" w:type="dxa"/>
          </w:tcPr>
          <w:p w14:paraId="4E02FAD6" w14:textId="03D1229F"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8.2</w:t>
            </w:r>
          </w:p>
        </w:tc>
        <w:tc>
          <w:tcPr>
            <w:tcW w:w="8215" w:type="dxa"/>
          </w:tcPr>
          <w:p w14:paraId="635DCD8A" w14:textId="7A8664D5"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spacing w:val="-3"/>
                <w:lang w:val="en-US" w:eastAsia="en-GB"/>
              </w:rPr>
              <w:t>The Chief Financial Officer of UNESCO shall maintain such</w:t>
            </w:r>
            <w:r w:rsidR="00591458" w:rsidRPr="002E26EC">
              <w:rPr>
                <w:rFonts w:asciiTheme="minorBidi" w:hAnsiTheme="minorBidi"/>
                <w:spacing w:val="-3"/>
                <w:lang w:val="en-US" w:eastAsia="en-GB"/>
              </w:rPr>
              <w:t xml:space="preserve"> </w:t>
            </w:r>
            <w:r w:rsidRPr="002E26EC">
              <w:rPr>
                <w:rFonts w:asciiTheme="minorBidi" w:hAnsiTheme="minorBidi"/>
                <w:spacing w:val="-3"/>
                <w:lang w:val="en-US" w:eastAsia="en-GB"/>
              </w:rPr>
              <w:t>accounting records as are necessary.</w:t>
            </w:r>
          </w:p>
        </w:tc>
      </w:tr>
      <w:tr w:rsidR="007342CF" w:rsidRPr="002F61AE" w14:paraId="701639F0" w14:textId="77777777" w:rsidTr="00825A9A">
        <w:tc>
          <w:tcPr>
            <w:tcW w:w="1413" w:type="dxa"/>
          </w:tcPr>
          <w:p w14:paraId="2B268293" w14:textId="038DCE3C"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8.3</w:t>
            </w:r>
          </w:p>
        </w:tc>
        <w:tc>
          <w:tcPr>
            <w:tcW w:w="8215" w:type="dxa"/>
          </w:tcPr>
          <w:p w14:paraId="7F6C12B2" w14:textId="57B908E5" w:rsidR="007342CF" w:rsidRPr="002E26EC" w:rsidRDefault="00591458" w:rsidP="00825A9A">
            <w:pPr>
              <w:pStyle w:val="Sansinterligne"/>
              <w:spacing w:after="240"/>
              <w:rPr>
                <w:rFonts w:asciiTheme="minorBidi" w:hAnsiTheme="minorBidi"/>
                <w:b/>
                <w:lang w:val="en-US"/>
              </w:rPr>
            </w:pPr>
            <w:r w:rsidRPr="002E26EC">
              <w:rPr>
                <w:rFonts w:ascii="Arial" w:hAnsi="Arial" w:cs="Arial"/>
                <w:lang w:val="en-US"/>
              </w:rPr>
              <w:t>Any unused balance at the end of a financial period shall be carried forward to the following financial period</w:t>
            </w:r>
            <w:r w:rsidR="007342CF" w:rsidRPr="002E26EC">
              <w:rPr>
                <w:rFonts w:asciiTheme="minorBidi" w:hAnsiTheme="minorBidi"/>
                <w:lang w:val="en-US"/>
              </w:rPr>
              <w:t>.</w:t>
            </w:r>
          </w:p>
        </w:tc>
      </w:tr>
      <w:tr w:rsidR="007342CF" w:rsidRPr="002F61AE" w14:paraId="09AF7620" w14:textId="77777777" w:rsidTr="00825A9A">
        <w:tc>
          <w:tcPr>
            <w:tcW w:w="1413" w:type="dxa"/>
          </w:tcPr>
          <w:p w14:paraId="1FB98F05" w14:textId="57E5C134"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8.4</w:t>
            </w:r>
          </w:p>
        </w:tc>
        <w:tc>
          <w:tcPr>
            <w:tcW w:w="8215" w:type="dxa"/>
          </w:tcPr>
          <w:p w14:paraId="2CB07CC6" w14:textId="6073FC9C" w:rsidR="007342CF" w:rsidRPr="002E26EC" w:rsidRDefault="007342CF" w:rsidP="00825A9A">
            <w:pPr>
              <w:pStyle w:val="Sansinterligne"/>
              <w:spacing w:after="240"/>
              <w:rPr>
                <w:rFonts w:asciiTheme="minorBidi" w:hAnsiTheme="minorBidi"/>
                <w:b/>
                <w:lang w:val="en-US"/>
              </w:rPr>
            </w:pPr>
            <w:r w:rsidRPr="002E26EC">
              <w:rPr>
                <w:rFonts w:asciiTheme="minorBidi" w:hAnsiTheme="minorBidi"/>
                <w:spacing w:val="-3"/>
                <w:lang w:val="en-US" w:eastAsia="en-GB"/>
              </w:rPr>
              <w:t>The accounts of the Special Account shall be part of the consolidated financial statements presented for audit to the External Auditor of UNESCO.</w:t>
            </w:r>
          </w:p>
        </w:tc>
      </w:tr>
      <w:tr w:rsidR="007342CF" w:rsidRPr="002F61AE" w14:paraId="50DC61A0" w14:textId="77777777" w:rsidTr="00825A9A">
        <w:tc>
          <w:tcPr>
            <w:tcW w:w="1413" w:type="dxa"/>
          </w:tcPr>
          <w:p w14:paraId="2B5353F6" w14:textId="0093C801"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8.5</w:t>
            </w:r>
          </w:p>
        </w:tc>
        <w:tc>
          <w:tcPr>
            <w:tcW w:w="8215" w:type="dxa"/>
          </w:tcPr>
          <w:p w14:paraId="36C8CFE5" w14:textId="0694B892" w:rsidR="007342CF" w:rsidRPr="002E26EC" w:rsidRDefault="00591458" w:rsidP="00825A9A">
            <w:pPr>
              <w:pStyle w:val="Sansinterligne"/>
              <w:spacing w:after="240"/>
              <w:rPr>
                <w:rFonts w:asciiTheme="minorBidi" w:hAnsiTheme="minorBidi"/>
                <w:b/>
                <w:lang w:val="en-US"/>
              </w:rPr>
            </w:pPr>
            <w:r w:rsidRPr="002E26EC">
              <w:rPr>
                <w:rFonts w:asciiTheme="minorBidi" w:hAnsiTheme="minorBidi"/>
                <w:spacing w:val="-3"/>
                <w:lang w:val="en-US" w:eastAsia="en-GB"/>
              </w:rPr>
              <w:t>Contributions in kind shall be recorded outside the Special Account</w:t>
            </w:r>
            <w:r w:rsidR="007342CF" w:rsidRPr="002E26EC">
              <w:rPr>
                <w:rFonts w:asciiTheme="minorBidi" w:hAnsiTheme="minorBidi"/>
                <w:spacing w:val="-3"/>
                <w:lang w:val="en-US" w:eastAsia="en-GB"/>
              </w:rPr>
              <w:t>.</w:t>
            </w:r>
          </w:p>
        </w:tc>
      </w:tr>
      <w:tr w:rsidR="007342CF" w:rsidRPr="002E26EC" w14:paraId="6D83FA96" w14:textId="77777777" w:rsidTr="00825A9A">
        <w:tc>
          <w:tcPr>
            <w:tcW w:w="1413" w:type="dxa"/>
          </w:tcPr>
          <w:p w14:paraId="113AACF2" w14:textId="6B690CFA" w:rsidR="007342CF" w:rsidRPr="002E26EC" w:rsidRDefault="007342CF" w:rsidP="00825A9A">
            <w:pPr>
              <w:pStyle w:val="Sansinterligne"/>
              <w:spacing w:before="240" w:after="240"/>
              <w:jc w:val="right"/>
              <w:rPr>
                <w:rFonts w:asciiTheme="minorBidi" w:hAnsiTheme="minorBidi"/>
                <w:b/>
                <w:bCs/>
                <w:lang w:val="en-US"/>
              </w:rPr>
            </w:pPr>
            <w:r w:rsidRPr="002E26EC">
              <w:rPr>
                <w:rFonts w:asciiTheme="minorBidi" w:hAnsiTheme="minorBidi"/>
                <w:b/>
                <w:bCs/>
                <w:spacing w:val="-3"/>
                <w:lang w:eastAsia="en-GB"/>
              </w:rPr>
              <w:t>Article 9</w:t>
            </w:r>
          </w:p>
        </w:tc>
        <w:tc>
          <w:tcPr>
            <w:tcW w:w="8215" w:type="dxa"/>
          </w:tcPr>
          <w:p w14:paraId="1309796D" w14:textId="305A2EA7" w:rsidR="007342CF" w:rsidRPr="002E26EC" w:rsidRDefault="00591458" w:rsidP="00825A9A">
            <w:pPr>
              <w:pStyle w:val="Sansinterligne"/>
              <w:spacing w:before="240" w:after="240"/>
              <w:rPr>
                <w:rFonts w:asciiTheme="minorBidi" w:hAnsiTheme="minorBidi"/>
                <w:b/>
                <w:bCs/>
                <w:lang w:val="en-US"/>
              </w:rPr>
            </w:pPr>
            <w:r w:rsidRPr="002E26EC">
              <w:rPr>
                <w:rFonts w:asciiTheme="minorBidi" w:hAnsiTheme="minorBidi"/>
                <w:b/>
                <w:bCs/>
                <w:lang w:val="en-US"/>
              </w:rPr>
              <w:t>Investments</w:t>
            </w:r>
          </w:p>
        </w:tc>
      </w:tr>
      <w:tr w:rsidR="007342CF" w:rsidRPr="002F61AE" w14:paraId="0C8DE88E" w14:textId="77777777" w:rsidTr="00825A9A">
        <w:tc>
          <w:tcPr>
            <w:tcW w:w="1413" w:type="dxa"/>
          </w:tcPr>
          <w:p w14:paraId="7B314696" w14:textId="39154215" w:rsidR="007342CF" w:rsidRPr="002E26EC" w:rsidRDefault="007342CF" w:rsidP="00825A9A">
            <w:pPr>
              <w:pStyle w:val="Sansinterligne"/>
              <w:spacing w:after="240"/>
              <w:jc w:val="right"/>
              <w:rPr>
                <w:rFonts w:asciiTheme="minorBidi" w:hAnsiTheme="minorBidi"/>
                <w:lang w:val="en-US"/>
              </w:rPr>
            </w:pPr>
            <w:r w:rsidRPr="002E26EC">
              <w:rPr>
                <w:rFonts w:asciiTheme="minorBidi" w:hAnsiTheme="minorBidi"/>
                <w:lang w:val="en-US" w:eastAsia="en-GB"/>
              </w:rPr>
              <w:t>9.1</w:t>
            </w:r>
          </w:p>
        </w:tc>
        <w:tc>
          <w:tcPr>
            <w:tcW w:w="8215" w:type="dxa"/>
          </w:tcPr>
          <w:p w14:paraId="2C6DD4EA" w14:textId="7FCC276F" w:rsidR="007342CF" w:rsidRPr="002E26EC" w:rsidRDefault="007342CF" w:rsidP="00825A9A">
            <w:pPr>
              <w:pStyle w:val="Sansinterligne"/>
              <w:spacing w:after="240"/>
              <w:rPr>
                <w:rFonts w:asciiTheme="minorBidi" w:hAnsiTheme="minorBidi"/>
                <w:lang w:val="en-US"/>
              </w:rPr>
            </w:pPr>
            <w:r w:rsidRPr="002E26EC">
              <w:rPr>
                <w:rFonts w:asciiTheme="minorBidi" w:hAnsiTheme="minorBidi"/>
                <w:spacing w:val="-3"/>
                <w:lang w:val="en-US" w:eastAsia="en-GB"/>
              </w:rPr>
              <w:t>The Director-General may make short-term or long-term investments of sums standing to the credit of the Special Account.</w:t>
            </w:r>
          </w:p>
        </w:tc>
      </w:tr>
      <w:tr w:rsidR="00591458" w:rsidRPr="002F61AE" w14:paraId="76C86733" w14:textId="77777777" w:rsidTr="00825A9A">
        <w:tc>
          <w:tcPr>
            <w:tcW w:w="1413" w:type="dxa"/>
          </w:tcPr>
          <w:p w14:paraId="609D4EAF" w14:textId="6A4FF8A4" w:rsidR="00591458" w:rsidRPr="002E26EC" w:rsidRDefault="00591458" w:rsidP="007342CF">
            <w:pPr>
              <w:pStyle w:val="Sansinterligne"/>
              <w:spacing w:after="240"/>
              <w:jc w:val="right"/>
              <w:rPr>
                <w:rFonts w:asciiTheme="minorBidi" w:hAnsiTheme="minorBidi"/>
                <w:lang w:val="en-US" w:eastAsia="en-GB"/>
              </w:rPr>
            </w:pPr>
            <w:r w:rsidRPr="002E26EC">
              <w:rPr>
                <w:rFonts w:asciiTheme="minorBidi" w:hAnsiTheme="minorBidi"/>
                <w:lang w:val="en-US" w:eastAsia="en-GB"/>
              </w:rPr>
              <w:t>9.2</w:t>
            </w:r>
          </w:p>
        </w:tc>
        <w:tc>
          <w:tcPr>
            <w:tcW w:w="8215" w:type="dxa"/>
          </w:tcPr>
          <w:p w14:paraId="0DE073D5" w14:textId="0EDA9D44" w:rsidR="00591458" w:rsidRPr="002E26EC" w:rsidRDefault="00591458" w:rsidP="00825A9A">
            <w:pPr>
              <w:pStyle w:val="Sansinterligne"/>
              <w:spacing w:after="240"/>
              <w:rPr>
                <w:rFonts w:asciiTheme="minorBidi" w:hAnsiTheme="minorBidi"/>
                <w:spacing w:val="-3"/>
                <w:lang w:val="en-US" w:eastAsia="en-GB"/>
              </w:rPr>
            </w:pPr>
            <w:r w:rsidRPr="002E26EC">
              <w:rPr>
                <w:rFonts w:asciiTheme="minorBidi" w:hAnsiTheme="minorBidi"/>
                <w:spacing w:val="-3"/>
                <w:lang w:val="en-US" w:eastAsia="en-GB"/>
              </w:rPr>
              <w:t>Revenue from these investments shall be credited to the Special Account in line with UNESCO’s Financial Rules.</w:t>
            </w:r>
          </w:p>
        </w:tc>
      </w:tr>
      <w:tr w:rsidR="00591458" w:rsidRPr="002E26EC" w14:paraId="289C09FE" w14:textId="77777777" w:rsidTr="00825A9A">
        <w:tc>
          <w:tcPr>
            <w:tcW w:w="1413" w:type="dxa"/>
          </w:tcPr>
          <w:p w14:paraId="3DCADB1D" w14:textId="44CB0ED6" w:rsidR="00591458" w:rsidRPr="002E26EC" w:rsidRDefault="00591458" w:rsidP="00825A9A">
            <w:pPr>
              <w:pStyle w:val="Sansinterligne"/>
              <w:spacing w:before="240" w:after="240"/>
              <w:jc w:val="right"/>
              <w:rPr>
                <w:rFonts w:asciiTheme="minorBidi" w:hAnsiTheme="minorBidi"/>
                <w:b/>
                <w:bCs/>
                <w:lang w:val="en-US" w:eastAsia="en-GB"/>
              </w:rPr>
            </w:pPr>
            <w:r w:rsidRPr="002E26EC">
              <w:rPr>
                <w:rFonts w:asciiTheme="minorBidi" w:hAnsiTheme="minorBidi"/>
                <w:b/>
                <w:bCs/>
                <w:spacing w:val="-3"/>
                <w:lang w:eastAsia="en-GB"/>
              </w:rPr>
              <w:t>Article 10</w:t>
            </w:r>
          </w:p>
        </w:tc>
        <w:tc>
          <w:tcPr>
            <w:tcW w:w="8215" w:type="dxa"/>
          </w:tcPr>
          <w:p w14:paraId="2A44B337" w14:textId="3D04FF55" w:rsidR="00591458" w:rsidRPr="00B2338F" w:rsidRDefault="00591458" w:rsidP="00825A9A">
            <w:pPr>
              <w:pStyle w:val="Sansinterligne"/>
              <w:spacing w:before="240" w:after="240"/>
              <w:rPr>
                <w:rFonts w:asciiTheme="minorBidi" w:hAnsiTheme="minorBidi"/>
                <w:spacing w:val="-3"/>
                <w:lang w:val="en-GB" w:eastAsia="en-GB"/>
              </w:rPr>
            </w:pPr>
            <w:r w:rsidRPr="00B2338F">
              <w:rPr>
                <w:rFonts w:asciiTheme="minorBidi" w:hAnsiTheme="minorBidi"/>
                <w:b/>
                <w:bCs/>
                <w:spacing w:val="-3"/>
                <w:lang w:val="en-GB" w:eastAsia="en-GB"/>
              </w:rPr>
              <w:t>Reporting</w:t>
            </w:r>
          </w:p>
        </w:tc>
      </w:tr>
      <w:tr w:rsidR="00591458" w:rsidRPr="002F61AE" w14:paraId="3DADE705" w14:textId="77777777" w:rsidTr="00825A9A">
        <w:tc>
          <w:tcPr>
            <w:tcW w:w="1413" w:type="dxa"/>
          </w:tcPr>
          <w:p w14:paraId="39C2DB0D" w14:textId="1AB4F163"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10.1</w:t>
            </w:r>
          </w:p>
        </w:tc>
        <w:tc>
          <w:tcPr>
            <w:tcW w:w="8215" w:type="dxa"/>
          </w:tcPr>
          <w:p w14:paraId="035A63A8" w14:textId="456010D0" w:rsidR="00591458" w:rsidRPr="002E26EC" w:rsidRDefault="00591458" w:rsidP="00825A9A">
            <w:pPr>
              <w:pStyle w:val="Sansinterligne"/>
              <w:spacing w:after="240"/>
              <w:rPr>
                <w:rFonts w:asciiTheme="minorBidi" w:hAnsiTheme="minorBidi"/>
                <w:spacing w:val="-3"/>
                <w:lang w:val="en-US" w:eastAsia="en-GB"/>
              </w:rPr>
            </w:pPr>
            <w:r w:rsidRPr="002E26EC">
              <w:rPr>
                <w:rFonts w:asciiTheme="minorBidi" w:hAnsiTheme="minorBidi"/>
                <w:snapToGrid w:val="0"/>
                <w:lang w:val="en-US"/>
              </w:rPr>
              <w:t xml:space="preserve">A biennial financial report showing the income and expenditure under the Special Account shall be prepared and submitted to the Committee and the General Assembly. </w:t>
            </w:r>
          </w:p>
        </w:tc>
      </w:tr>
      <w:tr w:rsidR="00591458" w:rsidRPr="002F61AE" w14:paraId="386DC0DE" w14:textId="77777777" w:rsidTr="00825A9A">
        <w:tc>
          <w:tcPr>
            <w:tcW w:w="1413" w:type="dxa"/>
          </w:tcPr>
          <w:p w14:paraId="51961BC2" w14:textId="747200C0"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10.2</w:t>
            </w:r>
          </w:p>
        </w:tc>
        <w:tc>
          <w:tcPr>
            <w:tcW w:w="8215" w:type="dxa"/>
          </w:tcPr>
          <w:p w14:paraId="06B3BD31" w14:textId="3C87EB71" w:rsidR="00591458" w:rsidRPr="002E26EC" w:rsidRDefault="00591458" w:rsidP="00825A9A">
            <w:pPr>
              <w:suppressAutoHyphens/>
              <w:spacing w:after="120"/>
              <w:rPr>
                <w:rFonts w:asciiTheme="minorBidi" w:hAnsiTheme="minorBidi"/>
                <w:spacing w:val="-3"/>
                <w:lang w:val="en-US" w:eastAsia="en-GB"/>
              </w:rPr>
            </w:pPr>
            <w:r w:rsidRPr="002E26EC">
              <w:rPr>
                <w:rFonts w:asciiTheme="minorBidi" w:hAnsiTheme="minorBidi" w:cstheme="minorBidi"/>
                <w:spacing w:val="-3"/>
                <w:sz w:val="22"/>
                <w:szCs w:val="22"/>
                <w:lang w:val="en-US" w:eastAsia="en-GB"/>
              </w:rPr>
              <w:t xml:space="preserve">A biennial narrative report shall be submitted to the Committee and the General Assembly. </w:t>
            </w:r>
          </w:p>
        </w:tc>
      </w:tr>
      <w:tr w:rsidR="00591458" w:rsidRPr="002F61AE" w14:paraId="2FE37C67" w14:textId="77777777" w:rsidTr="00825A9A">
        <w:tc>
          <w:tcPr>
            <w:tcW w:w="1413" w:type="dxa"/>
          </w:tcPr>
          <w:p w14:paraId="4CDC3606" w14:textId="44736D11" w:rsidR="00591458" w:rsidRPr="002E26EC" w:rsidRDefault="00591458" w:rsidP="00825A9A">
            <w:pPr>
              <w:pStyle w:val="Sansinterligne"/>
              <w:spacing w:before="240" w:after="240"/>
              <w:jc w:val="right"/>
              <w:rPr>
                <w:rFonts w:asciiTheme="minorBidi" w:hAnsiTheme="minorBidi"/>
                <w:b/>
                <w:bCs/>
                <w:lang w:val="en-US" w:eastAsia="en-GB"/>
              </w:rPr>
            </w:pPr>
            <w:r w:rsidRPr="002E26EC">
              <w:rPr>
                <w:rFonts w:asciiTheme="minorBidi" w:hAnsiTheme="minorBidi"/>
                <w:b/>
                <w:bCs/>
                <w:spacing w:val="-3"/>
                <w:lang w:val="en-US" w:eastAsia="en-GB"/>
              </w:rPr>
              <w:t>Article 11</w:t>
            </w:r>
          </w:p>
        </w:tc>
        <w:tc>
          <w:tcPr>
            <w:tcW w:w="8215" w:type="dxa"/>
          </w:tcPr>
          <w:p w14:paraId="37115B2C" w14:textId="1B2C0610" w:rsidR="00591458" w:rsidRPr="002E26EC" w:rsidRDefault="00591458" w:rsidP="00825A9A">
            <w:pPr>
              <w:pStyle w:val="Sansinterligne"/>
              <w:spacing w:before="240" w:after="240"/>
              <w:rPr>
                <w:rFonts w:asciiTheme="minorBidi" w:hAnsiTheme="minorBidi"/>
                <w:spacing w:val="-3"/>
                <w:lang w:val="en-US" w:eastAsia="en-GB"/>
              </w:rPr>
            </w:pPr>
            <w:r w:rsidRPr="002E26EC">
              <w:rPr>
                <w:rFonts w:asciiTheme="minorBidi" w:hAnsiTheme="minorBidi"/>
                <w:b/>
                <w:bCs/>
                <w:spacing w:val="-3"/>
                <w:lang w:val="en-US" w:eastAsia="en-GB"/>
              </w:rPr>
              <w:t>Closure of the Special Account</w:t>
            </w:r>
          </w:p>
        </w:tc>
      </w:tr>
      <w:tr w:rsidR="00591458" w:rsidRPr="002F61AE" w14:paraId="30CC7D24" w14:textId="77777777" w:rsidTr="00825A9A">
        <w:tc>
          <w:tcPr>
            <w:tcW w:w="1413" w:type="dxa"/>
          </w:tcPr>
          <w:p w14:paraId="6DFB4E4E" w14:textId="1171CF56"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11.1</w:t>
            </w:r>
          </w:p>
        </w:tc>
        <w:tc>
          <w:tcPr>
            <w:tcW w:w="8215" w:type="dxa"/>
          </w:tcPr>
          <w:p w14:paraId="5CF7FDB2" w14:textId="7C7C9CBC" w:rsidR="00591458" w:rsidRPr="002E26EC" w:rsidRDefault="00591458" w:rsidP="00825A9A">
            <w:pPr>
              <w:pStyle w:val="Sansinterligne"/>
              <w:spacing w:after="240"/>
              <w:rPr>
                <w:rFonts w:asciiTheme="minorBidi" w:hAnsiTheme="minorBidi"/>
                <w:spacing w:val="-3"/>
                <w:lang w:val="en-US" w:eastAsia="en-GB"/>
              </w:rPr>
            </w:pPr>
            <w:r w:rsidRPr="002E26EC">
              <w:rPr>
                <w:rFonts w:asciiTheme="minorBidi" w:hAnsiTheme="minorBidi"/>
                <w:spacing w:val="-3"/>
                <w:lang w:val="en-US" w:eastAsia="en-GB"/>
              </w:rPr>
              <w:t xml:space="preserve">The Director-General shall consult the </w:t>
            </w:r>
            <w:r w:rsidRPr="002E26EC">
              <w:rPr>
                <w:rFonts w:asciiTheme="minorBidi" w:hAnsiTheme="minorBidi"/>
                <w:lang w:val="en-US" w:eastAsia="en-GB"/>
              </w:rPr>
              <w:t xml:space="preserve">General Assembly </w:t>
            </w:r>
            <w:r w:rsidRPr="002E26EC">
              <w:rPr>
                <w:rFonts w:asciiTheme="minorBidi" w:hAnsiTheme="minorBidi"/>
                <w:spacing w:val="-3"/>
                <w:lang w:val="en-US" w:eastAsia="en-GB"/>
              </w:rPr>
              <w:t>at such time as he/she deems that the operation of the Special Account is no longer necessary. Such consultation shall cover the decision on the use of any unspent balance.</w:t>
            </w:r>
          </w:p>
        </w:tc>
      </w:tr>
      <w:tr w:rsidR="00591458" w:rsidRPr="002F61AE" w14:paraId="6E3F9BE9" w14:textId="77777777" w:rsidTr="00825A9A">
        <w:tc>
          <w:tcPr>
            <w:tcW w:w="1413" w:type="dxa"/>
          </w:tcPr>
          <w:p w14:paraId="4D178F84" w14:textId="562BCC90"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11.2</w:t>
            </w:r>
          </w:p>
        </w:tc>
        <w:tc>
          <w:tcPr>
            <w:tcW w:w="8215" w:type="dxa"/>
          </w:tcPr>
          <w:p w14:paraId="1BE9AA86" w14:textId="346948BA" w:rsidR="00591458" w:rsidRPr="002E26EC" w:rsidRDefault="00591458" w:rsidP="00825A9A">
            <w:pPr>
              <w:pStyle w:val="Sansinterligne"/>
              <w:spacing w:after="240"/>
              <w:rPr>
                <w:rFonts w:asciiTheme="minorBidi" w:hAnsiTheme="minorBidi"/>
                <w:spacing w:val="-3"/>
                <w:lang w:val="en-US" w:eastAsia="en-GB"/>
              </w:rPr>
            </w:pPr>
            <w:r w:rsidRPr="002E26EC">
              <w:rPr>
                <w:rFonts w:asciiTheme="minorBidi" w:hAnsiTheme="minorBidi"/>
                <w:spacing w:val="-3"/>
                <w:lang w:val="en-US" w:eastAsia="en-GB"/>
              </w:rPr>
              <w:t xml:space="preserve">The decision of the </w:t>
            </w:r>
            <w:r w:rsidRPr="002E26EC">
              <w:rPr>
                <w:rFonts w:asciiTheme="minorBidi" w:hAnsiTheme="minorBidi"/>
                <w:lang w:val="en-US" w:eastAsia="en-GB"/>
              </w:rPr>
              <w:t xml:space="preserve">General Assembly </w:t>
            </w:r>
            <w:r w:rsidRPr="002E26EC">
              <w:rPr>
                <w:rFonts w:asciiTheme="minorBidi" w:hAnsiTheme="minorBidi"/>
                <w:spacing w:val="-3"/>
                <w:lang w:val="en-US" w:eastAsia="en-GB"/>
              </w:rPr>
              <w:t>shall be transmitted to the Executive Board prior to the effective closure of the Special Account.</w:t>
            </w:r>
          </w:p>
        </w:tc>
      </w:tr>
      <w:tr w:rsidR="00591458" w:rsidRPr="002E26EC" w14:paraId="2AEFC11E" w14:textId="77777777" w:rsidTr="00825A9A">
        <w:tc>
          <w:tcPr>
            <w:tcW w:w="1413" w:type="dxa"/>
          </w:tcPr>
          <w:p w14:paraId="4618C186" w14:textId="41D32325" w:rsidR="00591458" w:rsidRPr="002E26EC" w:rsidRDefault="00591458" w:rsidP="00825A9A">
            <w:pPr>
              <w:pStyle w:val="Sansinterligne"/>
              <w:spacing w:before="240" w:after="240"/>
              <w:jc w:val="right"/>
              <w:rPr>
                <w:rFonts w:asciiTheme="minorBidi" w:hAnsiTheme="minorBidi"/>
                <w:b/>
                <w:bCs/>
                <w:u w:val="single"/>
                <w:lang w:val="en-US" w:eastAsia="en-GB"/>
              </w:rPr>
            </w:pPr>
            <w:r w:rsidRPr="002E26EC">
              <w:rPr>
                <w:rFonts w:asciiTheme="minorBidi" w:hAnsiTheme="minorBidi"/>
                <w:b/>
                <w:bCs/>
                <w:spacing w:val="-3"/>
                <w:lang w:eastAsia="en-GB"/>
              </w:rPr>
              <w:t>Article 12</w:t>
            </w:r>
          </w:p>
        </w:tc>
        <w:tc>
          <w:tcPr>
            <w:tcW w:w="8215" w:type="dxa"/>
          </w:tcPr>
          <w:p w14:paraId="3EC51CD4" w14:textId="153F3072" w:rsidR="00591458" w:rsidRPr="002E26EC" w:rsidRDefault="00591458" w:rsidP="00825A9A">
            <w:pPr>
              <w:pStyle w:val="Sansinterligne"/>
              <w:spacing w:before="240" w:after="240"/>
              <w:rPr>
                <w:rFonts w:asciiTheme="minorBidi" w:hAnsiTheme="minorBidi"/>
                <w:spacing w:val="-3"/>
                <w:lang w:val="en-US" w:eastAsia="en-GB"/>
              </w:rPr>
            </w:pPr>
            <w:r w:rsidRPr="002E26EC">
              <w:rPr>
                <w:rFonts w:asciiTheme="minorBidi" w:hAnsiTheme="minorBidi"/>
                <w:b/>
              </w:rPr>
              <w:t>General provision</w:t>
            </w:r>
          </w:p>
        </w:tc>
      </w:tr>
      <w:tr w:rsidR="00591458" w:rsidRPr="002F61AE" w14:paraId="5FCEC089" w14:textId="77777777" w:rsidTr="00825A9A">
        <w:tc>
          <w:tcPr>
            <w:tcW w:w="1413" w:type="dxa"/>
          </w:tcPr>
          <w:p w14:paraId="1EFCB1B7" w14:textId="6953A499"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12.1</w:t>
            </w:r>
          </w:p>
        </w:tc>
        <w:tc>
          <w:tcPr>
            <w:tcW w:w="8215" w:type="dxa"/>
          </w:tcPr>
          <w:p w14:paraId="5F3A6F5A" w14:textId="33E50496" w:rsidR="00591458" w:rsidRPr="002E26EC" w:rsidRDefault="00591458" w:rsidP="00825A9A">
            <w:pPr>
              <w:pStyle w:val="Sansinterligne"/>
              <w:spacing w:after="240"/>
              <w:rPr>
                <w:rFonts w:asciiTheme="minorBidi" w:hAnsiTheme="minorBidi"/>
                <w:spacing w:val="-3"/>
                <w:lang w:val="en-US" w:eastAsia="en-GB"/>
              </w:rPr>
            </w:pPr>
            <w:r w:rsidRPr="002E26EC">
              <w:rPr>
                <w:rFonts w:asciiTheme="minorBidi" w:hAnsiTheme="minorBidi"/>
                <w:spacing w:val="-3"/>
                <w:lang w:val="en-US" w:eastAsia="en-GB"/>
              </w:rPr>
              <w:t xml:space="preserve">Any amendment to these Financial Regulations shall be approved by the </w:t>
            </w:r>
            <w:r w:rsidRPr="002E26EC">
              <w:rPr>
                <w:rFonts w:asciiTheme="minorBidi" w:hAnsiTheme="minorBidi"/>
                <w:lang w:val="en-US" w:eastAsia="en-GB"/>
              </w:rPr>
              <w:t>General Assembly</w:t>
            </w:r>
            <w:r w:rsidRPr="002E26EC">
              <w:rPr>
                <w:rFonts w:asciiTheme="minorBidi" w:hAnsiTheme="minorBidi"/>
                <w:spacing w:val="-3"/>
                <w:lang w:val="en-US" w:eastAsia="en-GB"/>
              </w:rPr>
              <w:t>. The Executive Board shall be informed accordingly of any such amendments.</w:t>
            </w:r>
          </w:p>
        </w:tc>
      </w:tr>
      <w:tr w:rsidR="00591458" w:rsidRPr="002F61AE" w14:paraId="6E730536" w14:textId="77777777" w:rsidTr="00825A9A">
        <w:tc>
          <w:tcPr>
            <w:tcW w:w="1413" w:type="dxa"/>
          </w:tcPr>
          <w:p w14:paraId="2A88F488" w14:textId="73EDCD80" w:rsidR="00591458" w:rsidRPr="002E26EC" w:rsidRDefault="00591458" w:rsidP="00591458">
            <w:pPr>
              <w:pStyle w:val="Sansinterligne"/>
              <w:spacing w:after="240"/>
              <w:jc w:val="right"/>
              <w:rPr>
                <w:rFonts w:asciiTheme="minorBidi" w:hAnsiTheme="minorBidi"/>
                <w:b/>
                <w:bCs/>
                <w:u w:val="single"/>
                <w:lang w:val="en-US" w:eastAsia="en-GB"/>
              </w:rPr>
            </w:pPr>
            <w:r w:rsidRPr="002E26EC">
              <w:rPr>
                <w:rFonts w:asciiTheme="minorBidi" w:hAnsiTheme="minorBidi"/>
                <w:spacing w:val="-3"/>
                <w:lang w:val="en-US" w:eastAsia="en-GB"/>
              </w:rPr>
              <w:t>12.2</w:t>
            </w:r>
          </w:p>
        </w:tc>
        <w:tc>
          <w:tcPr>
            <w:tcW w:w="8215" w:type="dxa"/>
          </w:tcPr>
          <w:p w14:paraId="6319C3A2" w14:textId="1746AC56" w:rsidR="00591458" w:rsidRPr="00EE1AB5" w:rsidRDefault="00591458" w:rsidP="00825A9A">
            <w:pPr>
              <w:pStyle w:val="Sansinterligne"/>
              <w:spacing w:after="240"/>
              <w:rPr>
                <w:rFonts w:asciiTheme="minorBidi" w:hAnsiTheme="minorBidi"/>
                <w:spacing w:val="-3"/>
                <w:lang w:val="en-US" w:eastAsia="en-GB"/>
              </w:rPr>
            </w:pPr>
            <w:r w:rsidRPr="002E26EC">
              <w:rPr>
                <w:rFonts w:asciiTheme="minorBidi" w:hAnsiTheme="minorBidi"/>
                <w:spacing w:val="-3"/>
                <w:lang w:val="en-US" w:eastAsia="en-GB"/>
              </w:rPr>
              <w:t>Unless otherwise provided in these Regulations, the Special Account shall be administered in accordance with the Financial Regulations of UNESCO.</w:t>
            </w:r>
          </w:p>
        </w:tc>
      </w:tr>
    </w:tbl>
    <w:p w14:paraId="6A0EF174" w14:textId="453C02CC" w:rsidR="00A432F7" w:rsidRPr="00825A9A" w:rsidRDefault="00A432F7" w:rsidP="0060226C">
      <w:pPr>
        <w:rPr>
          <w:u w:val="single"/>
          <w:lang w:val="en-GB"/>
        </w:rPr>
        <w:sectPr w:rsidR="00A432F7" w:rsidRPr="00825A9A" w:rsidSect="00176720">
          <w:headerReference w:type="even" r:id="rId53"/>
          <w:headerReference w:type="default" r:id="rId54"/>
          <w:headerReference w:type="first" r:id="rId55"/>
          <w:pgSz w:w="11906" w:h="16838" w:code="9"/>
          <w:pgMar w:top="1418" w:right="1134" w:bottom="1134" w:left="1134" w:header="397" w:footer="284" w:gutter="0"/>
          <w:cols w:space="708"/>
          <w:titlePg/>
          <w:docGrid w:linePitch="360"/>
        </w:sectPr>
      </w:pPr>
    </w:p>
    <w:p w14:paraId="71220612" w14:textId="77777777" w:rsidR="00C804EC" w:rsidRPr="00A432F7" w:rsidRDefault="00C804EC" w:rsidP="00C804EC">
      <w:pPr>
        <w:pStyle w:val="Sansinterligne"/>
        <w:jc w:val="center"/>
        <w:rPr>
          <w:rFonts w:ascii="Arial" w:hAnsi="Arial" w:cs="Arial"/>
          <w:b/>
          <w:lang w:val="en-US"/>
        </w:rPr>
      </w:pPr>
      <w:r w:rsidRPr="00A432F7">
        <w:rPr>
          <w:rFonts w:ascii="Arial" w:hAnsi="Arial" w:cs="Arial"/>
          <w:b/>
          <w:lang w:val="en-US"/>
        </w:rPr>
        <w:t>Annex III</w:t>
      </w:r>
    </w:p>
    <w:p w14:paraId="414FCEAF" w14:textId="77777777" w:rsidR="00C804EC" w:rsidRPr="00A432F7" w:rsidRDefault="00C804EC" w:rsidP="00C804EC">
      <w:pPr>
        <w:pStyle w:val="Sansinterligne"/>
        <w:jc w:val="center"/>
        <w:rPr>
          <w:rFonts w:ascii="Arial" w:hAnsi="Arial" w:cs="Arial"/>
          <w:b/>
          <w:lang w:val="en-US"/>
        </w:rPr>
      </w:pPr>
    </w:p>
    <w:p w14:paraId="2DB8EA04" w14:textId="77777777" w:rsidR="00C804EC" w:rsidRPr="00A432F7" w:rsidRDefault="00C804EC" w:rsidP="00C804EC">
      <w:pPr>
        <w:pStyle w:val="Sansinterligne"/>
        <w:jc w:val="center"/>
        <w:rPr>
          <w:rFonts w:ascii="Arial" w:hAnsi="Arial" w:cs="Arial"/>
          <w:b/>
          <w:lang w:val="en-US"/>
        </w:rPr>
      </w:pPr>
      <w:r w:rsidRPr="00A432F7">
        <w:rPr>
          <w:rFonts w:ascii="Arial" w:hAnsi="Arial" w:cs="Arial"/>
          <w:b/>
          <w:lang w:val="en-US"/>
        </w:rPr>
        <w:t>Proposed revisions to the Financial Regulations of the Special Account for</w:t>
      </w:r>
    </w:p>
    <w:p w14:paraId="29F65826" w14:textId="77777777" w:rsidR="00C804EC" w:rsidRPr="00A432F7" w:rsidRDefault="00C804EC" w:rsidP="00C804EC">
      <w:pPr>
        <w:pStyle w:val="Sansinterligne"/>
        <w:spacing w:after="240"/>
        <w:jc w:val="center"/>
        <w:rPr>
          <w:rFonts w:ascii="Arial" w:hAnsi="Arial" w:cs="Arial"/>
          <w:b/>
          <w:lang w:val="en-US"/>
        </w:rPr>
      </w:pPr>
      <w:r w:rsidRPr="00A432F7">
        <w:rPr>
          <w:rFonts w:ascii="Arial" w:hAnsi="Arial" w:cs="Arial"/>
          <w:b/>
          <w:lang w:val="en-US"/>
        </w:rPr>
        <w:t xml:space="preserve"> the Fund for the Safeguarding of the Intangible Cultural Heritage in accordance with 200 EX/Decision 19</w:t>
      </w:r>
    </w:p>
    <w:tbl>
      <w:tblPr>
        <w:tblStyle w:val="Grilledutableau"/>
        <w:tblW w:w="14312" w:type="dxa"/>
        <w:tblLayout w:type="fixed"/>
        <w:tblLook w:val="04A0" w:firstRow="1" w:lastRow="0" w:firstColumn="1" w:lastColumn="0" w:noHBand="0" w:noVBand="1"/>
      </w:tblPr>
      <w:tblGrid>
        <w:gridCol w:w="1129"/>
        <w:gridCol w:w="4253"/>
        <w:gridCol w:w="1417"/>
        <w:gridCol w:w="7513"/>
      </w:tblGrid>
      <w:tr w:rsidR="009978D2" w:rsidRPr="002F61AE" w14:paraId="31A0707D" w14:textId="77777777" w:rsidTr="009B7D9D">
        <w:trPr>
          <w:cantSplit/>
        </w:trPr>
        <w:tc>
          <w:tcPr>
            <w:tcW w:w="5382" w:type="dxa"/>
            <w:gridSpan w:val="2"/>
            <w:shd w:val="clear" w:color="auto" w:fill="E7E6E6" w:themeFill="background2"/>
          </w:tcPr>
          <w:p w14:paraId="6AA06239" w14:textId="77777777" w:rsidR="009978D2" w:rsidRPr="00A432F7" w:rsidRDefault="009978D2" w:rsidP="009978D2">
            <w:pPr>
              <w:pStyle w:val="Sansinterligne"/>
              <w:jc w:val="center"/>
              <w:rPr>
                <w:rFonts w:ascii="Arial" w:hAnsi="Arial" w:cs="Arial"/>
                <w:lang w:val="en-US"/>
              </w:rPr>
            </w:pPr>
            <w:r w:rsidRPr="00A432F7">
              <w:rPr>
                <w:rFonts w:ascii="Arial" w:hAnsi="Arial" w:cs="Arial"/>
                <w:lang w:val="en-US"/>
              </w:rPr>
              <w:t>Financial Regulations of the Special Account for</w:t>
            </w:r>
          </w:p>
          <w:p w14:paraId="25E51C4B" w14:textId="37BDE3D9" w:rsidR="009978D2" w:rsidRPr="00A432F7" w:rsidRDefault="009978D2" w:rsidP="009978D2">
            <w:pPr>
              <w:pStyle w:val="Sansinterligne"/>
              <w:jc w:val="center"/>
              <w:rPr>
                <w:rFonts w:ascii="Arial" w:hAnsi="Arial" w:cs="Arial"/>
                <w:lang w:val="en-US"/>
              </w:rPr>
            </w:pPr>
            <w:r w:rsidRPr="00A432F7">
              <w:rPr>
                <w:rFonts w:ascii="Arial" w:hAnsi="Arial" w:cs="Arial"/>
                <w:lang w:val="en-US"/>
              </w:rPr>
              <w:t xml:space="preserve"> the Fund for the Safeguarding of the Intangible Cultural Heritage </w:t>
            </w:r>
          </w:p>
        </w:tc>
        <w:tc>
          <w:tcPr>
            <w:tcW w:w="8930" w:type="dxa"/>
            <w:gridSpan w:val="2"/>
            <w:shd w:val="clear" w:color="auto" w:fill="E7E6E6" w:themeFill="background2"/>
          </w:tcPr>
          <w:p w14:paraId="617B3F30" w14:textId="77777777" w:rsidR="009978D2" w:rsidRDefault="009978D2" w:rsidP="009978D2">
            <w:pPr>
              <w:spacing w:after="120"/>
              <w:jc w:val="center"/>
              <w:rPr>
                <w:rFonts w:ascii="Arial" w:hAnsi="Arial" w:cs="Arial"/>
                <w:sz w:val="22"/>
                <w:szCs w:val="22"/>
                <w:lang w:val="en-US"/>
              </w:rPr>
            </w:pPr>
            <w:r w:rsidRPr="00A432F7">
              <w:rPr>
                <w:rFonts w:ascii="Arial" w:hAnsi="Arial" w:cs="Arial"/>
                <w:sz w:val="22"/>
                <w:szCs w:val="22"/>
                <w:lang w:val="en-US"/>
              </w:rPr>
              <w:t>Proposed revisions</w:t>
            </w:r>
          </w:p>
          <w:p w14:paraId="5033FB63" w14:textId="77777777" w:rsidR="009978D2" w:rsidRPr="00A432F7" w:rsidRDefault="009978D2" w:rsidP="009978D2">
            <w:pPr>
              <w:spacing w:after="120"/>
              <w:jc w:val="center"/>
              <w:rPr>
                <w:rFonts w:ascii="Arial" w:hAnsi="Arial" w:cs="Arial"/>
                <w:sz w:val="22"/>
                <w:szCs w:val="22"/>
                <w:lang w:val="en-US"/>
              </w:rPr>
            </w:pPr>
            <w:bookmarkStart w:id="12" w:name="_Hlk47539928"/>
            <w:r>
              <w:rPr>
                <w:rFonts w:ascii="Arial" w:hAnsi="Arial" w:cs="Arial"/>
                <w:sz w:val="22"/>
                <w:szCs w:val="22"/>
                <w:lang w:val="en-US"/>
              </w:rPr>
              <w:t xml:space="preserve">in line with the </w:t>
            </w:r>
            <w:r w:rsidRPr="00825A9A">
              <w:rPr>
                <w:rFonts w:ascii="Arial" w:hAnsi="Arial" w:cs="Arial"/>
                <w:iCs/>
                <w:spacing w:val="-3"/>
                <w:sz w:val="22"/>
                <w:szCs w:val="22"/>
                <w:lang w:val="en-GB" w:eastAsia="en-GB"/>
              </w:rPr>
              <w:t>Model Financial Regulations for Special Account related to Conventions endorsed by the UNESCO Executive Board</w:t>
            </w:r>
            <w:bookmarkEnd w:id="12"/>
          </w:p>
        </w:tc>
      </w:tr>
      <w:tr w:rsidR="009978D2" w:rsidRPr="002F61AE" w14:paraId="4D883E1A" w14:textId="77777777" w:rsidTr="009B7D9D">
        <w:trPr>
          <w:cantSplit/>
        </w:trPr>
        <w:tc>
          <w:tcPr>
            <w:tcW w:w="1129" w:type="dxa"/>
            <w:tcBorders>
              <w:right w:val="nil"/>
            </w:tcBorders>
          </w:tcPr>
          <w:p w14:paraId="73082E78"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1</w:t>
            </w:r>
          </w:p>
        </w:tc>
        <w:tc>
          <w:tcPr>
            <w:tcW w:w="4253" w:type="dxa"/>
            <w:tcBorders>
              <w:left w:val="nil"/>
            </w:tcBorders>
          </w:tcPr>
          <w:p w14:paraId="1BEBA13D"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Establishment of the Intangible Heritage Special Account</w:t>
            </w:r>
          </w:p>
        </w:tc>
        <w:tc>
          <w:tcPr>
            <w:tcW w:w="1417" w:type="dxa"/>
            <w:tcBorders>
              <w:right w:val="nil"/>
            </w:tcBorders>
          </w:tcPr>
          <w:p w14:paraId="39956D83"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bCs/>
                <w:sz w:val="22"/>
                <w:szCs w:val="22"/>
                <w:lang w:val="en-GB"/>
              </w:rPr>
              <w:t>Article 1</w:t>
            </w:r>
          </w:p>
        </w:tc>
        <w:tc>
          <w:tcPr>
            <w:tcW w:w="7513" w:type="dxa"/>
            <w:tcBorders>
              <w:left w:val="nil"/>
            </w:tcBorders>
          </w:tcPr>
          <w:p w14:paraId="349717F4" w14:textId="77777777" w:rsidR="009978D2" w:rsidRPr="00825A9A" w:rsidRDefault="009978D2" w:rsidP="009978D2">
            <w:pPr>
              <w:spacing w:after="120"/>
              <w:rPr>
                <w:rFonts w:ascii="Arial" w:hAnsi="Arial" w:cs="Arial"/>
                <w:b/>
                <w:sz w:val="22"/>
                <w:szCs w:val="22"/>
                <w:u w:val="single"/>
                <w:lang w:val="en-US"/>
              </w:rPr>
            </w:pPr>
            <w:r w:rsidRPr="0040477D">
              <w:rPr>
                <w:rFonts w:ascii="Arial" w:hAnsi="Arial" w:cs="Arial"/>
                <w:bCs/>
                <w:strike/>
                <w:sz w:val="22"/>
                <w:szCs w:val="22"/>
                <w:lang w:val="en-US"/>
              </w:rPr>
              <w:t xml:space="preserve">Establishment of the Intangible Heritage </w:t>
            </w:r>
            <w:r w:rsidRPr="00825A9A">
              <w:rPr>
                <w:rFonts w:ascii="Arial" w:hAnsi="Arial" w:cs="Arial"/>
                <w:b/>
                <w:sz w:val="22"/>
                <w:szCs w:val="22"/>
                <w:u w:val="single"/>
                <w:lang w:val="en-US"/>
              </w:rPr>
              <w:t>Creation of a</w:t>
            </w:r>
            <w:r w:rsidRPr="0040477D">
              <w:rPr>
                <w:rFonts w:ascii="Arial" w:hAnsi="Arial" w:cs="Arial"/>
                <w:bCs/>
                <w:sz w:val="22"/>
                <w:szCs w:val="22"/>
                <w:lang w:val="en-US"/>
              </w:rPr>
              <w:t xml:space="preserve"> Special Account</w:t>
            </w:r>
          </w:p>
        </w:tc>
      </w:tr>
      <w:tr w:rsidR="009978D2" w:rsidRPr="002F61AE" w14:paraId="63DDB756" w14:textId="77777777" w:rsidTr="009B7D9D">
        <w:trPr>
          <w:cantSplit/>
        </w:trPr>
        <w:tc>
          <w:tcPr>
            <w:tcW w:w="1129" w:type="dxa"/>
            <w:tcBorders>
              <w:right w:val="nil"/>
            </w:tcBorders>
          </w:tcPr>
          <w:p w14:paraId="7EC34B46"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1.1</w:t>
            </w:r>
          </w:p>
        </w:tc>
        <w:tc>
          <w:tcPr>
            <w:tcW w:w="4253" w:type="dxa"/>
            <w:tcBorders>
              <w:left w:val="nil"/>
            </w:tcBorders>
          </w:tcPr>
          <w:p w14:paraId="252BC8D9"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Article 25 of the Convention for the Safeguarding of the Intangible Cultural Heritage (hereinafter referred to as the ‘Convention’) establishes a Fund called the Fund for the Safeguarding of the Intangible Cultural Heritage (hereinafter referred to as the ‘Fund’). Given the multi-donor nature of the Fund, it will be managed as a Special Account.</w:t>
            </w:r>
          </w:p>
        </w:tc>
        <w:tc>
          <w:tcPr>
            <w:tcW w:w="1417" w:type="dxa"/>
            <w:tcBorders>
              <w:right w:val="nil"/>
            </w:tcBorders>
          </w:tcPr>
          <w:p w14:paraId="1BC4EF98" w14:textId="77777777" w:rsidR="009978D2" w:rsidRPr="00A432F7" w:rsidRDefault="009978D2" w:rsidP="009978D2">
            <w:pPr>
              <w:pStyle w:val="Paragraphedeliste"/>
              <w:numPr>
                <w:ilvl w:val="1"/>
                <w:numId w:val="9"/>
              </w:numPr>
              <w:tabs>
                <w:tab w:val="left" w:pos="567"/>
              </w:tabs>
              <w:snapToGrid w:val="0"/>
              <w:spacing w:after="120"/>
              <w:contextualSpacing w:val="0"/>
              <w:rPr>
                <w:rFonts w:ascii="Arial" w:hAnsi="Arial" w:cs="Arial"/>
                <w:sz w:val="22"/>
                <w:szCs w:val="22"/>
                <w:lang w:val="en-US"/>
              </w:rPr>
            </w:pPr>
            <w:r>
              <w:rPr>
                <w:rFonts w:ascii="Arial" w:hAnsi="Arial" w:cs="Arial"/>
                <w:sz w:val="22"/>
                <w:szCs w:val="22"/>
                <w:lang w:val="en-US"/>
              </w:rPr>
              <w:t xml:space="preserve"> </w:t>
            </w:r>
          </w:p>
        </w:tc>
        <w:tc>
          <w:tcPr>
            <w:tcW w:w="7513" w:type="dxa"/>
            <w:tcBorders>
              <w:left w:val="nil"/>
            </w:tcBorders>
          </w:tcPr>
          <w:p w14:paraId="6D286DFC"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Article 25 of the Convention for the Safeguarding of the Intangible Cultural Heritage (hereinafter referred to as the ‘Convention’) establishes a Fund called the Fund for the Safeguarding of the Intangible Cultural Heritage (hereinafter referred to as the ‘Fund’). </w:t>
            </w:r>
            <w:r w:rsidRPr="00825A9A">
              <w:rPr>
                <w:rFonts w:ascii="Arial" w:hAnsi="Arial" w:cs="Arial"/>
                <w:strike/>
                <w:sz w:val="22"/>
                <w:szCs w:val="22"/>
                <w:lang w:val="en-US"/>
              </w:rPr>
              <w:t>Given the multi-donor nature of the Fund, it will be managed as a Special Account.</w:t>
            </w:r>
          </w:p>
        </w:tc>
      </w:tr>
      <w:tr w:rsidR="009978D2" w:rsidRPr="002F61AE" w14:paraId="3F774C4E" w14:textId="77777777" w:rsidTr="009B7D9D">
        <w:trPr>
          <w:cantSplit/>
        </w:trPr>
        <w:tc>
          <w:tcPr>
            <w:tcW w:w="1129" w:type="dxa"/>
            <w:tcBorders>
              <w:right w:val="nil"/>
            </w:tcBorders>
          </w:tcPr>
          <w:p w14:paraId="4BCF5CF2"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1.2</w:t>
            </w:r>
          </w:p>
        </w:tc>
        <w:tc>
          <w:tcPr>
            <w:tcW w:w="4253" w:type="dxa"/>
            <w:tcBorders>
              <w:left w:val="nil"/>
            </w:tcBorders>
          </w:tcPr>
          <w:p w14:paraId="6D2D8FAC"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In accordance with Article 6.6 of the Financial Regulations of UNESCO, there is hereby created a Special Account for the Fund for the Safeguarding of the Intangible Cultural Heritage (hereinafter referred to as the ‘Special Account’).</w:t>
            </w:r>
          </w:p>
        </w:tc>
        <w:tc>
          <w:tcPr>
            <w:tcW w:w="1417" w:type="dxa"/>
            <w:tcBorders>
              <w:right w:val="nil"/>
            </w:tcBorders>
          </w:tcPr>
          <w:p w14:paraId="07ED9892"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1.2</w:t>
            </w:r>
          </w:p>
        </w:tc>
        <w:tc>
          <w:tcPr>
            <w:tcW w:w="7513" w:type="dxa"/>
            <w:tcBorders>
              <w:left w:val="nil"/>
            </w:tcBorders>
          </w:tcPr>
          <w:p w14:paraId="4102DFD9"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 xml:space="preserve">In accordance with </w:t>
            </w:r>
            <w:r w:rsidRPr="00A432F7">
              <w:rPr>
                <w:rFonts w:ascii="Arial" w:hAnsi="Arial" w:cs="Arial"/>
                <w:strike/>
                <w:spacing w:val="-3"/>
                <w:sz w:val="22"/>
                <w:szCs w:val="22"/>
                <w:lang w:val="en-US" w:eastAsia="en-GB"/>
              </w:rPr>
              <w:t>Article 6.6</w:t>
            </w:r>
            <w:r w:rsidRPr="00A432F7">
              <w:rPr>
                <w:rFonts w:ascii="Arial" w:hAnsi="Arial" w:cs="Arial"/>
                <w:spacing w:val="-3"/>
                <w:sz w:val="22"/>
                <w:szCs w:val="22"/>
                <w:lang w:val="en-US" w:eastAsia="en-GB"/>
              </w:rPr>
              <w:t xml:space="preserve"> </w:t>
            </w:r>
            <w:r w:rsidRPr="00A432F7">
              <w:rPr>
                <w:rFonts w:ascii="Arial" w:hAnsi="Arial" w:cs="Arial"/>
                <w:b/>
                <w:bCs/>
                <w:spacing w:val="-3"/>
                <w:sz w:val="22"/>
                <w:szCs w:val="22"/>
                <w:u w:val="single"/>
                <w:lang w:val="en-US" w:eastAsia="en-GB"/>
              </w:rPr>
              <w:t>Article 25 of the Convention and Article 6, paragraphs 5 and 6,</w:t>
            </w:r>
            <w:r w:rsidRPr="00A432F7">
              <w:rPr>
                <w:rFonts w:ascii="Arial" w:hAnsi="Arial" w:cs="Arial"/>
                <w:spacing w:val="-3"/>
                <w:sz w:val="22"/>
                <w:szCs w:val="22"/>
                <w:lang w:val="en-US" w:eastAsia="en-GB"/>
              </w:rPr>
              <w:t xml:space="preserve"> of the Financial Regulations of UNESCO, there is hereby created a Special Account for </w:t>
            </w:r>
            <w:r w:rsidRPr="00A432F7">
              <w:rPr>
                <w:rFonts w:ascii="Arial" w:hAnsi="Arial" w:cs="Arial"/>
                <w:sz w:val="22"/>
                <w:szCs w:val="22"/>
                <w:lang w:val="en-US"/>
              </w:rPr>
              <w:t>the Fund for the Safeguarding of the Intangible Cultural Heritage (hereinafter referred to as the ‘Special Account’).</w:t>
            </w:r>
          </w:p>
        </w:tc>
      </w:tr>
      <w:tr w:rsidR="009978D2" w:rsidRPr="009978D2" w14:paraId="50E05B47" w14:textId="77777777" w:rsidTr="009B7D9D">
        <w:trPr>
          <w:cantSplit/>
        </w:trPr>
        <w:tc>
          <w:tcPr>
            <w:tcW w:w="1129" w:type="dxa"/>
            <w:tcBorders>
              <w:right w:val="nil"/>
            </w:tcBorders>
          </w:tcPr>
          <w:p w14:paraId="5EB72E7E"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1.3</w:t>
            </w:r>
          </w:p>
        </w:tc>
        <w:tc>
          <w:tcPr>
            <w:tcW w:w="4253" w:type="dxa"/>
            <w:tcBorders>
              <w:left w:val="nil"/>
            </w:tcBorders>
          </w:tcPr>
          <w:p w14:paraId="347F6FAA"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following regulations shall govern the operation of the Special Account.</w:t>
            </w:r>
          </w:p>
        </w:tc>
        <w:tc>
          <w:tcPr>
            <w:tcW w:w="1417" w:type="dxa"/>
            <w:tcBorders>
              <w:right w:val="nil"/>
            </w:tcBorders>
          </w:tcPr>
          <w:p w14:paraId="17EBA912"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1.3</w:t>
            </w:r>
          </w:p>
        </w:tc>
        <w:tc>
          <w:tcPr>
            <w:tcW w:w="7513" w:type="dxa"/>
            <w:tcBorders>
              <w:left w:val="nil"/>
            </w:tcBorders>
          </w:tcPr>
          <w:p w14:paraId="46C1E8FC"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No change.</w:t>
            </w:r>
          </w:p>
        </w:tc>
      </w:tr>
      <w:tr w:rsidR="009978D2" w:rsidRPr="00A432F7" w14:paraId="6F4EB4DA" w14:textId="77777777" w:rsidTr="009B7D9D">
        <w:trPr>
          <w:cantSplit/>
        </w:trPr>
        <w:tc>
          <w:tcPr>
            <w:tcW w:w="1129" w:type="dxa"/>
            <w:tcBorders>
              <w:right w:val="nil"/>
            </w:tcBorders>
          </w:tcPr>
          <w:p w14:paraId="4A1AA3C9"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2</w:t>
            </w:r>
          </w:p>
        </w:tc>
        <w:tc>
          <w:tcPr>
            <w:tcW w:w="4253" w:type="dxa"/>
            <w:tcBorders>
              <w:left w:val="nil"/>
            </w:tcBorders>
          </w:tcPr>
          <w:p w14:paraId="7B0A2C8F"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Financial period</w:t>
            </w:r>
          </w:p>
        </w:tc>
        <w:tc>
          <w:tcPr>
            <w:tcW w:w="1417" w:type="dxa"/>
            <w:tcBorders>
              <w:right w:val="nil"/>
            </w:tcBorders>
          </w:tcPr>
          <w:p w14:paraId="505C6249" w14:textId="77777777" w:rsidR="009978D2" w:rsidRPr="00A432F7" w:rsidRDefault="009978D2" w:rsidP="009978D2">
            <w:pPr>
              <w:suppressAutoHyphens/>
              <w:spacing w:after="120"/>
              <w:rPr>
                <w:rFonts w:ascii="Arial" w:hAnsi="Arial" w:cs="Arial"/>
                <w:b/>
                <w:sz w:val="22"/>
                <w:szCs w:val="22"/>
                <w:lang w:val="en-US"/>
              </w:rPr>
            </w:pPr>
            <w:r w:rsidRPr="00A432F7">
              <w:rPr>
                <w:rFonts w:ascii="Arial" w:hAnsi="Arial" w:cs="Arial"/>
                <w:b/>
                <w:bCs/>
                <w:spacing w:val="-3"/>
                <w:sz w:val="22"/>
                <w:szCs w:val="22"/>
                <w:lang w:eastAsia="en-GB"/>
              </w:rPr>
              <w:t>Article 2</w:t>
            </w:r>
          </w:p>
        </w:tc>
        <w:tc>
          <w:tcPr>
            <w:tcW w:w="7513" w:type="dxa"/>
            <w:tcBorders>
              <w:left w:val="nil"/>
            </w:tcBorders>
          </w:tcPr>
          <w:p w14:paraId="03335993" w14:textId="77777777" w:rsidR="009978D2" w:rsidRPr="00A432F7" w:rsidRDefault="009978D2" w:rsidP="009978D2">
            <w:pPr>
              <w:suppressAutoHyphens/>
              <w:spacing w:after="120"/>
              <w:rPr>
                <w:rFonts w:ascii="Arial" w:hAnsi="Arial" w:cs="Arial"/>
                <w:bCs/>
                <w:sz w:val="22"/>
                <w:szCs w:val="22"/>
                <w:lang w:val="en-US"/>
              </w:rPr>
            </w:pPr>
            <w:r w:rsidRPr="00A432F7">
              <w:rPr>
                <w:rFonts w:ascii="Arial" w:hAnsi="Arial" w:cs="Arial"/>
                <w:bCs/>
                <w:sz w:val="22"/>
                <w:szCs w:val="22"/>
                <w:lang w:val="en-US"/>
              </w:rPr>
              <w:t>No change.</w:t>
            </w:r>
          </w:p>
        </w:tc>
      </w:tr>
      <w:tr w:rsidR="009978D2" w:rsidRPr="002F61AE" w14:paraId="7B08530A" w14:textId="77777777" w:rsidTr="009B7D9D">
        <w:trPr>
          <w:cantSplit/>
        </w:trPr>
        <w:tc>
          <w:tcPr>
            <w:tcW w:w="1129" w:type="dxa"/>
            <w:tcBorders>
              <w:right w:val="nil"/>
            </w:tcBorders>
          </w:tcPr>
          <w:p w14:paraId="397D0B34"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0D23950C"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financial period shall correspond to that of UNESCO.</w:t>
            </w:r>
          </w:p>
        </w:tc>
        <w:tc>
          <w:tcPr>
            <w:tcW w:w="1417" w:type="dxa"/>
            <w:tcBorders>
              <w:right w:val="nil"/>
            </w:tcBorders>
          </w:tcPr>
          <w:p w14:paraId="2919A7F4"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b/>
                <w:bCs/>
                <w:spacing w:val="-3"/>
                <w:sz w:val="22"/>
                <w:szCs w:val="22"/>
                <w:u w:val="single"/>
                <w:lang w:val="en-US" w:eastAsia="en-GB"/>
              </w:rPr>
              <w:t>2.1</w:t>
            </w:r>
          </w:p>
        </w:tc>
        <w:tc>
          <w:tcPr>
            <w:tcW w:w="7513" w:type="dxa"/>
            <w:tcBorders>
              <w:left w:val="nil"/>
            </w:tcBorders>
          </w:tcPr>
          <w:p w14:paraId="584D1720"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 xml:space="preserve">The financial period </w:t>
            </w:r>
            <w:r w:rsidRPr="00A432F7">
              <w:rPr>
                <w:rFonts w:ascii="Arial" w:hAnsi="Arial" w:cs="Arial"/>
                <w:b/>
                <w:bCs/>
                <w:spacing w:val="-3"/>
                <w:sz w:val="22"/>
                <w:szCs w:val="22"/>
                <w:u w:val="single"/>
                <w:lang w:val="en-US" w:eastAsia="en-GB"/>
              </w:rPr>
              <w:t>for budget estimates shall be two consecutive calendar years beginning with an even-numbered year</w:t>
            </w:r>
            <w:r w:rsidRPr="00A432F7">
              <w:rPr>
                <w:rFonts w:ascii="Arial" w:hAnsi="Arial" w:cs="Arial"/>
                <w:b/>
                <w:bCs/>
                <w:spacing w:val="-3"/>
                <w:sz w:val="22"/>
                <w:szCs w:val="22"/>
                <w:lang w:val="en-US" w:eastAsia="en-GB"/>
              </w:rPr>
              <w:t xml:space="preserve"> </w:t>
            </w:r>
            <w:r w:rsidRPr="00A432F7">
              <w:rPr>
                <w:rFonts w:ascii="Arial" w:hAnsi="Arial" w:cs="Arial"/>
                <w:strike/>
                <w:sz w:val="22"/>
                <w:szCs w:val="22"/>
                <w:lang w:val="en-US"/>
              </w:rPr>
              <w:t>shall correspond to that of UNESCO</w:t>
            </w:r>
            <w:r w:rsidRPr="00A432F7">
              <w:rPr>
                <w:rFonts w:ascii="Arial" w:hAnsi="Arial" w:cs="Arial"/>
                <w:spacing w:val="-3"/>
                <w:sz w:val="22"/>
                <w:szCs w:val="22"/>
                <w:lang w:val="en-US" w:eastAsia="en-GB"/>
              </w:rPr>
              <w:t>.</w:t>
            </w:r>
          </w:p>
        </w:tc>
      </w:tr>
      <w:tr w:rsidR="009978D2" w:rsidRPr="002F61AE" w14:paraId="02A57D13" w14:textId="77777777" w:rsidTr="009B7D9D">
        <w:trPr>
          <w:cantSplit/>
        </w:trPr>
        <w:tc>
          <w:tcPr>
            <w:tcW w:w="1129" w:type="dxa"/>
            <w:tcBorders>
              <w:right w:val="nil"/>
            </w:tcBorders>
          </w:tcPr>
          <w:p w14:paraId="0966A378"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4199D762"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45E8AB8F" w14:textId="77777777" w:rsidR="009978D2" w:rsidRPr="00A432F7" w:rsidRDefault="009978D2" w:rsidP="009978D2">
            <w:pPr>
              <w:suppressAutoHyphens/>
              <w:spacing w:after="120"/>
              <w:rPr>
                <w:rFonts w:ascii="Arial" w:hAnsi="Arial" w:cs="Arial"/>
                <w:spacing w:val="-3"/>
                <w:sz w:val="22"/>
                <w:szCs w:val="22"/>
                <w:lang w:val="en-US" w:eastAsia="en-GB"/>
              </w:rPr>
            </w:pPr>
            <w:r w:rsidRPr="00A432F7">
              <w:rPr>
                <w:rFonts w:ascii="Arial" w:hAnsi="Arial" w:cs="Arial"/>
                <w:b/>
                <w:bCs/>
                <w:spacing w:val="-3"/>
                <w:sz w:val="22"/>
                <w:szCs w:val="22"/>
                <w:u w:val="single"/>
                <w:lang w:val="en-US" w:eastAsia="en-GB"/>
              </w:rPr>
              <w:t>2.2</w:t>
            </w:r>
          </w:p>
        </w:tc>
        <w:tc>
          <w:tcPr>
            <w:tcW w:w="7513" w:type="dxa"/>
            <w:tcBorders>
              <w:left w:val="nil"/>
            </w:tcBorders>
          </w:tcPr>
          <w:p w14:paraId="0A0A6871" w14:textId="77777777" w:rsidR="009978D2" w:rsidRPr="00A432F7" w:rsidRDefault="009978D2" w:rsidP="009978D2">
            <w:pPr>
              <w:suppressAutoHyphens/>
              <w:spacing w:after="120"/>
              <w:rPr>
                <w:rFonts w:ascii="Arial" w:hAnsi="Arial" w:cs="Arial"/>
                <w:b/>
                <w:bCs/>
                <w:spacing w:val="-3"/>
                <w:sz w:val="22"/>
                <w:szCs w:val="22"/>
                <w:u w:val="single"/>
                <w:lang w:val="en-GB" w:eastAsia="en-GB"/>
              </w:rPr>
            </w:pPr>
            <w:r w:rsidRPr="00A432F7">
              <w:rPr>
                <w:rFonts w:ascii="Arial" w:hAnsi="Arial" w:cs="Arial"/>
                <w:b/>
                <w:bCs/>
                <w:spacing w:val="-3"/>
                <w:sz w:val="22"/>
                <w:szCs w:val="22"/>
                <w:u w:val="single"/>
                <w:lang w:val="en-US" w:eastAsia="en-GB"/>
              </w:rPr>
              <w:t>The financial period for accounting shall be an annual calendar year.</w:t>
            </w:r>
          </w:p>
        </w:tc>
      </w:tr>
      <w:tr w:rsidR="009978D2" w:rsidRPr="00A432F7" w14:paraId="4409C744" w14:textId="77777777" w:rsidTr="009B7D9D">
        <w:trPr>
          <w:cantSplit/>
        </w:trPr>
        <w:tc>
          <w:tcPr>
            <w:tcW w:w="1129" w:type="dxa"/>
            <w:tcBorders>
              <w:right w:val="nil"/>
            </w:tcBorders>
          </w:tcPr>
          <w:p w14:paraId="21BBF202" w14:textId="77777777" w:rsidR="009978D2" w:rsidRPr="00A432F7" w:rsidRDefault="009978D2" w:rsidP="002E26EC">
            <w:pPr>
              <w:keepNext/>
              <w:spacing w:after="120"/>
              <w:rPr>
                <w:rFonts w:ascii="Arial" w:hAnsi="Arial" w:cs="Arial"/>
                <w:b/>
                <w:sz w:val="22"/>
                <w:szCs w:val="22"/>
                <w:lang w:val="en-US"/>
              </w:rPr>
            </w:pPr>
            <w:r w:rsidRPr="00A432F7">
              <w:rPr>
                <w:rFonts w:ascii="Arial" w:hAnsi="Arial" w:cs="Arial"/>
                <w:b/>
                <w:sz w:val="22"/>
                <w:szCs w:val="22"/>
                <w:lang w:val="en-US"/>
              </w:rPr>
              <w:t>Article 3</w:t>
            </w:r>
          </w:p>
        </w:tc>
        <w:tc>
          <w:tcPr>
            <w:tcW w:w="4253" w:type="dxa"/>
            <w:tcBorders>
              <w:left w:val="nil"/>
            </w:tcBorders>
          </w:tcPr>
          <w:p w14:paraId="424001BB" w14:textId="77777777" w:rsidR="009978D2" w:rsidRPr="00A432F7" w:rsidRDefault="009978D2" w:rsidP="002E26EC">
            <w:pPr>
              <w:keepNext/>
              <w:spacing w:after="120"/>
              <w:rPr>
                <w:rFonts w:ascii="Arial" w:hAnsi="Arial" w:cs="Arial"/>
                <w:b/>
                <w:sz w:val="22"/>
                <w:szCs w:val="22"/>
                <w:lang w:val="en-US"/>
              </w:rPr>
            </w:pPr>
            <w:r w:rsidRPr="00A432F7">
              <w:rPr>
                <w:rFonts w:ascii="Arial" w:hAnsi="Arial" w:cs="Arial"/>
                <w:b/>
                <w:sz w:val="22"/>
                <w:szCs w:val="22"/>
                <w:lang w:val="en-US"/>
              </w:rPr>
              <w:t>Purpose</w:t>
            </w:r>
          </w:p>
        </w:tc>
        <w:tc>
          <w:tcPr>
            <w:tcW w:w="1417" w:type="dxa"/>
            <w:tcBorders>
              <w:right w:val="nil"/>
            </w:tcBorders>
          </w:tcPr>
          <w:p w14:paraId="2C8F4CF5" w14:textId="77777777" w:rsidR="009978D2" w:rsidRPr="00A432F7" w:rsidRDefault="009978D2" w:rsidP="002E26EC">
            <w:pPr>
              <w:keepNext/>
              <w:suppressAutoHyphens/>
              <w:spacing w:after="120"/>
              <w:rPr>
                <w:rFonts w:ascii="Arial" w:hAnsi="Arial" w:cs="Arial"/>
                <w:b/>
                <w:sz w:val="22"/>
                <w:szCs w:val="22"/>
                <w:lang w:val="en-US"/>
              </w:rPr>
            </w:pPr>
            <w:r w:rsidRPr="00A432F7">
              <w:rPr>
                <w:rFonts w:ascii="Arial" w:hAnsi="Arial" w:cs="Arial"/>
                <w:b/>
                <w:bCs/>
                <w:spacing w:val="-3"/>
                <w:sz w:val="22"/>
                <w:szCs w:val="22"/>
                <w:lang w:eastAsia="en-GB"/>
              </w:rPr>
              <w:t>Article 3</w:t>
            </w:r>
          </w:p>
        </w:tc>
        <w:tc>
          <w:tcPr>
            <w:tcW w:w="7513" w:type="dxa"/>
            <w:tcBorders>
              <w:left w:val="nil"/>
            </w:tcBorders>
          </w:tcPr>
          <w:p w14:paraId="10882DAC" w14:textId="77777777" w:rsidR="009978D2" w:rsidRPr="00A432F7" w:rsidRDefault="009978D2" w:rsidP="002E26EC">
            <w:pPr>
              <w:keepNext/>
              <w:suppressAutoHyphens/>
              <w:spacing w:after="120"/>
              <w:rPr>
                <w:rFonts w:ascii="Arial" w:hAnsi="Arial" w:cs="Arial"/>
                <w:bCs/>
                <w:sz w:val="22"/>
                <w:szCs w:val="22"/>
                <w:lang w:val="en-US"/>
              </w:rPr>
            </w:pPr>
            <w:r w:rsidRPr="00A432F7">
              <w:rPr>
                <w:rFonts w:ascii="Arial" w:hAnsi="Arial" w:cs="Arial"/>
                <w:bCs/>
                <w:sz w:val="22"/>
                <w:szCs w:val="22"/>
                <w:lang w:val="en-US"/>
              </w:rPr>
              <w:t>No change.</w:t>
            </w:r>
          </w:p>
        </w:tc>
      </w:tr>
      <w:tr w:rsidR="009978D2" w:rsidRPr="002F61AE" w14:paraId="72E181EF" w14:textId="77777777" w:rsidTr="009B7D9D">
        <w:trPr>
          <w:cantSplit/>
        </w:trPr>
        <w:tc>
          <w:tcPr>
            <w:tcW w:w="1129" w:type="dxa"/>
            <w:tcBorders>
              <w:right w:val="nil"/>
            </w:tcBorders>
          </w:tcPr>
          <w:p w14:paraId="462E4E0D"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79751419"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purpose of this Special Account shall be to receive contributions from the sources indicated in Article 4.1 below and to make payments therefrom, to assist in the safeguarding of intangible cultural heritage in accordance with the terms of the Convention and the present Regulations.</w:t>
            </w:r>
          </w:p>
        </w:tc>
        <w:tc>
          <w:tcPr>
            <w:tcW w:w="1417" w:type="dxa"/>
            <w:tcBorders>
              <w:right w:val="nil"/>
            </w:tcBorders>
          </w:tcPr>
          <w:p w14:paraId="1B90F8F2" w14:textId="77777777" w:rsidR="009978D2" w:rsidRPr="00A432F7" w:rsidRDefault="009978D2" w:rsidP="009978D2">
            <w:pPr>
              <w:spacing w:after="120"/>
              <w:rPr>
                <w:rFonts w:ascii="Arial" w:hAnsi="Arial" w:cs="Arial"/>
                <w:sz w:val="22"/>
                <w:szCs w:val="22"/>
                <w:lang w:val="en-US"/>
              </w:rPr>
            </w:pPr>
          </w:p>
        </w:tc>
        <w:tc>
          <w:tcPr>
            <w:tcW w:w="7513" w:type="dxa"/>
            <w:tcBorders>
              <w:left w:val="nil"/>
            </w:tcBorders>
          </w:tcPr>
          <w:p w14:paraId="23AB2B1E" w14:textId="77777777" w:rsidR="009978D2" w:rsidRPr="00A432F7" w:rsidRDefault="009978D2" w:rsidP="009978D2">
            <w:pPr>
              <w:spacing w:after="120"/>
              <w:rPr>
                <w:rFonts w:ascii="Arial" w:hAnsi="Arial" w:cs="Arial"/>
                <w:sz w:val="22"/>
                <w:szCs w:val="22"/>
                <w:lang w:val="en-US"/>
              </w:rPr>
            </w:pPr>
            <w:r w:rsidRPr="007E5080">
              <w:rPr>
                <w:rFonts w:ascii="Arial" w:hAnsi="Arial" w:cs="Arial"/>
                <w:b/>
                <w:bCs/>
                <w:sz w:val="22"/>
                <w:szCs w:val="22"/>
                <w:u w:val="single"/>
                <w:lang w:val="en-US"/>
              </w:rPr>
              <w:t>In accordance with Article 25 of the Convention</w:t>
            </w:r>
            <w:r>
              <w:rPr>
                <w:rFonts w:ascii="Arial" w:hAnsi="Arial" w:cs="Arial"/>
                <w:sz w:val="22"/>
                <w:szCs w:val="22"/>
                <w:lang w:val="en-US"/>
              </w:rPr>
              <w:t>, t</w:t>
            </w:r>
            <w:r w:rsidRPr="00A432F7">
              <w:rPr>
                <w:rFonts w:ascii="Arial" w:hAnsi="Arial" w:cs="Arial"/>
                <w:sz w:val="22"/>
                <w:szCs w:val="22"/>
                <w:lang w:val="en-US"/>
              </w:rPr>
              <w:t xml:space="preserve">he purpose of this Special Account shall be to receive contributions from the sources indicated in </w:t>
            </w:r>
            <w:r w:rsidRPr="00A432F7">
              <w:rPr>
                <w:rFonts w:ascii="Arial" w:hAnsi="Arial" w:cs="Arial"/>
                <w:strike/>
                <w:sz w:val="22"/>
                <w:szCs w:val="22"/>
                <w:lang w:val="en-US"/>
              </w:rPr>
              <w:t>Article 4.1</w:t>
            </w:r>
            <w:r w:rsidRPr="00A432F7">
              <w:rPr>
                <w:rFonts w:ascii="Arial" w:hAnsi="Arial" w:cs="Arial"/>
                <w:sz w:val="22"/>
                <w:szCs w:val="22"/>
                <w:lang w:val="en-US"/>
              </w:rPr>
              <w:t xml:space="preserve"> </w:t>
            </w:r>
            <w:r w:rsidRPr="00A432F7">
              <w:rPr>
                <w:rFonts w:ascii="Arial" w:hAnsi="Arial" w:cs="Arial"/>
                <w:b/>
                <w:bCs/>
                <w:sz w:val="22"/>
                <w:szCs w:val="22"/>
                <w:u w:val="single"/>
                <w:lang w:val="en-US"/>
              </w:rPr>
              <w:t>Article 5.1</w:t>
            </w:r>
            <w:r w:rsidRPr="00A432F7">
              <w:rPr>
                <w:rFonts w:ascii="Arial" w:hAnsi="Arial" w:cs="Arial"/>
                <w:sz w:val="22"/>
                <w:szCs w:val="22"/>
                <w:lang w:val="en-US"/>
              </w:rPr>
              <w:t xml:space="preserve"> below and to make payments therefrom, to assist in the safeguarding of intangible cultural heritage in accordance with the terms of the Convention and the present Regulations.</w:t>
            </w:r>
          </w:p>
        </w:tc>
      </w:tr>
      <w:tr w:rsidR="009978D2" w:rsidRPr="00A432F7" w14:paraId="2CADEDA9" w14:textId="77777777" w:rsidTr="009B7D9D">
        <w:trPr>
          <w:cantSplit/>
        </w:trPr>
        <w:tc>
          <w:tcPr>
            <w:tcW w:w="1129" w:type="dxa"/>
            <w:tcBorders>
              <w:right w:val="nil"/>
            </w:tcBorders>
          </w:tcPr>
          <w:p w14:paraId="504293A7"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252741D0"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6E14A1BA" w14:textId="77777777" w:rsidR="009978D2" w:rsidRPr="00A432F7" w:rsidRDefault="009978D2" w:rsidP="009978D2">
            <w:pPr>
              <w:keepNext/>
              <w:suppressAutoHyphens/>
              <w:spacing w:after="120"/>
              <w:outlineLvl w:val="7"/>
              <w:rPr>
                <w:rFonts w:ascii="Arial" w:hAnsi="Arial" w:cs="Arial"/>
                <w:b/>
                <w:bCs/>
                <w:sz w:val="22"/>
                <w:szCs w:val="22"/>
                <w:highlight w:val="yellow"/>
                <w:u w:val="single"/>
                <w:lang w:val="en-US"/>
              </w:rPr>
            </w:pPr>
            <w:r w:rsidRPr="00A432F7">
              <w:rPr>
                <w:rFonts w:ascii="Arial" w:hAnsi="Arial" w:cs="Arial"/>
                <w:b/>
                <w:bCs/>
                <w:spacing w:val="-3"/>
                <w:sz w:val="22"/>
                <w:szCs w:val="22"/>
                <w:u w:val="single"/>
                <w:lang w:eastAsia="en-GB"/>
              </w:rPr>
              <w:t>Article 4</w:t>
            </w:r>
          </w:p>
        </w:tc>
        <w:tc>
          <w:tcPr>
            <w:tcW w:w="7513" w:type="dxa"/>
            <w:tcBorders>
              <w:left w:val="nil"/>
            </w:tcBorders>
          </w:tcPr>
          <w:p w14:paraId="288D3C41" w14:textId="77777777" w:rsidR="009978D2" w:rsidRPr="00A432F7" w:rsidRDefault="009978D2" w:rsidP="009978D2">
            <w:pPr>
              <w:keepNext/>
              <w:keepLines/>
              <w:suppressAutoHyphens/>
              <w:spacing w:after="120"/>
              <w:outlineLvl w:val="7"/>
              <w:rPr>
                <w:rFonts w:ascii="Arial" w:hAnsi="Arial" w:cs="Arial"/>
                <w:b/>
                <w:bCs/>
                <w:sz w:val="22"/>
                <w:szCs w:val="22"/>
                <w:highlight w:val="yellow"/>
                <w:u w:val="single"/>
                <w:lang w:val="en-US"/>
              </w:rPr>
            </w:pPr>
            <w:proofErr w:type="spellStart"/>
            <w:r w:rsidRPr="00A432F7">
              <w:rPr>
                <w:rFonts w:ascii="Arial" w:hAnsi="Arial" w:cs="Arial"/>
                <w:b/>
                <w:bCs/>
                <w:spacing w:val="-3"/>
                <w:sz w:val="22"/>
                <w:szCs w:val="22"/>
                <w:u w:val="single"/>
                <w:lang w:eastAsia="en-GB"/>
              </w:rPr>
              <w:t>Governance</w:t>
            </w:r>
            <w:proofErr w:type="spellEnd"/>
          </w:p>
        </w:tc>
      </w:tr>
      <w:tr w:rsidR="009978D2" w:rsidRPr="002F61AE" w14:paraId="5BE7AF81" w14:textId="77777777" w:rsidTr="009B7D9D">
        <w:trPr>
          <w:cantSplit/>
        </w:trPr>
        <w:tc>
          <w:tcPr>
            <w:tcW w:w="1129" w:type="dxa"/>
            <w:tcBorders>
              <w:right w:val="nil"/>
            </w:tcBorders>
          </w:tcPr>
          <w:p w14:paraId="27832D5C"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6E6FE867"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5633AA48" w14:textId="77777777" w:rsidR="009978D2" w:rsidRPr="002E26EC" w:rsidRDefault="009978D2" w:rsidP="009978D2">
            <w:pPr>
              <w:suppressAutoHyphens/>
              <w:spacing w:after="120"/>
              <w:rPr>
                <w:rFonts w:ascii="Arial" w:hAnsi="Arial" w:cs="Arial"/>
                <w:sz w:val="22"/>
                <w:szCs w:val="22"/>
                <w:lang w:val="en-US"/>
              </w:rPr>
            </w:pPr>
            <w:r w:rsidRPr="002E26EC">
              <w:rPr>
                <w:rFonts w:ascii="Arial" w:hAnsi="Arial" w:cs="Arial"/>
                <w:b/>
                <w:bCs/>
                <w:spacing w:val="-3"/>
                <w:sz w:val="22"/>
                <w:szCs w:val="22"/>
                <w:u w:val="single"/>
                <w:lang w:val="en-US" w:eastAsia="en-GB"/>
              </w:rPr>
              <w:t>4.1</w:t>
            </w:r>
          </w:p>
        </w:tc>
        <w:tc>
          <w:tcPr>
            <w:tcW w:w="7513" w:type="dxa"/>
            <w:tcBorders>
              <w:left w:val="nil"/>
            </w:tcBorders>
          </w:tcPr>
          <w:p w14:paraId="17187788" w14:textId="5A907609" w:rsidR="009978D2" w:rsidRPr="002E26EC" w:rsidRDefault="009978D2" w:rsidP="009978D2">
            <w:pPr>
              <w:spacing w:after="120"/>
              <w:rPr>
                <w:rFonts w:ascii="Arial" w:hAnsi="Arial" w:cs="Arial"/>
                <w:b/>
                <w:bCs/>
                <w:sz w:val="22"/>
                <w:szCs w:val="22"/>
                <w:u w:val="single"/>
                <w:lang w:val="en-US" w:eastAsia="en-GB"/>
              </w:rPr>
            </w:pPr>
            <w:r w:rsidRPr="002E26EC">
              <w:rPr>
                <w:rFonts w:ascii="Arial" w:hAnsi="Arial" w:cs="Arial"/>
                <w:b/>
                <w:bCs/>
                <w:sz w:val="22"/>
                <w:szCs w:val="22"/>
                <w:u w:val="single"/>
                <w:lang w:val="en-US" w:eastAsia="en-GB"/>
              </w:rPr>
              <w:t xml:space="preserve">The General Assembly of the States Parties </w:t>
            </w:r>
            <w:r w:rsidRPr="002E26EC">
              <w:rPr>
                <w:rFonts w:ascii="Arial" w:hAnsi="Arial" w:cs="Arial"/>
                <w:b/>
                <w:bCs/>
                <w:sz w:val="22"/>
                <w:szCs w:val="22"/>
                <w:u w:val="single"/>
                <w:lang w:val="en-US"/>
              </w:rPr>
              <w:t>(hereinafter referred to as the</w:t>
            </w:r>
            <w:r w:rsidRPr="002E26EC">
              <w:rPr>
                <w:rFonts w:ascii="Arial" w:hAnsi="Arial" w:cs="Arial"/>
                <w:sz w:val="22"/>
                <w:szCs w:val="22"/>
                <w:u w:val="single"/>
                <w:lang w:val="en-US"/>
              </w:rPr>
              <w:t xml:space="preserve"> </w:t>
            </w:r>
            <w:r w:rsidRPr="002E26EC">
              <w:rPr>
                <w:rFonts w:ascii="Arial" w:hAnsi="Arial" w:cs="Arial"/>
                <w:b/>
                <w:bCs/>
                <w:sz w:val="22"/>
                <w:szCs w:val="22"/>
                <w:u w:val="single"/>
                <w:lang w:val="en-US" w:eastAsia="en-GB"/>
              </w:rPr>
              <w:t>‘General Assembly’) has authority over the appropriation of the resources under this Special Account.</w:t>
            </w:r>
          </w:p>
        </w:tc>
      </w:tr>
      <w:tr w:rsidR="00A10416" w:rsidRPr="002F61AE" w14:paraId="602D72D5" w14:textId="77777777" w:rsidTr="009B7D9D">
        <w:trPr>
          <w:cantSplit/>
        </w:trPr>
        <w:tc>
          <w:tcPr>
            <w:tcW w:w="1129" w:type="dxa"/>
            <w:tcBorders>
              <w:right w:val="nil"/>
            </w:tcBorders>
          </w:tcPr>
          <w:p w14:paraId="7FE47CDA" w14:textId="77777777" w:rsidR="00A10416" w:rsidRPr="002E26EC" w:rsidRDefault="00A10416" w:rsidP="009978D2">
            <w:pPr>
              <w:spacing w:after="120"/>
              <w:rPr>
                <w:rFonts w:ascii="Arial" w:hAnsi="Arial" w:cs="Arial"/>
                <w:sz w:val="22"/>
                <w:szCs w:val="22"/>
                <w:lang w:val="en-US"/>
              </w:rPr>
            </w:pPr>
          </w:p>
        </w:tc>
        <w:tc>
          <w:tcPr>
            <w:tcW w:w="4253" w:type="dxa"/>
            <w:tcBorders>
              <w:left w:val="nil"/>
            </w:tcBorders>
          </w:tcPr>
          <w:p w14:paraId="7B96AEB4" w14:textId="77777777" w:rsidR="00A10416" w:rsidRPr="002E26EC" w:rsidRDefault="00A10416" w:rsidP="009978D2">
            <w:pPr>
              <w:spacing w:after="120"/>
              <w:rPr>
                <w:rFonts w:ascii="Arial" w:hAnsi="Arial" w:cs="Arial"/>
                <w:sz w:val="22"/>
                <w:szCs w:val="22"/>
                <w:lang w:val="en-US"/>
              </w:rPr>
            </w:pPr>
          </w:p>
        </w:tc>
        <w:tc>
          <w:tcPr>
            <w:tcW w:w="1417" w:type="dxa"/>
            <w:tcBorders>
              <w:right w:val="nil"/>
            </w:tcBorders>
          </w:tcPr>
          <w:p w14:paraId="5EB924CD" w14:textId="21F30A91" w:rsidR="00A10416" w:rsidRPr="007078E5" w:rsidRDefault="00A10416" w:rsidP="007078E5">
            <w:pPr>
              <w:spacing w:after="120"/>
              <w:rPr>
                <w:rFonts w:ascii="Arial" w:hAnsi="Arial" w:cs="Arial"/>
                <w:b/>
                <w:bCs/>
                <w:sz w:val="22"/>
                <w:szCs w:val="22"/>
                <w:u w:val="single"/>
                <w:lang w:val="en-US" w:eastAsia="en-GB"/>
              </w:rPr>
            </w:pPr>
            <w:r w:rsidRPr="007078E5">
              <w:rPr>
                <w:rFonts w:ascii="Arial" w:hAnsi="Arial" w:cs="Arial"/>
                <w:b/>
                <w:bCs/>
                <w:sz w:val="22"/>
                <w:szCs w:val="22"/>
                <w:u w:val="single"/>
                <w:lang w:val="en-US" w:eastAsia="en-GB"/>
              </w:rPr>
              <w:t>4.2</w:t>
            </w:r>
          </w:p>
        </w:tc>
        <w:tc>
          <w:tcPr>
            <w:tcW w:w="7513" w:type="dxa"/>
            <w:tcBorders>
              <w:left w:val="nil"/>
            </w:tcBorders>
          </w:tcPr>
          <w:p w14:paraId="7FC5BE96" w14:textId="0E7E4A1A" w:rsidR="00A10416" w:rsidRPr="002E26EC" w:rsidRDefault="00A10416" w:rsidP="007078E5">
            <w:pPr>
              <w:spacing w:after="120"/>
              <w:rPr>
                <w:rFonts w:ascii="Arial" w:hAnsi="Arial" w:cs="Arial"/>
                <w:b/>
                <w:bCs/>
                <w:sz w:val="22"/>
                <w:szCs w:val="22"/>
                <w:u w:val="single"/>
                <w:lang w:val="en-US" w:eastAsia="en-GB"/>
              </w:rPr>
            </w:pPr>
            <w:r w:rsidRPr="007078E5">
              <w:rPr>
                <w:rFonts w:ascii="Arial" w:hAnsi="Arial" w:cs="Arial"/>
                <w:b/>
                <w:bCs/>
                <w:sz w:val="22"/>
                <w:szCs w:val="22"/>
                <w:u w:val="single"/>
                <w:lang w:val="en-US" w:eastAsia="en-GB"/>
              </w:rPr>
              <w:t>In accordance with Article 7 of the Convention, the Intergovernmental Committee for the Safeguarding of the Intangible Cultural Heritage</w:t>
            </w:r>
            <w:r w:rsidR="00C144E3">
              <w:rPr>
                <w:rFonts w:ascii="Arial" w:hAnsi="Arial" w:cs="Arial"/>
                <w:b/>
                <w:bCs/>
                <w:sz w:val="22"/>
                <w:szCs w:val="22"/>
                <w:u w:val="single"/>
                <w:lang w:val="en-US" w:eastAsia="en-GB"/>
              </w:rPr>
              <w:t xml:space="preserve"> </w:t>
            </w:r>
            <w:r w:rsidRPr="007078E5">
              <w:rPr>
                <w:rFonts w:ascii="Arial" w:hAnsi="Arial" w:cs="Arial"/>
                <w:b/>
                <w:bCs/>
                <w:sz w:val="22"/>
                <w:szCs w:val="22"/>
                <w:u w:val="single"/>
                <w:lang w:val="en-US" w:eastAsia="en-GB"/>
              </w:rPr>
              <w:t>(hereinafter referred to as the ‘Committee’) shall prepare and submit to the General Assembly for approval a draft plan for the use of the resources of the Fund, in accordance with Article 25 of the Convention.</w:t>
            </w:r>
          </w:p>
        </w:tc>
      </w:tr>
      <w:tr w:rsidR="009978D2" w:rsidRPr="002F61AE" w14:paraId="23F1D1EE" w14:textId="77777777" w:rsidTr="009B7D9D">
        <w:trPr>
          <w:cantSplit/>
        </w:trPr>
        <w:tc>
          <w:tcPr>
            <w:tcW w:w="1129" w:type="dxa"/>
            <w:tcBorders>
              <w:right w:val="nil"/>
            </w:tcBorders>
          </w:tcPr>
          <w:p w14:paraId="1F294DBD" w14:textId="77777777" w:rsidR="009978D2" w:rsidRPr="002E26EC" w:rsidRDefault="009978D2" w:rsidP="009978D2">
            <w:pPr>
              <w:spacing w:after="120"/>
              <w:rPr>
                <w:rFonts w:ascii="Arial" w:hAnsi="Arial" w:cs="Arial"/>
                <w:sz w:val="22"/>
                <w:szCs w:val="22"/>
                <w:lang w:val="en-US"/>
              </w:rPr>
            </w:pPr>
          </w:p>
        </w:tc>
        <w:tc>
          <w:tcPr>
            <w:tcW w:w="4253" w:type="dxa"/>
            <w:tcBorders>
              <w:left w:val="nil"/>
            </w:tcBorders>
          </w:tcPr>
          <w:p w14:paraId="0E982102" w14:textId="77777777" w:rsidR="009978D2" w:rsidRPr="002E26EC" w:rsidRDefault="009978D2" w:rsidP="009978D2">
            <w:pPr>
              <w:spacing w:after="120"/>
              <w:rPr>
                <w:rFonts w:ascii="Arial" w:hAnsi="Arial" w:cs="Arial"/>
                <w:sz w:val="22"/>
                <w:szCs w:val="22"/>
                <w:lang w:val="en-US"/>
              </w:rPr>
            </w:pPr>
          </w:p>
        </w:tc>
        <w:tc>
          <w:tcPr>
            <w:tcW w:w="1417" w:type="dxa"/>
            <w:tcBorders>
              <w:right w:val="nil"/>
            </w:tcBorders>
          </w:tcPr>
          <w:p w14:paraId="7D36F8EE" w14:textId="1B203531" w:rsidR="009978D2" w:rsidRPr="002E26EC" w:rsidRDefault="009978D2" w:rsidP="009978D2">
            <w:pPr>
              <w:suppressAutoHyphens/>
              <w:spacing w:after="120"/>
              <w:rPr>
                <w:rFonts w:ascii="Arial" w:hAnsi="Arial" w:cs="Arial"/>
                <w:sz w:val="22"/>
                <w:szCs w:val="22"/>
                <w:lang w:val="en-US"/>
              </w:rPr>
            </w:pPr>
            <w:r w:rsidRPr="002E26EC">
              <w:rPr>
                <w:rFonts w:ascii="Arial" w:hAnsi="Arial" w:cs="Arial"/>
                <w:b/>
                <w:bCs/>
                <w:spacing w:val="-3"/>
                <w:sz w:val="22"/>
                <w:szCs w:val="22"/>
                <w:u w:val="single"/>
                <w:lang w:val="en-US" w:eastAsia="en-GB"/>
              </w:rPr>
              <w:t>4.</w:t>
            </w:r>
            <w:r w:rsidR="00A10416">
              <w:rPr>
                <w:rFonts w:ascii="Arial" w:hAnsi="Arial" w:cs="Arial"/>
                <w:b/>
                <w:bCs/>
                <w:spacing w:val="-3"/>
                <w:sz w:val="22"/>
                <w:szCs w:val="22"/>
                <w:u w:val="single"/>
                <w:lang w:val="en-US" w:eastAsia="en-GB"/>
              </w:rPr>
              <w:t>3</w:t>
            </w:r>
          </w:p>
        </w:tc>
        <w:tc>
          <w:tcPr>
            <w:tcW w:w="7513" w:type="dxa"/>
            <w:tcBorders>
              <w:left w:val="nil"/>
            </w:tcBorders>
          </w:tcPr>
          <w:p w14:paraId="40F8ACEF" w14:textId="5969C7C6" w:rsidR="009978D2" w:rsidRPr="002E26EC" w:rsidRDefault="009978D2" w:rsidP="009978D2">
            <w:pPr>
              <w:spacing w:after="120"/>
              <w:ind w:left="-1" w:firstLine="2"/>
              <w:rPr>
                <w:rFonts w:ascii="Arial" w:hAnsi="Arial" w:cs="Arial"/>
                <w:b/>
                <w:bCs/>
                <w:sz w:val="22"/>
                <w:szCs w:val="22"/>
                <w:u w:val="single"/>
                <w:lang w:val="en-US"/>
              </w:rPr>
            </w:pPr>
            <w:r w:rsidRPr="002E26EC">
              <w:rPr>
                <w:rFonts w:ascii="Arial" w:hAnsi="Arial" w:cs="Arial"/>
                <w:b/>
                <w:bCs/>
                <w:sz w:val="22"/>
                <w:szCs w:val="22"/>
                <w:u w:val="single"/>
                <w:lang w:val="en-US" w:eastAsia="en-GB"/>
              </w:rPr>
              <w:t>The Director-General shall manage and administer the funds of the Special Account in accordance with the text of the Convention</w:t>
            </w:r>
            <w:r w:rsidRPr="002E26EC">
              <w:rPr>
                <w:rFonts w:ascii="Arial" w:hAnsi="Arial" w:cs="Arial"/>
                <w:b/>
                <w:bCs/>
                <w:spacing w:val="-3"/>
                <w:sz w:val="22"/>
                <w:szCs w:val="22"/>
                <w:u w:val="single"/>
                <w:lang w:val="en-US" w:eastAsia="en-GB"/>
              </w:rPr>
              <w:t>,</w:t>
            </w:r>
            <w:r w:rsidRPr="002E26EC">
              <w:rPr>
                <w:rFonts w:ascii="Arial" w:hAnsi="Arial" w:cs="Arial"/>
                <w:b/>
                <w:bCs/>
                <w:sz w:val="22"/>
                <w:szCs w:val="22"/>
                <w:u w:val="single"/>
                <w:lang w:val="en-US" w:eastAsia="en-GB"/>
              </w:rPr>
              <w:t xml:space="preserve"> the Operational Directives, the resolutions adopted by the General Assembly and </w:t>
            </w:r>
            <w:r w:rsidRPr="002E26EC">
              <w:rPr>
                <w:rFonts w:ascii="Arial" w:hAnsi="Arial" w:cs="Arial"/>
                <w:b/>
                <w:bCs/>
                <w:sz w:val="22"/>
                <w:szCs w:val="22"/>
                <w:u w:val="single"/>
                <w:lang w:val="en-US"/>
              </w:rPr>
              <w:t>the decisions adopted by the Committee</w:t>
            </w:r>
            <w:r w:rsidRPr="002E26EC">
              <w:rPr>
                <w:rFonts w:ascii="Arial" w:hAnsi="Arial" w:cs="Arial"/>
                <w:b/>
                <w:bCs/>
                <w:sz w:val="22"/>
                <w:szCs w:val="22"/>
                <w:u w:val="single"/>
                <w:lang w:val="en-US" w:eastAsia="en-GB"/>
              </w:rPr>
              <w:t>, and the present Financial Regulations.</w:t>
            </w:r>
          </w:p>
        </w:tc>
      </w:tr>
      <w:tr w:rsidR="009978D2" w:rsidRPr="002F61AE" w14:paraId="23A9FCE5" w14:textId="77777777" w:rsidTr="009B7D9D">
        <w:trPr>
          <w:cantSplit/>
        </w:trPr>
        <w:tc>
          <w:tcPr>
            <w:tcW w:w="1129" w:type="dxa"/>
            <w:tcBorders>
              <w:right w:val="nil"/>
            </w:tcBorders>
          </w:tcPr>
          <w:p w14:paraId="0F0F6803" w14:textId="77777777" w:rsidR="009978D2" w:rsidRPr="002E26EC" w:rsidRDefault="009978D2" w:rsidP="009978D2">
            <w:pPr>
              <w:spacing w:after="120"/>
              <w:rPr>
                <w:rFonts w:ascii="Arial" w:hAnsi="Arial" w:cs="Arial"/>
                <w:sz w:val="22"/>
                <w:szCs w:val="22"/>
                <w:lang w:val="en-US"/>
              </w:rPr>
            </w:pPr>
          </w:p>
        </w:tc>
        <w:tc>
          <w:tcPr>
            <w:tcW w:w="4253" w:type="dxa"/>
            <w:tcBorders>
              <w:left w:val="nil"/>
            </w:tcBorders>
          </w:tcPr>
          <w:p w14:paraId="5D15F8AE" w14:textId="77777777" w:rsidR="009978D2" w:rsidRPr="002E26EC" w:rsidRDefault="009978D2" w:rsidP="009978D2">
            <w:pPr>
              <w:spacing w:after="120"/>
              <w:rPr>
                <w:rFonts w:ascii="Arial" w:hAnsi="Arial" w:cs="Arial"/>
                <w:sz w:val="22"/>
                <w:szCs w:val="22"/>
                <w:lang w:val="en-US"/>
              </w:rPr>
            </w:pPr>
          </w:p>
        </w:tc>
        <w:tc>
          <w:tcPr>
            <w:tcW w:w="1417" w:type="dxa"/>
            <w:tcBorders>
              <w:right w:val="nil"/>
            </w:tcBorders>
          </w:tcPr>
          <w:p w14:paraId="2EF210E4" w14:textId="3DA546CF" w:rsidR="009978D2" w:rsidRPr="002E26EC" w:rsidRDefault="009978D2" w:rsidP="009978D2">
            <w:pPr>
              <w:suppressAutoHyphens/>
              <w:spacing w:after="120"/>
              <w:rPr>
                <w:rFonts w:ascii="Arial" w:hAnsi="Arial" w:cs="Arial"/>
                <w:b/>
                <w:bCs/>
                <w:spacing w:val="-3"/>
                <w:sz w:val="22"/>
                <w:szCs w:val="22"/>
                <w:u w:val="single"/>
                <w:lang w:val="en-US" w:eastAsia="en-GB"/>
              </w:rPr>
            </w:pPr>
            <w:r w:rsidRPr="002E26EC">
              <w:rPr>
                <w:rFonts w:ascii="Arial" w:hAnsi="Arial" w:cs="Arial"/>
                <w:b/>
                <w:bCs/>
                <w:spacing w:val="-3"/>
                <w:sz w:val="22"/>
                <w:szCs w:val="22"/>
                <w:u w:val="single"/>
                <w:lang w:val="en-US" w:eastAsia="en-GB"/>
              </w:rPr>
              <w:t>4.</w:t>
            </w:r>
            <w:r w:rsidR="00A10416">
              <w:rPr>
                <w:rFonts w:ascii="Arial" w:hAnsi="Arial" w:cs="Arial"/>
                <w:b/>
                <w:bCs/>
                <w:spacing w:val="-3"/>
                <w:sz w:val="22"/>
                <w:szCs w:val="22"/>
                <w:u w:val="single"/>
                <w:lang w:val="en-US" w:eastAsia="en-GB"/>
              </w:rPr>
              <w:t>4</w:t>
            </w:r>
          </w:p>
        </w:tc>
        <w:tc>
          <w:tcPr>
            <w:tcW w:w="7513" w:type="dxa"/>
            <w:tcBorders>
              <w:left w:val="nil"/>
            </w:tcBorders>
          </w:tcPr>
          <w:p w14:paraId="177EC0F7" w14:textId="77777777" w:rsidR="009978D2" w:rsidRPr="00825A9A" w:rsidRDefault="009978D2" w:rsidP="009978D2">
            <w:pPr>
              <w:spacing w:after="120"/>
              <w:ind w:left="-1" w:firstLine="2"/>
              <w:rPr>
                <w:rFonts w:ascii="Arial" w:hAnsi="Arial" w:cs="Arial"/>
                <w:b/>
                <w:bCs/>
                <w:sz w:val="22"/>
                <w:szCs w:val="22"/>
                <w:u w:val="single"/>
                <w:lang w:val="en-US"/>
              </w:rPr>
            </w:pPr>
            <w:r w:rsidRPr="002E26EC">
              <w:rPr>
                <w:rFonts w:ascii="Arial" w:hAnsi="Arial" w:cs="Arial"/>
                <w:b/>
                <w:bCs/>
                <w:sz w:val="22"/>
                <w:szCs w:val="22"/>
                <w:u w:val="single"/>
                <w:lang w:val="en-US" w:eastAsia="en-GB"/>
              </w:rPr>
              <w:t>The Director-General shall, every two years, submit to the</w:t>
            </w:r>
            <w:r w:rsidRPr="002E26EC">
              <w:rPr>
                <w:rFonts w:ascii="Arial" w:hAnsi="Arial" w:cs="Arial"/>
                <w:b/>
                <w:bCs/>
                <w:spacing w:val="-3"/>
                <w:sz w:val="22"/>
                <w:szCs w:val="22"/>
                <w:u w:val="single"/>
                <w:lang w:val="en-US" w:eastAsia="en-GB"/>
              </w:rPr>
              <w:t xml:space="preserve"> General Assembly and the Committee </w:t>
            </w:r>
            <w:r w:rsidRPr="002E26EC">
              <w:rPr>
                <w:rFonts w:ascii="Arial" w:hAnsi="Arial" w:cs="Arial"/>
                <w:b/>
                <w:bCs/>
                <w:sz w:val="22"/>
                <w:szCs w:val="22"/>
                <w:u w:val="single"/>
                <w:lang w:val="en-US"/>
              </w:rPr>
              <w:t xml:space="preserve">narrative and financial reports </w:t>
            </w:r>
            <w:r w:rsidRPr="002E26EC">
              <w:rPr>
                <w:rFonts w:ascii="Arial" w:hAnsi="Arial" w:cs="Arial"/>
                <w:b/>
                <w:bCs/>
                <w:sz w:val="22"/>
                <w:szCs w:val="22"/>
                <w:u w:val="single"/>
                <w:lang w:val="en-US" w:eastAsia="en-GB"/>
              </w:rPr>
              <w:t>as indicated under Article 10 below.</w:t>
            </w:r>
          </w:p>
        </w:tc>
      </w:tr>
      <w:tr w:rsidR="009978D2" w:rsidRPr="00A432F7" w14:paraId="5454A6D7" w14:textId="77777777" w:rsidTr="009B7D9D">
        <w:trPr>
          <w:cantSplit/>
        </w:trPr>
        <w:tc>
          <w:tcPr>
            <w:tcW w:w="1129" w:type="dxa"/>
            <w:tcBorders>
              <w:bottom w:val="single" w:sz="4" w:space="0" w:color="auto"/>
              <w:right w:val="nil"/>
            </w:tcBorders>
          </w:tcPr>
          <w:p w14:paraId="4B5795C3"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4</w:t>
            </w:r>
          </w:p>
        </w:tc>
        <w:tc>
          <w:tcPr>
            <w:tcW w:w="4253" w:type="dxa"/>
            <w:tcBorders>
              <w:left w:val="nil"/>
            </w:tcBorders>
          </w:tcPr>
          <w:p w14:paraId="7A1938FF"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Income</w:t>
            </w:r>
          </w:p>
        </w:tc>
        <w:tc>
          <w:tcPr>
            <w:tcW w:w="1417" w:type="dxa"/>
            <w:tcBorders>
              <w:right w:val="nil"/>
            </w:tcBorders>
          </w:tcPr>
          <w:p w14:paraId="34AC82B4" w14:textId="0ADACB2F" w:rsidR="009978D2" w:rsidRPr="00A432F7" w:rsidRDefault="009978D2" w:rsidP="009978D2">
            <w:pPr>
              <w:keepNext/>
              <w:suppressAutoHyphens/>
              <w:spacing w:after="120"/>
              <w:outlineLvl w:val="7"/>
              <w:rPr>
                <w:rFonts w:ascii="Arial" w:hAnsi="Arial" w:cs="Arial"/>
                <w:b/>
                <w:sz w:val="22"/>
                <w:szCs w:val="22"/>
                <w:lang w:val="en-US"/>
              </w:rPr>
            </w:pPr>
            <w:r w:rsidRPr="00A432F7">
              <w:rPr>
                <w:rFonts w:ascii="Arial" w:hAnsi="Arial" w:cs="Arial"/>
                <w:b/>
                <w:bCs/>
                <w:spacing w:val="-3"/>
                <w:sz w:val="22"/>
                <w:szCs w:val="22"/>
                <w:lang w:eastAsia="en-GB"/>
              </w:rPr>
              <w:t xml:space="preserve">Article </w:t>
            </w:r>
            <w:r w:rsidRPr="00A432F7">
              <w:rPr>
                <w:rFonts w:ascii="Arial" w:hAnsi="Arial" w:cs="Arial"/>
                <w:b/>
                <w:strike/>
                <w:sz w:val="22"/>
                <w:szCs w:val="22"/>
                <w:lang w:val="en-US"/>
              </w:rPr>
              <w:t xml:space="preserve">4 </w:t>
            </w:r>
            <w:r w:rsidRPr="00A432F7">
              <w:rPr>
                <w:rFonts w:ascii="Arial" w:hAnsi="Arial" w:cs="Arial"/>
                <w:b/>
                <w:bCs/>
                <w:spacing w:val="-3"/>
                <w:sz w:val="22"/>
                <w:szCs w:val="22"/>
                <w:u w:val="single"/>
                <w:lang w:eastAsia="en-GB"/>
              </w:rPr>
              <w:t>5</w:t>
            </w:r>
          </w:p>
        </w:tc>
        <w:tc>
          <w:tcPr>
            <w:tcW w:w="7513" w:type="dxa"/>
            <w:tcBorders>
              <w:left w:val="nil"/>
            </w:tcBorders>
          </w:tcPr>
          <w:p w14:paraId="591EF4CD" w14:textId="77777777" w:rsidR="009978D2" w:rsidRPr="00A432F7" w:rsidRDefault="009978D2" w:rsidP="009978D2">
            <w:pPr>
              <w:keepNext/>
              <w:suppressAutoHyphens/>
              <w:spacing w:after="120"/>
              <w:outlineLvl w:val="7"/>
              <w:rPr>
                <w:rFonts w:ascii="Arial" w:hAnsi="Arial" w:cs="Arial"/>
                <w:bCs/>
                <w:sz w:val="22"/>
                <w:szCs w:val="22"/>
                <w:lang w:val="en-US"/>
              </w:rPr>
            </w:pPr>
            <w:r w:rsidRPr="00A432F7">
              <w:rPr>
                <w:rFonts w:ascii="Arial" w:hAnsi="Arial" w:cs="Arial"/>
                <w:bCs/>
                <w:sz w:val="22"/>
                <w:szCs w:val="22"/>
                <w:lang w:val="en-US"/>
              </w:rPr>
              <w:t>No change</w:t>
            </w:r>
          </w:p>
        </w:tc>
      </w:tr>
      <w:tr w:rsidR="009978D2" w:rsidRPr="002F61AE" w14:paraId="66806A72" w14:textId="77777777" w:rsidTr="009B7D9D">
        <w:trPr>
          <w:cantSplit/>
        </w:trPr>
        <w:tc>
          <w:tcPr>
            <w:tcW w:w="1129" w:type="dxa"/>
            <w:tcBorders>
              <w:right w:val="nil"/>
            </w:tcBorders>
          </w:tcPr>
          <w:p w14:paraId="4E9173A6" w14:textId="77777777" w:rsidR="009978D2" w:rsidRPr="00A432F7" w:rsidRDefault="009978D2" w:rsidP="009978D2">
            <w:pPr>
              <w:ind w:right="34"/>
              <w:rPr>
                <w:rFonts w:ascii="Arial" w:hAnsi="Arial" w:cs="Arial"/>
                <w:sz w:val="22"/>
                <w:szCs w:val="22"/>
                <w:lang w:val="en-US"/>
              </w:rPr>
            </w:pPr>
            <w:r w:rsidRPr="00A432F7">
              <w:rPr>
                <w:rFonts w:ascii="Arial" w:hAnsi="Arial" w:cs="Arial"/>
                <w:sz w:val="22"/>
                <w:szCs w:val="22"/>
                <w:lang w:val="en-US"/>
              </w:rPr>
              <w:t>4.1</w:t>
            </w:r>
          </w:p>
        </w:tc>
        <w:tc>
          <w:tcPr>
            <w:tcW w:w="4253" w:type="dxa"/>
            <w:tcBorders>
              <w:left w:val="nil"/>
            </w:tcBorders>
          </w:tcPr>
          <w:p w14:paraId="3D0E9693"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In accordance with Article 25.3 of the Convention, the income of the Special Account shall consist of:</w:t>
            </w:r>
          </w:p>
          <w:p w14:paraId="73B35520"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contributions made by States Parties to the Convention, in accordance with its Article 26;</w:t>
            </w:r>
          </w:p>
          <w:p w14:paraId="41D590A8"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funds appropriated for this purpose by the General Conference of UNESCO;</w:t>
            </w:r>
          </w:p>
          <w:p w14:paraId="391B4364"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contributions, gifts or bequests which may be made by:</w:t>
            </w:r>
          </w:p>
          <w:p w14:paraId="65F51C4E" w14:textId="77777777" w:rsidR="009978D2" w:rsidRPr="00A432F7" w:rsidRDefault="009978D2" w:rsidP="009978D2">
            <w:pPr>
              <w:pStyle w:val="Paragraphedeliste"/>
              <w:numPr>
                <w:ilvl w:val="0"/>
                <w:numId w:val="11"/>
              </w:numPr>
              <w:tabs>
                <w:tab w:val="left" w:pos="746"/>
              </w:tabs>
              <w:snapToGrid w:val="0"/>
              <w:spacing w:after="60"/>
              <w:ind w:left="746" w:hanging="425"/>
              <w:contextualSpacing w:val="0"/>
              <w:rPr>
                <w:rFonts w:ascii="Arial" w:hAnsi="Arial" w:cs="Arial"/>
                <w:sz w:val="22"/>
                <w:szCs w:val="22"/>
                <w:lang w:val="en-US"/>
              </w:rPr>
            </w:pPr>
            <w:r w:rsidRPr="00A432F7">
              <w:rPr>
                <w:rFonts w:ascii="Arial" w:hAnsi="Arial" w:cs="Arial"/>
                <w:sz w:val="22"/>
                <w:szCs w:val="22"/>
                <w:lang w:val="en-US"/>
              </w:rPr>
              <w:t xml:space="preserve">other States; </w:t>
            </w:r>
          </w:p>
          <w:p w14:paraId="074BD965" w14:textId="77777777" w:rsidR="009978D2" w:rsidRPr="00A432F7" w:rsidRDefault="009978D2" w:rsidP="009978D2">
            <w:pPr>
              <w:pStyle w:val="Paragraphedeliste"/>
              <w:numPr>
                <w:ilvl w:val="0"/>
                <w:numId w:val="11"/>
              </w:numPr>
              <w:tabs>
                <w:tab w:val="left" w:pos="746"/>
              </w:tabs>
              <w:snapToGrid w:val="0"/>
              <w:spacing w:after="60"/>
              <w:ind w:left="746" w:hanging="425"/>
              <w:contextualSpacing w:val="0"/>
              <w:rPr>
                <w:rFonts w:ascii="Arial" w:hAnsi="Arial" w:cs="Arial"/>
                <w:sz w:val="22"/>
                <w:szCs w:val="22"/>
                <w:lang w:val="en-US"/>
              </w:rPr>
            </w:pPr>
            <w:r w:rsidRPr="00A432F7">
              <w:rPr>
                <w:rFonts w:ascii="Arial" w:hAnsi="Arial" w:cs="Arial"/>
                <w:sz w:val="22"/>
                <w:szCs w:val="22"/>
                <w:lang w:val="en-US"/>
              </w:rPr>
              <w:t xml:space="preserve">organizations and </w:t>
            </w:r>
            <w:proofErr w:type="spellStart"/>
            <w:r w:rsidRPr="00A432F7">
              <w:rPr>
                <w:rFonts w:ascii="Arial" w:hAnsi="Arial" w:cs="Arial"/>
                <w:sz w:val="22"/>
                <w:szCs w:val="22"/>
                <w:lang w:val="en-US"/>
              </w:rPr>
              <w:t>programmes</w:t>
            </w:r>
            <w:proofErr w:type="spellEnd"/>
            <w:r w:rsidRPr="00A432F7">
              <w:rPr>
                <w:rFonts w:ascii="Arial" w:hAnsi="Arial" w:cs="Arial"/>
                <w:sz w:val="22"/>
                <w:szCs w:val="22"/>
                <w:lang w:val="en-US"/>
              </w:rPr>
              <w:t xml:space="preserve"> of the United Nations system, particularly the United Nations Development </w:t>
            </w:r>
            <w:proofErr w:type="spellStart"/>
            <w:r w:rsidRPr="00A432F7">
              <w:rPr>
                <w:rFonts w:ascii="Arial" w:hAnsi="Arial" w:cs="Arial"/>
                <w:sz w:val="22"/>
                <w:szCs w:val="22"/>
                <w:lang w:val="en-US"/>
              </w:rPr>
              <w:t>Programme</w:t>
            </w:r>
            <w:proofErr w:type="spellEnd"/>
            <w:r w:rsidRPr="00A432F7">
              <w:rPr>
                <w:rFonts w:ascii="Arial" w:hAnsi="Arial" w:cs="Arial"/>
                <w:sz w:val="22"/>
                <w:szCs w:val="22"/>
                <w:lang w:val="en-US"/>
              </w:rPr>
              <w:t>, as well as other international organizations;</w:t>
            </w:r>
          </w:p>
          <w:p w14:paraId="03DFB13E" w14:textId="77777777" w:rsidR="009978D2" w:rsidRPr="00A432F7" w:rsidRDefault="009978D2" w:rsidP="009978D2">
            <w:pPr>
              <w:pStyle w:val="Paragraphedeliste"/>
              <w:numPr>
                <w:ilvl w:val="0"/>
                <w:numId w:val="11"/>
              </w:numPr>
              <w:tabs>
                <w:tab w:val="left" w:pos="746"/>
              </w:tabs>
              <w:snapToGrid w:val="0"/>
              <w:spacing w:after="60"/>
              <w:ind w:left="746" w:hanging="425"/>
              <w:contextualSpacing w:val="0"/>
              <w:rPr>
                <w:rFonts w:ascii="Arial" w:hAnsi="Arial" w:cs="Arial"/>
                <w:sz w:val="22"/>
                <w:szCs w:val="22"/>
                <w:lang w:val="en-US"/>
              </w:rPr>
            </w:pPr>
            <w:r w:rsidRPr="00A432F7">
              <w:rPr>
                <w:rFonts w:ascii="Arial" w:hAnsi="Arial" w:cs="Arial"/>
                <w:sz w:val="22"/>
                <w:szCs w:val="22"/>
                <w:lang w:val="en-US"/>
              </w:rPr>
              <w:t>public or private bodies or individuals;</w:t>
            </w:r>
          </w:p>
          <w:p w14:paraId="379F37D2"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any interest due on the resources of the Special Account;</w:t>
            </w:r>
          </w:p>
          <w:p w14:paraId="722D31C7"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funds raised through collections, and receipts from events organized for the benefit of the Special Account;</w:t>
            </w:r>
          </w:p>
          <w:p w14:paraId="4ADB8BDD" w14:textId="77777777" w:rsidR="009978D2" w:rsidRPr="00A432F7" w:rsidRDefault="009978D2" w:rsidP="009978D2">
            <w:pPr>
              <w:pStyle w:val="Paragraphedeliste"/>
              <w:numPr>
                <w:ilvl w:val="0"/>
                <w:numId w:val="10"/>
              </w:numPr>
              <w:tabs>
                <w:tab w:val="left" w:pos="567"/>
              </w:tabs>
              <w:suppressAutoHyphens/>
              <w:snapToGrid w:val="0"/>
              <w:spacing w:after="60"/>
              <w:ind w:left="321"/>
              <w:contextualSpacing w:val="0"/>
              <w:rPr>
                <w:rFonts w:ascii="Arial" w:hAnsi="Arial" w:cs="Arial"/>
                <w:sz w:val="22"/>
                <w:szCs w:val="22"/>
                <w:lang w:val="en-US"/>
              </w:rPr>
            </w:pPr>
            <w:r w:rsidRPr="00A432F7">
              <w:rPr>
                <w:rFonts w:ascii="Arial" w:hAnsi="Arial" w:cs="Arial"/>
                <w:iCs/>
                <w:spacing w:val="-3"/>
                <w:sz w:val="22"/>
                <w:szCs w:val="22"/>
                <w:lang w:val="en-GB" w:eastAsia="en-GB"/>
              </w:rPr>
              <w:t>any other resources authorized by the Committee.</w:t>
            </w:r>
          </w:p>
        </w:tc>
        <w:tc>
          <w:tcPr>
            <w:tcW w:w="1417" w:type="dxa"/>
            <w:tcBorders>
              <w:right w:val="nil"/>
            </w:tcBorders>
          </w:tcPr>
          <w:p w14:paraId="63917EC4" w14:textId="77777777" w:rsidR="009978D2" w:rsidRPr="00A432F7" w:rsidRDefault="009978D2" w:rsidP="009978D2">
            <w:pPr>
              <w:pStyle w:val="Sansinterligne"/>
              <w:rPr>
                <w:rFonts w:ascii="Arial" w:hAnsi="Arial" w:cs="Arial"/>
                <w:highlight w:val="magenta"/>
                <w:lang w:val="en-US" w:eastAsia="en-GB"/>
              </w:rPr>
            </w:pPr>
            <w:r w:rsidRPr="00A432F7">
              <w:rPr>
                <w:rFonts w:ascii="Arial" w:hAnsi="Arial" w:cs="Arial"/>
                <w:strike/>
                <w:lang w:val="en-US"/>
              </w:rPr>
              <w:t>4.1</w:t>
            </w:r>
            <w:r w:rsidRPr="00A432F7">
              <w:rPr>
                <w:rFonts w:ascii="Arial" w:hAnsi="Arial" w:cs="Arial"/>
                <w:b/>
                <w:bCs/>
                <w:u w:val="single"/>
                <w:lang w:val="en-US" w:eastAsia="en-GB"/>
              </w:rPr>
              <w:t>5.1</w:t>
            </w:r>
          </w:p>
        </w:tc>
        <w:tc>
          <w:tcPr>
            <w:tcW w:w="7513" w:type="dxa"/>
            <w:tcBorders>
              <w:left w:val="nil"/>
            </w:tcBorders>
          </w:tcPr>
          <w:p w14:paraId="5FB90B1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In accordance with Article 25.3 of the Convention, the income of the Special Account shall consist of:</w:t>
            </w:r>
          </w:p>
          <w:p w14:paraId="58EBE5D8" w14:textId="77777777" w:rsidR="009978D2" w:rsidRPr="00825A9A"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825A9A">
              <w:rPr>
                <w:rFonts w:ascii="Arial" w:hAnsi="Arial" w:cs="Arial"/>
                <w:iCs/>
                <w:spacing w:val="-3"/>
                <w:sz w:val="22"/>
                <w:szCs w:val="22"/>
                <w:lang w:val="en-GB" w:eastAsia="en-GB"/>
              </w:rPr>
              <w:t>contributions made by States Parties</w:t>
            </w:r>
            <w:r w:rsidRPr="00E7609A">
              <w:rPr>
                <w:rFonts w:ascii="Arial" w:hAnsi="Arial" w:cs="Arial"/>
                <w:iCs/>
                <w:strike/>
                <w:spacing w:val="-3"/>
                <w:sz w:val="22"/>
                <w:szCs w:val="22"/>
                <w:lang w:val="en-GB" w:eastAsia="en-GB"/>
              </w:rPr>
              <w:t xml:space="preserve"> to the Convention</w:t>
            </w:r>
            <w:r w:rsidRPr="00C20C41">
              <w:rPr>
                <w:rFonts w:ascii="Arial" w:hAnsi="Arial" w:cs="Arial"/>
                <w:iCs/>
                <w:strike/>
                <w:spacing w:val="-3"/>
                <w:sz w:val="22"/>
                <w:szCs w:val="22"/>
                <w:lang w:val="en-GB" w:eastAsia="en-GB"/>
              </w:rPr>
              <w:t>,</w:t>
            </w:r>
            <w:r w:rsidRPr="00825A9A">
              <w:rPr>
                <w:rFonts w:ascii="Arial" w:hAnsi="Arial" w:cs="Arial"/>
                <w:iCs/>
                <w:strike/>
                <w:spacing w:val="-3"/>
                <w:sz w:val="22"/>
                <w:szCs w:val="22"/>
                <w:lang w:val="en-GB" w:eastAsia="en-GB"/>
              </w:rPr>
              <w:t xml:space="preserve"> in accordance with its Article 26</w:t>
            </w:r>
            <w:r w:rsidRPr="00825A9A">
              <w:rPr>
                <w:rFonts w:ascii="Arial" w:hAnsi="Arial" w:cs="Arial"/>
                <w:iCs/>
                <w:spacing w:val="-3"/>
                <w:sz w:val="22"/>
                <w:szCs w:val="22"/>
                <w:lang w:val="en-GB" w:eastAsia="en-GB"/>
              </w:rPr>
              <w:t>;</w:t>
            </w:r>
          </w:p>
          <w:p w14:paraId="6CDD83E8" w14:textId="77777777" w:rsidR="009978D2" w:rsidRPr="004F0BFD"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 xml:space="preserve">funds appropriated for this purpose by </w:t>
            </w:r>
            <w:r w:rsidRPr="004F0BFD">
              <w:rPr>
                <w:rFonts w:ascii="Arial" w:hAnsi="Arial" w:cs="Arial"/>
                <w:iCs/>
                <w:spacing w:val="-3"/>
                <w:sz w:val="22"/>
                <w:szCs w:val="22"/>
                <w:lang w:val="en-GB" w:eastAsia="en-GB"/>
              </w:rPr>
              <w:t>the General Conference of UNESCO;</w:t>
            </w:r>
          </w:p>
          <w:p w14:paraId="091A3F77" w14:textId="77777777" w:rsidR="009978D2" w:rsidRPr="00825A9A"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825A9A">
              <w:rPr>
                <w:rFonts w:ascii="Arial" w:hAnsi="Arial" w:cs="Arial"/>
                <w:iCs/>
                <w:spacing w:val="-3"/>
                <w:sz w:val="22"/>
                <w:szCs w:val="22"/>
                <w:lang w:val="en-GB" w:eastAsia="en-GB"/>
              </w:rPr>
              <w:t>contributions, gifts or bequests, which may be made by:</w:t>
            </w:r>
          </w:p>
          <w:p w14:paraId="4F016629" w14:textId="77777777" w:rsidR="009978D2" w:rsidRPr="00825A9A" w:rsidRDefault="009978D2" w:rsidP="009978D2">
            <w:pPr>
              <w:pStyle w:val="Paragraphedeliste"/>
              <w:numPr>
                <w:ilvl w:val="0"/>
                <w:numId w:val="25"/>
              </w:numPr>
              <w:tabs>
                <w:tab w:val="left" w:pos="746"/>
              </w:tabs>
              <w:snapToGrid w:val="0"/>
              <w:spacing w:after="60"/>
              <w:contextualSpacing w:val="0"/>
              <w:rPr>
                <w:rFonts w:ascii="Arial" w:hAnsi="Arial" w:cs="Arial"/>
                <w:sz w:val="22"/>
                <w:szCs w:val="22"/>
                <w:lang w:val="en-US"/>
              </w:rPr>
            </w:pPr>
            <w:r w:rsidRPr="00825A9A">
              <w:rPr>
                <w:rFonts w:ascii="Arial" w:hAnsi="Arial" w:cs="Arial"/>
                <w:sz w:val="22"/>
                <w:szCs w:val="22"/>
                <w:lang w:val="en-US"/>
              </w:rPr>
              <w:t xml:space="preserve">other States; </w:t>
            </w:r>
          </w:p>
          <w:p w14:paraId="03B91A00" w14:textId="77777777" w:rsidR="009978D2" w:rsidRPr="00825A9A" w:rsidRDefault="009978D2" w:rsidP="009978D2">
            <w:pPr>
              <w:pStyle w:val="Paragraphedeliste"/>
              <w:numPr>
                <w:ilvl w:val="0"/>
                <w:numId w:val="25"/>
              </w:numPr>
              <w:tabs>
                <w:tab w:val="left" w:pos="746"/>
              </w:tabs>
              <w:snapToGrid w:val="0"/>
              <w:spacing w:after="60"/>
              <w:ind w:left="746" w:hanging="425"/>
              <w:contextualSpacing w:val="0"/>
              <w:rPr>
                <w:rFonts w:ascii="Arial" w:hAnsi="Arial" w:cs="Arial"/>
                <w:sz w:val="22"/>
                <w:szCs w:val="22"/>
                <w:lang w:val="en-US"/>
              </w:rPr>
            </w:pPr>
            <w:r w:rsidRPr="00825A9A">
              <w:rPr>
                <w:rFonts w:ascii="Arial" w:hAnsi="Arial" w:cs="Arial"/>
                <w:sz w:val="22"/>
                <w:szCs w:val="22"/>
                <w:lang w:val="en-US"/>
              </w:rPr>
              <w:t xml:space="preserve">organizations and </w:t>
            </w:r>
            <w:proofErr w:type="spellStart"/>
            <w:r w:rsidRPr="00825A9A">
              <w:rPr>
                <w:rFonts w:ascii="Arial" w:hAnsi="Arial" w:cs="Arial"/>
                <w:sz w:val="22"/>
                <w:szCs w:val="22"/>
                <w:lang w:val="en-US"/>
              </w:rPr>
              <w:t>programmes</w:t>
            </w:r>
            <w:proofErr w:type="spellEnd"/>
            <w:r w:rsidRPr="00825A9A">
              <w:rPr>
                <w:rFonts w:ascii="Arial" w:hAnsi="Arial" w:cs="Arial"/>
                <w:sz w:val="22"/>
                <w:szCs w:val="22"/>
                <w:lang w:val="en-US"/>
              </w:rPr>
              <w:t xml:space="preserve"> of the United Nations system, particularly the United Nations Development </w:t>
            </w:r>
            <w:proofErr w:type="spellStart"/>
            <w:r w:rsidRPr="00825A9A">
              <w:rPr>
                <w:rFonts w:ascii="Arial" w:hAnsi="Arial" w:cs="Arial"/>
                <w:sz w:val="22"/>
                <w:szCs w:val="22"/>
                <w:lang w:val="en-US"/>
              </w:rPr>
              <w:t>Programme</w:t>
            </w:r>
            <w:proofErr w:type="spellEnd"/>
            <w:r w:rsidRPr="00825A9A">
              <w:rPr>
                <w:rFonts w:ascii="Arial" w:hAnsi="Arial" w:cs="Arial"/>
                <w:sz w:val="22"/>
                <w:szCs w:val="22"/>
                <w:lang w:val="en-US"/>
              </w:rPr>
              <w:t>, as well as other international organizations;</w:t>
            </w:r>
          </w:p>
          <w:p w14:paraId="6F272313" w14:textId="77777777" w:rsidR="009978D2" w:rsidRPr="00825A9A" w:rsidRDefault="009978D2" w:rsidP="009978D2">
            <w:pPr>
              <w:pStyle w:val="Paragraphedeliste"/>
              <w:numPr>
                <w:ilvl w:val="0"/>
                <w:numId w:val="25"/>
              </w:numPr>
              <w:tabs>
                <w:tab w:val="left" w:pos="746"/>
              </w:tabs>
              <w:snapToGrid w:val="0"/>
              <w:spacing w:after="60"/>
              <w:ind w:left="746" w:hanging="425"/>
              <w:contextualSpacing w:val="0"/>
              <w:rPr>
                <w:rFonts w:ascii="Arial" w:hAnsi="Arial" w:cs="Arial"/>
                <w:sz w:val="22"/>
                <w:szCs w:val="22"/>
                <w:lang w:val="en-US"/>
              </w:rPr>
            </w:pPr>
            <w:r w:rsidRPr="00825A9A">
              <w:rPr>
                <w:rFonts w:ascii="Arial" w:hAnsi="Arial" w:cs="Arial"/>
                <w:sz w:val="22"/>
                <w:szCs w:val="22"/>
                <w:lang w:val="en-US"/>
              </w:rPr>
              <w:t>public or private bodies or individuals;</w:t>
            </w:r>
          </w:p>
          <w:p w14:paraId="1174CF51" w14:textId="5AB0C744" w:rsidR="009978D2" w:rsidRPr="00A432F7"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 xml:space="preserve">any interest </w:t>
            </w:r>
            <w:r w:rsidRPr="002E26EC">
              <w:rPr>
                <w:rFonts w:ascii="Arial" w:hAnsi="Arial" w:cs="Arial"/>
                <w:iCs/>
                <w:spacing w:val="-3"/>
                <w:sz w:val="22"/>
                <w:szCs w:val="22"/>
                <w:lang w:val="en-GB" w:eastAsia="en-GB"/>
              </w:rPr>
              <w:t>due on the resources of the Special Account</w:t>
            </w:r>
            <w:r w:rsidRPr="00A432F7">
              <w:rPr>
                <w:rFonts w:ascii="Arial" w:hAnsi="Arial" w:cs="Arial"/>
                <w:iCs/>
                <w:spacing w:val="-3"/>
                <w:sz w:val="22"/>
                <w:szCs w:val="22"/>
                <w:lang w:val="en-GB" w:eastAsia="en-GB"/>
              </w:rPr>
              <w:t>;</w:t>
            </w:r>
          </w:p>
          <w:p w14:paraId="4942003C" w14:textId="77777777" w:rsidR="009978D2" w:rsidRPr="00A432F7"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iCs/>
                <w:spacing w:val="-3"/>
                <w:sz w:val="22"/>
                <w:szCs w:val="22"/>
                <w:lang w:val="en-GB" w:eastAsia="en-GB"/>
              </w:rPr>
            </w:pPr>
            <w:r w:rsidRPr="00A432F7">
              <w:rPr>
                <w:rFonts w:ascii="Arial" w:hAnsi="Arial" w:cs="Arial"/>
                <w:iCs/>
                <w:spacing w:val="-3"/>
                <w:sz w:val="22"/>
                <w:szCs w:val="22"/>
                <w:lang w:val="en-GB" w:eastAsia="en-GB"/>
              </w:rPr>
              <w:t>funds raised through collections, and receipts from events organized for the benefit of the Special Account</w:t>
            </w:r>
            <w:r>
              <w:rPr>
                <w:rFonts w:ascii="Arial" w:hAnsi="Arial" w:cs="Arial"/>
                <w:iCs/>
                <w:spacing w:val="-3"/>
                <w:sz w:val="22"/>
                <w:szCs w:val="22"/>
                <w:lang w:val="en-GB" w:eastAsia="en-GB"/>
              </w:rPr>
              <w:t>;</w:t>
            </w:r>
          </w:p>
          <w:p w14:paraId="040FE547" w14:textId="77777777" w:rsidR="009978D2" w:rsidRPr="00A432F7" w:rsidRDefault="009978D2" w:rsidP="009978D2">
            <w:pPr>
              <w:pStyle w:val="Paragraphedeliste"/>
              <w:numPr>
                <w:ilvl w:val="0"/>
                <w:numId w:val="24"/>
              </w:numPr>
              <w:tabs>
                <w:tab w:val="left" w:pos="567"/>
              </w:tabs>
              <w:suppressAutoHyphens/>
              <w:snapToGrid w:val="0"/>
              <w:spacing w:after="60"/>
              <w:ind w:left="321"/>
              <w:contextualSpacing w:val="0"/>
              <w:rPr>
                <w:rFonts w:ascii="Arial" w:hAnsi="Arial" w:cs="Arial"/>
                <w:sz w:val="22"/>
                <w:szCs w:val="22"/>
                <w:lang w:val="en-GB"/>
              </w:rPr>
            </w:pPr>
            <w:r w:rsidRPr="00A432F7">
              <w:rPr>
                <w:rFonts w:ascii="Arial" w:hAnsi="Arial" w:cs="Arial"/>
                <w:iCs/>
                <w:spacing w:val="-3"/>
                <w:sz w:val="22"/>
                <w:szCs w:val="22"/>
                <w:lang w:val="en-GB" w:eastAsia="en-GB"/>
              </w:rPr>
              <w:t>any other resources authorized by the Committee.</w:t>
            </w:r>
          </w:p>
        </w:tc>
      </w:tr>
      <w:tr w:rsidR="009978D2" w:rsidRPr="00A432F7" w14:paraId="29738F2E" w14:textId="77777777" w:rsidTr="009B7D9D">
        <w:trPr>
          <w:cantSplit/>
        </w:trPr>
        <w:tc>
          <w:tcPr>
            <w:tcW w:w="1129" w:type="dxa"/>
            <w:tcBorders>
              <w:right w:val="nil"/>
            </w:tcBorders>
          </w:tcPr>
          <w:p w14:paraId="6780887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4.2 </w:t>
            </w:r>
          </w:p>
        </w:tc>
        <w:tc>
          <w:tcPr>
            <w:tcW w:w="4253" w:type="dxa"/>
            <w:tcBorders>
              <w:left w:val="nil"/>
            </w:tcBorders>
          </w:tcPr>
          <w:p w14:paraId="4900B432"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As stipulated in Article 26.1 of the Convention, the contributions of States Parties which have not made the declaration referred to in Article 26.2 of the Convention shall be made according to the uniform percentage determined by the General Assembly of the States Parties to the Convention.</w:t>
            </w:r>
          </w:p>
        </w:tc>
        <w:tc>
          <w:tcPr>
            <w:tcW w:w="1417" w:type="dxa"/>
            <w:tcBorders>
              <w:right w:val="nil"/>
            </w:tcBorders>
          </w:tcPr>
          <w:p w14:paraId="3B0DB004" w14:textId="77777777" w:rsidR="009978D2" w:rsidRPr="00A432F7" w:rsidRDefault="009978D2" w:rsidP="009978D2">
            <w:pPr>
              <w:spacing w:after="120"/>
              <w:rPr>
                <w:rFonts w:ascii="Arial" w:hAnsi="Arial" w:cs="Arial"/>
                <w:sz w:val="22"/>
                <w:szCs w:val="22"/>
                <w:lang w:val="en-US"/>
              </w:rPr>
            </w:pPr>
            <w:r w:rsidRPr="00A432F7">
              <w:rPr>
                <w:rFonts w:ascii="Arial" w:hAnsi="Arial" w:cs="Arial"/>
                <w:strike/>
                <w:sz w:val="22"/>
                <w:szCs w:val="22"/>
                <w:lang w:val="en-US"/>
              </w:rPr>
              <w:t>4.2</w:t>
            </w:r>
            <w:r w:rsidRPr="00A432F7">
              <w:rPr>
                <w:rFonts w:ascii="Arial" w:hAnsi="Arial" w:cs="Arial"/>
                <w:b/>
                <w:bCs/>
                <w:sz w:val="22"/>
                <w:szCs w:val="22"/>
                <w:u w:val="single"/>
                <w:lang w:val="en-US" w:eastAsia="en-GB"/>
              </w:rPr>
              <w:t>5.2</w:t>
            </w:r>
          </w:p>
        </w:tc>
        <w:tc>
          <w:tcPr>
            <w:tcW w:w="7513" w:type="dxa"/>
            <w:tcBorders>
              <w:left w:val="nil"/>
            </w:tcBorders>
          </w:tcPr>
          <w:p w14:paraId="172658B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No change.</w:t>
            </w:r>
          </w:p>
        </w:tc>
      </w:tr>
      <w:tr w:rsidR="009978D2" w:rsidRPr="00A432F7" w14:paraId="0FDEED1A" w14:textId="77777777" w:rsidTr="009B7D9D">
        <w:trPr>
          <w:cantSplit/>
        </w:trPr>
        <w:tc>
          <w:tcPr>
            <w:tcW w:w="1129" w:type="dxa"/>
            <w:tcBorders>
              <w:right w:val="nil"/>
            </w:tcBorders>
          </w:tcPr>
          <w:p w14:paraId="51489779"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5</w:t>
            </w:r>
          </w:p>
        </w:tc>
        <w:tc>
          <w:tcPr>
            <w:tcW w:w="4253" w:type="dxa"/>
            <w:tcBorders>
              <w:left w:val="nil"/>
            </w:tcBorders>
          </w:tcPr>
          <w:p w14:paraId="68E7ECE6"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Expenditure</w:t>
            </w:r>
          </w:p>
        </w:tc>
        <w:tc>
          <w:tcPr>
            <w:tcW w:w="1417" w:type="dxa"/>
            <w:tcBorders>
              <w:right w:val="nil"/>
            </w:tcBorders>
          </w:tcPr>
          <w:p w14:paraId="24781BA2" w14:textId="77777777" w:rsidR="009978D2" w:rsidRPr="00A432F7" w:rsidRDefault="009978D2" w:rsidP="009978D2">
            <w:pPr>
              <w:suppressAutoHyphens/>
              <w:spacing w:after="120"/>
              <w:rPr>
                <w:rFonts w:ascii="Arial" w:hAnsi="Arial" w:cs="Arial"/>
                <w:b/>
                <w:sz w:val="22"/>
                <w:szCs w:val="22"/>
                <w:lang w:val="en-US"/>
              </w:rPr>
            </w:pPr>
            <w:r w:rsidRPr="00A432F7">
              <w:rPr>
                <w:rFonts w:ascii="Arial" w:hAnsi="Arial" w:cs="Arial"/>
                <w:b/>
                <w:bCs/>
                <w:spacing w:val="-3"/>
                <w:sz w:val="22"/>
                <w:szCs w:val="22"/>
                <w:lang w:eastAsia="en-GB"/>
              </w:rPr>
              <w:t xml:space="preserve">Article </w:t>
            </w:r>
            <w:r w:rsidRPr="00A432F7">
              <w:rPr>
                <w:rFonts w:ascii="Arial" w:hAnsi="Arial" w:cs="Arial"/>
                <w:b/>
                <w:strike/>
                <w:sz w:val="22"/>
                <w:szCs w:val="22"/>
                <w:lang w:val="en-US"/>
              </w:rPr>
              <w:t>5</w:t>
            </w:r>
            <w:r w:rsidRPr="00A432F7">
              <w:rPr>
                <w:rFonts w:ascii="Arial" w:hAnsi="Arial" w:cs="Arial"/>
                <w:b/>
                <w:bCs/>
                <w:spacing w:val="-3"/>
                <w:sz w:val="22"/>
                <w:szCs w:val="22"/>
                <w:u w:val="single"/>
                <w:lang w:eastAsia="en-GB"/>
              </w:rPr>
              <w:t>6</w:t>
            </w:r>
          </w:p>
        </w:tc>
        <w:tc>
          <w:tcPr>
            <w:tcW w:w="7513" w:type="dxa"/>
            <w:tcBorders>
              <w:left w:val="nil"/>
            </w:tcBorders>
          </w:tcPr>
          <w:p w14:paraId="2EC8D4CB" w14:textId="77777777" w:rsidR="009978D2" w:rsidRPr="00A432F7" w:rsidRDefault="009978D2" w:rsidP="009978D2">
            <w:pPr>
              <w:suppressAutoHyphens/>
              <w:spacing w:after="120"/>
              <w:rPr>
                <w:rFonts w:ascii="Arial" w:hAnsi="Arial" w:cs="Arial"/>
                <w:bCs/>
                <w:sz w:val="22"/>
                <w:szCs w:val="22"/>
                <w:lang w:val="en-US"/>
              </w:rPr>
            </w:pPr>
            <w:r w:rsidRPr="00A432F7">
              <w:rPr>
                <w:rFonts w:ascii="Arial" w:hAnsi="Arial" w:cs="Arial"/>
                <w:bCs/>
                <w:sz w:val="22"/>
                <w:szCs w:val="22"/>
                <w:lang w:val="en-US"/>
              </w:rPr>
              <w:t>No change.</w:t>
            </w:r>
          </w:p>
        </w:tc>
      </w:tr>
      <w:tr w:rsidR="009978D2" w:rsidRPr="002F61AE" w14:paraId="05AE974E" w14:textId="77777777" w:rsidTr="009B7D9D">
        <w:trPr>
          <w:cantSplit/>
        </w:trPr>
        <w:tc>
          <w:tcPr>
            <w:tcW w:w="1129" w:type="dxa"/>
            <w:tcBorders>
              <w:right w:val="nil"/>
            </w:tcBorders>
          </w:tcPr>
          <w:p w14:paraId="763AB943"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5.1 </w:t>
            </w:r>
          </w:p>
        </w:tc>
        <w:tc>
          <w:tcPr>
            <w:tcW w:w="4253" w:type="dxa"/>
            <w:tcBorders>
              <w:left w:val="nil"/>
            </w:tcBorders>
          </w:tcPr>
          <w:p w14:paraId="45E22FB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In accordance with Article 25.4 of the Convention, the use of the resources of the Special Account by the Committee shall be decided </w:t>
            </w:r>
            <w:proofErr w:type="gramStart"/>
            <w:r w:rsidRPr="00A432F7">
              <w:rPr>
                <w:rFonts w:ascii="Arial" w:hAnsi="Arial" w:cs="Arial"/>
                <w:sz w:val="22"/>
                <w:szCs w:val="22"/>
                <w:lang w:val="en-US"/>
              </w:rPr>
              <w:t>on the basis of</w:t>
            </w:r>
            <w:proofErr w:type="gramEnd"/>
            <w:r w:rsidRPr="00A432F7">
              <w:rPr>
                <w:rFonts w:ascii="Arial" w:hAnsi="Arial" w:cs="Arial"/>
                <w:sz w:val="22"/>
                <w:szCs w:val="22"/>
                <w:lang w:val="en-US"/>
              </w:rPr>
              <w:t xml:space="preserve"> guidelines laid down by the General Assembly.</w:t>
            </w:r>
          </w:p>
        </w:tc>
        <w:tc>
          <w:tcPr>
            <w:tcW w:w="1417" w:type="dxa"/>
            <w:tcBorders>
              <w:right w:val="nil"/>
            </w:tcBorders>
          </w:tcPr>
          <w:p w14:paraId="114E0475"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5.1</w:t>
            </w:r>
            <w:r w:rsidRPr="00A432F7">
              <w:rPr>
                <w:rFonts w:ascii="Arial" w:hAnsi="Arial" w:cs="Arial"/>
                <w:b/>
                <w:bCs/>
                <w:sz w:val="22"/>
                <w:szCs w:val="22"/>
                <w:u w:val="single"/>
                <w:lang w:val="en-US" w:eastAsia="en-GB"/>
              </w:rPr>
              <w:t>6.1</w:t>
            </w:r>
          </w:p>
        </w:tc>
        <w:tc>
          <w:tcPr>
            <w:tcW w:w="7513" w:type="dxa"/>
            <w:tcBorders>
              <w:left w:val="nil"/>
            </w:tcBorders>
          </w:tcPr>
          <w:p w14:paraId="790DC914" w14:textId="089A3AE9" w:rsidR="009978D2" w:rsidRPr="00825A9A" w:rsidRDefault="009978D2" w:rsidP="00C144E3">
            <w:pPr>
              <w:suppressAutoHyphens/>
              <w:spacing w:after="120"/>
              <w:rPr>
                <w:rFonts w:ascii="Arial" w:hAnsi="Arial" w:cs="Arial"/>
                <w:b/>
                <w:bCs/>
                <w:iCs/>
                <w:sz w:val="22"/>
                <w:szCs w:val="22"/>
                <w:highlight w:val="magenta"/>
                <w:u w:val="single"/>
                <w:lang w:val="en-GB"/>
              </w:rPr>
            </w:pPr>
            <w:r w:rsidRPr="00825A9A">
              <w:rPr>
                <w:rFonts w:ascii="Arial" w:hAnsi="Arial" w:cs="Arial"/>
                <w:b/>
                <w:bCs/>
                <w:iCs/>
                <w:spacing w:val="-3"/>
                <w:sz w:val="22"/>
                <w:szCs w:val="22"/>
                <w:u w:val="single"/>
                <w:lang w:val="en-GB" w:eastAsia="en-GB"/>
              </w:rPr>
              <w:t xml:space="preserve">The </w:t>
            </w:r>
            <w:r w:rsidR="00C144E3">
              <w:rPr>
                <w:rFonts w:ascii="Arial" w:hAnsi="Arial" w:cs="Arial"/>
                <w:b/>
                <w:bCs/>
                <w:iCs/>
                <w:spacing w:val="-3"/>
                <w:sz w:val="22"/>
                <w:szCs w:val="22"/>
                <w:u w:val="single"/>
                <w:lang w:val="en-GB" w:eastAsia="en-GB"/>
              </w:rPr>
              <w:t>use</w:t>
            </w:r>
            <w:r w:rsidR="00C144E3" w:rsidRPr="00825A9A">
              <w:rPr>
                <w:rFonts w:ascii="Arial" w:hAnsi="Arial" w:cs="Arial"/>
                <w:b/>
                <w:bCs/>
                <w:iCs/>
                <w:spacing w:val="-3"/>
                <w:sz w:val="22"/>
                <w:szCs w:val="22"/>
                <w:u w:val="single"/>
                <w:lang w:val="en-GB" w:eastAsia="en-GB"/>
              </w:rPr>
              <w:t xml:space="preserve"> </w:t>
            </w:r>
            <w:r w:rsidRPr="00825A9A">
              <w:rPr>
                <w:rFonts w:ascii="Arial" w:hAnsi="Arial" w:cs="Arial"/>
                <w:b/>
                <w:bCs/>
                <w:iCs/>
                <w:spacing w:val="-3"/>
                <w:sz w:val="22"/>
                <w:szCs w:val="22"/>
                <w:u w:val="single"/>
                <w:lang w:val="en-GB" w:eastAsia="en-GB"/>
              </w:rPr>
              <w:t>of the resources of the Special Account shall be approved by the General Assembly on a biennial basis</w:t>
            </w:r>
            <w:r w:rsidRPr="00D147DC">
              <w:rPr>
                <w:rFonts w:ascii="Arial" w:hAnsi="Arial" w:cs="Arial"/>
                <w:b/>
                <w:bCs/>
                <w:iCs/>
                <w:spacing w:val="-3"/>
                <w:sz w:val="22"/>
                <w:szCs w:val="22"/>
                <w:lang w:val="en-GB" w:eastAsia="en-GB"/>
              </w:rPr>
              <w:t xml:space="preserve">. </w:t>
            </w:r>
            <w:r w:rsidRPr="00D147DC">
              <w:rPr>
                <w:rFonts w:ascii="Arial" w:hAnsi="Arial" w:cs="Arial"/>
                <w:strike/>
                <w:sz w:val="22"/>
                <w:szCs w:val="22"/>
                <w:lang w:val="en-US"/>
              </w:rPr>
              <w:t xml:space="preserve">In accordance with Article 25.4 of the Convention, the use of the resources of the Special Account by the Committee shall be decided </w:t>
            </w:r>
            <w:proofErr w:type="gramStart"/>
            <w:r w:rsidRPr="00D147DC">
              <w:rPr>
                <w:rFonts w:ascii="Arial" w:hAnsi="Arial" w:cs="Arial"/>
                <w:strike/>
                <w:sz w:val="22"/>
                <w:szCs w:val="22"/>
                <w:lang w:val="en-US"/>
              </w:rPr>
              <w:t>on the basis of</w:t>
            </w:r>
            <w:proofErr w:type="gramEnd"/>
            <w:r w:rsidRPr="00D147DC">
              <w:rPr>
                <w:rFonts w:ascii="Arial" w:hAnsi="Arial" w:cs="Arial"/>
                <w:strike/>
                <w:sz w:val="22"/>
                <w:szCs w:val="22"/>
                <w:lang w:val="en-US"/>
              </w:rPr>
              <w:t xml:space="preserve"> guidelines laid down by the General Assembly</w:t>
            </w:r>
            <w:r>
              <w:rPr>
                <w:rFonts w:ascii="Arial" w:hAnsi="Arial" w:cs="Arial"/>
                <w:strike/>
                <w:sz w:val="22"/>
                <w:szCs w:val="22"/>
                <w:lang w:val="en-US"/>
              </w:rPr>
              <w:t>.</w:t>
            </w:r>
          </w:p>
        </w:tc>
      </w:tr>
      <w:tr w:rsidR="009978D2" w:rsidRPr="002F61AE" w14:paraId="11038A6C" w14:textId="77777777" w:rsidTr="009B7D9D">
        <w:trPr>
          <w:cantSplit/>
        </w:trPr>
        <w:tc>
          <w:tcPr>
            <w:tcW w:w="1129" w:type="dxa"/>
            <w:tcBorders>
              <w:right w:val="nil"/>
            </w:tcBorders>
          </w:tcPr>
          <w:p w14:paraId="15EF361F"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5.2 </w:t>
            </w:r>
          </w:p>
        </w:tc>
        <w:tc>
          <w:tcPr>
            <w:tcW w:w="4253" w:type="dxa"/>
            <w:tcBorders>
              <w:left w:val="nil"/>
            </w:tcBorders>
          </w:tcPr>
          <w:p w14:paraId="14FC123D"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Special Account shall be debited with the expenditure relating to its purpose as described in Article 3 above, including direct administrative expenses specifically relating to it.</w:t>
            </w:r>
          </w:p>
        </w:tc>
        <w:tc>
          <w:tcPr>
            <w:tcW w:w="1417" w:type="dxa"/>
            <w:tcBorders>
              <w:right w:val="nil"/>
            </w:tcBorders>
          </w:tcPr>
          <w:p w14:paraId="255472DF"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5.2</w:t>
            </w:r>
            <w:r w:rsidRPr="00A432F7">
              <w:rPr>
                <w:rFonts w:ascii="Arial" w:hAnsi="Arial" w:cs="Arial"/>
                <w:b/>
                <w:bCs/>
                <w:sz w:val="22"/>
                <w:szCs w:val="22"/>
                <w:u w:val="single"/>
                <w:lang w:val="en-US" w:eastAsia="en-GB"/>
              </w:rPr>
              <w:t>6.2</w:t>
            </w:r>
          </w:p>
        </w:tc>
        <w:tc>
          <w:tcPr>
            <w:tcW w:w="7513" w:type="dxa"/>
            <w:tcBorders>
              <w:left w:val="nil"/>
            </w:tcBorders>
          </w:tcPr>
          <w:p w14:paraId="33C79E25" w14:textId="77777777" w:rsidR="009978D2" w:rsidRPr="00825A9A" w:rsidRDefault="009978D2" w:rsidP="009978D2">
            <w:pPr>
              <w:suppressAutoHyphens/>
              <w:spacing w:after="120"/>
              <w:rPr>
                <w:rFonts w:ascii="Arial" w:hAnsi="Arial" w:cs="Arial"/>
                <w:b/>
                <w:bCs/>
                <w:sz w:val="22"/>
                <w:szCs w:val="22"/>
                <w:u w:val="single"/>
                <w:lang w:val="en-US"/>
              </w:rPr>
            </w:pPr>
            <w:r w:rsidRPr="00825A9A">
              <w:rPr>
                <w:rFonts w:ascii="Arial" w:hAnsi="Arial" w:cs="Arial"/>
                <w:spacing w:val="-3"/>
                <w:sz w:val="22"/>
                <w:szCs w:val="22"/>
                <w:lang w:val="en-GB" w:eastAsia="en-GB"/>
              </w:rPr>
              <w:t>The Special Account shall be debited with the expenditure relating to its purpose as described in Article 3 above, including administrative expenses specifically relating to it</w:t>
            </w:r>
            <w:r w:rsidRPr="00825A9A">
              <w:rPr>
                <w:rFonts w:ascii="Arial" w:hAnsi="Arial" w:cs="Arial"/>
                <w:b/>
                <w:bCs/>
                <w:spacing w:val="-3"/>
                <w:sz w:val="22"/>
                <w:szCs w:val="22"/>
                <w:u w:val="single"/>
                <w:lang w:val="en-GB" w:eastAsia="en-GB"/>
              </w:rPr>
              <w:t xml:space="preserve"> and management costs applicable.</w:t>
            </w:r>
          </w:p>
        </w:tc>
      </w:tr>
      <w:tr w:rsidR="009978D2" w:rsidRPr="009978D2" w14:paraId="71057E9B" w14:textId="77777777" w:rsidTr="009B7D9D">
        <w:trPr>
          <w:cantSplit/>
        </w:trPr>
        <w:tc>
          <w:tcPr>
            <w:tcW w:w="1129" w:type="dxa"/>
            <w:tcBorders>
              <w:right w:val="nil"/>
            </w:tcBorders>
          </w:tcPr>
          <w:p w14:paraId="4FE218A4"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5.3 </w:t>
            </w:r>
          </w:p>
        </w:tc>
        <w:tc>
          <w:tcPr>
            <w:tcW w:w="4253" w:type="dxa"/>
            <w:tcBorders>
              <w:left w:val="nil"/>
            </w:tcBorders>
          </w:tcPr>
          <w:p w14:paraId="2FD82964"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Expenditure shall be made within the limits of funds available.</w:t>
            </w:r>
          </w:p>
        </w:tc>
        <w:tc>
          <w:tcPr>
            <w:tcW w:w="1417" w:type="dxa"/>
            <w:tcBorders>
              <w:right w:val="nil"/>
            </w:tcBorders>
          </w:tcPr>
          <w:p w14:paraId="12B8A4B1"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5.3</w:t>
            </w:r>
            <w:r w:rsidRPr="00A432F7">
              <w:rPr>
                <w:rFonts w:ascii="Arial" w:hAnsi="Arial" w:cs="Arial"/>
                <w:b/>
                <w:bCs/>
                <w:sz w:val="22"/>
                <w:szCs w:val="22"/>
                <w:u w:val="single"/>
                <w:lang w:val="en-US" w:eastAsia="en-GB"/>
              </w:rPr>
              <w:t>6.3</w:t>
            </w:r>
          </w:p>
        </w:tc>
        <w:tc>
          <w:tcPr>
            <w:tcW w:w="7513" w:type="dxa"/>
            <w:tcBorders>
              <w:left w:val="nil"/>
            </w:tcBorders>
          </w:tcPr>
          <w:p w14:paraId="5092D917"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z w:val="22"/>
                <w:szCs w:val="22"/>
                <w:lang w:val="en-US"/>
              </w:rPr>
              <w:t>No change.</w:t>
            </w:r>
          </w:p>
        </w:tc>
      </w:tr>
      <w:tr w:rsidR="009978D2" w:rsidRPr="00A432F7" w14:paraId="03E5C9A0" w14:textId="77777777" w:rsidTr="009B7D9D">
        <w:trPr>
          <w:cantSplit/>
        </w:trPr>
        <w:tc>
          <w:tcPr>
            <w:tcW w:w="1129" w:type="dxa"/>
            <w:tcBorders>
              <w:right w:val="nil"/>
            </w:tcBorders>
          </w:tcPr>
          <w:p w14:paraId="7AD7071A"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 xml:space="preserve">Article 6 </w:t>
            </w:r>
          </w:p>
        </w:tc>
        <w:tc>
          <w:tcPr>
            <w:tcW w:w="4253" w:type="dxa"/>
            <w:tcBorders>
              <w:left w:val="nil"/>
            </w:tcBorders>
          </w:tcPr>
          <w:p w14:paraId="263867F5"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Reserve Fund</w:t>
            </w:r>
          </w:p>
        </w:tc>
        <w:tc>
          <w:tcPr>
            <w:tcW w:w="1417" w:type="dxa"/>
            <w:tcBorders>
              <w:right w:val="nil"/>
            </w:tcBorders>
          </w:tcPr>
          <w:p w14:paraId="5CF8F10D"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 xml:space="preserve">Article </w:t>
            </w:r>
            <w:r w:rsidRPr="00A432F7">
              <w:rPr>
                <w:rFonts w:ascii="Arial" w:hAnsi="Arial" w:cs="Arial"/>
                <w:b/>
                <w:strike/>
                <w:sz w:val="22"/>
                <w:szCs w:val="22"/>
                <w:lang w:val="en-US"/>
              </w:rPr>
              <w:t>6</w:t>
            </w:r>
            <w:r w:rsidRPr="00A432F7">
              <w:rPr>
                <w:rFonts w:ascii="Arial" w:hAnsi="Arial" w:cs="Arial"/>
                <w:b/>
                <w:sz w:val="22"/>
                <w:szCs w:val="22"/>
                <w:u w:val="single"/>
                <w:lang w:val="en-US"/>
              </w:rPr>
              <w:t>7</w:t>
            </w:r>
          </w:p>
        </w:tc>
        <w:tc>
          <w:tcPr>
            <w:tcW w:w="7513" w:type="dxa"/>
            <w:tcBorders>
              <w:left w:val="nil"/>
            </w:tcBorders>
          </w:tcPr>
          <w:p w14:paraId="554471C3" w14:textId="77777777" w:rsidR="009978D2" w:rsidRPr="00A432F7" w:rsidRDefault="009978D2" w:rsidP="009978D2">
            <w:pPr>
              <w:spacing w:after="120"/>
              <w:rPr>
                <w:rFonts w:ascii="Arial" w:hAnsi="Arial" w:cs="Arial"/>
                <w:b/>
                <w:sz w:val="22"/>
                <w:szCs w:val="22"/>
                <w:lang w:val="en-US"/>
              </w:rPr>
            </w:pPr>
            <w:r w:rsidRPr="00A432F7">
              <w:rPr>
                <w:rFonts w:ascii="Arial" w:hAnsi="Arial" w:cs="Arial"/>
                <w:sz w:val="22"/>
                <w:szCs w:val="22"/>
                <w:lang w:val="en-US"/>
              </w:rPr>
              <w:t>No change.</w:t>
            </w:r>
          </w:p>
        </w:tc>
      </w:tr>
      <w:tr w:rsidR="009978D2" w:rsidRPr="00A432F7" w14:paraId="09DE88B0" w14:textId="77777777" w:rsidTr="009B7D9D">
        <w:trPr>
          <w:cantSplit/>
        </w:trPr>
        <w:tc>
          <w:tcPr>
            <w:tcW w:w="1129" w:type="dxa"/>
            <w:tcBorders>
              <w:right w:val="nil"/>
            </w:tcBorders>
          </w:tcPr>
          <w:p w14:paraId="2174ACE9"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141A1973" w14:textId="77777777" w:rsidR="009978D2" w:rsidRPr="00A432F7" w:rsidRDefault="009978D2" w:rsidP="009978D2">
            <w:pPr>
              <w:spacing w:after="120"/>
              <w:rPr>
                <w:rFonts w:ascii="Arial" w:hAnsi="Arial" w:cs="Arial"/>
                <w:sz w:val="22"/>
                <w:szCs w:val="22"/>
                <w:lang w:val="en-GB"/>
              </w:rPr>
            </w:pPr>
            <w:r w:rsidRPr="00A432F7">
              <w:rPr>
                <w:rFonts w:ascii="Arial" w:hAnsi="Arial" w:cs="Arial"/>
                <w:sz w:val="22"/>
                <w:szCs w:val="22"/>
                <w:lang w:val="en-US"/>
              </w:rPr>
              <w:t>Within the Special Account there shall be established a reserve fund to meet requests for assistance in cases of extreme urgency, as foreseen in Article 17.3 and 22.2 of the Convention. The amount of the reserve shall be determined by the Committee.</w:t>
            </w:r>
          </w:p>
        </w:tc>
        <w:tc>
          <w:tcPr>
            <w:tcW w:w="1417" w:type="dxa"/>
            <w:tcBorders>
              <w:right w:val="nil"/>
            </w:tcBorders>
          </w:tcPr>
          <w:p w14:paraId="484F0A19" w14:textId="77777777" w:rsidR="009978D2" w:rsidRPr="00A432F7" w:rsidRDefault="009978D2" w:rsidP="009978D2">
            <w:pPr>
              <w:spacing w:after="120"/>
              <w:rPr>
                <w:rFonts w:ascii="Arial" w:hAnsi="Arial" w:cs="Arial"/>
                <w:sz w:val="22"/>
                <w:szCs w:val="22"/>
                <w:lang w:val="en-GB"/>
              </w:rPr>
            </w:pPr>
          </w:p>
        </w:tc>
        <w:tc>
          <w:tcPr>
            <w:tcW w:w="7513" w:type="dxa"/>
            <w:tcBorders>
              <w:left w:val="nil"/>
            </w:tcBorders>
          </w:tcPr>
          <w:p w14:paraId="1B433933" w14:textId="77777777" w:rsidR="009978D2" w:rsidRPr="00A432F7" w:rsidRDefault="009978D2" w:rsidP="009978D2">
            <w:pPr>
              <w:spacing w:after="120"/>
              <w:rPr>
                <w:rFonts w:ascii="Arial" w:hAnsi="Arial" w:cs="Arial"/>
                <w:sz w:val="22"/>
                <w:szCs w:val="22"/>
                <w:lang w:val="en-GB"/>
              </w:rPr>
            </w:pPr>
            <w:r w:rsidRPr="00A432F7">
              <w:rPr>
                <w:rFonts w:ascii="Arial" w:hAnsi="Arial" w:cs="Arial"/>
                <w:sz w:val="22"/>
                <w:szCs w:val="22"/>
                <w:lang w:val="en-US"/>
              </w:rPr>
              <w:t>No change.</w:t>
            </w:r>
          </w:p>
        </w:tc>
      </w:tr>
      <w:tr w:rsidR="009978D2" w:rsidRPr="00A432F7" w14:paraId="3D89D34F" w14:textId="77777777" w:rsidTr="009B7D9D">
        <w:trPr>
          <w:cantSplit/>
        </w:trPr>
        <w:tc>
          <w:tcPr>
            <w:tcW w:w="1129" w:type="dxa"/>
            <w:tcBorders>
              <w:right w:val="nil"/>
            </w:tcBorders>
          </w:tcPr>
          <w:p w14:paraId="392E8DB2"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7</w:t>
            </w:r>
          </w:p>
        </w:tc>
        <w:tc>
          <w:tcPr>
            <w:tcW w:w="4253" w:type="dxa"/>
            <w:tcBorders>
              <w:left w:val="nil"/>
            </w:tcBorders>
          </w:tcPr>
          <w:p w14:paraId="49FEC3A0"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Accounts</w:t>
            </w:r>
          </w:p>
        </w:tc>
        <w:tc>
          <w:tcPr>
            <w:tcW w:w="1417" w:type="dxa"/>
            <w:tcBorders>
              <w:right w:val="nil"/>
            </w:tcBorders>
          </w:tcPr>
          <w:p w14:paraId="4DA3A26C" w14:textId="77777777" w:rsidR="009978D2" w:rsidRPr="00A432F7" w:rsidRDefault="009978D2" w:rsidP="009978D2">
            <w:pPr>
              <w:suppressAutoHyphens/>
              <w:spacing w:after="120"/>
              <w:rPr>
                <w:rFonts w:ascii="Arial" w:hAnsi="Arial" w:cs="Arial"/>
                <w:b/>
                <w:sz w:val="22"/>
                <w:szCs w:val="22"/>
                <w:lang w:val="en-US"/>
              </w:rPr>
            </w:pPr>
            <w:r w:rsidRPr="00A432F7">
              <w:rPr>
                <w:rFonts w:ascii="Arial" w:hAnsi="Arial" w:cs="Arial"/>
                <w:b/>
                <w:bCs/>
                <w:spacing w:val="-3"/>
                <w:sz w:val="22"/>
                <w:szCs w:val="22"/>
                <w:lang w:eastAsia="en-GB"/>
              </w:rPr>
              <w:t xml:space="preserve">Article </w:t>
            </w:r>
            <w:r w:rsidRPr="00A432F7">
              <w:rPr>
                <w:rFonts w:ascii="Arial" w:hAnsi="Arial" w:cs="Arial"/>
                <w:b/>
                <w:strike/>
                <w:sz w:val="22"/>
                <w:szCs w:val="22"/>
                <w:lang w:val="en-US"/>
              </w:rPr>
              <w:t>7</w:t>
            </w:r>
            <w:r w:rsidRPr="00A432F7">
              <w:rPr>
                <w:rFonts w:ascii="Arial" w:hAnsi="Arial" w:cs="Arial"/>
                <w:b/>
                <w:bCs/>
                <w:spacing w:val="-3"/>
                <w:sz w:val="22"/>
                <w:szCs w:val="22"/>
                <w:u w:val="single"/>
                <w:lang w:eastAsia="en-GB"/>
              </w:rPr>
              <w:t>8</w:t>
            </w:r>
          </w:p>
        </w:tc>
        <w:tc>
          <w:tcPr>
            <w:tcW w:w="7513" w:type="dxa"/>
            <w:tcBorders>
              <w:left w:val="nil"/>
            </w:tcBorders>
          </w:tcPr>
          <w:p w14:paraId="199AE626" w14:textId="77777777" w:rsidR="009978D2" w:rsidRPr="00A432F7" w:rsidRDefault="009978D2" w:rsidP="009978D2">
            <w:pPr>
              <w:suppressAutoHyphens/>
              <w:spacing w:after="120"/>
              <w:rPr>
                <w:rFonts w:ascii="Arial" w:hAnsi="Arial" w:cs="Arial"/>
                <w:bCs/>
                <w:sz w:val="22"/>
                <w:szCs w:val="22"/>
                <w:lang w:val="en-US"/>
              </w:rPr>
            </w:pPr>
            <w:r w:rsidRPr="00A432F7">
              <w:rPr>
                <w:rFonts w:ascii="Arial" w:hAnsi="Arial" w:cs="Arial"/>
                <w:bCs/>
                <w:sz w:val="22"/>
                <w:szCs w:val="22"/>
                <w:lang w:val="en-US"/>
              </w:rPr>
              <w:t>No change.</w:t>
            </w:r>
          </w:p>
        </w:tc>
      </w:tr>
      <w:tr w:rsidR="009978D2" w:rsidRPr="002F61AE" w14:paraId="5D876915" w14:textId="77777777" w:rsidTr="009B7D9D">
        <w:trPr>
          <w:cantSplit/>
        </w:trPr>
        <w:tc>
          <w:tcPr>
            <w:tcW w:w="1129" w:type="dxa"/>
            <w:tcBorders>
              <w:right w:val="nil"/>
            </w:tcBorders>
          </w:tcPr>
          <w:p w14:paraId="6B7C5B48"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1CC6D457"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12CCD8C3" w14:textId="77777777" w:rsidR="009978D2" w:rsidRPr="00E7609A" w:rsidRDefault="009978D2" w:rsidP="009978D2">
            <w:pPr>
              <w:suppressAutoHyphens/>
              <w:spacing w:after="120"/>
              <w:rPr>
                <w:rFonts w:ascii="Arial" w:hAnsi="Arial" w:cs="Arial"/>
                <w:b/>
                <w:bCs/>
                <w:sz w:val="22"/>
                <w:szCs w:val="22"/>
                <w:u w:val="single"/>
                <w:lang w:val="en-US"/>
              </w:rPr>
            </w:pPr>
            <w:r w:rsidRPr="00E7609A">
              <w:rPr>
                <w:rFonts w:ascii="Arial" w:hAnsi="Arial" w:cs="Arial"/>
                <w:b/>
                <w:bCs/>
                <w:sz w:val="22"/>
                <w:szCs w:val="22"/>
                <w:u w:val="single"/>
                <w:lang w:val="en-US"/>
              </w:rPr>
              <w:t>8.1</w:t>
            </w:r>
          </w:p>
        </w:tc>
        <w:tc>
          <w:tcPr>
            <w:tcW w:w="7513" w:type="dxa"/>
            <w:tcBorders>
              <w:left w:val="nil"/>
            </w:tcBorders>
          </w:tcPr>
          <w:p w14:paraId="57A46B6F" w14:textId="77777777" w:rsidR="009978D2" w:rsidRPr="00E7609A" w:rsidRDefault="009978D2" w:rsidP="009978D2">
            <w:pPr>
              <w:suppressAutoHyphens/>
              <w:spacing w:after="120"/>
              <w:rPr>
                <w:rFonts w:ascii="Arial" w:hAnsi="Arial" w:cs="Arial"/>
                <w:b/>
                <w:bCs/>
                <w:spacing w:val="-3"/>
                <w:sz w:val="22"/>
                <w:szCs w:val="22"/>
                <w:u w:val="single"/>
                <w:lang w:val="en-US" w:eastAsia="en-GB"/>
              </w:rPr>
            </w:pPr>
            <w:r w:rsidRPr="00E7609A">
              <w:rPr>
                <w:rFonts w:ascii="Arial" w:eastAsiaTheme="minorEastAsia" w:hAnsi="Arial" w:cs="Arial"/>
                <w:b/>
                <w:bCs/>
                <w:sz w:val="22"/>
                <w:szCs w:val="22"/>
                <w:u w:val="single"/>
                <w:lang w:val="en-US"/>
              </w:rPr>
              <w:t>Subsidiary Accounts may be established by the General Assembly and the Committee.</w:t>
            </w:r>
          </w:p>
        </w:tc>
      </w:tr>
      <w:tr w:rsidR="009978D2" w:rsidRPr="002F61AE" w14:paraId="7AB47A28" w14:textId="77777777" w:rsidTr="009B7D9D">
        <w:trPr>
          <w:cantSplit/>
        </w:trPr>
        <w:tc>
          <w:tcPr>
            <w:tcW w:w="1129" w:type="dxa"/>
            <w:tcBorders>
              <w:right w:val="nil"/>
            </w:tcBorders>
          </w:tcPr>
          <w:p w14:paraId="2ED73C72"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7.1 </w:t>
            </w:r>
          </w:p>
        </w:tc>
        <w:tc>
          <w:tcPr>
            <w:tcW w:w="4253" w:type="dxa"/>
            <w:tcBorders>
              <w:left w:val="nil"/>
            </w:tcBorders>
          </w:tcPr>
          <w:p w14:paraId="1236B7E2"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UNESCO Comptroller shall maintain such accounting records as are necessary.</w:t>
            </w:r>
          </w:p>
        </w:tc>
        <w:tc>
          <w:tcPr>
            <w:tcW w:w="1417" w:type="dxa"/>
            <w:tcBorders>
              <w:right w:val="nil"/>
            </w:tcBorders>
          </w:tcPr>
          <w:p w14:paraId="5839241B"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7.1</w:t>
            </w:r>
            <w:r w:rsidRPr="00A432F7">
              <w:rPr>
                <w:rFonts w:ascii="Arial" w:hAnsi="Arial" w:cs="Arial"/>
                <w:b/>
                <w:bCs/>
                <w:sz w:val="22"/>
                <w:szCs w:val="22"/>
                <w:u w:val="single"/>
                <w:lang w:val="en-US" w:eastAsia="en-GB"/>
              </w:rPr>
              <w:t>8.</w:t>
            </w:r>
            <w:r>
              <w:rPr>
                <w:rFonts w:ascii="Arial" w:hAnsi="Arial" w:cs="Arial"/>
                <w:b/>
                <w:bCs/>
                <w:sz w:val="22"/>
                <w:szCs w:val="22"/>
                <w:u w:val="single"/>
                <w:lang w:val="en-US" w:eastAsia="en-GB"/>
              </w:rPr>
              <w:t>2</w:t>
            </w:r>
          </w:p>
        </w:tc>
        <w:tc>
          <w:tcPr>
            <w:tcW w:w="7513" w:type="dxa"/>
            <w:tcBorders>
              <w:left w:val="nil"/>
            </w:tcBorders>
          </w:tcPr>
          <w:p w14:paraId="232AF2D5"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 xml:space="preserve">The </w:t>
            </w:r>
            <w:r w:rsidRPr="00A432F7">
              <w:rPr>
                <w:rFonts w:ascii="Arial" w:hAnsi="Arial" w:cs="Arial"/>
                <w:b/>
                <w:bCs/>
                <w:spacing w:val="-3"/>
                <w:sz w:val="22"/>
                <w:szCs w:val="22"/>
                <w:u w:val="single"/>
                <w:lang w:val="en-US" w:eastAsia="en-GB"/>
              </w:rPr>
              <w:t xml:space="preserve">Chief Financial Officer </w:t>
            </w:r>
            <w:r w:rsidRPr="00825A9A">
              <w:rPr>
                <w:rFonts w:ascii="Arial" w:hAnsi="Arial" w:cs="Arial"/>
                <w:b/>
                <w:bCs/>
                <w:spacing w:val="-3"/>
                <w:sz w:val="22"/>
                <w:szCs w:val="22"/>
                <w:u w:val="single"/>
                <w:lang w:val="en-US" w:eastAsia="en-GB"/>
              </w:rPr>
              <w:t>of UNESCO</w:t>
            </w:r>
            <w:r w:rsidRPr="00A432F7">
              <w:rPr>
                <w:rFonts w:ascii="Arial" w:hAnsi="Arial" w:cs="Arial"/>
                <w:spacing w:val="-3"/>
                <w:sz w:val="22"/>
                <w:szCs w:val="22"/>
                <w:lang w:val="en-US" w:eastAsia="en-GB"/>
              </w:rPr>
              <w:t xml:space="preserve"> </w:t>
            </w:r>
            <w:proofErr w:type="spellStart"/>
            <w:r w:rsidRPr="00A432F7">
              <w:rPr>
                <w:rFonts w:ascii="Arial" w:hAnsi="Arial" w:cs="Arial"/>
                <w:strike/>
                <w:spacing w:val="-3"/>
                <w:sz w:val="22"/>
                <w:szCs w:val="22"/>
                <w:lang w:val="en-US" w:eastAsia="en-GB"/>
              </w:rPr>
              <w:t>UNESCO</w:t>
            </w:r>
            <w:proofErr w:type="spellEnd"/>
            <w:r w:rsidRPr="00A432F7">
              <w:rPr>
                <w:rFonts w:ascii="Arial" w:hAnsi="Arial" w:cs="Arial"/>
                <w:strike/>
                <w:spacing w:val="-3"/>
                <w:sz w:val="22"/>
                <w:szCs w:val="22"/>
                <w:lang w:val="en-US" w:eastAsia="en-GB"/>
              </w:rPr>
              <w:t xml:space="preserve"> Comptroller</w:t>
            </w:r>
            <w:r w:rsidRPr="00A432F7">
              <w:rPr>
                <w:rFonts w:ascii="Arial" w:hAnsi="Arial" w:cs="Arial"/>
                <w:spacing w:val="-3"/>
                <w:sz w:val="22"/>
                <w:szCs w:val="22"/>
                <w:lang w:val="en-US" w:eastAsia="en-GB"/>
              </w:rPr>
              <w:t xml:space="preserve"> shall maintain such accounting records as are necessary.</w:t>
            </w:r>
          </w:p>
        </w:tc>
      </w:tr>
      <w:tr w:rsidR="009978D2" w:rsidRPr="009978D2" w14:paraId="14534DCC" w14:textId="77777777" w:rsidTr="009B7D9D">
        <w:trPr>
          <w:cantSplit/>
        </w:trPr>
        <w:tc>
          <w:tcPr>
            <w:tcW w:w="1129" w:type="dxa"/>
            <w:tcBorders>
              <w:right w:val="nil"/>
            </w:tcBorders>
          </w:tcPr>
          <w:p w14:paraId="78BF4963"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7.2 </w:t>
            </w:r>
          </w:p>
        </w:tc>
        <w:tc>
          <w:tcPr>
            <w:tcW w:w="4253" w:type="dxa"/>
            <w:tcBorders>
              <w:left w:val="nil"/>
            </w:tcBorders>
          </w:tcPr>
          <w:p w14:paraId="5D6F5AB7"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Any unused balance at the end of a financial period shall be carried forward to the following financial period.</w:t>
            </w:r>
          </w:p>
        </w:tc>
        <w:tc>
          <w:tcPr>
            <w:tcW w:w="1417" w:type="dxa"/>
            <w:tcBorders>
              <w:right w:val="nil"/>
            </w:tcBorders>
          </w:tcPr>
          <w:p w14:paraId="13F81326"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7.2</w:t>
            </w:r>
            <w:r w:rsidRPr="00A432F7">
              <w:rPr>
                <w:rFonts w:ascii="Arial" w:hAnsi="Arial" w:cs="Arial"/>
                <w:b/>
                <w:bCs/>
                <w:sz w:val="22"/>
                <w:szCs w:val="22"/>
                <w:u w:val="single"/>
                <w:lang w:val="en-US" w:eastAsia="en-GB"/>
              </w:rPr>
              <w:t>8.</w:t>
            </w:r>
            <w:r>
              <w:rPr>
                <w:rFonts w:ascii="Arial" w:hAnsi="Arial" w:cs="Arial"/>
                <w:b/>
                <w:bCs/>
                <w:sz w:val="22"/>
                <w:szCs w:val="22"/>
                <w:u w:val="single"/>
                <w:lang w:val="en-US" w:eastAsia="en-GB"/>
              </w:rPr>
              <w:t>3</w:t>
            </w:r>
          </w:p>
        </w:tc>
        <w:tc>
          <w:tcPr>
            <w:tcW w:w="7513" w:type="dxa"/>
            <w:tcBorders>
              <w:left w:val="nil"/>
            </w:tcBorders>
          </w:tcPr>
          <w:p w14:paraId="2F03452A"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z w:val="22"/>
                <w:szCs w:val="22"/>
                <w:lang w:val="en-US"/>
              </w:rPr>
              <w:t>No change.</w:t>
            </w:r>
          </w:p>
        </w:tc>
      </w:tr>
      <w:tr w:rsidR="009978D2" w:rsidRPr="002F61AE" w14:paraId="7A0936E9" w14:textId="77777777" w:rsidTr="009B7D9D">
        <w:trPr>
          <w:cantSplit/>
        </w:trPr>
        <w:tc>
          <w:tcPr>
            <w:tcW w:w="1129" w:type="dxa"/>
            <w:tcBorders>
              <w:right w:val="nil"/>
            </w:tcBorders>
          </w:tcPr>
          <w:p w14:paraId="5ADC35BE"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7.3 </w:t>
            </w:r>
          </w:p>
        </w:tc>
        <w:tc>
          <w:tcPr>
            <w:tcW w:w="4253" w:type="dxa"/>
            <w:tcBorders>
              <w:left w:val="nil"/>
            </w:tcBorders>
          </w:tcPr>
          <w:p w14:paraId="4D06A16D"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accounts of the Special Account shall be presented for audit to the External Auditor of UNESCO, together with the other accounts of the Organization.</w:t>
            </w:r>
          </w:p>
        </w:tc>
        <w:tc>
          <w:tcPr>
            <w:tcW w:w="1417" w:type="dxa"/>
            <w:tcBorders>
              <w:right w:val="nil"/>
            </w:tcBorders>
          </w:tcPr>
          <w:p w14:paraId="126B9F8D"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7.3</w:t>
            </w:r>
            <w:r w:rsidRPr="00A432F7">
              <w:rPr>
                <w:rFonts w:ascii="Arial" w:hAnsi="Arial" w:cs="Arial"/>
                <w:b/>
                <w:bCs/>
                <w:sz w:val="22"/>
                <w:szCs w:val="22"/>
                <w:u w:val="single"/>
                <w:lang w:val="en-US" w:eastAsia="en-GB"/>
              </w:rPr>
              <w:t>8.</w:t>
            </w:r>
            <w:r>
              <w:rPr>
                <w:rFonts w:ascii="Arial" w:hAnsi="Arial" w:cs="Arial"/>
                <w:b/>
                <w:bCs/>
                <w:sz w:val="22"/>
                <w:szCs w:val="22"/>
                <w:u w:val="single"/>
                <w:lang w:val="en-US" w:eastAsia="en-GB"/>
              </w:rPr>
              <w:t>4</w:t>
            </w:r>
          </w:p>
        </w:tc>
        <w:tc>
          <w:tcPr>
            <w:tcW w:w="7513" w:type="dxa"/>
            <w:tcBorders>
              <w:left w:val="nil"/>
            </w:tcBorders>
          </w:tcPr>
          <w:p w14:paraId="45D4AC9A" w14:textId="43ADAFB4"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 xml:space="preserve">The accounts of the Special Account shall be </w:t>
            </w:r>
            <w:r w:rsidRPr="00A432F7">
              <w:rPr>
                <w:rFonts w:ascii="Arial" w:hAnsi="Arial" w:cs="Arial"/>
                <w:b/>
                <w:bCs/>
                <w:spacing w:val="-3"/>
                <w:sz w:val="22"/>
                <w:szCs w:val="22"/>
                <w:u w:val="single"/>
                <w:lang w:val="en-US" w:eastAsia="en-GB"/>
              </w:rPr>
              <w:t>part of the consolidated financial statements presented for audit to the External Auditor of UNESCO</w:t>
            </w:r>
            <w:r w:rsidR="007078E5" w:rsidRPr="007078E5">
              <w:rPr>
                <w:rFonts w:ascii="Arial" w:hAnsi="Arial" w:cs="Arial"/>
                <w:b/>
                <w:bCs/>
                <w:spacing w:val="-3"/>
                <w:sz w:val="22"/>
                <w:szCs w:val="22"/>
                <w:lang w:val="en-US" w:eastAsia="en-GB"/>
              </w:rPr>
              <w:t xml:space="preserve"> </w:t>
            </w:r>
            <w:r w:rsidRPr="00A432F7">
              <w:rPr>
                <w:rFonts w:ascii="Arial" w:hAnsi="Arial" w:cs="Arial"/>
                <w:strike/>
                <w:sz w:val="22"/>
                <w:szCs w:val="22"/>
                <w:lang w:val="en-US"/>
              </w:rPr>
              <w:t>presented for audit to the External Auditor of UNESCO, together with the other accounts of the Organization</w:t>
            </w:r>
            <w:r w:rsidRPr="00A432F7">
              <w:rPr>
                <w:rFonts w:ascii="Arial" w:hAnsi="Arial" w:cs="Arial"/>
                <w:spacing w:val="-3"/>
                <w:sz w:val="22"/>
                <w:szCs w:val="22"/>
                <w:lang w:val="en-US" w:eastAsia="en-GB"/>
              </w:rPr>
              <w:t>.</w:t>
            </w:r>
          </w:p>
        </w:tc>
      </w:tr>
      <w:tr w:rsidR="009978D2" w:rsidRPr="009978D2" w14:paraId="136450BF" w14:textId="77777777" w:rsidTr="009B7D9D">
        <w:trPr>
          <w:cantSplit/>
        </w:trPr>
        <w:tc>
          <w:tcPr>
            <w:tcW w:w="1129" w:type="dxa"/>
            <w:tcBorders>
              <w:right w:val="nil"/>
            </w:tcBorders>
          </w:tcPr>
          <w:p w14:paraId="4E8C72A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7.4 </w:t>
            </w:r>
          </w:p>
        </w:tc>
        <w:tc>
          <w:tcPr>
            <w:tcW w:w="4253" w:type="dxa"/>
            <w:tcBorders>
              <w:left w:val="nil"/>
            </w:tcBorders>
          </w:tcPr>
          <w:p w14:paraId="7D17E4DB"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Contributions in kind shall be recorded outside the Special Account.</w:t>
            </w:r>
          </w:p>
        </w:tc>
        <w:tc>
          <w:tcPr>
            <w:tcW w:w="1417" w:type="dxa"/>
            <w:tcBorders>
              <w:right w:val="nil"/>
            </w:tcBorders>
          </w:tcPr>
          <w:p w14:paraId="18B3A47D"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7.4</w:t>
            </w:r>
            <w:r w:rsidRPr="00A432F7">
              <w:rPr>
                <w:rFonts w:ascii="Arial" w:hAnsi="Arial" w:cs="Arial"/>
                <w:b/>
                <w:bCs/>
                <w:sz w:val="22"/>
                <w:szCs w:val="22"/>
                <w:u w:val="single"/>
                <w:lang w:val="en-US" w:eastAsia="en-GB"/>
              </w:rPr>
              <w:t>8.</w:t>
            </w:r>
            <w:r>
              <w:rPr>
                <w:rFonts w:ascii="Arial" w:hAnsi="Arial" w:cs="Arial"/>
                <w:b/>
                <w:bCs/>
                <w:sz w:val="22"/>
                <w:szCs w:val="22"/>
                <w:u w:val="single"/>
                <w:lang w:val="en-US" w:eastAsia="en-GB"/>
              </w:rPr>
              <w:t>5</w:t>
            </w:r>
          </w:p>
        </w:tc>
        <w:tc>
          <w:tcPr>
            <w:tcW w:w="7513" w:type="dxa"/>
            <w:tcBorders>
              <w:left w:val="nil"/>
            </w:tcBorders>
          </w:tcPr>
          <w:p w14:paraId="3EBA1DDC"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No change.</w:t>
            </w:r>
          </w:p>
        </w:tc>
      </w:tr>
      <w:tr w:rsidR="009978D2" w:rsidRPr="00A432F7" w14:paraId="14072447" w14:textId="77777777" w:rsidTr="009B7D9D">
        <w:trPr>
          <w:cantSplit/>
        </w:trPr>
        <w:tc>
          <w:tcPr>
            <w:tcW w:w="1129" w:type="dxa"/>
            <w:tcBorders>
              <w:right w:val="nil"/>
            </w:tcBorders>
          </w:tcPr>
          <w:p w14:paraId="0A7A6B09"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7.5 </w:t>
            </w:r>
          </w:p>
        </w:tc>
        <w:tc>
          <w:tcPr>
            <w:tcW w:w="4253" w:type="dxa"/>
            <w:tcBorders>
              <w:left w:val="nil"/>
            </w:tcBorders>
          </w:tcPr>
          <w:p w14:paraId="1568DBDD"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accounts shall be submitted by the Director-General to the General Assembly of the States Parties to the Convention.</w:t>
            </w:r>
          </w:p>
        </w:tc>
        <w:tc>
          <w:tcPr>
            <w:tcW w:w="1417" w:type="dxa"/>
            <w:tcBorders>
              <w:right w:val="nil"/>
            </w:tcBorders>
          </w:tcPr>
          <w:p w14:paraId="72C76B79" w14:textId="77777777" w:rsidR="009978D2" w:rsidRPr="00A432F7" w:rsidRDefault="009978D2" w:rsidP="009978D2">
            <w:pPr>
              <w:spacing w:after="120"/>
              <w:rPr>
                <w:rFonts w:ascii="Arial" w:hAnsi="Arial" w:cs="Arial"/>
                <w:sz w:val="22"/>
                <w:szCs w:val="22"/>
                <w:lang w:val="en-US"/>
              </w:rPr>
            </w:pPr>
          </w:p>
        </w:tc>
        <w:tc>
          <w:tcPr>
            <w:tcW w:w="7513" w:type="dxa"/>
            <w:tcBorders>
              <w:left w:val="nil"/>
            </w:tcBorders>
          </w:tcPr>
          <w:p w14:paraId="6772F804"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[Removed]</w:t>
            </w:r>
          </w:p>
        </w:tc>
      </w:tr>
      <w:tr w:rsidR="009978D2" w:rsidRPr="00A432F7" w14:paraId="19FCE135" w14:textId="77777777" w:rsidTr="009B7D9D">
        <w:trPr>
          <w:cantSplit/>
        </w:trPr>
        <w:tc>
          <w:tcPr>
            <w:tcW w:w="1129" w:type="dxa"/>
            <w:tcBorders>
              <w:right w:val="nil"/>
            </w:tcBorders>
          </w:tcPr>
          <w:p w14:paraId="71077A8D"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Article 8</w:t>
            </w:r>
          </w:p>
        </w:tc>
        <w:tc>
          <w:tcPr>
            <w:tcW w:w="4253" w:type="dxa"/>
            <w:tcBorders>
              <w:left w:val="nil"/>
            </w:tcBorders>
          </w:tcPr>
          <w:p w14:paraId="46F56D5B" w14:textId="77777777" w:rsidR="009978D2" w:rsidRPr="00A432F7" w:rsidRDefault="009978D2" w:rsidP="009978D2">
            <w:pPr>
              <w:spacing w:after="120"/>
              <w:rPr>
                <w:rFonts w:ascii="Arial" w:hAnsi="Arial" w:cs="Arial"/>
                <w:b/>
                <w:sz w:val="22"/>
                <w:szCs w:val="22"/>
                <w:lang w:val="en-US"/>
              </w:rPr>
            </w:pPr>
            <w:r w:rsidRPr="00A432F7">
              <w:rPr>
                <w:rFonts w:ascii="Arial" w:hAnsi="Arial" w:cs="Arial"/>
                <w:b/>
                <w:sz w:val="22"/>
                <w:szCs w:val="22"/>
                <w:lang w:val="en-US"/>
              </w:rPr>
              <w:t>Investments</w:t>
            </w:r>
          </w:p>
        </w:tc>
        <w:tc>
          <w:tcPr>
            <w:tcW w:w="1417" w:type="dxa"/>
            <w:tcBorders>
              <w:right w:val="nil"/>
            </w:tcBorders>
          </w:tcPr>
          <w:p w14:paraId="507118E5" w14:textId="77777777" w:rsidR="009978D2" w:rsidRPr="00A432F7" w:rsidRDefault="009978D2" w:rsidP="009978D2">
            <w:pPr>
              <w:keepNext/>
              <w:suppressAutoHyphens/>
              <w:spacing w:after="120"/>
              <w:rPr>
                <w:rFonts w:ascii="Arial" w:hAnsi="Arial" w:cs="Arial"/>
                <w:b/>
                <w:bCs/>
                <w:sz w:val="22"/>
                <w:szCs w:val="22"/>
                <w:lang w:val="en-US"/>
              </w:rPr>
            </w:pPr>
            <w:r w:rsidRPr="00A432F7">
              <w:rPr>
                <w:rFonts w:ascii="Arial" w:hAnsi="Arial" w:cs="Arial"/>
                <w:b/>
                <w:bCs/>
                <w:spacing w:val="-3"/>
                <w:sz w:val="22"/>
                <w:szCs w:val="22"/>
                <w:lang w:eastAsia="en-GB"/>
              </w:rPr>
              <w:t xml:space="preserve">Article </w:t>
            </w:r>
            <w:r w:rsidRPr="00A432F7">
              <w:rPr>
                <w:rFonts w:ascii="Arial" w:hAnsi="Arial" w:cs="Arial"/>
                <w:b/>
                <w:strike/>
                <w:sz w:val="22"/>
                <w:szCs w:val="22"/>
                <w:lang w:val="en-US"/>
              </w:rPr>
              <w:t>8</w:t>
            </w:r>
            <w:r w:rsidRPr="00A432F7">
              <w:rPr>
                <w:rFonts w:ascii="Arial" w:hAnsi="Arial" w:cs="Arial"/>
                <w:b/>
                <w:bCs/>
                <w:spacing w:val="-3"/>
                <w:sz w:val="22"/>
                <w:szCs w:val="22"/>
                <w:u w:val="single"/>
                <w:lang w:eastAsia="en-GB"/>
              </w:rPr>
              <w:t>9</w:t>
            </w:r>
          </w:p>
        </w:tc>
        <w:tc>
          <w:tcPr>
            <w:tcW w:w="7513" w:type="dxa"/>
            <w:tcBorders>
              <w:left w:val="nil"/>
            </w:tcBorders>
          </w:tcPr>
          <w:p w14:paraId="1DD4E50E" w14:textId="77777777" w:rsidR="009978D2" w:rsidRPr="00A432F7" w:rsidRDefault="009978D2" w:rsidP="009978D2">
            <w:pPr>
              <w:keepNext/>
              <w:suppressAutoHyphens/>
              <w:spacing w:after="120"/>
              <w:rPr>
                <w:rFonts w:ascii="Arial" w:hAnsi="Arial" w:cs="Arial"/>
                <w:b/>
                <w:sz w:val="22"/>
                <w:szCs w:val="22"/>
                <w:lang w:val="en-US"/>
              </w:rPr>
            </w:pPr>
            <w:r w:rsidRPr="00A432F7">
              <w:rPr>
                <w:rFonts w:ascii="Arial" w:hAnsi="Arial" w:cs="Arial"/>
                <w:bCs/>
                <w:sz w:val="22"/>
                <w:szCs w:val="22"/>
                <w:lang w:val="en-US"/>
              </w:rPr>
              <w:t>No change.</w:t>
            </w:r>
          </w:p>
        </w:tc>
      </w:tr>
      <w:tr w:rsidR="009978D2" w:rsidRPr="002F61AE" w14:paraId="3656F2E3" w14:textId="77777777" w:rsidTr="009B7D9D">
        <w:trPr>
          <w:cantSplit/>
        </w:trPr>
        <w:tc>
          <w:tcPr>
            <w:tcW w:w="1129" w:type="dxa"/>
            <w:tcBorders>
              <w:right w:val="nil"/>
            </w:tcBorders>
          </w:tcPr>
          <w:p w14:paraId="1558603C"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8.1 </w:t>
            </w:r>
          </w:p>
        </w:tc>
        <w:tc>
          <w:tcPr>
            <w:tcW w:w="4253" w:type="dxa"/>
            <w:tcBorders>
              <w:left w:val="nil"/>
            </w:tcBorders>
          </w:tcPr>
          <w:p w14:paraId="7A709730"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The Director-General may make short-term investments of sums standing to the credit of the Special Account.</w:t>
            </w:r>
          </w:p>
        </w:tc>
        <w:tc>
          <w:tcPr>
            <w:tcW w:w="1417" w:type="dxa"/>
            <w:tcBorders>
              <w:right w:val="nil"/>
            </w:tcBorders>
          </w:tcPr>
          <w:p w14:paraId="4C6511E2"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z w:val="22"/>
                <w:szCs w:val="22"/>
                <w:lang w:val="en-US"/>
              </w:rPr>
              <w:t>8.1</w:t>
            </w:r>
            <w:r w:rsidRPr="00A432F7">
              <w:rPr>
                <w:rFonts w:ascii="Arial" w:hAnsi="Arial" w:cs="Arial"/>
                <w:b/>
                <w:bCs/>
                <w:sz w:val="22"/>
                <w:szCs w:val="22"/>
                <w:u w:val="single"/>
                <w:lang w:val="en-US" w:eastAsia="en-GB"/>
              </w:rPr>
              <w:t>9.1</w:t>
            </w:r>
          </w:p>
        </w:tc>
        <w:tc>
          <w:tcPr>
            <w:tcW w:w="7513" w:type="dxa"/>
            <w:tcBorders>
              <w:left w:val="nil"/>
            </w:tcBorders>
          </w:tcPr>
          <w:p w14:paraId="5C6BF845"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pacing w:val="-3"/>
                <w:sz w:val="22"/>
                <w:szCs w:val="22"/>
                <w:lang w:val="en-US" w:eastAsia="en-GB"/>
              </w:rPr>
              <w:t xml:space="preserve">The Director-General may make short-term </w:t>
            </w:r>
            <w:r w:rsidRPr="00A432F7">
              <w:rPr>
                <w:rFonts w:ascii="Arial" w:hAnsi="Arial" w:cs="Arial"/>
                <w:b/>
                <w:bCs/>
                <w:spacing w:val="-3"/>
                <w:sz w:val="22"/>
                <w:szCs w:val="22"/>
                <w:u w:val="single"/>
                <w:lang w:val="en-US" w:eastAsia="en-GB"/>
              </w:rPr>
              <w:t>or long-term</w:t>
            </w:r>
            <w:r w:rsidRPr="00A432F7">
              <w:rPr>
                <w:rFonts w:ascii="Arial" w:hAnsi="Arial" w:cs="Arial"/>
                <w:spacing w:val="-3"/>
                <w:sz w:val="22"/>
                <w:szCs w:val="22"/>
                <w:lang w:val="en-US" w:eastAsia="en-GB"/>
              </w:rPr>
              <w:t xml:space="preserve"> investments of sums standing to the credit of the Special Account.</w:t>
            </w:r>
          </w:p>
        </w:tc>
      </w:tr>
      <w:tr w:rsidR="009978D2" w:rsidRPr="002F61AE" w14:paraId="24A1B30D" w14:textId="77777777" w:rsidTr="009B7D9D">
        <w:trPr>
          <w:cantSplit/>
        </w:trPr>
        <w:tc>
          <w:tcPr>
            <w:tcW w:w="1129" w:type="dxa"/>
            <w:tcBorders>
              <w:right w:val="nil"/>
            </w:tcBorders>
          </w:tcPr>
          <w:p w14:paraId="40B0D09F"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 xml:space="preserve">8.2 </w:t>
            </w:r>
          </w:p>
        </w:tc>
        <w:tc>
          <w:tcPr>
            <w:tcW w:w="4253" w:type="dxa"/>
            <w:tcBorders>
              <w:left w:val="nil"/>
            </w:tcBorders>
          </w:tcPr>
          <w:p w14:paraId="5A403BA7"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Interest earned on these investments shall be credited to the Special Account.</w:t>
            </w:r>
          </w:p>
        </w:tc>
        <w:tc>
          <w:tcPr>
            <w:tcW w:w="1417" w:type="dxa"/>
            <w:tcBorders>
              <w:right w:val="nil"/>
            </w:tcBorders>
          </w:tcPr>
          <w:p w14:paraId="6D3D51FA" w14:textId="77777777" w:rsidR="009978D2" w:rsidRPr="00A432F7" w:rsidRDefault="009978D2" w:rsidP="009978D2">
            <w:pPr>
              <w:suppressAutoHyphens/>
              <w:spacing w:after="120"/>
              <w:rPr>
                <w:rFonts w:ascii="Arial" w:hAnsi="Arial" w:cs="Arial"/>
                <w:sz w:val="22"/>
                <w:szCs w:val="22"/>
                <w:lang w:val="en-US"/>
              </w:rPr>
            </w:pPr>
            <w:r>
              <w:rPr>
                <w:rFonts w:ascii="Arial" w:hAnsi="Arial" w:cs="Arial"/>
                <w:strike/>
                <w:sz w:val="22"/>
                <w:szCs w:val="22"/>
                <w:lang w:val="en-US"/>
              </w:rPr>
              <w:t>8</w:t>
            </w:r>
            <w:r w:rsidRPr="00A432F7">
              <w:rPr>
                <w:rFonts w:ascii="Arial" w:hAnsi="Arial" w:cs="Arial"/>
                <w:strike/>
                <w:sz w:val="22"/>
                <w:szCs w:val="22"/>
                <w:lang w:val="en-US"/>
              </w:rPr>
              <w:t>.2</w:t>
            </w:r>
            <w:r w:rsidRPr="00A432F7">
              <w:rPr>
                <w:rFonts w:ascii="Arial" w:hAnsi="Arial" w:cs="Arial"/>
                <w:b/>
                <w:bCs/>
                <w:sz w:val="22"/>
                <w:szCs w:val="22"/>
                <w:u w:val="single"/>
                <w:lang w:val="en-US" w:eastAsia="en-GB"/>
              </w:rPr>
              <w:t>9.2</w:t>
            </w:r>
          </w:p>
        </w:tc>
        <w:tc>
          <w:tcPr>
            <w:tcW w:w="7513" w:type="dxa"/>
            <w:tcBorders>
              <w:left w:val="nil"/>
            </w:tcBorders>
          </w:tcPr>
          <w:p w14:paraId="647EDBA1" w14:textId="77777777" w:rsidR="009978D2" w:rsidRPr="00A432F7" w:rsidRDefault="009978D2" w:rsidP="009978D2">
            <w:pPr>
              <w:suppressAutoHyphens/>
              <w:spacing w:after="120"/>
              <w:rPr>
                <w:rFonts w:ascii="Arial" w:hAnsi="Arial" w:cs="Arial"/>
                <w:sz w:val="22"/>
                <w:szCs w:val="22"/>
                <w:lang w:val="en-US"/>
              </w:rPr>
            </w:pPr>
            <w:r w:rsidRPr="00A432F7">
              <w:rPr>
                <w:rFonts w:ascii="Arial" w:hAnsi="Arial" w:cs="Arial"/>
                <w:strike/>
                <w:spacing w:val="-3"/>
                <w:sz w:val="22"/>
                <w:szCs w:val="22"/>
                <w:lang w:val="en-US" w:eastAsia="en-GB"/>
              </w:rPr>
              <w:t>Interest earned on</w:t>
            </w:r>
            <w:r w:rsidRPr="00A432F7">
              <w:rPr>
                <w:rFonts w:ascii="Arial" w:hAnsi="Arial" w:cs="Arial"/>
                <w:b/>
                <w:bCs/>
                <w:spacing w:val="-3"/>
                <w:sz w:val="22"/>
                <w:szCs w:val="22"/>
                <w:lang w:val="en-US" w:eastAsia="en-GB"/>
              </w:rPr>
              <w:t xml:space="preserve"> </w:t>
            </w:r>
            <w:r w:rsidRPr="00A432F7">
              <w:rPr>
                <w:rFonts w:ascii="Arial" w:hAnsi="Arial" w:cs="Arial"/>
                <w:b/>
                <w:bCs/>
                <w:spacing w:val="-3"/>
                <w:sz w:val="22"/>
                <w:szCs w:val="22"/>
                <w:u w:val="single"/>
                <w:lang w:val="en-US" w:eastAsia="en-GB"/>
              </w:rPr>
              <w:t>Revenue from</w:t>
            </w:r>
            <w:r w:rsidRPr="00A432F7">
              <w:rPr>
                <w:rFonts w:ascii="Arial" w:hAnsi="Arial" w:cs="Arial"/>
                <w:spacing w:val="-3"/>
                <w:sz w:val="22"/>
                <w:szCs w:val="22"/>
                <w:lang w:val="en-US" w:eastAsia="en-GB"/>
              </w:rPr>
              <w:t xml:space="preserve"> these investments shall be credited to the Special Account </w:t>
            </w:r>
            <w:r w:rsidRPr="00A432F7">
              <w:rPr>
                <w:rFonts w:ascii="Arial" w:hAnsi="Arial" w:cs="Arial"/>
                <w:b/>
                <w:bCs/>
                <w:spacing w:val="-3"/>
                <w:sz w:val="22"/>
                <w:szCs w:val="22"/>
                <w:u w:val="single"/>
                <w:lang w:val="en-US" w:eastAsia="en-GB"/>
              </w:rPr>
              <w:t>in line with UNESCO’s Financial Rules.</w:t>
            </w:r>
          </w:p>
        </w:tc>
      </w:tr>
      <w:tr w:rsidR="009978D2" w:rsidRPr="00A432F7" w14:paraId="64FC6F72" w14:textId="77777777" w:rsidTr="009B7D9D">
        <w:trPr>
          <w:cantSplit/>
        </w:trPr>
        <w:tc>
          <w:tcPr>
            <w:tcW w:w="1129" w:type="dxa"/>
            <w:tcBorders>
              <w:right w:val="nil"/>
            </w:tcBorders>
          </w:tcPr>
          <w:p w14:paraId="6A5EB849" w14:textId="77777777" w:rsidR="009978D2" w:rsidRPr="00A432F7" w:rsidRDefault="009978D2" w:rsidP="009978D2">
            <w:pPr>
              <w:spacing w:after="120"/>
              <w:rPr>
                <w:rFonts w:ascii="Arial" w:hAnsi="Arial" w:cs="Arial"/>
                <w:b/>
                <w:sz w:val="22"/>
                <w:szCs w:val="22"/>
                <w:lang w:val="en-US"/>
              </w:rPr>
            </w:pPr>
          </w:p>
        </w:tc>
        <w:tc>
          <w:tcPr>
            <w:tcW w:w="4253" w:type="dxa"/>
            <w:tcBorders>
              <w:left w:val="nil"/>
            </w:tcBorders>
          </w:tcPr>
          <w:p w14:paraId="4ED0BC0F" w14:textId="77777777" w:rsidR="009978D2" w:rsidRPr="00A432F7" w:rsidRDefault="009978D2" w:rsidP="009978D2">
            <w:pPr>
              <w:spacing w:after="120"/>
              <w:rPr>
                <w:rFonts w:ascii="Arial" w:hAnsi="Arial" w:cs="Arial"/>
                <w:b/>
                <w:sz w:val="22"/>
                <w:szCs w:val="22"/>
                <w:lang w:val="en-US"/>
              </w:rPr>
            </w:pPr>
          </w:p>
        </w:tc>
        <w:tc>
          <w:tcPr>
            <w:tcW w:w="1417" w:type="dxa"/>
            <w:tcBorders>
              <w:right w:val="nil"/>
            </w:tcBorders>
          </w:tcPr>
          <w:p w14:paraId="38CB68BC" w14:textId="77777777" w:rsidR="009978D2" w:rsidRPr="00A432F7" w:rsidRDefault="009978D2" w:rsidP="009978D2">
            <w:pPr>
              <w:suppressAutoHyphens/>
              <w:spacing w:after="120"/>
              <w:rPr>
                <w:rFonts w:ascii="Arial" w:hAnsi="Arial" w:cs="Arial"/>
                <w:b/>
                <w:sz w:val="22"/>
                <w:szCs w:val="22"/>
                <w:u w:val="single"/>
                <w:lang w:val="en-US"/>
              </w:rPr>
            </w:pPr>
            <w:r w:rsidRPr="00A432F7">
              <w:rPr>
                <w:rFonts w:ascii="Arial" w:hAnsi="Arial" w:cs="Arial"/>
                <w:b/>
                <w:bCs/>
                <w:spacing w:val="-3"/>
                <w:sz w:val="22"/>
                <w:szCs w:val="22"/>
                <w:u w:val="single"/>
                <w:lang w:eastAsia="en-GB"/>
              </w:rPr>
              <w:t>Article 10</w:t>
            </w:r>
          </w:p>
        </w:tc>
        <w:tc>
          <w:tcPr>
            <w:tcW w:w="7513" w:type="dxa"/>
            <w:tcBorders>
              <w:left w:val="nil"/>
            </w:tcBorders>
          </w:tcPr>
          <w:p w14:paraId="6E7DD39A" w14:textId="77777777" w:rsidR="009978D2" w:rsidRPr="00A432F7" w:rsidRDefault="009978D2" w:rsidP="009978D2">
            <w:pPr>
              <w:suppressAutoHyphens/>
              <w:spacing w:after="120"/>
              <w:rPr>
                <w:rFonts w:ascii="Arial" w:hAnsi="Arial" w:cs="Arial"/>
                <w:b/>
                <w:sz w:val="22"/>
                <w:szCs w:val="22"/>
                <w:u w:val="single"/>
                <w:lang w:val="en-US"/>
              </w:rPr>
            </w:pPr>
            <w:proofErr w:type="spellStart"/>
            <w:r w:rsidRPr="00A432F7">
              <w:rPr>
                <w:rFonts w:ascii="Arial" w:hAnsi="Arial" w:cs="Arial"/>
                <w:b/>
                <w:bCs/>
                <w:spacing w:val="-3"/>
                <w:sz w:val="22"/>
                <w:szCs w:val="22"/>
                <w:u w:val="single"/>
                <w:lang w:eastAsia="en-GB"/>
              </w:rPr>
              <w:t>Reporting</w:t>
            </w:r>
            <w:proofErr w:type="spellEnd"/>
          </w:p>
        </w:tc>
      </w:tr>
      <w:tr w:rsidR="009978D2" w:rsidRPr="002F61AE" w14:paraId="2E3A7ABD" w14:textId="77777777" w:rsidTr="009B7D9D">
        <w:trPr>
          <w:cantSplit/>
        </w:trPr>
        <w:tc>
          <w:tcPr>
            <w:tcW w:w="1129" w:type="dxa"/>
            <w:tcBorders>
              <w:right w:val="nil"/>
            </w:tcBorders>
          </w:tcPr>
          <w:p w14:paraId="434C5908"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630061F8"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20BB4DAC" w14:textId="77777777" w:rsidR="009978D2" w:rsidRPr="00E7609A" w:rsidRDefault="009978D2" w:rsidP="009978D2">
            <w:pPr>
              <w:suppressAutoHyphens/>
              <w:spacing w:after="120"/>
              <w:rPr>
                <w:rFonts w:ascii="Arial" w:hAnsi="Arial" w:cs="Arial"/>
                <w:b/>
                <w:bCs/>
                <w:sz w:val="22"/>
                <w:szCs w:val="22"/>
                <w:u w:val="single"/>
                <w:lang w:val="en-US"/>
              </w:rPr>
            </w:pPr>
            <w:r w:rsidRPr="00E7609A">
              <w:rPr>
                <w:rFonts w:ascii="Arial" w:hAnsi="Arial" w:cs="Arial"/>
                <w:b/>
                <w:bCs/>
                <w:spacing w:val="-3"/>
                <w:sz w:val="22"/>
                <w:szCs w:val="22"/>
                <w:u w:val="single"/>
                <w:lang w:val="en-US" w:eastAsia="en-GB"/>
              </w:rPr>
              <w:t>10.1</w:t>
            </w:r>
          </w:p>
        </w:tc>
        <w:tc>
          <w:tcPr>
            <w:tcW w:w="7513" w:type="dxa"/>
            <w:tcBorders>
              <w:left w:val="nil"/>
            </w:tcBorders>
          </w:tcPr>
          <w:p w14:paraId="4C9F8C83" w14:textId="4AD96F64" w:rsidR="009978D2" w:rsidRPr="00E7609A" w:rsidRDefault="009978D2" w:rsidP="009978D2">
            <w:pPr>
              <w:suppressAutoHyphens/>
              <w:spacing w:after="120"/>
              <w:rPr>
                <w:rFonts w:ascii="Arial" w:hAnsi="Arial" w:cs="Arial"/>
                <w:b/>
                <w:bCs/>
                <w:sz w:val="22"/>
                <w:szCs w:val="22"/>
                <w:u w:val="single"/>
                <w:lang w:val="en-US"/>
              </w:rPr>
            </w:pPr>
            <w:r w:rsidRPr="00E7609A">
              <w:rPr>
                <w:rFonts w:ascii="Arial" w:hAnsi="Arial" w:cs="Arial"/>
                <w:b/>
                <w:bCs/>
                <w:snapToGrid w:val="0"/>
                <w:sz w:val="22"/>
                <w:szCs w:val="22"/>
                <w:u w:val="single"/>
                <w:lang w:val="en-US"/>
              </w:rPr>
              <w:t xml:space="preserve">A biennial financial report showing the income and expenditure under the Special Account shall be prepared and submitted to the Committee and the General Assembly. </w:t>
            </w:r>
          </w:p>
        </w:tc>
      </w:tr>
      <w:tr w:rsidR="009978D2" w:rsidRPr="002F61AE" w14:paraId="5C9B79EF" w14:textId="77777777" w:rsidTr="009B7D9D">
        <w:trPr>
          <w:cantSplit/>
        </w:trPr>
        <w:tc>
          <w:tcPr>
            <w:tcW w:w="1129" w:type="dxa"/>
            <w:tcBorders>
              <w:right w:val="nil"/>
            </w:tcBorders>
          </w:tcPr>
          <w:p w14:paraId="14837F8D"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13C1045D"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6ED129D7" w14:textId="77777777" w:rsidR="009978D2" w:rsidRPr="00E7609A" w:rsidRDefault="009978D2" w:rsidP="009978D2">
            <w:pPr>
              <w:spacing w:after="120"/>
              <w:rPr>
                <w:rFonts w:ascii="Arial" w:hAnsi="Arial" w:cs="Arial"/>
                <w:b/>
                <w:bCs/>
                <w:sz w:val="22"/>
                <w:szCs w:val="22"/>
                <w:u w:val="single"/>
                <w:lang w:val="en-US"/>
              </w:rPr>
            </w:pPr>
            <w:r w:rsidRPr="00E7609A">
              <w:rPr>
                <w:rFonts w:ascii="Arial" w:hAnsi="Arial" w:cs="Arial"/>
                <w:b/>
                <w:bCs/>
                <w:spacing w:val="-3"/>
                <w:sz w:val="22"/>
                <w:szCs w:val="22"/>
                <w:u w:val="single"/>
                <w:lang w:val="en-US" w:eastAsia="en-GB"/>
              </w:rPr>
              <w:t>10.2</w:t>
            </w:r>
          </w:p>
        </w:tc>
        <w:tc>
          <w:tcPr>
            <w:tcW w:w="7513" w:type="dxa"/>
            <w:tcBorders>
              <w:left w:val="nil"/>
            </w:tcBorders>
          </w:tcPr>
          <w:p w14:paraId="693F16F0" w14:textId="77777777" w:rsidR="009978D2" w:rsidRPr="00E7609A" w:rsidRDefault="009978D2" w:rsidP="009978D2">
            <w:pPr>
              <w:suppressAutoHyphens/>
              <w:spacing w:after="120"/>
              <w:rPr>
                <w:rFonts w:ascii="Arial" w:hAnsi="Arial" w:cs="Arial"/>
                <w:b/>
                <w:bCs/>
                <w:spacing w:val="-3"/>
                <w:sz w:val="22"/>
                <w:szCs w:val="22"/>
                <w:u w:val="single"/>
                <w:lang w:val="en-US" w:eastAsia="en-GB"/>
              </w:rPr>
            </w:pPr>
            <w:r w:rsidRPr="00E7609A">
              <w:rPr>
                <w:rFonts w:ascii="Arial" w:hAnsi="Arial" w:cs="Arial"/>
                <w:b/>
                <w:bCs/>
                <w:spacing w:val="-3"/>
                <w:sz w:val="22"/>
                <w:szCs w:val="22"/>
                <w:u w:val="single"/>
                <w:lang w:val="en-US" w:eastAsia="en-GB"/>
              </w:rPr>
              <w:t xml:space="preserve">A biennial narrative report shall be submitted to the Committee and the General Assembly. </w:t>
            </w:r>
          </w:p>
        </w:tc>
      </w:tr>
      <w:tr w:rsidR="009978D2" w:rsidRPr="002F61AE" w14:paraId="0E7B5208" w14:textId="77777777" w:rsidTr="009B7D9D">
        <w:trPr>
          <w:cantSplit/>
        </w:trPr>
        <w:tc>
          <w:tcPr>
            <w:tcW w:w="1129" w:type="dxa"/>
            <w:tcBorders>
              <w:right w:val="nil"/>
            </w:tcBorders>
          </w:tcPr>
          <w:p w14:paraId="53A1B8B0"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7E37233B"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244F92D5" w14:textId="77777777" w:rsidR="009978D2" w:rsidRPr="00A432F7" w:rsidRDefault="009978D2" w:rsidP="009978D2">
            <w:pPr>
              <w:keepNext/>
              <w:suppressAutoHyphens/>
              <w:spacing w:after="120"/>
              <w:rPr>
                <w:rFonts w:ascii="Arial" w:hAnsi="Arial" w:cs="Arial"/>
                <w:sz w:val="22"/>
                <w:szCs w:val="22"/>
                <w:u w:val="single"/>
                <w:lang w:val="en-US"/>
              </w:rPr>
            </w:pPr>
            <w:r w:rsidRPr="00A432F7">
              <w:rPr>
                <w:rFonts w:ascii="Arial" w:hAnsi="Arial" w:cs="Arial"/>
                <w:b/>
                <w:bCs/>
                <w:spacing w:val="-3"/>
                <w:sz w:val="22"/>
                <w:szCs w:val="22"/>
                <w:u w:val="single"/>
                <w:lang w:val="en-US" w:eastAsia="en-GB"/>
              </w:rPr>
              <w:t>Article 11</w:t>
            </w:r>
          </w:p>
        </w:tc>
        <w:tc>
          <w:tcPr>
            <w:tcW w:w="7513" w:type="dxa"/>
            <w:tcBorders>
              <w:left w:val="nil"/>
            </w:tcBorders>
          </w:tcPr>
          <w:p w14:paraId="1BC0CDB9" w14:textId="77777777" w:rsidR="009978D2" w:rsidRPr="00A432F7" w:rsidRDefault="009978D2" w:rsidP="009978D2">
            <w:pPr>
              <w:keepNext/>
              <w:suppressAutoHyphens/>
              <w:spacing w:after="120"/>
              <w:rPr>
                <w:rFonts w:ascii="Arial" w:hAnsi="Arial" w:cs="Arial"/>
                <w:sz w:val="22"/>
                <w:szCs w:val="22"/>
                <w:u w:val="single"/>
                <w:lang w:val="en-US"/>
              </w:rPr>
            </w:pPr>
            <w:r w:rsidRPr="00A432F7">
              <w:rPr>
                <w:rFonts w:ascii="Arial" w:hAnsi="Arial" w:cs="Arial"/>
                <w:b/>
                <w:bCs/>
                <w:spacing w:val="-3"/>
                <w:sz w:val="22"/>
                <w:szCs w:val="22"/>
                <w:u w:val="single"/>
                <w:lang w:val="en-US" w:eastAsia="en-GB"/>
              </w:rPr>
              <w:t>Closure of the Special Account</w:t>
            </w:r>
          </w:p>
        </w:tc>
      </w:tr>
      <w:tr w:rsidR="009978D2" w:rsidRPr="002F61AE" w14:paraId="7C5A62AF" w14:textId="77777777" w:rsidTr="009B7D9D">
        <w:trPr>
          <w:cantSplit/>
        </w:trPr>
        <w:tc>
          <w:tcPr>
            <w:tcW w:w="1129" w:type="dxa"/>
            <w:tcBorders>
              <w:right w:val="nil"/>
            </w:tcBorders>
          </w:tcPr>
          <w:p w14:paraId="2C06C3A4"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1A8C300A"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0F1BB1B9" w14:textId="77777777" w:rsidR="009978D2" w:rsidRPr="00C633B8" w:rsidRDefault="009978D2" w:rsidP="009978D2">
            <w:pPr>
              <w:suppressAutoHyphens/>
              <w:spacing w:after="120"/>
              <w:rPr>
                <w:rFonts w:ascii="Arial" w:hAnsi="Arial" w:cs="Arial"/>
                <w:b/>
                <w:bCs/>
                <w:sz w:val="22"/>
                <w:szCs w:val="22"/>
                <w:u w:val="single"/>
                <w:lang w:val="en-US"/>
              </w:rPr>
            </w:pPr>
            <w:r w:rsidRPr="00C633B8">
              <w:rPr>
                <w:rFonts w:ascii="Arial" w:hAnsi="Arial" w:cs="Arial"/>
                <w:b/>
                <w:bCs/>
                <w:spacing w:val="-3"/>
                <w:sz w:val="22"/>
                <w:szCs w:val="22"/>
                <w:u w:val="single"/>
                <w:lang w:val="en-US" w:eastAsia="en-GB"/>
              </w:rPr>
              <w:t>11.1</w:t>
            </w:r>
          </w:p>
        </w:tc>
        <w:tc>
          <w:tcPr>
            <w:tcW w:w="7513" w:type="dxa"/>
            <w:tcBorders>
              <w:left w:val="nil"/>
            </w:tcBorders>
          </w:tcPr>
          <w:p w14:paraId="347DC1A0" w14:textId="77777777" w:rsidR="009978D2" w:rsidRPr="00A432F7" w:rsidRDefault="009978D2" w:rsidP="009978D2">
            <w:pPr>
              <w:suppressAutoHyphens/>
              <w:spacing w:after="120"/>
              <w:rPr>
                <w:rFonts w:ascii="Arial" w:hAnsi="Arial" w:cs="Arial"/>
                <w:b/>
                <w:bCs/>
                <w:sz w:val="22"/>
                <w:szCs w:val="22"/>
                <w:u w:val="single"/>
                <w:lang w:val="en-US"/>
              </w:rPr>
            </w:pPr>
            <w:r w:rsidRPr="00A432F7">
              <w:rPr>
                <w:rFonts w:ascii="Arial" w:hAnsi="Arial" w:cs="Arial"/>
                <w:b/>
                <w:bCs/>
                <w:spacing w:val="-3"/>
                <w:sz w:val="22"/>
                <w:szCs w:val="22"/>
                <w:u w:val="single"/>
                <w:lang w:val="en-US" w:eastAsia="en-GB"/>
              </w:rPr>
              <w:t xml:space="preserve">The Director-General shall consult the </w:t>
            </w:r>
            <w:r w:rsidRPr="00A432F7">
              <w:rPr>
                <w:rFonts w:ascii="Arial" w:hAnsi="Arial" w:cs="Arial"/>
                <w:b/>
                <w:bCs/>
                <w:sz w:val="22"/>
                <w:szCs w:val="22"/>
                <w:u w:val="single"/>
                <w:lang w:val="en-US" w:eastAsia="en-GB"/>
              </w:rPr>
              <w:t xml:space="preserve">General Assembly </w:t>
            </w:r>
            <w:r w:rsidRPr="00A432F7">
              <w:rPr>
                <w:rFonts w:ascii="Arial" w:hAnsi="Arial" w:cs="Arial"/>
                <w:b/>
                <w:bCs/>
                <w:spacing w:val="-3"/>
                <w:sz w:val="22"/>
                <w:szCs w:val="22"/>
                <w:u w:val="single"/>
                <w:lang w:val="en-US" w:eastAsia="en-GB"/>
              </w:rPr>
              <w:t>at such time as he/she deems that the operation of the Special Account is no longer necessary. Such consultation shall cover the decision on the use of any unspent balance.</w:t>
            </w:r>
          </w:p>
        </w:tc>
      </w:tr>
      <w:tr w:rsidR="009978D2" w:rsidRPr="002F61AE" w14:paraId="685808CA" w14:textId="77777777" w:rsidTr="009B7D9D">
        <w:trPr>
          <w:cantSplit/>
        </w:trPr>
        <w:tc>
          <w:tcPr>
            <w:tcW w:w="1129" w:type="dxa"/>
            <w:tcBorders>
              <w:right w:val="nil"/>
            </w:tcBorders>
          </w:tcPr>
          <w:p w14:paraId="3288C983"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44A77CD5"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686CD3D7" w14:textId="77777777" w:rsidR="009978D2" w:rsidRPr="00C633B8" w:rsidRDefault="009978D2" w:rsidP="009978D2">
            <w:pPr>
              <w:suppressAutoHyphens/>
              <w:spacing w:after="120"/>
              <w:rPr>
                <w:rFonts w:ascii="Arial" w:hAnsi="Arial" w:cs="Arial"/>
                <w:b/>
                <w:bCs/>
                <w:sz w:val="22"/>
                <w:szCs w:val="22"/>
                <w:u w:val="single"/>
                <w:lang w:val="en-US"/>
              </w:rPr>
            </w:pPr>
            <w:r w:rsidRPr="00C633B8">
              <w:rPr>
                <w:rFonts w:ascii="Arial" w:hAnsi="Arial" w:cs="Arial"/>
                <w:b/>
                <w:bCs/>
                <w:spacing w:val="-3"/>
                <w:sz w:val="22"/>
                <w:szCs w:val="22"/>
                <w:u w:val="single"/>
                <w:lang w:val="en-US" w:eastAsia="en-GB"/>
              </w:rPr>
              <w:t>11.2</w:t>
            </w:r>
          </w:p>
        </w:tc>
        <w:tc>
          <w:tcPr>
            <w:tcW w:w="7513" w:type="dxa"/>
            <w:tcBorders>
              <w:left w:val="nil"/>
            </w:tcBorders>
          </w:tcPr>
          <w:p w14:paraId="3207BE7E" w14:textId="77777777" w:rsidR="009978D2" w:rsidRPr="00A432F7" w:rsidRDefault="009978D2" w:rsidP="009978D2">
            <w:pPr>
              <w:suppressAutoHyphens/>
              <w:spacing w:after="120"/>
              <w:rPr>
                <w:rFonts w:ascii="Arial" w:hAnsi="Arial" w:cs="Arial"/>
                <w:b/>
                <w:bCs/>
                <w:sz w:val="22"/>
                <w:szCs w:val="22"/>
                <w:u w:val="single"/>
                <w:lang w:val="en-US"/>
              </w:rPr>
            </w:pPr>
            <w:r w:rsidRPr="00A432F7">
              <w:rPr>
                <w:rFonts w:ascii="Arial" w:hAnsi="Arial" w:cs="Arial"/>
                <w:b/>
                <w:bCs/>
                <w:spacing w:val="-3"/>
                <w:sz w:val="22"/>
                <w:szCs w:val="22"/>
                <w:u w:val="single"/>
                <w:lang w:val="en-US" w:eastAsia="en-GB"/>
              </w:rPr>
              <w:t xml:space="preserve">The decision of the </w:t>
            </w:r>
            <w:r w:rsidRPr="00A432F7">
              <w:rPr>
                <w:rFonts w:ascii="Arial" w:hAnsi="Arial" w:cs="Arial"/>
                <w:b/>
                <w:bCs/>
                <w:sz w:val="22"/>
                <w:szCs w:val="22"/>
                <w:u w:val="single"/>
                <w:lang w:val="en-US" w:eastAsia="en-GB"/>
              </w:rPr>
              <w:t xml:space="preserve">General Assembly </w:t>
            </w:r>
            <w:r w:rsidRPr="00A432F7">
              <w:rPr>
                <w:rFonts w:ascii="Arial" w:hAnsi="Arial" w:cs="Arial"/>
                <w:b/>
                <w:bCs/>
                <w:spacing w:val="-3"/>
                <w:sz w:val="22"/>
                <w:szCs w:val="22"/>
                <w:u w:val="single"/>
                <w:lang w:val="en-US" w:eastAsia="en-GB"/>
              </w:rPr>
              <w:t>shall be transmitted to the Executive Board prior to the effective closure of the Special Account.</w:t>
            </w:r>
          </w:p>
        </w:tc>
      </w:tr>
      <w:tr w:rsidR="009978D2" w:rsidRPr="00A432F7" w14:paraId="5654F490" w14:textId="77777777" w:rsidTr="009B7D9D">
        <w:trPr>
          <w:cantSplit/>
        </w:trPr>
        <w:tc>
          <w:tcPr>
            <w:tcW w:w="1129" w:type="dxa"/>
            <w:tcBorders>
              <w:right w:val="nil"/>
            </w:tcBorders>
          </w:tcPr>
          <w:p w14:paraId="14561769" w14:textId="77777777" w:rsidR="009978D2" w:rsidRPr="00A432F7" w:rsidRDefault="009978D2" w:rsidP="009978D2">
            <w:pPr>
              <w:spacing w:after="120"/>
              <w:rPr>
                <w:rFonts w:ascii="Arial" w:hAnsi="Arial" w:cs="Arial"/>
                <w:sz w:val="22"/>
                <w:szCs w:val="22"/>
                <w:lang w:val="en-US"/>
              </w:rPr>
            </w:pPr>
            <w:r w:rsidRPr="00A432F7">
              <w:rPr>
                <w:rFonts w:ascii="Arial" w:hAnsi="Arial" w:cs="Arial"/>
                <w:b/>
                <w:sz w:val="22"/>
                <w:szCs w:val="22"/>
              </w:rPr>
              <w:t>Article 9</w:t>
            </w:r>
          </w:p>
        </w:tc>
        <w:tc>
          <w:tcPr>
            <w:tcW w:w="4253" w:type="dxa"/>
            <w:tcBorders>
              <w:left w:val="nil"/>
            </w:tcBorders>
          </w:tcPr>
          <w:p w14:paraId="45CCCB72" w14:textId="77777777" w:rsidR="009978D2" w:rsidRPr="00A432F7" w:rsidRDefault="009978D2" w:rsidP="009978D2">
            <w:pPr>
              <w:spacing w:after="120"/>
              <w:rPr>
                <w:rFonts w:ascii="Arial" w:hAnsi="Arial" w:cs="Arial"/>
                <w:sz w:val="22"/>
                <w:szCs w:val="22"/>
                <w:lang w:val="en-US"/>
              </w:rPr>
            </w:pPr>
            <w:r w:rsidRPr="00A432F7">
              <w:rPr>
                <w:rFonts w:ascii="Arial" w:hAnsi="Arial" w:cs="Arial"/>
                <w:b/>
                <w:sz w:val="22"/>
                <w:szCs w:val="22"/>
              </w:rPr>
              <w:t>General provision</w:t>
            </w:r>
          </w:p>
        </w:tc>
        <w:tc>
          <w:tcPr>
            <w:tcW w:w="1417" w:type="dxa"/>
            <w:tcBorders>
              <w:right w:val="nil"/>
            </w:tcBorders>
          </w:tcPr>
          <w:p w14:paraId="5CA5A602" w14:textId="77777777" w:rsidR="009978D2" w:rsidRPr="00A432F7" w:rsidRDefault="009978D2" w:rsidP="009978D2">
            <w:pPr>
              <w:keepNext/>
              <w:suppressAutoHyphens/>
              <w:spacing w:after="120"/>
              <w:rPr>
                <w:rFonts w:ascii="Arial" w:hAnsi="Arial" w:cs="Arial"/>
                <w:sz w:val="22"/>
                <w:szCs w:val="22"/>
                <w:lang w:val="en-US"/>
              </w:rPr>
            </w:pPr>
            <w:r w:rsidRPr="00A432F7">
              <w:rPr>
                <w:rFonts w:ascii="Arial" w:hAnsi="Arial" w:cs="Arial"/>
                <w:b/>
                <w:bCs/>
                <w:spacing w:val="-3"/>
                <w:sz w:val="22"/>
                <w:szCs w:val="22"/>
                <w:lang w:eastAsia="en-GB"/>
              </w:rPr>
              <w:t xml:space="preserve">Article </w:t>
            </w:r>
            <w:r w:rsidRPr="00A432F7">
              <w:rPr>
                <w:rFonts w:ascii="Arial" w:hAnsi="Arial" w:cs="Arial"/>
                <w:b/>
                <w:strike/>
                <w:color w:val="000000" w:themeColor="text1"/>
                <w:sz w:val="22"/>
                <w:szCs w:val="22"/>
                <w:lang w:val="en-US"/>
              </w:rPr>
              <w:t>9</w:t>
            </w:r>
            <w:r w:rsidRPr="00F0282B">
              <w:rPr>
                <w:rFonts w:ascii="Arial" w:hAnsi="Arial" w:cs="Arial"/>
                <w:b/>
                <w:bCs/>
                <w:spacing w:val="-3"/>
                <w:sz w:val="22"/>
                <w:szCs w:val="22"/>
                <w:u w:val="single"/>
                <w:lang w:eastAsia="en-GB"/>
              </w:rPr>
              <w:t>12</w:t>
            </w:r>
          </w:p>
        </w:tc>
        <w:tc>
          <w:tcPr>
            <w:tcW w:w="7513" w:type="dxa"/>
            <w:tcBorders>
              <w:left w:val="nil"/>
            </w:tcBorders>
          </w:tcPr>
          <w:p w14:paraId="59DE9382" w14:textId="77777777" w:rsidR="009978D2" w:rsidRPr="00A432F7" w:rsidRDefault="009978D2" w:rsidP="009978D2">
            <w:pPr>
              <w:keepNext/>
              <w:suppressAutoHyphens/>
              <w:spacing w:after="120"/>
              <w:rPr>
                <w:rFonts w:ascii="Arial" w:hAnsi="Arial" w:cs="Arial"/>
                <w:sz w:val="22"/>
                <w:szCs w:val="22"/>
                <w:lang w:val="en-US"/>
              </w:rPr>
            </w:pPr>
            <w:r w:rsidRPr="00A432F7">
              <w:rPr>
                <w:rFonts w:ascii="Arial" w:hAnsi="Arial" w:cs="Arial"/>
                <w:spacing w:val="-3"/>
                <w:sz w:val="22"/>
                <w:szCs w:val="22"/>
                <w:lang w:eastAsia="en-GB"/>
              </w:rPr>
              <w:t>No change.</w:t>
            </w:r>
          </w:p>
        </w:tc>
      </w:tr>
      <w:tr w:rsidR="009978D2" w:rsidRPr="002F61AE" w14:paraId="0894261F" w14:textId="77777777" w:rsidTr="009B7D9D">
        <w:trPr>
          <w:cantSplit/>
        </w:trPr>
        <w:tc>
          <w:tcPr>
            <w:tcW w:w="1129" w:type="dxa"/>
            <w:tcBorders>
              <w:right w:val="nil"/>
            </w:tcBorders>
          </w:tcPr>
          <w:p w14:paraId="14372E2D"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23F34379" w14:textId="77777777" w:rsidR="009978D2" w:rsidRPr="00A432F7" w:rsidRDefault="009978D2" w:rsidP="009978D2">
            <w:pPr>
              <w:spacing w:after="120"/>
              <w:rPr>
                <w:rFonts w:ascii="Arial" w:hAnsi="Arial" w:cs="Arial"/>
                <w:sz w:val="22"/>
                <w:szCs w:val="22"/>
                <w:lang w:val="en-US"/>
              </w:rPr>
            </w:pPr>
          </w:p>
        </w:tc>
        <w:tc>
          <w:tcPr>
            <w:tcW w:w="1417" w:type="dxa"/>
            <w:tcBorders>
              <w:right w:val="nil"/>
            </w:tcBorders>
          </w:tcPr>
          <w:p w14:paraId="46704B9A" w14:textId="77777777" w:rsidR="009978D2" w:rsidRPr="00C633B8" w:rsidRDefault="009978D2" w:rsidP="009978D2">
            <w:pPr>
              <w:keepNext/>
              <w:suppressAutoHyphens/>
              <w:spacing w:after="120"/>
              <w:rPr>
                <w:rFonts w:ascii="Arial" w:hAnsi="Arial" w:cs="Arial"/>
                <w:b/>
                <w:bCs/>
                <w:spacing w:val="-3"/>
                <w:sz w:val="22"/>
                <w:szCs w:val="22"/>
                <w:u w:val="single"/>
                <w:lang w:val="en-US" w:eastAsia="en-GB"/>
              </w:rPr>
            </w:pPr>
            <w:r w:rsidRPr="00C633B8">
              <w:rPr>
                <w:rFonts w:ascii="Arial" w:hAnsi="Arial" w:cs="Arial"/>
                <w:b/>
                <w:bCs/>
                <w:spacing w:val="-3"/>
                <w:sz w:val="22"/>
                <w:szCs w:val="22"/>
                <w:u w:val="single"/>
                <w:lang w:val="en-US" w:eastAsia="en-GB"/>
              </w:rPr>
              <w:t>12.1</w:t>
            </w:r>
          </w:p>
        </w:tc>
        <w:tc>
          <w:tcPr>
            <w:tcW w:w="7513" w:type="dxa"/>
            <w:tcBorders>
              <w:left w:val="nil"/>
            </w:tcBorders>
          </w:tcPr>
          <w:p w14:paraId="5D113A32" w14:textId="77777777" w:rsidR="009978D2" w:rsidRPr="00A432F7" w:rsidRDefault="009978D2" w:rsidP="009978D2">
            <w:pPr>
              <w:keepNext/>
              <w:suppressAutoHyphens/>
              <w:spacing w:after="120"/>
              <w:rPr>
                <w:rFonts w:ascii="Arial" w:hAnsi="Arial" w:cs="Arial"/>
                <w:b/>
                <w:bCs/>
                <w:spacing w:val="-3"/>
                <w:sz w:val="22"/>
                <w:szCs w:val="22"/>
                <w:u w:val="single"/>
                <w:lang w:val="en-US" w:eastAsia="en-GB"/>
              </w:rPr>
            </w:pPr>
            <w:r w:rsidRPr="00A432F7">
              <w:rPr>
                <w:rFonts w:ascii="Arial" w:hAnsi="Arial" w:cs="Arial"/>
                <w:b/>
                <w:bCs/>
                <w:spacing w:val="-3"/>
                <w:sz w:val="22"/>
                <w:szCs w:val="22"/>
                <w:u w:val="single"/>
                <w:lang w:val="en-US" w:eastAsia="en-GB"/>
              </w:rPr>
              <w:t xml:space="preserve">Any amendment to these Financial Regulations shall be approved by the </w:t>
            </w:r>
            <w:r w:rsidRPr="00A432F7">
              <w:rPr>
                <w:rFonts w:ascii="Arial" w:hAnsi="Arial" w:cs="Arial"/>
                <w:b/>
                <w:bCs/>
                <w:sz w:val="22"/>
                <w:szCs w:val="22"/>
                <w:u w:val="single"/>
                <w:lang w:val="en-US" w:eastAsia="en-GB"/>
              </w:rPr>
              <w:t>General Assembly</w:t>
            </w:r>
            <w:r w:rsidRPr="00A432F7">
              <w:rPr>
                <w:rFonts w:ascii="Arial" w:hAnsi="Arial" w:cs="Arial"/>
                <w:b/>
                <w:bCs/>
                <w:spacing w:val="-3"/>
                <w:sz w:val="22"/>
                <w:szCs w:val="22"/>
                <w:u w:val="single"/>
                <w:lang w:val="en-US" w:eastAsia="en-GB"/>
              </w:rPr>
              <w:t>. The Executive Board shall be informed accordingly of any such amendments.</w:t>
            </w:r>
          </w:p>
        </w:tc>
      </w:tr>
      <w:tr w:rsidR="009978D2" w:rsidRPr="009978D2" w14:paraId="53BD9E89" w14:textId="77777777" w:rsidTr="009B7D9D">
        <w:trPr>
          <w:cantSplit/>
        </w:trPr>
        <w:tc>
          <w:tcPr>
            <w:tcW w:w="1129" w:type="dxa"/>
            <w:tcBorders>
              <w:right w:val="nil"/>
            </w:tcBorders>
          </w:tcPr>
          <w:p w14:paraId="368737D2" w14:textId="77777777" w:rsidR="009978D2" w:rsidRPr="00A432F7" w:rsidRDefault="009978D2" w:rsidP="009978D2">
            <w:pPr>
              <w:spacing w:after="120"/>
              <w:rPr>
                <w:rFonts w:ascii="Arial" w:hAnsi="Arial" w:cs="Arial"/>
                <w:sz w:val="22"/>
                <w:szCs w:val="22"/>
                <w:lang w:val="en-US"/>
              </w:rPr>
            </w:pPr>
          </w:p>
        </w:tc>
        <w:tc>
          <w:tcPr>
            <w:tcW w:w="4253" w:type="dxa"/>
            <w:tcBorders>
              <w:left w:val="nil"/>
            </w:tcBorders>
          </w:tcPr>
          <w:p w14:paraId="7C7554D8" w14:textId="77777777" w:rsidR="009978D2" w:rsidRPr="00A432F7" w:rsidRDefault="009978D2" w:rsidP="009978D2">
            <w:pPr>
              <w:spacing w:after="120"/>
              <w:rPr>
                <w:rFonts w:ascii="Arial" w:hAnsi="Arial" w:cs="Arial"/>
                <w:sz w:val="22"/>
                <w:szCs w:val="22"/>
                <w:lang w:val="en-US"/>
              </w:rPr>
            </w:pPr>
            <w:r w:rsidRPr="00A432F7">
              <w:rPr>
                <w:rFonts w:ascii="Arial" w:hAnsi="Arial" w:cs="Arial"/>
                <w:sz w:val="22"/>
                <w:szCs w:val="22"/>
                <w:lang w:val="en-US"/>
              </w:rPr>
              <w:t>Unless otherwise provided in these Regulations, the Special Account shall be administered in accordance with the Financial Regulations of UNESCO.</w:t>
            </w:r>
          </w:p>
        </w:tc>
        <w:tc>
          <w:tcPr>
            <w:tcW w:w="1417" w:type="dxa"/>
            <w:tcBorders>
              <w:right w:val="nil"/>
            </w:tcBorders>
          </w:tcPr>
          <w:p w14:paraId="3C44CF57" w14:textId="77777777" w:rsidR="009978D2" w:rsidRPr="00C633B8" w:rsidRDefault="009978D2" w:rsidP="009978D2">
            <w:pPr>
              <w:keepNext/>
              <w:suppressAutoHyphens/>
              <w:spacing w:after="120"/>
              <w:rPr>
                <w:rFonts w:ascii="Arial" w:hAnsi="Arial" w:cs="Arial"/>
                <w:b/>
                <w:bCs/>
                <w:sz w:val="22"/>
                <w:szCs w:val="22"/>
                <w:u w:val="single"/>
                <w:lang w:val="en-US"/>
              </w:rPr>
            </w:pPr>
            <w:r w:rsidRPr="00C633B8">
              <w:rPr>
                <w:rFonts w:ascii="Arial" w:hAnsi="Arial" w:cs="Arial"/>
                <w:b/>
                <w:bCs/>
                <w:spacing w:val="-3"/>
                <w:sz w:val="22"/>
                <w:szCs w:val="22"/>
                <w:u w:val="single"/>
                <w:lang w:val="en-US" w:eastAsia="en-GB"/>
              </w:rPr>
              <w:t>12.2</w:t>
            </w:r>
          </w:p>
        </w:tc>
        <w:tc>
          <w:tcPr>
            <w:tcW w:w="7513" w:type="dxa"/>
            <w:tcBorders>
              <w:left w:val="nil"/>
            </w:tcBorders>
          </w:tcPr>
          <w:p w14:paraId="36D31399" w14:textId="77777777" w:rsidR="009978D2" w:rsidRPr="00A432F7" w:rsidRDefault="009978D2" w:rsidP="009978D2">
            <w:pPr>
              <w:keepNext/>
              <w:suppressAutoHyphens/>
              <w:spacing w:after="120"/>
              <w:rPr>
                <w:rFonts w:ascii="Arial" w:hAnsi="Arial" w:cs="Arial"/>
                <w:sz w:val="22"/>
                <w:szCs w:val="22"/>
                <w:lang w:val="en-US"/>
              </w:rPr>
            </w:pPr>
            <w:r w:rsidRPr="00A432F7">
              <w:rPr>
                <w:rFonts w:ascii="Arial" w:hAnsi="Arial" w:cs="Arial"/>
                <w:spacing w:val="-3"/>
                <w:sz w:val="22"/>
                <w:szCs w:val="22"/>
                <w:lang w:val="en-US" w:eastAsia="en-GB"/>
              </w:rPr>
              <w:t>No change.</w:t>
            </w:r>
          </w:p>
        </w:tc>
      </w:tr>
    </w:tbl>
    <w:p w14:paraId="026C21DA" w14:textId="4B2AA286" w:rsidR="009535CF" w:rsidRPr="00A432F7" w:rsidRDefault="009535CF" w:rsidP="00C144E3">
      <w:pPr>
        <w:pStyle w:val="Sansinterligne"/>
        <w:jc w:val="center"/>
        <w:rPr>
          <w:rFonts w:ascii="Arial" w:hAnsi="Arial" w:cs="Arial"/>
          <w:lang w:val="en-US"/>
        </w:rPr>
      </w:pPr>
    </w:p>
    <w:sectPr w:rsidR="009535CF" w:rsidRPr="00A432F7" w:rsidSect="00A432F7">
      <w:pgSz w:w="16838" w:h="11906" w:orient="landscape" w:code="9"/>
      <w:pgMar w:top="1134" w:right="1418" w:bottom="1134" w:left="1134" w:header="397"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E4F26" w16cex:dateUtc="2020-07-31T06:04:00Z"/>
  <w16cex:commentExtensible w16cex:durableId="22CE4FE4" w16cex:dateUtc="2020-07-31T06:08:00Z"/>
  <w16cex:commentExtensible w16cex:durableId="22CE5AE3" w16cex:dateUtc="2020-07-31T06:54:00Z"/>
  <w16cex:commentExtensible w16cex:durableId="22CE5D78" w16cex:dateUtc="2020-07-31T07:06:00Z"/>
  <w16cex:commentExtensible w16cex:durableId="22CE5EBA" w16cex:dateUtc="2020-07-31T07:11:00Z"/>
  <w16cex:commentExtensible w16cex:durableId="22CE5F97" w16cex:dateUtc="2020-07-31T07:15:00Z"/>
  <w16cex:commentExtensible w16cex:durableId="22CE5FBD" w16cex:dateUtc="2020-07-31T07:15:00Z"/>
  <w16cex:commentExtensible w16cex:durableId="22CE6035" w16cex:dateUtc="2020-07-31T07:17:00Z"/>
  <w16cex:commentExtensible w16cex:durableId="22CE6074" w16cex:dateUtc="2020-07-31T07:18:00Z"/>
  <w16cex:commentExtensible w16cex:durableId="22CE64ED" w16cex:dateUtc="2020-07-31T07:37:00Z"/>
  <w16cex:commentExtensible w16cex:durableId="22CE69D7" w16cex:dateUtc="2020-07-31T07:58:00Z"/>
  <w16cex:commentExtensible w16cex:durableId="22CE6AC2" w16cex:dateUtc="2020-07-31T08:02:00Z"/>
  <w16cex:commentExtensible w16cex:durableId="22CE7B31" w16cex:dateUtc="2020-07-31T09:12:00Z"/>
  <w16cex:commentExtensible w16cex:durableId="22CE76D8" w16cex:dateUtc="2020-07-31T08:54:00Z"/>
  <w16cex:commentExtensible w16cex:durableId="22CE77E1" w16cex:dateUtc="2020-07-31T08:58:00Z"/>
  <w16cex:commentExtensible w16cex:durableId="22CE7AB4" w16cex:dateUtc="2020-07-31T0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184F" w14:textId="77777777" w:rsidR="00A10416" w:rsidRDefault="00A10416" w:rsidP="00655736">
      <w:r>
        <w:separator/>
      </w:r>
    </w:p>
  </w:endnote>
  <w:endnote w:type="continuationSeparator" w:id="0">
    <w:p w14:paraId="5A891952" w14:textId="77777777" w:rsidR="00A10416" w:rsidRDefault="00A1041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375C" w14:textId="77777777" w:rsidR="00A10416" w:rsidRDefault="00A10416" w:rsidP="00655736">
      <w:r>
        <w:separator/>
      </w:r>
    </w:p>
  </w:footnote>
  <w:footnote w:type="continuationSeparator" w:id="0">
    <w:p w14:paraId="774D60FE" w14:textId="77777777" w:rsidR="00A10416" w:rsidRDefault="00A10416" w:rsidP="00655736">
      <w:r>
        <w:continuationSeparator/>
      </w:r>
    </w:p>
  </w:footnote>
  <w:footnote w:id="1">
    <w:p w14:paraId="1632EBA0" w14:textId="3E07CFF6" w:rsidR="00A10416" w:rsidRPr="00C448CF" w:rsidRDefault="00A10416" w:rsidP="00B702ED">
      <w:pPr>
        <w:pStyle w:val="Notedebasdepage"/>
        <w:tabs>
          <w:tab w:val="left" w:pos="426"/>
        </w:tabs>
        <w:spacing w:before="0" w:after="0"/>
        <w:ind w:left="426" w:hanging="426"/>
        <w:rPr>
          <w:sz w:val="18"/>
          <w:szCs w:val="18"/>
        </w:rPr>
      </w:pPr>
      <w:r w:rsidRPr="00C448CF">
        <w:rPr>
          <w:rStyle w:val="Appelnotedebasdep"/>
          <w:rFonts w:eastAsiaTheme="minorHAnsi"/>
          <w:sz w:val="18"/>
          <w:szCs w:val="18"/>
          <w:vertAlign w:val="baseline"/>
          <w:lang w:val="en-US" w:eastAsia="en-US"/>
        </w:rPr>
        <w:footnoteRef/>
      </w:r>
      <w:r w:rsidRPr="00C448CF">
        <w:rPr>
          <w:rStyle w:val="Appelnotedebasdep"/>
          <w:rFonts w:eastAsiaTheme="minorHAnsi"/>
          <w:sz w:val="18"/>
          <w:szCs w:val="18"/>
          <w:vertAlign w:val="baseline"/>
          <w:lang w:val="en-US" w:eastAsia="en-US"/>
        </w:rPr>
        <w:t>.</w:t>
      </w:r>
      <w:r w:rsidRPr="00C448CF">
        <w:rPr>
          <w:rStyle w:val="Appelnotedebasdep"/>
          <w:rFonts w:eastAsiaTheme="minorHAnsi"/>
          <w:sz w:val="18"/>
          <w:szCs w:val="18"/>
          <w:vertAlign w:val="baseline"/>
          <w:lang w:val="en-US" w:eastAsia="en-US"/>
        </w:rPr>
        <w:tab/>
        <w:t>Compared with the 2014–2015 biennium (37C/5), the number of requests examined by the Bureau has increased by 142%. This increased rate does not take into account the International Assistance requests that have been examined by the Bureau in the second half of 2019.</w:t>
      </w:r>
    </w:p>
  </w:footnote>
  <w:footnote w:id="2">
    <w:p w14:paraId="2BEEE298" w14:textId="4CC1EBB4" w:rsidR="00A10416" w:rsidRPr="00C448CF" w:rsidRDefault="00A10416">
      <w:pPr>
        <w:pStyle w:val="Notedebasdepage"/>
        <w:spacing w:before="0"/>
        <w:ind w:left="450" w:hanging="450"/>
        <w:rPr>
          <w:rFonts w:cs="Arial"/>
          <w:sz w:val="18"/>
          <w:szCs w:val="18"/>
        </w:rPr>
      </w:pPr>
      <w:r w:rsidRPr="00C448CF">
        <w:rPr>
          <w:rStyle w:val="Appelnotedebasdep"/>
          <w:rFonts w:cs="Arial"/>
          <w:sz w:val="18"/>
          <w:szCs w:val="18"/>
          <w:vertAlign w:val="baseline"/>
        </w:rPr>
        <w:footnoteRef/>
      </w:r>
      <w:r w:rsidRPr="00C448CF">
        <w:rPr>
          <w:rFonts w:cs="Arial"/>
          <w:sz w:val="18"/>
          <w:szCs w:val="18"/>
        </w:rPr>
        <w:t>.</w:t>
      </w:r>
      <w:r w:rsidRPr="00C448CF">
        <w:rPr>
          <w:rFonts w:cs="Arial"/>
          <w:sz w:val="18"/>
          <w:szCs w:val="18"/>
        </w:rPr>
        <w:tab/>
        <w:t xml:space="preserve">The latest Statement of compulsory contributions is available at: </w:t>
      </w:r>
      <w:hyperlink r:id="rId1" w:history="1">
        <w:r w:rsidRPr="00C448CF">
          <w:rPr>
            <w:rStyle w:val="Lienhypertexte"/>
            <w:rFonts w:cs="Arial"/>
            <w:sz w:val="18"/>
            <w:szCs w:val="18"/>
          </w:rPr>
          <w:t>http://www.unesco.org/eri/cp/factsheets/ICH-Status-of-Contributions.pdf</w:t>
        </w:r>
      </w:hyperlink>
    </w:p>
  </w:footnote>
  <w:footnote w:id="3">
    <w:p w14:paraId="31127B2B" w14:textId="0949B8EA" w:rsidR="00A10416" w:rsidRPr="00B33C90" w:rsidRDefault="00A10416" w:rsidP="00550BBD">
      <w:pPr>
        <w:pStyle w:val="Notedebasdepage"/>
        <w:spacing w:before="0"/>
        <w:ind w:left="450" w:hanging="450"/>
        <w:rPr>
          <w:sz w:val="18"/>
          <w:szCs w:val="18"/>
        </w:rPr>
      </w:pPr>
      <w:r w:rsidRPr="00B33C90">
        <w:rPr>
          <w:rStyle w:val="Appelnotedebasdep"/>
          <w:sz w:val="18"/>
          <w:szCs w:val="18"/>
          <w:vertAlign w:val="baseline"/>
        </w:rPr>
        <w:footnoteRef/>
      </w:r>
      <w:r w:rsidRPr="00B33C90">
        <w:rPr>
          <w:sz w:val="18"/>
          <w:szCs w:val="18"/>
        </w:rPr>
        <w:t>.</w:t>
      </w:r>
      <w:r w:rsidRPr="00B33C90">
        <w:rPr>
          <w:sz w:val="18"/>
          <w:szCs w:val="18"/>
        </w:rPr>
        <w:tab/>
        <w:t xml:space="preserve">‘Preparatory assistance’ corresponds to the assistance that States Parties can request for developing nominations to the List of Intangible Cultural Heritage in Need of Urgent Safeguarding or proposals for the Register of Good Safeguarding Practices (paragraph 21 of the </w:t>
      </w:r>
      <w:hyperlink r:id="rId2" w:history="1">
        <w:r w:rsidRPr="0071232D">
          <w:rPr>
            <w:rStyle w:val="Lienhypertexte"/>
            <w:sz w:val="18"/>
            <w:szCs w:val="18"/>
          </w:rPr>
          <w:t>Operational Directives</w:t>
        </w:r>
      </w:hyperlink>
      <w:r w:rsidRPr="00B33C90">
        <w:rPr>
          <w:sz w:val="18"/>
          <w:szCs w:val="18"/>
        </w:rPr>
        <w:t>). ‘Technical assistance’ refers to the provision of experts, as described in Article 21 of the Convention, to States Parties wishing to develop requests for International Assistance (</w:t>
      </w:r>
      <w:hyperlink r:id="rId3" w:history="1">
        <w:r w:rsidRPr="0071232D">
          <w:rPr>
            <w:rStyle w:val="Lienhypertexte"/>
            <w:sz w:val="18"/>
            <w:szCs w:val="18"/>
          </w:rPr>
          <w:t>Decision 8.COM 7.c</w:t>
        </w:r>
      </w:hyperlink>
      <w:r w:rsidRPr="00B33C90">
        <w:rPr>
          <w:sz w:val="18"/>
          <w:szCs w:val="18"/>
        </w:rPr>
        <w:t>).</w:t>
      </w:r>
    </w:p>
  </w:footnote>
  <w:footnote w:id="4">
    <w:p w14:paraId="7FF4BEC5" w14:textId="738E93B7" w:rsidR="00A10416" w:rsidRPr="00B33C90" w:rsidRDefault="00A10416" w:rsidP="00844C1F">
      <w:pPr>
        <w:pStyle w:val="Notedebasdepage"/>
        <w:ind w:left="450" w:hanging="450"/>
        <w:rPr>
          <w:sz w:val="18"/>
          <w:szCs w:val="18"/>
        </w:rPr>
      </w:pPr>
      <w:r w:rsidRPr="00C448CF">
        <w:rPr>
          <w:rStyle w:val="Appelnotedebasdep"/>
          <w:sz w:val="18"/>
          <w:szCs w:val="18"/>
          <w:vertAlign w:val="baseline"/>
        </w:rPr>
        <w:footnoteRef/>
      </w:r>
      <w:r w:rsidRPr="00C448CF">
        <w:rPr>
          <w:sz w:val="18"/>
          <w:szCs w:val="18"/>
        </w:rPr>
        <w:t>.</w:t>
      </w:r>
      <w:r w:rsidRPr="00C448CF">
        <w:rPr>
          <w:sz w:val="18"/>
          <w:szCs w:val="18"/>
        </w:rPr>
        <w:tab/>
      </w:r>
      <w:r w:rsidRPr="00C448CF">
        <w:rPr>
          <w:rFonts w:cs="Arial"/>
          <w:sz w:val="18"/>
          <w:szCs w:val="18"/>
          <w:lang w:val="en-US"/>
        </w:rPr>
        <w:t>The</w:t>
      </w:r>
      <w:r w:rsidRPr="00C448CF">
        <w:rPr>
          <w:sz w:val="18"/>
          <w:szCs w:val="18"/>
        </w:rPr>
        <w:t xml:space="preserve"> breakdown by expected result for 2018-2019 was approved by the Bureau of the Intergovernmental Committee in 2018 (</w:t>
      </w:r>
      <w:hyperlink r:id="rId4" w:history="1">
        <w:r w:rsidRPr="00C448CF">
          <w:rPr>
            <w:rStyle w:val="Lienhypertexte"/>
            <w:sz w:val="18"/>
            <w:szCs w:val="18"/>
          </w:rPr>
          <w:t>Decision 13.COM 2.BUR 3</w:t>
        </w:r>
      </w:hyperlink>
      <w:r w:rsidRPr="00C448CF">
        <w:rPr>
          <w:sz w:val="18"/>
          <w:szCs w:val="18"/>
        </w:rPr>
        <w:t>).</w:t>
      </w:r>
    </w:p>
  </w:footnote>
  <w:footnote w:id="5">
    <w:p w14:paraId="1D627E18" w14:textId="6A9FC3CF" w:rsidR="00A10416" w:rsidRPr="00C448CF" w:rsidRDefault="00A10416" w:rsidP="00844C1F">
      <w:pPr>
        <w:pStyle w:val="Notedebasdepage"/>
        <w:spacing w:before="0"/>
        <w:ind w:left="450" w:hanging="450"/>
        <w:rPr>
          <w:sz w:val="18"/>
          <w:szCs w:val="18"/>
        </w:rPr>
      </w:pPr>
      <w:r w:rsidRPr="00C448CF">
        <w:rPr>
          <w:rStyle w:val="Appelnotedebasdep"/>
          <w:sz w:val="18"/>
          <w:szCs w:val="18"/>
          <w:vertAlign w:val="baseline"/>
        </w:rPr>
        <w:footnoteRef/>
      </w:r>
      <w:r w:rsidRPr="00C448CF">
        <w:rPr>
          <w:sz w:val="18"/>
          <w:szCs w:val="18"/>
        </w:rPr>
        <w:t xml:space="preserve">. </w:t>
      </w:r>
      <w:r w:rsidRPr="00C448CF">
        <w:rPr>
          <w:sz w:val="18"/>
          <w:szCs w:val="18"/>
        </w:rPr>
        <w:tab/>
      </w:r>
      <w:r w:rsidRPr="00C448CF">
        <w:rPr>
          <w:rFonts w:cs="Arial"/>
          <w:sz w:val="18"/>
          <w:szCs w:val="18"/>
          <w:lang w:val="en-US"/>
        </w:rPr>
        <w:t>The</w:t>
      </w:r>
      <w:r w:rsidRPr="00C448CF">
        <w:rPr>
          <w:sz w:val="18"/>
          <w:szCs w:val="18"/>
        </w:rPr>
        <w:t xml:space="preserve"> breakdown by expected result for the first six months of 2020 was approved by the Bureau of the Intergovernmental Committee in 2019 (</w:t>
      </w:r>
      <w:hyperlink r:id="rId5" w:history="1">
        <w:r w:rsidRPr="00C448CF">
          <w:rPr>
            <w:rStyle w:val="Lienhypertexte"/>
            <w:sz w:val="18"/>
            <w:szCs w:val="18"/>
          </w:rPr>
          <w:t>Decision 14.COM 2.BUR 3</w:t>
        </w:r>
      </w:hyperlink>
      <w:r w:rsidRPr="00C448CF">
        <w:rPr>
          <w:sz w:val="18"/>
          <w:szCs w:val="18"/>
        </w:rPr>
        <w:t>).</w:t>
      </w:r>
    </w:p>
  </w:footnote>
  <w:footnote w:id="6">
    <w:p w14:paraId="467F669A" w14:textId="2809D74D" w:rsidR="00A10416" w:rsidRPr="00C448CF" w:rsidRDefault="00A10416">
      <w:pPr>
        <w:pStyle w:val="Notedebasdepage"/>
        <w:tabs>
          <w:tab w:val="left" w:pos="432"/>
          <w:tab w:val="left" w:pos="475"/>
        </w:tabs>
        <w:ind w:left="450" w:hanging="450"/>
        <w:rPr>
          <w:sz w:val="18"/>
          <w:szCs w:val="18"/>
          <w:lang w:val="en-US"/>
        </w:rPr>
      </w:pPr>
      <w:r w:rsidRPr="00C448CF">
        <w:rPr>
          <w:rStyle w:val="Appelnotedebasdep"/>
          <w:rFonts w:cs="Arial"/>
          <w:sz w:val="18"/>
          <w:szCs w:val="18"/>
          <w:vertAlign w:val="baseline"/>
        </w:rPr>
        <w:footnoteRef/>
      </w:r>
      <w:r w:rsidRPr="00C448CF">
        <w:rPr>
          <w:rStyle w:val="Appelnotedebasdep"/>
          <w:rFonts w:cs="Arial"/>
          <w:sz w:val="18"/>
          <w:szCs w:val="18"/>
          <w:vertAlign w:val="baseline"/>
          <w:lang w:val="en-US"/>
        </w:rPr>
        <w:t>.</w:t>
      </w:r>
      <w:r w:rsidRPr="00C448CF">
        <w:rPr>
          <w:rFonts w:cs="Arial"/>
          <w:sz w:val="18"/>
          <w:szCs w:val="18"/>
          <w:lang w:val="en-US"/>
        </w:rPr>
        <w:tab/>
        <w:t xml:space="preserve">See Appropriation Resolution for 2020-2021 in </w:t>
      </w:r>
      <w:hyperlink r:id="rId6" w:history="1">
        <w:r w:rsidRPr="00C448CF">
          <w:rPr>
            <w:rStyle w:val="Lienhypertexte"/>
            <w:sz w:val="18"/>
            <w:szCs w:val="18"/>
            <w:lang w:val="en-US"/>
          </w:rPr>
          <w:t>4</w:t>
        </w:r>
        <w:r w:rsidRPr="00C448CF">
          <w:rPr>
            <w:rStyle w:val="Lienhypertexte"/>
            <w:rFonts w:cs="Arial"/>
            <w:sz w:val="18"/>
            <w:szCs w:val="18"/>
            <w:lang w:val="en-US"/>
          </w:rPr>
          <w:t>0 C/5, volume 1: Draft Resolutions, second biennium 2020-2021</w:t>
        </w:r>
      </w:hyperlink>
      <w:r w:rsidRPr="00C448CF">
        <w:rPr>
          <w:rFonts w:cs="Arial"/>
          <w:sz w:val="18"/>
          <w:szCs w:val="18"/>
          <w:lang w:val="en-US"/>
        </w:rPr>
        <w:t xml:space="preserve"> (page 12).</w:t>
      </w:r>
    </w:p>
  </w:footnote>
  <w:footnote w:id="7">
    <w:p w14:paraId="40B46097" w14:textId="52C1CABC" w:rsidR="00A10416" w:rsidRPr="00C448CF" w:rsidRDefault="00A10416">
      <w:pPr>
        <w:pStyle w:val="Notedebasdepage"/>
        <w:tabs>
          <w:tab w:val="left" w:pos="475"/>
          <w:tab w:val="left" w:pos="540"/>
        </w:tabs>
        <w:ind w:left="450" w:hanging="450"/>
        <w:rPr>
          <w:rFonts w:cs="Arial"/>
          <w:sz w:val="18"/>
          <w:szCs w:val="18"/>
        </w:rPr>
      </w:pPr>
      <w:r w:rsidRPr="00C448CF">
        <w:rPr>
          <w:rFonts w:cs="Arial"/>
          <w:sz w:val="18"/>
          <w:szCs w:val="18"/>
        </w:rPr>
        <w:footnoteRef/>
      </w:r>
      <w:r w:rsidRPr="00C448CF">
        <w:rPr>
          <w:rFonts w:cs="Arial"/>
          <w:sz w:val="18"/>
          <w:szCs w:val="18"/>
        </w:rPr>
        <w:t>.</w:t>
      </w:r>
      <w:r w:rsidRPr="00C448CF">
        <w:rPr>
          <w:rFonts w:cs="Arial"/>
          <w:sz w:val="18"/>
          <w:szCs w:val="18"/>
        </w:rPr>
        <w:tab/>
        <w:t>Percentages are applied to the balance of the Fund as of 31 December 2019. This balance does not include the Reserve Fund (US$1,000,000).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36BE" w14:textId="2BAE41EB" w:rsidR="00A10416" w:rsidRPr="00C23A97" w:rsidRDefault="00A10416">
    <w:pPr>
      <w:pStyle w:val="En-tte"/>
      <w:rPr>
        <w:rFonts w:ascii="Arial" w:hAnsi="Arial" w:cs="Arial"/>
        <w:lang w:val="en-GB"/>
      </w:rPr>
    </w:pPr>
    <w:r>
      <w:rPr>
        <w:rFonts w:ascii="Arial" w:hAnsi="Arial" w:cs="Arial"/>
        <w:sz w:val="20"/>
        <w:szCs w:val="20"/>
        <w:lang w:val="en-GB"/>
      </w:rPr>
      <w:t>LHE/20</w:t>
    </w:r>
    <w:r w:rsidRPr="007E0222">
      <w:rPr>
        <w:rFonts w:ascii="Arial" w:hAnsi="Arial" w:cs="Arial"/>
        <w:sz w:val="20"/>
        <w:szCs w:val="20"/>
        <w:lang w:val="en-GB"/>
      </w:rPr>
      <w:t>/</w:t>
    </w:r>
    <w:r>
      <w:rPr>
        <w:rFonts w:ascii="Arial" w:hAnsi="Arial" w:cs="Arial"/>
        <w:sz w:val="20"/>
        <w:szCs w:val="20"/>
        <w:lang w:val="en-GB"/>
      </w:rPr>
      <w:t>8</w:t>
    </w:r>
    <w:r w:rsidRPr="007E0222">
      <w:rPr>
        <w:rFonts w:ascii="Arial" w:hAnsi="Arial" w:cs="Arial"/>
        <w:sz w:val="20"/>
        <w:szCs w:val="20"/>
        <w:lang w:val="en-GB"/>
      </w:rPr>
      <w:t>.GA/</w:t>
    </w:r>
    <w:r>
      <w:rPr>
        <w:rFonts w:ascii="Arial" w:hAnsi="Arial" w:cs="Arial"/>
        <w:sz w:val="20"/>
        <w:szCs w:val="20"/>
        <w:lang w:val="en-GB"/>
      </w:rPr>
      <w:t>7</w:t>
    </w:r>
    <w:r w:rsidR="000D2E62">
      <w:rPr>
        <w:rFonts w:ascii="Arial" w:hAnsi="Arial" w:cs="Arial"/>
        <w:sz w:val="20"/>
        <w:szCs w:val="20"/>
        <w:lang w:val="en-GB"/>
      </w:rPr>
      <w:t xml:space="preserve"> Rev.</w:t>
    </w:r>
    <w:r w:rsidRPr="007E0222">
      <w:rPr>
        <w:rFonts w:ascii="Arial" w:hAnsi="Arial" w:cs="Arial"/>
        <w:sz w:val="20"/>
        <w:szCs w:val="20"/>
        <w:lang w:val="en-GB"/>
      </w:rPr>
      <w:t xml:space="preserve"> – page </w:t>
    </w:r>
    <w:r w:rsidRPr="007E0222">
      <w:rPr>
        <w:rStyle w:val="Numrodepage"/>
        <w:rFonts w:ascii="Arial" w:hAnsi="Arial" w:cs="Arial"/>
        <w:sz w:val="20"/>
        <w:szCs w:val="20"/>
        <w:lang w:val="en-GB"/>
      </w:rPr>
      <w:fldChar w:fldCharType="begin"/>
    </w:r>
    <w:r w:rsidRPr="00FA3850">
      <w:rPr>
        <w:rStyle w:val="Numrodepage"/>
        <w:rFonts w:ascii="Arial" w:hAnsi="Arial" w:cs="Arial"/>
        <w:sz w:val="20"/>
        <w:szCs w:val="20"/>
        <w:lang w:val="en-GB"/>
      </w:rPr>
      <w:instrText xml:space="preserve"> PAGE </w:instrText>
    </w:r>
    <w:r w:rsidRPr="007E0222">
      <w:rPr>
        <w:rStyle w:val="Numrodepage"/>
        <w:rFonts w:ascii="Arial" w:hAnsi="Arial" w:cs="Arial"/>
        <w:sz w:val="20"/>
        <w:szCs w:val="20"/>
        <w:lang w:val="en-GB"/>
      </w:rPr>
      <w:fldChar w:fldCharType="separate"/>
    </w:r>
    <w:r w:rsidR="006413AF">
      <w:rPr>
        <w:rStyle w:val="Numrodepage"/>
        <w:rFonts w:ascii="Arial" w:hAnsi="Arial" w:cs="Arial"/>
        <w:noProof/>
        <w:sz w:val="20"/>
        <w:szCs w:val="20"/>
        <w:lang w:val="en-GB"/>
      </w:rPr>
      <w:t>20</w:t>
    </w:r>
    <w:r w:rsidRPr="007E0222">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F761" w14:textId="0F213C51" w:rsidR="00A10416" w:rsidRPr="0063300C" w:rsidRDefault="00A10416" w:rsidP="0063300C">
    <w:pPr>
      <w:pStyle w:val="En-tte"/>
      <w:jc w:val="right"/>
      <w:rPr>
        <w:rFonts w:ascii="Arial" w:hAnsi="Arial" w:cs="Arial"/>
        <w:lang w:val="en-GB"/>
      </w:rPr>
    </w:pPr>
    <w:r>
      <w:rPr>
        <w:rFonts w:ascii="Arial" w:hAnsi="Arial" w:cs="Arial"/>
        <w:sz w:val="20"/>
        <w:szCs w:val="20"/>
        <w:lang w:val="en-GB"/>
      </w:rPr>
      <w:t>LHE/20</w:t>
    </w:r>
    <w:r w:rsidRPr="00EA145D">
      <w:rPr>
        <w:rFonts w:ascii="Arial" w:hAnsi="Arial" w:cs="Arial"/>
        <w:sz w:val="20"/>
        <w:szCs w:val="20"/>
        <w:lang w:val="en-GB"/>
      </w:rPr>
      <w:t>/</w:t>
    </w:r>
    <w:r>
      <w:rPr>
        <w:rFonts w:ascii="Arial" w:hAnsi="Arial" w:cs="Arial"/>
        <w:sz w:val="20"/>
        <w:szCs w:val="20"/>
        <w:lang w:val="en-GB"/>
      </w:rPr>
      <w:t>8</w:t>
    </w:r>
    <w:r w:rsidRPr="00EA145D">
      <w:rPr>
        <w:rFonts w:ascii="Arial" w:hAnsi="Arial" w:cs="Arial"/>
        <w:sz w:val="20"/>
        <w:szCs w:val="20"/>
        <w:lang w:val="en-GB"/>
      </w:rPr>
      <w:t>.GA/</w:t>
    </w:r>
    <w:r>
      <w:rPr>
        <w:rFonts w:ascii="Arial" w:hAnsi="Arial" w:cs="Arial"/>
        <w:sz w:val="20"/>
        <w:szCs w:val="20"/>
        <w:lang w:val="en-GB"/>
      </w:rPr>
      <w:t>7</w:t>
    </w:r>
    <w:r w:rsidR="000D2E62">
      <w:rPr>
        <w:rFonts w:ascii="Arial" w:hAnsi="Arial" w:cs="Arial"/>
        <w:sz w:val="20"/>
        <w:szCs w:val="20"/>
        <w:lang w:val="en-GB"/>
      </w:rPr>
      <w:t xml:space="preserve"> Rev.</w:t>
    </w:r>
    <w:r w:rsidRPr="00EA145D">
      <w:rPr>
        <w:rFonts w:ascii="Arial" w:hAnsi="Arial" w:cs="Arial"/>
        <w:sz w:val="20"/>
        <w:szCs w:val="20"/>
        <w:lang w:val="en-GB"/>
      </w:rPr>
      <w:t xml:space="preserve"> – page </w:t>
    </w:r>
    <w:r w:rsidRPr="00EA145D">
      <w:rPr>
        <w:rStyle w:val="Numrodepage"/>
        <w:rFonts w:ascii="Arial" w:hAnsi="Arial" w:cs="Arial"/>
        <w:sz w:val="20"/>
        <w:szCs w:val="20"/>
        <w:lang w:val="en-GB"/>
      </w:rPr>
      <w:fldChar w:fldCharType="begin"/>
    </w:r>
    <w:r w:rsidRPr="00EA145D">
      <w:rPr>
        <w:rStyle w:val="Numrodepage"/>
        <w:rFonts w:ascii="Arial" w:hAnsi="Arial" w:cs="Arial"/>
        <w:sz w:val="20"/>
        <w:szCs w:val="20"/>
        <w:lang w:val="en-GB"/>
      </w:rPr>
      <w:instrText xml:space="preserve"> PAGE </w:instrText>
    </w:r>
    <w:r w:rsidRPr="00EA145D">
      <w:rPr>
        <w:rStyle w:val="Numrodepage"/>
        <w:rFonts w:ascii="Arial" w:hAnsi="Arial" w:cs="Arial"/>
        <w:sz w:val="20"/>
        <w:szCs w:val="20"/>
        <w:lang w:val="en-GB"/>
      </w:rPr>
      <w:fldChar w:fldCharType="separate"/>
    </w:r>
    <w:r w:rsidR="006413AF">
      <w:rPr>
        <w:rStyle w:val="Numrodepage"/>
        <w:rFonts w:ascii="Arial" w:hAnsi="Arial" w:cs="Arial"/>
        <w:noProof/>
        <w:sz w:val="20"/>
        <w:szCs w:val="20"/>
        <w:lang w:val="en-GB"/>
      </w:rPr>
      <w:t>21</w:t>
    </w:r>
    <w:r w:rsidRPr="00EA145D">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CEEB" w14:textId="77777777" w:rsidR="00A10416" w:rsidRPr="008724E5" w:rsidRDefault="00A10416">
    <w:pPr>
      <w:pStyle w:val="En-tte"/>
    </w:pPr>
    <w:r>
      <w:rPr>
        <w:noProof/>
      </w:rPr>
      <w:drawing>
        <wp:anchor distT="0" distB="0" distL="114300" distR="114300" simplePos="0" relativeHeight="251657728" behindDoc="0" locked="0" layoutInCell="1" allowOverlap="1" wp14:anchorId="6226659D" wp14:editId="7615317E">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3088E" w14:textId="50FE48D0" w:rsidR="00A10416" w:rsidRPr="00CB170C" w:rsidRDefault="00A10416" w:rsidP="00655736">
    <w:pPr>
      <w:pStyle w:val="En-tte"/>
      <w:spacing w:after="520"/>
      <w:jc w:val="right"/>
      <w:rPr>
        <w:rFonts w:ascii="Arial" w:hAnsi="Arial" w:cs="Arial"/>
        <w:b/>
        <w:sz w:val="44"/>
        <w:szCs w:val="44"/>
        <w:lang w:val="pt-PT"/>
      </w:rPr>
    </w:pPr>
    <w:r w:rsidRPr="00CB170C">
      <w:rPr>
        <w:rFonts w:ascii="Arial" w:hAnsi="Arial" w:cs="Arial"/>
        <w:b/>
        <w:sz w:val="44"/>
        <w:szCs w:val="44"/>
        <w:lang w:val="pt-PT"/>
      </w:rPr>
      <w:t>8 GA</w:t>
    </w:r>
  </w:p>
  <w:p w14:paraId="1DCBFABE" w14:textId="3F17FF77" w:rsidR="00A10416" w:rsidRPr="00CB170C" w:rsidRDefault="00A10416" w:rsidP="00655736">
    <w:pPr>
      <w:jc w:val="right"/>
      <w:rPr>
        <w:rFonts w:ascii="Arial" w:hAnsi="Arial" w:cs="Arial"/>
        <w:b/>
        <w:sz w:val="22"/>
        <w:szCs w:val="22"/>
        <w:lang w:val="pt-PT"/>
      </w:rPr>
    </w:pPr>
    <w:r w:rsidRPr="00CB170C">
      <w:rPr>
        <w:rFonts w:ascii="Arial" w:hAnsi="Arial" w:cs="Arial"/>
        <w:b/>
        <w:sz w:val="22"/>
        <w:szCs w:val="22"/>
        <w:lang w:val="pt-PT"/>
      </w:rPr>
      <w:t>LHE/20/8.GA/</w:t>
    </w:r>
    <w:r>
      <w:rPr>
        <w:rFonts w:ascii="Arial" w:hAnsi="Arial" w:cs="Arial"/>
        <w:b/>
        <w:sz w:val="22"/>
        <w:szCs w:val="22"/>
        <w:lang w:val="pt-PT"/>
      </w:rPr>
      <w:t>7</w:t>
    </w:r>
    <w:r w:rsidR="000D2E62">
      <w:rPr>
        <w:rFonts w:ascii="Arial" w:hAnsi="Arial" w:cs="Arial"/>
        <w:b/>
        <w:sz w:val="22"/>
        <w:szCs w:val="22"/>
        <w:lang w:val="pt-PT"/>
      </w:rPr>
      <w:t xml:space="preserve"> </w:t>
    </w:r>
    <w:r w:rsidR="006413AF">
      <w:rPr>
        <w:rFonts w:ascii="Arial" w:hAnsi="Arial" w:cs="Arial"/>
        <w:b/>
        <w:sz w:val="22"/>
        <w:szCs w:val="22"/>
        <w:lang w:val="pt-PT"/>
      </w:rPr>
      <w:t>Rev</w:t>
    </w:r>
    <w:r w:rsidR="000D2E62">
      <w:rPr>
        <w:rFonts w:ascii="Arial" w:hAnsi="Arial" w:cs="Arial"/>
        <w:b/>
        <w:sz w:val="22"/>
        <w:szCs w:val="22"/>
        <w:lang w:val="pt-PT"/>
      </w:rPr>
      <w:t>.</w:t>
    </w:r>
  </w:p>
  <w:p w14:paraId="355F059E" w14:textId="2B7AF0A5" w:rsidR="00A10416" w:rsidRPr="00CB170C" w:rsidRDefault="00A10416" w:rsidP="00257003">
    <w:pPr>
      <w:jc w:val="right"/>
      <w:rPr>
        <w:rFonts w:ascii="Arial" w:hAnsi="Arial" w:cs="Arial"/>
        <w:b/>
        <w:sz w:val="22"/>
        <w:szCs w:val="22"/>
        <w:lang w:val="pt-PT"/>
      </w:rPr>
    </w:pPr>
    <w:r w:rsidRPr="00CB170C">
      <w:rPr>
        <w:rFonts w:ascii="Arial" w:hAnsi="Arial" w:cs="Arial"/>
        <w:b/>
        <w:sz w:val="22"/>
        <w:szCs w:val="22"/>
        <w:lang w:val="pt-PT"/>
      </w:rPr>
      <w:t>Paris</w:t>
    </w:r>
    <w:r w:rsidRPr="009978D2">
      <w:rPr>
        <w:rFonts w:ascii="Arial" w:hAnsi="Arial" w:cs="Arial"/>
        <w:b/>
        <w:sz w:val="22"/>
        <w:szCs w:val="22"/>
        <w:lang w:val="pt-PT"/>
      </w:rPr>
      <w:t xml:space="preserve">, </w:t>
    </w:r>
    <w:r w:rsidR="007078E5">
      <w:rPr>
        <w:rFonts w:ascii="Arial" w:hAnsi="Arial" w:cs="Arial"/>
        <w:b/>
        <w:sz w:val="22"/>
        <w:szCs w:val="22"/>
        <w:lang w:val="pt-PT"/>
      </w:rPr>
      <w:t>2</w:t>
    </w:r>
    <w:r w:rsidR="002F61AE">
      <w:rPr>
        <w:rFonts w:ascii="Arial" w:hAnsi="Arial" w:cs="Arial"/>
        <w:b/>
        <w:sz w:val="22"/>
        <w:szCs w:val="22"/>
        <w:lang w:val="pt-PT"/>
      </w:rPr>
      <w:t>5</w:t>
    </w:r>
    <w:r w:rsidR="000D2E62">
      <w:rPr>
        <w:rFonts w:ascii="Arial" w:hAnsi="Arial" w:cs="Arial"/>
        <w:b/>
        <w:sz w:val="22"/>
        <w:szCs w:val="22"/>
        <w:lang w:val="pt-PT"/>
      </w:rPr>
      <w:t xml:space="preserve"> </w:t>
    </w:r>
    <w:proofErr w:type="spellStart"/>
    <w:r w:rsidRPr="00B2493E">
      <w:rPr>
        <w:rFonts w:ascii="Arial" w:hAnsi="Arial" w:cs="Arial"/>
        <w:b/>
        <w:sz w:val="22"/>
        <w:szCs w:val="22"/>
        <w:lang w:val="pt-PT"/>
      </w:rPr>
      <w:t>August</w:t>
    </w:r>
    <w:proofErr w:type="spellEnd"/>
    <w:r w:rsidRPr="00CB170C">
      <w:rPr>
        <w:rFonts w:ascii="Arial" w:hAnsi="Arial" w:cs="Arial"/>
        <w:b/>
        <w:sz w:val="22"/>
        <w:szCs w:val="22"/>
        <w:lang w:val="pt-PT"/>
      </w:rPr>
      <w:t xml:space="preserve"> 2020</w:t>
    </w:r>
  </w:p>
  <w:p w14:paraId="196759E3" w14:textId="77777777" w:rsidR="00A10416" w:rsidRPr="008A0C2D" w:rsidRDefault="00A10416" w:rsidP="00703FBF">
    <w:pPr>
      <w:jc w:val="right"/>
      <w:rPr>
        <w:rFonts w:ascii="Arial" w:hAnsi="Arial" w:cs="Arial"/>
        <w:b/>
        <w:sz w:val="22"/>
        <w:szCs w:val="22"/>
        <w:lang w:val="en-US"/>
      </w:rPr>
    </w:pPr>
    <w:r w:rsidRPr="008A0C2D">
      <w:rPr>
        <w:rFonts w:ascii="Arial" w:hAnsi="Arial" w:cs="Arial"/>
        <w:b/>
        <w:sz w:val="22"/>
        <w:szCs w:val="22"/>
        <w:lang w:val="en-US"/>
      </w:rPr>
      <w:t>Original: English</w:t>
    </w:r>
  </w:p>
  <w:p w14:paraId="2CF02AFD" w14:textId="77777777" w:rsidR="00A10416" w:rsidRPr="008A0C2D" w:rsidRDefault="00A10416"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E1D"/>
    <w:multiLevelType w:val="hybridMultilevel"/>
    <w:tmpl w:val="443C3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B637A"/>
    <w:multiLevelType w:val="hybridMultilevel"/>
    <w:tmpl w:val="3BC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8005F2E"/>
    <w:multiLevelType w:val="hybridMultilevel"/>
    <w:tmpl w:val="A25E7CB0"/>
    <w:lvl w:ilvl="0" w:tplc="02F8421A">
      <w:start w:val="1"/>
      <w:numFmt w:val="bullet"/>
      <w:lvlText w:val=""/>
      <w:lvlJc w:val="left"/>
      <w:pPr>
        <w:ind w:left="1287" w:hanging="360"/>
      </w:pPr>
      <w:rPr>
        <w:rFonts w:ascii="Symbol" w:hAnsi="Symbol" w:hint="default"/>
        <w:color w:val="auto"/>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 w15:restartNumberingAfterBreak="0">
    <w:nsid w:val="1E414D81"/>
    <w:multiLevelType w:val="hybridMultilevel"/>
    <w:tmpl w:val="2FD4300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8301C3"/>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7" w15:restartNumberingAfterBreak="0">
    <w:nsid w:val="24A625F2"/>
    <w:multiLevelType w:val="hybridMultilevel"/>
    <w:tmpl w:val="27A8AF6A"/>
    <w:lvl w:ilvl="0" w:tplc="0B4CCFF6">
      <w:start w:val="1"/>
      <w:numFmt w:val="lowerLetter"/>
      <w:pStyle w:val="5GAparabodytext"/>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8" w15:restartNumberingAfterBreak="0">
    <w:nsid w:val="29281AC5"/>
    <w:multiLevelType w:val="hybridMultilevel"/>
    <w:tmpl w:val="8182BC24"/>
    <w:lvl w:ilvl="0" w:tplc="B128C476">
      <w:start w:val="3"/>
      <w:numFmt w:val="bullet"/>
      <w:lvlText w:val="-"/>
      <w:lvlJc w:val="left"/>
      <w:pPr>
        <w:ind w:left="2355" w:hanging="360"/>
      </w:pPr>
      <w:rPr>
        <w:rFonts w:ascii="Arial" w:eastAsia="Times New Roman" w:hAnsi="Arial" w:cs="Arial" w:hint="default"/>
      </w:rPr>
    </w:lvl>
    <w:lvl w:ilvl="1" w:tplc="040C0003">
      <w:start w:val="1"/>
      <w:numFmt w:val="bullet"/>
      <w:lvlText w:val="o"/>
      <w:lvlJc w:val="left"/>
      <w:pPr>
        <w:ind w:left="3075" w:hanging="360"/>
      </w:pPr>
      <w:rPr>
        <w:rFonts w:ascii="Courier New" w:hAnsi="Courier New" w:cs="Courier New" w:hint="default"/>
      </w:rPr>
    </w:lvl>
    <w:lvl w:ilvl="2" w:tplc="040C0005">
      <w:start w:val="1"/>
      <w:numFmt w:val="bullet"/>
      <w:lvlText w:val=""/>
      <w:lvlJc w:val="left"/>
      <w:pPr>
        <w:ind w:left="3795" w:hanging="360"/>
      </w:pPr>
      <w:rPr>
        <w:rFonts w:ascii="Wingdings" w:hAnsi="Wingdings" w:hint="default"/>
      </w:rPr>
    </w:lvl>
    <w:lvl w:ilvl="3" w:tplc="040C0001">
      <w:start w:val="1"/>
      <w:numFmt w:val="bullet"/>
      <w:lvlText w:val=""/>
      <w:lvlJc w:val="left"/>
      <w:pPr>
        <w:ind w:left="4515" w:hanging="360"/>
      </w:pPr>
      <w:rPr>
        <w:rFonts w:ascii="Symbol" w:hAnsi="Symbol" w:hint="default"/>
      </w:rPr>
    </w:lvl>
    <w:lvl w:ilvl="4" w:tplc="040C0003">
      <w:start w:val="1"/>
      <w:numFmt w:val="bullet"/>
      <w:lvlText w:val="o"/>
      <w:lvlJc w:val="left"/>
      <w:pPr>
        <w:ind w:left="5235" w:hanging="360"/>
      </w:pPr>
      <w:rPr>
        <w:rFonts w:ascii="Courier New" w:hAnsi="Courier New" w:cs="Courier New" w:hint="default"/>
      </w:rPr>
    </w:lvl>
    <w:lvl w:ilvl="5" w:tplc="040C0005">
      <w:start w:val="1"/>
      <w:numFmt w:val="bullet"/>
      <w:lvlText w:val=""/>
      <w:lvlJc w:val="left"/>
      <w:pPr>
        <w:ind w:left="5955" w:hanging="360"/>
      </w:pPr>
      <w:rPr>
        <w:rFonts w:ascii="Wingdings" w:hAnsi="Wingdings" w:hint="default"/>
      </w:rPr>
    </w:lvl>
    <w:lvl w:ilvl="6" w:tplc="040C0001">
      <w:start w:val="1"/>
      <w:numFmt w:val="bullet"/>
      <w:lvlText w:val=""/>
      <w:lvlJc w:val="left"/>
      <w:pPr>
        <w:ind w:left="6675" w:hanging="360"/>
      </w:pPr>
      <w:rPr>
        <w:rFonts w:ascii="Symbol" w:hAnsi="Symbol" w:hint="default"/>
      </w:rPr>
    </w:lvl>
    <w:lvl w:ilvl="7" w:tplc="040C0003">
      <w:start w:val="1"/>
      <w:numFmt w:val="bullet"/>
      <w:lvlText w:val="o"/>
      <w:lvlJc w:val="left"/>
      <w:pPr>
        <w:ind w:left="7395" w:hanging="360"/>
      </w:pPr>
      <w:rPr>
        <w:rFonts w:ascii="Courier New" w:hAnsi="Courier New" w:cs="Courier New" w:hint="default"/>
      </w:rPr>
    </w:lvl>
    <w:lvl w:ilvl="8" w:tplc="040C0005">
      <w:start w:val="1"/>
      <w:numFmt w:val="bullet"/>
      <w:lvlText w:val=""/>
      <w:lvlJc w:val="left"/>
      <w:pPr>
        <w:ind w:left="8115" w:hanging="360"/>
      </w:pPr>
      <w:rPr>
        <w:rFonts w:ascii="Wingdings" w:hAnsi="Wingdings" w:hint="default"/>
      </w:rPr>
    </w:lvl>
  </w:abstractNum>
  <w:abstractNum w:abstractNumId="9" w15:restartNumberingAfterBreak="0">
    <w:nsid w:val="35F07BFE"/>
    <w:multiLevelType w:val="hybridMultilevel"/>
    <w:tmpl w:val="0644B6B0"/>
    <w:lvl w:ilvl="0" w:tplc="80A0EA2C">
      <w:start w:val="1"/>
      <w:numFmt w:val="decimal"/>
      <w:lvlText w:val="%1."/>
      <w:lvlJc w:val="left"/>
      <w:pPr>
        <w:ind w:left="5606"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220EE6"/>
    <w:multiLevelType w:val="hybridMultilevel"/>
    <w:tmpl w:val="FA9E3966"/>
    <w:lvl w:ilvl="0" w:tplc="84181FB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BC67AB"/>
    <w:multiLevelType w:val="multilevel"/>
    <w:tmpl w:val="B62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15509"/>
    <w:multiLevelType w:val="hybridMultilevel"/>
    <w:tmpl w:val="2B62A086"/>
    <w:lvl w:ilvl="0" w:tplc="E300214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7"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563B31"/>
    <w:multiLevelType w:val="hybridMultilevel"/>
    <w:tmpl w:val="0670617A"/>
    <w:lvl w:ilvl="0" w:tplc="D36C7616">
      <w:start w:val="1"/>
      <w:numFmt w:val="decimal"/>
      <w:pStyle w:val="GAPara"/>
      <w:lvlText w:val="%1."/>
      <w:lvlJc w:val="left"/>
      <w:pPr>
        <w:ind w:left="72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A04267"/>
    <w:multiLevelType w:val="hybridMultilevel"/>
    <w:tmpl w:val="79508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A57578"/>
    <w:multiLevelType w:val="hybridMultilevel"/>
    <w:tmpl w:val="71647DD4"/>
    <w:lvl w:ilvl="0" w:tplc="C38083E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566D9C"/>
    <w:multiLevelType w:val="hybridMultilevel"/>
    <w:tmpl w:val="B3BCA2B2"/>
    <w:lvl w:ilvl="0" w:tplc="AE2A221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
  </w:num>
  <w:num w:numId="2">
    <w:abstractNumId w:val="9"/>
  </w:num>
  <w:num w:numId="3">
    <w:abstractNumId w:val="10"/>
  </w:num>
  <w:num w:numId="4">
    <w:abstractNumId w:val="11"/>
  </w:num>
  <w:num w:numId="5">
    <w:abstractNumId w:val="9"/>
  </w:num>
  <w:num w:numId="6">
    <w:abstractNumId w:val="15"/>
  </w:num>
  <w:num w:numId="7">
    <w:abstractNumId w:val="20"/>
  </w:num>
  <w:num w:numId="8">
    <w:abstractNumId w:val="7"/>
  </w:num>
  <w:num w:numId="9">
    <w:abstractNumId w:val="2"/>
  </w:num>
  <w:num w:numId="10">
    <w:abstractNumId w:val="12"/>
  </w:num>
  <w:num w:numId="11">
    <w:abstractNumId w:val="16"/>
  </w:num>
  <w:num w:numId="12">
    <w:abstractNumId w:val="17"/>
  </w:num>
  <w:num w:numId="13">
    <w:abstractNumId w:val="22"/>
  </w:num>
  <w:num w:numId="14">
    <w:abstractNumId w:val="4"/>
  </w:num>
  <w:num w:numId="15">
    <w:abstractNumId w:val="8"/>
  </w:num>
  <w:num w:numId="16">
    <w:abstractNumId w:val="5"/>
  </w:num>
  <w:num w:numId="17">
    <w:abstractNumId w:val="21"/>
  </w:num>
  <w:num w:numId="18">
    <w:abstractNumId w:val="9"/>
  </w:num>
  <w:num w:numId="19">
    <w:abstractNumId w:val="14"/>
  </w:num>
  <w:num w:numId="20">
    <w:abstractNumId w:val="1"/>
  </w:num>
  <w:num w:numId="21">
    <w:abstractNumId w:val="0"/>
  </w:num>
  <w:num w:numId="22">
    <w:abstractNumId w:val="18"/>
  </w:num>
  <w:num w:numId="23">
    <w:abstractNumId w:val="19"/>
  </w:num>
  <w:num w:numId="24">
    <w:abstractNumId w:val="13"/>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138FA"/>
    <w:rsid w:val="00015044"/>
    <w:rsid w:val="000278F0"/>
    <w:rsid w:val="00033442"/>
    <w:rsid w:val="0004143A"/>
    <w:rsid w:val="00041A66"/>
    <w:rsid w:val="00041A90"/>
    <w:rsid w:val="00045121"/>
    <w:rsid w:val="000456A8"/>
    <w:rsid w:val="0005176E"/>
    <w:rsid w:val="000545DA"/>
    <w:rsid w:val="00054FF2"/>
    <w:rsid w:val="0006331E"/>
    <w:rsid w:val="00065199"/>
    <w:rsid w:val="0007040C"/>
    <w:rsid w:val="000738AC"/>
    <w:rsid w:val="000765F7"/>
    <w:rsid w:val="00077AB7"/>
    <w:rsid w:val="00080F75"/>
    <w:rsid w:val="00081CD8"/>
    <w:rsid w:val="00087DF4"/>
    <w:rsid w:val="000909A9"/>
    <w:rsid w:val="00092FA8"/>
    <w:rsid w:val="00093685"/>
    <w:rsid w:val="0009445E"/>
    <w:rsid w:val="000A50A7"/>
    <w:rsid w:val="000A7F0E"/>
    <w:rsid w:val="000B109B"/>
    <w:rsid w:val="000B3BCF"/>
    <w:rsid w:val="000B49CC"/>
    <w:rsid w:val="000B4B7D"/>
    <w:rsid w:val="000B79F5"/>
    <w:rsid w:val="000C0D61"/>
    <w:rsid w:val="000C1EDF"/>
    <w:rsid w:val="000C421F"/>
    <w:rsid w:val="000C44D4"/>
    <w:rsid w:val="000C610C"/>
    <w:rsid w:val="000C6878"/>
    <w:rsid w:val="000C7242"/>
    <w:rsid w:val="000D0395"/>
    <w:rsid w:val="000D0C29"/>
    <w:rsid w:val="000D1034"/>
    <w:rsid w:val="000D16BE"/>
    <w:rsid w:val="000D2E62"/>
    <w:rsid w:val="000F096A"/>
    <w:rsid w:val="000F365A"/>
    <w:rsid w:val="000F3A3F"/>
    <w:rsid w:val="000F6659"/>
    <w:rsid w:val="0010136D"/>
    <w:rsid w:val="001022B2"/>
    <w:rsid w:val="00102557"/>
    <w:rsid w:val="0010309F"/>
    <w:rsid w:val="001077D0"/>
    <w:rsid w:val="0011096D"/>
    <w:rsid w:val="00111696"/>
    <w:rsid w:val="0012382D"/>
    <w:rsid w:val="00126E0C"/>
    <w:rsid w:val="00127A03"/>
    <w:rsid w:val="001302EE"/>
    <w:rsid w:val="00130731"/>
    <w:rsid w:val="001340AE"/>
    <w:rsid w:val="00143269"/>
    <w:rsid w:val="00145A22"/>
    <w:rsid w:val="00150E24"/>
    <w:rsid w:val="00156D4C"/>
    <w:rsid w:val="00161ACE"/>
    <w:rsid w:val="00164D56"/>
    <w:rsid w:val="00165DF8"/>
    <w:rsid w:val="00167B10"/>
    <w:rsid w:val="00173544"/>
    <w:rsid w:val="0017402F"/>
    <w:rsid w:val="001740D7"/>
    <w:rsid w:val="00176720"/>
    <w:rsid w:val="0018192F"/>
    <w:rsid w:val="00186FDB"/>
    <w:rsid w:val="001919B0"/>
    <w:rsid w:val="00196C1B"/>
    <w:rsid w:val="001A0BE0"/>
    <w:rsid w:val="001A5DFD"/>
    <w:rsid w:val="001A6380"/>
    <w:rsid w:val="001B0F73"/>
    <w:rsid w:val="001B2445"/>
    <w:rsid w:val="001C41D9"/>
    <w:rsid w:val="001C5DB8"/>
    <w:rsid w:val="001D08DC"/>
    <w:rsid w:val="001D388F"/>
    <w:rsid w:val="001D5C04"/>
    <w:rsid w:val="001F4627"/>
    <w:rsid w:val="001F59B5"/>
    <w:rsid w:val="001F7F7C"/>
    <w:rsid w:val="00201106"/>
    <w:rsid w:val="002037F7"/>
    <w:rsid w:val="002223E6"/>
    <w:rsid w:val="00222A2D"/>
    <w:rsid w:val="00223029"/>
    <w:rsid w:val="00233695"/>
    <w:rsid w:val="0023419D"/>
    <w:rsid w:val="00234745"/>
    <w:rsid w:val="00234E68"/>
    <w:rsid w:val="002407AF"/>
    <w:rsid w:val="00243359"/>
    <w:rsid w:val="00243B11"/>
    <w:rsid w:val="002509D4"/>
    <w:rsid w:val="00252447"/>
    <w:rsid w:val="00257003"/>
    <w:rsid w:val="002573A6"/>
    <w:rsid w:val="002616B6"/>
    <w:rsid w:val="002625CB"/>
    <w:rsid w:val="002650C2"/>
    <w:rsid w:val="002740CE"/>
    <w:rsid w:val="00280223"/>
    <w:rsid w:val="00281092"/>
    <w:rsid w:val="00283A91"/>
    <w:rsid w:val="002870FA"/>
    <w:rsid w:val="0028775E"/>
    <w:rsid w:val="00295FA1"/>
    <w:rsid w:val="00296A67"/>
    <w:rsid w:val="002A5AF1"/>
    <w:rsid w:val="002A6A40"/>
    <w:rsid w:val="002A7332"/>
    <w:rsid w:val="002B25F6"/>
    <w:rsid w:val="002C09E3"/>
    <w:rsid w:val="002C2233"/>
    <w:rsid w:val="002D2557"/>
    <w:rsid w:val="002E0D10"/>
    <w:rsid w:val="002E13B0"/>
    <w:rsid w:val="002E16E0"/>
    <w:rsid w:val="002E26EC"/>
    <w:rsid w:val="002E45EE"/>
    <w:rsid w:val="002E7D69"/>
    <w:rsid w:val="002F0635"/>
    <w:rsid w:val="002F312A"/>
    <w:rsid w:val="002F343D"/>
    <w:rsid w:val="002F5A76"/>
    <w:rsid w:val="002F61AE"/>
    <w:rsid w:val="002F755B"/>
    <w:rsid w:val="003006AB"/>
    <w:rsid w:val="00303E0A"/>
    <w:rsid w:val="00305209"/>
    <w:rsid w:val="00311EF6"/>
    <w:rsid w:val="00314146"/>
    <w:rsid w:val="0032347D"/>
    <w:rsid w:val="00324B08"/>
    <w:rsid w:val="00326484"/>
    <w:rsid w:val="00326A45"/>
    <w:rsid w:val="00327DD3"/>
    <w:rsid w:val="00332449"/>
    <w:rsid w:val="00335F41"/>
    <w:rsid w:val="00336FB5"/>
    <w:rsid w:val="00345CB4"/>
    <w:rsid w:val="00345DD2"/>
    <w:rsid w:val="00346D99"/>
    <w:rsid w:val="00353649"/>
    <w:rsid w:val="00353754"/>
    <w:rsid w:val="003541E8"/>
    <w:rsid w:val="003549B8"/>
    <w:rsid w:val="0036799A"/>
    <w:rsid w:val="00367E21"/>
    <w:rsid w:val="00371921"/>
    <w:rsid w:val="0038185A"/>
    <w:rsid w:val="00382DA9"/>
    <w:rsid w:val="00382F25"/>
    <w:rsid w:val="00393406"/>
    <w:rsid w:val="003A4E2B"/>
    <w:rsid w:val="003A5485"/>
    <w:rsid w:val="003B0AF5"/>
    <w:rsid w:val="003B14D2"/>
    <w:rsid w:val="003B42C4"/>
    <w:rsid w:val="003B5A49"/>
    <w:rsid w:val="003C2814"/>
    <w:rsid w:val="003C46AA"/>
    <w:rsid w:val="003C4985"/>
    <w:rsid w:val="003C5333"/>
    <w:rsid w:val="003C5991"/>
    <w:rsid w:val="003C5FE9"/>
    <w:rsid w:val="003D069C"/>
    <w:rsid w:val="003D2D65"/>
    <w:rsid w:val="003D3368"/>
    <w:rsid w:val="003D7646"/>
    <w:rsid w:val="003E396B"/>
    <w:rsid w:val="003E4E50"/>
    <w:rsid w:val="003E58A4"/>
    <w:rsid w:val="003F113A"/>
    <w:rsid w:val="003F340E"/>
    <w:rsid w:val="003F4A85"/>
    <w:rsid w:val="003F7C52"/>
    <w:rsid w:val="00400757"/>
    <w:rsid w:val="0040477D"/>
    <w:rsid w:val="00407C4F"/>
    <w:rsid w:val="0041073A"/>
    <w:rsid w:val="004133BA"/>
    <w:rsid w:val="00414643"/>
    <w:rsid w:val="004218B4"/>
    <w:rsid w:val="004222E6"/>
    <w:rsid w:val="00425427"/>
    <w:rsid w:val="004354D9"/>
    <w:rsid w:val="0044038D"/>
    <w:rsid w:val="004404E7"/>
    <w:rsid w:val="00441E77"/>
    <w:rsid w:val="004421E5"/>
    <w:rsid w:val="00452284"/>
    <w:rsid w:val="004562A2"/>
    <w:rsid w:val="004630A3"/>
    <w:rsid w:val="00465A62"/>
    <w:rsid w:val="00474429"/>
    <w:rsid w:val="00476979"/>
    <w:rsid w:val="004779E0"/>
    <w:rsid w:val="00477D31"/>
    <w:rsid w:val="00482041"/>
    <w:rsid w:val="004856CA"/>
    <w:rsid w:val="00485CB4"/>
    <w:rsid w:val="00485E72"/>
    <w:rsid w:val="00486A7A"/>
    <w:rsid w:val="00495844"/>
    <w:rsid w:val="0049705E"/>
    <w:rsid w:val="004A3206"/>
    <w:rsid w:val="004A34A0"/>
    <w:rsid w:val="004A5437"/>
    <w:rsid w:val="004A5D10"/>
    <w:rsid w:val="004A5D89"/>
    <w:rsid w:val="004B4B63"/>
    <w:rsid w:val="004B6BBB"/>
    <w:rsid w:val="004C25C3"/>
    <w:rsid w:val="004D113B"/>
    <w:rsid w:val="004D6F7D"/>
    <w:rsid w:val="004E1047"/>
    <w:rsid w:val="004F09A4"/>
    <w:rsid w:val="004F0BFD"/>
    <w:rsid w:val="004F3AC9"/>
    <w:rsid w:val="004F403F"/>
    <w:rsid w:val="004F53E9"/>
    <w:rsid w:val="00500789"/>
    <w:rsid w:val="00500CFC"/>
    <w:rsid w:val="00502136"/>
    <w:rsid w:val="00502A3B"/>
    <w:rsid w:val="005030C8"/>
    <w:rsid w:val="00506398"/>
    <w:rsid w:val="00512764"/>
    <w:rsid w:val="00526B7B"/>
    <w:rsid w:val="00527E1C"/>
    <w:rsid w:val="005305BD"/>
    <w:rsid w:val="005308CE"/>
    <w:rsid w:val="00537499"/>
    <w:rsid w:val="00540FE0"/>
    <w:rsid w:val="0054167F"/>
    <w:rsid w:val="00541AC8"/>
    <w:rsid w:val="00542F06"/>
    <w:rsid w:val="00543D43"/>
    <w:rsid w:val="00544211"/>
    <w:rsid w:val="00550290"/>
    <w:rsid w:val="00550BBD"/>
    <w:rsid w:val="00550DD1"/>
    <w:rsid w:val="00550F3E"/>
    <w:rsid w:val="0055563E"/>
    <w:rsid w:val="0055566B"/>
    <w:rsid w:val="00557375"/>
    <w:rsid w:val="00557AC4"/>
    <w:rsid w:val="00566E21"/>
    <w:rsid w:val="00567416"/>
    <w:rsid w:val="005710F5"/>
    <w:rsid w:val="00572A69"/>
    <w:rsid w:val="0057439C"/>
    <w:rsid w:val="005749F3"/>
    <w:rsid w:val="00576E1D"/>
    <w:rsid w:val="0057755F"/>
    <w:rsid w:val="0058132B"/>
    <w:rsid w:val="005820DD"/>
    <w:rsid w:val="00582D3E"/>
    <w:rsid w:val="00584A8F"/>
    <w:rsid w:val="00591458"/>
    <w:rsid w:val="00591722"/>
    <w:rsid w:val="00595D63"/>
    <w:rsid w:val="005A442B"/>
    <w:rsid w:val="005A7D5F"/>
    <w:rsid w:val="005B0127"/>
    <w:rsid w:val="005B0C5B"/>
    <w:rsid w:val="005B28C7"/>
    <w:rsid w:val="005B3E56"/>
    <w:rsid w:val="005B6123"/>
    <w:rsid w:val="005B7A35"/>
    <w:rsid w:val="005C4B73"/>
    <w:rsid w:val="005D09CC"/>
    <w:rsid w:val="005D5581"/>
    <w:rsid w:val="005D60CA"/>
    <w:rsid w:val="005D6DF1"/>
    <w:rsid w:val="005D7FC5"/>
    <w:rsid w:val="005E1302"/>
    <w:rsid w:val="005E1D2B"/>
    <w:rsid w:val="005E1D6A"/>
    <w:rsid w:val="005E330C"/>
    <w:rsid w:val="005E590A"/>
    <w:rsid w:val="005E6D01"/>
    <w:rsid w:val="005F0F59"/>
    <w:rsid w:val="005F1753"/>
    <w:rsid w:val="005F1B14"/>
    <w:rsid w:val="005F47C6"/>
    <w:rsid w:val="005F60F7"/>
    <w:rsid w:val="005F7152"/>
    <w:rsid w:val="00600219"/>
    <w:rsid w:val="00600D93"/>
    <w:rsid w:val="00601B38"/>
    <w:rsid w:val="0060226C"/>
    <w:rsid w:val="00605C62"/>
    <w:rsid w:val="00610D9B"/>
    <w:rsid w:val="006134F5"/>
    <w:rsid w:val="006162E9"/>
    <w:rsid w:val="00616F67"/>
    <w:rsid w:val="00617C63"/>
    <w:rsid w:val="00623129"/>
    <w:rsid w:val="00623F63"/>
    <w:rsid w:val="006267E2"/>
    <w:rsid w:val="00630F0E"/>
    <w:rsid w:val="0063300C"/>
    <w:rsid w:val="006360C8"/>
    <w:rsid w:val="006407AB"/>
    <w:rsid w:val="006413AF"/>
    <w:rsid w:val="00646422"/>
    <w:rsid w:val="00654641"/>
    <w:rsid w:val="00655736"/>
    <w:rsid w:val="0066359F"/>
    <w:rsid w:val="00663B8D"/>
    <w:rsid w:val="00664D87"/>
    <w:rsid w:val="006679E9"/>
    <w:rsid w:val="00677F6C"/>
    <w:rsid w:val="00680B7E"/>
    <w:rsid w:val="00684D3B"/>
    <w:rsid w:val="00684EAE"/>
    <w:rsid w:val="00693DAA"/>
    <w:rsid w:val="00696C8D"/>
    <w:rsid w:val="006A24F2"/>
    <w:rsid w:val="006A2AC2"/>
    <w:rsid w:val="006A3617"/>
    <w:rsid w:val="006A4147"/>
    <w:rsid w:val="006C0EF0"/>
    <w:rsid w:val="006C39AE"/>
    <w:rsid w:val="006C5B88"/>
    <w:rsid w:val="006D67EA"/>
    <w:rsid w:val="006D690C"/>
    <w:rsid w:val="006E15CE"/>
    <w:rsid w:val="006E36C8"/>
    <w:rsid w:val="006E44A1"/>
    <w:rsid w:val="006E46E4"/>
    <w:rsid w:val="006E6298"/>
    <w:rsid w:val="006F12CD"/>
    <w:rsid w:val="006F7946"/>
    <w:rsid w:val="006F7F34"/>
    <w:rsid w:val="007004A1"/>
    <w:rsid w:val="007009B7"/>
    <w:rsid w:val="007038EB"/>
    <w:rsid w:val="00703FBF"/>
    <w:rsid w:val="007078E5"/>
    <w:rsid w:val="0071232D"/>
    <w:rsid w:val="00712566"/>
    <w:rsid w:val="00712AC3"/>
    <w:rsid w:val="0071659D"/>
    <w:rsid w:val="00717142"/>
    <w:rsid w:val="0071798C"/>
    <w:rsid w:val="00717DA5"/>
    <w:rsid w:val="0072369D"/>
    <w:rsid w:val="00723C97"/>
    <w:rsid w:val="007263B0"/>
    <w:rsid w:val="00734100"/>
    <w:rsid w:val="007342CF"/>
    <w:rsid w:val="00744484"/>
    <w:rsid w:val="00745E31"/>
    <w:rsid w:val="00757D56"/>
    <w:rsid w:val="00763A0D"/>
    <w:rsid w:val="00764F9C"/>
    <w:rsid w:val="0076647E"/>
    <w:rsid w:val="00766AD6"/>
    <w:rsid w:val="007675C0"/>
    <w:rsid w:val="00773188"/>
    <w:rsid w:val="00776DD7"/>
    <w:rsid w:val="007772B8"/>
    <w:rsid w:val="00783782"/>
    <w:rsid w:val="00784B8C"/>
    <w:rsid w:val="00795C39"/>
    <w:rsid w:val="007A009B"/>
    <w:rsid w:val="007A1295"/>
    <w:rsid w:val="007A6DDD"/>
    <w:rsid w:val="007B307B"/>
    <w:rsid w:val="007B3E7B"/>
    <w:rsid w:val="007B5C48"/>
    <w:rsid w:val="007C2112"/>
    <w:rsid w:val="007D2942"/>
    <w:rsid w:val="007D4880"/>
    <w:rsid w:val="007E0222"/>
    <w:rsid w:val="007E1A05"/>
    <w:rsid w:val="007E29F0"/>
    <w:rsid w:val="007E4B9F"/>
    <w:rsid w:val="007E54BF"/>
    <w:rsid w:val="007E59FD"/>
    <w:rsid w:val="007F3B92"/>
    <w:rsid w:val="007F5A6C"/>
    <w:rsid w:val="00800AC7"/>
    <w:rsid w:val="0080143E"/>
    <w:rsid w:val="008070C9"/>
    <w:rsid w:val="00810A3D"/>
    <w:rsid w:val="0081123C"/>
    <w:rsid w:val="008172E0"/>
    <w:rsid w:val="00820CF9"/>
    <w:rsid w:val="00821EE1"/>
    <w:rsid w:val="008222F8"/>
    <w:rsid w:val="00823A11"/>
    <w:rsid w:val="00825A9A"/>
    <w:rsid w:val="00827421"/>
    <w:rsid w:val="00827DD1"/>
    <w:rsid w:val="00837617"/>
    <w:rsid w:val="00840BF0"/>
    <w:rsid w:val="00844C1F"/>
    <w:rsid w:val="00850A43"/>
    <w:rsid w:val="00852866"/>
    <w:rsid w:val="0085414A"/>
    <w:rsid w:val="00854C99"/>
    <w:rsid w:val="00860B65"/>
    <w:rsid w:val="0086269D"/>
    <w:rsid w:val="008638E3"/>
    <w:rsid w:val="00864367"/>
    <w:rsid w:val="0086543A"/>
    <w:rsid w:val="008663E0"/>
    <w:rsid w:val="008679E2"/>
    <w:rsid w:val="008724E5"/>
    <w:rsid w:val="00874847"/>
    <w:rsid w:val="00876545"/>
    <w:rsid w:val="00884277"/>
    <w:rsid w:val="00884576"/>
    <w:rsid w:val="00884A9D"/>
    <w:rsid w:val="0088512B"/>
    <w:rsid w:val="00886FA9"/>
    <w:rsid w:val="008948AA"/>
    <w:rsid w:val="008A0C2D"/>
    <w:rsid w:val="008A1ED4"/>
    <w:rsid w:val="008A2B2D"/>
    <w:rsid w:val="008A4E1E"/>
    <w:rsid w:val="008B3BEC"/>
    <w:rsid w:val="008B7469"/>
    <w:rsid w:val="008B7968"/>
    <w:rsid w:val="008C05C4"/>
    <w:rsid w:val="008C296C"/>
    <w:rsid w:val="008C3708"/>
    <w:rsid w:val="008C5E40"/>
    <w:rsid w:val="008C6777"/>
    <w:rsid w:val="008C7D30"/>
    <w:rsid w:val="008D4305"/>
    <w:rsid w:val="008D66DA"/>
    <w:rsid w:val="008D727C"/>
    <w:rsid w:val="008D7EFB"/>
    <w:rsid w:val="008E71C1"/>
    <w:rsid w:val="008E7D2C"/>
    <w:rsid w:val="008F4645"/>
    <w:rsid w:val="00900ED1"/>
    <w:rsid w:val="0090770D"/>
    <w:rsid w:val="00910154"/>
    <w:rsid w:val="0091093B"/>
    <w:rsid w:val="00912C49"/>
    <w:rsid w:val="009163A7"/>
    <w:rsid w:val="0091727F"/>
    <w:rsid w:val="009230D8"/>
    <w:rsid w:val="009232D8"/>
    <w:rsid w:val="009261D2"/>
    <w:rsid w:val="009329E5"/>
    <w:rsid w:val="0093773A"/>
    <w:rsid w:val="009414D3"/>
    <w:rsid w:val="00946D0B"/>
    <w:rsid w:val="00947053"/>
    <w:rsid w:val="0095272A"/>
    <w:rsid w:val="009533DB"/>
    <w:rsid w:val="009535CF"/>
    <w:rsid w:val="00964214"/>
    <w:rsid w:val="00965923"/>
    <w:rsid w:val="009720B8"/>
    <w:rsid w:val="00975730"/>
    <w:rsid w:val="00983874"/>
    <w:rsid w:val="00987017"/>
    <w:rsid w:val="009978D2"/>
    <w:rsid w:val="009A18CD"/>
    <w:rsid w:val="009B7D9D"/>
    <w:rsid w:val="009C1BB3"/>
    <w:rsid w:val="009C6B5E"/>
    <w:rsid w:val="009D1A8D"/>
    <w:rsid w:val="009D2522"/>
    <w:rsid w:val="009D2BC9"/>
    <w:rsid w:val="009E0E94"/>
    <w:rsid w:val="009F1339"/>
    <w:rsid w:val="009F6006"/>
    <w:rsid w:val="009F69C5"/>
    <w:rsid w:val="00A10416"/>
    <w:rsid w:val="00A12558"/>
    <w:rsid w:val="00A13903"/>
    <w:rsid w:val="00A15A88"/>
    <w:rsid w:val="00A1678B"/>
    <w:rsid w:val="00A21E29"/>
    <w:rsid w:val="00A2499F"/>
    <w:rsid w:val="00A34ED5"/>
    <w:rsid w:val="00A34FFB"/>
    <w:rsid w:val="00A432F7"/>
    <w:rsid w:val="00A45DBF"/>
    <w:rsid w:val="00A61283"/>
    <w:rsid w:val="00A63BE9"/>
    <w:rsid w:val="00A645DF"/>
    <w:rsid w:val="00A65C29"/>
    <w:rsid w:val="00A755A2"/>
    <w:rsid w:val="00A75AA8"/>
    <w:rsid w:val="00A80F08"/>
    <w:rsid w:val="00A81304"/>
    <w:rsid w:val="00A82C1E"/>
    <w:rsid w:val="00A87B07"/>
    <w:rsid w:val="00A945A5"/>
    <w:rsid w:val="00AA076B"/>
    <w:rsid w:val="00AA6660"/>
    <w:rsid w:val="00AA6C9F"/>
    <w:rsid w:val="00AB2B31"/>
    <w:rsid w:val="00AB2C36"/>
    <w:rsid w:val="00AB70B6"/>
    <w:rsid w:val="00AC0D52"/>
    <w:rsid w:val="00AC5A55"/>
    <w:rsid w:val="00AC611F"/>
    <w:rsid w:val="00AD03A3"/>
    <w:rsid w:val="00AD0571"/>
    <w:rsid w:val="00AD08C7"/>
    <w:rsid w:val="00AD1A86"/>
    <w:rsid w:val="00AE103E"/>
    <w:rsid w:val="00AE42AC"/>
    <w:rsid w:val="00AE7CF5"/>
    <w:rsid w:val="00AF0A07"/>
    <w:rsid w:val="00AF11E4"/>
    <w:rsid w:val="00AF1214"/>
    <w:rsid w:val="00AF436C"/>
    <w:rsid w:val="00AF4AEC"/>
    <w:rsid w:val="00AF625E"/>
    <w:rsid w:val="00B03E6D"/>
    <w:rsid w:val="00B05797"/>
    <w:rsid w:val="00B0790E"/>
    <w:rsid w:val="00B07D32"/>
    <w:rsid w:val="00B128CC"/>
    <w:rsid w:val="00B2338F"/>
    <w:rsid w:val="00B2493E"/>
    <w:rsid w:val="00B2659D"/>
    <w:rsid w:val="00B30C28"/>
    <w:rsid w:val="00B3385D"/>
    <w:rsid w:val="00B33C90"/>
    <w:rsid w:val="00B41707"/>
    <w:rsid w:val="00B50A30"/>
    <w:rsid w:val="00B5600A"/>
    <w:rsid w:val="00B6469B"/>
    <w:rsid w:val="00B65D85"/>
    <w:rsid w:val="00B702ED"/>
    <w:rsid w:val="00B71C63"/>
    <w:rsid w:val="00B81105"/>
    <w:rsid w:val="00B84102"/>
    <w:rsid w:val="00B85E17"/>
    <w:rsid w:val="00B96B09"/>
    <w:rsid w:val="00BA6E0C"/>
    <w:rsid w:val="00BB04AF"/>
    <w:rsid w:val="00BB6CCB"/>
    <w:rsid w:val="00BC1E6E"/>
    <w:rsid w:val="00BD28AC"/>
    <w:rsid w:val="00BD298B"/>
    <w:rsid w:val="00BD52C9"/>
    <w:rsid w:val="00BE5818"/>
    <w:rsid w:val="00BE6354"/>
    <w:rsid w:val="00C0212E"/>
    <w:rsid w:val="00C054CE"/>
    <w:rsid w:val="00C11035"/>
    <w:rsid w:val="00C144E3"/>
    <w:rsid w:val="00C20C41"/>
    <w:rsid w:val="00C21695"/>
    <w:rsid w:val="00C23A97"/>
    <w:rsid w:val="00C278E9"/>
    <w:rsid w:val="00C31325"/>
    <w:rsid w:val="00C33B4E"/>
    <w:rsid w:val="00C4133A"/>
    <w:rsid w:val="00C420AA"/>
    <w:rsid w:val="00C425DA"/>
    <w:rsid w:val="00C42C66"/>
    <w:rsid w:val="00C43221"/>
    <w:rsid w:val="00C448CF"/>
    <w:rsid w:val="00C45470"/>
    <w:rsid w:val="00C460F8"/>
    <w:rsid w:val="00C47184"/>
    <w:rsid w:val="00C4772B"/>
    <w:rsid w:val="00C479BE"/>
    <w:rsid w:val="00C51E4E"/>
    <w:rsid w:val="00C56282"/>
    <w:rsid w:val="00C6211B"/>
    <w:rsid w:val="00C633B8"/>
    <w:rsid w:val="00C6563D"/>
    <w:rsid w:val="00C70EA7"/>
    <w:rsid w:val="00C72B1B"/>
    <w:rsid w:val="00C7516E"/>
    <w:rsid w:val="00C75770"/>
    <w:rsid w:val="00C77225"/>
    <w:rsid w:val="00C804EC"/>
    <w:rsid w:val="00C81098"/>
    <w:rsid w:val="00C82BCA"/>
    <w:rsid w:val="00C965B5"/>
    <w:rsid w:val="00C965F0"/>
    <w:rsid w:val="00CA2963"/>
    <w:rsid w:val="00CA334F"/>
    <w:rsid w:val="00CA35EA"/>
    <w:rsid w:val="00CB170C"/>
    <w:rsid w:val="00CB5A4B"/>
    <w:rsid w:val="00CC042B"/>
    <w:rsid w:val="00CC711C"/>
    <w:rsid w:val="00CD5438"/>
    <w:rsid w:val="00CD60FB"/>
    <w:rsid w:val="00CD632D"/>
    <w:rsid w:val="00CE1E82"/>
    <w:rsid w:val="00CE26EE"/>
    <w:rsid w:val="00CE4600"/>
    <w:rsid w:val="00CE76B7"/>
    <w:rsid w:val="00CF07CB"/>
    <w:rsid w:val="00D00B2B"/>
    <w:rsid w:val="00D20E68"/>
    <w:rsid w:val="00D22279"/>
    <w:rsid w:val="00D24877"/>
    <w:rsid w:val="00D26644"/>
    <w:rsid w:val="00D303C5"/>
    <w:rsid w:val="00D36AC1"/>
    <w:rsid w:val="00D408F7"/>
    <w:rsid w:val="00D44A18"/>
    <w:rsid w:val="00D46EC3"/>
    <w:rsid w:val="00D52471"/>
    <w:rsid w:val="00D52B40"/>
    <w:rsid w:val="00D52C71"/>
    <w:rsid w:val="00D56E06"/>
    <w:rsid w:val="00D57EFC"/>
    <w:rsid w:val="00D621D6"/>
    <w:rsid w:val="00D66131"/>
    <w:rsid w:val="00D70E97"/>
    <w:rsid w:val="00D74CFC"/>
    <w:rsid w:val="00D75104"/>
    <w:rsid w:val="00D7513B"/>
    <w:rsid w:val="00D84BCF"/>
    <w:rsid w:val="00D85FEE"/>
    <w:rsid w:val="00D86582"/>
    <w:rsid w:val="00D91A18"/>
    <w:rsid w:val="00D95C4C"/>
    <w:rsid w:val="00D96913"/>
    <w:rsid w:val="00DA36ED"/>
    <w:rsid w:val="00DB4BF5"/>
    <w:rsid w:val="00DB6E4D"/>
    <w:rsid w:val="00DC2B74"/>
    <w:rsid w:val="00DD5DA0"/>
    <w:rsid w:val="00DE34F1"/>
    <w:rsid w:val="00DF216B"/>
    <w:rsid w:val="00DF3E9D"/>
    <w:rsid w:val="00DF4942"/>
    <w:rsid w:val="00E00456"/>
    <w:rsid w:val="00E01292"/>
    <w:rsid w:val="00E01D31"/>
    <w:rsid w:val="00E04EC1"/>
    <w:rsid w:val="00E05364"/>
    <w:rsid w:val="00E06179"/>
    <w:rsid w:val="00E06334"/>
    <w:rsid w:val="00E07554"/>
    <w:rsid w:val="00E17265"/>
    <w:rsid w:val="00E24C64"/>
    <w:rsid w:val="00E253B5"/>
    <w:rsid w:val="00E25D7B"/>
    <w:rsid w:val="00E44844"/>
    <w:rsid w:val="00E519E7"/>
    <w:rsid w:val="00E61214"/>
    <w:rsid w:val="00E627B1"/>
    <w:rsid w:val="00E6289A"/>
    <w:rsid w:val="00E628F1"/>
    <w:rsid w:val="00E62BC7"/>
    <w:rsid w:val="00E63170"/>
    <w:rsid w:val="00E646ED"/>
    <w:rsid w:val="00E662BF"/>
    <w:rsid w:val="00E7332C"/>
    <w:rsid w:val="00E7609A"/>
    <w:rsid w:val="00E77116"/>
    <w:rsid w:val="00E84D8C"/>
    <w:rsid w:val="00E87F93"/>
    <w:rsid w:val="00E90FE0"/>
    <w:rsid w:val="00E912CE"/>
    <w:rsid w:val="00E9376C"/>
    <w:rsid w:val="00E949CA"/>
    <w:rsid w:val="00EA145D"/>
    <w:rsid w:val="00EA1D70"/>
    <w:rsid w:val="00EA325C"/>
    <w:rsid w:val="00EA335E"/>
    <w:rsid w:val="00EA528C"/>
    <w:rsid w:val="00EA5933"/>
    <w:rsid w:val="00EA6948"/>
    <w:rsid w:val="00EC39A7"/>
    <w:rsid w:val="00EC6060"/>
    <w:rsid w:val="00ED5DAF"/>
    <w:rsid w:val="00EE09C4"/>
    <w:rsid w:val="00EE0F36"/>
    <w:rsid w:val="00EE1AB5"/>
    <w:rsid w:val="00EE3491"/>
    <w:rsid w:val="00EE51D0"/>
    <w:rsid w:val="00EE6FAF"/>
    <w:rsid w:val="00EF34E2"/>
    <w:rsid w:val="00EF4F1F"/>
    <w:rsid w:val="00EF69E3"/>
    <w:rsid w:val="00F0282B"/>
    <w:rsid w:val="00F03809"/>
    <w:rsid w:val="00F101F8"/>
    <w:rsid w:val="00F13A7B"/>
    <w:rsid w:val="00F15E57"/>
    <w:rsid w:val="00F2096A"/>
    <w:rsid w:val="00F210C7"/>
    <w:rsid w:val="00F2180B"/>
    <w:rsid w:val="00F24B3F"/>
    <w:rsid w:val="00F26166"/>
    <w:rsid w:val="00F31908"/>
    <w:rsid w:val="00F36E0C"/>
    <w:rsid w:val="00F53DE9"/>
    <w:rsid w:val="00F544DA"/>
    <w:rsid w:val="00F576CB"/>
    <w:rsid w:val="00F57A8B"/>
    <w:rsid w:val="00F6120F"/>
    <w:rsid w:val="00F642A6"/>
    <w:rsid w:val="00F70835"/>
    <w:rsid w:val="00F71A02"/>
    <w:rsid w:val="00F87711"/>
    <w:rsid w:val="00F90C36"/>
    <w:rsid w:val="00FA0AB0"/>
    <w:rsid w:val="00FA3850"/>
    <w:rsid w:val="00FA7E04"/>
    <w:rsid w:val="00FB0B14"/>
    <w:rsid w:val="00FB1065"/>
    <w:rsid w:val="00FB6630"/>
    <w:rsid w:val="00FC4493"/>
    <w:rsid w:val="00FC5DA1"/>
    <w:rsid w:val="00FD1226"/>
    <w:rsid w:val="00FD4ABA"/>
    <w:rsid w:val="00FD7CB9"/>
    <w:rsid w:val="00FE2BDE"/>
    <w:rsid w:val="00FF2BC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FDCCB3"/>
  <w15:docId w15:val="{075EA3C4-99CD-48CC-B78E-963A634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COM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ParagraphedelisteCar"/>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Lienhypertexte">
    <w:name w:val="Hyperlink"/>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lang w:val="en-GB"/>
    </w:rPr>
  </w:style>
  <w:style w:type="character" w:customStyle="1" w:styleId="NotedebasdepageCar">
    <w:name w:val="Note de bas de page Car"/>
    <w:basedOn w:val="Policepardfaut"/>
    <w:link w:val="Notedebasdepage"/>
    <w:uiPriority w:val="99"/>
    <w:rsid w:val="00EA145D"/>
    <w:rPr>
      <w:rFonts w:ascii="Arial" w:eastAsia="Times New Roman" w:hAnsi="Arial"/>
      <w:lang w:eastAsia="fr-FR"/>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basedOn w:val="Policepardfaut"/>
    <w:uiPriority w:val="99"/>
    <w:semiHidden/>
    <w:unhideWhenUsed/>
    <w:rsid w:val="00FA3850"/>
    <w:rPr>
      <w:sz w:val="16"/>
      <w:szCs w:val="16"/>
    </w:rPr>
  </w:style>
  <w:style w:type="paragraph" w:styleId="Commentaire">
    <w:name w:val="annotation text"/>
    <w:basedOn w:val="Normal"/>
    <w:link w:val="CommentaireCar"/>
    <w:uiPriority w:val="99"/>
    <w:unhideWhenUsed/>
    <w:rsid w:val="00FA3850"/>
    <w:rPr>
      <w:sz w:val="20"/>
      <w:szCs w:val="20"/>
    </w:rPr>
  </w:style>
  <w:style w:type="character" w:customStyle="1" w:styleId="CommentaireCar">
    <w:name w:val="Commentaire Car"/>
    <w:basedOn w:val="Policepardfaut"/>
    <w:link w:val="Commentaire"/>
    <w:uiPriority w:val="99"/>
    <w:rsid w:val="00FA3850"/>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Times New Roman" w:hAnsi="Times New Roman"/>
      <w:b/>
      <w:bCs/>
      <w:lang w:val="fr-FR" w:eastAsia="fr-FR"/>
    </w:rPr>
  </w:style>
  <w:style w:type="paragraph" w:styleId="Rvision">
    <w:name w:val="Revision"/>
    <w:hidden/>
    <w:uiPriority w:val="99"/>
    <w:semiHidden/>
    <w:rsid w:val="00FA3850"/>
    <w:rPr>
      <w:rFonts w:ascii="Times New Roman" w:eastAsia="Times New Roman" w:hAnsi="Times New Roman"/>
      <w:sz w:val="24"/>
      <w:szCs w:val="24"/>
      <w:lang w:val="fr-FR" w:eastAsia="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lang w:val="en-GB"/>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paragraph" w:customStyle="1" w:styleId="COMPara">
    <w:name w:val="COM Para"/>
    <w:qFormat/>
    <w:rsid w:val="00576E1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76E1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76E1D"/>
    <w:pPr>
      <w:keepNext/>
      <w:spacing w:after="120"/>
      <w:ind w:left="567"/>
      <w:jc w:val="both"/>
    </w:pPr>
    <w:rPr>
      <w:rFonts w:ascii="Arial" w:hAnsi="Arial" w:cs="Arial"/>
      <w:sz w:val="22"/>
      <w:szCs w:val="22"/>
      <w:lang w:val="en-GB"/>
    </w:rPr>
  </w:style>
  <w:style w:type="paragraph" w:customStyle="1" w:styleId="Paragraph">
    <w:name w:val="Paragraph"/>
    <w:basedOn w:val="Normal"/>
    <w:link w:val="ParagraphChar"/>
    <w:qFormat/>
    <w:rsid w:val="00576E1D"/>
    <w:pPr>
      <w:autoSpaceDE w:val="0"/>
      <w:autoSpaceDN w:val="0"/>
      <w:adjustRightInd w:val="0"/>
      <w:spacing w:after="240"/>
      <w:jc w:val="both"/>
    </w:pPr>
    <w:rPr>
      <w:rFonts w:ascii="Arial" w:eastAsia="SimSun" w:hAnsi="Arial" w:cs="Arial"/>
      <w:bCs/>
      <w:color w:val="000000"/>
      <w:sz w:val="22"/>
      <w:szCs w:val="22"/>
      <w:lang w:val="en-GB" w:eastAsia="zh-CN"/>
    </w:rPr>
  </w:style>
  <w:style w:type="character" w:customStyle="1" w:styleId="ParagraphChar">
    <w:name w:val="Paragraph Char"/>
    <w:link w:val="Paragraph"/>
    <w:rsid w:val="00576E1D"/>
    <w:rPr>
      <w:rFonts w:ascii="Arial" w:hAnsi="Arial" w:cs="Arial"/>
      <w:bCs/>
      <w:color w:val="000000"/>
      <w:sz w:val="22"/>
      <w:szCs w:val="22"/>
      <w:lang w:eastAsia="zh-CN"/>
    </w:rPr>
  </w:style>
  <w:style w:type="paragraph" w:customStyle="1" w:styleId="Annex">
    <w:name w:val="Annex"/>
    <w:basedOn w:val="Normal"/>
    <w:next w:val="Normal"/>
    <w:rsid w:val="00576E1D"/>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customStyle="1" w:styleId="5GAparabodytext">
    <w:name w:val="5GA para body text"/>
    <w:basedOn w:val="Marge"/>
    <w:autoRedefine/>
    <w:uiPriority w:val="99"/>
    <w:qFormat/>
    <w:rsid w:val="005749F3"/>
    <w:pPr>
      <w:numPr>
        <w:numId w:val="8"/>
      </w:numPr>
      <w:spacing w:after="120"/>
    </w:pPr>
    <w:rPr>
      <w:rFonts w:cs="Arial"/>
      <w:szCs w:val="22"/>
      <w:lang w:val="en-GB"/>
    </w:rPr>
  </w:style>
  <w:style w:type="paragraph" w:customStyle="1" w:styleId="Default">
    <w:name w:val="Default"/>
    <w:link w:val="DefaultChar"/>
    <w:uiPriority w:val="99"/>
    <w:rsid w:val="00233695"/>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233695"/>
    <w:rPr>
      <w:rFonts w:ascii="Arial" w:hAnsi="Arial" w:cs="Arial"/>
      <w:color w:val="000000"/>
      <w:sz w:val="24"/>
      <w:szCs w:val="24"/>
      <w:lang w:val="en-US" w:eastAsia="zh-CN"/>
    </w:rPr>
  </w:style>
  <w:style w:type="paragraph" w:customStyle="1" w:styleId="5GATitleResolution">
    <w:name w:val="5GA Title Resolution"/>
    <w:basedOn w:val="Normal"/>
    <w:qFormat/>
    <w:rsid w:val="00D7510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D75104"/>
    <w:pPr>
      <w:keepNext/>
      <w:spacing w:after="120"/>
      <w:ind w:left="567"/>
      <w:jc w:val="both"/>
    </w:pPr>
    <w:rPr>
      <w:rFonts w:ascii="Arial" w:hAnsi="Arial" w:cs="Arial"/>
      <w:sz w:val="22"/>
      <w:szCs w:val="22"/>
      <w:lang w:val="en-GB"/>
    </w:rPr>
  </w:style>
  <w:style w:type="character" w:customStyle="1" w:styleId="UnresolvedMention1">
    <w:name w:val="Unresolved Mention1"/>
    <w:basedOn w:val="Policepardfaut"/>
    <w:uiPriority w:val="99"/>
    <w:semiHidden/>
    <w:unhideWhenUsed/>
    <w:rsid w:val="00F57A8B"/>
    <w:rPr>
      <w:color w:val="605E5C"/>
      <w:shd w:val="clear" w:color="auto" w:fill="E1DFDD"/>
    </w:rPr>
  </w:style>
  <w:style w:type="paragraph" w:styleId="Sansinterligne">
    <w:name w:val="No Spacing"/>
    <w:uiPriority w:val="1"/>
    <w:qFormat/>
    <w:rsid w:val="00A432F7"/>
    <w:rPr>
      <w:rFonts w:asciiTheme="minorHAnsi" w:eastAsiaTheme="minorHAnsi" w:hAnsiTheme="minorHAnsi" w:cstheme="minorBidi"/>
      <w:sz w:val="22"/>
      <w:szCs w:val="22"/>
      <w:lang w:val="fr-FR" w:eastAsia="en-US"/>
    </w:rPr>
  </w:style>
  <w:style w:type="character" w:customStyle="1" w:styleId="ParagraphedelisteCar">
    <w:name w:val="Paragraphe de liste Car"/>
    <w:aliases w:val="Table of contents numbered Car,Normal bullet 2 Car,Bullet list Car,List Paragraph1 Car,Numbered List Car,1st level - Bullet List Paragraph Car,Lettre d'introduction Car,lp1 Car,Farbige Liste - Akzent 11 Car,Reference list Car"/>
    <w:link w:val="Paragraphedeliste"/>
    <w:uiPriority w:val="34"/>
    <w:qFormat/>
    <w:locked/>
    <w:rsid w:val="00E07554"/>
    <w:rPr>
      <w:rFonts w:ascii="Times New Roman" w:eastAsia="Times New Roman" w:hAnsi="Times New Roman"/>
      <w:sz w:val="24"/>
      <w:szCs w:val="24"/>
      <w:lang w:val="fr-FR" w:eastAsia="fr-FR"/>
    </w:rPr>
  </w:style>
  <w:style w:type="table" w:customStyle="1" w:styleId="TableGrid1">
    <w:name w:val="Table Grid1"/>
    <w:basedOn w:val="TableauNormal"/>
    <w:uiPriority w:val="59"/>
    <w:rsid w:val="00CD632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Policepardfaut"/>
    <w:uiPriority w:val="99"/>
    <w:semiHidden/>
    <w:unhideWhenUsed/>
    <w:rsid w:val="00B0790E"/>
    <w:rPr>
      <w:color w:val="605E5C"/>
      <w:shd w:val="clear" w:color="auto" w:fill="E1DFDD"/>
    </w:rPr>
  </w:style>
  <w:style w:type="character" w:customStyle="1" w:styleId="UnresolvedMention3">
    <w:name w:val="Unresolved Mention3"/>
    <w:basedOn w:val="Policepardfaut"/>
    <w:uiPriority w:val="99"/>
    <w:semiHidden/>
    <w:unhideWhenUsed/>
    <w:rsid w:val="0063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5202">
      <w:bodyDiv w:val="1"/>
      <w:marLeft w:val="0"/>
      <w:marRight w:val="0"/>
      <w:marTop w:val="0"/>
      <w:marBottom w:val="0"/>
      <w:divBdr>
        <w:top w:val="none" w:sz="0" w:space="0" w:color="auto"/>
        <w:left w:val="none" w:sz="0" w:space="0" w:color="auto"/>
        <w:bottom w:val="none" w:sz="0" w:space="0" w:color="auto"/>
        <w:right w:val="none" w:sz="0" w:space="0" w:color="auto"/>
      </w:divBdr>
    </w:div>
    <w:div w:id="39127713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205347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8926022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EN.docx" TargetMode="External"/><Relationship Id="rId18" Type="http://schemas.openxmlformats.org/officeDocument/2006/relationships/hyperlink" Target="https://ich.unesco.org/en/ich-fund-00816" TargetMode="External"/><Relationship Id="rId26" Type="http://schemas.openxmlformats.org/officeDocument/2006/relationships/hyperlink" Target="https://ich.unesco.org/en/Decisions/13.COM/6" TargetMode="External"/><Relationship Id="rId39" Type="http://schemas.openxmlformats.org/officeDocument/2006/relationships/hyperlink" Target="https://ich.unesco.org/doc/src/ITH-10-3.GA-CONF.201-Resolution%20Rev.-EN.doc" TargetMode="External"/><Relationship Id="rId21" Type="http://schemas.openxmlformats.org/officeDocument/2006/relationships/hyperlink" Target="https://ich.unesco.org/en/Decisions/12.COM/7" TargetMode="External"/><Relationship Id="rId34" Type="http://schemas.openxmlformats.org/officeDocument/2006/relationships/hyperlink" Target="https://ich.unesco.org/en/living-heritage-experiences-and-the-covid-19-pandemic-01123" TargetMode="External"/><Relationship Id="rId42" Type="http://schemas.openxmlformats.org/officeDocument/2006/relationships/hyperlink" Target="https://ich.unesco.org/en/Decisions/14.COM/6" TargetMode="External"/><Relationship Id="rId47" Type="http://schemas.openxmlformats.org/officeDocument/2006/relationships/hyperlink" Target="https://ich.unesco.org/en/Decisions/14.COM/6" TargetMode="External"/><Relationship Id="rId50" Type="http://schemas.openxmlformats.org/officeDocument/2006/relationships/hyperlink" Target="https://unesdoc.unesco.org/ark:/48223/pf0000248900"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LHE-20-8.GA-INF.7-EN.docx" TargetMode="External"/><Relationship Id="rId17" Type="http://schemas.openxmlformats.org/officeDocument/2006/relationships/image" Target="media/image2.png"/><Relationship Id="rId25" Type="http://schemas.openxmlformats.org/officeDocument/2006/relationships/hyperlink" Target="https://ich.unesco.org/en/Decisions/14.COM/7" TargetMode="External"/><Relationship Id="rId33" Type="http://schemas.openxmlformats.org/officeDocument/2006/relationships/hyperlink" Target="https://ich.unesco.org/" TargetMode="External"/><Relationship Id="rId38" Type="http://schemas.openxmlformats.org/officeDocument/2006/relationships/hyperlink" Target="https://ich.unesco.org/en/Decisions/7.GA/8" TargetMode="External"/><Relationship Id="rId46" Type="http://schemas.openxmlformats.org/officeDocument/2006/relationships/hyperlink" Target="https://whc.unesco.org/document/168796" TargetMode="External"/><Relationship Id="rId2" Type="http://schemas.openxmlformats.org/officeDocument/2006/relationships/numbering" Target="numbering.xml"/><Relationship Id="rId16" Type="http://schemas.openxmlformats.org/officeDocument/2006/relationships/hyperlink" Target="https://ich.unesco.org/en/Resolutions/6.GA/7" TargetMode="External"/><Relationship Id="rId20" Type="http://schemas.openxmlformats.org/officeDocument/2006/relationships/hyperlink" Target="https://ich.unesco.org/en/Decisions/14.COM/7" TargetMode="External"/><Relationship Id="rId29" Type="http://schemas.openxmlformats.org/officeDocument/2006/relationships/hyperlink" Target="https://ich.unesco.org/en/Decisions/14.COM/10" TargetMode="External"/><Relationship Id="rId41" Type="http://schemas.openxmlformats.org/officeDocument/2006/relationships/hyperlink" Target="https://ich.unesco.org/doc/src/LHE-20-8.GA-INF.7-EN.docx" TargetMode="External"/><Relationship Id="rId54" Type="http://schemas.openxmlformats.org/officeDocument/2006/relationships/header" Target="header2.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doc/src/LHE-19-14.COM_2.BUR-Decisions-EN.docx" TargetMode="External"/><Relationship Id="rId32" Type="http://schemas.openxmlformats.org/officeDocument/2006/relationships/hyperlink" Target="https://ich.unesco.org/en/Decisions/13.COM/20" TargetMode="External"/><Relationship Id="rId37" Type="http://schemas.openxmlformats.org/officeDocument/2006/relationships/hyperlink" Target="https://ich.unesco.org/en/Decisions/14.COM/7" TargetMode="External"/><Relationship Id="rId40" Type="http://schemas.openxmlformats.org/officeDocument/2006/relationships/hyperlink" Target="https://ich.unesco.org/en/Decisions/7.GA/8" TargetMode="External"/><Relationship Id="rId45" Type="http://schemas.openxmlformats.org/officeDocument/2006/relationships/hyperlink" Target="http://unesdoc.unesco.org/ulis/cgi-bin/ExtractPDF.pl?catno=261576&amp;lang=e&amp;from=126&amp;to=139&amp;display=2&amp;ts=1534862511"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unesdoc.unesco.org/ark:/48223/pf0000367155" TargetMode="External"/><Relationship Id="rId28" Type="http://schemas.openxmlformats.org/officeDocument/2006/relationships/hyperlink" Target="https://ich.unesco.org/en/Decisions/14.COM/14" TargetMode="External"/><Relationship Id="rId36" Type="http://schemas.openxmlformats.org/officeDocument/2006/relationships/hyperlink" Target="https://ich.unesco.org/en/Decisions/14.COM/7" TargetMode="External"/><Relationship Id="rId49" Type="http://schemas.openxmlformats.org/officeDocument/2006/relationships/hyperlink" Target="https://unesdoc.unesco.org/ark:/48223/pf0000246369" TargetMode="External"/><Relationship Id="rId57" Type="http://schemas.openxmlformats.org/officeDocument/2006/relationships/theme" Target="theme/theme1.xml"/><Relationship Id="rId10" Type="http://schemas.openxmlformats.org/officeDocument/2006/relationships/hyperlink" Target="https://ich.unesco.org/en/Decisions/7.GA/8" TargetMode="External"/><Relationship Id="rId19" Type="http://schemas.openxmlformats.org/officeDocument/2006/relationships/hyperlink" Target="https://ich.unesco.org/en/Decisions/7.GA/8" TargetMode="External"/><Relationship Id="rId31" Type="http://schemas.openxmlformats.org/officeDocument/2006/relationships/hyperlink" Target="https://ich.unesco.org/en/Decisions/12.COM/6" TargetMode="External"/><Relationship Id="rId44" Type="http://schemas.openxmlformats.org/officeDocument/2006/relationships/hyperlink" Target="http://unesdoc.unesco.org/images/0026/002615/261576e.pdf" TargetMode="External"/><Relationship Id="rId52" Type="http://schemas.openxmlformats.org/officeDocument/2006/relationships/hyperlink" Target="https://ich.unesco.org/doc/src/LHE-20-8.GA-INF.7-EN.docx" TargetMode="External"/><Relationship Id="rId4" Type="http://schemas.openxmlformats.org/officeDocument/2006/relationships/settings" Target="settings.xml"/><Relationship Id="rId9" Type="http://schemas.openxmlformats.org/officeDocument/2006/relationships/hyperlink" Target="https://ich.unesco.org/doc/src/LHE-20-8.GA-INF.7-EN.docx" TargetMode="External"/><Relationship Id="rId14" Type="http://schemas.openxmlformats.org/officeDocument/2006/relationships/hyperlink" Target="https://ich.unesco.org/doc/src/ITH-18-7.GA-8-EN.docx" TargetMode="External"/><Relationship Id="rId22" Type="http://schemas.openxmlformats.org/officeDocument/2006/relationships/hyperlink" Target="https://ich.unesco.org/en/Decisions/14.COM/7" TargetMode="External"/><Relationship Id="rId27" Type="http://schemas.openxmlformats.org/officeDocument/2006/relationships/hyperlink" Target="https://ich.unesco.org/en/Decisions/13.COM/10" TargetMode="External"/><Relationship Id="rId30" Type="http://schemas.openxmlformats.org/officeDocument/2006/relationships/hyperlink" Target="https://ich.unesco.org/en/Decisions/14.COM/15" TargetMode="External"/><Relationship Id="rId35" Type="http://schemas.openxmlformats.org/officeDocument/2006/relationships/hyperlink" Target="https://ich.unesco.org/en/Decisions/7.GA/8" TargetMode="External"/><Relationship Id="rId43" Type="http://schemas.openxmlformats.org/officeDocument/2006/relationships/hyperlink" Target="https://ich.unesco.org/en/Decisions/13.COM/6" TargetMode="External"/><Relationship Id="rId48" Type="http://schemas.openxmlformats.org/officeDocument/2006/relationships/hyperlink" Target="https://unesdoc.unesco.org/ark:/48223/pf0000245750" TargetMode="External"/><Relationship Id="rId56" Type="http://schemas.openxmlformats.org/officeDocument/2006/relationships/fontTable" Target="fontTable.xml"/><Relationship Id="rId8" Type="http://schemas.openxmlformats.org/officeDocument/2006/relationships/hyperlink" Target="https://ich.unesco.org/en/Decisions/14.COM/7" TargetMode="External"/><Relationship Id="rId51" Type="http://schemas.openxmlformats.org/officeDocument/2006/relationships/hyperlink" Target="https://ich.unesco.org/en/Decisions/14.COM/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2" Type="http://schemas.openxmlformats.org/officeDocument/2006/relationships/hyperlink" Target="https://ich.unesco.org/doc/src/ICH-Operational_Directives-7.GA-PDF-EN.pdf" TargetMode="External"/><Relationship Id="rId1" Type="http://schemas.openxmlformats.org/officeDocument/2006/relationships/hyperlink" Target="http://www.unesco.org/eri/cp/factsheets/ICH-Status-of-Contributions.pdf" TargetMode="External"/><Relationship Id="rId6" Type="http://schemas.openxmlformats.org/officeDocument/2006/relationships/hyperlink" Target="https://unesdoc.unesco.org/ark:/48223/pf0000367155" TargetMode="External"/><Relationship Id="rId5" Type="http://schemas.openxmlformats.org/officeDocument/2006/relationships/hyperlink" Target="https://ich.unesco.org/doc/src/LHE-19-14.COM_2.BUR-Decisions-EN.docx" TargetMode="External"/><Relationship Id="rId4" Type="http://schemas.openxmlformats.org/officeDocument/2006/relationships/hyperlink" Target="https://ich.unesco.org/doc/src/ITH-18-13.COM_2.BUR-Decisions_Rev.-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8E2A-4902-4C2C-985A-F265142C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9852</Words>
  <Characters>56162</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Theuninck, Ingrid</cp:lastModifiedBy>
  <cp:revision>6</cp:revision>
  <cp:lastPrinted>2020-08-07T15:32:00Z</cp:lastPrinted>
  <dcterms:created xsi:type="dcterms:W3CDTF">2020-08-18T09:33:00Z</dcterms:created>
  <dcterms:modified xsi:type="dcterms:W3CDTF">2020-08-25T15:48:00Z</dcterms:modified>
</cp:coreProperties>
</file>