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57BFD" w14:textId="2ABE73C2"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r w:rsidRPr="00414643">
        <w:rPr>
          <w:rFonts w:ascii="Arial" w:hAnsi="Arial" w:cs="Arial"/>
          <w:b/>
          <w:sz w:val="22"/>
          <w:szCs w:val="22"/>
          <w:lang w:val="en-GB"/>
        </w:rPr>
        <w:br/>
        <w:t>INTANGIBLE CULTURAL HERITAGE</w:t>
      </w:r>
    </w:p>
    <w:p w14:paraId="78B23C0C"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68B69FD4" w14:textId="095709EB" w:rsidR="00D95C4C" w:rsidRPr="00FD624F" w:rsidRDefault="00065199" w:rsidP="00D95C4C">
      <w:pPr>
        <w:spacing w:before="840"/>
        <w:jc w:val="center"/>
        <w:rPr>
          <w:rFonts w:ascii="Arial" w:hAnsi="Arial" w:cs="Arial"/>
          <w:b/>
          <w:sz w:val="22"/>
          <w:szCs w:val="22"/>
          <w:lang w:val="en-GB"/>
        </w:rPr>
      </w:pPr>
      <w:r>
        <w:rPr>
          <w:rFonts w:ascii="Arial" w:hAnsi="Arial" w:cs="Arial"/>
          <w:b/>
          <w:sz w:val="22"/>
          <w:szCs w:val="22"/>
          <w:lang w:val="en-GB"/>
        </w:rPr>
        <w:t>Eigh</w:t>
      </w:r>
      <w:r w:rsidR="00EF69E3">
        <w:rPr>
          <w:rFonts w:ascii="Arial" w:hAnsi="Arial" w:cs="Arial"/>
          <w:b/>
          <w:sz w:val="22"/>
          <w:szCs w:val="22"/>
          <w:lang w:val="en-GB"/>
        </w:rPr>
        <w:t>th</w:t>
      </w:r>
      <w:r w:rsidR="00D95C4C" w:rsidRPr="00FD624F">
        <w:rPr>
          <w:rFonts w:ascii="Arial" w:hAnsi="Arial" w:cs="Arial"/>
          <w:b/>
          <w:sz w:val="22"/>
          <w:szCs w:val="22"/>
          <w:lang w:val="en-GB"/>
        </w:rPr>
        <w:t xml:space="preserve"> session</w:t>
      </w:r>
    </w:p>
    <w:p w14:paraId="411E7171" w14:textId="6C127BE3"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00065199">
        <w:rPr>
          <w:rFonts w:ascii="Arial" w:hAnsi="Arial" w:cs="Arial"/>
          <w:b/>
          <w:sz w:val="22"/>
          <w:szCs w:val="22"/>
          <w:lang w:val="en-GB"/>
        </w:rPr>
        <w:t>I</w:t>
      </w:r>
    </w:p>
    <w:p w14:paraId="47F2C555" w14:textId="0463B64D" w:rsidR="00655736" w:rsidRPr="00414643" w:rsidRDefault="00506E16" w:rsidP="00D95C4C">
      <w:pPr>
        <w:jc w:val="center"/>
        <w:rPr>
          <w:rFonts w:ascii="Arial" w:hAnsi="Arial" w:cs="Arial"/>
          <w:b/>
          <w:sz w:val="22"/>
          <w:szCs w:val="22"/>
          <w:lang w:val="en-GB"/>
        </w:rPr>
      </w:pPr>
      <w:r>
        <w:rPr>
          <w:rFonts w:ascii="Arial" w:hAnsi="Arial" w:cs="Arial"/>
          <w:b/>
          <w:sz w:val="22"/>
          <w:szCs w:val="22"/>
          <w:lang w:val="en-GB"/>
        </w:rPr>
        <w:t xml:space="preserve">8 </w:t>
      </w:r>
      <w:r w:rsidR="00763A0D" w:rsidRPr="00E90FE0">
        <w:rPr>
          <w:rFonts w:ascii="Arial" w:hAnsi="Arial" w:cs="Arial"/>
          <w:b/>
          <w:sz w:val="22"/>
          <w:szCs w:val="22"/>
          <w:lang w:val="en-GB"/>
        </w:rPr>
        <w:t xml:space="preserve">to </w:t>
      </w:r>
      <w:r>
        <w:rPr>
          <w:rFonts w:ascii="Arial" w:hAnsi="Arial" w:cs="Arial"/>
          <w:b/>
          <w:sz w:val="22"/>
          <w:szCs w:val="22"/>
          <w:lang w:val="en-GB"/>
        </w:rPr>
        <w:t>10 September</w:t>
      </w:r>
      <w:r w:rsidR="00065199" w:rsidRPr="00E90FE0">
        <w:rPr>
          <w:rFonts w:ascii="Arial" w:hAnsi="Arial" w:cs="Arial"/>
          <w:b/>
          <w:sz w:val="22"/>
          <w:szCs w:val="22"/>
          <w:lang w:val="en-GB"/>
        </w:rPr>
        <w:t xml:space="preserve"> 2020</w:t>
      </w:r>
    </w:p>
    <w:p w14:paraId="47891A15" w14:textId="77777777"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7E0222" w:rsidRPr="008A0C2D">
        <w:rPr>
          <w:rFonts w:ascii="Arial" w:hAnsi="Arial" w:cs="Arial"/>
          <w:b/>
          <w:sz w:val="22"/>
          <w:szCs w:val="22"/>
          <w:u w:val="single"/>
          <w:lang w:val="en-GB"/>
        </w:rPr>
        <w:t>5</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71BA670D" w14:textId="77777777" w:rsidR="002F312A" w:rsidRPr="00414643" w:rsidRDefault="007E0222" w:rsidP="002F312A">
      <w:pPr>
        <w:pStyle w:val="Sansinterligne2"/>
        <w:spacing w:after="1200"/>
        <w:jc w:val="center"/>
        <w:rPr>
          <w:rFonts w:ascii="Arial" w:hAnsi="Arial" w:cs="Arial"/>
          <w:b/>
          <w:sz w:val="22"/>
          <w:szCs w:val="22"/>
          <w:lang w:val="en-GB"/>
        </w:rPr>
      </w:pPr>
      <w:r w:rsidRPr="007E0222">
        <w:rPr>
          <w:rFonts w:ascii="Arial" w:hAnsi="Arial" w:cs="Arial"/>
          <w:b/>
          <w:sz w:val="22"/>
          <w:szCs w:val="22"/>
          <w:lang w:val="en-GB"/>
        </w:rPr>
        <w:t>Report of the Committee to the General Assembly</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1C5DB8" w14:paraId="7D23B343" w14:textId="77777777" w:rsidTr="002F312A">
        <w:trPr>
          <w:jc w:val="center"/>
        </w:trPr>
        <w:tc>
          <w:tcPr>
            <w:tcW w:w="5670" w:type="dxa"/>
            <w:vAlign w:val="center"/>
          </w:tcPr>
          <w:p w14:paraId="17104C3F" w14:textId="77777777" w:rsidR="0057439C"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6749BD5D" w14:textId="676B90D9" w:rsidR="007E0222" w:rsidRPr="00293C60" w:rsidRDefault="007E0222" w:rsidP="007E0222">
            <w:pPr>
              <w:pStyle w:val="Sansinterligne1"/>
              <w:jc w:val="both"/>
              <w:rPr>
                <w:rFonts w:ascii="Arial" w:hAnsi="Arial" w:cs="Arial"/>
                <w:bCs/>
                <w:sz w:val="22"/>
                <w:szCs w:val="22"/>
                <w:lang w:val="en-GB"/>
              </w:rPr>
            </w:pPr>
            <w:r w:rsidRPr="00573257">
              <w:rPr>
                <w:rFonts w:ascii="Arial" w:hAnsi="Arial" w:cs="Arial"/>
                <w:sz w:val="22"/>
                <w:szCs w:val="22"/>
                <w:lang w:val="en-GB"/>
              </w:rPr>
              <w:t>Article 30.1 of the 2003 Convention for the Safeguarding of the Intangible Cultural Heritage states that ‘on the basis of its activities</w:t>
            </w:r>
            <w:r>
              <w:rPr>
                <w:rFonts w:ascii="Arial" w:hAnsi="Arial" w:cs="Arial"/>
                <w:sz w:val="22"/>
                <w:szCs w:val="22"/>
                <w:lang w:val="en-GB"/>
              </w:rPr>
              <w:t xml:space="preserve"> and the reports by States Parties</w:t>
            </w:r>
            <w:r w:rsidRPr="00573257">
              <w:rPr>
                <w:rFonts w:ascii="Arial" w:hAnsi="Arial" w:cs="Arial"/>
                <w:sz w:val="22"/>
                <w:szCs w:val="22"/>
                <w:lang w:val="en-GB"/>
              </w:rPr>
              <w:t xml:space="preserve"> [...] the Committee shall submit a report to the General Assembly at each of its sessions</w:t>
            </w:r>
            <w:r w:rsidR="00B41707" w:rsidRPr="00573257">
              <w:rPr>
                <w:rFonts w:ascii="Arial" w:hAnsi="Arial" w:cs="Arial"/>
                <w:sz w:val="22"/>
                <w:szCs w:val="22"/>
                <w:lang w:val="en-GB"/>
              </w:rPr>
              <w:t>’</w:t>
            </w:r>
            <w:r w:rsidRPr="00573257">
              <w:rPr>
                <w:rFonts w:ascii="Arial" w:hAnsi="Arial" w:cs="Arial"/>
                <w:sz w:val="22"/>
                <w:szCs w:val="22"/>
                <w:lang w:val="en-GB"/>
              </w:rPr>
              <w:t>. This document contains a report on the Com</w:t>
            </w:r>
            <w:r>
              <w:rPr>
                <w:rFonts w:ascii="Arial" w:hAnsi="Arial" w:cs="Arial"/>
                <w:sz w:val="22"/>
                <w:szCs w:val="22"/>
                <w:lang w:val="en-GB"/>
              </w:rPr>
              <w:t>mitt</w:t>
            </w:r>
            <w:r w:rsidR="00065199">
              <w:rPr>
                <w:rFonts w:ascii="Arial" w:hAnsi="Arial" w:cs="Arial"/>
                <w:sz w:val="22"/>
                <w:szCs w:val="22"/>
                <w:lang w:val="en-GB"/>
              </w:rPr>
              <w:t>ee’s activities from January 2018</w:t>
            </w:r>
            <w:r>
              <w:rPr>
                <w:rFonts w:ascii="Arial" w:hAnsi="Arial" w:cs="Arial"/>
                <w:sz w:val="22"/>
                <w:szCs w:val="22"/>
                <w:lang w:val="en-GB"/>
              </w:rPr>
              <w:t xml:space="preserve"> to December 201</w:t>
            </w:r>
            <w:r w:rsidR="00065199">
              <w:rPr>
                <w:rFonts w:ascii="Arial" w:eastAsiaTheme="minorEastAsia" w:hAnsi="Arial" w:cs="Arial"/>
                <w:sz w:val="22"/>
                <w:szCs w:val="22"/>
                <w:lang w:val="en-GB" w:eastAsia="ko-KR"/>
              </w:rPr>
              <w:t>9</w:t>
            </w:r>
            <w:r w:rsidR="00353649">
              <w:rPr>
                <w:rFonts w:ascii="Arial" w:eastAsiaTheme="minorEastAsia" w:hAnsi="Arial" w:cs="Arial"/>
                <w:sz w:val="22"/>
                <w:szCs w:val="22"/>
                <w:lang w:val="en-GB" w:eastAsia="ko-KR"/>
              </w:rPr>
              <w:t>,</w:t>
            </w:r>
            <w:r>
              <w:rPr>
                <w:rFonts w:ascii="Arial" w:eastAsiaTheme="minorEastAsia" w:hAnsi="Arial" w:cs="Arial"/>
                <w:sz w:val="22"/>
                <w:szCs w:val="22"/>
                <w:lang w:val="en-GB" w:eastAsia="ko-KR"/>
              </w:rPr>
              <w:t xml:space="preserve"> </w:t>
            </w:r>
            <w:r w:rsidR="00B41707">
              <w:rPr>
                <w:rFonts w:ascii="Arial" w:eastAsiaTheme="minorEastAsia" w:hAnsi="Arial" w:cs="Arial"/>
                <w:sz w:val="22"/>
                <w:szCs w:val="22"/>
                <w:lang w:val="en-GB" w:eastAsia="ko-KR"/>
              </w:rPr>
              <w:t>including</w:t>
            </w:r>
            <w:r w:rsidR="00B41707" w:rsidRPr="007E0222">
              <w:rPr>
                <w:rFonts w:ascii="Arial" w:eastAsiaTheme="minorEastAsia" w:hAnsi="Arial" w:cs="Arial"/>
                <w:sz w:val="22"/>
                <w:szCs w:val="22"/>
                <w:lang w:val="en-GB" w:eastAsia="ko-KR"/>
              </w:rPr>
              <w:t xml:space="preserve"> </w:t>
            </w:r>
            <w:r w:rsidRPr="007E0222">
              <w:rPr>
                <w:rFonts w:ascii="Arial" w:eastAsiaTheme="minorEastAsia" w:hAnsi="Arial" w:cs="Arial"/>
                <w:sz w:val="22"/>
                <w:szCs w:val="22"/>
                <w:lang w:val="en-GB" w:eastAsia="ko-KR"/>
              </w:rPr>
              <w:t>the reports by States Parties it adopted during</w:t>
            </w:r>
            <w:r>
              <w:rPr>
                <w:rFonts w:ascii="Arial" w:eastAsiaTheme="minorEastAsia" w:hAnsi="Arial" w:cs="Arial"/>
                <w:sz w:val="22"/>
                <w:szCs w:val="22"/>
                <w:lang w:val="en-GB" w:eastAsia="ko-KR"/>
              </w:rPr>
              <w:t xml:space="preserve"> the same </w:t>
            </w:r>
            <w:r w:rsidR="00B41707">
              <w:rPr>
                <w:rFonts w:ascii="Arial" w:eastAsiaTheme="minorEastAsia" w:hAnsi="Arial" w:cs="Arial"/>
                <w:sz w:val="22"/>
                <w:szCs w:val="22"/>
                <w:lang w:val="en-GB" w:eastAsia="ko-KR"/>
              </w:rPr>
              <w:t>period</w:t>
            </w:r>
            <w:r w:rsidR="004218B4">
              <w:rPr>
                <w:rFonts w:ascii="Arial" w:eastAsiaTheme="minorEastAsia" w:hAnsi="Arial" w:cs="Arial"/>
                <w:sz w:val="22"/>
                <w:szCs w:val="22"/>
                <w:lang w:val="en-GB" w:eastAsia="ko-KR"/>
              </w:rPr>
              <w:t>,</w:t>
            </w:r>
            <w:r w:rsidR="00B41707">
              <w:rPr>
                <w:rFonts w:ascii="Arial" w:eastAsiaTheme="minorEastAsia" w:hAnsi="Arial" w:cs="Arial"/>
                <w:sz w:val="22"/>
                <w:szCs w:val="22"/>
                <w:lang w:val="en-GB" w:eastAsia="ko-KR"/>
              </w:rPr>
              <w:t xml:space="preserve"> that</w:t>
            </w:r>
            <w:r>
              <w:rPr>
                <w:rFonts w:ascii="Arial" w:eastAsiaTheme="minorEastAsia" w:hAnsi="Arial" w:cs="Arial"/>
                <w:sz w:val="22"/>
                <w:szCs w:val="22"/>
                <w:lang w:val="en-GB" w:eastAsia="ko-KR"/>
              </w:rPr>
              <w:t xml:space="preserve"> is at</w:t>
            </w:r>
            <w:r w:rsidRPr="007E0222">
              <w:rPr>
                <w:rFonts w:ascii="Arial" w:eastAsiaTheme="minorEastAsia" w:hAnsi="Arial" w:cs="Arial"/>
                <w:sz w:val="22"/>
                <w:szCs w:val="22"/>
                <w:lang w:val="en-GB" w:eastAsia="ko-KR"/>
              </w:rPr>
              <w:t xml:space="preserve"> its </w:t>
            </w:r>
            <w:r w:rsidR="00065199">
              <w:rPr>
                <w:rFonts w:ascii="Arial" w:eastAsiaTheme="minorEastAsia" w:hAnsi="Arial" w:cs="Arial"/>
                <w:sz w:val="22"/>
                <w:szCs w:val="22"/>
                <w:lang w:val="en-GB" w:eastAsia="ko-KR"/>
              </w:rPr>
              <w:t>thirteen</w:t>
            </w:r>
            <w:r>
              <w:rPr>
                <w:rFonts w:ascii="Arial" w:eastAsiaTheme="minorEastAsia" w:hAnsi="Arial" w:cs="Arial"/>
                <w:sz w:val="22"/>
                <w:szCs w:val="22"/>
                <w:lang w:val="en-GB" w:eastAsia="ko-KR"/>
              </w:rPr>
              <w:t>th</w:t>
            </w:r>
            <w:r w:rsidR="00065199">
              <w:rPr>
                <w:rFonts w:ascii="Arial" w:eastAsiaTheme="minorEastAsia" w:hAnsi="Arial" w:cs="Arial"/>
                <w:sz w:val="22"/>
                <w:szCs w:val="22"/>
                <w:lang w:val="en-GB" w:eastAsia="ko-KR"/>
              </w:rPr>
              <w:t xml:space="preserve"> and fourteen</w:t>
            </w:r>
            <w:r>
              <w:rPr>
                <w:rFonts w:ascii="Arial" w:eastAsiaTheme="minorEastAsia" w:hAnsi="Arial" w:cs="Arial"/>
                <w:sz w:val="22"/>
                <w:szCs w:val="22"/>
                <w:lang w:val="en-GB" w:eastAsia="ko-KR"/>
              </w:rPr>
              <w:t>th</w:t>
            </w:r>
            <w:r w:rsidRPr="007E0222">
              <w:rPr>
                <w:rFonts w:ascii="Arial" w:eastAsiaTheme="minorEastAsia" w:hAnsi="Arial" w:cs="Arial"/>
                <w:sz w:val="22"/>
                <w:szCs w:val="22"/>
                <w:lang w:val="en-GB" w:eastAsia="ko-KR"/>
              </w:rPr>
              <w:t xml:space="preserve"> sessions</w:t>
            </w:r>
            <w:r w:rsidRPr="00573257">
              <w:rPr>
                <w:rFonts w:ascii="Arial" w:hAnsi="Arial" w:cs="Arial"/>
                <w:sz w:val="22"/>
                <w:szCs w:val="22"/>
                <w:lang w:val="en-GB"/>
              </w:rPr>
              <w:t>.</w:t>
            </w:r>
          </w:p>
          <w:p w14:paraId="12F286A2" w14:textId="15629B23" w:rsidR="00655736" w:rsidRPr="00414643" w:rsidRDefault="00FB6630" w:rsidP="0011096D">
            <w:pPr>
              <w:pStyle w:val="Sansinterligne2"/>
              <w:spacing w:before="120"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414643">
              <w:rPr>
                <w:rFonts w:ascii="Arial" w:hAnsi="Arial" w:cs="Arial"/>
                <w:bCs/>
                <w:sz w:val="22"/>
                <w:szCs w:val="22"/>
                <w:lang w:val="en-GB"/>
              </w:rPr>
              <w:t xml:space="preserve">paragraph </w:t>
            </w:r>
            <w:r w:rsidR="00B41707" w:rsidRPr="005E1D6A">
              <w:rPr>
                <w:rFonts w:ascii="Arial" w:hAnsi="Arial" w:cs="Arial"/>
                <w:bCs/>
                <w:sz w:val="22"/>
                <w:szCs w:val="22"/>
                <w:lang w:val="en-GB"/>
              </w:rPr>
              <w:t>3</w:t>
            </w:r>
          </w:p>
        </w:tc>
      </w:tr>
    </w:tbl>
    <w:p w14:paraId="5DA11D4E" w14:textId="77777777" w:rsidR="00176720" w:rsidRDefault="00655736" w:rsidP="00176720">
      <w:pPr>
        <w:pStyle w:val="GAPara"/>
        <w:numPr>
          <w:ilvl w:val="0"/>
          <w:numId w:val="0"/>
        </w:numPr>
        <w:jc w:val="both"/>
      </w:pPr>
      <w:r w:rsidRPr="00414643">
        <w:br w:type="page"/>
      </w:r>
    </w:p>
    <w:p w14:paraId="3222E2D9" w14:textId="5F01903E" w:rsidR="007E0222" w:rsidRPr="008A0C2D" w:rsidRDefault="007E0222" w:rsidP="008A0C2D">
      <w:pPr>
        <w:pStyle w:val="Marge"/>
        <w:numPr>
          <w:ilvl w:val="0"/>
          <w:numId w:val="19"/>
        </w:numPr>
        <w:spacing w:after="120"/>
        <w:ind w:left="567" w:hanging="567"/>
        <w:rPr>
          <w:rFonts w:eastAsia="Arial" w:cs="Arial"/>
          <w:szCs w:val="22"/>
          <w:lang w:val="en-GB"/>
        </w:rPr>
      </w:pPr>
      <w:r w:rsidRPr="008A0C2D">
        <w:rPr>
          <w:rFonts w:eastAsia="Arial" w:cs="Arial"/>
          <w:szCs w:val="22"/>
          <w:lang w:val="en-US"/>
        </w:rPr>
        <w:lastRenderedPageBreak/>
        <w:t>Article 30.1 of the 2003 Convention</w:t>
      </w:r>
      <w:r w:rsidRPr="008A0C2D">
        <w:rPr>
          <w:rFonts w:eastAsia="Arial" w:cs="Arial"/>
          <w:szCs w:val="22"/>
          <w:lang w:val="en-GB"/>
        </w:rPr>
        <w:t xml:space="preserve"> </w:t>
      </w:r>
      <w:r w:rsidRPr="008A0C2D">
        <w:rPr>
          <w:rFonts w:eastAsia="Arial" w:cs="Arial"/>
          <w:szCs w:val="22"/>
          <w:lang w:val="en-US"/>
        </w:rPr>
        <w:t xml:space="preserve">for the Safeguarding of the Intangible Cultural Heritage states that ‘on the basis of its activities and the reports by States Parties [...] the Committee shall submit a report to the General </w:t>
      </w:r>
      <w:r w:rsidRPr="008A0C2D">
        <w:rPr>
          <w:rFonts w:eastAsia="Arial" w:cs="Arial"/>
          <w:szCs w:val="22"/>
          <w:lang w:val="en-GB"/>
        </w:rPr>
        <w:t>Assembly</w:t>
      </w:r>
      <w:r w:rsidRPr="008A0C2D">
        <w:rPr>
          <w:rFonts w:eastAsia="Arial" w:cs="Arial"/>
          <w:szCs w:val="22"/>
          <w:lang w:val="en-US"/>
        </w:rPr>
        <w:t xml:space="preserve"> at each of its sessions’. Article 30.2 continues that ‘[t]he report shall be brought to the attention of the General </w:t>
      </w:r>
      <w:r w:rsidRPr="00623F63">
        <w:rPr>
          <w:rFonts w:eastAsia="Arial" w:cs="Arial"/>
          <w:szCs w:val="22"/>
          <w:lang w:val="en-US"/>
        </w:rPr>
        <w:t xml:space="preserve">Conference of UNESCO’. </w:t>
      </w:r>
      <w:r w:rsidR="00623F63" w:rsidRPr="00623F63">
        <w:rPr>
          <w:rFonts w:cs="Arial"/>
          <w:szCs w:val="22"/>
          <w:lang w:val="en-US"/>
        </w:rPr>
        <w:t xml:space="preserve">The period covered by this report is January 2018 to December 2019. This </w:t>
      </w:r>
      <w:r w:rsidR="00F70835">
        <w:rPr>
          <w:rFonts w:cs="Arial"/>
          <w:szCs w:val="22"/>
          <w:lang w:val="en-US"/>
        </w:rPr>
        <w:t>reporting period</w:t>
      </w:r>
      <w:r w:rsidR="00F70835" w:rsidRPr="00623F63">
        <w:rPr>
          <w:rFonts w:cs="Arial"/>
          <w:szCs w:val="22"/>
          <w:lang w:val="en-US"/>
        </w:rPr>
        <w:t xml:space="preserve"> </w:t>
      </w:r>
      <w:r w:rsidR="00623F63" w:rsidRPr="00623F63">
        <w:rPr>
          <w:rFonts w:cs="Arial"/>
          <w:szCs w:val="22"/>
          <w:lang w:val="en-US"/>
        </w:rPr>
        <w:t xml:space="preserve">follows </w:t>
      </w:r>
      <w:hyperlink r:id="rId8" w:history="1">
        <w:r w:rsidR="00623F63" w:rsidRPr="00623F63">
          <w:rPr>
            <w:rStyle w:val="Lienhypertexte"/>
            <w:rFonts w:cs="Arial"/>
            <w:szCs w:val="22"/>
            <w:lang w:val="en-US"/>
          </w:rPr>
          <w:t>Resolution 6.GA 5</w:t>
        </w:r>
      </w:hyperlink>
      <w:r w:rsidR="00623F63" w:rsidRPr="00623F63">
        <w:rPr>
          <w:rFonts w:cs="Arial"/>
          <w:szCs w:val="22"/>
          <w:lang w:val="en-US"/>
        </w:rPr>
        <w:t xml:space="preserve">, whereby the General Assembly requested that the Committee use a biennium calendar year for future reports. </w:t>
      </w:r>
      <w:r w:rsidRPr="00623F63">
        <w:rPr>
          <w:rFonts w:eastAsia="Arial" w:cs="Arial"/>
          <w:szCs w:val="22"/>
          <w:lang w:val="en-US"/>
        </w:rPr>
        <w:t>In this regard, a report</w:t>
      </w:r>
      <w:r w:rsidR="004222E6" w:rsidRPr="00623F63">
        <w:rPr>
          <w:rFonts w:eastAsia="Arial" w:cs="Arial"/>
          <w:szCs w:val="22"/>
          <w:lang w:val="en-US"/>
        </w:rPr>
        <w:t xml:space="preserve"> by</w:t>
      </w:r>
      <w:r w:rsidR="001D388F" w:rsidRPr="00623F63">
        <w:rPr>
          <w:rFonts w:eastAsia="Arial" w:cs="Arial"/>
          <w:szCs w:val="22"/>
          <w:lang w:val="en-US"/>
        </w:rPr>
        <w:t xml:space="preserve"> the Committee is presented below in the annex </w:t>
      </w:r>
      <w:r w:rsidR="001D08DC" w:rsidRPr="00623F63">
        <w:rPr>
          <w:rFonts w:eastAsia="Arial" w:cs="Arial"/>
          <w:szCs w:val="22"/>
          <w:lang w:val="en-US"/>
        </w:rPr>
        <w:t>to this document</w:t>
      </w:r>
      <w:r w:rsidR="001D388F" w:rsidRPr="00623F63">
        <w:rPr>
          <w:rFonts w:eastAsia="Arial" w:cs="Arial"/>
          <w:szCs w:val="22"/>
          <w:lang w:val="en-US"/>
        </w:rPr>
        <w:t>.</w:t>
      </w:r>
      <w:r w:rsidR="00C01F36">
        <w:rPr>
          <w:rStyle w:val="Appelnotedebasdep"/>
          <w:rFonts w:eastAsia="Arial" w:cs="Arial"/>
          <w:szCs w:val="22"/>
          <w:lang w:val="en-US"/>
        </w:rPr>
        <w:footnoteReference w:id="1"/>
      </w:r>
      <w:r w:rsidR="001D388F" w:rsidRPr="00623F63">
        <w:rPr>
          <w:rFonts w:eastAsia="Arial" w:cs="Arial"/>
          <w:szCs w:val="22"/>
          <w:lang w:val="en-US"/>
        </w:rPr>
        <w:t xml:space="preserve"> This re</w:t>
      </w:r>
      <w:r w:rsidR="001D388F" w:rsidRPr="00AB2B31">
        <w:rPr>
          <w:rFonts w:eastAsia="Arial" w:cs="Arial"/>
          <w:szCs w:val="22"/>
          <w:lang w:val="en-GB"/>
        </w:rPr>
        <w:t xml:space="preserve">port also contains a set of national </w:t>
      </w:r>
      <w:r w:rsidRPr="00AB2B31">
        <w:rPr>
          <w:rFonts w:eastAsia="Arial" w:cs="Arial"/>
          <w:szCs w:val="22"/>
          <w:lang w:val="en-GB"/>
        </w:rPr>
        <w:t>reports</w:t>
      </w:r>
      <w:r w:rsidR="001D388F" w:rsidRPr="00AB2B31">
        <w:rPr>
          <w:rFonts w:eastAsia="Arial" w:cs="Arial"/>
          <w:szCs w:val="22"/>
          <w:lang w:val="en-GB"/>
        </w:rPr>
        <w:t xml:space="preserve"> submitted by </w:t>
      </w:r>
      <w:r w:rsidRPr="00AB2B31">
        <w:rPr>
          <w:rFonts w:eastAsia="Arial" w:cs="Arial"/>
          <w:szCs w:val="22"/>
          <w:lang w:val="en-GB"/>
        </w:rPr>
        <w:t>States Parties</w:t>
      </w:r>
      <w:r w:rsidR="001D388F" w:rsidRPr="00AB2B31">
        <w:rPr>
          <w:rFonts w:eastAsia="Arial" w:cs="Arial"/>
          <w:szCs w:val="22"/>
          <w:lang w:val="en-GB"/>
        </w:rPr>
        <w:t>, in the sense of Article 29 of the Convention, which were</w:t>
      </w:r>
      <w:r w:rsidRPr="00AB2B31">
        <w:rPr>
          <w:rFonts w:eastAsia="Arial" w:cs="Arial"/>
          <w:szCs w:val="22"/>
          <w:lang w:val="en-GB"/>
        </w:rPr>
        <w:t xml:space="preserve"> adopted </w:t>
      </w:r>
      <w:r w:rsidR="001D388F" w:rsidRPr="00AB2B31">
        <w:rPr>
          <w:rFonts w:eastAsia="Arial" w:cs="Arial"/>
          <w:szCs w:val="22"/>
          <w:lang w:val="en-GB"/>
        </w:rPr>
        <w:t xml:space="preserve">by the Committee </w:t>
      </w:r>
      <w:r w:rsidR="00623F63">
        <w:rPr>
          <w:rFonts w:eastAsia="Arial" w:cs="Arial"/>
          <w:szCs w:val="22"/>
          <w:lang w:val="en-GB"/>
        </w:rPr>
        <w:t>during its thirteenth and fourteen</w:t>
      </w:r>
      <w:r w:rsidRPr="00AB2B31">
        <w:rPr>
          <w:rFonts w:eastAsia="Arial" w:cs="Arial"/>
          <w:szCs w:val="22"/>
          <w:lang w:val="en-GB"/>
        </w:rPr>
        <w:t>th sessions</w:t>
      </w:r>
      <w:r w:rsidRPr="008A0C2D">
        <w:rPr>
          <w:rFonts w:eastAsia="Arial" w:cs="Arial"/>
          <w:szCs w:val="22"/>
          <w:lang w:val="en-GB"/>
        </w:rPr>
        <w:t>.</w:t>
      </w:r>
    </w:p>
    <w:p w14:paraId="7F655B25" w14:textId="71391C2F" w:rsidR="007E0222" w:rsidRPr="008A0C2D" w:rsidRDefault="007E0222" w:rsidP="008A0C2D">
      <w:pPr>
        <w:pStyle w:val="Marge"/>
        <w:numPr>
          <w:ilvl w:val="0"/>
          <w:numId w:val="19"/>
        </w:numPr>
        <w:spacing w:after="120"/>
        <w:ind w:left="567" w:hanging="567"/>
        <w:rPr>
          <w:rFonts w:eastAsia="Arial" w:cs="Arial"/>
          <w:szCs w:val="22"/>
          <w:lang w:val="en-GB"/>
        </w:rPr>
      </w:pPr>
      <w:r w:rsidRPr="00AE18A1">
        <w:rPr>
          <w:rFonts w:eastAsia="Arial" w:cs="Arial"/>
          <w:szCs w:val="22"/>
          <w:lang w:val="en-GB"/>
        </w:rPr>
        <w:t xml:space="preserve">This report </w:t>
      </w:r>
      <w:proofErr w:type="gramStart"/>
      <w:r w:rsidRPr="00AE18A1">
        <w:rPr>
          <w:rFonts w:eastAsia="Arial" w:cs="Arial"/>
          <w:szCs w:val="22"/>
          <w:lang w:val="en-GB"/>
        </w:rPr>
        <w:t>should be read</w:t>
      </w:r>
      <w:proofErr w:type="gramEnd"/>
      <w:r w:rsidRPr="00AE18A1">
        <w:rPr>
          <w:rFonts w:eastAsia="Arial" w:cs="Arial"/>
          <w:szCs w:val="22"/>
          <w:lang w:val="en-GB"/>
        </w:rPr>
        <w:t xml:space="preserve"> in conjunction with </w:t>
      </w:r>
      <w:r w:rsidRPr="002F33A8">
        <w:rPr>
          <w:rFonts w:eastAsia="Arial" w:cs="Arial"/>
          <w:szCs w:val="22"/>
          <w:lang w:val="en-GB"/>
        </w:rPr>
        <w:t xml:space="preserve">the </w:t>
      </w:r>
      <w:r>
        <w:rPr>
          <w:rFonts w:eastAsia="Arial" w:cs="Arial"/>
          <w:szCs w:val="22"/>
          <w:lang w:val="en-GB"/>
        </w:rPr>
        <w:t>r</w:t>
      </w:r>
      <w:r w:rsidRPr="002F33A8">
        <w:rPr>
          <w:rFonts w:eastAsia="Arial" w:cs="Arial"/>
          <w:szCs w:val="22"/>
          <w:lang w:val="en-GB"/>
        </w:rPr>
        <w:t xml:space="preserve">eport </w:t>
      </w:r>
      <w:r w:rsidR="004222E6">
        <w:rPr>
          <w:rFonts w:eastAsia="Arial" w:cs="Arial"/>
          <w:szCs w:val="22"/>
          <w:lang w:val="en-GB"/>
        </w:rPr>
        <w:t>by</w:t>
      </w:r>
      <w:r w:rsidRPr="002F33A8">
        <w:rPr>
          <w:rFonts w:eastAsia="Arial" w:cs="Arial"/>
          <w:szCs w:val="22"/>
          <w:lang w:val="en-GB"/>
        </w:rPr>
        <w:t xml:space="preserve"> the Secretariat on its activities (</w:t>
      </w:r>
      <w:hyperlink r:id="rId9" w:history="1">
        <w:r w:rsidRPr="004132F7">
          <w:rPr>
            <w:rStyle w:val="Lienhypertexte"/>
            <w:rFonts w:eastAsia="Arial" w:cs="Arial"/>
            <w:szCs w:val="22"/>
            <w:lang w:val="en-GB"/>
          </w:rPr>
          <w:t>document </w:t>
        </w:r>
        <w:r w:rsidR="00065199" w:rsidRPr="004132F7">
          <w:rPr>
            <w:rStyle w:val="Lienhypertexte"/>
            <w:rFonts w:eastAsia="Arial"/>
            <w:lang w:val="en-US"/>
          </w:rPr>
          <w:t>LHE/20</w:t>
        </w:r>
        <w:r w:rsidRPr="004132F7">
          <w:rPr>
            <w:rStyle w:val="Lienhypertexte"/>
            <w:rFonts w:eastAsia="Arial"/>
            <w:lang w:val="en-US"/>
          </w:rPr>
          <w:t>/</w:t>
        </w:r>
        <w:r w:rsidR="00065199" w:rsidRPr="004132F7">
          <w:rPr>
            <w:rStyle w:val="Lienhypertexte"/>
            <w:rFonts w:eastAsia="Arial" w:cs="Arial"/>
            <w:szCs w:val="22"/>
            <w:lang w:val="en-GB"/>
          </w:rPr>
          <w:t>8</w:t>
        </w:r>
        <w:r w:rsidRPr="004132F7">
          <w:rPr>
            <w:rStyle w:val="Lienhypertexte"/>
            <w:rFonts w:eastAsia="Arial"/>
            <w:lang w:val="en-US"/>
          </w:rPr>
          <w:t>.GA/</w:t>
        </w:r>
        <w:r w:rsidR="00065199" w:rsidRPr="004132F7">
          <w:rPr>
            <w:rStyle w:val="Lienhypertexte"/>
            <w:rFonts w:eastAsia="Arial" w:cs="Arial"/>
            <w:szCs w:val="22"/>
            <w:lang w:val="en-GB"/>
          </w:rPr>
          <w:t>6</w:t>
        </w:r>
      </w:hyperlink>
      <w:r w:rsidRPr="002F33A8">
        <w:rPr>
          <w:rFonts w:eastAsia="Arial" w:cs="Arial"/>
          <w:szCs w:val="22"/>
          <w:lang w:val="en-GB"/>
        </w:rPr>
        <w:t xml:space="preserve">) </w:t>
      </w:r>
      <w:r w:rsidR="00EA145D" w:rsidRPr="00EA145D">
        <w:rPr>
          <w:rFonts w:eastAsia="Arial" w:cs="Arial"/>
          <w:szCs w:val="22"/>
          <w:lang w:val="en-GB"/>
        </w:rPr>
        <w:t>and the financial statement of the Fund for the Safeguarding of the Intangible Cultural Heritage (</w:t>
      </w:r>
      <w:hyperlink r:id="rId10" w:history="1">
        <w:r w:rsidR="00EA145D" w:rsidRPr="004132F7">
          <w:rPr>
            <w:rStyle w:val="Lienhypertexte"/>
            <w:rFonts w:eastAsia="Arial" w:cs="Arial"/>
            <w:szCs w:val="22"/>
            <w:lang w:val="en-GB"/>
          </w:rPr>
          <w:t xml:space="preserve">document </w:t>
        </w:r>
        <w:r w:rsidR="00065199" w:rsidRPr="004132F7">
          <w:rPr>
            <w:rStyle w:val="Lienhypertexte"/>
            <w:rFonts w:eastAsia="Arial" w:cs="Arial"/>
            <w:szCs w:val="22"/>
            <w:lang w:val="en-GB"/>
          </w:rPr>
          <w:t>LHE/20/8</w:t>
        </w:r>
        <w:r w:rsidR="00EA145D" w:rsidRPr="004132F7">
          <w:rPr>
            <w:rStyle w:val="Lienhypertexte"/>
            <w:rFonts w:eastAsia="Arial" w:cs="Arial"/>
            <w:szCs w:val="22"/>
            <w:lang w:val="en-GB"/>
          </w:rPr>
          <w:t>.GA/</w:t>
        </w:r>
        <w:r w:rsidR="00F03809" w:rsidRPr="004132F7">
          <w:rPr>
            <w:rStyle w:val="Lienhypertexte"/>
            <w:rFonts w:eastAsia="Arial" w:cs="Arial"/>
            <w:szCs w:val="22"/>
            <w:lang w:val="en-GB"/>
          </w:rPr>
          <w:t>INF.7</w:t>
        </w:r>
      </w:hyperlink>
      <w:r w:rsidR="00EA145D" w:rsidRPr="00EA145D">
        <w:rPr>
          <w:rFonts w:eastAsia="Arial" w:cs="Arial"/>
          <w:szCs w:val="22"/>
          <w:lang w:val="en-GB"/>
        </w:rPr>
        <w:t>)</w:t>
      </w:r>
      <w:r w:rsidRPr="002F33A8">
        <w:rPr>
          <w:rFonts w:eastAsia="Arial" w:cs="Arial"/>
          <w:szCs w:val="22"/>
          <w:lang w:val="en-GB"/>
        </w:rPr>
        <w:t>.</w:t>
      </w:r>
    </w:p>
    <w:p w14:paraId="6E66A31C" w14:textId="77777777" w:rsidR="008A1ED4" w:rsidRPr="005A4A42" w:rsidRDefault="008A1ED4" w:rsidP="008A1ED4">
      <w:pPr>
        <w:keepNext/>
        <w:numPr>
          <w:ilvl w:val="0"/>
          <w:numId w:val="19"/>
        </w:numPr>
        <w:ind w:left="567" w:hanging="567"/>
        <w:jc w:val="both"/>
        <w:rPr>
          <w:rFonts w:ascii="Arial" w:eastAsia="SimSun" w:hAnsi="Arial" w:cs="Arial"/>
          <w:sz w:val="22"/>
          <w:szCs w:val="22"/>
          <w:lang w:val="en-GB"/>
        </w:rPr>
      </w:pPr>
      <w:r w:rsidRPr="005A4A42">
        <w:rPr>
          <w:rFonts w:ascii="Arial" w:hAnsi="Arial"/>
          <w:sz w:val="22"/>
          <w:lang w:val="en-GB"/>
        </w:rPr>
        <w:t>The General Assembly may wish to adopt the following resolution:</w:t>
      </w:r>
    </w:p>
    <w:p w14:paraId="728C4EFF" w14:textId="2AA70606" w:rsidR="008A1ED4" w:rsidRDefault="008A1ED4" w:rsidP="008A1ED4">
      <w:pPr>
        <w:pStyle w:val="GATitleResolution"/>
      </w:pPr>
      <w:r>
        <w:t xml:space="preserve">DRAFT </w:t>
      </w:r>
      <w:r w:rsidR="00065199">
        <w:t>RESOLUTION 8</w:t>
      </w:r>
      <w:r w:rsidRPr="00EA145D">
        <w:t xml:space="preserve">.GA </w:t>
      </w:r>
      <w:r w:rsidR="00EA145D" w:rsidRPr="008A0C2D">
        <w:t>5</w:t>
      </w:r>
    </w:p>
    <w:p w14:paraId="0BBF8726" w14:textId="77777777" w:rsidR="008A1ED4" w:rsidRPr="005A4A42" w:rsidRDefault="008A1ED4" w:rsidP="008A1ED4">
      <w:pPr>
        <w:pStyle w:val="GAPreambulaResolution"/>
        <w:rPr>
          <w:rFonts w:eastAsia="SimSun"/>
        </w:rPr>
      </w:pPr>
      <w:r w:rsidRPr="005A4A42">
        <w:t>The General Assembly,</w:t>
      </w:r>
    </w:p>
    <w:p w14:paraId="4DB06FAE" w14:textId="258ED674" w:rsidR="008A1ED4" w:rsidRPr="00345CB4" w:rsidRDefault="008A1ED4" w:rsidP="005D60CA">
      <w:pPr>
        <w:pStyle w:val="COMParaDecision"/>
        <w:numPr>
          <w:ilvl w:val="0"/>
          <w:numId w:val="10"/>
        </w:numPr>
        <w:ind w:left="1134" w:hanging="567"/>
      </w:pPr>
      <w:r w:rsidRPr="00345CB4">
        <w:t>Having examined</w:t>
      </w:r>
      <w:r w:rsidRPr="00F32C23">
        <w:rPr>
          <w:u w:val="none"/>
        </w:rPr>
        <w:t xml:space="preserve"> doc</w:t>
      </w:r>
      <w:r w:rsidR="00065199">
        <w:rPr>
          <w:u w:val="none"/>
        </w:rPr>
        <w:t>ument LHE/20/8</w:t>
      </w:r>
      <w:r>
        <w:rPr>
          <w:u w:val="none"/>
        </w:rPr>
        <w:t>.GA</w:t>
      </w:r>
      <w:r w:rsidRPr="00F32C23">
        <w:rPr>
          <w:u w:val="none"/>
        </w:rPr>
        <w:t>/</w:t>
      </w:r>
      <w:r w:rsidR="00EA145D">
        <w:rPr>
          <w:u w:val="none"/>
        </w:rPr>
        <w:t>5</w:t>
      </w:r>
      <w:r w:rsidRPr="00F32C23">
        <w:rPr>
          <w:u w:val="none"/>
        </w:rPr>
        <w:t>,</w:t>
      </w:r>
    </w:p>
    <w:p w14:paraId="04B94CDE" w14:textId="24E8D5DC" w:rsidR="008A1ED4" w:rsidRPr="00345CB4" w:rsidRDefault="008A1ED4" w:rsidP="005D60CA">
      <w:pPr>
        <w:pStyle w:val="COMParaDecision"/>
        <w:numPr>
          <w:ilvl w:val="0"/>
          <w:numId w:val="10"/>
        </w:numPr>
        <w:ind w:left="1134" w:hanging="567"/>
      </w:pPr>
      <w:r w:rsidRPr="00345CB4">
        <w:t>Recalling</w:t>
      </w:r>
      <w:r w:rsidRPr="00F32C23">
        <w:rPr>
          <w:u w:val="none"/>
        </w:rPr>
        <w:t xml:space="preserve"> </w:t>
      </w:r>
      <w:r w:rsidR="00AF1214" w:rsidRPr="005D60CA">
        <w:rPr>
          <w:u w:val="none"/>
        </w:rPr>
        <w:t>Article 30 of the Convention</w:t>
      </w:r>
      <w:r w:rsidRPr="00D52C71">
        <w:rPr>
          <w:u w:val="none"/>
        </w:rPr>
        <w:t>,</w:t>
      </w:r>
    </w:p>
    <w:p w14:paraId="2A2685EC" w14:textId="4DB18F60" w:rsidR="00AF1214" w:rsidRPr="005D60CA" w:rsidRDefault="00AF1214" w:rsidP="005D60CA">
      <w:pPr>
        <w:pStyle w:val="COMParaDecision"/>
        <w:numPr>
          <w:ilvl w:val="0"/>
          <w:numId w:val="10"/>
        </w:numPr>
        <w:ind w:left="1134" w:hanging="567"/>
        <w:rPr>
          <w:u w:val="none"/>
        </w:rPr>
      </w:pPr>
      <w:r w:rsidRPr="003E6EA4">
        <w:t>Welcomes</w:t>
      </w:r>
      <w:r w:rsidR="0095272A">
        <w:rPr>
          <w:u w:val="none"/>
        </w:rPr>
        <w:t xml:space="preserve"> Kiribati, Singapore</w:t>
      </w:r>
      <w:r w:rsidR="00F03809">
        <w:rPr>
          <w:u w:val="none"/>
        </w:rPr>
        <w:t xml:space="preserve"> and</w:t>
      </w:r>
      <w:r w:rsidRPr="005D60CA">
        <w:rPr>
          <w:u w:val="none"/>
        </w:rPr>
        <w:t xml:space="preserve"> </w:t>
      </w:r>
      <w:r w:rsidR="00623F63">
        <w:rPr>
          <w:u w:val="none"/>
        </w:rPr>
        <w:t>Solomon Islands, which</w:t>
      </w:r>
      <w:r w:rsidRPr="005D60CA">
        <w:rPr>
          <w:u w:val="none"/>
        </w:rPr>
        <w:t xml:space="preserve"> </w:t>
      </w:r>
      <w:r w:rsidRPr="00D52C71">
        <w:rPr>
          <w:u w:val="none"/>
        </w:rPr>
        <w:t xml:space="preserve">ratified the Convention </w:t>
      </w:r>
      <w:r>
        <w:rPr>
          <w:u w:val="none"/>
        </w:rPr>
        <w:t>during the reporting period</w:t>
      </w:r>
      <w:r w:rsidRPr="00D52C71">
        <w:rPr>
          <w:u w:val="none"/>
        </w:rPr>
        <w:t xml:space="preserve"> and</w:t>
      </w:r>
      <w:r w:rsidRPr="005D60CA">
        <w:rPr>
          <w:u w:val="none"/>
        </w:rPr>
        <w:t xml:space="preserve"> </w:t>
      </w:r>
      <w:r w:rsidRPr="00F03809">
        <w:t>expresses satisfaction</w:t>
      </w:r>
      <w:r w:rsidR="00CE76B7">
        <w:rPr>
          <w:u w:val="none"/>
        </w:rPr>
        <w:t xml:space="preserve"> with the high rate of</w:t>
      </w:r>
      <w:r w:rsidRPr="00F03809">
        <w:rPr>
          <w:u w:val="none"/>
        </w:rPr>
        <w:t xml:space="preserve"> ratification</w:t>
      </w:r>
      <w:r w:rsidR="001D388F" w:rsidRPr="00F03809">
        <w:rPr>
          <w:u w:val="none"/>
        </w:rPr>
        <w:t xml:space="preserve"> across the regions</w:t>
      </w:r>
      <w:r w:rsidRPr="00F03809">
        <w:rPr>
          <w:u w:val="none"/>
        </w:rPr>
        <w:t>;</w:t>
      </w:r>
    </w:p>
    <w:p w14:paraId="3A16ED7C" w14:textId="5EC7E04E" w:rsidR="00AF1214" w:rsidRPr="005D60CA" w:rsidRDefault="00AF1214" w:rsidP="005D60CA">
      <w:pPr>
        <w:pStyle w:val="COMParaDecision"/>
        <w:numPr>
          <w:ilvl w:val="0"/>
          <w:numId w:val="10"/>
        </w:numPr>
        <w:ind w:left="1134" w:hanging="567"/>
      </w:pPr>
      <w:r w:rsidRPr="00AF1214">
        <w:t>Takes note</w:t>
      </w:r>
      <w:r w:rsidRPr="005D60CA">
        <w:rPr>
          <w:u w:val="none"/>
        </w:rPr>
        <w:t xml:space="preserve"> of the report </w:t>
      </w:r>
      <w:r w:rsidR="00983874">
        <w:rPr>
          <w:u w:val="none"/>
        </w:rPr>
        <w:t>by</w:t>
      </w:r>
      <w:r w:rsidRPr="005D60CA">
        <w:rPr>
          <w:u w:val="none"/>
        </w:rPr>
        <w:t xml:space="preserve"> the Committee to the General Assembly on its activities between J</w:t>
      </w:r>
      <w:r>
        <w:rPr>
          <w:u w:val="none"/>
        </w:rPr>
        <w:t>anuary</w:t>
      </w:r>
      <w:r w:rsidR="00623F63">
        <w:rPr>
          <w:u w:val="none"/>
        </w:rPr>
        <w:t xml:space="preserve"> 2018</w:t>
      </w:r>
      <w:r w:rsidRPr="005D60CA">
        <w:rPr>
          <w:u w:val="none"/>
        </w:rPr>
        <w:t xml:space="preserve"> and </w:t>
      </w:r>
      <w:r>
        <w:rPr>
          <w:u w:val="none"/>
        </w:rPr>
        <w:t>December</w:t>
      </w:r>
      <w:r w:rsidR="00623F63">
        <w:rPr>
          <w:u w:val="none"/>
        </w:rPr>
        <w:t xml:space="preserve"> 2019</w:t>
      </w:r>
      <w:r w:rsidR="006A4147">
        <w:rPr>
          <w:u w:val="none"/>
        </w:rPr>
        <w:t xml:space="preserve">, </w:t>
      </w:r>
      <w:r w:rsidR="006A4147" w:rsidRPr="00AB2B31">
        <w:rPr>
          <w:u w:val="none"/>
        </w:rPr>
        <w:t xml:space="preserve">as annexed to </w:t>
      </w:r>
      <w:r w:rsidR="001D08DC">
        <w:rPr>
          <w:u w:val="none"/>
        </w:rPr>
        <w:t>this document</w:t>
      </w:r>
      <w:r w:rsidR="006A4147">
        <w:rPr>
          <w:u w:val="none"/>
        </w:rPr>
        <w:t>,</w:t>
      </w:r>
      <w:r w:rsidRPr="005D60CA">
        <w:rPr>
          <w:u w:val="none"/>
        </w:rPr>
        <w:t xml:space="preserve"> and </w:t>
      </w:r>
      <w:r w:rsidRPr="00900ED1">
        <w:t>thanks</w:t>
      </w:r>
      <w:r w:rsidR="00F03809">
        <w:rPr>
          <w:u w:val="none"/>
        </w:rPr>
        <w:t xml:space="preserve"> the Committee for its productive</w:t>
      </w:r>
      <w:r w:rsidRPr="005D60CA">
        <w:rPr>
          <w:u w:val="none"/>
        </w:rPr>
        <w:t xml:space="preserve"> work;</w:t>
      </w:r>
    </w:p>
    <w:p w14:paraId="4A82BF9C" w14:textId="306FBC1D" w:rsidR="007B5C48" w:rsidRPr="00810A3D" w:rsidRDefault="00AF1214" w:rsidP="005D60CA">
      <w:pPr>
        <w:pStyle w:val="COMParaDecision"/>
        <w:numPr>
          <w:ilvl w:val="0"/>
          <w:numId w:val="10"/>
        </w:numPr>
        <w:ind w:left="1134" w:hanging="567"/>
        <w:rPr>
          <w:u w:val="none"/>
        </w:rPr>
      </w:pPr>
      <w:r w:rsidRPr="00810A3D">
        <w:t>Commends</w:t>
      </w:r>
      <w:r w:rsidRPr="00810A3D">
        <w:rPr>
          <w:u w:val="none"/>
        </w:rPr>
        <w:t xml:space="preserve"> the Committee </w:t>
      </w:r>
      <w:r w:rsidR="0093773A" w:rsidRPr="00810A3D">
        <w:rPr>
          <w:u w:val="none"/>
        </w:rPr>
        <w:t xml:space="preserve">for </w:t>
      </w:r>
      <w:r w:rsidR="00983874" w:rsidRPr="00810A3D">
        <w:rPr>
          <w:u w:val="none"/>
        </w:rPr>
        <w:t xml:space="preserve">the </w:t>
      </w:r>
      <w:r w:rsidR="0093773A" w:rsidRPr="00810A3D">
        <w:rPr>
          <w:u w:val="none"/>
        </w:rPr>
        <w:t xml:space="preserve">progress made </w:t>
      </w:r>
      <w:r w:rsidR="00983874" w:rsidRPr="00810A3D">
        <w:rPr>
          <w:u w:val="none"/>
        </w:rPr>
        <w:t>i</w:t>
      </w:r>
      <w:r w:rsidR="0093773A" w:rsidRPr="00810A3D">
        <w:rPr>
          <w:u w:val="none"/>
        </w:rPr>
        <w:t xml:space="preserve">n </w:t>
      </w:r>
      <w:r w:rsidR="00D52C71" w:rsidRPr="00810A3D">
        <w:rPr>
          <w:u w:val="none"/>
        </w:rPr>
        <w:t>improving the</w:t>
      </w:r>
      <w:r w:rsidR="0093773A" w:rsidRPr="00810A3D">
        <w:rPr>
          <w:u w:val="none"/>
        </w:rPr>
        <w:t xml:space="preserve"> governance </w:t>
      </w:r>
      <w:r w:rsidRPr="00810A3D">
        <w:rPr>
          <w:u w:val="none"/>
        </w:rPr>
        <w:t>of</w:t>
      </w:r>
      <w:r w:rsidR="0093773A" w:rsidRPr="00810A3D">
        <w:rPr>
          <w:u w:val="none"/>
        </w:rPr>
        <w:t xml:space="preserve"> the</w:t>
      </w:r>
      <w:r w:rsidR="00E01D31">
        <w:rPr>
          <w:u w:val="none"/>
        </w:rPr>
        <w:t xml:space="preserve"> </w:t>
      </w:r>
      <w:r w:rsidRPr="00810A3D">
        <w:rPr>
          <w:u w:val="none"/>
        </w:rPr>
        <w:t>Convention</w:t>
      </w:r>
      <w:r w:rsidR="00983874" w:rsidRPr="00810A3D">
        <w:rPr>
          <w:u w:val="none"/>
        </w:rPr>
        <w:t>,</w:t>
      </w:r>
      <w:r w:rsidR="00B41707" w:rsidRPr="00810A3D">
        <w:rPr>
          <w:u w:val="none"/>
        </w:rPr>
        <w:t xml:space="preserve"> </w:t>
      </w:r>
      <w:r w:rsidR="007B5C48" w:rsidRPr="00810A3D">
        <w:rPr>
          <w:u w:val="none"/>
        </w:rPr>
        <w:t>notably</w:t>
      </w:r>
      <w:r w:rsidR="00CE76B7" w:rsidRPr="00810A3D">
        <w:rPr>
          <w:u w:val="none"/>
        </w:rPr>
        <w:t xml:space="preserve"> through</w:t>
      </w:r>
      <w:r w:rsidR="007B5C48" w:rsidRPr="00810A3D">
        <w:rPr>
          <w:u w:val="none"/>
        </w:rPr>
        <w:t xml:space="preserve"> the reform of the </w:t>
      </w:r>
      <w:r w:rsidR="007B5C48" w:rsidRPr="009230D8">
        <w:rPr>
          <w:u w:val="none"/>
        </w:rPr>
        <w:t>periodic reporting mechanism</w:t>
      </w:r>
      <w:r w:rsidR="007B5C48" w:rsidRPr="00810A3D">
        <w:rPr>
          <w:u w:val="none"/>
        </w:rPr>
        <w:t xml:space="preserve"> </w:t>
      </w:r>
      <w:r w:rsidR="00B81105" w:rsidRPr="00E25D7B">
        <w:rPr>
          <w:u w:val="none"/>
        </w:rPr>
        <w:t>that</w:t>
      </w:r>
      <w:r w:rsidR="00173544" w:rsidRPr="00E25D7B">
        <w:rPr>
          <w:u w:val="none"/>
        </w:rPr>
        <w:t xml:space="preserve"> </w:t>
      </w:r>
      <w:r w:rsidR="009230D8">
        <w:rPr>
          <w:u w:val="none"/>
        </w:rPr>
        <w:t>a) aims to improve the low submission rate of reports, b</w:t>
      </w:r>
      <w:r w:rsidR="00173544" w:rsidRPr="00E25D7B">
        <w:rPr>
          <w:u w:val="none"/>
        </w:rPr>
        <w:t>) </w:t>
      </w:r>
      <w:r w:rsidR="003D2D65" w:rsidRPr="00E25D7B">
        <w:rPr>
          <w:u w:val="none"/>
        </w:rPr>
        <w:t xml:space="preserve">has been aligned </w:t>
      </w:r>
      <w:r w:rsidR="00173544" w:rsidRPr="00E25D7B">
        <w:rPr>
          <w:u w:val="none"/>
        </w:rPr>
        <w:t xml:space="preserve">to the overall results framework and </w:t>
      </w:r>
      <w:r w:rsidR="009230D8">
        <w:rPr>
          <w:u w:val="none"/>
        </w:rPr>
        <w:t>c</w:t>
      </w:r>
      <w:r w:rsidR="00173544" w:rsidRPr="00E25D7B">
        <w:rPr>
          <w:u w:val="none"/>
        </w:rPr>
        <w:t>) will</w:t>
      </w:r>
      <w:r w:rsidR="007B5C48" w:rsidRPr="00810A3D">
        <w:rPr>
          <w:u w:val="none"/>
        </w:rPr>
        <w:t xml:space="preserve"> follow a regional cycle of reporting</w:t>
      </w:r>
      <w:r w:rsidR="00173544" w:rsidRPr="00E25D7B">
        <w:rPr>
          <w:u w:val="none"/>
        </w:rPr>
        <w:t xml:space="preserve">, and as such </w:t>
      </w:r>
      <w:r w:rsidR="001B2445" w:rsidRPr="00E25D7B">
        <w:t>expresses its hope</w:t>
      </w:r>
      <w:r w:rsidR="001B2445" w:rsidRPr="00E25D7B">
        <w:rPr>
          <w:u w:val="none"/>
        </w:rPr>
        <w:t xml:space="preserve"> that the reformed mechanism will serve as a useful tool for monitoring the achievements </w:t>
      </w:r>
      <w:r w:rsidR="001077D0" w:rsidRPr="00E25D7B">
        <w:rPr>
          <w:u w:val="none"/>
        </w:rPr>
        <w:t xml:space="preserve">and impacts </w:t>
      </w:r>
      <w:r w:rsidR="001B2445" w:rsidRPr="00E25D7B">
        <w:rPr>
          <w:u w:val="none"/>
        </w:rPr>
        <w:t xml:space="preserve">of the Convention </w:t>
      </w:r>
      <w:r w:rsidR="00C81098" w:rsidRPr="00B366A8">
        <w:rPr>
          <w:u w:val="none"/>
        </w:rPr>
        <w:t>at various levels</w:t>
      </w:r>
      <w:r w:rsidR="00C81098" w:rsidRPr="00810A3D">
        <w:rPr>
          <w:u w:val="none"/>
        </w:rPr>
        <w:t xml:space="preserve"> </w:t>
      </w:r>
      <w:r w:rsidR="001B2445" w:rsidRPr="00E25D7B">
        <w:rPr>
          <w:u w:val="none"/>
        </w:rPr>
        <w:t>in all regions;</w:t>
      </w:r>
    </w:p>
    <w:p w14:paraId="51312619" w14:textId="535982E9" w:rsidR="00712566" w:rsidRPr="00CF07CB" w:rsidRDefault="002037F7" w:rsidP="00E25D7B">
      <w:pPr>
        <w:pStyle w:val="COMParaDecision"/>
        <w:numPr>
          <w:ilvl w:val="0"/>
          <w:numId w:val="10"/>
        </w:numPr>
        <w:ind w:left="1134" w:hanging="567"/>
        <w:rPr>
          <w:u w:val="none"/>
        </w:rPr>
      </w:pPr>
      <w:r w:rsidRPr="00C47184">
        <w:t>Further commends</w:t>
      </w:r>
      <w:r w:rsidR="00712566">
        <w:rPr>
          <w:u w:val="none"/>
        </w:rPr>
        <w:t xml:space="preserve"> the Committee for the</w:t>
      </w:r>
      <w:r w:rsidRPr="00C47184">
        <w:rPr>
          <w:u w:val="none"/>
        </w:rPr>
        <w:t xml:space="preserve"> continued </w:t>
      </w:r>
      <w:r w:rsidR="00712566">
        <w:rPr>
          <w:rFonts w:eastAsia="Arial"/>
          <w:u w:val="none"/>
        </w:rPr>
        <w:t>importa</w:t>
      </w:r>
      <w:r w:rsidR="00C47184">
        <w:rPr>
          <w:rFonts w:eastAsia="Arial"/>
          <w:u w:val="none"/>
        </w:rPr>
        <w:t>nce</w:t>
      </w:r>
      <w:r w:rsidR="00712566">
        <w:rPr>
          <w:rFonts w:eastAsia="Arial"/>
          <w:u w:val="none"/>
        </w:rPr>
        <w:t xml:space="preserve"> it places on</w:t>
      </w:r>
      <w:r w:rsidR="00AF1214" w:rsidRPr="00C47184">
        <w:rPr>
          <w:rFonts w:eastAsia="Arial"/>
          <w:u w:val="none"/>
        </w:rPr>
        <w:t xml:space="preserve"> capacity building for the implementation of the Convention </w:t>
      </w:r>
      <w:r w:rsidR="00712566">
        <w:rPr>
          <w:u w:val="none"/>
        </w:rPr>
        <w:t xml:space="preserve">through the global </w:t>
      </w:r>
      <w:r w:rsidR="00712566" w:rsidRPr="00712566">
        <w:rPr>
          <w:u w:val="none"/>
        </w:rPr>
        <w:t>capacity-building programme</w:t>
      </w:r>
      <w:r w:rsidR="00810A3D">
        <w:rPr>
          <w:u w:val="none"/>
        </w:rPr>
        <w:t>,</w:t>
      </w:r>
      <w:r w:rsidR="00E01D31">
        <w:rPr>
          <w:u w:val="none"/>
        </w:rPr>
        <w:t xml:space="preserve"> </w:t>
      </w:r>
      <w:r w:rsidR="00810A3D">
        <w:rPr>
          <w:u w:val="none"/>
        </w:rPr>
        <w:t xml:space="preserve">and </w:t>
      </w:r>
      <w:r w:rsidR="00810A3D">
        <w:t>n</w:t>
      </w:r>
      <w:r w:rsidR="003D2D65">
        <w:t>otes with satisfaction</w:t>
      </w:r>
      <w:r w:rsidR="00B03E6D">
        <w:rPr>
          <w:u w:val="none"/>
        </w:rPr>
        <w:t xml:space="preserve"> </w:t>
      </w:r>
      <w:r w:rsidR="00810A3D">
        <w:rPr>
          <w:u w:val="none"/>
        </w:rPr>
        <w:t>the</w:t>
      </w:r>
      <w:r w:rsidR="003D2D65">
        <w:rPr>
          <w:u w:val="none"/>
        </w:rPr>
        <w:t xml:space="preserve"> initiatives related to safeguarding intangible cultural heritage in formal and non-formal education;</w:t>
      </w:r>
    </w:p>
    <w:p w14:paraId="3EBF022C" w14:textId="0FD86BAA" w:rsidR="009230D8" w:rsidRPr="00E90FE0" w:rsidRDefault="00111696" w:rsidP="00D22279">
      <w:pPr>
        <w:pStyle w:val="COMParaDecision"/>
        <w:numPr>
          <w:ilvl w:val="0"/>
          <w:numId w:val="10"/>
        </w:numPr>
        <w:ind w:left="1134" w:hanging="567"/>
        <w:rPr>
          <w:u w:val="none"/>
        </w:rPr>
      </w:pPr>
      <w:r w:rsidRPr="003C4985">
        <w:t>E</w:t>
      </w:r>
      <w:r w:rsidR="006679E9" w:rsidRPr="00E90FE0">
        <w:t>mphasizes</w:t>
      </w:r>
      <w:r w:rsidR="006679E9" w:rsidRPr="00E90FE0">
        <w:rPr>
          <w:u w:val="none"/>
        </w:rPr>
        <w:t xml:space="preserve"> the</w:t>
      </w:r>
      <w:r w:rsidR="003C4985" w:rsidRPr="00E90FE0">
        <w:rPr>
          <w:u w:val="none"/>
        </w:rPr>
        <w:t xml:space="preserve"> significant</w:t>
      </w:r>
      <w:r w:rsidR="006679E9" w:rsidRPr="00E90FE0">
        <w:rPr>
          <w:u w:val="none"/>
        </w:rPr>
        <w:t xml:space="preserve"> role that intangible cultural heritage safeguarding can play in supporting peace building and cooperation,</w:t>
      </w:r>
      <w:r w:rsidR="00C420AA" w:rsidRPr="003C4985">
        <w:rPr>
          <w:u w:val="none"/>
        </w:rPr>
        <w:t xml:space="preserve"> notably</w:t>
      </w:r>
      <w:r w:rsidR="00C72B1B" w:rsidRPr="003C4985">
        <w:rPr>
          <w:u w:val="none"/>
        </w:rPr>
        <w:t xml:space="preserve"> concerning</w:t>
      </w:r>
      <w:r w:rsidR="006679E9" w:rsidRPr="00E90FE0">
        <w:rPr>
          <w:u w:val="none"/>
        </w:rPr>
        <w:t xml:space="preserve"> the decision of the Committee</w:t>
      </w:r>
      <w:r w:rsidR="00E24C64" w:rsidRPr="003C4985">
        <w:rPr>
          <w:u w:val="none"/>
        </w:rPr>
        <w:t xml:space="preserve"> </w:t>
      </w:r>
      <w:r w:rsidR="006679E9" w:rsidRPr="00E90FE0">
        <w:rPr>
          <w:u w:val="none"/>
        </w:rPr>
        <w:t xml:space="preserve">on </w:t>
      </w:r>
      <w:r w:rsidR="008070C9" w:rsidRPr="003C4985">
        <w:rPr>
          <w:u w:val="none"/>
        </w:rPr>
        <w:t>the joint inscription of an element</w:t>
      </w:r>
      <w:r w:rsidR="006679E9" w:rsidRPr="00E90FE0">
        <w:rPr>
          <w:u w:val="none"/>
        </w:rPr>
        <w:t xml:space="preserve"> </w:t>
      </w:r>
      <w:r w:rsidR="00C420AA" w:rsidRPr="003C4985">
        <w:rPr>
          <w:u w:val="none"/>
        </w:rPr>
        <w:t>(</w:t>
      </w:r>
      <w:hyperlink r:id="rId11" w:history="1">
        <w:r w:rsidR="004C25C3" w:rsidRPr="003C4985">
          <w:rPr>
            <w:rStyle w:val="Lienhypertexte"/>
          </w:rPr>
          <w:t>Decision 13</w:t>
        </w:r>
        <w:r w:rsidR="00110FBD">
          <w:rPr>
            <w:rStyle w:val="Lienhypertexte"/>
          </w:rPr>
          <w:t>.</w:t>
        </w:r>
        <w:r w:rsidR="00C420AA" w:rsidRPr="003C4985">
          <w:rPr>
            <w:rStyle w:val="Lienhypertexte"/>
          </w:rPr>
          <w:t>COM</w:t>
        </w:r>
        <w:r w:rsidR="00382DA9" w:rsidRPr="003C4985">
          <w:rPr>
            <w:rStyle w:val="Lienhypertexte"/>
          </w:rPr>
          <w:t> </w:t>
        </w:r>
        <w:r w:rsidR="000D0395" w:rsidRPr="003C4985">
          <w:rPr>
            <w:rStyle w:val="Lienhypertexte"/>
          </w:rPr>
          <w:t>10.b.41</w:t>
        </w:r>
      </w:hyperlink>
      <w:r w:rsidR="00C420AA" w:rsidRPr="003C4985">
        <w:rPr>
          <w:u w:val="none"/>
        </w:rPr>
        <w:t>)</w:t>
      </w:r>
      <w:r w:rsidR="007F4255">
        <w:rPr>
          <w:u w:val="none"/>
        </w:rPr>
        <w:t>;</w:t>
      </w:r>
    </w:p>
    <w:p w14:paraId="27376DA1" w14:textId="0D12A01F" w:rsidR="003C4985" w:rsidRDefault="006E44A1" w:rsidP="005D60CA">
      <w:pPr>
        <w:pStyle w:val="COMParaDecision"/>
        <w:numPr>
          <w:ilvl w:val="0"/>
          <w:numId w:val="10"/>
        </w:numPr>
        <w:ind w:left="1134" w:hanging="567"/>
        <w:rPr>
          <w:u w:val="none"/>
        </w:rPr>
      </w:pPr>
      <w:r>
        <w:t>Stresses the importance</w:t>
      </w:r>
      <w:r w:rsidR="00D52C71" w:rsidRPr="00712566">
        <w:rPr>
          <w:u w:val="none"/>
        </w:rPr>
        <w:t xml:space="preserve"> </w:t>
      </w:r>
      <w:r>
        <w:rPr>
          <w:u w:val="none"/>
        </w:rPr>
        <w:t xml:space="preserve">of </w:t>
      </w:r>
      <w:r w:rsidR="002650C2">
        <w:rPr>
          <w:u w:val="none"/>
        </w:rPr>
        <w:t>the reflection launched by the Committee on the nature and purposes</w:t>
      </w:r>
      <w:r w:rsidR="00F6120F">
        <w:rPr>
          <w:u w:val="none"/>
        </w:rPr>
        <w:t xml:space="preserve"> of the listing mechanisms under the Convention, </w:t>
      </w:r>
      <w:r w:rsidR="00CA35EA">
        <w:rPr>
          <w:u w:val="none"/>
        </w:rPr>
        <w:t xml:space="preserve">including </w:t>
      </w:r>
      <w:r w:rsidR="00F6120F">
        <w:rPr>
          <w:u w:val="none"/>
        </w:rPr>
        <w:t>the follow-up on inscribed elements</w:t>
      </w:r>
      <w:r w:rsidR="00A15A88">
        <w:rPr>
          <w:u w:val="none"/>
        </w:rPr>
        <w:t xml:space="preserve"> </w:t>
      </w:r>
      <w:r w:rsidR="00CA35EA">
        <w:rPr>
          <w:u w:val="none"/>
        </w:rPr>
        <w:t xml:space="preserve">as part of this broader reflection </w:t>
      </w:r>
      <w:r w:rsidR="00A15A88">
        <w:rPr>
          <w:u w:val="none"/>
        </w:rPr>
        <w:t xml:space="preserve">and </w:t>
      </w:r>
      <w:r w:rsidR="003C4985">
        <w:t>welcomes</w:t>
      </w:r>
      <w:r w:rsidR="00A15A88">
        <w:rPr>
          <w:u w:val="none"/>
        </w:rPr>
        <w:t xml:space="preserve"> initial steps taken </w:t>
      </w:r>
      <w:r w:rsidR="00CE76B7">
        <w:rPr>
          <w:u w:val="none"/>
        </w:rPr>
        <w:t xml:space="preserve">to improve the inscription process </w:t>
      </w:r>
      <w:r w:rsidR="00A15A88">
        <w:rPr>
          <w:u w:val="none"/>
        </w:rPr>
        <w:t>through the upstream dialogue</w:t>
      </w:r>
      <w:r w:rsidR="00485E72">
        <w:rPr>
          <w:u w:val="none"/>
        </w:rPr>
        <w:t xml:space="preserve"> process</w:t>
      </w:r>
      <w:r w:rsidR="007F4255">
        <w:rPr>
          <w:u w:val="none"/>
        </w:rPr>
        <w:t>;</w:t>
      </w:r>
    </w:p>
    <w:p w14:paraId="6453E5EA" w14:textId="436E7FB1" w:rsidR="00D52C71" w:rsidRDefault="003C4985" w:rsidP="005D60CA">
      <w:pPr>
        <w:pStyle w:val="COMParaDecision"/>
        <w:numPr>
          <w:ilvl w:val="0"/>
          <w:numId w:val="10"/>
        </w:numPr>
        <w:ind w:left="1134" w:hanging="567"/>
        <w:rPr>
          <w:u w:val="none"/>
        </w:rPr>
      </w:pPr>
      <w:r w:rsidRPr="00E90FE0">
        <w:t>Expresses full satisfaction</w:t>
      </w:r>
      <w:r>
        <w:rPr>
          <w:u w:val="none"/>
        </w:rPr>
        <w:t xml:space="preserve"> with the decision of the Committee to remove an element from one of the Lists of the Convention in keeping with the founding principles of UNESCO and the principles of the Convention of dignity, equality and mutual respect among peoples </w:t>
      </w:r>
      <w:r w:rsidRPr="006A337A">
        <w:rPr>
          <w:u w:val="none"/>
        </w:rPr>
        <w:t>(</w:t>
      </w:r>
      <w:hyperlink r:id="rId12" w:history="1">
        <w:r w:rsidRPr="006A337A">
          <w:rPr>
            <w:rStyle w:val="Lienhypertexte"/>
          </w:rPr>
          <w:t>Decision 14.COM 12</w:t>
        </w:r>
      </w:hyperlink>
      <w:r w:rsidRPr="006A337A">
        <w:rPr>
          <w:u w:val="none"/>
        </w:rPr>
        <w:t>)</w:t>
      </w:r>
      <w:r w:rsidR="00D52C71" w:rsidRPr="00712566">
        <w:rPr>
          <w:u w:val="none"/>
        </w:rPr>
        <w:t>;</w:t>
      </w:r>
    </w:p>
    <w:p w14:paraId="0BE258A9" w14:textId="30200CC7" w:rsidR="00E04EC1" w:rsidRDefault="00616F67" w:rsidP="00E25D7B">
      <w:pPr>
        <w:pStyle w:val="COMParaDecision"/>
        <w:numPr>
          <w:ilvl w:val="0"/>
          <w:numId w:val="10"/>
        </w:numPr>
        <w:ind w:left="1134" w:hanging="567"/>
        <w:rPr>
          <w:u w:val="none"/>
        </w:rPr>
      </w:pPr>
      <w:r>
        <w:lastRenderedPageBreak/>
        <w:t>Also a</w:t>
      </w:r>
      <w:r w:rsidR="00A63BE9" w:rsidRPr="00712566">
        <w:t>ppreciates</w:t>
      </w:r>
      <w:r w:rsidR="00A63BE9" w:rsidRPr="00712566">
        <w:rPr>
          <w:u w:val="none"/>
        </w:rPr>
        <w:t xml:space="preserve"> </w:t>
      </w:r>
      <w:r>
        <w:rPr>
          <w:u w:val="none"/>
        </w:rPr>
        <w:t>the</w:t>
      </w:r>
      <w:r w:rsidR="007004A1">
        <w:rPr>
          <w:u w:val="none"/>
        </w:rPr>
        <w:t xml:space="preserve"> </w:t>
      </w:r>
      <w:r w:rsidR="00A63BE9" w:rsidRPr="00712566">
        <w:rPr>
          <w:u w:val="none"/>
        </w:rPr>
        <w:t>reflection</w:t>
      </w:r>
      <w:r w:rsidR="00D52B40">
        <w:rPr>
          <w:u w:val="none"/>
        </w:rPr>
        <w:t xml:space="preserve"> that</w:t>
      </w:r>
      <w:r w:rsidR="00A63BE9">
        <w:rPr>
          <w:u w:val="none"/>
        </w:rPr>
        <w:t xml:space="preserve"> the</w:t>
      </w:r>
      <w:r w:rsidR="00A63BE9" w:rsidRPr="00712566">
        <w:rPr>
          <w:u w:val="none"/>
        </w:rPr>
        <w:t xml:space="preserve"> Committee has </w:t>
      </w:r>
      <w:r w:rsidR="00A63BE9">
        <w:rPr>
          <w:u w:val="none"/>
        </w:rPr>
        <w:t>undertaken on</w:t>
      </w:r>
      <w:r w:rsidR="00311EF6">
        <w:rPr>
          <w:u w:val="none"/>
        </w:rPr>
        <w:t xml:space="preserve"> </w:t>
      </w:r>
      <w:r w:rsidR="00A63BE9">
        <w:rPr>
          <w:u w:val="none"/>
        </w:rPr>
        <w:t>intangible cultural heritage in emergencies</w:t>
      </w:r>
      <w:r w:rsidR="00311EF6">
        <w:rPr>
          <w:u w:val="none"/>
        </w:rPr>
        <w:t xml:space="preserve"> as well as </w:t>
      </w:r>
      <w:r w:rsidR="007004A1">
        <w:rPr>
          <w:u w:val="none"/>
        </w:rPr>
        <w:t xml:space="preserve">another </w:t>
      </w:r>
      <w:r w:rsidR="00311EF6">
        <w:rPr>
          <w:u w:val="none"/>
        </w:rPr>
        <w:t xml:space="preserve">on </w:t>
      </w:r>
      <w:r w:rsidR="00D52B40">
        <w:rPr>
          <w:u w:val="none"/>
        </w:rPr>
        <w:t xml:space="preserve">the </w:t>
      </w:r>
      <w:r w:rsidR="00C965B5">
        <w:rPr>
          <w:u w:val="none"/>
        </w:rPr>
        <w:t xml:space="preserve">participation of </w:t>
      </w:r>
      <w:r w:rsidR="00D52B40">
        <w:rPr>
          <w:u w:val="none"/>
        </w:rPr>
        <w:t>non-governmental organizations in the implementation of the Convention</w:t>
      </w:r>
      <w:r>
        <w:rPr>
          <w:u w:val="none"/>
        </w:rPr>
        <w:t>;</w:t>
      </w:r>
    </w:p>
    <w:p w14:paraId="4F282CB2" w14:textId="19F139A7" w:rsidR="00D52C71" w:rsidRDefault="00D52C71" w:rsidP="00D52C71">
      <w:pPr>
        <w:pStyle w:val="5GAParaResolution"/>
        <w:numPr>
          <w:ilvl w:val="0"/>
          <w:numId w:val="10"/>
        </w:numPr>
        <w:ind w:left="1134" w:hanging="567"/>
      </w:pPr>
      <w:r w:rsidRPr="001F1F30">
        <w:rPr>
          <w:u w:val="single"/>
        </w:rPr>
        <w:t>Requests</w:t>
      </w:r>
      <w:r w:rsidRPr="001F1F30">
        <w:t xml:space="preserve"> </w:t>
      </w:r>
      <w:r w:rsidR="00983874">
        <w:t xml:space="preserve">that </w:t>
      </w:r>
      <w:r w:rsidRPr="001F1F30">
        <w:t>the Director-General bring this report to the attention of the General Conference of UNESCO, in conformity with Article 30, paragraph 2 of the Convention.</w:t>
      </w:r>
    </w:p>
    <w:p w14:paraId="563D7284" w14:textId="401C9D69" w:rsidR="000D1034" w:rsidRDefault="000D1034">
      <w:pPr>
        <w:rPr>
          <w:rFonts w:ascii="Arial" w:eastAsia="SimSun" w:hAnsi="Arial" w:cs="Arial"/>
          <w:sz w:val="22"/>
          <w:szCs w:val="22"/>
          <w:u w:val="single"/>
          <w:lang w:val="en-GB"/>
        </w:rPr>
      </w:pPr>
      <w:r w:rsidRPr="00CB170C">
        <w:rPr>
          <w:u w:val="single"/>
          <w:lang w:val="en-US"/>
        </w:rPr>
        <w:br w:type="page"/>
      </w:r>
    </w:p>
    <w:p w14:paraId="6ABB5617" w14:textId="77777777" w:rsidR="000D1034" w:rsidRPr="003B42C4" w:rsidRDefault="000D1034" w:rsidP="000D1034">
      <w:pPr>
        <w:pageBreakBefore/>
        <w:spacing w:after="240"/>
        <w:jc w:val="center"/>
        <w:rPr>
          <w:rFonts w:ascii="Arial" w:hAnsi="Arial" w:cs="Arial"/>
          <w:sz w:val="22"/>
          <w:szCs w:val="22"/>
          <w:lang w:val="en-US"/>
        </w:rPr>
      </w:pPr>
      <w:r w:rsidRPr="003B42C4">
        <w:rPr>
          <w:rFonts w:ascii="Arial" w:hAnsi="Arial" w:cs="Arial"/>
          <w:b/>
          <w:bCs/>
          <w:sz w:val="22"/>
          <w:szCs w:val="22"/>
          <w:u w:val="single"/>
          <w:lang w:val="en-US"/>
        </w:rPr>
        <w:lastRenderedPageBreak/>
        <w:t>ANNEX</w:t>
      </w:r>
    </w:p>
    <w:p w14:paraId="2FE29403" w14:textId="5F834DC9" w:rsidR="000D1034" w:rsidRPr="003B42C4" w:rsidRDefault="003B42C4" w:rsidP="000D1034">
      <w:pPr>
        <w:spacing w:after="360"/>
        <w:jc w:val="center"/>
        <w:rPr>
          <w:rFonts w:ascii="Arial" w:hAnsi="Arial" w:cs="Arial"/>
          <w:sz w:val="22"/>
          <w:szCs w:val="22"/>
          <w:lang w:val="en-US"/>
        </w:rPr>
      </w:pPr>
      <w:r w:rsidRPr="003B42C4">
        <w:rPr>
          <w:rFonts w:ascii="Arial" w:hAnsi="Arial" w:cs="Arial"/>
          <w:b/>
          <w:bCs/>
          <w:sz w:val="22"/>
          <w:szCs w:val="22"/>
          <w:lang w:val="en-US"/>
        </w:rPr>
        <w:t>R</w:t>
      </w:r>
      <w:r w:rsidR="000D1034" w:rsidRPr="003B42C4">
        <w:rPr>
          <w:rFonts w:ascii="Arial" w:hAnsi="Arial" w:cs="Arial"/>
          <w:b/>
          <w:bCs/>
          <w:sz w:val="22"/>
          <w:szCs w:val="22"/>
          <w:lang w:val="en-US"/>
        </w:rPr>
        <w:t>eport by the Committee to the General Assembly on its activities</w:t>
      </w:r>
    </w:p>
    <w:p w14:paraId="225500E5"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The functions of the Committee are set out in the 2003 Convention for the Safeguarding of the Intangible Cultural Heritage, in particular in Article 7. This report follows the order of functions set out in that article.</w:t>
      </w:r>
    </w:p>
    <w:p w14:paraId="321027CF"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In 2018, the General Assembly renewed half of the 24 members of the Committee by electing 12 States Parties to serve a term of four years. The 24 members of the Committee, during the period June 2018 to June 2020, were: Armenia, Austria, Azerbaijan*, Cameroon*, China*, Colombia, Cuba, Cyprus, Djibouti*, Guatemala, Jamaica*, Japan*, Kazakhstan*, Kuwait*, Lebanon, Mauritius, the Netherlands*, Palestine, the Philippines, Poland*, Senegal, Sri Lanka*, Togo* and Zambia (those committee members indicated with an asterisk have a mandate between 2018 and 2022; the mandate for those without an asterisk is between 2016 and 2020).</w:t>
      </w:r>
    </w:p>
    <w:p w14:paraId="30D40924"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During the reporting period, the Committee met twice: in Port Louis, Republic of Mauritius, from 26 November to 1 December 2018 for its thirteenth session (13.COM), and in Bogotá, Republic of Colombia, from 9 to 14 December 2019 for its fourteenth session (14.COM).</w:t>
      </w:r>
    </w:p>
    <w:p w14:paraId="516F74DB" w14:textId="40B9BC92"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The Bureau of the thirteenth session of the Committee was elected at the end of the twelfth session in December 2017 in </w:t>
      </w:r>
      <w:proofErr w:type="spellStart"/>
      <w:r w:rsidRPr="003B42C4">
        <w:rPr>
          <w:rFonts w:cs="Arial"/>
          <w:szCs w:val="22"/>
          <w:lang w:val="en-US"/>
        </w:rPr>
        <w:t>Jeju</w:t>
      </w:r>
      <w:proofErr w:type="spellEnd"/>
      <w:r w:rsidRPr="003B42C4">
        <w:rPr>
          <w:rFonts w:cs="Arial"/>
          <w:szCs w:val="22"/>
          <w:lang w:val="en-US"/>
        </w:rPr>
        <w:t xml:space="preserve"> Island, Republic of Korea, and was composed of: H.E.</w:t>
      </w:r>
      <w:r w:rsidR="007F4255">
        <w:rPr>
          <w:rFonts w:cs="Arial"/>
          <w:szCs w:val="22"/>
          <w:lang w:val="en-US"/>
        </w:rPr>
        <w:t> </w:t>
      </w:r>
      <w:proofErr w:type="spellStart"/>
      <w:r w:rsidRPr="003B42C4">
        <w:rPr>
          <w:rFonts w:cs="Arial"/>
          <w:szCs w:val="22"/>
          <w:lang w:val="en-US"/>
        </w:rPr>
        <w:t>Mr</w:t>
      </w:r>
      <w:bookmarkStart w:id="0" w:name="_GoBack"/>
      <w:bookmarkEnd w:id="0"/>
      <w:r w:rsidRPr="003B42C4">
        <w:rPr>
          <w:rFonts w:cs="Arial"/>
          <w:szCs w:val="22"/>
          <w:lang w:val="en-US"/>
        </w:rPr>
        <w:t>Prithvirajsing</w:t>
      </w:r>
      <w:proofErr w:type="spellEnd"/>
      <w:r w:rsidRPr="003B42C4">
        <w:rPr>
          <w:rFonts w:cs="Arial"/>
          <w:szCs w:val="22"/>
          <w:lang w:val="en-US"/>
        </w:rPr>
        <w:t xml:space="preserve"> </w:t>
      </w:r>
      <w:proofErr w:type="spellStart"/>
      <w:r w:rsidRPr="003B42C4">
        <w:rPr>
          <w:rFonts w:cs="Arial"/>
          <w:szCs w:val="22"/>
          <w:lang w:val="en-US"/>
        </w:rPr>
        <w:t>Roopun</w:t>
      </w:r>
      <w:proofErr w:type="spellEnd"/>
      <w:r w:rsidRPr="003B42C4">
        <w:rPr>
          <w:rFonts w:cs="Arial"/>
          <w:szCs w:val="22"/>
          <w:lang w:val="en-US"/>
        </w:rPr>
        <w:t xml:space="preserve"> (Republic of Mauritius) as Chairperson; Cyprus, Armenia, Guatemala, the Philippines and Lebanon as Vice-Chairpersons; and </w:t>
      </w:r>
      <w:proofErr w:type="spellStart"/>
      <w:r w:rsidRPr="003B42C4">
        <w:rPr>
          <w:rFonts w:cs="Arial"/>
          <w:szCs w:val="22"/>
          <w:lang w:val="en-US"/>
        </w:rPr>
        <w:t>Ms</w:t>
      </w:r>
      <w:proofErr w:type="spellEnd"/>
      <w:r w:rsidRPr="003B42C4">
        <w:rPr>
          <w:rFonts w:cs="Arial"/>
          <w:szCs w:val="22"/>
          <w:lang w:val="en-US"/>
        </w:rPr>
        <w:t xml:space="preserve"> Gabriele </w:t>
      </w:r>
      <w:proofErr w:type="spellStart"/>
      <w:r w:rsidRPr="003B42C4">
        <w:rPr>
          <w:rFonts w:cs="Arial"/>
          <w:szCs w:val="22"/>
          <w:lang w:val="en-US"/>
        </w:rPr>
        <w:t>Detschmann</w:t>
      </w:r>
      <w:proofErr w:type="spellEnd"/>
      <w:r w:rsidRPr="003B42C4">
        <w:rPr>
          <w:rFonts w:cs="Arial"/>
          <w:szCs w:val="22"/>
          <w:lang w:val="en-US"/>
        </w:rPr>
        <w:t xml:space="preserve"> (Austria) as Rapporteur.</w:t>
      </w:r>
    </w:p>
    <w:p w14:paraId="3BE2DA0A" w14:textId="77777777" w:rsidR="000D1034" w:rsidRPr="00B46972"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The Bureau of the fourteenth session of the Committee was elected at the end of the thirteenth session in December 2018 in Port Louis, Republic of Mauritius, and was composed of: </w:t>
      </w:r>
      <w:proofErr w:type="spellStart"/>
      <w:r w:rsidRPr="003B42C4">
        <w:rPr>
          <w:rFonts w:cs="Arial"/>
          <w:szCs w:val="22"/>
          <w:lang w:val="en-US"/>
        </w:rPr>
        <w:t>Ms</w:t>
      </w:r>
      <w:proofErr w:type="spellEnd"/>
      <w:r w:rsidRPr="003B42C4">
        <w:rPr>
          <w:rFonts w:cs="Arial"/>
          <w:szCs w:val="22"/>
          <w:lang w:val="en-US"/>
        </w:rPr>
        <w:t xml:space="preserve"> María Claudia Lopez Sorzano (Republic of Colombia) as Chairperson; Austria, Poland, the Philippines, Zambia and Palestine as Vice-Chairpersons; and </w:t>
      </w:r>
      <w:proofErr w:type="spellStart"/>
      <w:r w:rsidRPr="003B42C4">
        <w:rPr>
          <w:rFonts w:cs="Arial"/>
          <w:szCs w:val="22"/>
          <w:lang w:val="en-US"/>
        </w:rPr>
        <w:t>Mr</w:t>
      </w:r>
      <w:proofErr w:type="spellEnd"/>
      <w:r w:rsidRPr="003B42C4">
        <w:rPr>
          <w:rFonts w:cs="Arial"/>
          <w:szCs w:val="22"/>
          <w:lang w:val="en-US"/>
        </w:rPr>
        <w:t xml:space="preserve"> Bernard </w:t>
      </w:r>
      <w:proofErr w:type="spellStart"/>
      <w:r w:rsidRPr="003B42C4">
        <w:rPr>
          <w:rFonts w:cs="Arial"/>
          <w:szCs w:val="22"/>
          <w:lang w:val="en-US"/>
        </w:rPr>
        <w:t>Jankee</w:t>
      </w:r>
      <w:proofErr w:type="spellEnd"/>
      <w:r w:rsidRPr="003B42C4">
        <w:rPr>
          <w:rFonts w:cs="Arial"/>
          <w:szCs w:val="22"/>
          <w:lang w:val="en-US"/>
        </w:rPr>
        <w:t xml:space="preserve"> (Jamaica) </w:t>
      </w:r>
      <w:r w:rsidRPr="00B46972">
        <w:rPr>
          <w:rFonts w:cs="Arial"/>
          <w:szCs w:val="22"/>
          <w:lang w:val="en-US"/>
        </w:rPr>
        <w:t>as Rapporteur.</w:t>
      </w:r>
    </w:p>
    <w:p w14:paraId="08D37B5E" w14:textId="27578B17" w:rsidR="000D1034" w:rsidRPr="00B46972" w:rsidRDefault="000D1034" w:rsidP="000D1034">
      <w:pPr>
        <w:pStyle w:val="Marge"/>
        <w:numPr>
          <w:ilvl w:val="0"/>
          <w:numId w:val="22"/>
        </w:numPr>
        <w:tabs>
          <w:tab w:val="clear" w:pos="928"/>
          <w:tab w:val="num" w:pos="567"/>
        </w:tabs>
        <w:spacing w:after="120"/>
        <w:ind w:left="567" w:hanging="567"/>
        <w:rPr>
          <w:rFonts w:cs="Arial"/>
          <w:szCs w:val="22"/>
          <w:lang w:val="en-US"/>
        </w:rPr>
      </w:pPr>
      <w:r w:rsidRPr="00B46972">
        <w:rPr>
          <w:rFonts w:cs="Arial"/>
          <w:szCs w:val="22"/>
          <w:lang w:val="en-US"/>
        </w:rPr>
        <w:t>The Bureau met from Tuesday to Saturday during the sessions of the Committee. During the reporting period, it also met six times at UNESCO Headquarters, on: 22 March 2018 (13.COM</w:t>
      </w:r>
      <w:r w:rsidR="00B46972" w:rsidRPr="00B46972">
        <w:rPr>
          <w:rFonts w:cs="Arial"/>
          <w:szCs w:val="22"/>
          <w:lang w:val="en-US"/>
        </w:rPr>
        <w:t> </w:t>
      </w:r>
      <w:r w:rsidRPr="00B46972">
        <w:rPr>
          <w:rFonts w:cs="Arial"/>
          <w:szCs w:val="22"/>
          <w:lang w:val="en-US"/>
        </w:rPr>
        <w:t>1.BUR); 7 June 2018 (13.COM 2.BUR); 2 October 2018 (13.COM 3.BUR); 21 March 2019 (14.COM 1.BUR); 18 June 2019 (14.COM 2.BUR) and 3 October 2019 (14.COM 4.BUR). In addition, an electronic consultation was held in September 2019 (14.COM 3.BUR).</w:t>
      </w:r>
    </w:p>
    <w:p w14:paraId="34306E6F"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During the reporting period, the Committee and its Bureau examined a total of 86 items inscribed on their agendas, which were accompanied by 89 working documents or information documents and </w:t>
      </w:r>
      <w:bookmarkStart w:id="1" w:name="_Hlk27160440"/>
      <w:r w:rsidRPr="003B42C4">
        <w:rPr>
          <w:rFonts w:cs="Arial"/>
          <w:szCs w:val="22"/>
          <w:lang w:val="en-US"/>
        </w:rPr>
        <w:t xml:space="preserve">12 </w:t>
      </w:r>
      <w:bookmarkEnd w:id="1"/>
      <w:r w:rsidRPr="003B42C4">
        <w:rPr>
          <w:rFonts w:cs="Arial"/>
          <w:szCs w:val="22"/>
          <w:lang w:val="en-US"/>
        </w:rPr>
        <w:t>nominations for the Urgent Safeguarding List, 78 nominations for the Representative List, 3 proposals for good safeguarding practices, 37 requests for International Assistance, reports submitted by States Parties and 63 requests for accreditation or renewal from non-governmental organizations (hereafter, NGOs). The Committee took note of the reflection on the participation of non-governmental organizations in the implementation of the Convention.</w:t>
      </w:r>
    </w:p>
    <w:p w14:paraId="41097563"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At its fourteenth session, the Committee elected the members of the Bureau of the fifteenth session, and was composed of: H.E. Ms Olivia Grange (Jamaica) as Chairperson; the Netherlands, Azerbaijan, China, Djibouti and Kuwait as Vice-Chairpersons; and </w:t>
      </w:r>
      <w:proofErr w:type="spellStart"/>
      <w:r w:rsidRPr="003B42C4">
        <w:rPr>
          <w:rFonts w:cs="Arial"/>
          <w:szCs w:val="22"/>
          <w:lang w:val="en-US"/>
        </w:rPr>
        <w:t>Mr</w:t>
      </w:r>
      <w:proofErr w:type="spellEnd"/>
      <w:r w:rsidRPr="003B42C4">
        <w:rPr>
          <w:rFonts w:cs="Arial"/>
          <w:szCs w:val="22"/>
          <w:lang w:val="en-US"/>
        </w:rPr>
        <w:t xml:space="preserve"> </w:t>
      </w:r>
      <w:proofErr w:type="spellStart"/>
      <w:r w:rsidRPr="003B42C4">
        <w:rPr>
          <w:rFonts w:cs="Arial"/>
          <w:szCs w:val="22"/>
          <w:lang w:val="en-US"/>
        </w:rPr>
        <w:t>Askar</w:t>
      </w:r>
      <w:proofErr w:type="spellEnd"/>
      <w:r w:rsidRPr="003B42C4">
        <w:rPr>
          <w:rFonts w:cs="Arial"/>
          <w:szCs w:val="22"/>
          <w:lang w:val="en-US"/>
        </w:rPr>
        <w:t xml:space="preserve"> </w:t>
      </w:r>
      <w:proofErr w:type="spellStart"/>
      <w:r w:rsidRPr="003B42C4">
        <w:rPr>
          <w:rFonts w:cs="Arial"/>
          <w:szCs w:val="22"/>
          <w:lang w:val="en-US"/>
        </w:rPr>
        <w:t>Abdrakhmanov</w:t>
      </w:r>
      <w:proofErr w:type="spellEnd"/>
      <w:r w:rsidRPr="003B42C4">
        <w:rPr>
          <w:rFonts w:cs="Arial"/>
          <w:szCs w:val="22"/>
          <w:lang w:val="en-US"/>
        </w:rPr>
        <w:t xml:space="preserve"> (Kazakhstan) as Rapporteur.</w:t>
      </w:r>
    </w:p>
    <w:p w14:paraId="22E9215F" w14:textId="77777777" w:rsidR="000D1034" w:rsidRPr="003B42C4" w:rsidRDefault="000D1034" w:rsidP="000D1034">
      <w:pPr>
        <w:keepNext/>
        <w:numPr>
          <w:ilvl w:val="0"/>
          <w:numId w:val="23"/>
        </w:numPr>
        <w:tabs>
          <w:tab w:val="num" w:pos="567"/>
        </w:tabs>
        <w:spacing w:before="360" w:after="240"/>
        <w:ind w:left="567" w:hanging="567"/>
        <w:jc w:val="both"/>
        <w:rPr>
          <w:rFonts w:ascii="Arial" w:hAnsi="Arial" w:cs="Arial"/>
          <w:b/>
          <w:sz w:val="22"/>
          <w:szCs w:val="22"/>
          <w:lang w:val="en-US"/>
        </w:rPr>
      </w:pPr>
      <w:r w:rsidRPr="003B42C4">
        <w:rPr>
          <w:rFonts w:ascii="Arial" w:hAnsi="Arial" w:cs="Arial"/>
          <w:b/>
          <w:sz w:val="22"/>
          <w:szCs w:val="22"/>
          <w:lang w:val="en-US"/>
        </w:rPr>
        <w:lastRenderedPageBreak/>
        <w:t xml:space="preserve">Promoting the objectives of the Convention, encouraging and monitoring its implementation, and providing guidance on safeguarding measures and good practices </w:t>
      </w:r>
      <w:r w:rsidRPr="003B42C4">
        <w:rPr>
          <w:rFonts w:ascii="Arial" w:hAnsi="Arial" w:cs="Arial"/>
          <w:sz w:val="22"/>
          <w:szCs w:val="22"/>
          <w:lang w:val="en-US"/>
        </w:rPr>
        <w:t>(Article 7[a] and 7[b])</w:t>
      </w:r>
    </w:p>
    <w:p w14:paraId="64B1FB26" w14:textId="77777777" w:rsidR="000D1034" w:rsidRPr="003B42C4" w:rsidRDefault="000D1034" w:rsidP="000D1034">
      <w:pPr>
        <w:pStyle w:val="Paragraphedeliste"/>
        <w:keepNext/>
        <w:numPr>
          <w:ilvl w:val="0"/>
          <w:numId w:val="25"/>
        </w:numPr>
        <w:tabs>
          <w:tab w:val="num" w:pos="567"/>
        </w:tabs>
        <w:spacing w:before="240" w:after="120"/>
        <w:ind w:left="567" w:hanging="567"/>
        <w:rPr>
          <w:rFonts w:ascii="Arial" w:hAnsi="Arial" w:cs="Arial"/>
          <w:b/>
          <w:sz w:val="22"/>
          <w:szCs w:val="22"/>
          <w:lang w:val="en-US"/>
        </w:rPr>
      </w:pPr>
      <w:r w:rsidRPr="003B42C4">
        <w:rPr>
          <w:rFonts w:ascii="Arial" w:hAnsi="Arial" w:cs="Arial"/>
          <w:b/>
          <w:sz w:val="22"/>
          <w:szCs w:val="22"/>
          <w:lang w:val="en-US"/>
        </w:rPr>
        <w:t>Ratification</w:t>
      </w:r>
    </w:p>
    <w:p w14:paraId="1AFCBF24"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Three States (Kiribati, Singapore, Solomon Islands) ratified the Convention between January 2018 and December 2019. At the end of 2019, 178 States were parties to the Convention.</w:t>
      </w:r>
    </w:p>
    <w:p w14:paraId="6D3D95DA" w14:textId="77777777" w:rsidR="000D1034" w:rsidRPr="003B42C4" w:rsidRDefault="000D1034" w:rsidP="000D1034">
      <w:pPr>
        <w:pStyle w:val="Paragraphedeliste"/>
        <w:keepNext/>
        <w:numPr>
          <w:ilvl w:val="0"/>
          <w:numId w:val="25"/>
        </w:numPr>
        <w:spacing w:before="240" w:after="120"/>
        <w:ind w:left="567" w:hanging="567"/>
        <w:contextualSpacing w:val="0"/>
        <w:rPr>
          <w:rFonts w:ascii="Arial" w:hAnsi="Arial" w:cs="Arial"/>
          <w:b/>
          <w:sz w:val="22"/>
          <w:szCs w:val="22"/>
          <w:lang w:val="en-US"/>
        </w:rPr>
      </w:pPr>
      <w:r w:rsidRPr="003B42C4">
        <w:rPr>
          <w:rFonts w:ascii="Arial" w:hAnsi="Arial" w:cs="Arial"/>
          <w:b/>
          <w:sz w:val="22"/>
          <w:szCs w:val="22"/>
          <w:lang w:val="en-US"/>
        </w:rPr>
        <w:t>Sound governance facilitated by enhanced knowledge management services</w:t>
      </w:r>
    </w:p>
    <w:p w14:paraId="6EAABADD" w14:textId="77777777" w:rsidR="000D1034" w:rsidRPr="00D56E06"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The sound governance of the Convention continues to be a priority for the Committee, which is committed to seeking possible improvements to that end. To support these functions, the Bureau of the Committee allocated a total of US$338,512 – i.e., 20 per cent of the line ‘other functions of the Committee’ – for the period January 2018 to December 2019. </w:t>
      </w:r>
      <w:proofErr w:type="gramStart"/>
      <w:r w:rsidRPr="003B42C4">
        <w:rPr>
          <w:rFonts w:cs="Arial"/>
          <w:szCs w:val="22"/>
          <w:lang w:val="en-US"/>
        </w:rPr>
        <w:t>At its thirteenth and fourteenth sessions, the Committee examined the follow-up on the implementation of the relevant recommendations of the Open-Ended Working Group on the Governance, procedures and working methods of the Governing Bodies of UNESCO (documents </w:t>
      </w:r>
      <w:hyperlink r:id="rId13" w:history="1">
        <w:r w:rsidRPr="003B42C4">
          <w:rPr>
            <w:rStyle w:val="Lienhypertexte"/>
            <w:rFonts w:cs="Arial"/>
            <w:szCs w:val="22"/>
            <w:lang w:val="en-US"/>
          </w:rPr>
          <w:t>ITH/18/13.COM/17</w:t>
        </w:r>
      </w:hyperlink>
      <w:r w:rsidRPr="003B42C4">
        <w:rPr>
          <w:rStyle w:val="Lienhypertexte"/>
          <w:rFonts w:cs="Arial"/>
          <w:szCs w:val="22"/>
          <w:lang w:val="en-US"/>
        </w:rPr>
        <w:t xml:space="preserve"> </w:t>
      </w:r>
      <w:r w:rsidRPr="003A768F">
        <w:rPr>
          <w:rStyle w:val="Lienhypertexte"/>
          <w:rFonts w:cs="Arial"/>
          <w:color w:val="auto"/>
          <w:szCs w:val="22"/>
          <w:u w:val="none"/>
          <w:lang w:val="en-US"/>
        </w:rPr>
        <w:t>and</w:t>
      </w:r>
      <w:r w:rsidRPr="003B42C4">
        <w:rPr>
          <w:rStyle w:val="Lienhypertexte"/>
          <w:rFonts w:cs="Arial"/>
          <w:szCs w:val="22"/>
          <w:lang w:val="en-US"/>
        </w:rPr>
        <w:t xml:space="preserve"> </w:t>
      </w:r>
      <w:hyperlink r:id="rId14" w:history="1">
        <w:r w:rsidRPr="003B42C4">
          <w:rPr>
            <w:rStyle w:val="Lienhypertexte"/>
            <w:rFonts w:cs="Arial"/>
            <w:szCs w:val="22"/>
            <w:lang w:val="en-US"/>
          </w:rPr>
          <w:t>LHE/19/14.COM/19</w:t>
        </w:r>
      </w:hyperlink>
      <w:r w:rsidRPr="003B42C4">
        <w:rPr>
          <w:rFonts w:cs="Arial"/>
          <w:szCs w:val="22"/>
          <w:lang w:val="en-US"/>
        </w:rPr>
        <w:t>), which were endorsed by the thirty-eighth session of the General Conference in 2015 (38C/Resolution 101).</w:t>
      </w:r>
      <w:proofErr w:type="gramEnd"/>
      <w:r w:rsidRPr="003B42C4">
        <w:rPr>
          <w:rFonts w:cs="Arial"/>
          <w:szCs w:val="22"/>
          <w:lang w:val="en-US"/>
        </w:rPr>
        <w:t xml:space="preserve"> In general, actions had been taken to move a number of recommendations towards the status ‘closed’ or ‘ongoing’. In between these two sessions of the Committee, the status of the recommendations </w:t>
      </w:r>
      <w:proofErr w:type="gramStart"/>
      <w:r w:rsidRPr="003B42C4">
        <w:rPr>
          <w:rFonts w:cs="Arial"/>
          <w:szCs w:val="22"/>
          <w:lang w:val="en-US"/>
        </w:rPr>
        <w:t>was further discussed</w:t>
      </w:r>
      <w:proofErr w:type="gramEnd"/>
      <w:r w:rsidRPr="003B42C4">
        <w:rPr>
          <w:rFonts w:cs="Arial"/>
          <w:szCs w:val="22"/>
          <w:lang w:val="en-US"/>
        </w:rPr>
        <w:t xml:space="preserve"> during the seventh session of the General Assembly in June 2018 (Resolution </w:t>
      </w:r>
      <w:hyperlink r:id="rId15" w:history="1">
        <w:r w:rsidRPr="003B42C4">
          <w:rPr>
            <w:rStyle w:val="Lienhypertexte"/>
            <w:rFonts w:cs="Arial"/>
            <w:szCs w:val="22"/>
            <w:lang w:val="en-US"/>
          </w:rPr>
          <w:t>ITH/18/7.GA/12</w:t>
        </w:r>
      </w:hyperlink>
      <w:r w:rsidRPr="003B42C4">
        <w:rPr>
          <w:rFonts w:cs="Arial"/>
          <w:szCs w:val="22"/>
          <w:lang w:val="en-US"/>
        </w:rPr>
        <w:t xml:space="preserve">). At its fourteenth session, the Committee also took note that the General </w:t>
      </w:r>
      <w:r w:rsidRPr="00D56E06">
        <w:rPr>
          <w:rFonts w:cs="Arial"/>
          <w:szCs w:val="22"/>
          <w:lang w:val="en-US"/>
        </w:rPr>
        <w:t>Assembly at its eighth session would discuss the preparation of the C/4 and C/5 with reference to Recommendation 74.</w:t>
      </w:r>
    </w:p>
    <w:p w14:paraId="26CF9511" w14:textId="7E97810F" w:rsidR="000D1034" w:rsidRPr="003B42C4" w:rsidRDefault="000D1034" w:rsidP="000D1034">
      <w:pPr>
        <w:pStyle w:val="Paragraphedeliste"/>
        <w:numPr>
          <w:ilvl w:val="0"/>
          <w:numId w:val="22"/>
        </w:numPr>
        <w:tabs>
          <w:tab w:val="clear" w:pos="928"/>
          <w:tab w:val="num" w:pos="567"/>
        </w:tabs>
        <w:spacing w:after="120"/>
        <w:ind w:left="567" w:hanging="567"/>
        <w:contextualSpacing w:val="0"/>
        <w:jc w:val="both"/>
        <w:rPr>
          <w:rFonts w:ascii="Arial" w:hAnsi="Arial" w:cs="Arial"/>
          <w:sz w:val="22"/>
          <w:szCs w:val="22"/>
          <w:lang w:val="en-US"/>
        </w:rPr>
      </w:pPr>
      <w:r w:rsidRPr="003B42C4">
        <w:rPr>
          <w:rFonts w:ascii="Arial" w:hAnsi="Arial" w:cs="Arial"/>
          <w:snapToGrid w:val="0"/>
          <w:sz w:val="22"/>
          <w:szCs w:val="22"/>
          <w:lang w:val="en-US" w:eastAsia="en-US"/>
        </w:rPr>
        <w:t xml:space="preserve">In its </w:t>
      </w:r>
      <w:hyperlink r:id="rId16" w:history="1">
        <w:r w:rsidRPr="003B42C4">
          <w:rPr>
            <w:rStyle w:val="Lienhypertexte"/>
            <w:rFonts w:ascii="Arial" w:hAnsi="Arial" w:cs="Arial"/>
            <w:snapToGrid w:val="0"/>
            <w:sz w:val="22"/>
            <w:szCs w:val="22"/>
            <w:lang w:val="en-US" w:eastAsia="en-US"/>
          </w:rPr>
          <w:t>Resolution 7.GA 9</w:t>
        </w:r>
      </w:hyperlink>
      <w:r w:rsidRPr="003B42C4">
        <w:rPr>
          <w:rFonts w:ascii="Arial" w:hAnsi="Arial" w:cs="Arial"/>
          <w:snapToGrid w:val="0"/>
          <w:sz w:val="22"/>
          <w:szCs w:val="22"/>
          <w:lang w:val="en-US" w:eastAsia="en-US"/>
        </w:rPr>
        <w:t>, the General Assembly approved a plan for the use of the resources of the Intangible Cultural Heritage Fund (hereafter the Fund</w:t>
      </w:r>
      <w:r w:rsidRPr="003B42C4">
        <w:rPr>
          <w:rFonts w:cs="Arial"/>
          <w:szCs w:val="22"/>
          <w:lang w:val="en-US"/>
        </w:rPr>
        <w:t>)</w:t>
      </w:r>
      <w:r w:rsidRPr="003B42C4">
        <w:rPr>
          <w:rFonts w:ascii="Arial" w:hAnsi="Arial" w:cs="Arial"/>
          <w:snapToGrid w:val="0"/>
          <w:sz w:val="22"/>
          <w:szCs w:val="22"/>
          <w:lang w:val="en-US" w:eastAsia="en-US"/>
        </w:rPr>
        <w:t xml:space="preserve"> for the period 1</w:t>
      </w:r>
      <w:r w:rsidRPr="003B42C4">
        <w:rPr>
          <w:rFonts w:cs="Arial"/>
          <w:szCs w:val="22"/>
          <w:lang w:val="en-US"/>
        </w:rPr>
        <w:t> </w:t>
      </w:r>
      <w:r w:rsidRPr="003B42C4">
        <w:rPr>
          <w:rFonts w:ascii="Arial" w:hAnsi="Arial" w:cs="Arial"/>
          <w:snapToGrid w:val="0"/>
          <w:sz w:val="22"/>
          <w:szCs w:val="22"/>
          <w:lang w:val="en-US" w:eastAsia="en-US"/>
        </w:rPr>
        <w:t>January</w:t>
      </w:r>
      <w:r w:rsidRPr="003B42C4">
        <w:rPr>
          <w:rFonts w:cs="Arial"/>
          <w:szCs w:val="22"/>
          <w:lang w:val="en-US"/>
        </w:rPr>
        <w:t> </w:t>
      </w:r>
      <w:r w:rsidRPr="003B42C4">
        <w:rPr>
          <w:rFonts w:ascii="Arial" w:hAnsi="Arial" w:cs="Arial"/>
          <w:snapToGrid w:val="0"/>
          <w:sz w:val="22"/>
          <w:szCs w:val="22"/>
          <w:lang w:val="en-US" w:eastAsia="en-US"/>
        </w:rPr>
        <w:t>2018 to 31</w:t>
      </w:r>
      <w:r w:rsidRPr="003B42C4">
        <w:rPr>
          <w:rFonts w:cs="Arial"/>
          <w:szCs w:val="22"/>
          <w:lang w:val="en-US"/>
        </w:rPr>
        <w:t> </w:t>
      </w:r>
      <w:r w:rsidRPr="003B42C4">
        <w:rPr>
          <w:rFonts w:ascii="Arial" w:hAnsi="Arial" w:cs="Arial"/>
          <w:snapToGrid w:val="0"/>
          <w:sz w:val="22"/>
          <w:szCs w:val="22"/>
          <w:lang w:val="en-US" w:eastAsia="en-US"/>
        </w:rPr>
        <w:t>December</w:t>
      </w:r>
      <w:r w:rsidRPr="003B42C4">
        <w:rPr>
          <w:rFonts w:cs="Arial"/>
          <w:szCs w:val="22"/>
          <w:lang w:val="en-US"/>
        </w:rPr>
        <w:t> </w:t>
      </w:r>
      <w:r w:rsidRPr="003B42C4">
        <w:rPr>
          <w:rFonts w:ascii="Arial" w:hAnsi="Arial" w:cs="Arial"/>
          <w:snapToGrid w:val="0"/>
          <w:sz w:val="22"/>
          <w:szCs w:val="22"/>
          <w:lang w:val="en-US" w:eastAsia="en-US"/>
        </w:rPr>
        <w:t>2019, which devoted 20 per cent of the budget (US$1,718,184) to ‘other functions of the Committee’</w:t>
      </w:r>
      <w:r w:rsidRPr="003B42C4">
        <w:rPr>
          <w:rFonts w:ascii="Arial" w:hAnsi="Arial" w:cs="Arial"/>
          <w:sz w:val="22"/>
          <w:szCs w:val="22"/>
          <w:lang w:val="en-US"/>
        </w:rPr>
        <w:t xml:space="preserve">. By its </w:t>
      </w:r>
      <w:hyperlink r:id="rId17" w:history="1">
        <w:r w:rsidRPr="003B42C4">
          <w:rPr>
            <w:rStyle w:val="Lienhypertexte"/>
            <w:rFonts w:ascii="Arial" w:hAnsi="Arial" w:cs="Arial"/>
            <w:sz w:val="22"/>
            <w:szCs w:val="22"/>
            <w:lang w:val="en-US"/>
          </w:rPr>
          <w:t>Decision 12.COM 7</w:t>
        </w:r>
      </w:hyperlink>
      <w:r w:rsidRPr="003B42C4">
        <w:rPr>
          <w:rFonts w:ascii="Arial" w:hAnsi="Arial" w:cs="Arial"/>
          <w:sz w:val="22"/>
          <w:szCs w:val="22"/>
          <w:lang w:val="en-US"/>
        </w:rPr>
        <w:t xml:space="preserve">, the Committee delegated to its Bureau the authority to decide upon the utilization of the funds allocated under this line of the Plan, based on specific proposals to </w:t>
      </w:r>
      <w:proofErr w:type="gramStart"/>
      <w:r w:rsidRPr="003B42C4">
        <w:rPr>
          <w:rFonts w:ascii="Arial" w:hAnsi="Arial" w:cs="Arial"/>
          <w:sz w:val="22"/>
          <w:szCs w:val="22"/>
          <w:lang w:val="en-US"/>
        </w:rPr>
        <w:t>be prepared</w:t>
      </w:r>
      <w:proofErr w:type="gramEnd"/>
      <w:r w:rsidRPr="003B42C4">
        <w:rPr>
          <w:rFonts w:ascii="Arial" w:hAnsi="Arial" w:cs="Arial"/>
          <w:sz w:val="22"/>
          <w:szCs w:val="22"/>
          <w:lang w:val="en-US"/>
        </w:rPr>
        <w:t xml:space="preserve"> by the Secretariat. Accordingly, in June</w:t>
      </w:r>
      <w:r w:rsidRPr="003B42C4">
        <w:rPr>
          <w:rFonts w:cs="Arial"/>
          <w:szCs w:val="22"/>
          <w:lang w:val="en-US"/>
        </w:rPr>
        <w:t> </w:t>
      </w:r>
      <w:r w:rsidRPr="003B42C4">
        <w:rPr>
          <w:rFonts w:ascii="Arial" w:hAnsi="Arial" w:cs="Arial"/>
          <w:sz w:val="22"/>
          <w:szCs w:val="22"/>
          <w:lang w:val="en-US"/>
        </w:rPr>
        <w:t xml:space="preserve">2018 the Bureau approved it for the period </w:t>
      </w:r>
      <w:r w:rsidRPr="003B42C4">
        <w:rPr>
          <w:rFonts w:ascii="Arial" w:hAnsi="Arial" w:cs="Arial"/>
          <w:snapToGrid w:val="0"/>
          <w:sz w:val="22"/>
          <w:szCs w:val="22"/>
          <w:lang w:val="en-US" w:eastAsia="en-US"/>
        </w:rPr>
        <w:t>1</w:t>
      </w:r>
      <w:r w:rsidRPr="003B42C4">
        <w:rPr>
          <w:rFonts w:cs="Arial"/>
          <w:szCs w:val="22"/>
          <w:lang w:val="en-US"/>
        </w:rPr>
        <w:t> </w:t>
      </w:r>
      <w:r w:rsidRPr="003B42C4">
        <w:rPr>
          <w:rFonts w:ascii="Arial" w:hAnsi="Arial" w:cs="Arial"/>
          <w:snapToGrid w:val="0"/>
          <w:sz w:val="22"/>
          <w:szCs w:val="22"/>
          <w:lang w:val="en-US" w:eastAsia="en-US"/>
        </w:rPr>
        <w:t>January</w:t>
      </w:r>
      <w:r w:rsidRPr="003B42C4">
        <w:rPr>
          <w:rFonts w:cs="Arial"/>
          <w:szCs w:val="22"/>
          <w:lang w:val="en-US"/>
        </w:rPr>
        <w:t> </w:t>
      </w:r>
      <w:r w:rsidRPr="003B42C4">
        <w:rPr>
          <w:rFonts w:ascii="Arial" w:hAnsi="Arial" w:cs="Arial"/>
          <w:snapToGrid w:val="0"/>
          <w:sz w:val="22"/>
          <w:szCs w:val="22"/>
          <w:lang w:val="en-US" w:eastAsia="en-US"/>
        </w:rPr>
        <w:t>2018 to 31</w:t>
      </w:r>
      <w:r w:rsidRPr="003B42C4">
        <w:rPr>
          <w:rFonts w:cs="Arial"/>
          <w:szCs w:val="22"/>
          <w:lang w:val="en-US"/>
        </w:rPr>
        <w:t> </w:t>
      </w:r>
      <w:r w:rsidRPr="003B42C4">
        <w:rPr>
          <w:rFonts w:ascii="Arial" w:hAnsi="Arial" w:cs="Arial"/>
          <w:snapToGrid w:val="0"/>
          <w:sz w:val="22"/>
          <w:szCs w:val="22"/>
          <w:lang w:val="en-US" w:eastAsia="en-US"/>
        </w:rPr>
        <w:t>December</w:t>
      </w:r>
      <w:r w:rsidRPr="003B42C4">
        <w:rPr>
          <w:rFonts w:cs="Arial"/>
          <w:szCs w:val="22"/>
          <w:lang w:val="en-US"/>
        </w:rPr>
        <w:t> </w:t>
      </w:r>
      <w:r w:rsidRPr="003B42C4">
        <w:rPr>
          <w:rFonts w:ascii="Arial" w:hAnsi="Arial" w:cs="Arial"/>
          <w:snapToGrid w:val="0"/>
          <w:sz w:val="22"/>
          <w:szCs w:val="22"/>
          <w:lang w:val="en-US" w:eastAsia="en-US"/>
        </w:rPr>
        <w:t>2019</w:t>
      </w:r>
      <w:r w:rsidRPr="003B42C4">
        <w:rPr>
          <w:rFonts w:ascii="Arial" w:hAnsi="Arial" w:cs="Arial"/>
          <w:sz w:val="22"/>
          <w:szCs w:val="22"/>
          <w:lang w:val="en-US"/>
        </w:rPr>
        <w:t>. Detailed information on the results of these activities up to June</w:t>
      </w:r>
      <w:r w:rsidRPr="003B42C4">
        <w:rPr>
          <w:rFonts w:cs="Arial"/>
          <w:szCs w:val="22"/>
          <w:lang w:val="en-US"/>
        </w:rPr>
        <w:t> </w:t>
      </w:r>
      <w:r w:rsidRPr="003B42C4">
        <w:rPr>
          <w:rFonts w:ascii="Arial" w:hAnsi="Arial" w:cs="Arial"/>
          <w:sz w:val="22"/>
          <w:szCs w:val="22"/>
          <w:lang w:val="en-US"/>
        </w:rPr>
        <w:t>2019 is included in the report of the Secretariat to the Committee (</w:t>
      </w:r>
      <w:hyperlink r:id="rId18" w:history="1">
        <w:r w:rsidRPr="003B42C4">
          <w:rPr>
            <w:rStyle w:val="Lienhypertexte"/>
            <w:rFonts w:ascii="Arial" w:hAnsi="Arial" w:cs="Arial"/>
            <w:sz w:val="22"/>
            <w:szCs w:val="22"/>
            <w:lang w:val="en-US"/>
          </w:rPr>
          <w:t>document LHE/19/14.COM/5.b</w:t>
        </w:r>
      </w:hyperlink>
      <w:r w:rsidRPr="003B42C4">
        <w:rPr>
          <w:rFonts w:ascii="Arial" w:hAnsi="Arial" w:cs="Arial"/>
          <w:sz w:val="22"/>
          <w:szCs w:val="22"/>
          <w:lang w:val="en-US"/>
        </w:rPr>
        <w:t>). In addition, the fourteenth session of the Committee approved a draft plan for the use of the resources of the Intangible Cultural Heritage Fund for the period 1</w:t>
      </w:r>
      <w:r w:rsidRPr="003B42C4">
        <w:rPr>
          <w:rFonts w:cs="Arial"/>
          <w:szCs w:val="22"/>
          <w:lang w:val="en-US"/>
        </w:rPr>
        <w:t> </w:t>
      </w:r>
      <w:r w:rsidRPr="003B42C4">
        <w:rPr>
          <w:rFonts w:ascii="Arial" w:hAnsi="Arial" w:cs="Arial"/>
          <w:sz w:val="22"/>
          <w:szCs w:val="22"/>
          <w:lang w:val="en-US"/>
        </w:rPr>
        <w:t>January</w:t>
      </w:r>
      <w:r w:rsidRPr="003B42C4">
        <w:rPr>
          <w:rFonts w:cs="Arial"/>
          <w:szCs w:val="22"/>
          <w:lang w:val="en-US"/>
        </w:rPr>
        <w:t> </w:t>
      </w:r>
      <w:r w:rsidRPr="003B42C4">
        <w:rPr>
          <w:rFonts w:ascii="Arial" w:hAnsi="Arial" w:cs="Arial"/>
          <w:sz w:val="22"/>
          <w:szCs w:val="22"/>
          <w:lang w:val="en-US"/>
        </w:rPr>
        <w:t>2020 to 31</w:t>
      </w:r>
      <w:r w:rsidRPr="003B42C4">
        <w:rPr>
          <w:rFonts w:cs="Arial"/>
          <w:szCs w:val="22"/>
          <w:lang w:val="en-US"/>
        </w:rPr>
        <w:t> </w:t>
      </w:r>
      <w:r w:rsidRPr="003B42C4">
        <w:rPr>
          <w:rFonts w:ascii="Arial" w:hAnsi="Arial" w:cs="Arial"/>
          <w:sz w:val="22"/>
          <w:szCs w:val="22"/>
          <w:lang w:val="en-US"/>
        </w:rPr>
        <w:t>December</w:t>
      </w:r>
      <w:r w:rsidRPr="003B42C4">
        <w:rPr>
          <w:rFonts w:cs="Arial"/>
          <w:szCs w:val="22"/>
          <w:lang w:val="en-US"/>
        </w:rPr>
        <w:t> </w:t>
      </w:r>
      <w:r w:rsidRPr="003B42C4">
        <w:rPr>
          <w:rFonts w:ascii="Arial" w:hAnsi="Arial" w:cs="Arial"/>
          <w:sz w:val="22"/>
          <w:szCs w:val="22"/>
          <w:lang w:val="en-US"/>
        </w:rPr>
        <w:t>2021 and the first semester of 2022, to be submitted to the General Assembly for its approval.</w:t>
      </w:r>
    </w:p>
    <w:p w14:paraId="04966C7F" w14:textId="77777777" w:rsidR="000D1034" w:rsidRPr="003B42C4" w:rsidRDefault="000D1034" w:rsidP="000D1034">
      <w:pPr>
        <w:pStyle w:val="Paragraphedeliste"/>
        <w:numPr>
          <w:ilvl w:val="0"/>
          <w:numId w:val="22"/>
        </w:numPr>
        <w:tabs>
          <w:tab w:val="clear" w:pos="928"/>
          <w:tab w:val="num" w:pos="567"/>
        </w:tabs>
        <w:spacing w:after="120"/>
        <w:ind w:left="567" w:hanging="567"/>
        <w:contextualSpacing w:val="0"/>
        <w:jc w:val="both"/>
        <w:rPr>
          <w:rFonts w:ascii="Arial" w:hAnsi="Arial" w:cs="Arial"/>
          <w:sz w:val="22"/>
          <w:szCs w:val="22"/>
          <w:lang w:val="en-US"/>
        </w:rPr>
      </w:pPr>
      <w:r w:rsidRPr="003B42C4">
        <w:rPr>
          <w:rFonts w:ascii="Arial" w:hAnsi="Arial" w:cs="Arial"/>
          <w:snapToGrid w:val="0"/>
          <w:sz w:val="22"/>
          <w:szCs w:val="22"/>
          <w:lang w:val="en-US" w:eastAsia="en-US"/>
        </w:rPr>
        <w:t xml:space="preserve">Under the reporting period, many improvements were made to </w:t>
      </w:r>
      <w:r w:rsidRPr="003B42C4">
        <w:rPr>
          <w:rFonts w:ascii="Arial" w:hAnsi="Arial" w:cs="Arial"/>
          <w:sz w:val="22"/>
          <w:szCs w:val="22"/>
          <w:lang w:val="en-US"/>
        </w:rPr>
        <w:t xml:space="preserve">the knowledge management services of the Convention, with new functionalities made available to facilitate the sound and improved governance of the Convention. The main achievements included the online reporting interface to support the reformed periodic reporting mechanism, as well as the renewal of accredited NGOs. The Arabic version of the website of the Convention was also launched. Furthermore, inscribed elements, safeguarding projects and accredited NGOs were indexed and datasets can now be searched by content-related criteria and downloaded to allow for external analysis. Another tool launched – </w:t>
      </w:r>
      <w:r w:rsidRPr="003B42C4">
        <w:rPr>
          <w:rFonts w:ascii="Arial" w:hAnsi="Arial" w:cs="Arial"/>
          <w:color w:val="000000"/>
          <w:sz w:val="22"/>
          <w:szCs w:val="22"/>
          <w:shd w:val="clear" w:color="auto" w:fill="FFFFFF"/>
          <w:lang w:val="en-US"/>
        </w:rPr>
        <w:t xml:space="preserve">the </w:t>
      </w:r>
      <w:hyperlink r:id="rId19" w:history="1">
        <w:r w:rsidRPr="003B42C4">
          <w:rPr>
            <w:rStyle w:val="Lienhypertexte"/>
            <w:rFonts w:ascii="Arial" w:eastAsiaTheme="minorHAnsi" w:hAnsi="Arial" w:cs="Arial"/>
            <w:sz w:val="22"/>
            <w:szCs w:val="22"/>
            <w:lang w:val="en-US"/>
          </w:rPr>
          <w:t>Intangible Cultural Heritage Convention Research Bibliography</w:t>
        </w:r>
      </w:hyperlink>
      <w:r w:rsidRPr="003B42C4">
        <w:rPr>
          <w:rFonts w:ascii="Arial" w:hAnsi="Arial" w:cs="Arial"/>
          <w:sz w:val="22"/>
          <w:szCs w:val="22"/>
          <w:lang w:val="en-US"/>
        </w:rPr>
        <w:t xml:space="preserve"> – provides an interactive bibliography of research references related to the Convention and its implementation.</w:t>
      </w:r>
    </w:p>
    <w:p w14:paraId="19CCE3E9" w14:textId="57005540" w:rsidR="000D1034" w:rsidRPr="003B42C4" w:rsidRDefault="000D1034" w:rsidP="000D1034">
      <w:pPr>
        <w:pStyle w:val="Paragraphedeliste"/>
        <w:numPr>
          <w:ilvl w:val="0"/>
          <w:numId w:val="22"/>
        </w:numPr>
        <w:tabs>
          <w:tab w:val="clear" w:pos="928"/>
          <w:tab w:val="num" w:pos="567"/>
        </w:tabs>
        <w:spacing w:after="120"/>
        <w:ind w:left="567" w:hanging="567"/>
        <w:contextualSpacing w:val="0"/>
        <w:jc w:val="both"/>
        <w:rPr>
          <w:rFonts w:ascii="Arial" w:hAnsi="Arial" w:cs="Arial"/>
          <w:snapToGrid w:val="0"/>
          <w:sz w:val="22"/>
          <w:szCs w:val="22"/>
          <w:lang w:val="en-US" w:eastAsia="en-US"/>
        </w:rPr>
      </w:pPr>
      <w:r w:rsidRPr="003B42C4">
        <w:rPr>
          <w:rFonts w:ascii="Arial" w:hAnsi="Arial"/>
          <w:snapToGrid w:val="0"/>
          <w:sz w:val="22"/>
          <w:szCs w:val="22"/>
          <w:lang w:val="en-US" w:eastAsia="en-US"/>
        </w:rPr>
        <w:t>As for the reform of the Periodic Reporting mechanism that was initiated by the adoption of the overall results framework for the Convention (</w:t>
      </w:r>
      <w:hyperlink r:id="rId20" w:history="1">
        <w:r w:rsidRPr="003B42C4">
          <w:rPr>
            <w:rStyle w:val="Lienhypertexte"/>
            <w:rFonts w:ascii="Arial" w:hAnsi="Arial"/>
            <w:snapToGrid w:val="0"/>
            <w:sz w:val="22"/>
            <w:szCs w:val="22"/>
            <w:lang w:val="en-US" w:eastAsia="en-US"/>
          </w:rPr>
          <w:t>Resolution 7.GA 9</w:t>
        </w:r>
      </w:hyperlink>
      <w:r w:rsidRPr="003B42C4">
        <w:rPr>
          <w:rFonts w:ascii="Arial" w:hAnsi="Arial"/>
          <w:snapToGrid w:val="0"/>
          <w:sz w:val="22"/>
          <w:szCs w:val="22"/>
          <w:lang w:val="en-US" w:eastAsia="en-US"/>
        </w:rPr>
        <w:t>), the Committee at its thirteenth session then took a further step by adopting the calendar for the first regional cycle of reporting under the Convention (</w:t>
      </w:r>
      <w:hyperlink r:id="rId21" w:history="1">
        <w:r w:rsidRPr="003B42C4">
          <w:rPr>
            <w:rStyle w:val="Lienhypertexte"/>
            <w:rFonts w:ascii="Arial" w:hAnsi="Arial" w:cs="Arial"/>
            <w:sz w:val="22"/>
            <w:szCs w:val="22"/>
            <w:lang w:val="en-US"/>
          </w:rPr>
          <w:t>Decision 13.COM 8</w:t>
        </w:r>
      </w:hyperlink>
      <w:r w:rsidRPr="003B42C4">
        <w:rPr>
          <w:rStyle w:val="Lienhypertexte"/>
          <w:rFonts w:ascii="Arial" w:hAnsi="Arial" w:cs="Arial"/>
          <w:sz w:val="22"/>
          <w:szCs w:val="22"/>
          <w:lang w:val="en-US"/>
        </w:rPr>
        <w:t>)</w:t>
      </w:r>
      <w:r w:rsidRPr="003B42C4">
        <w:rPr>
          <w:rFonts w:ascii="Arial" w:hAnsi="Arial"/>
          <w:snapToGrid w:val="0"/>
          <w:sz w:val="22"/>
          <w:szCs w:val="22"/>
          <w:lang w:val="en-US" w:eastAsia="en-US"/>
        </w:rPr>
        <w:t xml:space="preserve">. </w:t>
      </w:r>
      <w:r w:rsidRPr="003B42C4">
        <w:rPr>
          <w:rFonts w:ascii="Arial" w:hAnsi="Arial" w:cs="Arial"/>
          <w:snapToGrid w:val="0"/>
          <w:sz w:val="22"/>
          <w:szCs w:val="22"/>
          <w:lang w:val="en-US" w:eastAsia="en-US"/>
        </w:rPr>
        <w:t xml:space="preserve">At its fourteenth session, the Committee took note of the following actions undertaken by the Secretariat: a) the revision of reporting Form ICH-10 and its online version; b) the production of a set of 26 guidance notes; </w:t>
      </w:r>
      <w:r w:rsidRPr="003B42C4">
        <w:rPr>
          <w:rFonts w:ascii="Arial" w:hAnsi="Arial" w:cs="Arial"/>
          <w:snapToGrid w:val="0"/>
          <w:sz w:val="22"/>
          <w:szCs w:val="22"/>
          <w:lang w:val="en-US" w:eastAsia="en-US"/>
        </w:rPr>
        <w:lastRenderedPageBreak/>
        <w:t>and c) the development of a capacity-building approach and related materials to assist reporting States. These actions benefitted from the support of the Republic of Korea (US$300,000).</w:t>
      </w:r>
    </w:p>
    <w:p w14:paraId="645015B8" w14:textId="77777777" w:rsidR="000D1034" w:rsidRPr="003B42C4" w:rsidRDefault="000D1034" w:rsidP="000D1034">
      <w:pPr>
        <w:pStyle w:val="Paragraphedeliste"/>
        <w:keepNext/>
        <w:numPr>
          <w:ilvl w:val="0"/>
          <w:numId w:val="25"/>
        </w:numPr>
        <w:tabs>
          <w:tab w:val="num" w:pos="567"/>
        </w:tabs>
        <w:spacing w:before="240" w:after="120"/>
        <w:ind w:left="567" w:hanging="567"/>
        <w:contextualSpacing w:val="0"/>
        <w:rPr>
          <w:rFonts w:ascii="Arial" w:hAnsi="Arial" w:cs="Arial"/>
          <w:b/>
          <w:sz w:val="22"/>
          <w:szCs w:val="22"/>
          <w:lang w:val="en-US"/>
        </w:rPr>
      </w:pPr>
      <w:r w:rsidRPr="003B42C4">
        <w:rPr>
          <w:rFonts w:ascii="Arial" w:hAnsi="Arial" w:cs="Arial"/>
          <w:b/>
          <w:sz w:val="22"/>
          <w:szCs w:val="22"/>
          <w:lang w:val="en-US"/>
        </w:rPr>
        <w:t xml:space="preserve">Strengthening the capacity-building </w:t>
      </w:r>
      <w:proofErr w:type="spellStart"/>
      <w:r w:rsidRPr="003B42C4">
        <w:rPr>
          <w:rFonts w:ascii="Arial" w:hAnsi="Arial" w:cs="Arial"/>
          <w:b/>
          <w:sz w:val="22"/>
          <w:szCs w:val="22"/>
          <w:lang w:val="en-US"/>
        </w:rPr>
        <w:t>programme</w:t>
      </w:r>
      <w:proofErr w:type="spellEnd"/>
      <w:r w:rsidRPr="003B42C4">
        <w:rPr>
          <w:rFonts w:ascii="Arial" w:hAnsi="Arial" w:cs="Arial"/>
          <w:b/>
          <w:sz w:val="22"/>
          <w:szCs w:val="22"/>
          <w:lang w:val="en-US"/>
        </w:rPr>
        <w:t xml:space="preserve"> and guidelines on safeguarding measures and good practices</w:t>
      </w:r>
    </w:p>
    <w:p w14:paraId="6F5E16E5"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The Committee continues to consider capacity building to be crucial and maintains it as the objective of one of the two global funding priorities of the Convention, ‘Strengthening capacities to safeguard intangible cultural heritage and contribute to sustainable development’. This is because the effective implementation of the Convention depends on a thorough knowledge and understanding of the Convention and its concepts, measures and mechanisms. Consequently, the Bureau of the Committee allocated a total of US$619,150 – i.e., 36 per cent of the line ‘other functions of the Committee’ – for the period January 2018 to December 2019. Activities undertaken under this line were aimed at meeting a number of cross-cutting needs, in particular: </w:t>
      </w:r>
      <w:r w:rsidRPr="003B42C4">
        <w:rPr>
          <w:rStyle w:val="hps"/>
          <w:rFonts w:cs="Arial"/>
          <w:szCs w:val="22"/>
          <w:lang w:val="en-US"/>
        </w:rPr>
        <w:t>(</w:t>
      </w:r>
      <w:proofErr w:type="spellStart"/>
      <w:r w:rsidRPr="003B42C4">
        <w:rPr>
          <w:rStyle w:val="hps"/>
          <w:rFonts w:cs="Arial"/>
          <w:szCs w:val="22"/>
          <w:lang w:val="en-US"/>
        </w:rPr>
        <w:t>i</w:t>
      </w:r>
      <w:proofErr w:type="spellEnd"/>
      <w:r w:rsidRPr="003B42C4">
        <w:rPr>
          <w:rStyle w:val="hps"/>
          <w:rFonts w:cs="Arial"/>
          <w:szCs w:val="22"/>
          <w:lang w:val="en-US"/>
        </w:rPr>
        <w:t xml:space="preserve">) strengthening the network of facilitators; (ii) developing adequate content, formats and materials; (iii) monitoring, evaluating and adapting the strategy; </w:t>
      </w:r>
      <w:r w:rsidRPr="003B42C4">
        <w:rPr>
          <w:rFonts w:cs="Arial"/>
          <w:szCs w:val="22"/>
          <w:lang w:val="en-US"/>
        </w:rPr>
        <w:t>and (iv) strengthening networks and partnerships with higher education institutions.</w:t>
      </w:r>
    </w:p>
    <w:p w14:paraId="07A15458" w14:textId="77777777" w:rsidR="000D1034" w:rsidRPr="003B42C4" w:rsidRDefault="000D1034" w:rsidP="000D1034">
      <w:pPr>
        <w:pStyle w:val="Paragraphedeliste"/>
        <w:keepNext/>
        <w:numPr>
          <w:ilvl w:val="0"/>
          <w:numId w:val="25"/>
        </w:numPr>
        <w:spacing w:before="240" w:after="120"/>
        <w:ind w:left="567" w:hanging="567"/>
        <w:contextualSpacing w:val="0"/>
        <w:jc w:val="both"/>
        <w:rPr>
          <w:rFonts w:ascii="Arial" w:hAnsi="Arial" w:cs="Arial"/>
          <w:b/>
          <w:sz w:val="22"/>
          <w:szCs w:val="22"/>
          <w:lang w:val="en-US"/>
        </w:rPr>
      </w:pPr>
      <w:r w:rsidRPr="003B42C4">
        <w:rPr>
          <w:rFonts w:ascii="Arial" w:hAnsi="Arial" w:cs="Arial"/>
          <w:b/>
          <w:sz w:val="22"/>
          <w:szCs w:val="22"/>
          <w:lang w:val="en-US"/>
        </w:rPr>
        <w:t xml:space="preserve">Integration of intangible cultural heritage into development plans, policies and </w:t>
      </w:r>
      <w:proofErr w:type="spellStart"/>
      <w:r w:rsidRPr="003B42C4">
        <w:rPr>
          <w:rFonts w:ascii="Arial" w:hAnsi="Arial" w:cs="Arial"/>
          <w:b/>
          <w:sz w:val="22"/>
          <w:szCs w:val="22"/>
          <w:lang w:val="en-US"/>
        </w:rPr>
        <w:t>programmes</w:t>
      </w:r>
      <w:proofErr w:type="spellEnd"/>
    </w:p>
    <w:p w14:paraId="532D5EE7" w14:textId="2D373531"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Integrating intangible cultural heritage into development plans, policies and </w:t>
      </w:r>
      <w:proofErr w:type="spellStart"/>
      <w:r w:rsidRPr="003B42C4">
        <w:rPr>
          <w:rFonts w:cs="Arial"/>
          <w:szCs w:val="22"/>
          <w:lang w:val="en-US"/>
        </w:rPr>
        <w:t>programmes</w:t>
      </w:r>
      <w:proofErr w:type="spellEnd"/>
      <w:r w:rsidRPr="003B42C4">
        <w:rPr>
          <w:rFonts w:cs="Arial"/>
          <w:szCs w:val="22"/>
          <w:lang w:val="en-US"/>
        </w:rPr>
        <w:t xml:space="preserve"> is key to promoting the objectives of the Convention in the context of the 2030 Sustainable Development Agenda. The Bureau of the Committee allocated a total of US$286,600 in this regard – i.e., 17 per cent of the line ‘other functions of the Committee’ for the period </w:t>
      </w:r>
      <w:r w:rsidR="00F03809">
        <w:rPr>
          <w:rFonts w:cs="Arial"/>
          <w:szCs w:val="22"/>
          <w:lang w:val="en-US"/>
        </w:rPr>
        <w:br/>
      </w:r>
      <w:r w:rsidRPr="003B42C4">
        <w:rPr>
          <w:rFonts w:cs="Arial"/>
          <w:szCs w:val="22"/>
          <w:lang w:val="en-US"/>
        </w:rPr>
        <w:t>2018</w:t>
      </w:r>
      <w:r w:rsidR="00F03809" w:rsidRPr="003B42C4">
        <w:rPr>
          <w:rFonts w:cs="Arial"/>
          <w:szCs w:val="22"/>
          <w:lang w:val="en-US"/>
        </w:rPr>
        <w:t>–</w:t>
      </w:r>
      <w:r w:rsidRPr="003B42C4">
        <w:rPr>
          <w:rFonts w:cs="Arial"/>
          <w:szCs w:val="22"/>
          <w:lang w:val="en-US"/>
        </w:rPr>
        <w:t>2019, as compared to 3 per cent for the period 2016–2017. Ongoing actions under this allocation have already demonstrated that the implementation of the Convention takes place within a larger international context and that the safeguarding of intangible cultural heritage can meaningfully contribute to a number of sustainable development goals.</w:t>
      </w:r>
    </w:p>
    <w:p w14:paraId="0E9EA0D5" w14:textId="04B1BDAD"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Within the framework of the second global funding priority of</w:t>
      </w:r>
      <w:r w:rsidR="00F03809">
        <w:rPr>
          <w:rFonts w:cs="Arial"/>
          <w:szCs w:val="22"/>
          <w:lang w:val="en-US"/>
        </w:rPr>
        <w:t xml:space="preserve"> the Convention, ‘Safeguarding intangible cultural h</w:t>
      </w:r>
      <w:r w:rsidRPr="003B42C4">
        <w:rPr>
          <w:rFonts w:cs="Arial"/>
          <w:szCs w:val="22"/>
          <w:lang w:val="en-US"/>
        </w:rPr>
        <w:t>eritage in formal and non-formal education (2018–2021)’, a series of initiatives were taken to promote transmission through formal and non-formal education as a safeguarding measure in line with Article 2 of the Convention.</w:t>
      </w:r>
    </w:p>
    <w:p w14:paraId="768CC7D8" w14:textId="1D8B6B95" w:rsidR="000D1034" w:rsidRPr="003B42C4" w:rsidRDefault="000D1034" w:rsidP="000D1034">
      <w:pPr>
        <w:pStyle w:val="Marge"/>
        <w:numPr>
          <w:ilvl w:val="0"/>
          <w:numId w:val="22"/>
        </w:numPr>
        <w:tabs>
          <w:tab w:val="clear" w:pos="928"/>
          <w:tab w:val="num" w:pos="567"/>
        </w:tabs>
        <w:spacing w:after="120"/>
        <w:ind w:left="567" w:hanging="567"/>
        <w:rPr>
          <w:rFonts w:cs="Arial"/>
          <w:bCs/>
          <w:szCs w:val="22"/>
          <w:lang w:val="en-US"/>
        </w:rPr>
      </w:pPr>
      <w:r w:rsidRPr="003B42C4">
        <w:rPr>
          <w:rFonts w:cs="Arial"/>
          <w:bCs/>
          <w:szCs w:val="22"/>
          <w:lang w:val="en-US"/>
        </w:rPr>
        <w:t xml:space="preserve">The Committee has been undertaking a reflection on intangible cultural heritage in emergencies over the past several cycles. </w:t>
      </w:r>
      <w:r w:rsidRPr="003B42C4">
        <w:rPr>
          <w:rFonts w:cs="Arial"/>
          <w:szCs w:val="22"/>
          <w:lang w:val="en-US"/>
        </w:rPr>
        <w:t>In 2018, the Committee felt that the time had come to define operational modalities for the safeguarding of intangible cultural heritage in emergencies (</w:t>
      </w:r>
      <w:hyperlink r:id="rId22" w:history="1">
        <w:r w:rsidRPr="003B42C4">
          <w:rPr>
            <w:rStyle w:val="Lienhypertexte"/>
            <w:rFonts w:cs="Arial"/>
            <w:szCs w:val="22"/>
            <w:lang w:val="en-US"/>
          </w:rPr>
          <w:t>Decision 13.COM 11</w:t>
        </w:r>
      </w:hyperlink>
      <w:r w:rsidRPr="003B42C4">
        <w:rPr>
          <w:rFonts w:cs="Arial"/>
          <w:szCs w:val="22"/>
          <w:lang w:val="en-US"/>
        </w:rPr>
        <w:t>). Consequently, an individual expert meeting was convened in May 2019, with the support of the Government of China, to conceptualize and transform the knowledge and experience acquired into methodological guidance for States Parties, or for any other relevant nationa</w:t>
      </w:r>
      <w:r w:rsidR="00F03809">
        <w:rPr>
          <w:rFonts w:cs="Arial"/>
          <w:szCs w:val="22"/>
          <w:lang w:val="en-US"/>
        </w:rPr>
        <w:t>l or international stakeholders</w:t>
      </w:r>
      <w:r w:rsidRPr="003B42C4">
        <w:rPr>
          <w:rFonts w:cs="Arial"/>
          <w:szCs w:val="22"/>
          <w:lang w:val="en-US"/>
        </w:rPr>
        <w:t>. Upon examining the findings of the meeting (</w:t>
      </w:r>
      <w:hyperlink r:id="rId23" w:history="1">
        <w:r w:rsidRPr="003B42C4">
          <w:rPr>
            <w:rStyle w:val="Lienhypertexte"/>
            <w:lang w:val="en-US"/>
          </w:rPr>
          <w:t>document LHE/19/14.COM/13</w:t>
        </w:r>
      </w:hyperlink>
      <w:r w:rsidRPr="003B42C4">
        <w:rPr>
          <w:lang w:val="en-US"/>
        </w:rPr>
        <w:t xml:space="preserve">), the Committee at its fourteenth session endorsed the operational principles and modalities for safeguarding intangible cultural heritage in emergencies and asked the Secretariat to present them for examination by the General Assembly at its eighth </w:t>
      </w:r>
      <w:r w:rsidRPr="00C33B40">
        <w:rPr>
          <w:lang w:val="en-US"/>
        </w:rPr>
        <w:t>session in June 2020.</w:t>
      </w:r>
    </w:p>
    <w:p w14:paraId="11DB99B7" w14:textId="77777777" w:rsidR="000D1034" w:rsidRPr="003B42C4" w:rsidRDefault="000D1034" w:rsidP="000D1034">
      <w:pPr>
        <w:pStyle w:val="Paragraphedeliste"/>
        <w:keepNext/>
        <w:numPr>
          <w:ilvl w:val="0"/>
          <w:numId w:val="25"/>
        </w:numPr>
        <w:tabs>
          <w:tab w:val="num" w:pos="567"/>
        </w:tabs>
        <w:spacing w:before="240" w:after="120"/>
        <w:ind w:left="567" w:hanging="567"/>
        <w:contextualSpacing w:val="0"/>
        <w:rPr>
          <w:rFonts w:ascii="Arial" w:hAnsi="Arial" w:cs="Arial"/>
          <w:b/>
          <w:sz w:val="22"/>
          <w:szCs w:val="22"/>
          <w:lang w:val="en-US"/>
        </w:rPr>
      </w:pPr>
      <w:r w:rsidRPr="003B42C4">
        <w:rPr>
          <w:rFonts w:ascii="Arial" w:hAnsi="Arial" w:cs="Arial"/>
          <w:b/>
          <w:sz w:val="22"/>
          <w:szCs w:val="22"/>
          <w:lang w:val="en-US"/>
        </w:rPr>
        <w:t>Raising awareness and outreach</w:t>
      </w:r>
    </w:p>
    <w:p w14:paraId="30A4B8DB"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Promoting the objectives of the Convention could be understood as a safeguarding action in itself, as defined in Article 2.3 of the Convention. Developing strategic and effective institutional partnerships is also key to achieving the objectives of the Conventions. With these points in mind, the Bureau allocated a total of US$473,922 for the period January 2018 to December 2019 to support the Secretariat’s initiative in these two areas.</w:t>
      </w:r>
    </w:p>
    <w:p w14:paraId="3A5465F4"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Documents </w:t>
      </w:r>
      <w:hyperlink r:id="rId24" w:history="1">
        <w:r w:rsidRPr="003B42C4">
          <w:rPr>
            <w:rStyle w:val="Lienhypertexte"/>
            <w:rFonts w:cs="Arial"/>
            <w:szCs w:val="22"/>
            <w:lang w:val="en-US"/>
          </w:rPr>
          <w:t>ITH/18/13.COM/INF.5.1</w:t>
        </w:r>
      </w:hyperlink>
      <w:r w:rsidRPr="003B42C4">
        <w:rPr>
          <w:rFonts w:cs="Arial"/>
          <w:szCs w:val="22"/>
          <w:lang w:val="en-US"/>
        </w:rPr>
        <w:t xml:space="preserve"> and </w:t>
      </w:r>
      <w:hyperlink r:id="rId25" w:history="1">
        <w:r w:rsidRPr="003B42C4">
          <w:rPr>
            <w:rStyle w:val="Lienhypertexte"/>
            <w:rFonts w:cs="Arial"/>
            <w:szCs w:val="22"/>
            <w:lang w:val="en-US"/>
          </w:rPr>
          <w:t>LHE/19/14.COM/5.b</w:t>
        </w:r>
      </w:hyperlink>
      <w:r w:rsidRPr="003B42C4">
        <w:rPr>
          <w:rFonts w:cs="Arial"/>
          <w:szCs w:val="22"/>
          <w:lang w:val="en-US"/>
        </w:rPr>
        <w:t xml:space="preserve"> provided the Committee with an update on the progress with the communication activities implemented by the Secretariat from January to June 2018 and from January 2018 to June 2019, respectively. At its thirteenth and </w:t>
      </w:r>
      <w:r w:rsidRPr="003B42C4">
        <w:rPr>
          <w:rFonts w:cs="Arial"/>
          <w:szCs w:val="22"/>
          <w:lang w:val="en-US"/>
        </w:rPr>
        <w:lastRenderedPageBreak/>
        <w:t xml:space="preserve">fourteenth sessions, the Committee witnessed the effectiveness of these communication actions in supporting the development of new thematic areas under the Convention – intangible cultural heritage and indigenous peoples, and intangible cultural heritage and education; a renewed brochure was also issued for the capacity-building </w:t>
      </w:r>
      <w:proofErr w:type="spellStart"/>
      <w:r w:rsidRPr="003B42C4">
        <w:rPr>
          <w:rFonts w:cs="Arial"/>
          <w:szCs w:val="22"/>
          <w:lang w:val="en-US"/>
        </w:rPr>
        <w:t>programme</w:t>
      </w:r>
      <w:proofErr w:type="spellEnd"/>
      <w:r w:rsidRPr="003B42C4">
        <w:rPr>
          <w:rFonts w:cs="Arial"/>
          <w:szCs w:val="22"/>
          <w:lang w:val="en-US"/>
        </w:rPr>
        <w:t>. These actions also contributed to broadening the outreach of the Convention to a wider, untapped audience (i.e. youth, indigenous peoples).</w:t>
      </w:r>
    </w:p>
    <w:p w14:paraId="52D8048D"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Style w:val="hps"/>
          <w:rFonts w:cs="Arial"/>
          <w:szCs w:val="22"/>
          <w:lang w:val="en-US"/>
        </w:rPr>
        <w:t>Following the indications provided by the Committee at its twelfth session, the Secretariat and the informal ad hoc working group reflected, in consultation with accredited NGOs, on the possible ways in which the participation of NGOs under the 2003 Convention could be further enhanced and how this would be reflected in the accreditation and renewal mechanisms of NGOs. Based on the results of the electronic consultation undertaken by the Secretariat in 2018 and the debates of the Committee at its thirteenth session, a consultation meeting was organized in April</w:t>
      </w:r>
      <w:r w:rsidRPr="003B42C4">
        <w:rPr>
          <w:rFonts w:cs="Arial"/>
          <w:szCs w:val="22"/>
          <w:lang w:val="en-US"/>
        </w:rPr>
        <w:t> </w:t>
      </w:r>
      <w:r w:rsidRPr="003B42C4">
        <w:rPr>
          <w:rStyle w:val="hps"/>
          <w:rFonts w:cs="Arial"/>
          <w:szCs w:val="22"/>
          <w:lang w:val="en-US"/>
        </w:rPr>
        <w:t>2019 at UNESCO Headquarters. At its fourteenth session, the Committee examined the results of the reflection.</w:t>
      </w:r>
    </w:p>
    <w:p w14:paraId="443376EE" w14:textId="77777777" w:rsidR="000D1034" w:rsidRPr="003B42C4" w:rsidRDefault="000D1034" w:rsidP="000D1034">
      <w:pPr>
        <w:keepNext/>
        <w:numPr>
          <w:ilvl w:val="0"/>
          <w:numId w:val="23"/>
        </w:numPr>
        <w:spacing w:before="360" w:after="240"/>
        <w:ind w:left="567" w:hanging="567"/>
        <w:rPr>
          <w:rFonts w:ascii="Arial" w:hAnsi="Arial" w:cs="Arial"/>
          <w:sz w:val="22"/>
          <w:szCs w:val="22"/>
          <w:lang w:val="en-US"/>
        </w:rPr>
      </w:pPr>
      <w:r w:rsidRPr="003B42C4">
        <w:rPr>
          <w:rFonts w:ascii="Arial" w:hAnsi="Arial" w:cs="Arial"/>
          <w:b/>
          <w:sz w:val="22"/>
          <w:szCs w:val="22"/>
          <w:lang w:val="en-US"/>
        </w:rPr>
        <w:t>Preparation of a draft plan for the use of the resources of the Fund and increasing the resources of the Fund</w:t>
      </w:r>
      <w:r w:rsidRPr="003B42C4">
        <w:rPr>
          <w:rFonts w:ascii="Arial" w:hAnsi="Arial" w:cs="Arial"/>
          <w:sz w:val="22"/>
          <w:szCs w:val="22"/>
          <w:lang w:val="en-US"/>
        </w:rPr>
        <w:t xml:space="preserve"> (Articles 7[c] and 7[d])</w:t>
      </w:r>
    </w:p>
    <w:p w14:paraId="05665CE9"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The Committee shall submit to the eighth session of the General Assembly a plan for the use of the resources of the Fund for the period 1 January 2020 to 31 December 2021 and for the first six months of 2022. This plan has been conceived in continuation of the approach adopted for the period 2018–2019. The largest percentage continues to be dedicated to International Assistance. See </w:t>
      </w:r>
      <w:hyperlink r:id="rId26" w:history="1">
        <w:r w:rsidRPr="003B42C4">
          <w:rPr>
            <w:rStyle w:val="Lienhypertexte"/>
            <w:rFonts w:cs="Arial"/>
            <w:szCs w:val="22"/>
            <w:lang w:val="en-US"/>
          </w:rPr>
          <w:t>document LHE/19/14.COM/7</w:t>
        </w:r>
      </w:hyperlink>
      <w:r w:rsidRPr="003B42C4">
        <w:rPr>
          <w:rFonts w:cs="Arial"/>
          <w:szCs w:val="22"/>
          <w:lang w:val="en-US"/>
        </w:rPr>
        <w:t xml:space="preserve"> for the plan.</w:t>
      </w:r>
    </w:p>
    <w:p w14:paraId="4306FEF5"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During the reporting period, supplementary voluntary contributions of US$528,349 from China, Japan, the Netherlands and Switzerland were made to the Fund to finance four different projects. The Sub-Fund of the Fund, devoted exclusively to enhancing the human capacities of the Secretariat, also received contributions of US$76,908 during the same period from Kazakhstan, Monaco, Montenegro and Sweden.</w:t>
      </w:r>
    </w:p>
    <w:p w14:paraId="7E6FCC33" w14:textId="17CC8E21"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color w:val="0000FF"/>
          <w:szCs w:val="22"/>
          <w:u w:val="single"/>
          <w:lang w:val="en-US"/>
        </w:rPr>
        <w:t>Document </w:t>
      </w:r>
      <w:hyperlink r:id="rId27" w:history="1">
        <w:r w:rsidRPr="003B42C4">
          <w:rPr>
            <w:rStyle w:val="Lienhypertexte"/>
            <w:rFonts w:cs="Arial"/>
            <w:szCs w:val="22"/>
            <w:lang w:val="en-US"/>
          </w:rPr>
          <w:t>LHE/19/14.COM/7</w:t>
        </w:r>
      </w:hyperlink>
      <w:r w:rsidRPr="003B42C4">
        <w:rPr>
          <w:rFonts w:cs="Arial"/>
          <w:szCs w:val="22"/>
          <w:lang w:val="en-US"/>
        </w:rPr>
        <w:t xml:space="preserve"> includes, in Annex II (a), a list of such contributions for the period 1 January 2018 to 30 June 2019 as well as a statement of income and expenditures in Annex II. Document </w:t>
      </w:r>
      <w:hyperlink r:id="rId28" w:history="1">
        <w:r w:rsidRPr="003B42C4">
          <w:rPr>
            <w:rStyle w:val="Lienhypertexte"/>
            <w:rFonts w:cs="Arial"/>
            <w:szCs w:val="22"/>
            <w:lang w:val="en-US"/>
          </w:rPr>
          <w:t>LHE/19/14.COM/6</w:t>
        </w:r>
      </w:hyperlink>
      <w:r w:rsidRPr="003B42C4">
        <w:rPr>
          <w:rFonts w:cs="Arial"/>
          <w:szCs w:val="22"/>
          <w:lang w:val="en-US"/>
        </w:rPr>
        <w:t xml:space="preserve"> includes, in Annex I, a list of voluntary contributions received to the </w:t>
      </w:r>
      <w:r w:rsidR="007F429B">
        <w:rPr>
          <w:rFonts w:cs="Arial"/>
          <w:szCs w:val="22"/>
          <w:lang w:val="en-US"/>
        </w:rPr>
        <w:t>Fund and the Sub-Fund</w:t>
      </w:r>
      <w:r w:rsidRPr="007F429B">
        <w:rPr>
          <w:rFonts w:cs="Arial"/>
          <w:szCs w:val="22"/>
          <w:lang w:val="en-US"/>
        </w:rPr>
        <w:t xml:space="preserve"> since</w:t>
      </w:r>
      <w:r w:rsidRPr="003B42C4">
        <w:rPr>
          <w:rFonts w:cs="Arial"/>
          <w:szCs w:val="22"/>
          <w:lang w:val="en-US"/>
        </w:rPr>
        <w:t xml:space="preserve"> the thirteenth session of the Committee, for the period October 2018 to October 2019.</w:t>
      </w:r>
    </w:p>
    <w:p w14:paraId="21F9C082" w14:textId="77777777" w:rsidR="000D1034" w:rsidRPr="003B42C4" w:rsidRDefault="000D1034" w:rsidP="000D1034">
      <w:pPr>
        <w:keepNext/>
        <w:numPr>
          <w:ilvl w:val="0"/>
          <w:numId w:val="23"/>
        </w:numPr>
        <w:tabs>
          <w:tab w:val="clear" w:pos="720"/>
        </w:tabs>
        <w:spacing w:before="360" w:after="240"/>
        <w:ind w:left="567" w:hanging="567"/>
        <w:jc w:val="both"/>
        <w:rPr>
          <w:rFonts w:ascii="Arial" w:hAnsi="Arial" w:cs="Arial"/>
          <w:b/>
          <w:sz w:val="22"/>
          <w:szCs w:val="22"/>
          <w:lang w:val="en-US"/>
        </w:rPr>
      </w:pPr>
      <w:r w:rsidRPr="003B42C4">
        <w:rPr>
          <w:rFonts w:ascii="Arial" w:hAnsi="Arial" w:cs="Arial"/>
          <w:b/>
          <w:sz w:val="22"/>
          <w:szCs w:val="22"/>
          <w:lang w:val="en-US"/>
        </w:rPr>
        <w:t>Preparation of the Operational Directives for the implementation of the Convention</w:t>
      </w:r>
      <w:r w:rsidRPr="003B42C4">
        <w:rPr>
          <w:rFonts w:ascii="Arial" w:hAnsi="Arial" w:cs="Arial"/>
          <w:sz w:val="22"/>
          <w:szCs w:val="22"/>
          <w:lang w:val="en-US"/>
        </w:rPr>
        <w:t xml:space="preserve"> (Article 7[e])</w:t>
      </w:r>
    </w:p>
    <w:p w14:paraId="0DE8B108" w14:textId="4A276C2A" w:rsidR="000D1034" w:rsidRPr="002E0D10" w:rsidRDefault="000D1034" w:rsidP="00CB170C">
      <w:pPr>
        <w:pStyle w:val="Marge"/>
        <w:numPr>
          <w:ilvl w:val="0"/>
          <w:numId w:val="22"/>
        </w:numPr>
        <w:tabs>
          <w:tab w:val="clear" w:pos="928"/>
          <w:tab w:val="num" w:pos="567"/>
        </w:tabs>
        <w:spacing w:after="120"/>
        <w:ind w:left="567" w:hanging="567"/>
        <w:rPr>
          <w:rFonts w:eastAsia="Arial" w:cs="Arial"/>
          <w:szCs w:val="22"/>
          <w:lang w:val="en-US"/>
        </w:rPr>
      </w:pPr>
      <w:r w:rsidRPr="003B42C4">
        <w:rPr>
          <w:rFonts w:cs="Arial"/>
          <w:szCs w:val="22"/>
          <w:lang w:val="en-US"/>
        </w:rPr>
        <w:t>During the reporting period, the Committee recommended that the General Assembly approve new directives or amendments to the Operational Directives for the implementation of the Convention on the following questions:</w:t>
      </w:r>
    </w:p>
    <w:p w14:paraId="32DC26A5" w14:textId="77777777" w:rsidR="000D1034" w:rsidRPr="003B42C4" w:rsidRDefault="000D1034" w:rsidP="000D1034">
      <w:pPr>
        <w:pStyle w:val="Marge"/>
        <w:numPr>
          <w:ilvl w:val="0"/>
          <w:numId w:val="24"/>
        </w:numPr>
        <w:tabs>
          <w:tab w:val="num" w:pos="567"/>
        </w:tabs>
        <w:spacing w:after="60"/>
        <w:ind w:left="851" w:hanging="284"/>
        <w:rPr>
          <w:rFonts w:cs="Arial"/>
          <w:szCs w:val="22"/>
          <w:lang w:val="en-US"/>
        </w:rPr>
      </w:pPr>
      <w:r w:rsidRPr="003B42C4">
        <w:rPr>
          <w:rFonts w:cs="Arial"/>
          <w:szCs w:val="22"/>
          <w:lang w:val="en-US"/>
        </w:rPr>
        <w:t>Dialogue process and possible amendments to the Operational Directives to be presented to the eighth session of the General Assembly of the States Parties in 2020.</w:t>
      </w:r>
    </w:p>
    <w:p w14:paraId="42C35E42" w14:textId="77777777" w:rsidR="000D1034" w:rsidRPr="003B42C4" w:rsidRDefault="000D1034" w:rsidP="000D1034">
      <w:pPr>
        <w:keepNext/>
        <w:numPr>
          <w:ilvl w:val="0"/>
          <w:numId w:val="23"/>
        </w:numPr>
        <w:tabs>
          <w:tab w:val="clear" w:pos="720"/>
          <w:tab w:val="num" w:pos="567"/>
        </w:tabs>
        <w:spacing w:before="360" w:after="240"/>
        <w:ind w:left="567" w:hanging="567"/>
        <w:rPr>
          <w:rFonts w:ascii="Arial" w:hAnsi="Arial" w:cs="Arial"/>
          <w:b/>
          <w:sz w:val="22"/>
          <w:szCs w:val="22"/>
          <w:lang w:val="en-US"/>
        </w:rPr>
      </w:pPr>
      <w:r w:rsidRPr="003B42C4">
        <w:rPr>
          <w:rFonts w:ascii="Arial" w:hAnsi="Arial" w:cs="Arial"/>
          <w:b/>
          <w:sz w:val="22"/>
          <w:szCs w:val="22"/>
          <w:lang w:val="en-US"/>
        </w:rPr>
        <w:t>Examination of periodic reports</w:t>
      </w:r>
      <w:r w:rsidRPr="003B42C4">
        <w:rPr>
          <w:rFonts w:ascii="Arial" w:hAnsi="Arial" w:cs="Arial"/>
          <w:sz w:val="22"/>
          <w:szCs w:val="22"/>
          <w:lang w:val="en-US"/>
        </w:rPr>
        <w:t xml:space="preserve"> (Article 7[f])</w:t>
      </w:r>
    </w:p>
    <w:p w14:paraId="5C03ED68" w14:textId="4864BB0B"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 xml:space="preserve">The </w:t>
      </w:r>
      <w:hyperlink r:id="rId29" w:history="1">
        <w:r w:rsidRPr="003B42C4">
          <w:rPr>
            <w:rFonts w:cs="Arial"/>
            <w:color w:val="0000FF"/>
            <w:szCs w:val="22"/>
            <w:u w:val="single"/>
            <w:lang w:val="en-US"/>
          </w:rPr>
          <w:t>Convention</w:t>
        </w:r>
      </w:hyperlink>
      <w:r w:rsidRPr="003B42C4">
        <w:rPr>
          <w:rFonts w:cs="Arial"/>
          <w:szCs w:val="22"/>
          <w:lang w:val="en-US"/>
        </w:rPr>
        <w:t xml:space="preserve"> provides, in Article 29, that States Parties shall submit to the Committee reports on legislative, regulatory and other measures taken for the implementation of the Convention, and in Article 30 that ‘On the basis of its activities and the reports by States Parties […] the Committee shall submit a report to the General Assembly.’ During the reporting period, the Committee examined 32 reports by States Parties on the implementation of the Convention at the national level in 2018 and 20 reports on the status of elements inscribed on the List of Intangible Cultural Heritage in Need of Urgent Safeguarding (hereinafter, the Urgent Safeguarding List) (16 in 2018 and 4 in 2019).</w:t>
      </w:r>
      <w:r w:rsidRPr="003B42C4">
        <w:rPr>
          <w:rFonts w:cs="Arial"/>
          <w:i/>
          <w:szCs w:val="22"/>
          <w:lang w:val="en-US"/>
        </w:rPr>
        <w:t xml:space="preserve"> </w:t>
      </w:r>
      <w:proofErr w:type="gramStart"/>
      <w:r w:rsidRPr="003B42C4">
        <w:rPr>
          <w:rFonts w:cs="Arial"/>
          <w:szCs w:val="22"/>
          <w:lang w:val="en-US"/>
        </w:rPr>
        <w:t xml:space="preserve">Due to the change in the periodic reporting </w:t>
      </w:r>
      <w:r w:rsidRPr="003B42C4">
        <w:rPr>
          <w:rFonts w:cs="Arial"/>
          <w:szCs w:val="22"/>
          <w:lang w:val="en-US"/>
        </w:rPr>
        <w:lastRenderedPageBreak/>
        <w:t>mechanism, the submission of periodic reports on the implementation of the Convention and on elements inscribed on the Representative List of the Intangible Cultural Heritage of Humanity (hereinafter, the Representative List) has been suspended for the deadlines of 15 December 2018 and 2019, including for overdue reports (</w:t>
      </w:r>
      <w:hyperlink r:id="rId30" w:history="1">
        <w:r w:rsidRPr="003B42C4">
          <w:rPr>
            <w:rStyle w:val="Lienhypertexte"/>
            <w:lang w:val="en-US"/>
          </w:rPr>
          <w:t>document</w:t>
        </w:r>
        <w:r w:rsidRPr="003B42C4">
          <w:rPr>
            <w:rStyle w:val="Lienhypertexte"/>
            <w:rFonts w:cs="Arial"/>
            <w:szCs w:val="22"/>
            <w:lang w:val="en-US"/>
          </w:rPr>
          <w:t> </w:t>
        </w:r>
        <w:r w:rsidRPr="003B42C4">
          <w:rPr>
            <w:rStyle w:val="Lienhypertexte"/>
            <w:lang w:val="en-US"/>
          </w:rPr>
          <w:t>ITH/18/13.COM/8</w:t>
        </w:r>
      </w:hyperlink>
      <w:r w:rsidRPr="003B42C4">
        <w:rPr>
          <w:rFonts w:cs="Arial"/>
          <w:bCs/>
          <w:szCs w:val="22"/>
          <w:lang w:val="en-US"/>
        </w:rPr>
        <w:t>).</w:t>
      </w:r>
      <w:proofErr w:type="gramEnd"/>
      <w:r w:rsidRPr="003B42C4">
        <w:rPr>
          <w:rFonts w:cs="Arial"/>
          <w:bCs/>
          <w:szCs w:val="22"/>
          <w:lang w:val="en-US"/>
        </w:rPr>
        <w:t xml:space="preserve"> </w:t>
      </w:r>
      <w:r w:rsidRPr="003B42C4">
        <w:rPr>
          <w:rFonts w:cs="Arial"/>
          <w:szCs w:val="22"/>
          <w:lang w:val="en-US"/>
        </w:rPr>
        <w:t xml:space="preserve">For the time being, the change in the periodic reporting mechanism will not affect the procedure for reporting on the status of elements inscribed on the Urgent Safeguarding List. A detailed overview and abstracts for each report </w:t>
      </w:r>
      <w:proofErr w:type="gramStart"/>
      <w:r w:rsidRPr="003B42C4">
        <w:rPr>
          <w:rFonts w:cs="Arial"/>
          <w:szCs w:val="22"/>
          <w:lang w:val="en-US"/>
        </w:rPr>
        <w:t>can be found</w:t>
      </w:r>
      <w:proofErr w:type="gramEnd"/>
      <w:r w:rsidRPr="003B42C4">
        <w:rPr>
          <w:rFonts w:cs="Arial"/>
          <w:szCs w:val="22"/>
          <w:lang w:val="en-US"/>
        </w:rPr>
        <w:t xml:space="preserve"> in the related working documents of the Committee: documents </w:t>
      </w:r>
      <w:hyperlink r:id="rId31" w:history="1">
        <w:r w:rsidRPr="003B42C4">
          <w:rPr>
            <w:rStyle w:val="Lienhypertexte"/>
            <w:rFonts w:cs="Arial"/>
            <w:szCs w:val="22"/>
            <w:lang w:val="en-US"/>
          </w:rPr>
          <w:t>ITH/18/13.COM/7.a</w:t>
        </w:r>
      </w:hyperlink>
      <w:r w:rsidRPr="003B42C4">
        <w:rPr>
          <w:rFonts w:cs="Arial"/>
          <w:szCs w:val="22"/>
          <w:lang w:val="en-US"/>
        </w:rPr>
        <w:t xml:space="preserve">, </w:t>
      </w:r>
      <w:hyperlink r:id="rId32" w:history="1">
        <w:r w:rsidRPr="003B42C4">
          <w:rPr>
            <w:rStyle w:val="Lienhypertexte"/>
            <w:rFonts w:cs="Arial"/>
            <w:szCs w:val="22"/>
            <w:lang w:val="en-US"/>
          </w:rPr>
          <w:t>ITH/18/13.COM/7.b</w:t>
        </w:r>
      </w:hyperlink>
      <w:r w:rsidRPr="003B42C4">
        <w:rPr>
          <w:rFonts w:cs="Arial"/>
          <w:szCs w:val="22"/>
          <w:lang w:val="en-US"/>
        </w:rPr>
        <w:t xml:space="preserve"> and </w:t>
      </w:r>
      <w:hyperlink r:id="rId33" w:history="1">
        <w:r w:rsidRPr="003B42C4">
          <w:rPr>
            <w:rStyle w:val="Lienhypertexte"/>
            <w:rFonts w:cs="Arial"/>
            <w:szCs w:val="22"/>
            <w:lang w:val="en-US"/>
          </w:rPr>
          <w:t>LHE/19/14.COM/9.a</w:t>
        </w:r>
      </w:hyperlink>
      <w:r w:rsidRPr="003B42C4">
        <w:rPr>
          <w:rFonts w:cs="Arial"/>
          <w:szCs w:val="22"/>
          <w:lang w:val="en-US"/>
        </w:rPr>
        <w:t>.</w:t>
      </w:r>
    </w:p>
    <w:p w14:paraId="1DB78A0C" w14:textId="77777777" w:rsidR="000D1034" w:rsidRPr="003B42C4" w:rsidRDefault="000D1034" w:rsidP="000D1034">
      <w:pPr>
        <w:keepNext/>
        <w:numPr>
          <w:ilvl w:val="0"/>
          <w:numId w:val="23"/>
        </w:numPr>
        <w:tabs>
          <w:tab w:val="clear" w:pos="720"/>
        </w:tabs>
        <w:spacing w:before="360" w:after="240"/>
        <w:ind w:left="567" w:hanging="567"/>
        <w:rPr>
          <w:rFonts w:ascii="Arial" w:hAnsi="Arial" w:cs="Arial"/>
          <w:b/>
          <w:sz w:val="22"/>
          <w:szCs w:val="22"/>
          <w:lang w:val="en-US"/>
        </w:rPr>
      </w:pPr>
      <w:r w:rsidRPr="003B42C4">
        <w:rPr>
          <w:rFonts w:ascii="Arial" w:hAnsi="Arial" w:cs="Arial"/>
          <w:b/>
          <w:sz w:val="22"/>
          <w:szCs w:val="22"/>
          <w:lang w:val="en-US"/>
        </w:rPr>
        <w:t>Inscriptions on the Lists of the Convention, selection of good safeguarding practices and granting of International Assistance</w:t>
      </w:r>
      <w:r w:rsidRPr="003B42C4">
        <w:rPr>
          <w:rFonts w:ascii="Arial" w:hAnsi="Arial" w:cs="Arial"/>
          <w:sz w:val="22"/>
          <w:szCs w:val="22"/>
          <w:lang w:val="en-US"/>
        </w:rPr>
        <w:t xml:space="preserve"> (Article 7[g])</w:t>
      </w:r>
    </w:p>
    <w:p w14:paraId="2537AAFA" w14:textId="77777777" w:rsidR="000D1034" w:rsidRPr="003B42C4" w:rsidRDefault="000D1034" w:rsidP="000D1034">
      <w:pPr>
        <w:pStyle w:val="Marge"/>
        <w:numPr>
          <w:ilvl w:val="0"/>
          <w:numId w:val="22"/>
        </w:numPr>
        <w:tabs>
          <w:tab w:val="clear" w:pos="928"/>
          <w:tab w:val="num" w:pos="567"/>
        </w:tabs>
        <w:spacing w:after="120"/>
        <w:ind w:left="567" w:hanging="567"/>
        <w:rPr>
          <w:rFonts w:cs="Arial"/>
          <w:i/>
          <w:szCs w:val="22"/>
          <w:lang w:val="en-US"/>
        </w:rPr>
      </w:pPr>
      <w:r w:rsidRPr="003B42C4">
        <w:rPr>
          <w:rFonts w:cs="Arial"/>
          <w:szCs w:val="22"/>
          <w:lang w:val="en-US"/>
        </w:rPr>
        <w:t xml:space="preserve">During the reporting period, the Committee examined 102 files and inscribed a total of 78 elements on the Lists of the Convention: 12 on the Urgent Safeguarding List and 66 on the Representative List. The Committee also selected 3 good safeguarding practices. </w:t>
      </w:r>
      <w:r w:rsidRPr="003B42C4">
        <w:rPr>
          <w:rStyle w:val="ac"/>
          <w:rFonts w:cs="Arial"/>
          <w:szCs w:val="22"/>
          <w:lang w:val="en-US"/>
        </w:rPr>
        <w:t>At</w:t>
      </w:r>
      <w:r w:rsidRPr="003B42C4">
        <w:rPr>
          <w:rFonts w:cs="Arial"/>
          <w:szCs w:val="22"/>
          <w:lang w:val="en-US"/>
        </w:rPr>
        <w:t xml:space="preserve"> its thirteenth and fourteenth sessions, the Committee approved one International Assistance request for an amount of US$213,260 and one International Assistance request for a total amount of US$387,770, respectively. Furthermore, the unprecedented inscription by the thirteenth session of the Committee of ‘Traditional Korean wrestling (</w:t>
      </w:r>
      <w:proofErr w:type="spellStart"/>
      <w:r w:rsidRPr="003B42C4">
        <w:rPr>
          <w:rFonts w:cs="Arial"/>
          <w:szCs w:val="22"/>
          <w:lang w:val="en-US"/>
        </w:rPr>
        <w:t>Ssirum</w:t>
      </w:r>
      <w:proofErr w:type="spellEnd"/>
      <w:r w:rsidRPr="003B42C4">
        <w:rPr>
          <w:rFonts w:cs="Arial"/>
          <w:szCs w:val="22"/>
          <w:lang w:val="en-US"/>
        </w:rPr>
        <w:t>/</w:t>
      </w:r>
      <w:proofErr w:type="spellStart"/>
      <w:r w:rsidRPr="003B42C4">
        <w:rPr>
          <w:rFonts w:cs="Arial"/>
          <w:szCs w:val="22"/>
          <w:lang w:val="en-US"/>
        </w:rPr>
        <w:t>Ssireum</w:t>
      </w:r>
      <w:proofErr w:type="spellEnd"/>
      <w:r w:rsidRPr="003B42C4">
        <w:rPr>
          <w:rFonts w:cs="Arial"/>
          <w:szCs w:val="22"/>
          <w:lang w:val="en-US"/>
        </w:rPr>
        <w:t>)’ on the Representative List as a joined nomination by the Democratic People’s Republic of Korea and the Republic of Korea demonstrated the role that UNESCO can play in contributing to the regional and global peace building through culture.</w:t>
      </w:r>
    </w:p>
    <w:p w14:paraId="63A710A2"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lang w:val="en-US"/>
        </w:rPr>
      </w:pPr>
      <w:r w:rsidRPr="003B42C4">
        <w:rPr>
          <w:rFonts w:cs="Arial"/>
          <w:szCs w:val="22"/>
          <w:lang w:val="en-US"/>
        </w:rPr>
        <w:t>Since at least 2016, States Parties have expressed their interest in establishing a system that clarifies minor technical issues before nominations are presented to the Committee. Building on discussions at earlier sessions, the Committee at its thirteenth session introduced a new experimental procedure for the 2019 cycle called the ‘</w:t>
      </w:r>
      <w:r w:rsidRPr="00006DD1">
        <w:rPr>
          <w:rFonts w:cs="Arial"/>
          <w:szCs w:val="22"/>
          <w:lang w:val="en-US"/>
        </w:rPr>
        <w:t xml:space="preserve">provisional upstream dialogue’ </w:t>
      </w:r>
      <w:r w:rsidRPr="00006DD1">
        <w:rPr>
          <w:rStyle w:val="Lienhypertexte"/>
          <w:rFonts w:cs="Arial"/>
          <w:color w:val="auto"/>
          <w:szCs w:val="22"/>
          <w:u w:val="none"/>
          <w:lang w:val="en-US"/>
        </w:rPr>
        <w:t xml:space="preserve">and decided </w:t>
      </w:r>
      <w:proofErr w:type="gramStart"/>
      <w:r w:rsidRPr="00006DD1">
        <w:rPr>
          <w:rStyle w:val="Lienhypertexte"/>
          <w:rFonts w:cs="Arial"/>
          <w:color w:val="auto"/>
          <w:szCs w:val="22"/>
          <w:u w:val="none"/>
          <w:lang w:val="en-US"/>
        </w:rPr>
        <w:t>to further reflect</w:t>
      </w:r>
      <w:proofErr w:type="gramEnd"/>
      <w:r w:rsidRPr="00006DD1">
        <w:rPr>
          <w:rStyle w:val="Lienhypertexte"/>
          <w:rFonts w:cs="Arial"/>
          <w:color w:val="auto"/>
          <w:szCs w:val="22"/>
          <w:u w:val="none"/>
          <w:lang w:val="en-US"/>
        </w:rPr>
        <w:t xml:space="preserve"> on an appropriate ‘dialogue’ mechanism </w:t>
      </w:r>
      <w:r w:rsidRPr="00006DD1">
        <w:rPr>
          <w:rFonts w:cs="Arial"/>
          <w:szCs w:val="22"/>
          <w:lang w:val="en-US"/>
        </w:rPr>
        <w:t xml:space="preserve">to </w:t>
      </w:r>
      <w:r w:rsidRPr="003B42C4">
        <w:rPr>
          <w:rFonts w:cs="Arial"/>
          <w:szCs w:val="22"/>
          <w:lang w:val="en-US"/>
        </w:rPr>
        <w:t xml:space="preserve">enhance the transparency and credibility of the evaluation process </w:t>
      </w:r>
      <w:r w:rsidRPr="003B42C4">
        <w:rPr>
          <w:rStyle w:val="Lienhypertexte"/>
          <w:rFonts w:cs="Arial"/>
          <w:szCs w:val="22"/>
          <w:lang w:val="en-US"/>
        </w:rPr>
        <w:t>(</w:t>
      </w:r>
      <w:hyperlink r:id="rId34" w:history="1">
        <w:r w:rsidRPr="003B42C4">
          <w:rPr>
            <w:rStyle w:val="Lienhypertexte"/>
            <w:rFonts w:cs="Arial"/>
            <w:szCs w:val="22"/>
            <w:lang w:val="en-US"/>
          </w:rPr>
          <w:t>Decision 13.COM 10</w:t>
        </w:r>
      </w:hyperlink>
      <w:r w:rsidRPr="003B42C4">
        <w:rPr>
          <w:rStyle w:val="Lienhypertexte"/>
          <w:rFonts w:cs="Arial"/>
          <w:szCs w:val="22"/>
          <w:lang w:val="en-US"/>
        </w:rPr>
        <w:t xml:space="preserve"> </w:t>
      </w:r>
      <w:r w:rsidRPr="007336B5">
        <w:rPr>
          <w:rStyle w:val="Lienhypertexte"/>
          <w:rFonts w:cs="Arial"/>
          <w:color w:val="auto"/>
          <w:szCs w:val="22"/>
          <w:u w:val="none"/>
          <w:lang w:val="en-US"/>
        </w:rPr>
        <w:t>and</w:t>
      </w:r>
      <w:r w:rsidRPr="007336B5">
        <w:rPr>
          <w:rStyle w:val="Lienhypertexte"/>
          <w:rFonts w:cs="Arial"/>
          <w:color w:val="auto"/>
          <w:szCs w:val="22"/>
          <w:lang w:val="en-US"/>
        </w:rPr>
        <w:t xml:space="preserve"> </w:t>
      </w:r>
      <w:hyperlink r:id="rId35" w:history="1">
        <w:r w:rsidRPr="003B42C4">
          <w:rPr>
            <w:rStyle w:val="Lienhypertexte"/>
            <w:rFonts w:cs="Arial"/>
            <w:szCs w:val="22"/>
            <w:lang w:val="en-US"/>
          </w:rPr>
          <w:t>Decision 13.COM 16</w:t>
        </w:r>
      </w:hyperlink>
      <w:r w:rsidRPr="003B42C4">
        <w:rPr>
          <w:rStyle w:val="Lienhypertexte"/>
          <w:rFonts w:cs="Arial"/>
          <w:szCs w:val="22"/>
          <w:lang w:val="en-US"/>
        </w:rPr>
        <w:t>)</w:t>
      </w:r>
      <w:r w:rsidRPr="003B42C4">
        <w:rPr>
          <w:rFonts w:cs="Arial"/>
          <w:szCs w:val="22"/>
          <w:lang w:val="en-US"/>
        </w:rPr>
        <w:t>. This allowed the Evaluation Body to initiate a written exchange when it considers that a short question and answer process with the submitting State might clarify whether the nomination met the criterion concerned. The fourteenth session of the Committee took stock of the experience with this provisional upstream dialogue process, with a view to presenting possible amendments to the Operational Directives to the eighth session of the General Assembly of the States Parties in 2020.</w:t>
      </w:r>
    </w:p>
    <w:p w14:paraId="1B361290" w14:textId="77777777" w:rsidR="000D1034" w:rsidRPr="003B42C4" w:rsidRDefault="000D1034" w:rsidP="000D1034">
      <w:pPr>
        <w:pStyle w:val="Marge"/>
        <w:numPr>
          <w:ilvl w:val="0"/>
          <w:numId w:val="22"/>
        </w:numPr>
        <w:tabs>
          <w:tab w:val="clear" w:pos="928"/>
          <w:tab w:val="num" w:pos="567"/>
        </w:tabs>
        <w:spacing w:after="120"/>
        <w:ind w:left="567" w:hanging="567"/>
        <w:rPr>
          <w:rFonts w:cs="Arial"/>
          <w:lang w:val="en-US"/>
        </w:rPr>
      </w:pPr>
      <w:r w:rsidRPr="003B42C4">
        <w:rPr>
          <w:rFonts w:cs="Arial"/>
          <w:szCs w:val="22"/>
          <w:lang w:val="en-US"/>
        </w:rPr>
        <w:t>There is no mechanism currently in place allowing the Secretariat to bring to the attention of the Committee the increasing number of correspondence received concerning the changing conditions of the status of elements inscribed on the Lists of the Convention. At its thirteenth session, the Committee recognized the need to reflect on the follow-up of inscribed elements</w:t>
      </w:r>
      <w:r w:rsidRPr="003B42C4">
        <w:rPr>
          <w:color w:val="000000"/>
          <w:lang w:val="en-US"/>
        </w:rPr>
        <w:t xml:space="preserve"> as part of the broader reflection on the listing mechanisms of the Convention</w:t>
      </w:r>
      <w:r w:rsidRPr="003B42C4">
        <w:rPr>
          <w:rFonts w:cs="Arial"/>
          <w:szCs w:val="22"/>
          <w:lang w:val="en-US"/>
        </w:rPr>
        <w:t xml:space="preserve">. </w:t>
      </w:r>
      <w:bookmarkStart w:id="2" w:name="_Hlk27204985"/>
      <w:r w:rsidRPr="003B42C4">
        <w:rPr>
          <w:rFonts w:cs="Arial"/>
          <w:szCs w:val="22"/>
          <w:lang w:val="en-US"/>
        </w:rPr>
        <w:t xml:space="preserve">The fourteenth session of the Committee examined the case of the Aalst Carnival (Belgium), an element inscribed in 2010 on the Representative List, at the request of the Bureau. Having considered that the element no longer meets the inscription criteria R.1 and R.2 and taking note of the </w:t>
      </w:r>
      <w:r w:rsidRPr="003B42C4">
        <w:rPr>
          <w:rFonts w:cs="Arial"/>
          <w:i/>
          <w:szCs w:val="22"/>
          <w:lang w:val="en-US"/>
        </w:rPr>
        <w:t xml:space="preserve">note </w:t>
      </w:r>
      <w:proofErr w:type="spellStart"/>
      <w:r w:rsidRPr="003B42C4">
        <w:rPr>
          <w:rFonts w:cs="Arial"/>
          <w:i/>
          <w:szCs w:val="22"/>
          <w:lang w:val="en-US"/>
        </w:rPr>
        <w:t>verbale</w:t>
      </w:r>
      <w:proofErr w:type="spellEnd"/>
      <w:r w:rsidRPr="003B42C4">
        <w:rPr>
          <w:rFonts w:cs="Arial"/>
          <w:szCs w:val="22"/>
          <w:lang w:val="en-US"/>
        </w:rPr>
        <w:t xml:space="preserve"> from the Kingdom of Belgium (dated 5 December, 2019), the Committee decided to remove the element from that List in line with paragraph 40 of the Operational Directives.</w:t>
      </w:r>
    </w:p>
    <w:bookmarkEnd w:id="2"/>
    <w:p w14:paraId="0472CD85" w14:textId="784E6E18" w:rsidR="00110FBD" w:rsidRDefault="000D1034" w:rsidP="000D1034">
      <w:pPr>
        <w:pStyle w:val="Marge"/>
        <w:numPr>
          <w:ilvl w:val="0"/>
          <w:numId w:val="22"/>
        </w:numPr>
        <w:tabs>
          <w:tab w:val="clear" w:pos="928"/>
          <w:tab w:val="num" w:pos="567"/>
        </w:tabs>
        <w:spacing w:after="120"/>
        <w:ind w:left="567" w:hanging="567"/>
        <w:rPr>
          <w:lang w:val="en-US"/>
        </w:rPr>
      </w:pPr>
      <w:r w:rsidRPr="003B42C4">
        <w:rPr>
          <w:rFonts w:cs="Arial"/>
          <w:szCs w:val="22"/>
          <w:lang w:val="en-US"/>
        </w:rPr>
        <w:t xml:space="preserve">At the same time, at its thirteenth session the Committee launched a long-term reflection until 2022 on the listing mechanisms of the Convention, with the support of the Government of Japan. The overall aim of the initiative is to reflect, </w:t>
      </w:r>
      <w:r w:rsidRPr="003B42C4">
        <w:rPr>
          <w:rFonts w:cs="Arial"/>
          <w:i/>
          <w:szCs w:val="22"/>
          <w:lang w:val="en-US"/>
        </w:rPr>
        <w:t>inter alia</w:t>
      </w:r>
      <w:r w:rsidRPr="003B42C4">
        <w:rPr>
          <w:rFonts w:cs="Arial"/>
          <w:szCs w:val="22"/>
          <w:lang w:val="en-US"/>
        </w:rPr>
        <w:t xml:space="preserve">, on the nature and purposes of the Lists and the Register of the Convention as well as on the relevance of the various criteria for each of these mechanisms. The review of the methodology for the evaluation and examination of nominations is an important part of the reflection. </w:t>
      </w:r>
      <w:r w:rsidRPr="003B42C4">
        <w:rPr>
          <w:lang w:val="en-US"/>
        </w:rPr>
        <w:t xml:space="preserve">The fourteenth session of the Committee made progress in this regard, by indicating a series of topics to be dealt with during the first expert meeting to be </w:t>
      </w:r>
      <w:r w:rsidRPr="00C33B40">
        <w:rPr>
          <w:lang w:val="en-US"/>
        </w:rPr>
        <w:t>held in early 2020.</w:t>
      </w:r>
    </w:p>
    <w:p w14:paraId="24CFA86D" w14:textId="147B4545" w:rsidR="000D1034" w:rsidRPr="003B42C4" w:rsidRDefault="000D1034" w:rsidP="00924191">
      <w:pPr>
        <w:pStyle w:val="Marge"/>
        <w:pageBreakBefore/>
        <w:numPr>
          <w:ilvl w:val="0"/>
          <w:numId w:val="22"/>
        </w:numPr>
        <w:tabs>
          <w:tab w:val="clear" w:pos="928"/>
          <w:tab w:val="num" w:pos="567"/>
        </w:tabs>
        <w:spacing w:after="120"/>
        <w:ind w:left="567" w:hanging="567"/>
        <w:rPr>
          <w:rFonts w:cs="Arial"/>
          <w:szCs w:val="22"/>
          <w:lang w:val="en-US"/>
        </w:rPr>
      </w:pPr>
      <w:proofErr w:type="gramStart"/>
      <w:r w:rsidRPr="003B42C4">
        <w:rPr>
          <w:rFonts w:cs="Arial"/>
          <w:szCs w:val="22"/>
          <w:lang w:val="en-US"/>
        </w:rPr>
        <w:lastRenderedPageBreak/>
        <w:t xml:space="preserve">The Committee (for requests greater than US$100,000) or the Bureau (for requests up to US$100,000 and emergency requests) approved a total of 26 of 37 requests for International Assistance, for a total amount of US$2,451,208, during the reporting period (see also documents </w:t>
      </w:r>
      <w:hyperlink r:id="rId36" w:history="1">
        <w:r w:rsidRPr="003B42C4">
          <w:rPr>
            <w:rStyle w:val="Lienhypertexte"/>
            <w:rFonts w:cs="Arial"/>
            <w:szCs w:val="22"/>
            <w:lang w:val="en-US"/>
          </w:rPr>
          <w:t>ITH/18/13.COM/7.c</w:t>
        </w:r>
      </w:hyperlink>
      <w:r w:rsidRPr="003B42C4">
        <w:rPr>
          <w:rFonts w:cs="Arial"/>
          <w:szCs w:val="22"/>
          <w:lang w:val="en-US"/>
        </w:rPr>
        <w:t xml:space="preserve"> and </w:t>
      </w:r>
      <w:hyperlink r:id="rId37" w:history="1">
        <w:r w:rsidRPr="003B42C4">
          <w:rPr>
            <w:rStyle w:val="Lienhypertexte"/>
            <w:rFonts w:cs="Arial"/>
            <w:szCs w:val="22"/>
            <w:lang w:val="en-US"/>
          </w:rPr>
          <w:t>LHE/19/14.COM/9.b</w:t>
        </w:r>
      </w:hyperlink>
      <w:r w:rsidRPr="003B42C4">
        <w:rPr>
          <w:rFonts w:cs="Arial"/>
          <w:szCs w:val="22"/>
          <w:lang w:val="en-US"/>
        </w:rPr>
        <w:t xml:space="preserve"> for the report on the use of International Assistance by States Parties).</w:t>
      </w:r>
      <w:proofErr w:type="gramEnd"/>
      <w:r w:rsidRPr="003B42C4">
        <w:rPr>
          <w:rFonts w:cs="Arial"/>
          <w:szCs w:val="22"/>
          <w:lang w:val="en-US"/>
        </w:rPr>
        <w:t xml:space="preserve"> A total of 21 countries received financial assistance from the Fund during the reporting period. As reported to the fourteenth session of the Committee (</w:t>
      </w:r>
      <w:r w:rsidRPr="003B42C4">
        <w:rPr>
          <w:rFonts w:cs="Arial"/>
          <w:snapToGrid/>
          <w:szCs w:val="22"/>
          <w:lang w:val="en-US"/>
        </w:rPr>
        <w:t xml:space="preserve">documents </w:t>
      </w:r>
      <w:hyperlink r:id="rId38" w:history="1">
        <w:r w:rsidRPr="003B42C4">
          <w:rPr>
            <w:rStyle w:val="Lienhypertexte"/>
            <w:rFonts w:cs="Arial"/>
            <w:snapToGrid/>
            <w:szCs w:val="22"/>
            <w:lang w:val="en-US"/>
          </w:rPr>
          <w:t>LHE</w:t>
        </w:r>
        <w:r w:rsidRPr="003B42C4">
          <w:rPr>
            <w:rStyle w:val="Lienhypertexte"/>
            <w:rFonts w:cs="Arial"/>
            <w:bCs/>
            <w:snapToGrid/>
            <w:szCs w:val="22"/>
            <w:lang w:val="en-US"/>
          </w:rPr>
          <w:t>/19/14.COM/7</w:t>
        </w:r>
      </w:hyperlink>
      <w:r w:rsidRPr="003B42C4">
        <w:rPr>
          <w:rFonts w:cs="Arial"/>
          <w:bCs/>
          <w:snapToGrid/>
          <w:szCs w:val="22"/>
          <w:lang w:val="en-US"/>
        </w:rPr>
        <w:t xml:space="preserve"> and </w:t>
      </w:r>
      <w:hyperlink r:id="rId39" w:history="1">
        <w:r w:rsidRPr="003B42C4">
          <w:rPr>
            <w:rStyle w:val="Lienhypertexte"/>
            <w:rFonts w:cs="Arial"/>
            <w:bCs/>
            <w:snapToGrid/>
            <w:szCs w:val="22"/>
            <w:lang w:val="en-US"/>
          </w:rPr>
          <w:t>LHE/19/14.COM/INF.7</w:t>
        </w:r>
      </w:hyperlink>
      <w:r w:rsidRPr="003B42C4">
        <w:rPr>
          <w:rFonts w:cs="Arial"/>
          <w:bCs/>
          <w:snapToGrid/>
          <w:szCs w:val="22"/>
          <w:lang w:val="en-US"/>
        </w:rPr>
        <w:t xml:space="preserve">), </w:t>
      </w:r>
      <w:r w:rsidRPr="003B42C4">
        <w:rPr>
          <w:rFonts w:cs="Arial"/>
          <w:szCs w:val="22"/>
          <w:lang w:val="en-US"/>
        </w:rPr>
        <w:t>States Parties have come to make significantly greater use of the International Assistance mechanisms.</w:t>
      </w:r>
    </w:p>
    <w:sectPr w:rsidR="000D1034" w:rsidRPr="003B42C4" w:rsidSect="00176720">
      <w:headerReference w:type="even" r:id="rId40"/>
      <w:headerReference w:type="default" r:id="rId41"/>
      <w:headerReference w:type="first" r:id="rId4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5EDCB" w14:textId="77777777" w:rsidR="00E662BF" w:rsidRDefault="00E662BF" w:rsidP="00655736">
      <w:r>
        <w:separator/>
      </w:r>
    </w:p>
  </w:endnote>
  <w:endnote w:type="continuationSeparator" w:id="0">
    <w:p w14:paraId="51DDEE6E" w14:textId="77777777" w:rsidR="00E662BF" w:rsidRDefault="00E662B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FB989" w14:textId="77777777" w:rsidR="00E662BF" w:rsidRDefault="00E662BF" w:rsidP="00655736">
      <w:r>
        <w:separator/>
      </w:r>
    </w:p>
  </w:footnote>
  <w:footnote w:type="continuationSeparator" w:id="0">
    <w:p w14:paraId="35FC9870" w14:textId="77777777" w:rsidR="00E662BF" w:rsidRDefault="00E662BF" w:rsidP="00655736">
      <w:r>
        <w:continuationSeparator/>
      </w:r>
    </w:p>
  </w:footnote>
  <w:footnote w:id="1">
    <w:p w14:paraId="5A077543" w14:textId="494A3057" w:rsidR="00C01F36" w:rsidRPr="00C01F36" w:rsidRDefault="00C01F36" w:rsidP="00A46450">
      <w:pPr>
        <w:tabs>
          <w:tab w:val="left" w:pos="450"/>
        </w:tabs>
        <w:ind w:left="450" w:hanging="450"/>
        <w:jc w:val="both"/>
        <w:rPr>
          <w:sz w:val="18"/>
          <w:szCs w:val="18"/>
          <w:lang w:val="en-US" w:eastAsia="en-US"/>
        </w:rPr>
      </w:pPr>
      <w:r w:rsidRPr="00C01F36">
        <w:rPr>
          <w:rStyle w:val="Appelnotedebasdep"/>
          <w:rFonts w:ascii="Arial" w:hAnsi="Arial" w:cs="Arial"/>
          <w:sz w:val="18"/>
          <w:szCs w:val="18"/>
          <w:vertAlign w:val="baseline"/>
        </w:rPr>
        <w:footnoteRef/>
      </w:r>
      <w:r w:rsidRPr="00C01F36">
        <w:rPr>
          <w:rFonts w:ascii="Arial" w:hAnsi="Arial" w:cs="Arial"/>
          <w:sz w:val="18"/>
          <w:szCs w:val="18"/>
          <w:lang w:val="en-US"/>
        </w:rPr>
        <w:t>.</w:t>
      </w:r>
      <w:r w:rsidRPr="00C01F36">
        <w:rPr>
          <w:sz w:val="18"/>
          <w:szCs w:val="18"/>
          <w:lang w:val="en-US"/>
        </w:rPr>
        <w:tab/>
      </w:r>
      <w:r w:rsidRPr="001F2D78">
        <w:rPr>
          <w:rFonts w:ascii="Arial" w:hAnsi="Arial" w:cs="Arial"/>
          <w:sz w:val="18"/>
          <w:szCs w:val="18"/>
          <w:lang w:val="en-US"/>
        </w:rPr>
        <w:t>Note: Due to the COVID-19 pandemic, some of the dates mentioned in the annex have since changed, notably the eight session of the General Assembly was rescheduled to 8 to 10 September 2020 and the expert meeting on the nature and purposes of the listing mechanisms was postponed until early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36BE" w14:textId="44C16DF2" w:rsidR="00D95C4C" w:rsidRPr="00C23A97" w:rsidRDefault="00065199">
    <w:pPr>
      <w:pStyle w:val="En-tte"/>
      <w:rPr>
        <w:rFonts w:ascii="Arial" w:hAnsi="Arial" w:cs="Arial"/>
        <w:lang w:val="en-GB"/>
      </w:rPr>
    </w:pPr>
    <w:r>
      <w:rPr>
        <w:rFonts w:ascii="Arial" w:hAnsi="Arial" w:cs="Arial"/>
        <w:sz w:val="20"/>
        <w:szCs w:val="20"/>
        <w:lang w:val="en-GB"/>
      </w:rPr>
      <w:t>LHE/20</w:t>
    </w:r>
    <w:r w:rsidR="00763A0D" w:rsidRPr="007E0222">
      <w:rPr>
        <w:rFonts w:ascii="Arial" w:hAnsi="Arial" w:cs="Arial"/>
        <w:sz w:val="20"/>
        <w:szCs w:val="20"/>
        <w:lang w:val="en-GB"/>
      </w:rPr>
      <w:t>/</w:t>
    </w:r>
    <w:r>
      <w:rPr>
        <w:rFonts w:ascii="Arial" w:hAnsi="Arial" w:cs="Arial"/>
        <w:sz w:val="20"/>
        <w:szCs w:val="20"/>
        <w:lang w:val="en-GB"/>
      </w:rPr>
      <w:t>8</w:t>
    </w:r>
    <w:r w:rsidR="00BB04AF" w:rsidRPr="007E0222">
      <w:rPr>
        <w:rFonts w:ascii="Arial" w:hAnsi="Arial" w:cs="Arial"/>
        <w:sz w:val="20"/>
        <w:szCs w:val="20"/>
        <w:lang w:val="en-GB"/>
      </w:rPr>
      <w:t>.GA</w:t>
    </w:r>
    <w:r w:rsidR="00D95C4C" w:rsidRPr="007E0222">
      <w:rPr>
        <w:rFonts w:ascii="Arial" w:hAnsi="Arial" w:cs="Arial"/>
        <w:sz w:val="20"/>
        <w:szCs w:val="20"/>
        <w:lang w:val="en-GB"/>
      </w:rPr>
      <w:t>/</w:t>
    </w:r>
    <w:r w:rsidR="007E0222" w:rsidRPr="008A0C2D">
      <w:rPr>
        <w:rFonts w:ascii="Arial" w:hAnsi="Arial" w:cs="Arial"/>
        <w:sz w:val="20"/>
        <w:szCs w:val="20"/>
        <w:lang w:val="en-GB"/>
      </w:rPr>
      <w:t>5</w:t>
    </w:r>
    <w:r w:rsidR="00D95C4C" w:rsidRPr="007E0222">
      <w:rPr>
        <w:rFonts w:ascii="Arial" w:hAnsi="Arial" w:cs="Arial"/>
        <w:sz w:val="20"/>
        <w:szCs w:val="20"/>
        <w:lang w:val="en-GB"/>
      </w:rPr>
      <w:t xml:space="preserve"> – page </w:t>
    </w:r>
    <w:r w:rsidR="00D95C4C" w:rsidRPr="007E0222">
      <w:rPr>
        <w:rStyle w:val="Numrodepage"/>
        <w:rFonts w:ascii="Arial" w:hAnsi="Arial" w:cs="Arial"/>
        <w:sz w:val="20"/>
        <w:szCs w:val="20"/>
        <w:lang w:val="en-GB"/>
      </w:rPr>
      <w:fldChar w:fldCharType="begin"/>
    </w:r>
    <w:r w:rsidR="00D95C4C" w:rsidRPr="00FA3850">
      <w:rPr>
        <w:rStyle w:val="Numrodepage"/>
        <w:rFonts w:ascii="Arial" w:hAnsi="Arial" w:cs="Arial"/>
        <w:sz w:val="20"/>
        <w:szCs w:val="20"/>
        <w:lang w:val="en-GB"/>
      </w:rPr>
      <w:instrText xml:space="preserve"> PAGE </w:instrText>
    </w:r>
    <w:r w:rsidR="00D95C4C" w:rsidRPr="007E0222">
      <w:rPr>
        <w:rStyle w:val="Numrodepage"/>
        <w:rFonts w:ascii="Arial" w:hAnsi="Arial" w:cs="Arial"/>
        <w:sz w:val="20"/>
        <w:szCs w:val="20"/>
        <w:lang w:val="en-GB"/>
      </w:rPr>
      <w:fldChar w:fldCharType="separate"/>
    </w:r>
    <w:r w:rsidR="007F4255">
      <w:rPr>
        <w:rStyle w:val="Numrodepage"/>
        <w:rFonts w:ascii="Arial" w:hAnsi="Arial" w:cs="Arial"/>
        <w:noProof/>
        <w:sz w:val="20"/>
        <w:szCs w:val="20"/>
        <w:lang w:val="en-GB"/>
      </w:rPr>
      <w:t>8</w:t>
    </w:r>
    <w:r w:rsidR="00D95C4C" w:rsidRPr="007E0222">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F761" w14:textId="1D2926D6" w:rsidR="00D95C4C" w:rsidRPr="0063300C" w:rsidRDefault="00F03809" w:rsidP="0063300C">
    <w:pPr>
      <w:pStyle w:val="En-tte"/>
      <w:jc w:val="right"/>
      <w:rPr>
        <w:rFonts w:ascii="Arial" w:hAnsi="Arial" w:cs="Arial"/>
        <w:lang w:val="en-GB"/>
      </w:rPr>
    </w:pPr>
    <w:r>
      <w:rPr>
        <w:rFonts w:ascii="Arial" w:hAnsi="Arial" w:cs="Arial"/>
        <w:sz w:val="20"/>
        <w:szCs w:val="20"/>
        <w:lang w:val="en-GB"/>
      </w:rPr>
      <w:t>LHE/20</w:t>
    </w:r>
    <w:r w:rsidR="00B96B09" w:rsidRPr="00EA145D">
      <w:rPr>
        <w:rFonts w:ascii="Arial" w:hAnsi="Arial" w:cs="Arial"/>
        <w:sz w:val="20"/>
        <w:szCs w:val="20"/>
        <w:lang w:val="en-GB"/>
      </w:rPr>
      <w:t>/</w:t>
    </w:r>
    <w:r>
      <w:rPr>
        <w:rFonts w:ascii="Arial" w:hAnsi="Arial" w:cs="Arial"/>
        <w:sz w:val="20"/>
        <w:szCs w:val="20"/>
        <w:lang w:val="en-GB"/>
      </w:rPr>
      <w:t>8</w:t>
    </w:r>
    <w:r w:rsidR="004A34A0" w:rsidRPr="00EA145D">
      <w:rPr>
        <w:rFonts w:ascii="Arial" w:hAnsi="Arial" w:cs="Arial"/>
        <w:sz w:val="20"/>
        <w:szCs w:val="20"/>
        <w:lang w:val="en-GB"/>
      </w:rPr>
      <w:t>.GA/</w:t>
    </w:r>
    <w:r w:rsidR="00EA145D" w:rsidRPr="00EA145D">
      <w:rPr>
        <w:rFonts w:ascii="Arial" w:hAnsi="Arial" w:cs="Arial"/>
        <w:sz w:val="20"/>
        <w:szCs w:val="20"/>
        <w:lang w:val="en-GB"/>
      </w:rPr>
      <w:t>5</w:t>
    </w:r>
    <w:r w:rsidR="004A34A0" w:rsidRPr="00EA145D">
      <w:rPr>
        <w:rFonts w:ascii="Arial" w:hAnsi="Arial" w:cs="Arial"/>
        <w:sz w:val="20"/>
        <w:szCs w:val="20"/>
        <w:lang w:val="en-GB"/>
      </w:rPr>
      <w:t xml:space="preserve"> – page </w:t>
    </w:r>
    <w:r w:rsidR="004A34A0" w:rsidRPr="00EA145D">
      <w:rPr>
        <w:rStyle w:val="Numrodepage"/>
        <w:rFonts w:ascii="Arial" w:hAnsi="Arial" w:cs="Arial"/>
        <w:sz w:val="20"/>
        <w:szCs w:val="20"/>
        <w:lang w:val="en-GB"/>
      </w:rPr>
      <w:fldChar w:fldCharType="begin"/>
    </w:r>
    <w:r w:rsidR="004A34A0" w:rsidRPr="00EA145D">
      <w:rPr>
        <w:rStyle w:val="Numrodepage"/>
        <w:rFonts w:ascii="Arial" w:hAnsi="Arial" w:cs="Arial"/>
        <w:sz w:val="20"/>
        <w:szCs w:val="20"/>
        <w:lang w:val="en-GB"/>
      </w:rPr>
      <w:instrText xml:space="preserve"> PAGE </w:instrText>
    </w:r>
    <w:r w:rsidR="004A34A0" w:rsidRPr="00EA145D">
      <w:rPr>
        <w:rStyle w:val="Numrodepage"/>
        <w:rFonts w:ascii="Arial" w:hAnsi="Arial" w:cs="Arial"/>
        <w:sz w:val="20"/>
        <w:szCs w:val="20"/>
        <w:lang w:val="en-GB"/>
      </w:rPr>
      <w:fldChar w:fldCharType="separate"/>
    </w:r>
    <w:r w:rsidR="007F4255">
      <w:rPr>
        <w:rStyle w:val="Numrodepage"/>
        <w:rFonts w:ascii="Arial" w:hAnsi="Arial" w:cs="Arial"/>
        <w:noProof/>
        <w:sz w:val="20"/>
        <w:szCs w:val="20"/>
        <w:lang w:val="en-GB"/>
      </w:rPr>
      <w:t>9</w:t>
    </w:r>
    <w:r w:rsidR="004A34A0" w:rsidRPr="00EA145D">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CEEB" w14:textId="77777777" w:rsidR="00D95C4C" w:rsidRPr="008724E5" w:rsidRDefault="00AA6660">
    <w:pPr>
      <w:pStyle w:val="En-tte"/>
    </w:pPr>
    <w:r>
      <w:rPr>
        <w:noProof/>
        <w:lang w:eastAsia="ja-JP"/>
      </w:rPr>
      <w:drawing>
        <wp:anchor distT="0" distB="0" distL="114300" distR="114300" simplePos="0" relativeHeight="251657728" behindDoc="0" locked="0" layoutInCell="1" allowOverlap="1" wp14:anchorId="6226659D" wp14:editId="7615317E">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3088E" w14:textId="50FE48D0" w:rsidR="00D95C4C" w:rsidRPr="00CB170C" w:rsidRDefault="00065199" w:rsidP="00655736">
    <w:pPr>
      <w:pStyle w:val="En-tte"/>
      <w:spacing w:after="520"/>
      <w:jc w:val="right"/>
      <w:rPr>
        <w:rFonts w:ascii="Arial" w:hAnsi="Arial" w:cs="Arial"/>
        <w:b/>
        <w:sz w:val="44"/>
        <w:szCs w:val="44"/>
        <w:lang w:val="pt-PT"/>
      </w:rPr>
    </w:pPr>
    <w:r w:rsidRPr="00CB170C">
      <w:rPr>
        <w:rFonts w:ascii="Arial" w:hAnsi="Arial" w:cs="Arial"/>
        <w:b/>
        <w:sz w:val="44"/>
        <w:szCs w:val="44"/>
        <w:lang w:val="pt-PT"/>
      </w:rPr>
      <w:t>8</w:t>
    </w:r>
    <w:r w:rsidR="00D95C4C" w:rsidRPr="00CB170C">
      <w:rPr>
        <w:rFonts w:ascii="Arial" w:hAnsi="Arial" w:cs="Arial"/>
        <w:b/>
        <w:sz w:val="44"/>
        <w:szCs w:val="44"/>
        <w:lang w:val="pt-PT"/>
      </w:rPr>
      <w:t xml:space="preserve"> GA</w:t>
    </w:r>
  </w:p>
  <w:p w14:paraId="1DCBFABE" w14:textId="60CD969B" w:rsidR="00D95C4C" w:rsidRPr="00CB170C" w:rsidRDefault="00065199" w:rsidP="00655736">
    <w:pPr>
      <w:jc w:val="right"/>
      <w:rPr>
        <w:rFonts w:ascii="Arial" w:hAnsi="Arial" w:cs="Arial"/>
        <w:b/>
        <w:sz w:val="22"/>
        <w:szCs w:val="22"/>
        <w:lang w:val="pt-PT"/>
      </w:rPr>
    </w:pPr>
    <w:r w:rsidRPr="00CB170C">
      <w:rPr>
        <w:rFonts w:ascii="Arial" w:hAnsi="Arial" w:cs="Arial"/>
        <w:b/>
        <w:sz w:val="22"/>
        <w:szCs w:val="22"/>
        <w:lang w:val="pt-PT"/>
      </w:rPr>
      <w:t>LHE/20</w:t>
    </w:r>
    <w:r w:rsidR="00D95C4C" w:rsidRPr="00CB170C">
      <w:rPr>
        <w:rFonts w:ascii="Arial" w:hAnsi="Arial" w:cs="Arial"/>
        <w:b/>
        <w:sz w:val="22"/>
        <w:szCs w:val="22"/>
        <w:lang w:val="pt-PT"/>
      </w:rPr>
      <w:t>/</w:t>
    </w:r>
    <w:r w:rsidRPr="00CB170C">
      <w:rPr>
        <w:rFonts w:ascii="Arial" w:hAnsi="Arial" w:cs="Arial"/>
        <w:b/>
        <w:sz w:val="22"/>
        <w:szCs w:val="22"/>
        <w:lang w:val="pt-PT"/>
      </w:rPr>
      <w:t>8</w:t>
    </w:r>
    <w:r w:rsidR="00D95C4C" w:rsidRPr="00CB170C">
      <w:rPr>
        <w:rFonts w:ascii="Arial" w:hAnsi="Arial" w:cs="Arial"/>
        <w:b/>
        <w:sz w:val="22"/>
        <w:szCs w:val="22"/>
        <w:lang w:val="pt-PT"/>
      </w:rPr>
      <w:t>.</w:t>
    </w:r>
    <w:r w:rsidR="00BB04AF" w:rsidRPr="00CB170C">
      <w:rPr>
        <w:rFonts w:ascii="Arial" w:hAnsi="Arial" w:cs="Arial"/>
        <w:b/>
        <w:sz w:val="22"/>
        <w:szCs w:val="22"/>
        <w:lang w:val="pt-PT"/>
      </w:rPr>
      <w:t>GA</w:t>
    </w:r>
    <w:r w:rsidR="00D95C4C" w:rsidRPr="00CB170C">
      <w:rPr>
        <w:rFonts w:ascii="Arial" w:hAnsi="Arial" w:cs="Arial"/>
        <w:b/>
        <w:sz w:val="22"/>
        <w:szCs w:val="22"/>
        <w:lang w:val="pt-PT"/>
      </w:rPr>
      <w:t>/</w:t>
    </w:r>
    <w:r w:rsidR="007E0222" w:rsidRPr="00CB170C">
      <w:rPr>
        <w:rFonts w:ascii="Arial" w:hAnsi="Arial" w:cs="Arial"/>
        <w:b/>
        <w:sz w:val="22"/>
        <w:szCs w:val="22"/>
        <w:lang w:val="pt-PT"/>
      </w:rPr>
      <w:t>5</w:t>
    </w:r>
  </w:p>
  <w:p w14:paraId="355F059E" w14:textId="35AAA37F" w:rsidR="00D95C4C" w:rsidRPr="00CB170C" w:rsidRDefault="00D95C4C" w:rsidP="00257003">
    <w:pPr>
      <w:jc w:val="right"/>
      <w:rPr>
        <w:rFonts w:ascii="Arial" w:hAnsi="Arial" w:cs="Arial"/>
        <w:b/>
        <w:sz w:val="22"/>
        <w:szCs w:val="22"/>
        <w:lang w:val="pt-PT"/>
      </w:rPr>
    </w:pPr>
    <w:r w:rsidRPr="00CB170C">
      <w:rPr>
        <w:rFonts w:ascii="Arial" w:hAnsi="Arial" w:cs="Arial"/>
        <w:b/>
        <w:sz w:val="22"/>
        <w:szCs w:val="22"/>
        <w:lang w:val="pt-PT"/>
      </w:rPr>
      <w:t xml:space="preserve">Paris, </w:t>
    </w:r>
    <w:r w:rsidR="00506E16">
      <w:rPr>
        <w:rFonts w:ascii="Arial" w:hAnsi="Arial" w:cs="Arial"/>
        <w:b/>
        <w:sz w:val="22"/>
        <w:szCs w:val="22"/>
        <w:lang w:val="pt-PT"/>
      </w:rPr>
      <w:t xml:space="preserve">7 </w:t>
    </w:r>
    <w:r w:rsidR="00506E16" w:rsidRPr="004132F7">
      <w:rPr>
        <w:rFonts w:ascii="Arial" w:hAnsi="Arial" w:cs="Arial"/>
        <w:b/>
        <w:sz w:val="22"/>
        <w:szCs w:val="22"/>
        <w:lang w:val="pt-PT"/>
      </w:rPr>
      <w:t>August</w:t>
    </w:r>
    <w:r w:rsidRPr="00CB170C">
      <w:rPr>
        <w:rFonts w:ascii="Arial" w:hAnsi="Arial" w:cs="Arial"/>
        <w:b/>
        <w:sz w:val="22"/>
        <w:szCs w:val="22"/>
        <w:lang w:val="pt-PT"/>
      </w:rPr>
      <w:t xml:space="preserve"> </w:t>
    </w:r>
    <w:r w:rsidR="00065199" w:rsidRPr="00CB170C">
      <w:rPr>
        <w:rFonts w:ascii="Arial" w:hAnsi="Arial" w:cs="Arial"/>
        <w:b/>
        <w:sz w:val="22"/>
        <w:szCs w:val="22"/>
        <w:lang w:val="pt-PT"/>
      </w:rPr>
      <w:t>2020</w:t>
    </w:r>
  </w:p>
  <w:p w14:paraId="196759E3" w14:textId="77777777" w:rsidR="00D95C4C" w:rsidRPr="008A0C2D" w:rsidRDefault="00D95C4C" w:rsidP="00703FBF">
    <w:pPr>
      <w:jc w:val="right"/>
      <w:rPr>
        <w:rFonts w:ascii="Arial" w:hAnsi="Arial" w:cs="Arial"/>
        <w:b/>
        <w:sz w:val="22"/>
        <w:szCs w:val="22"/>
        <w:lang w:val="en-US"/>
      </w:rPr>
    </w:pPr>
    <w:r w:rsidRPr="008A0C2D">
      <w:rPr>
        <w:rFonts w:ascii="Arial" w:hAnsi="Arial" w:cs="Arial"/>
        <w:b/>
        <w:sz w:val="22"/>
        <w:szCs w:val="22"/>
        <w:lang w:val="en-US"/>
      </w:rPr>
      <w:t xml:space="preserve">Original: </w:t>
    </w:r>
    <w:r w:rsidR="007E0222" w:rsidRPr="008A0C2D">
      <w:rPr>
        <w:rFonts w:ascii="Arial" w:hAnsi="Arial" w:cs="Arial"/>
        <w:b/>
        <w:sz w:val="22"/>
        <w:szCs w:val="22"/>
        <w:lang w:val="en-US"/>
      </w:rPr>
      <w:t>English</w:t>
    </w:r>
  </w:p>
  <w:p w14:paraId="2CF02AFD" w14:textId="77777777" w:rsidR="00540FE0" w:rsidRPr="008A0C2D" w:rsidRDefault="00540FE0" w:rsidP="00540FE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7B216C"/>
    <w:multiLevelType w:val="hybridMultilevel"/>
    <w:tmpl w:val="BCD60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0"/>
  </w:num>
  <w:num w:numId="3">
    <w:abstractNumId w:val="5"/>
  </w:num>
  <w:num w:numId="4">
    <w:abstractNumId w:val="21"/>
  </w:num>
  <w:num w:numId="5">
    <w:abstractNumId w:val="18"/>
  </w:num>
  <w:num w:numId="6">
    <w:abstractNumId w:val="4"/>
  </w:num>
  <w:num w:numId="7">
    <w:abstractNumId w:val="6"/>
  </w:num>
  <w:num w:numId="8">
    <w:abstractNumId w:val="14"/>
  </w:num>
  <w:num w:numId="9">
    <w:abstractNumId w:val="9"/>
  </w:num>
  <w:num w:numId="10">
    <w:abstractNumId w:val="11"/>
  </w:num>
  <w:num w:numId="11">
    <w:abstractNumId w:val="13"/>
  </w:num>
  <w:num w:numId="12">
    <w:abstractNumId w:val="12"/>
  </w:num>
  <w:num w:numId="13">
    <w:abstractNumId w:val="20"/>
  </w:num>
  <w:num w:numId="14">
    <w:abstractNumId w:val="15"/>
  </w:num>
  <w:num w:numId="15">
    <w:abstractNumId w:val="16"/>
  </w:num>
  <w:num w:numId="16">
    <w:abstractNumId w:val="11"/>
  </w:num>
  <w:num w:numId="17">
    <w:abstractNumId w:val="11"/>
  </w:num>
  <w:num w:numId="18">
    <w:abstractNumId w:val="11"/>
  </w:num>
  <w:num w:numId="19">
    <w:abstractNumId w:val="3"/>
  </w:num>
  <w:num w:numId="20">
    <w:abstractNumId w:val="0"/>
  </w:num>
  <w:num w:numId="21">
    <w:abstractNumId w:val="9"/>
  </w:num>
  <w:num w:numId="22">
    <w:abstractNumId w:val="8"/>
  </w:num>
  <w:num w:numId="23">
    <w:abstractNumId w:val="1"/>
  </w:num>
  <w:num w:numId="24">
    <w:abstractNumId w:val="7"/>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06DD1"/>
    <w:rsid w:val="000138FA"/>
    <w:rsid w:val="000139EE"/>
    <w:rsid w:val="00041A66"/>
    <w:rsid w:val="0005176E"/>
    <w:rsid w:val="00054FF2"/>
    <w:rsid w:val="0006331E"/>
    <w:rsid w:val="00065199"/>
    <w:rsid w:val="000765F7"/>
    <w:rsid w:val="00077AB7"/>
    <w:rsid w:val="00081CD8"/>
    <w:rsid w:val="00087DF4"/>
    <w:rsid w:val="000A7F0E"/>
    <w:rsid w:val="000B3BCF"/>
    <w:rsid w:val="000C0D61"/>
    <w:rsid w:val="000C12D1"/>
    <w:rsid w:val="000C6878"/>
    <w:rsid w:val="000D0395"/>
    <w:rsid w:val="000D1034"/>
    <w:rsid w:val="000F3A3F"/>
    <w:rsid w:val="000F6659"/>
    <w:rsid w:val="00102557"/>
    <w:rsid w:val="001077D0"/>
    <w:rsid w:val="0011096D"/>
    <w:rsid w:val="00110FBD"/>
    <w:rsid w:val="00111696"/>
    <w:rsid w:val="00126E0C"/>
    <w:rsid w:val="00143269"/>
    <w:rsid w:val="00145A22"/>
    <w:rsid w:val="00164D56"/>
    <w:rsid w:val="00167B10"/>
    <w:rsid w:val="00173544"/>
    <w:rsid w:val="0017402F"/>
    <w:rsid w:val="00176720"/>
    <w:rsid w:val="00196C1B"/>
    <w:rsid w:val="001A0BE0"/>
    <w:rsid w:val="001B0F73"/>
    <w:rsid w:val="001B2445"/>
    <w:rsid w:val="001C5DB8"/>
    <w:rsid w:val="001D08DC"/>
    <w:rsid w:val="001D388F"/>
    <w:rsid w:val="001D5C04"/>
    <w:rsid w:val="001F2D78"/>
    <w:rsid w:val="002037F7"/>
    <w:rsid w:val="002223E6"/>
    <w:rsid w:val="00222A2D"/>
    <w:rsid w:val="00223029"/>
    <w:rsid w:val="0023419D"/>
    <w:rsid w:val="00234745"/>
    <w:rsid w:val="002407AF"/>
    <w:rsid w:val="00243359"/>
    <w:rsid w:val="002509D4"/>
    <w:rsid w:val="00257003"/>
    <w:rsid w:val="002616B6"/>
    <w:rsid w:val="002650C2"/>
    <w:rsid w:val="00295FA1"/>
    <w:rsid w:val="002B25F6"/>
    <w:rsid w:val="002C09E3"/>
    <w:rsid w:val="002C2233"/>
    <w:rsid w:val="002D2557"/>
    <w:rsid w:val="002E0D10"/>
    <w:rsid w:val="002E45EE"/>
    <w:rsid w:val="002F312A"/>
    <w:rsid w:val="00311EF6"/>
    <w:rsid w:val="0032347D"/>
    <w:rsid w:val="00332449"/>
    <w:rsid w:val="00336FB5"/>
    <w:rsid w:val="00345CB4"/>
    <w:rsid w:val="00353649"/>
    <w:rsid w:val="003549B8"/>
    <w:rsid w:val="0038185A"/>
    <w:rsid w:val="00382DA9"/>
    <w:rsid w:val="003A5485"/>
    <w:rsid w:val="003A768F"/>
    <w:rsid w:val="003B42C4"/>
    <w:rsid w:val="003B5A49"/>
    <w:rsid w:val="003C2814"/>
    <w:rsid w:val="003C4985"/>
    <w:rsid w:val="003C5333"/>
    <w:rsid w:val="003D069C"/>
    <w:rsid w:val="003D2D65"/>
    <w:rsid w:val="003D3368"/>
    <w:rsid w:val="003D7646"/>
    <w:rsid w:val="003E396B"/>
    <w:rsid w:val="003F113A"/>
    <w:rsid w:val="003F340E"/>
    <w:rsid w:val="00407C4F"/>
    <w:rsid w:val="004132F7"/>
    <w:rsid w:val="00414643"/>
    <w:rsid w:val="004218B4"/>
    <w:rsid w:val="004222E6"/>
    <w:rsid w:val="004354D9"/>
    <w:rsid w:val="004421E5"/>
    <w:rsid w:val="00452284"/>
    <w:rsid w:val="004630A3"/>
    <w:rsid w:val="00477D31"/>
    <w:rsid w:val="00482041"/>
    <w:rsid w:val="004856CA"/>
    <w:rsid w:val="00485CB4"/>
    <w:rsid w:val="00485E72"/>
    <w:rsid w:val="0049705E"/>
    <w:rsid w:val="004A34A0"/>
    <w:rsid w:val="004C25C3"/>
    <w:rsid w:val="00500789"/>
    <w:rsid w:val="00502136"/>
    <w:rsid w:val="00506E16"/>
    <w:rsid w:val="00512764"/>
    <w:rsid w:val="00526B7B"/>
    <w:rsid w:val="005308CE"/>
    <w:rsid w:val="00537499"/>
    <w:rsid w:val="00540FE0"/>
    <w:rsid w:val="00550DD1"/>
    <w:rsid w:val="00550F3E"/>
    <w:rsid w:val="0057439C"/>
    <w:rsid w:val="00591722"/>
    <w:rsid w:val="00595D63"/>
    <w:rsid w:val="005B0127"/>
    <w:rsid w:val="005B28C7"/>
    <w:rsid w:val="005B3E56"/>
    <w:rsid w:val="005B7A35"/>
    <w:rsid w:val="005C4B73"/>
    <w:rsid w:val="005D60CA"/>
    <w:rsid w:val="005D7FC5"/>
    <w:rsid w:val="005E1D2B"/>
    <w:rsid w:val="005E1D6A"/>
    <w:rsid w:val="00600D93"/>
    <w:rsid w:val="006134F5"/>
    <w:rsid w:val="006162E9"/>
    <w:rsid w:val="00616F67"/>
    <w:rsid w:val="00623F63"/>
    <w:rsid w:val="0063300C"/>
    <w:rsid w:val="00646422"/>
    <w:rsid w:val="00655736"/>
    <w:rsid w:val="00663B8D"/>
    <w:rsid w:val="00664D87"/>
    <w:rsid w:val="006679E9"/>
    <w:rsid w:val="00693DAA"/>
    <w:rsid w:val="00696C8D"/>
    <w:rsid w:val="006A2AC2"/>
    <w:rsid w:val="006A3617"/>
    <w:rsid w:val="006A4147"/>
    <w:rsid w:val="006E15CE"/>
    <w:rsid w:val="006E36C8"/>
    <w:rsid w:val="006E44A1"/>
    <w:rsid w:val="006E46E4"/>
    <w:rsid w:val="007004A1"/>
    <w:rsid w:val="007009B7"/>
    <w:rsid w:val="00703FBF"/>
    <w:rsid w:val="00712566"/>
    <w:rsid w:val="00712AC3"/>
    <w:rsid w:val="00717DA5"/>
    <w:rsid w:val="00723C97"/>
    <w:rsid w:val="007336B5"/>
    <w:rsid w:val="00744484"/>
    <w:rsid w:val="00757D56"/>
    <w:rsid w:val="00763A0D"/>
    <w:rsid w:val="00764F9C"/>
    <w:rsid w:val="007675C0"/>
    <w:rsid w:val="0076785C"/>
    <w:rsid w:val="00773188"/>
    <w:rsid w:val="007772B8"/>
    <w:rsid w:val="00783782"/>
    <w:rsid w:val="00784B8C"/>
    <w:rsid w:val="00795C39"/>
    <w:rsid w:val="007B5C48"/>
    <w:rsid w:val="007E0222"/>
    <w:rsid w:val="007F4255"/>
    <w:rsid w:val="007F429B"/>
    <w:rsid w:val="008070C9"/>
    <w:rsid w:val="00810A3D"/>
    <w:rsid w:val="00823A11"/>
    <w:rsid w:val="00827421"/>
    <w:rsid w:val="00840BF0"/>
    <w:rsid w:val="00852866"/>
    <w:rsid w:val="0085414A"/>
    <w:rsid w:val="00860B65"/>
    <w:rsid w:val="0086269D"/>
    <w:rsid w:val="00864367"/>
    <w:rsid w:val="0086543A"/>
    <w:rsid w:val="008724E5"/>
    <w:rsid w:val="00884A9D"/>
    <w:rsid w:val="0088512B"/>
    <w:rsid w:val="00886FA9"/>
    <w:rsid w:val="008948AA"/>
    <w:rsid w:val="008A0C2D"/>
    <w:rsid w:val="008A1ED4"/>
    <w:rsid w:val="008A2B2D"/>
    <w:rsid w:val="008A4E1E"/>
    <w:rsid w:val="008B7469"/>
    <w:rsid w:val="008C296C"/>
    <w:rsid w:val="008C3708"/>
    <w:rsid w:val="008D4305"/>
    <w:rsid w:val="008F4645"/>
    <w:rsid w:val="00900ED1"/>
    <w:rsid w:val="009163A7"/>
    <w:rsid w:val="009230D8"/>
    <w:rsid w:val="00924191"/>
    <w:rsid w:val="0093773A"/>
    <w:rsid w:val="00946D0B"/>
    <w:rsid w:val="0095272A"/>
    <w:rsid w:val="00965923"/>
    <w:rsid w:val="00983874"/>
    <w:rsid w:val="009A18CD"/>
    <w:rsid w:val="009D2BC9"/>
    <w:rsid w:val="00A12558"/>
    <w:rsid w:val="00A13903"/>
    <w:rsid w:val="00A15A88"/>
    <w:rsid w:val="00A34ED5"/>
    <w:rsid w:val="00A34FFB"/>
    <w:rsid w:val="00A45DBF"/>
    <w:rsid w:val="00A46450"/>
    <w:rsid w:val="00A63BE9"/>
    <w:rsid w:val="00A645DF"/>
    <w:rsid w:val="00A65C29"/>
    <w:rsid w:val="00A755A2"/>
    <w:rsid w:val="00A82C1E"/>
    <w:rsid w:val="00AA6660"/>
    <w:rsid w:val="00AB2B31"/>
    <w:rsid w:val="00AB2C36"/>
    <w:rsid w:val="00AB70B6"/>
    <w:rsid w:val="00AC0D52"/>
    <w:rsid w:val="00AD1A86"/>
    <w:rsid w:val="00AE103E"/>
    <w:rsid w:val="00AF0A07"/>
    <w:rsid w:val="00AF1214"/>
    <w:rsid w:val="00AF4AEC"/>
    <w:rsid w:val="00AF625E"/>
    <w:rsid w:val="00B03E6D"/>
    <w:rsid w:val="00B05797"/>
    <w:rsid w:val="00B41707"/>
    <w:rsid w:val="00B46972"/>
    <w:rsid w:val="00B50A30"/>
    <w:rsid w:val="00B71C63"/>
    <w:rsid w:val="00B81105"/>
    <w:rsid w:val="00B85E17"/>
    <w:rsid w:val="00B96B09"/>
    <w:rsid w:val="00BA6E0C"/>
    <w:rsid w:val="00BB04AF"/>
    <w:rsid w:val="00BD52C9"/>
    <w:rsid w:val="00BE6354"/>
    <w:rsid w:val="00C01F36"/>
    <w:rsid w:val="00C23A97"/>
    <w:rsid w:val="00C33B40"/>
    <w:rsid w:val="00C4133A"/>
    <w:rsid w:val="00C420AA"/>
    <w:rsid w:val="00C42C66"/>
    <w:rsid w:val="00C47184"/>
    <w:rsid w:val="00C70EA7"/>
    <w:rsid w:val="00C72B1B"/>
    <w:rsid w:val="00C7516E"/>
    <w:rsid w:val="00C75770"/>
    <w:rsid w:val="00C81098"/>
    <w:rsid w:val="00C965B5"/>
    <w:rsid w:val="00CA2963"/>
    <w:rsid w:val="00CA35EA"/>
    <w:rsid w:val="00CB170C"/>
    <w:rsid w:val="00CD60FB"/>
    <w:rsid w:val="00CE4600"/>
    <w:rsid w:val="00CE76B7"/>
    <w:rsid w:val="00CF07CB"/>
    <w:rsid w:val="00D00B2B"/>
    <w:rsid w:val="00D22279"/>
    <w:rsid w:val="00D24877"/>
    <w:rsid w:val="00D52B40"/>
    <w:rsid w:val="00D52C71"/>
    <w:rsid w:val="00D56E06"/>
    <w:rsid w:val="00D70E97"/>
    <w:rsid w:val="00D7513B"/>
    <w:rsid w:val="00D91A18"/>
    <w:rsid w:val="00D95C4C"/>
    <w:rsid w:val="00DA36ED"/>
    <w:rsid w:val="00DB4B6B"/>
    <w:rsid w:val="00DB4BF5"/>
    <w:rsid w:val="00DE34F1"/>
    <w:rsid w:val="00DF4942"/>
    <w:rsid w:val="00E01292"/>
    <w:rsid w:val="00E01D31"/>
    <w:rsid w:val="00E04EC1"/>
    <w:rsid w:val="00E06179"/>
    <w:rsid w:val="00E24C64"/>
    <w:rsid w:val="00E25D7B"/>
    <w:rsid w:val="00E61214"/>
    <w:rsid w:val="00E627B1"/>
    <w:rsid w:val="00E6289A"/>
    <w:rsid w:val="00E662BF"/>
    <w:rsid w:val="00E90FE0"/>
    <w:rsid w:val="00E9376C"/>
    <w:rsid w:val="00E949CA"/>
    <w:rsid w:val="00EA145D"/>
    <w:rsid w:val="00EA1D70"/>
    <w:rsid w:val="00EA335E"/>
    <w:rsid w:val="00EA528C"/>
    <w:rsid w:val="00EE3491"/>
    <w:rsid w:val="00EF34E2"/>
    <w:rsid w:val="00EF4F1F"/>
    <w:rsid w:val="00EF69E3"/>
    <w:rsid w:val="00F03809"/>
    <w:rsid w:val="00F15E57"/>
    <w:rsid w:val="00F24B3F"/>
    <w:rsid w:val="00F26166"/>
    <w:rsid w:val="00F53DE9"/>
    <w:rsid w:val="00F544DA"/>
    <w:rsid w:val="00F576CB"/>
    <w:rsid w:val="00F6120F"/>
    <w:rsid w:val="00F70835"/>
    <w:rsid w:val="00F71A02"/>
    <w:rsid w:val="00F72C19"/>
    <w:rsid w:val="00FA3850"/>
    <w:rsid w:val="00FB1065"/>
    <w:rsid w:val="00FB6630"/>
    <w:rsid w:val="00FC5DA1"/>
    <w:rsid w:val="00FD1226"/>
    <w:rsid w:val="00FD7CB9"/>
    <w:rsid w:val="00FE2BDE"/>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FDCCB3"/>
  <w15:docId w15:val="{5C85ECFF-35C8-46E5-A5DE-BAAE1EEA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Paragraphedeliste">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Lienhypertexte">
    <w:name w:val="Hyperlink"/>
    <w:uiPriority w:val="99"/>
    <w:unhideWhenUsed/>
    <w:rsid w:val="007E0222"/>
    <w:rPr>
      <w:color w:val="0000FF"/>
      <w:u w:val="single"/>
    </w:rPr>
  </w:style>
  <w:style w:type="paragraph" w:styleId="Notedebasdepage">
    <w:name w:val="footnote text"/>
    <w:basedOn w:val="Normal"/>
    <w:link w:val="NotedebasdepageCar"/>
    <w:uiPriority w:val="99"/>
    <w:unhideWhenUsed/>
    <w:rsid w:val="00EA145D"/>
    <w:pPr>
      <w:spacing w:before="60" w:after="60"/>
      <w:jc w:val="both"/>
    </w:pPr>
    <w:rPr>
      <w:rFonts w:ascii="Arial" w:hAnsi="Arial"/>
      <w:sz w:val="20"/>
      <w:szCs w:val="20"/>
      <w:lang w:val="en-GB"/>
    </w:rPr>
  </w:style>
  <w:style w:type="character" w:customStyle="1" w:styleId="NotedebasdepageCar">
    <w:name w:val="Note de bas de page Car"/>
    <w:basedOn w:val="Policepardfaut"/>
    <w:link w:val="Notedebasdepage"/>
    <w:uiPriority w:val="99"/>
    <w:rsid w:val="00EA145D"/>
    <w:rPr>
      <w:rFonts w:ascii="Arial" w:eastAsia="Times New Roman" w:hAnsi="Arial"/>
      <w:lang w:eastAsia="fr-FR"/>
    </w:rPr>
  </w:style>
  <w:style w:type="character" w:styleId="Appelnotedebasdep">
    <w:name w:val="footnote reference"/>
    <w:uiPriority w:val="99"/>
    <w:unhideWhenUsed/>
    <w:rsid w:val="00EA145D"/>
    <w:rPr>
      <w:vertAlign w:val="superscript"/>
    </w:rPr>
  </w:style>
  <w:style w:type="character" w:customStyle="1" w:styleId="hps">
    <w:name w:val="hps"/>
    <w:rsid w:val="00EA145D"/>
  </w:style>
  <w:style w:type="character" w:styleId="Marquedecommentaire">
    <w:name w:val="annotation reference"/>
    <w:basedOn w:val="Policepardfaut"/>
    <w:uiPriority w:val="99"/>
    <w:semiHidden/>
    <w:unhideWhenUsed/>
    <w:rsid w:val="00FA3850"/>
    <w:rPr>
      <w:sz w:val="16"/>
      <w:szCs w:val="16"/>
    </w:rPr>
  </w:style>
  <w:style w:type="paragraph" w:styleId="Commentaire">
    <w:name w:val="annotation text"/>
    <w:basedOn w:val="Normal"/>
    <w:link w:val="CommentaireCar"/>
    <w:uiPriority w:val="99"/>
    <w:semiHidden/>
    <w:unhideWhenUsed/>
    <w:rsid w:val="00FA3850"/>
    <w:rPr>
      <w:sz w:val="20"/>
      <w:szCs w:val="20"/>
    </w:rPr>
  </w:style>
  <w:style w:type="character" w:customStyle="1" w:styleId="CommentaireCar">
    <w:name w:val="Commentaire Car"/>
    <w:basedOn w:val="Policepardfaut"/>
    <w:link w:val="Commentaire"/>
    <w:uiPriority w:val="99"/>
    <w:semiHidden/>
    <w:rsid w:val="00FA3850"/>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FA3850"/>
    <w:rPr>
      <w:b/>
      <w:bCs/>
    </w:rPr>
  </w:style>
  <w:style w:type="character" w:customStyle="1" w:styleId="ObjetducommentaireCar">
    <w:name w:val="Objet du commentaire Car"/>
    <w:basedOn w:val="CommentaireCar"/>
    <w:link w:val="Objetducommentaire"/>
    <w:uiPriority w:val="99"/>
    <w:semiHidden/>
    <w:rsid w:val="00FA3850"/>
    <w:rPr>
      <w:rFonts w:ascii="Times New Roman" w:eastAsia="Times New Roman" w:hAnsi="Times New Roman"/>
      <w:b/>
      <w:bCs/>
      <w:lang w:val="fr-FR" w:eastAsia="fr-FR"/>
    </w:rPr>
  </w:style>
  <w:style w:type="paragraph" w:styleId="Rvision">
    <w:name w:val="Revision"/>
    <w:hidden/>
    <w:uiPriority w:val="99"/>
    <w:semiHidden/>
    <w:rsid w:val="00FA3850"/>
    <w:rPr>
      <w:rFonts w:ascii="Times New Roman" w:eastAsia="Times New Roman" w:hAnsi="Times New Roman"/>
      <w:sz w:val="24"/>
      <w:szCs w:val="24"/>
      <w:lang w:val="fr-FR" w:eastAsia="fr-FR"/>
    </w:rPr>
  </w:style>
  <w:style w:type="character" w:styleId="lev">
    <w:name w:val="Strong"/>
    <w:uiPriority w:val="22"/>
    <w:qFormat/>
    <w:rsid w:val="007009B7"/>
    <w:rPr>
      <w:b/>
      <w:bCs/>
    </w:rPr>
  </w:style>
  <w:style w:type="paragraph" w:customStyle="1" w:styleId="5GAParaResolution">
    <w:name w:val="5GA Para Resolution"/>
    <w:basedOn w:val="Normal"/>
    <w:qFormat/>
    <w:rsid w:val="00AF1214"/>
    <w:pPr>
      <w:autoSpaceDE w:val="0"/>
      <w:autoSpaceDN w:val="0"/>
      <w:adjustRightInd w:val="0"/>
      <w:spacing w:after="120"/>
      <w:ind w:left="1134" w:hanging="567"/>
      <w:jc w:val="both"/>
    </w:pPr>
    <w:rPr>
      <w:rFonts w:ascii="Arial" w:eastAsia="SimSun" w:hAnsi="Arial" w:cs="Arial"/>
      <w:sz w:val="22"/>
      <w:szCs w:val="22"/>
      <w:lang w:val="en-GB"/>
    </w:rPr>
  </w:style>
  <w:style w:type="character" w:styleId="Lienhypertextesuivivisit">
    <w:name w:val="FollowedHyperlink"/>
    <w:basedOn w:val="Policepardfaut"/>
    <w:uiPriority w:val="99"/>
    <w:semiHidden/>
    <w:unhideWhenUsed/>
    <w:rsid w:val="00F24B3F"/>
    <w:rPr>
      <w:color w:val="954F72" w:themeColor="followedHyperlink"/>
      <w:u w:val="single"/>
    </w:rPr>
  </w:style>
  <w:style w:type="character" w:customStyle="1" w:styleId="ac">
    <w:name w:val="ac"/>
    <w:basedOn w:val="Policepardfaut"/>
    <w:rsid w:val="000D1034"/>
  </w:style>
  <w:style w:type="character" w:customStyle="1" w:styleId="UnresolvedMention1">
    <w:name w:val="Unresolved Mention1"/>
    <w:basedOn w:val="Policepardfaut"/>
    <w:uiPriority w:val="99"/>
    <w:semiHidden/>
    <w:unhideWhenUsed/>
    <w:rsid w:val="00413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4216936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6.GA/5" TargetMode="External"/><Relationship Id="rId13" Type="http://schemas.openxmlformats.org/officeDocument/2006/relationships/hyperlink" Target="https://ich.unesco.org/doc/src/ITH-18-13.COM-17-EN.docx" TargetMode="External"/><Relationship Id="rId18" Type="http://schemas.openxmlformats.org/officeDocument/2006/relationships/hyperlink" Target="https://ich.unesco.org/doc/src/LHE-19-14.COM-5.b-EN.docx" TargetMode="External"/><Relationship Id="rId26" Type="http://schemas.openxmlformats.org/officeDocument/2006/relationships/hyperlink" Target="https://ich.unesco.org/doc/src/LHE-19-14.COM-7-EN.docx" TargetMode="External"/><Relationship Id="rId39" Type="http://schemas.openxmlformats.org/officeDocument/2006/relationships/hyperlink" Target="https://ich.unesco.org/doc/src/LHE-19-14.COM-INF.7-EN.docx" TargetMode="External"/><Relationship Id="rId3" Type="http://schemas.openxmlformats.org/officeDocument/2006/relationships/styles" Target="styles.xml"/><Relationship Id="rId21" Type="http://schemas.openxmlformats.org/officeDocument/2006/relationships/hyperlink" Target="https://ich.unesco.org/en/Decisions/13.COM/8" TargetMode="External"/><Relationship Id="rId34" Type="http://schemas.openxmlformats.org/officeDocument/2006/relationships/hyperlink" Target="https://ich.unesco.org/en/Decisions/13.COM/10"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en/Decisions/14.COM/12" TargetMode="External"/><Relationship Id="rId17" Type="http://schemas.openxmlformats.org/officeDocument/2006/relationships/hyperlink" Target="https://ich.unesco.org/en/Decisions/12.COM/7" TargetMode="External"/><Relationship Id="rId25" Type="http://schemas.openxmlformats.org/officeDocument/2006/relationships/hyperlink" Target="https://ich.unesco.org/doc/src/LHE-19-14.COM-5.b-EN.docx" TargetMode="External"/><Relationship Id="rId33" Type="http://schemas.openxmlformats.org/officeDocument/2006/relationships/hyperlink" Target="https://ich.unesco.org/doc/src/LHE-19-14.COM-9.a-EN.docx" TargetMode="External"/><Relationship Id="rId38" Type="http://schemas.openxmlformats.org/officeDocument/2006/relationships/hyperlink" Target="https://ich.unesco.org/doc/src/LHE-19-14.COM-7-EN_Rev.2.docx" TargetMode="External"/><Relationship Id="rId2" Type="http://schemas.openxmlformats.org/officeDocument/2006/relationships/numbering" Target="numbering.xml"/><Relationship Id="rId16" Type="http://schemas.openxmlformats.org/officeDocument/2006/relationships/hyperlink" Target="https://ich.unesco.org/en/d%C3%A9cisions/7.GA/9?dec=decisions&amp;ref_decision=7.GA" TargetMode="External"/><Relationship Id="rId20" Type="http://schemas.openxmlformats.org/officeDocument/2006/relationships/hyperlink" Target="https://ich.unesco.org/en/d%C3%A9cisions/7.GA/9?dec=decisions&amp;ref_decision=7.GA" TargetMode="External"/><Relationship Id="rId29" Type="http://schemas.openxmlformats.org/officeDocument/2006/relationships/hyperlink" Target="https://ich.unesco.org/en/conventio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10.b.41" TargetMode="External"/><Relationship Id="rId24" Type="http://schemas.openxmlformats.org/officeDocument/2006/relationships/hyperlink" Target="https://ich.unesco.org/doc/src/ITH-18-13.COM-INF.5.1-EN.docx" TargetMode="External"/><Relationship Id="rId32" Type="http://schemas.openxmlformats.org/officeDocument/2006/relationships/hyperlink" Target="https://ich.unesco.org/doc/src/ITH-18-13.COM-7.b-EN.docx" TargetMode="External"/><Relationship Id="rId37" Type="http://schemas.openxmlformats.org/officeDocument/2006/relationships/hyperlink" Target="https://ich.unesco.org/doc/src/LHE-19-14.COM-9.b-EN.doc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ch.unesco.org/doc/src/ITH-18-7.GA-12-EN.docx" TargetMode="External"/><Relationship Id="rId23" Type="http://schemas.openxmlformats.org/officeDocument/2006/relationships/hyperlink" Target="https://ich.unesco.org/doc/src/LHE-19-14.COM-13-EN.docx" TargetMode="External"/><Relationship Id="rId28" Type="http://schemas.openxmlformats.org/officeDocument/2006/relationships/hyperlink" Target="https://ich.unesco.org/doc/src/LHE-19-14.COM-6-EN.docx" TargetMode="External"/><Relationship Id="rId36" Type="http://schemas.openxmlformats.org/officeDocument/2006/relationships/hyperlink" Target="https://ich.unesco.org/doc/src/ITH-18-13.COM-7.c-EN.docx" TargetMode="External"/><Relationship Id="rId10" Type="http://schemas.openxmlformats.org/officeDocument/2006/relationships/hyperlink" Target="https://ich.unesco.org/doc/src/LHE-20-8.GA-INF.7-EN.docx" TargetMode="External"/><Relationship Id="rId19" Type="http://schemas.openxmlformats.org/officeDocument/2006/relationships/hyperlink" Target="https://ich.unesco.org/en/research-references-on-2003-convention-implementation-00945" TargetMode="External"/><Relationship Id="rId31" Type="http://schemas.openxmlformats.org/officeDocument/2006/relationships/hyperlink" Target="https://ich.unesco.org/doc/src/ITH-18-13.COM-7.a_Rev.-EN.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0-8.GA-6-EN.docx" TargetMode="External"/><Relationship Id="rId14" Type="http://schemas.openxmlformats.org/officeDocument/2006/relationships/hyperlink" Target="https://ich.unesco.org/doc/src/LHE-19-14.COM-19-EN.docx" TargetMode="External"/><Relationship Id="rId22" Type="http://schemas.openxmlformats.org/officeDocument/2006/relationships/hyperlink" Target="https://ich.unesco.org/en/Decisions/13.COM/11" TargetMode="External"/><Relationship Id="rId27" Type="http://schemas.openxmlformats.org/officeDocument/2006/relationships/hyperlink" Target="https://ich.unesco.org/doc/src/LHE-19-14.COM-7-EN.docx" TargetMode="External"/><Relationship Id="rId30" Type="http://schemas.openxmlformats.org/officeDocument/2006/relationships/hyperlink" Target="https://ich.unesco.org/doc/src/ITH-18-13.COM-8-EN.docx" TargetMode="External"/><Relationship Id="rId35" Type="http://schemas.openxmlformats.org/officeDocument/2006/relationships/hyperlink" Target="https://ich.unesco.org/en/Decisions/13.COM/16" TargetMode="External"/><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80852-8411-4C60-B337-901D62A31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9</Pages>
  <Words>4210</Words>
  <Characters>23158</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Ohinata, Fumiko</cp:lastModifiedBy>
  <cp:revision>21</cp:revision>
  <cp:lastPrinted>2020-08-06T13:07:00Z</cp:lastPrinted>
  <dcterms:created xsi:type="dcterms:W3CDTF">2020-03-24T15:39:00Z</dcterms:created>
  <dcterms:modified xsi:type="dcterms:W3CDTF">2020-08-06T18:49:00Z</dcterms:modified>
</cp:coreProperties>
</file>