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65FD61" w14:textId="4579ED52" w:rsidR="00655736" w:rsidRPr="00D77D0E" w:rsidRDefault="00655736" w:rsidP="00655736">
      <w:pPr>
        <w:spacing w:before="1440"/>
        <w:jc w:val="center"/>
        <w:rPr>
          <w:rFonts w:ascii="Arial" w:hAnsi="Arial" w:cs="Arial"/>
          <w:b/>
          <w:sz w:val="22"/>
          <w:szCs w:val="22"/>
          <w:lang w:val="es-ES"/>
        </w:rPr>
      </w:pPr>
      <w:r>
        <w:rPr>
          <w:rFonts w:ascii="Arial" w:hAnsi="Arial" w:cs="Arial"/>
          <w:b/>
          <w:bCs/>
          <w:sz w:val="22"/>
          <w:szCs w:val="22"/>
          <w:lang w:val="es"/>
        </w:rPr>
        <w:t>CONVENCIÓN PARA LA SALVAGUARDIA DEL</w:t>
      </w:r>
      <w:r>
        <w:rPr>
          <w:rFonts w:ascii="Arial" w:hAnsi="Arial" w:cs="Arial"/>
          <w:sz w:val="22"/>
          <w:szCs w:val="22"/>
          <w:lang w:val="es"/>
        </w:rPr>
        <w:br/>
      </w:r>
      <w:r>
        <w:rPr>
          <w:rFonts w:ascii="Arial" w:hAnsi="Arial" w:cs="Arial"/>
          <w:b/>
          <w:bCs/>
          <w:sz w:val="22"/>
          <w:szCs w:val="22"/>
          <w:lang w:val="es"/>
        </w:rPr>
        <w:t>PATRIMONIO CULTURAL INMATERIAL</w:t>
      </w:r>
    </w:p>
    <w:p w14:paraId="2EB65E49" w14:textId="77777777" w:rsidR="00655736" w:rsidRPr="00D77D0E" w:rsidRDefault="00D95C4C" w:rsidP="00655736">
      <w:pPr>
        <w:spacing w:before="1200"/>
        <w:jc w:val="center"/>
        <w:rPr>
          <w:rFonts w:ascii="Arial" w:hAnsi="Arial" w:cs="Arial"/>
          <w:b/>
          <w:sz w:val="22"/>
          <w:szCs w:val="22"/>
          <w:lang w:val="es-ES"/>
        </w:rPr>
      </w:pPr>
      <w:r>
        <w:rPr>
          <w:rFonts w:ascii="Arial" w:hAnsi="Arial" w:cs="Arial"/>
          <w:b/>
          <w:bCs/>
          <w:sz w:val="22"/>
          <w:szCs w:val="22"/>
          <w:lang w:val="es"/>
        </w:rPr>
        <w:t>ASAMBLEA GENERAL DE LOS ESTADOS PARTES EN LA CONVENCIÓN</w:t>
      </w:r>
    </w:p>
    <w:p w14:paraId="254BED83" w14:textId="77777777" w:rsidR="00D95C4C" w:rsidRPr="00D77D0E" w:rsidRDefault="006F41B4" w:rsidP="00D95C4C">
      <w:pPr>
        <w:spacing w:before="840"/>
        <w:jc w:val="center"/>
        <w:rPr>
          <w:rFonts w:ascii="Arial" w:hAnsi="Arial" w:cs="Arial"/>
          <w:b/>
          <w:sz w:val="22"/>
          <w:szCs w:val="22"/>
          <w:lang w:val="es-ES"/>
        </w:rPr>
      </w:pPr>
      <w:r>
        <w:rPr>
          <w:rFonts w:ascii="Arial" w:hAnsi="Arial" w:cs="Arial"/>
          <w:b/>
          <w:bCs/>
          <w:sz w:val="22"/>
          <w:szCs w:val="22"/>
          <w:lang w:val="es"/>
        </w:rPr>
        <w:t>Octava reunión</w:t>
      </w:r>
    </w:p>
    <w:p w14:paraId="6CE39001" w14:textId="77777777" w:rsidR="00D95C4C" w:rsidRPr="00D77D0E" w:rsidRDefault="00D95C4C" w:rsidP="00D95C4C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>
        <w:rPr>
          <w:rFonts w:ascii="Arial" w:hAnsi="Arial" w:cs="Arial"/>
          <w:b/>
          <w:bCs/>
          <w:sz w:val="22"/>
          <w:szCs w:val="22"/>
          <w:lang w:val="es"/>
        </w:rPr>
        <w:t>Sede de la UNESCO, Sala I</w:t>
      </w:r>
    </w:p>
    <w:p w14:paraId="71187943" w14:textId="7DD7E909" w:rsidR="00655736" w:rsidRPr="00D77D0E" w:rsidRDefault="00BF60A4" w:rsidP="00D95C4C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>
        <w:rPr>
          <w:rFonts w:ascii="Arial" w:hAnsi="Arial" w:cs="Arial"/>
          <w:b/>
          <w:bCs/>
          <w:sz w:val="22"/>
          <w:szCs w:val="22"/>
          <w:lang w:val="es"/>
        </w:rPr>
        <w:t>8 al 10 de septiembre de 2020</w:t>
      </w:r>
    </w:p>
    <w:p w14:paraId="52F0E5C4" w14:textId="77777777" w:rsidR="00655736" w:rsidRPr="00D77D0E" w:rsidRDefault="00655736" w:rsidP="00655736">
      <w:pPr>
        <w:pStyle w:val="Sansinterligne2"/>
        <w:spacing w:before="1200"/>
        <w:jc w:val="center"/>
        <w:rPr>
          <w:rFonts w:ascii="Arial" w:hAnsi="Arial" w:cs="Arial"/>
          <w:b/>
          <w:sz w:val="22"/>
          <w:szCs w:val="22"/>
          <w:lang w:val="es-ES"/>
        </w:rPr>
      </w:pPr>
      <w:r>
        <w:rPr>
          <w:rFonts w:ascii="Arial" w:hAnsi="Arial" w:cs="Arial"/>
          <w:b/>
          <w:bCs/>
          <w:sz w:val="22"/>
          <w:szCs w:val="22"/>
          <w:u w:val="single"/>
          <w:lang w:val="es"/>
        </w:rPr>
        <w:t>Punto 14 del orden del día provisional:</w:t>
      </w:r>
    </w:p>
    <w:p w14:paraId="7EAB75BA" w14:textId="77777777" w:rsidR="002F312A" w:rsidRPr="00D77D0E" w:rsidRDefault="00325CB9" w:rsidP="00325CB9">
      <w:pPr>
        <w:pStyle w:val="Sansinterligne2"/>
        <w:spacing w:after="1200"/>
        <w:jc w:val="center"/>
        <w:rPr>
          <w:rFonts w:ascii="Arial" w:hAnsi="Arial" w:cs="Arial"/>
          <w:b/>
          <w:sz w:val="22"/>
          <w:szCs w:val="22"/>
          <w:lang w:val="es-ES"/>
        </w:rPr>
      </w:pPr>
      <w:r>
        <w:rPr>
          <w:rFonts w:ascii="Arial" w:hAnsi="Arial" w:cs="Arial"/>
          <w:b/>
          <w:bCs/>
          <w:sz w:val="22"/>
          <w:szCs w:val="22"/>
          <w:lang w:val="es"/>
        </w:rPr>
        <w:t>Elección de los miembros del Comité Intergubernamental</w:t>
      </w:r>
      <w:r>
        <w:rPr>
          <w:rFonts w:ascii="Arial" w:hAnsi="Arial" w:cs="Arial"/>
          <w:sz w:val="22"/>
          <w:szCs w:val="22"/>
          <w:lang w:val="es"/>
        </w:rPr>
        <w:br/>
      </w:r>
      <w:r>
        <w:rPr>
          <w:rFonts w:ascii="Arial" w:hAnsi="Arial" w:cs="Arial"/>
          <w:b/>
          <w:bCs/>
          <w:sz w:val="22"/>
          <w:szCs w:val="22"/>
          <w:lang w:val="es"/>
        </w:rPr>
        <w:t>para la salvaguarda del patrimonio cultural inmaterial</w:t>
      </w:r>
    </w:p>
    <w:tbl>
      <w:tblPr>
        <w:tblW w:w="56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0"/>
      </w:tblGrid>
      <w:tr w:rsidR="00655736" w:rsidRPr="00325CB9" w14:paraId="37606006" w14:textId="77777777" w:rsidTr="002F312A">
        <w:trPr>
          <w:jc w:val="center"/>
        </w:trPr>
        <w:tc>
          <w:tcPr>
            <w:tcW w:w="5670" w:type="dxa"/>
            <w:vAlign w:val="center"/>
          </w:tcPr>
          <w:p w14:paraId="12D0657F" w14:textId="77777777" w:rsidR="0057439C" w:rsidRPr="00D77D0E" w:rsidRDefault="0057439C" w:rsidP="005B7A35">
            <w:pPr>
              <w:pStyle w:val="Sansinterligne1"/>
              <w:spacing w:before="200" w:after="200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"/>
              </w:rPr>
              <w:t>Resumen</w:t>
            </w:r>
          </w:p>
          <w:p w14:paraId="5FD2759A" w14:textId="77777777" w:rsidR="00325CB9" w:rsidRPr="00D77D0E" w:rsidRDefault="00325CB9" w:rsidP="00325CB9">
            <w:pPr>
              <w:pStyle w:val="Sansinterligne2"/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"/>
              </w:rPr>
              <w:t>El Artículo 5 de la Convención establece que el Comité Intergubernamental para la Salvaguardia del Patrimonio Cultural Inmaterial estará compuesto por representantes de veinticuatro Estados Partes en la Convención. El Artículo 6 establece que la Asamblea General renovará la mitad de los Estados Miembros del Comité cada dos años.</w:t>
            </w:r>
          </w:p>
          <w:p w14:paraId="27F68531" w14:textId="77777777" w:rsidR="00655736" w:rsidRPr="00414643" w:rsidRDefault="00FB6630" w:rsidP="005B7A35">
            <w:pPr>
              <w:pStyle w:val="Sansinterligne2"/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"/>
              </w:rPr>
              <w:t xml:space="preserve">Resolución requerida: </w:t>
            </w:r>
            <w:r>
              <w:rPr>
                <w:rFonts w:ascii="Arial" w:hAnsi="Arial" w:cs="Arial"/>
                <w:sz w:val="22"/>
                <w:szCs w:val="22"/>
                <w:lang w:val="es"/>
              </w:rPr>
              <w:t>párrafo 8</w:t>
            </w:r>
          </w:p>
        </w:tc>
      </w:tr>
    </w:tbl>
    <w:p w14:paraId="07509B01" w14:textId="77777777" w:rsidR="00176720" w:rsidRDefault="00655736" w:rsidP="00176720">
      <w:pPr>
        <w:pStyle w:val="GAPara"/>
        <w:numPr>
          <w:ilvl w:val="0"/>
          <w:numId w:val="0"/>
        </w:numPr>
        <w:jc w:val="both"/>
      </w:pPr>
      <w:r>
        <w:rPr>
          <w:lang w:val="es"/>
        </w:rPr>
        <w:br w:type="page"/>
      </w:r>
    </w:p>
    <w:p w14:paraId="3A571A27" w14:textId="77777777" w:rsidR="00325CB9" w:rsidRPr="00D77D0E" w:rsidRDefault="00325CB9" w:rsidP="00325CB9">
      <w:pPr>
        <w:pStyle w:val="Marge"/>
        <w:numPr>
          <w:ilvl w:val="0"/>
          <w:numId w:val="20"/>
        </w:numPr>
        <w:spacing w:after="120"/>
        <w:ind w:left="567" w:hanging="567"/>
        <w:rPr>
          <w:szCs w:val="22"/>
          <w:lang w:val="es-ES"/>
        </w:rPr>
      </w:pPr>
      <w:r>
        <w:rPr>
          <w:szCs w:val="22"/>
          <w:lang w:val="es"/>
        </w:rPr>
        <w:lastRenderedPageBreak/>
        <w:t>El Artículo 5 de la Convención establece que el Comité Intergubernamental para la Salvaguardia del Patrimonio Cultural Inmaterial se compondrá de veinticuatro Estados Miembros elegidos por la Asamblea General de los Estados Partes.</w:t>
      </w:r>
    </w:p>
    <w:p w14:paraId="3A932B20" w14:textId="77777777" w:rsidR="00325CB9" w:rsidRPr="00D77D0E" w:rsidRDefault="00325CB9" w:rsidP="00325CB9">
      <w:pPr>
        <w:pStyle w:val="Marge"/>
        <w:numPr>
          <w:ilvl w:val="0"/>
          <w:numId w:val="20"/>
        </w:numPr>
        <w:spacing w:after="120"/>
        <w:ind w:left="567" w:hanging="567"/>
        <w:rPr>
          <w:szCs w:val="22"/>
          <w:lang w:val="es-ES"/>
        </w:rPr>
      </w:pPr>
      <w:r>
        <w:rPr>
          <w:szCs w:val="22"/>
          <w:lang w:val="es"/>
        </w:rPr>
        <w:t>De conformidad con el Artículo 6 de la Convención, los Estados Miembros del Comité serán elegidos por un período de cuatro años. La elección obedecerá a los principios de la representación geográfica equitativa y la rotación. Cada dos años, la Asamblea General renovará la mitad de los Estados Miembros del Comité. También elegirá a tantos Estados Miembros del Comité como sean necesarios para cubrir las vacantes. Un Estado Miembro del Comité no podrá ser elegido para dos mandatos consecutivos.</w:t>
      </w:r>
    </w:p>
    <w:p w14:paraId="3AEA461D" w14:textId="1F8179ED" w:rsidR="00325CB9" w:rsidRPr="00D77D0E" w:rsidRDefault="00325CB9" w:rsidP="00325CB9">
      <w:pPr>
        <w:pStyle w:val="Marge"/>
        <w:numPr>
          <w:ilvl w:val="0"/>
          <w:numId w:val="20"/>
        </w:numPr>
        <w:spacing w:after="120"/>
        <w:ind w:left="567" w:hanging="567"/>
        <w:rPr>
          <w:szCs w:val="22"/>
          <w:lang w:val="es-ES"/>
        </w:rPr>
      </w:pPr>
      <w:r>
        <w:rPr>
          <w:lang w:val="es"/>
        </w:rPr>
        <w:t xml:space="preserve">Además, como se estipula en el Artículo 13 del Reglamento de la Asamblea General, la elección de los Miembros del Comité se llevará a cabo sobre la base de los grupos electorales de la UNESCO, en el entendimiento de que el </w:t>
      </w:r>
      <w:r w:rsidR="00170E57">
        <w:rPr>
          <w:lang w:val="es"/>
        </w:rPr>
        <w:t>“</w:t>
      </w:r>
      <w:r>
        <w:rPr>
          <w:lang w:val="es"/>
        </w:rPr>
        <w:t>Grupo V</w:t>
      </w:r>
      <w:r w:rsidR="00170E57">
        <w:rPr>
          <w:lang w:val="es"/>
        </w:rPr>
        <w:t>”</w:t>
      </w:r>
      <w:r>
        <w:rPr>
          <w:lang w:val="es"/>
        </w:rPr>
        <w:t xml:space="preserve"> estará compuesto por dos grupos separados para los Estados de África y los Estados Árabes. Los puestos del Comité se distribuirán entre los grupos electorales de manera proporcional al número de Estados Partes de cada grupo, siempre y cuando, tras esa distribución, se atribuyan por lo menos tres puestos a cada grupo.</w:t>
      </w:r>
    </w:p>
    <w:p w14:paraId="4890980F" w14:textId="62DAD448" w:rsidR="00325CB9" w:rsidRPr="00D77D0E" w:rsidRDefault="00325CB9" w:rsidP="00325CB9">
      <w:pPr>
        <w:pStyle w:val="Marge"/>
        <w:numPr>
          <w:ilvl w:val="0"/>
          <w:numId w:val="20"/>
        </w:numPr>
        <w:spacing w:after="120"/>
        <w:ind w:left="567" w:hanging="567"/>
        <w:rPr>
          <w:szCs w:val="22"/>
          <w:lang w:val="es-ES"/>
        </w:rPr>
      </w:pPr>
      <w:r>
        <w:rPr>
          <w:szCs w:val="22"/>
          <w:lang w:val="es"/>
        </w:rPr>
        <w:t xml:space="preserve">De conformidad con el Artículo 14 del Reglamento de la Asamblea General, tres meses antes de la fecha de la elección, la Secretaría preguntó a todos los Estados Partes si tenían la intención de presentar su candidatura para la elección del Comité. La lista provisional de los Estados Partes candidatos figura en el </w:t>
      </w:r>
      <w:r w:rsidRPr="0046305B">
        <w:rPr>
          <w:rStyle w:val="Hyperlink"/>
          <w:lang w:val="es-ES"/>
        </w:rPr>
        <w:t xml:space="preserve">documento </w:t>
      </w:r>
      <w:hyperlink r:id="rId8" w:history="1">
        <w:r>
          <w:rPr>
            <w:rStyle w:val="Hyperlink"/>
            <w:szCs w:val="22"/>
            <w:lang w:val="es"/>
          </w:rPr>
          <w:t>LHE/20/8.GA/INF.14</w:t>
        </w:r>
      </w:hyperlink>
      <w:r w:rsidRPr="00783677">
        <w:rPr>
          <w:szCs w:val="22"/>
          <w:lang w:val="es"/>
        </w:rPr>
        <w:t xml:space="preserve"> </w:t>
      </w:r>
      <w:r>
        <w:rPr>
          <w:szCs w:val="22"/>
          <w:lang w:val="es"/>
        </w:rPr>
        <w:t>y será revisado según sea necesario.</w:t>
      </w:r>
    </w:p>
    <w:p w14:paraId="6E2642E6" w14:textId="6EC3C41C" w:rsidR="00325CB9" w:rsidRPr="00D77D0E" w:rsidRDefault="00325CB9" w:rsidP="00325CB9">
      <w:pPr>
        <w:pStyle w:val="Marge"/>
        <w:numPr>
          <w:ilvl w:val="0"/>
          <w:numId w:val="20"/>
        </w:numPr>
        <w:spacing w:after="120"/>
        <w:ind w:left="567" w:hanging="567"/>
        <w:rPr>
          <w:rStyle w:val="Emphasis"/>
          <w:i w:val="0"/>
          <w:iCs w:val="0"/>
          <w:szCs w:val="22"/>
          <w:lang w:val="es-ES"/>
        </w:rPr>
      </w:pPr>
      <w:r>
        <w:rPr>
          <w:rStyle w:val="Emphasis"/>
          <w:i w:val="0"/>
          <w:iCs w:val="0"/>
          <w:szCs w:val="22"/>
          <w:lang w:val="es"/>
        </w:rPr>
        <w:t xml:space="preserve">De conformidad con el Artículo 26.5 de la Convención, </w:t>
      </w:r>
      <w:r w:rsidR="0025242F">
        <w:rPr>
          <w:szCs w:val="22"/>
          <w:lang w:val="es"/>
        </w:rPr>
        <w:t>“</w:t>
      </w:r>
      <w:r>
        <w:rPr>
          <w:rStyle w:val="Emphasis"/>
          <w:i w:val="0"/>
          <w:iCs w:val="0"/>
          <w:szCs w:val="22"/>
          <w:lang w:val="es"/>
        </w:rPr>
        <w:t>todo Estado Parte en la presente Convención que esté en mora en el pago de su contribución obligatoria o voluntaria correspondiente al año en curso y al año civil inmediatamente anterior no podrá ser elegido Miembro del Comité</w:t>
      </w:r>
      <w:r w:rsidR="00170E57">
        <w:rPr>
          <w:rStyle w:val="Emphasis"/>
          <w:i w:val="0"/>
          <w:iCs w:val="0"/>
          <w:szCs w:val="22"/>
          <w:lang w:val="es"/>
        </w:rPr>
        <w:t>”</w:t>
      </w:r>
      <w:r>
        <w:rPr>
          <w:rStyle w:val="Emphasis"/>
          <w:i w:val="0"/>
          <w:iCs w:val="0"/>
          <w:szCs w:val="22"/>
          <w:lang w:val="es"/>
        </w:rPr>
        <w:t>; y «el mandato de cualquiera de esos Estados que ya sea Miembro del Comité finalizará en el momento de las elecciones».</w:t>
      </w:r>
    </w:p>
    <w:p w14:paraId="4CE16E63" w14:textId="1CBD34B4" w:rsidR="00325CB9" w:rsidRPr="003273C5" w:rsidRDefault="00325CB9" w:rsidP="00325CB9">
      <w:pPr>
        <w:pStyle w:val="Marge"/>
        <w:numPr>
          <w:ilvl w:val="0"/>
          <w:numId w:val="20"/>
        </w:numPr>
        <w:spacing w:after="120"/>
        <w:ind w:left="567" w:hanging="567"/>
        <w:rPr>
          <w:i/>
          <w:iCs/>
          <w:szCs w:val="22"/>
          <w:lang w:val="es-ES"/>
        </w:rPr>
      </w:pPr>
      <w:r>
        <w:rPr>
          <w:rStyle w:val="Emphasis"/>
          <w:i w:val="0"/>
          <w:iCs w:val="0"/>
          <w:szCs w:val="22"/>
          <w:lang w:val="es"/>
        </w:rPr>
        <w:t xml:space="preserve">Además, de conformidad con el Artículo 14.3 del Reglamento de la Asamblea General, «no se aceptarán pagos de contribuciones obligatorias y voluntarias al Fondo (a los efectos de presentar una candidatura al Comité) más tarde de una semana antes de la apertura de la Asamblea». A este respecto y de conformidad con el Artículo 14.2 del Reglamento de la Asamblea General, el </w:t>
      </w:r>
      <w:r w:rsidRPr="0046305B">
        <w:rPr>
          <w:rStyle w:val="Hyperlink"/>
          <w:lang w:val="es-ES"/>
        </w:rPr>
        <w:t xml:space="preserve">documento </w:t>
      </w:r>
      <w:bookmarkStart w:id="0" w:name="_Hlk40276703"/>
      <w:r w:rsidRPr="0046305B">
        <w:rPr>
          <w:rStyle w:val="Hyperlink"/>
        </w:rPr>
        <w:fldChar w:fldCharType="begin"/>
      </w:r>
      <w:r w:rsidR="0046305B" w:rsidRPr="0046305B">
        <w:rPr>
          <w:rStyle w:val="Hyperlink"/>
          <w:lang w:val="es-ES"/>
        </w:rPr>
        <w:instrText>HYPERLINK "https://ich.unesco.org/doc/src/ITH-18-7.GA-INF.14-SP.docx"</w:instrText>
      </w:r>
      <w:r w:rsidRPr="0046305B">
        <w:rPr>
          <w:rStyle w:val="Hyperlink"/>
        </w:rPr>
        <w:fldChar w:fldCharType="separate"/>
      </w:r>
      <w:r>
        <w:rPr>
          <w:rStyle w:val="Hyperlink"/>
          <w:szCs w:val="22"/>
          <w:lang w:val="es"/>
        </w:rPr>
        <w:t>LHE/20/8.GA/INF.14</w:t>
      </w:r>
      <w:r w:rsidRPr="0046305B">
        <w:rPr>
          <w:rStyle w:val="Hyperlink"/>
        </w:rPr>
        <w:fldChar w:fldCharType="end"/>
      </w:r>
      <w:bookmarkStart w:id="1" w:name="_GoBack"/>
      <w:bookmarkEnd w:id="0"/>
      <w:bookmarkEnd w:id="1"/>
      <w:r>
        <w:rPr>
          <w:rStyle w:val="Emphasis"/>
          <w:szCs w:val="22"/>
          <w:lang w:val="es"/>
        </w:rPr>
        <w:t xml:space="preserve"> </w:t>
      </w:r>
      <w:r>
        <w:rPr>
          <w:rStyle w:val="Emphasis"/>
          <w:i w:val="0"/>
          <w:iCs w:val="0"/>
          <w:szCs w:val="22"/>
          <w:lang w:val="es"/>
        </w:rPr>
        <w:t>contiene la información sobre la situación de todas las contribuciones obligatorias y voluntarias al Fondo para la Salvaguardia del Patrimonio Cultural Inmaterial hechas por cada uno de los Estados Partes candidatos para los años 2019 y 2020 respectivamente, así como la fecha de su último pago.</w:t>
      </w:r>
    </w:p>
    <w:p w14:paraId="7F54971D" w14:textId="37D931F0" w:rsidR="002427CC" w:rsidRPr="00D77D0E" w:rsidRDefault="005E74D5" w:rsidP="002427CC">
      <w:pPr>
        <w:pStyle w:val="Marge"/>
        <w:numPr>
          <w:ilvl w:val="0"/>
          <w:numId w:val="20"/>
        </w:numPr>
        <w:spacing w:after="120"/>
        <w:ind w:left="567" w:hanging="567"/>
        <w:rPr>
          <w:szCs w:val="22"/>
          <w:lang w:val="es-ES"/>
        </w:rPr>
      </w:pPr>
      <w:r>
        <w:rPr>
          <w:szCs w:val="22"/>
          <w:lang w:val="es"/>
        </w:rPr>
        <w:t>La elección de los Miembros del Comité se lleva a cabo de conformidad con</w:t>
      </w:r>
      <w:r>
        <w:rPr>
          <w:lang w:val="es"/>
        </w:rPr>
        <w:t xml:space="preserve"> el Artículo 15</w:t>
      </w:r>
      <w:r>
        <w:rPr>
          <w:szCs w:val="22"/>
          <w:lang w:val="es"/>
        </w:rPr>
        <w:t xml:space="preserve"> del Reglamento de la Asamblea General, y en particular con el Artículo 15.1: </w:t>
      </w:r>
      <w:r w:rsidR="0025242F">
        <w:rPr>
          <w:szCs w:val="22"/>
          <w:lang w:val="es"/>
        </w:rPr>
        <w:t>“</w:t>
      </w:r>
      <w:r>
        <w:rPr>
          <w:szCs w:val="22"/>
          <w:lang w:val="es"/>
        </w:rPr>
        <w:t>La elección de los Miembros del Comité se efectuará por votación secreta, con la salvedad de que, cuando el número de candidatos dentro de la distribución geográfica sea igual o inferior al número de puestos por cubrir, los candidatos serán declarados electos sin necesidad de proceder a votación</w:t>
      </w:r>
      <w:r w:rsidR="0025242F">
        <w:rPr>
          <w:szCs w:val="22"/>
          <w:lang w:val="es"/>
        </w:rPr>
        <w:t>”</w:t>
      </w:r>
      <w:r>
        <w:rPr>
          <w:szCs w:val="22"/>
          <w:lang w:val="es"/>
        </w:rPr>
        <w:t>.</w:t>
      </w:r>
    </w:p>
    <w:p w14:paraId="6B363ADA" w14:textId="77777777" w:rsidR="008A1ED4" w:rsidRPr="00D77D0E" w:rsidRDefault="008A1ED4" w:rsidP="002427CC">
      <w:pPr>
        <w:pStyle w:val="Marge"/>
        <w:numPr>
          <w:ilvl w:val="0"/>
          <w:numId w:val="20"/>
        </w:numPr>
        <w:spacing w:after="120"/>
        <w:ind w:left="567" w:hanging="567"/>
        <w:rPr>
          <w:szCs w:val="22"/>
          <w:lang w:val="es-ES"/>
        </w:rPr>
      </w:pPr>
      <w:r>
        <w:rPr>
          <w:lang w:val="es"/>
        </w:rPr>
        <w:t>La Asamblea General podría aprobar la siguiente resolución:</w:t>
      </w:r>
    </w:p>
    <w:p w14:paraId="1A7CBF33" w14:textId="77777777" w:rsidR="008A1ED4" w:rsidRPr="00D77D0E" w:rsidRDefault="00F010E0" w:rsidP="008A1ED4">
      <w:pPr>
        <w:pStyle w:val="GATitleResolution"/>
        <w:rPr>
          <w:lang w:val="es-ES"/>
        </w:rPr>
      </w:pPr>
      <w:r>
        <w:rPr>
          <w:bCs/>
          <w:lang w:val="es"/>
        </w:rPr>
        <w:t>PROYECTO DE RESOLUCIÓN 8.GA 14</w:t>
      </w:r>
    </w:p>
    <w:p w14:paraId="3EBFC0B3" w14:textId="77777777" w:rsidR="008A1ED4" w:rsidRPr="00D77D0E" w:rsidRDefault="008A1ED4" w:rsidP="008A1ED4">
      <w:pPr>
        <w:pStyle w:val="GAPreambulaResolution"/>
        <w:rPr>
          <w:rFonts w:eastAsia="SimSun"/>
          <w:lang w:val="es-ES"/>
        </w:rPr>
      </w:pPr>
      <w:r>
        <w:rPr>
          <w:lang w:val="es"/>
        </w:rPr>
        <w:t>La Asamblea General,</w:t>
      </w:r>
    </w:p>
    <w:p w14:paraId="5D505D34" w14:textId="77777777" w:rsidR="008A1ED4" w:rsidRPr="00D77D0E" w:rsidRDefault="008A1ED4" w:rsidP="008A1ED4">
      <w:pPr>
        <w:pStyle w:val="COMParaDecision"/>
        <w:numPr>
          <w:ilvl w:val="0"/>
          <w:numId w:val="10"/>
        </w:numPr>
        <w:ind w:left="1134" w:hanging="567"/>
        <w:jc w:val="left"/>
        <w:rPr>
          <w:lang w:val="es-ES"/>
        </w:rPr>
      </w:pPr>
      <w:r>
        <w:rPr>
          <w:lang w:val="es"/>
        </w:rPr>
        <w:t>Habiendo examinado</w:t>
      </w:r>
      <w:r>
        <w:rPr>
          <w:u w:val="none"/>
          <w:lang w:val="es"/>
        </w:rPr>
        <w:t xml:space="preserve"> el documento LHE/20/8.GA/14,</w:t>
      </w:r>
    </w:p>
    <w:p w14:paraId="6F148D59" w14:textId="77777777" w:rsidR="008A1ED4" w:rsidRPr="00D77D0E" w:rsidRDefault="008A1ED4" w:rsidP="0046305B">
      <w:pPr>
        <w:pStyle w:val="COMParaDecision"/>
        <w:numPr>
          <w:ilvl w:val="0"/>
          <w:numId w:val="10"/>
        </w:numPr>
        <w:ind w:left="1134" w:hanging="567"/>
        <w:rPr>
          <w:u w:val="none"/>
          <w:lang w:val="es-ES"/>
        </w:rPr>
      </w:pPr>
      <w:r>
        <w:rPr>
          <w:lang w:val="es"/>
        </w:rPr>
        <w:t>Recordando</w:t>
      </w:r>
      <w:r>
        <w:rPr>
          <w:u w:val="none"/>
          <w:lang w:val="es"/>
        </w:rPr>
        <w:t xml:space="preserve"> los Artículos 5, 6 y 26.5 de la Convención y los Artículos 13, 14 y 15 de su Reglamento,</w:t>
      </w:r>
    </w:p>
    <w:p w14:paraId="027F7A09" w14:textId="72F8DEE7" w:rsidR="008A1ED4" w:rsidRPr="00D77D0E" w:rsidRDefault="008A1ED4" w:rsidP="008A1ED4">
      <w:pPr>
        <w:pStyle w:val="COMParaDecision"/>
        <w:numPr>
          <w:ilvl w:val="0"/>
          <w:numId w:val="10"/>
        </w:numPr>
        <w:ind w:left="1134" w:hanging="567"/>
        <w:jc w:val="left"/>
        <w:rPr>
          <w:lang w:val="es-ES"/>
        </w:rPr>
      </w:pPr>
      <w:r>
        <w:rPr>
          <w:lang w:val="es"/>
        </w:rPr>
        <w:t>Recordando además</w:t>
      </w:r>
      <w:r>
        <w:rPr>
          <w:u w:val="none"/>
          <w:lang w:val="es"/>
        </w:rPr>
        <w:t xml:space="preserve"> la </w:t>
      </w:r>
      <w:hyperlink r:id="rId9" w:history="1">
        <w:r w:rsidRPr="0046305B">
          <w:rPr>
            <w:rStyle w:val="Hyperlink"/>
            <w:lang w:val="es"/>
          </w:rPr>
          <w:t>resolución 8.GA 4</w:t>
        </w:r>
      </w:hyperlink>
      <w:r>
        <w:rPr>
          <w:u w:val="none"/>
          <w:lang w:val="es"/>
        </w:rPr>
        <w:t>,</w:t>
      </w:r>
    </w:p>
    <w:p w14:paraId="6F79518E" w14:textId="225D9543" w:rsidR="005E74D5" w:rsidRPr="00D77D0E" w:rsidRDefault="005E74D5" w:rsidP="0046305B">
      <w:pPr>
        <w:pStyle w:val="COMParaDecision"/>
        <w:numPr>
          <w:ilvl w:val="0"/>
          <w:numId w:val="10"/>
        </w:numPr>
        <w:ind w:left="1134" w:hanging="567"/>
        <w:rPr>
          <w:lang w:val="es-ES"/>
        </w:rPr>
      </w:pPr>
      <w:r>
        <w:rPr>
          <w:lang w:val="es"/>
        </w:rPr>
        <w:lastRenderedPageBreak/>
        <w:t>Elige</w:t>
      </w:r>
      <w:r>
        <w:rPr>
          <w:u w:val="none"/>
          <w:lang w:val="es"/>
        </w:rPr>
        <w:t xml:space="preserve"> a los siguientes </w:t>
      </w:r>
      <w:r w:rsidR="0025242F">
        <w:rPr>
          <w:u w:val="none"/>
          <w:lang w:val="es"/>
        </w:rPr>
        <w:t>doce</w:t>
      </w:r>
      <w:r>
        <w:rPr>
          <w:u w:val="none"/>
          <w:lang w:val="es"/>
        </w:rPr>
        <w:t xml:space="preserve"> Estados Partes en el Comité Intergubernamental para la Salvaguardia del Patrimonio Cultural Inmaterial por un mandato de cuatro años a partir de la fecha de su elección:</w:t>
      </w:r>
    </w:p>
    <w:p w14:paraId="1C3AADD3" w14:textId="77777777" w:rsidR="005E74D5" w:rsidRPr="008B7EDA" w:rsidRDefault="005E74D5" w:rsidP="002427CC">
      <w:pPr>
        <w:pStyle w:val="GAParaResolution"/>
        <w:numPr>
          <w:ilvl w:val="0"/>
          <w:numId w:val="0"/>
        </w:numPr>
        <w:ind w:left="1134"/>
        <w:rPr>
          <w:u w:val="none"/>
          <w:lang w:val="pt-PT"/>
        </w:rPr>
      </w:pPr>
      <w:r w:rsidRPr="008B7EDA">
        <w:rPr>
          <w:u w:val="none"/>
          <w:lang w:val="pt-PT"/>
        </w:rPr>
        <w:t>Grupo I:</w:t>
      </w:r>
    </w:p>
    <w:p w14:paraId="122B3E2A" w14:textId="77777777" w:rsidR="005E74D5" w:rsidRPr="008B7EDA" w:rsidRDefault="005E74D5" w:rsidP="002427CC">
      <w:pPr>
        <w:pStyle w:val="GAParaResolution"/>
        <w:numPr>
          <w:ilvl w:val="0"/>
          <w:numId w:val="0"/>
        </w:numPr>
        <w:ind w:left="1134"/>
        <w:rPr>
          <w:u w:val="none"/>
          <w:lang w:val="pt-PT"/>
        </w:rPr>
      </w:pPr>
      <w:r w:rsidRPr="008B7EDA">
        <w:rPr>
          <w:u w:val="none"/>
          <w:lang w:val="pt-PT"/>
        </w:rPr>
        <w:t>Grupo II:</w:t>
      </w:r>
    </w:p>
    <w:p w14:paraId="1FFC81D0" w14:textId="77777777" w:rsidR="005E74D5" w:rsidRPr="008B7EDA" w:rsidRDefault="005E74D5" w:rsidP="002427CC">
      <w:pPr>
        <w:pStyle w:val="GAParaResolution"/>
        <w:numPr>
          <w:ilvl w:val="0"/>
          <w:numId w:val="0"/>
        </w:numPr>
        <w:ind w:left="1134"/>
        <w:rPr>
          <w:u w:val="none"/>
          <w:lang w:val="pt-PT"/>
        </w:rPr>
      </w:pPr>
      <w:r w:rsidRPr="008B7EDA">
        <w:rPr>
          <w:u w:val="none"/>
          <w:lang w:val="pt-PT"/>
        </w:rPr>
        <w:t>Grupo III:</w:t>
      </w:r>
    </w:p>
    <w:p w14:paraId="350CD703" w14:textId="77777777" w:rsidR="005E74D5" w:rsidRPr="00D77D0E" w:rsidRDefault="005E74D5" w:rsidP="002427CC">
      <w:pPr>
        <w:pStyle w:val="GAParaResolution"/>
        <w:numPr>
          <w:ilvl w:val="0"/>
          <w:numId w:val="0"/>
        </w:numPr>
        <w:ind w:left="1134"/>
        <w:rPr>
          <w:u w:val="none"/>
          <w:lang w:val="es-ES"/>
        </w:rPr>
      </w:pPr>
      <w:r>
        <w:rPr>
          <w:u w:val="none"/>
          <w:lang w:val="es"/>
        </w:rPr>
        <w:t>Grupo IV:</w:t>
      </w:r>
    </w:p>
    <w:p w14:paraId="48A16EBF" w14:textId="77777777" w:rsidR="005E74D5" w:rsidRPr="00D77D0E" w:rsidRDefault="005E74D5" w:rsidP="002427CC">
      <w:pPr>
        <w:pStyle w:val="GAParaResolution"/>
        <w:numPr>
          <w:ilvl w:val="0"/>
          <w:numId w:val="0"/>
        </w:numPr>
        <w:ind w:left="1134"/>
        <w:rPr>
          <w:u w:val="none"/>
          <w:lang w:val="es-ES"/>
        </w:rPr>
      </w:pPr>
      <w:r>
        <w:rPr>
          <w:u w:val="none"/>
          <w:lang w:val="es"/>
        </w:rPr>
        <w:t>Grupo V (a):</w:t>
      </w:r>
    </w:p>
    <w:p w14:paraId="74227B5C" w14:textId="77777777" w:rsidR="005E74D5" w:rsidRPr="005E74D5" w:rsidRDefault="005E74D5" w:rsidP="002427CC">
      <w:pPr>
        <w:pStyle w:val="GAParaResolution"/>
        <w:numPr>
          <w:ilvl w:val="0"/>
          <w:numId w:val="0"/>
        </w:numPr>
        <w:ind w:left="1134"/>
        <w:rPr>
          <w:u w:val="none"/>
        </w:rPr>
      </w:pPr>
      <w:r>
        <w:rPr>
          <w:u w:val="none"/>
          <w:lang w:val="es"/>
        </w:rPr>
        <w:t>Grupo V (b):</w:t>
      </w:r>
    </w:p>
    <w:sectPr w:rsidR="005E74D5" w:rsidRPr="005E74D5" w:rsidSect="00176720">
      <w:headerReference w:type="even" r:id="rId10"/>
      <w:headerReference w:type="default" r:id="rId11"/>
      <w:headerReference w:type="first" r:id="rId12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7E4F4B0" w16cid:durableId="22C988BA"/>
  <w16cid:commentId w16cid:paraId="14FB4C1F" w16cid:durableId="22C988C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D723D2" w14:textId="77777777" w:rsidR="00784333" w:rsidRDefault="00784333" w:rsidP="00655736">
      <w:r>
        <w:separator/>
      </w:r>
    </w:p>
  </w:endnote>
  <w:endnote w:type="continuationSeparator" w:id="0">
    <w:p w14:paraId="1C7AC444" w14:textId="77777777" w:rsidR="00784333" w:rsidRDefault="00784333" w:rsidP="0065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C58529" w14:textId="77777777" w:rsidR="00784333" w:rsidRDefault="00784333" w:rsidP="00655736">
      <w:r>
        <w:separator/>
      </w:r>
    </w:p>
  </w:footnote>
  <w:footnote w:type="continuationSeparator" w:id="0">
    <w:p w14:paraId="2E73E0AD" w14:textId="77777777" w:rsidR="00784333" w:rsidRDefault="00784333" w:rsidP="00655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09D000" w14:textId="27FB761E" w:rsidR="00D95C4C" w:rsidRPr="00C23A97" w:rsidRDefault="006F41B4">
    <w:pPr>
      <w:pStyle w:val="Header"/>
      <w:rPr>
        <w:rFonts w:ascii="Arial" w:hAnsi="Arial" w:cs="Arial"/>
      </w:rPr>
    </w:pPr>
    <w:bookmarkStart w:id="2" w:name="_Hlk40280078"/>
    <w:r>
      <w:rPr>
        <w:rFonts w:ascii="Arial" w:hAnsi="Arial" w:cs="Arial"/>
        <w:sz w:val="20"/>
        <w:szCs w:val="20"/>
        <w:lang w:val="es"/>
      </w:rPr>
      <w:t xml:space="preserve">LHE/20/8.GA/14 </w:t>
    </w:r>
    <w:bookmarkEnd w:id="2"/>
    <w:r>
      <w:rPr>
        <w:rFonts w:ascii="Arial" w:hAnsi="Arial" w:cs="Arial"/>
        <w:sz w:val="20"/>
        <w:szCs w:val="20"/>
        <w:lang w:val="es"/>
      </w:rPr>
      <w:t xml:space="preserve">- página </w:t>
    </w:r>
    <w:r>
      <w:rPr>
        <w:rStyle w:val="PageNumber"/>
        <w:rFonts w:ascii="Arial" w:hAnsi="Arial" w:cs="Arial"/>
        <w:sz w:val="20"/>
        <w:szCs w:val="20"/>
        <w:lang w:val="es"/>
      </w:rPr>
      <w:fldChar w:fldCharType="begin"/>
    </w:r>
    <w:r>
      <w:rPr>
        <w:rStyle w:val="PageNumber"/>
        <w:rFonts w:ascii="Arial" w:hAnsi="Arial" w:cs="Arial"/>
        <w:sz w:val="20"/>
        <w:szCs w:val="20"/>
        <w:lang w:val="es"/>
      </w:rPr>
      <w:instrText xml:space="preserve"> PAGE </w:instrText>
    </w:r>
    <w:r>
      <w:rPr>
        <w:rStyle w:val="PageNumber"/>
        <w:rFonts w:ascii="Arial" w:hAnsi="Arial" w:cs="Arial"/>
        <w:sz w:val="20"/>
        <w:szCs w:val="20"/>
        <w:lang w:val="es"/>
      </w:rPr>
      <w:fldChar w:fldCharType="separate"/>
    </w:r>
    <w:r w:rsidR="00783677">
      <w:rPr>
        <w:rStyle w:val="PageNumber"/>
        <w:rFonts w:ascii="Arial" w:hAnsi="Arial" w:cs="Arial"/>
        <w:noProof/>
        <w:sz w:val="20"/>
        <w:szCs w:val="20"/>
        <w:lang w:val="es"/>
      </w:rPr>
      <w:t>2</w:t>
    </w:r>
    <w:r>
      <w:rPr>
        <w:rStyle w:val="PageNumber"/>
        <w:rFonts w:ascii="Arial" w:hAnsi="Arial" w:cs="Arial"/>
        <w:sz w:val="20"/>
        <w:szCs w:val="20"/>
        <w:lang w:val="e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83BA9E" w14:textId="169293AA" w:rsidR="00D95C4C" w:rsidRPr="0063300C" w:rsidRDefault="003D1F20" w:rsidP="0063300C">
    <w:pPr>
      <w:pStyle w:val="Header"/>
      <w:jc w:val="right"/>
      <w:rPr>
        <w:rFonts w:ascii="Arial" w:hAnsi="Arial" w:cs="Arial"/>
      </w:rPr>
    </w:pPr>
    <w:r>
      <w:rPr>
        <w:rFonts w:ascii="Arial" w:hAnsi="Arial" w:cs="Arial"/>
        <w:sz w:val="20"/>
        <w:szCs w:val="20"/>
        <w:lang w:val="es"/>
      </w:rPr>
      <w:t xml:space="preserve">LHE/20/8.GA/14 - página </w:t>
    </w:r>
    <w:r>
      <w:rPr>
        <w:rStyle w:val="PageNumber"/>
        <w:rFonts w:ascii="Arial" w:hAnsi="Arial" w:cs="Arial"/>
        <w:sz w:val="20"/>
        <w:szCs w:val="20"/>
        <w:lang w:val="es"/>
      </w:rPr>
      <w:fldChar w:fldCharType="begin"/>
    </w:r>
    <w:r>
      <w:rPr>
        <w:rStyle w:val="PageNumber"/>
        <w:rFonts w:ascii="Arial" w:hAnsi="Arial" w:cs="Arial"/>
        <w:sz w:val="20"/>
        <w:szCs w:val="20"/>
        <w:lang w:val="es"/>
      </w:rPr>
      <w:instrText xml:space="preserve"> PAGE </w:instrText>
    </w:r>
    <w:r>
      <w:rPr>
        <w:rStyle w:val="PageNumber"/>
        <w:rFonts w:ascii="Arial" w:hAnsi="Arial" w:cs="Arial"/>
        <w:sz w:val="20"/>
        <w:szCs w:val="20"/>
        <w:lang w:val="es"/>
      </w:rPr>
      <w:fldChar w:fldCharType="separate"/>
    </w:r>
    <w:r w:rsidR="00783677">
      <w:rPr>
        <w:rStyle w:val="PageNumber"/>
        <w:rFonts w:ascii="Arial" w:hAnsi="Arial" w:cs="Arial"/>
        <w:noProof/>
        <w:sz w:val="20"/>
        <w:szCs w:val="20"/>
        <w:lang w:val="es"/>
      </w:rPr>
      <w:t>3</w:t>
    </w:r>
    <w:r>
      <w:rPr>
        <w:rStyle w:val="PageNumber"/>
        <w:rFonts w:ascii="Arial" w:hAnsi="Arial" w:cs="Arial"/>
        <w:sz w:val="20"/>
        <w:szCs w:val="20"/>
        <w:lang w:val="es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71010" w14:textId="43AF5A55" w:rsidR="00D95C4C" w:rsidRPr="008724E5" w:rsidRDefault="003273C5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392936E3" wp14:editId="3DABDCDE">
          <wp:simplePos x="0" y="0"/>
          <wp:positionH relativeFrom="page">
            <wp:posOffset>281940</wp:posOffset>
          </wp:positionH>
          <wp:positionV relativeFrom="page">
            <wp:posOffset>261620</wp:posOffset>
          </wp:positionV>
          <wp:extent cx="2109600" cy="1422000"/>
          <wp:effectExtent l="0" t="0" r="5080" b="6985"/>
          <wp:wrapNone/>
          <wp:docPr id="2" name="Image 1" descr="unesco_logo_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unesco_logo_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23"/>
                  <a:stretch>
                    <a:fillRect/>
                  </a:stretch>
                </pic:blipFill>
                <pic:spPr bwMode="auto">
                  <a:xfrm>
                    <a:off x="0" y="0"/>
                    <a:ext cx="2109600" cy="142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B00622" w14:textId="77777777" w:rsidR="00D95C4C" w:rsidRPr="008B7EDA" w:rsidRDefault="006F41B4" w:rsidP="00655736">
    <w:pPr>
      <w:pStyle w:val="Header"/>
      <w:spacing w:after="520"/>
      <w:jc w:val="right"/>
      <w:rPr>
        <w:rFonts w:ascii="Arial" w:hAnsi="Arial" w:cs="Arial"/>
        <w:b/>
        <w:sz w:val="44"/>
        <w:szCs w:val="44"/>
        <w:lang w:val="pt-PT"/>
      </w:rPr>
    </w:pPr>
    <w:r w:rsidRPr="008B7EDA">
      <w:rPr>
        <w:rFonts w:ascii="Arial" w:hAnsi="Arial" w:cs="Arial"/>
        <w:b/>
        <w:bCs/>
        <w:sz w:val="44"/>
        <w:szCs w:val="44"/>
        <w:lang w:val="pt-PT"/>
      </w:rPr>
      <w:t>8 GA</w:t>
    </w:r>
  </w:p>
  <w:p w14:paraId="14E83BC4" w14:textId="77777777" w:rsidR="00D95C4C" w:rsidRPr="008B7EDA" w:rsidRDefault="006F41B4" w:rsidP="00655736">
    <w:pPr>
      <w:jc w:val="right"/>
      <w:rPr>
        <w:rFonts w:ascii="Arial" w:hAnsi="Arial" w:cs="Arial"/>
        <w:b/>
        <w:sz w:val="22"/>
        <w:szCs w:val="22"/>
        <w:lang w:val="pt-PT"/>
      </w:rPr>
    </w:pPr>
    <w:r w:rsidRPr="008B7EDA">
      <w:rPr>
        <w:rFonts w:ascii="Arial" w:hAnsi="Arial" w:cs="Arial"/>
        <w:b/>
        <w:bCs/>
        <w:sz w:val="22"/>
        <w:szCs w:val="22"/>
        <w:lang w:val="pt-PT"/>
      </w:rPr>
      <w:t>LHE/20/8.GA/14</w:t>
    </w:r>
  </w:p>
  <w:p w14:paraId="2C4999F5" w14:textId="732F2AFA" w:rsidR="00D95C4C" w:rsidRPr="008B7EDA" w:rsidRDefault="00D95C4C" w:rsidP="00655736">
    <w:pPr>
      <w:jc w:val="right"/>
      <w:rPr>
        <w:rFonts w:ascii="Arial" w:hAnsi="Arial" w:cs="Arial"/>
        <w:b/>
        <w:sz w:val="22"/>
        <w:szCs w:val="22"/>
        <w:lang w:val="pt-PT"/>
      </w:rPr>
    </w:pPr>
    <w:r w:rsidRPr="008B7EDA">
      <w:rPr>
        <w:rFonts w:ascii="Arial" w:hAnsi="Arial" w:cs="Arial"/>
        <w:b/>
        <w:bCs/>
        <w:sz w:val="22"/>
        <w:szCs w:val="22"/>
        <w:lang w:val="pt-PT"/>
      </w:rPr>
      <w:t>París, 7 de agosto de 2020</w:t>
    </w:r>
  </w:p>
  <w:p w14:paraId="1EA417FC" w14:textId="77777777" w:rsidR="00D95C4C" w:rsidRDefault="00D95C4C" w:rsidP="00703FBF">
    <w:pPr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bCs/>
        <w:sz w:val="22"/>
        <w:szCs w:val="22"/>
        <w:lang w:val="es"/>
      </w:rPr>
      <w:t>Original: Inglés</w:t>
    </w:r>
  </w:p>
  <w:p w14:paraId="1838D912" w14:textId="77777777" w:rsidR="00540FE0" w:rsidRPr="00C23A97" w:rsidRDefault="00540FE0" w:rsidP="00540FE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807A4"/>
    <w:multiLevelType w:val="hybridMultilevel"/>
    <w:tmpl w:val="DC648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2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5F07BFE"/>
    <w:multiLevelType w:val="hybridMultilevel"/>
    <w:tmpl w:val="E24AD55A"/>
    <w:lvl w:ilvl="0" w:tplc="76CAC304">
      <w:start w:val="1"/>
      <w:numFmt w:val="decimal"/>
      <w:pStyle w:val="GAPara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97A4DB1"/>
    <w:multiLevelType w:val="hybridMultilevel"/>
    <w:tmpl w:val="1F36D964"/>
    <w:lvl w:ilvl="0" w:tplc="918ACE6A">
      <w:start w:val="1"/>
      <w:numFmt w:val="decimal"/>
      <w:pStyle w:val="GAParaResolution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AC30BD2"/>
    <w:multiLevelType w:val="hybridMultilevel"/>
    <w:tmpl w:val="2F02E984"/>
    <w:lvl w:ilvl="0" w:tplc="DFC65752">
      <w:start w:val="1"/>
      <w:numFmt w:val="upperRoman"/>
      <w:pStyle w:val="Heading4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E410AE"/>
    <w:multiLevelType w:val="hybridMultilevel"/>
    <w:tmpl w:val="FC284EC2"/>
    <w:lvl w:ilvl="0" w:tplc="DD9A1A16">
      <w:start w:val="1"/>
      <w:numFmt w:val="decimal"/>
      <w:lvlText w:val="%1."/>
      <w:lvlJc w:val="left"/>
      <w:pPr>
        <w:ind w:left="1779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2499" w:hanging="360"/>
      </w:pPr>
    </w:lvl>
    <w:lvl w:ilvl="2" w:tplc="040C001B" w:tentative="1">
      <w:start w:val="1"/>
      <w:numFmt w:val="lowerRoman"/>
      <w:lvlText w:val="%3."/>
      <w:lvlJc w:val="right"/>
      <w:pPr>
        <w:ind w:left="3219" w:hanging="180"/>
      </w:pPr>
    </w:lvl>
    <w:lvl w:ilvl="3" w:tplc="040C000F" w:tentative="1">
      <w:start w:val="1"/>
      <w:numFmt w:val="decimal"/>
      <w:lvlText w:val="%4."/>
      <w:lvlJc w:val="left"/>
      <w:pPr>
        <w:ind w:left="3939" w:hanging="360"/>
      </w:pPr>
    </w:lvl>
    <w:lvl w:ilvl="4" w:tplc="040C0019" w:tentative="1">
      <w:start w:val="1"/>
      <w:numFmt w:val="lowerLetter"/>
      <w:lvlText w:val="%5."/>
      <w:lvlJc w:val="left"/>
      <w:pPr>
        <w:ind w:left="4659" w:hanging="360"/>
      </w:pPr>
    </w:lvl>
    <w:lvl w:ilvl="5" w:tplc="040C001B" w:tentative="1">
      <w:start w:val="1"/>
      <w:numFmt w:val="lowerRoman"/>
      <w:lvlText w:val="%6."/>
      <w:lvlJc w:val="right"/>
      <w:pPr>
        <w:ind w:left="5379" w:hanging="180"/>
      </w:pPr>
    </w:lvl>
    <w:lvl w:ilvl="6" w:tplc="040C000F" w:tentative="1">
      <w:start w:val="1"/>
      <w:numFmt w:val="decimal"/>
      <w:lvlText w:val="%7."/>
      <w:lvlJc w:val="left"/>
      <w:pPr>
        <w:ind w:left="6099" w:hanging="360"/>
      </w:pPr>
    </w:lvl>
    <w:lvl w:ilvl="7" w:tplc="040C0019" w:tentative="1">
      <w:start w:val="1"/>
      <w:numFmt w:val="lowerLetter"/>
      <w:lvlText w:val="%8."/>
      <w:lvlJc w:val="left"/>
      <w:pPr>
        <w:ind w:left="6819" w:hanging="360"/>
      </w:pPr>
    </w:lvl>
    <w:lvl w:ilvl="8" w:tplc="040C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9" w15:restartNumberingAfterBreak="0">
    <w:nsid w:val="44EA799B"/>
    <w:multiLevelType w:val="hybridMultilevel"/>
    <w:tmpl w:val="E29C370C"/>
    <w:lvl w:ilvl="0" w:tplc="717C0AE2">
      <w:start w:val="15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55155AE9"/>
    <w:multiLevelType w:val="hybridMultilevel"/>
    <w:tmpl w:val="DFE29FF2"/>
    <w:lvl w:ilvl="0" w:tplc="879837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121DD0"/>
    <w:multiLevelType w:val="hybridMultilevel"/>
    <w:tmpl w:val="DE18BCB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1E7254"/>
    <w:multiLevelType w:val="hybridMultilevel"/>
    <w:tmpl w:val="49909E62"/>
    <w:lvl w:ilvl="0" w:tplc="5FF6C1AA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B82F79"/>
    <w:multiLevelType w:val="hybridMultilevel"/>
    <w:tmpl w:val="EE7243B4"/>
    <w:lvl w:ilvl="0" w:tplc="4F7CBCD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2"/>
  </w:num>
  <w:num w:numId="4">
    <w:abstractNumId w:val="16"/>
  </w:num>
  <w:num w:numId="5">
    <w:abstractNumId w:val="14"/>
  </w:num>
  <w:num w:numId="6">
    <w:abstractNumId w:val="1"/>
  </w:num>
  <w:num w:numId="7">
    <w:abstractNumId w:val="3"/>
  </w:num>
  <w:num w:numId="8">
    <w:abstractNumId w:val="9"/>
  </w:num>
  <w:num w:numId="9">
    <w:abstractNumId w:val="4"/>
  </w:num>
  <w:num w:numId="10">
    <w:abstractNumId w:val="6"/>
  </w:num>
  <w:num w:numId="11">
    <w:abstractNumId w:val="8"/>
  </w:num>
  <w:num w:numId="12">
    <w:abstractNumId w:val="7"/>
  </w:num>
  <w:num w:numId="13">
    <w:abstractNumId w:val="15"/>
  </w:num>
  <w:num w:numId="14">
    <w:abstractNumId w:val="10"/>
  </w:num>
  <w:num w:numId="15">
    <w:abstractNumId w:val="12"/>
  </w:num>
  <w:num w:numId="16">
    <w:abstractNumId w:val="6"/>
  </w:num>
  <w:num w:numId="17">
    <w:abstractNumId w:val="6"/>
  </w:num>
  <w:num w:numId="18">
    <w:abstractNumId w:val="6"/>
  </w:num>
  <w:num w:numId="19">
    <w:abstractNumId w:val="0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pt-PT" w:vendorID="64" w:dllVersion="0" w:nlCheck="1" w:checkStyle="0"/>
  <w:activeWritingStyle w:appName="MSWord" w:lang="en-GB" w:vendorID="64" w:dllVersion="0" w:nlCheck="1" w:checkStyle="0"/>
  <w:activeWritingStyle w:appName="MSWord" w:lang="es-ES_tradnl" w:vendorID="64" w:dllVersion="6" w:nlCheck="1" w:checkStyle="1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866"/>
    <w:rsid w:val="000048ED"/>
    <w:rsid w:val="00041A66"/>
    <w:rsid w:val="0005176E"/>
    <w:rsid w:val="000765F7"/>
    <w:rsid w:val="00077AB7"/>
    <w:rsid w:val="00081CD8"/>
    <w:rsid w:val="000A7F0E"/>
    <w:rsid w:val="000C0D61"/>
    <w:rsid w:val="000F3A3F"/>
    <w:rsid w:val="00102557"/>
    <w:rsid w:val="00164D56"/>
    <w:rsid w:val="00167B10"/>
    <w:rsid w:val="00170E57"/>
    <w:rsid w:val="0017402F"/>
    <w:rsid w:val="00176720"/>
    <w:rsid w:val="00196C1B"/>
    <w:rsid w:val="001B0F73"/>
    <w:rsid w:val="001C3746"/>
    <w:rsid w:val="001D5C04"/>
    <w:rsid w:val="00222A2D"/>
    <w:rsid w:val="00223029"/>
    <w:rsid w:val="00234745"/>
    <w:rsid w:val="002407AF"/>
    <w:rsid w:val="002427CC"/>
    <w:rsid w:val="0025242F"/>
    <w:rsid w:val="002C09E3"/>
    <w:rsid w:val="002F312A"/>
    <w:rsid w:val="00325CB9"/>
    <w:rsid w:val="003273C5"/>
    <w:rsid w:val="00345CB4"/>
    <w:rsid w:val="003549B8"/>
    <w:rsid w:val="00374825"/>
    <w:rsid w:val="003D069C"/>
    <w:rsid w:val="003D1F20"/>
    <w:rsid w:val="003D7646"/>
    <w:rsid w:val="003F113A"/>
    <w:rsid w:val="00414643"/>
    <w:rsid w:val="004421E5"/>
    <w:rsid w:val="00452284"/>
    <w:rsid w:val="0046305B"/>
    <w:rsid w:val="004856CA"/>
    <w:rsid w:val="0049705E"/>
    <w:rsid w:val="004A34A0"/>
    <w:rsid w:val="00522DE4"/>
    <w:rsid w:val="00526B7B"/>
    <w:rsid w:val="005308CE"/>
    <w:rsid w:val="00540FE0"/>
    <w:rsid w:val="00554D58"/>
    <w:rsid w:val="00554EE2"/>
    <w:rsid w:val="0057439C"/>
    <w:rsid w:val="005B0127"/>
    <w:rsid w:val="005B7A35"/>
    <w:rsid w:val="005C4B73"/>
    <w:rsid w:val="005E1D2B"/>
    <w:rsid w:val="005E74D5"/>
    <w:rsid w:val="00600D93"/>
    <w:rsid w:val="0063300C"/>
    <w:rsid w:val="00655736"/>
    <w:rsid w:val="00663B8D"/>
    <w:rsid w:val="00696C8D"/>
    <w:rsid w:val="006A2AC2"/>
    <w:rsid w:val="006A3617"/>
    <w:rsid w:val="006E46E4"/>
    <w:rsid w:val="006F41B4"/>
    <w:rsid w:val="00703FBF"/>
    <w:rsid w:val="00717DA5"/>
    <w:rsid w:val="00744484"/>
    <w:rsid w:val="00763A0D"/>
    <w:rsid w:val="00773188"/>
    <w:rsid w:val="00783677"/>
    <w:rsid w:val="00783782"/>
    <w:rsid w:val="00784333"/>
    <w:rsid w:val="00784B8C"/>
    <w:rsid w:val="007D36C9"/>
    <w:rsid w:val="00823A11"/>
    <w:rsid w:val="00852866"/>
    <w:rsid w:val="0085414A"/>
    <w:rsid w:val="0086269D"/>
    <w:rsid w:val="0086543A"/>
    <w:rsid w:val="00865D92"/>
    <w:rsid w:val="008724E5"/>
    <w:rsid w:val="00880187"/>
    <w:rsid w:val="00884A9D"/>
    <w:rsid w:val="0088512B"/>
    <w:rsid w:val="008948AA"/>
    <w:rsid w:val="008A1ED4"/>
    <w:rsid w:val="008A2B2D"/>
    <w:rsid w:val="008A4E1E"/>
    <w:rsid w:val="008B7396"/>
    <w:rsid w:val="008B7EDA"/>
    <w:rsid w:val="008C296C"/>
    <w:rsid w:val="008D4305"/>
    <w:rsid w:val="009163A7"/>
    <w:rsid w:val="00921F00"/>
    <w:rsid w:val="0092385B"/>
    <w:rsid w:val="00946D0B"/>
    <w:rsid w:val="009A18CD"/>
    <w:rsid w:val="009B737C"/>
    <w:rsid w:val="009B7A42"/>
    <w:rsid w:val="00A12558"/>
    <w:rsid w:val="00A13903"/>
    <w:rsid w:val="00A34ED5"/>
    <w:rsid w:val="00A45DBF"/>
    <w:rsid w:val="00A645DF"/>
    <w:rsid w:val="00A65C29"/>
    <w:rsid w:val="00A755A2"/>
    <w:rsid w:val="00A9081D"/>
    <w:rsid w:val="00AA181F"/>
    <w:rsid w:val="00AA6660"/>
    <w:rsid w:val="00AB2C36"/>
    <w:rsid w:val="00AB3BD7"/>
    <w:rsid w:val="00AB70B6"/>
    <w:rsid w:val="00AD1A86"/>
    <w:rsid w:val="00AE103E"/>
    <w:rsid w:val="00AF0A07"/>
    <w:rsid w:val="00AF4AEC"/>
    <w:rsid w:val="00AF625E"/>
    <w:rsid w:val="00B96B09"/>
    <w:rsid w:val="00B97E60"/>
    <w:rsid w:val="00BB04AF"/>
    <w:rsid w:val="00BD52C9"/>
    <w:rsid w:val="00BE6354"/>
    <w:rsid w:val="00BF60A4"/>
    <w:rsid w:val="00C23A97"/>
    <w:rsid w:val="00C42C66"/>
    <w:rsid w:val="00C55CCA"/>
    <w:rsid w:val="00C70EA7"/>
    <w:rsid w:val="00C7516E"/>
    <w:rsid w:val="00C75770"/>
    <w:rsid w:val="00C91055"/>
    <w:rsid w:val="00D00B2B"/>
    <w:rsid w:val="00D24877"/>
    <w:rsid w:val="00D77D0E"/>
    <w:rsid w:val="00D95C4C"/>
    <w:rsid w:val="00DA36ED"/>
    <w:rsid w:val="00DE34F1"/>
    <w:rsid w:val="00DF4942"/>
    <w:rsid w:val="00DF5AE1"/>
    <w:rsid w:val="00E34AEA"/>
    <w:rsid w:val="00E460D4"/>
    <w:rsid w:val="00E627B1"/>
    <w:rsid w:val="00E9376C"/>
    <w:rsid w:val="00EA335E"/>
    <w:rsid w:val="00EA528C"/>
    <w:rsid w:val="00EF19A6"/>
    <w:rsid w:val="00EF34E2"/>
    <w:rsid w:val="00EF4F1F"/>
    <w:rsid w:val="00EF69E3"/>
    <w:rsid w:val="00F010E0"/>
    <w:rsid w:val="00F53DE9"/>
    <w:rsid w:val="00F576CB"/>
    <w:rsid w:val="00F71A02"/>
    <w:rsid w:val="00FB6630"/>
    <w:rsid w:val="00FC010D"/>
    <w:rsid w:val="00FC5AE5"/>
    <w:rsid w:val="00FD1226"/>
    <w:rsid w:val="00FE1590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90913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uiPriority="9"/>
    <w:lsdException w:name="heading 3" w:semiHidden="1" w:uiPriority="9" w:unhideWhenUsed="1"/>
    <w:lsdException w:name="heading 4" w:uiPriority="0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5CB4"/>
    <w:rPr>
      <w:rFonts w:ascii="Times New Roman" w:eastAsia="Times New Roman" w:hAnsi="Times New Roman"/>
      <w:sz w:val="24"/>
      <w:szCs w:val="24"/>
      <w:lang w:val="fr-FR" w:eastAsia="fr-FR"/>
    </w:rPr>
  </w:style>
  <w:style w:type="paragraph" w:styleId="Heading2">
    <w:name w:val="heading 2"/>
    <w:basedOn w:val="Normal"/>
    <w:next w:val="Normal"/>
    <w:link w:val="Heading2Ch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GA Heading"/>
    <w:basedOn w:val="Normal"/>
    <w:next w:val="Normal"/>
    <w:link w:val="Heading4Char"/>
    <w:qFormat/>
    <w:rsid w:val="00F71A02"/>
    <w:pPr>
      <w:keepNext/>
      <w:keepLines/>
      <w:numPr>
        <w:numId w:val="12"/>
      </w:numPr>
      <w:tabs>
        <w:tab w:val="left" w:pos="567"/>
      </w:tabs>
      <w:snapToGrid w:val="0"/>
      <w:spacing w:after="240"/>
      <w:ind w:left="567" w:hanging="567"/>
      <w:outlineLvl w:val="3"/>
    </w:pPr>
    <w:rPr>
      <w:rFonts w:ascii="Arial" w:hAnsi="Arial"/>
      <w:b/>
      <w:bCs/>
      <w:snapToGrid w:val="0"/>
      <w:sz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2">
    <w:name w:val="Sans interligne2"/>
    <w:uiPriority w:val="1"/>
    <w:rsid w:val="006C3FFC"/>
    <w:rPr>
      <w:rFonts w:ascii="Times New Roman" w:eastAsia="Times New Roman" w:hAnsi="Times New Roman"/>
      <w:sz w:val="24"/>
      <w:szCs w:val="24"/>
      <w:lang w:val="fr-FR" w:eastAsia="fr-FR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GA Heading Char"/>
    <w:link w:val="Heading4"/>
    <w:rsid w:val="00F71A02"/>
    <w:rPr>
      <w:rFonts w:ascii="Arial" w:eastAsia="Times New Roman" w:hAnsi="Arial"/>
      <w:b/>
      <w:bCs/>
      <w:snapToGrid w:val="0"/>
      <w:sz w:val="22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paragraph" w:customStyle="1" w:styleId="Sansinterligne1">
    <w:name w:val="Sans interligne1"/>
    <w:uiPriority w:val="1"/>
    <w:rsid w:val="0057439C"/>
    <w:rPr>
      <w:rFonts w:ascii="Times New Roman" w:eastAsia="Times New Roman" w:hAnsi="Times New Roman"/>
      <w:sz w:val="24"/>
      <w:szCs w:val="24"/>
      <w:lang w:val="fr-FR" w:eastAsia="fr-FR"/>
    </w:rPr>
  </w:style>
  <w:style w:type="paragraph" w:customStyle="1" w:styleId="GAPara">
    <w:name w:val="GA Para"/>
    <w:qFormat/>
    <w:rsid w:val="00345CB4"/>
    <w:pPr>
      <w:numPr>
        <w:numId w:val="9"/>
      </w:numPr>
      <w:spacing w:after="120"/>
      <w:ind w:left="567" w:hanging="567"/>
    </w:pPr>
    <w:rPr>
      <w:rFonts w:ascii="Arial" w:eastAsia="Times New Roman" w:hAnsi="Arial" w:cs="Arial"/>
      <w:snapToGrid w:val="0"/>
      <w:sz w:val="22"/>
      <w:szCs w:val="22"/>
      <w:lang w:eastAsia="en-US"/>
    </w:rPr>
  </w:style>
  <w:style w:type="paragraph" w:customStyle="1" w:styleId="GATitleResolution">
    <w:name w:val="GA Title Resolution"/>
    <w:basedOn w:val="Normal"/>
    <w:qFormat/>
    <w:rsid w:val="00041A66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  <w:lang w:val="en-GB"/>
    </w:rPr>
  </w:style>
  <w:style w:type="paragraph" w:customStyle="1" w:styleId="GAPreambulaResolution">
    <w:name w:val="GA Preambula Resolution"/>
    <w:basedOn w:val="Normal"/>
    <w:qFormat/>
    <w:rsid w:val="00041A66"/>
    <w:pPr>
      <w:keepNext/>
      <w:spacing w:after="120"/>
      <w:ind w:left="567"/>
      <w:jc w:val="both"/>
    </w:pPr>
    <w:rPr>
      <w:rFonts w:ascii="Arial" w:hAnsi="Arial" w:cs="Arial"/>
      <w:sz w:val="22"/>
      <w:szCs w:val="22"/>
      <w:lang w:val="en-GB"/>
    </w:rPr>
  </w:style>
  <w:style w:type="paragraph" w:customStyle="1" w:styleId="GAParaResolution">
    <w:name w:val="GA Para Resolution"/>
    <w:basedOn w:val="Normal"/>
    <w:qFormat/>
    <w:rsid w:val="00345CB4"/>
    <w:pPr>
      <w:numPr>
        <w:numId w:val="10"/>
      </w:numPr>
      <w:autoSpaceDE w:val="0"/>
      <w:autoSpaceDN w:val="0"/>
      <w:adjustRightInd w:val="0"/>
      <w:spacing w:after="120"/>
      <w:jc w:val="both"/>
    </w:pPr>
    <w:rPr>
      <w:rFonts w:ascii="Arial" w:eastAsia="SimSun" w:hAnsi="Arial" w:cs="Arial"/>
      <w:sz w:val="22"/>
      <w:szCs w:val="22"/>
      <w:u w:val="single"/>
      <w:lang w:val="en-GB"/>
    </w:rPr>
  </w:style>
  <w:style w:type="paragraph" w:styleId="ListParagraph">
    <w:name w:val="List Paragraph"/>
    <w:basedOn w:val="Normal"/>
    <w:uiPriority w:val="34"/>
    <w:qFormat/>
    <w:rsid w:val="002F312A"/>
    <w:pPr>
      <w:ind w:left="720"/>
      <w:contextualSpacing/>
    </w:pPr>
  </w:style>
  <w:style w:type="paragraph" w:customStyle="1" w:styleId="COMParaDecision">
    <w:name w:val="COM Para Decision"/>
    <w:basedOn w:val="Normal"/>
    <w:qFormat/>
    <w:rsid w:val="008A1ED4"/>
    <w:pPr>
      <w:autoSpaceDE w:val="0"/>
      <w:autoSpaceDN w:val="0"/>
      <w:adjustRightInd w:val="0"/>
      <w:spacing w:after="120"/>
      <w:ind w:left="1134" w:hanging="567"/>
      <w:jc w:val="both"/>
    </w:pPr>
    <w:rPr>
      <w:rFonts w:ascii="Arial" w:eastAsia="SimSun" w:hAnsi="Arial" w:cs="Arial"/>
      <w:sz w:val="22"/>
      <w:szCs w:val="22"/>
      <w:u w:val="single"/>
      <w:lang w:val="en-GB"/>
    </w:rPr>
  </w:style>
  <w:style w:type="character" w:styleId="Hyperlink">
    <w:name w:val="Hyperlink"/>
    <w:basedOn w:val="DefaultParagraphFont"/>
    <w:uiPriority w:val="99"/>
    <w:unhideWhenUsed/>
    <w:rsid w:val="00325CB9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325CB9"/>
    <w:rPr>
      <w:i/>
      <w:iCs/>
    </w:rPr>
  </w:style>
  <w:style w:type="paragraph" w:customStyle="1" w:styleId="c">
    <w:name w:val="(c)"/>
    <w:basedOn w:val="Normal"/>
    <w:rsid w:val="005E74D5"/>
    <w:pPr>
      <w:tabs>
        <w:tab w:val="left" w:pos="1701"/>
      </w:tabs>
      <w:spacing w:after="240"/>
      <w:ind w:left="1701" w:hanging="567"/>
      <w:jc w:val="both"/>
    </w:pPr>
    <w:rPr>
      <w:rFonts w:ascii="Arial" w:hAnsi="Aria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A18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18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181F"/>
    <w:rPr>
      <w:rFonts w:ascii="Times New Roman" w:eastAsia="Times New Roman" w:hAnsi="Times New Roman"/>
      <w:lang w:val="fr-FR"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18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181F"/>
    <w:rPr>
      <w:rFonts w:ascii="Times New Roman" w:eastAsia="Times New Roman" w:hAnsi="Times New Roman"/>
      <w:b/>
      <w:bCs/>
      <w:lang w:val="fr-FR" w:eastAsia="fr-FR"/>
    </w:rPr>
  </w:style>
  <w:style w:type="table" w:customStyle="1" w:styleId="TableGrid1">
    <w:name w:val="Table Grid1"/>
    <w:basedOn w:val="TableNormal"/>
    <w:next w:val="TableGrid"/>
    <w:uiPriority w:val="59"/>
    <w:rsid w:val="00B97E60"/>
    <w:rPr>
      <w:lang w:val="fr-FR" w:eastAsia="fr-FR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70E57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630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h.unesco.org/doc/src/ITH-18-7.GA-INF.14-SP.doc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ch.unesco.org/en/Decisions/8.GA/4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E53FC-5E48-45F3-8C89-129A12A4E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2020-07-27T15:06:00Z</dcterms:created>
  <dcterms:modified xsi:type="dcterms:W3CDTF">2020-08-05T06:27:00Z</dcterms:modified>
</cp:coreProperties>
</file>