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616F6" w14:textId="0617641F" w:rsidR="00655736" w:rsidRPr="00414643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КОНВЕНЦИЯ ОБ ОХРАНЕ</w:t>
      </w:r>
      <w:r w:rsidR="00DF52EC">
        <w:rPr>
          <w:rFonts w:ascii="Arial" w:hAnsi="Arial"/>
          <w:b/>
          <w:sz w:val="22"/>
          <w:szCs w:val="22"/>
        </w:rPr>
        <w:br/>
      </w:r>
      <w:r>
        <w:rPr>
          <w:rFonts w:ascii="Arial" w:hAnsi="Arial"/>
          <w:b/>
          <w:sz w:val="22"/>
          <w:szCs w:val="22"/>
        </w:rPr>
        <w:t>НЕМАТЕРИАЛЬНОГО КУЛЬТУРНОГО НАСЛЕДИЯ</w:t>
      </w:r>
    </w:p>
    <w:p w14:paraId="110BAEC4" w14:textId="77777777" w:rsidR="00655736" w:rsidRPr="00414643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ГЕНЕРАЛЬНАЯ АССАМБЛЕЯ ГОСУДАРСТВ – УЧАСТНИКОВ КОНВЕНЦИИ</w:t>
      </w:r>
    </w:p>
    <w:p w14:paraId="083C4F0D" w14:textId="77777777" w:rsidR="00D95C4C" w:rsidRPr="00FD624F" w:rsidRDefault="006F41B4" w:rsidP="00D95C4C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Восьмая сессия</w:t>
      </w:r>
    </w:p>
    <w:p w14:paraId="0CB161E5" w14:textId="77777777" w:rsidR="00D95C4C" w:rsidRPr="00FD624F" w:rsidRDefault="00D95C4C" w:rsidP="00D95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Штаб-квартира ЮНЕСКО, зал I</w:t>
      </w:r>
    </w:p>
    <w:p w14:paraId="0C053C33" w14:textId="698345CB" w:rsidR="00655736" w:rsidRPr="00414643" w:rsidRDefault="001829BA" w:rsidP="00D95C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 – 10 сентября 2020 г.</w:t>
      </w:r>
    </w:p>
    <w:p w14:paraId="3FE3383C" w14:textId="73D1778A" w:rsidR="00655736" w:rsidRPr="00414643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 xml:space="preserve">Пункт </w:t>
      </w:r>
      <w:r w:rsidR="00DF10A4" w:rsidRPr="00407AA1">
        <w:rPr>
          <w:rFonts w:ascii="Arial" w:hAnsi="Arial"/>
          <w:b/>
          <w:sz w:val="22"/>
          <w:szCs w:val="22"/>
          <w:u w:val="single"/>
        </w:rPr>
        <w:t>13</w:t>
      </w:r>
      <w:r w:rsidR="00DF10A4">
        <w:rPr>
          <w:rFonts w:ascii="Arial" w:hAnsi="Arial"/>
          <w:b/>
          <w:sz w:val="22"/>
          <w:szCs w:val="22"/>
          <w:u w:val="single"/>
        </w:rPr>
        <w:t xml:space="preserve"> </w:t>
      </w:r>
      <w:r>
        <w:rPr>
          <w:rFonts w:ascii="Arial" w:hAnsi="Arial"/>
          <w:b/>
          <w:sz w:val="22"/>
          <w:szCs w:val="22"/>
          <w:u w:val="single"/>
        </w:rPr>
        <w:t>предварительной повестки дня:</w:t>
      </w:r>
    </w:p>
    <w:p w14:paraId="60C33D23" w14:textId="0F77D7E8" w:rsidR="009C7742" w:rsidRPr="00414643" w:rsidRDefault="00DF10A4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DF10A4">
        <w:rPr>
          <w:rFonts w:ascii="Arial" w:hAnsi="Arial"/>
          <w:b/>
          <w:sz w:val="22"/>
          <w:szCs w:val="22"/>
        </w:rPr>
        <w:t>Аккредитация неправительственных организаций с целью выполнения консультативных функций при Комитете</w:t>
      </w:r>
      <w:r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C4717C" w14:paraId="46AA060C" w14:textId="77777777" w:rsidTr="002F312A">
        <w:trPr>
          <w:jc w:val="center"/>
        </w:trPr>
        <w:tc>
          <w:tcPr>
            <w:tcW w:w="5670" w:type="dxa"/>
            <w:vAlign w:val="center"/>
          </w:tcPr>
          <w:p w14:paraId="3D0D4E5E" w14:textId="77777777" w:rsidR="00281579" w:rsidRPr="00414643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Содержание</w:t>
            </w:r>
          </w:p>
          <w:p w14:paraId="42844025" w14:textId="0936243B" w:rsidR="00281579" w:rsidRPr="00281579" w:rsidRDefault="00281579" w:rsidP="005B7A35">
            <w:pPr>
              <w:pStyle w:val="Sansinterligne2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Статья 9 Конвенции подразумевает, что Комитет предлагает Генеральной Ассамблее аккредитацию неправительственных организаций с признанными полномочиями в области нематериального культурного наследия для выполнения консультативных функций в Комитете. В настоящем документе предложены тридцать шесть подобных организаций.</w:t>
            </w:r>
          </w:p>
          <w:p w14:paraId="669D96AB" w14:textId="03A291B6" w:rsidR="00655736" w:rsidRPr="00414643" w:rsidRDefault="00FB6630" w:rsidP="005B7A35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Требуемое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решение: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параграф </w:t>
            </w:r>
            <w:r w:rsidR="00F6777D">
              <w:rPr>
                <w:rFonts w:ascii="Arial" w:hAnsi="Arial"/>
                <w:bCs/>
                <w:sz w:val="22"/>
                <w:szCs w:val="22"/>
              </w:rPr>
              <w:t>8</w:t>
            </w:r>
          </w:p>
        </w:tc>
      </w:tr>
    </w:tbl>
    <w:p w14:paraId="03B6D1BB" w14:textId="77777777" w:rsidR="00176720" w:rsidRDefault="00655736" w:rsidP="00176720">
      <w:pPr>
        <w:pStyle w:val="GAPara"/>
        <w:numPr>
          <w:ilvl w:val="0"/>
          <w:numId w:val="0"/>
        </w:numPr>
        <w:jc w:val="both"/>
      </w:pPr>
      <w:r>
        <w:br w:type="page"/>
      </w:r>
    </w:p>
    <w:p w14:paraId="42C39A9B" w14:textId="77777777" w:rsidR="004E55AD" w:rsidRPr="0056153E" w:rsidRDefault="004E55AD" w:rsidP="004D3AAC">
      <w:pPr>
        <w:pStyle w:val="COMTitleDecision"/>
        <w:spacing w:before="360" w:after="240"/>
        <w:ind w:hanging="567"/>
      </w:pPr>
      <w:r>
        <w:lastRenderedPageBreak/>
        <w:t xml:space="preserve">А. </w:t>
      </w:r>
      <w:r>
        <w:tab/>
        <w:t>Аккредитация неправительственных организаций</w:t>
      </w:r>
    </w:p>
    <w:p w14:paraId="55042986" w14:textId="4ABB468D" w:rsidR="00C42C66" w:rsidRDefault="00ED686C" w:rsidP="005007C5">
      <w:pPr>
        <w:pStyle w:val="GAPara"/>
        <w:numPr>
          <w:ilvl w:val="0"/>
          <w:numId w:val="19"/>
        </w:numPr>
        <w:ind w:left="567" w:hanging="567"/>
        <w:jc w:val="both"/>
      </w:pPr>
      <w:r>
        <w:t>Статья 9 Конвенции подразумевает, что Комитет предлагает Генеральной Ассамблее аккредитацию неправительственных организаций (НПО)</w:t>
      </w:r>
      <w:r w:rsidR="00F6777D">
        <w:t xml:space="preserve">, </w:t>
      </w:r>
      <w:r w:rsidR="00F6777D" w:rsidRPr="00F6777D">
        <w:t>обладающих признанной компетенцией</w:t>
      </w:r>
      <w:r w:rsidR="00F6777D">
        <w:t xml:space="preserve"> </w:t>
      </w:r>
      <w:r>
        <w:t xml:space="preserve">в области нематериального культурного наследия для выполнения консультативных функций в Комитете. Критерии и методы данной аккредитации были приняты Генеральной Ассамблеей на </w:t>
      </w:r>
      <w:r w:rsidR="00170EE7">
        <w:t xml:space="preserve">её </w:t>
      </w:r>
      <w:r>
        <w:t>второй сессии, и включены в Главу III.2.2 Оперативн</w:t>
      </w:r>
      <w:r w:rsidR="00170EE7">
        <w:t xml:space="preserve">ого руководства </w:t>
      </w:r>
      <w:r>
        <w:t>(</w:t>
      </w:r>
      <w:r w:rsidR="00170EE7">
        <w:t xml:space="preserve">пункты </w:t>
      </w:r>
      <w:r>
        <w:t xml:space="preserve">91-99). На сегодняшний день Генеральная Ассамблея аккредитовала 231 такую организацию (97 из них - </w:t>
      </w:r>
      <w:hyperlink r:id="rId8" w:history="1">
        <w:r w:rsidRPr="00407AA1">
          <w:rPr>
            <w:rStyle w:val="Hyperlink"/>
          </w:rPr>
          <w:t>Резолюцией 3.GA 7</w:t>
        </w:r>
      </w:hyperlink>
      <w:r>
        <w:t xml:space="preserve">, 59 - </w:t>
      </w:r>
      <w:hyperlink r:id="rId9" w:history="1">
        <w:r w:rsidRPr="00407AA1">
          <w:rPr>
            <w:rStyle w:val="Hyperlink"/>
          </w:rPr>
          <w:t>Резолюцией 4.GA 6</w:t>
        </w:r>
      </w:hyperlink>
      <w:r>
        <w:t xml:space="preserve">, 22 - </w:t>
      </w:r>
      <w:hyperlink r:id="rId10" w:history="1">
        <w:r w:rsidRPr="00407AA1">
          <w:rPr>
            <w:rStyle w:val="Hyperlink"/>
          </w:rPr>
          <w:t>Резолюцией 5.GA 6</w:t>
        </w:r>
      </w:hyperlink>
      <w:r>
        <w:t xml:space="preserve">, 24 - </w:t>
      </w:r>
      <w:hyperlink r:id="rId11" w:history="1">
        <w:r w:rsidRPr="00407AA1">
          <w:rPr>
            <w:rStyle w:val="Hyperlink"/>
          </w:rPr>
          <w:t>Резолюцией 6.GA 8</w:t>
        </w:r>
      </w:hyperlink>
      <w:r>
        <w:t xml:space="preserve"> и 29 </w:t>
      </w:r>
      <w:r w:rsidR="00407AA1">
        <w:t>–</w:t>
      </w:r>
      <w:r>
        <w:t xml:space="preserve"> </w:t>
      </w:r>
      <w:hyperlink r:id="rId12" w:history="1">
        <w:r w:rsidRPr="00407AA1">
          <w:rPr>
            <w:rStyle w:val="Hyperlink"/>
          </w:rPr>
          <w:t>Резолюцией</w:t>
        </w:r>
        <w:r w:rsidR="00407AA1">
          <w:rPr>
            <w:rStyle w:val="Hyperlink"/>
            <w:lang w:val="fr-FR"/>
          </w:rPr>
          <w:t> </w:t>
        </w:r>
        <w:r w:rsidRPr="00407AA1">
          <w:rPr>
            <w:rStyle w:val="Hyperlink"/>
          </w:rPr>
          <w:t>7.GA 11</w:t>
        </w:r>
      </w:hyperlink>
      <w:r>
        <w:t>).</w:t>
      </w:r>
    </w:p>
    <w:p w14:paraId="1BB9E1E8" w14:textId="304D40CE" w:rsidR="009A73A0" w:rsidRDefault="009A73A0" w:rsidP="009A73A0">
      <w:pPr>
        <w:pStyle w:val="GAPara"/>
        <w:numPr>
          <w:ilvl w:val="0"/>
          <w:numId w:val="19"/>
        </w:numPr>
        <w:ind w:left="567" w:hanging="567"/>
        <w:jc w:val="both"/>
      </w:pPr>
      <w:r>
        <w:t>На основании методов и процедур процесса рассмотрения, определенных в Главе III.2.2 Оперативн</w:t>
      </w:r>
      <w:r w:rsidR="00170EE7">
        <w:t xml:space="preserve">ого руководства </w:t>
      </w:r>
      <w:r>
        <w:t>(</w:t>
      </w:r>
      <w:r w:rsidR="00170EE7">
        <w:t xml:space="preserve">пункты </w:t>
      </w:r>
      <w:r>
        <w:t>92-99), Комитет «</w:t>
      </w:r>
      <w:r w:rsidR="00170EE7" w:rsidRPr="00170EE7">
        <w:t>оценивает вклад консультативной организации, её приверженность целям и отношения с ней один раз в четыре года после её аккредитации, учитывая при этом перспективы данной неправительственной организации</w:t>
      </w:r>
      <w:r>
        <w:t xml:space="preserve">». На основании рекомендаций Секретариата, который рассматривает отчеты за четырехлетний период, представленные аккредитованными НПО, Комитет может принять решение продолжить или </w:t>
      </w:r>
      <w:r w:rsidR="00170EE7">
        <w:t xml:space="preserve">прекратить </w:t>
      </w:r>
      <w:r>
        <w:t>отношения с соответствующими НПО. В этом отношении Комитет принял следующие решения:</w:t>
      </w:r>
    </w:p>
    <w:p w14:paraId="451C4E28" w14:textId="59ACBA88" w:rsidR="009A73A0" w:rsidRDefault="009A73A0" w:rsidP="00706F1F">
      <w:pPr>
        <w:pStyle w:val="GAPara"/>
        <w:numPr>
          <w:ilvl w:val="0"/>
          <w:numId w:val="22"/>
        </w:numPr>
        <w:ind w:left="927"/>
        <w:jc w:val="both"/>
      </w:pPr>
      <w:r>
        <w:t>На своей десятой сессии в 2015 году Комитет принял решение сохранить аккредитацию пятидесяти девяти из девяноста семи НПО, аккредитованных в ходе третьей сессии Генеральной Ассамблеи в 2010 году. В то же время Комитет также принял решение завершить аккредитацию тридцати восьми организаций (</w:t>
      </w:r>
      <w:hyperlink r:id="rId13" w:history="1">
        <w:r w:rsidRPr="00407AA1">
          <w:rPr>
            <w:rStyle w:val="Hyperlink"/>
          </w:rPr>
          <w:t>Решение</w:t>
        </w:r>
        <w:r w:rsidR="00407AA1">
          <w:rPr>
            <w:rStyle w:val="Hyperlink"/>
            <w:lang w:val="fr-FR"/>
          </w:rPr>
          <w:t> </w:t>
        </w:r>
        <w:r w:rsidRPr="00407AA1">
          <w:rPr>
            <w:rStyle w:val="Hyperlink"/>
          </w:rPr>
          <w:t>10.COM 16</w:t>
        </w:r>
      </w:hyperlink>
      <w:r>
        <w:t>).</w:t>
      </w:r>
    </w:p>
    <w:p w14:paraId="69EF3C4E" w14:textId="14F41C2A" w:rsidR="00026E37" w:rsidRDefault="00026E37" w:rsidP="00706F1F">
      <w:pPr>
        <w:pStyle w:val="GAPara"/>
        <w:numPr>
          <w:ilvl w:val="0"/>
          <w:numId w:val="22"/>
        </w:numPr>
        <w:ind w:left="927"/>
        <w:jc w:val="both"/>
      </w:pPr>
      <w:r>
        <w:t>На своей двенадцатой сессии в 2017 году Комитет принял решение сохранить аккредитацию сорока двух из пятидесяти девяти НПО, аккредитованных в ходе четвертой сессии Генеральной Ассамблеи в 2012 году. В то же время Комитет также принял решение завершить аккредитацию семнадцати организаций (</w:t>
      </w:r>
      <w:hyperlink r:id="rId14" w:history="1">
        <w:r w:rsidRPr="00407AA1">
          <w:rPr>
            <w:rStyle w:val="Hyperlink"/>
          </w:rPr>
          <w:t>Решение</w:t>
        </w:r>
        <w:r w:rsidR="00407AA1">
          <w:rPr>
            <w:rStyle w:val="Hyperlink"/>
            <w:lang w:val="fr-FR"/>
          </w:rPr>
          <w:t> </w:t>
        </w:r>
        <w:r w:rsidRPr="00407AA1">
          <w:rPr>
            <w:rStyle w:val="Hyperlink"/>
          </w:rPr>
          <w:t>12.COM 17</w:t>
        </w:r>
      </w:hyperlink>
      <w:r>
        <w:t xml:space="preserve">). </w:t>
      </w:r>
    </w:p>
    <w:p w14:paraId="44568ED1" w14:textId="286BEC3B" w:rsidR="00B718C6" w:rsidRPr="00CA5D4F" w:rsidRDefault="00D04159" w:rsidP="00B718C6">
      <w:pPr>
        <w:pStyle w:val="GAPara"/>
        <w:numPr>
          <w:ilvl w:val="0"/>
          <w:numId w:val="22"/>
        </w:numPr>
        <w:ind w:left="924" w:hanging="357"/>
        <w:jc w:val="both"/>
      </w:pPr>
      <w:r>
        <w:t>На своей четырнадцатой сессии в 2019 году Комитет принял решение сохранить аккредитацию шестидесяти двух из восьмидесяти одной НПО, аккредитованных в ходе третьей сессии Генеральной Ассамблеи в 2010 году, и продленных Комитетом в ходе его десятой сессии в 2015 году, а также НПО, аккредитованных в ходе пятой сессии Генеральной Ассамблеи в 2014 году. В то же время Комитет также принял решение завершить аккредитацию девятнадцати организаций (</w:t>
      </w:r>
      <w:hyperlink r:id="rId15" w:history="1">
        <w:r w:rsidRPr="00407AA1">
          <w:rPr>
            <w:rStyle w:val="Hyperlink"/>
          </w:rPr>
          <w:t>Решение 14.COM 17</w:t>
        </w:r>
      </w:hyperlink>
      <w:r>
        <w:t>).</w:t>
      </w:r>
    </w:p>
    <w:p w14:paraId="2AE60821" w14:textId="5DA3DAFB" w:rsidR="002A49FA" w:rsidRDefault="00345D50" w:rsidP="006D2FCD">
      <w:pPr>
        <w:pStyle w:val="GAPara"/>
        <w:numPr>
          <w:ilvl w:val="0"/>
          <w:numId w:val="19"/>
        </w:numPr>
        <w:ind w:left="567" w:hanging="567"/>
        <w:jc w:val="both"/>
        <w:rPr>
          <w:rFonts w:eastAsia="SimSun"/>
        </w:rPr>
      </w:pPr>
      <w:r>
        <w:t>В результате, в настоящий момент 157 НПО аккредитованы для выполнения консультативных функций в Комитете. Географическое представительство этих НПО выглядит следующим образом: Группа I: 85; Группа II: 16; Группа III: 8; Группа IV: 23; Группа V(a): 19, Группа V(b): 5; как продемонстрировано ниже:</w:t>
      </w:r>
    </w:p>
    <w:p w14:paraId="28DFA195" w14:textId="2646AC2B" w:rsidR="0014784A" w:rsidRPr="002A49FA" w:rsidRDefault="002A49FA" w:rsidP="00123C01">
      <w:pPr>
        <w:keepNext/>
        <w:ind w:right="-57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ab/>
      </w:r>
      <w:r>
        <w:rPr>
          <w:b/>
          <w:noProof/>
          <w:lang w:val="fr-FR"/>
        </w:rPr>
        <w:drawing>
          <wp:inline distT="0" distB="0" distL="0" distR="0" wp14:anchorId="6A642BF2" wp14:editId="29B43609">
            <wp:extent cx="5662295" cy="2838450"/>
            <wp:effectExtent l="0" t="0" r="14605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3B6438D" w14:textId="0E985A29" w:rsidR="00C23143" w:rsidRDefault="00F736AA" w:rsidP="006D2FCD">
      <w:pPr>
        <w:pStyle w:val="GAPara"/>
        <w:numPr>
          <w:ilvl w:val="0"/>
          <w:numId w:val="19"/>
        </w:numPr>
        <w:spacing w:before="240"/>
        <w:ind w:left="567" w:hanging="567"/>
        <w:jc w:val="both"/>
        <w:rPr>
          <w:rFonts w:eastAsia="SimSun"/>
        </w:rPr>
      </w:pPr>
      <w:r>
        <w:t>Кроме того, на четырнадцатой сессии в 2019 году Комитет рассмотрел шестьдесят три новых запроса на аккредитацию, полученных от НПО, и в результате рекомендовал Генеральной Ассамблее аккредитовать тридцать пять из них (</w:t>
      </w:r>
      <w:hyperlink r:id="rId17" w:history="1">
        <w:r w:rsidRPr="00407AA1">
          <w:rPr>
            <w:rStyle w:val="Hyperlink"/>
          </w:rPr>
          <w:t>Решение 14.COM 17</w:t>
        </w:r>
      </w:hyperlink>
      <w:r>
        <w:t>). Эти тридцать пять организаций перечислены в Приложении к проекту резолюции ниже. На веб-сайте Конвенции можно ознакомиться со всеми запросами, которые были представлены своевременно для рассмотрения Комитетом, на языках, на которых они были представлены, а именно, в стандартной Форме ICH-09, которую заполнила каждая организация, вместе с соответствующими дополнительными документами, в отношении пунктов 8.a, 8.b и 8c этой формы.</w:t>
      </w:r>
    </w:p>
    <w:p w14:paraId="49C1EFE5" w14:textId="28408490" w:rsidR="00C93018" w:rsidRDefault="00C93018" w:rsidP="006D2FCD">
      <w:pPr>
        <w:pStyle w:val="GAPara"/>
        <w:numPr>
          <w:ilvl w:val="0"/>
          <w:numId w:val="19"/>
        </w:numPr>
        <w:ind w:left="567" w:hanging="567"/>
        <w:jc w:val="both"/>
        <w:rPr>
          <w:rFonts w:eastAsia="SimSun"/>
        </w:rPr>
      </w:pPr>
      <w:r>
        <w:t xml:space="preserve">На своей седьмой сессии Генеральная Ассамблея призвала НПО, которые отвечают критериям аккредитации, подать заявки на аккредитацию при первой возможности, особенно от стран и регионов с наиболее низким уровнем представительства. На своей четырнадцатой сессии Комитет также подчеркнул важность наиболее широкого возможного участия НПО от недостаточно представленных </w:t>
      </w:r>
      <w:r w:rsidR="00DB294C">
        <w:t>избирательных</w:t>
      </w:r>
      <w:r w:rsidR="00DB294C" w:rsidRPr="00F824A9">
        <w:t xml:space="preserve"> </w:t>
      </w:r>
      <w:r>
        <w:t>групп.</w:t>
      </w:r>
    </w:p>
    <w:p w14:paraId="27C4925B" w14:textId="6A7C4FFC" w:rsidR="00C74108" w:rsidRDefault="00C74108" w:rsidP="004D3AAC">
      <w:pPr>
        <w:pStyle w:val="GAPara"/>
        <w:numPr>
          <w:ilvl w:val="0"/>
          <w:numId w:val="0"/>
        </w:numPr>
        <w:ind w:left="567" w:hanging="567"/>
        <w:jc w:val="both"/>
        <w:rPr>
          <w:rFonts w:eastAsia="SimSun"/>
          <w:b/>
        </w:rPr>
      </w:pPr>
      <w:r>
        <w:rPr>
          <w:b/>
          <w:snapToGrid/>
        </w:rPr>
        <w:t>B.</w:t>
      </w:r>
      <w:r>
        <w:rPr>
          <w:b/>
          <w:snapToGrid/>
        </w:rPr>
        <w:tab/>
        <w:t>Аккредитация НПО, рассмотренная</w:t>
      </w:r>
      <w:r>
        <w:rPr>
          <w:b/>
        </w:rPr>
        <w:t xml:space="preserve"> Комитетом в ходе четырнадцатой сессии</w:t>
      </w:r>
    </w:p>
    <w:p w14:paraId="66B4D672" w14:textId="4796D21C" w:rsidR="00C74108" w:rsidRDefault="004E55AD" w:rsidP="004D3AAC">
      <w:pPr>
        <w:pStyle w:val="GAPara"/>
        <w:numPr>
          <w:ilvl w:val="0"/>
          <w:numId w:val="19"/>
        </w:numPr>
        <w:ind w:left="567" w:hanging="567"/>
        <w:jc w:val="both"/>
        <w:rPr>
          <w:rFonts w:eastAsia="SimSun"/>
        </w:rPr>
      </w:pPr>
      <w:r>
        <w:t xml:space="preserve">Из девятнадцати НПО, для которых Комитет принял решение не сохранять аккредитацию в ходе своей четырнадцатой сессии в 2019 году (см. параграф 2 выше), четырнадцать не </w:t>
      </w:r>
      <w:r w:rsidR="00170EE7">
        <w:t xml:space="preserve">предоставили </w:t>
      </w:r>
      <w:r>
        <w:t xml:space="preserve">свои отчеты за четырехлетний период.  </w:t>
      </w:r>
      <w:r w:rsidR="00170EE7">
        <w:t xml:space="preserve">Организация </w:t>
      </w:r>
      <w:r w:rsidR="00170EE7" w:rsidRPr="00BE6754">
        <w:rPr>
          <w:rFonts w:eastAsia="SimSun"/>
        </w:rPr>
        <w:t>Piraeus Bank Group Cultural Foundation</w:t>
      </w:r>
      <w:r w:rsidR="00170EE7" w:rsidDel="00170EE7">
        <w:t xml:space="preserve"> </w:t>
      </w:r>
      <w:r>
        <w:t>(PIOP) НПО-90287, аккредитованн</w:t>
      </w:r>
      <w:r w:rsidR="00170EE7">
        <w:t>ая</w:t>
      </w:r>
      <w:r>
        <w:t xml:space="preserve"> Генеральной Ассамблеей в 2012 году, </w:t>
      </w:r>
      <w:r w:rsidR="00170EE7">
        <w:t xml:space="preserve">входила </w:t>
      </w:r>
      <w:r>
        <w:t>в эт</w:t>
      </w:r>
      <w:r w:rsidR="00816359">
        <w:t>от список из четырнадцати НПО.</w:t>
      </w:r>
    </w:p>
    <w:p w14:paraId="0C9DCFB3" w14:textId="6D4B1444" w:rsidR="00957565" w:rsidRPr="004D3AAC" w:rsidRDefault="00957565" w:rsidP="004D3AAC">
      <w:pPr>
        <w:pStyle w:val="GAPara"/>
        <w:numPr>
          <w:ilvl w:val="0"/>
          <w:numId w:val="19"/>
        </w:numPr>
        <w:ind w:left="567" w:hanging="567"/>
        <w:jc w:val="both"/>
        <w:rPr>
          <w:rFonts w:ascii="Calibri" w:eastAsia="SimSun" w:hAnsi="Calibri" w:cs="Calibri"/>
        </w:rPr>
      </w:pPr>
      <w:r>
        <w:t xml:space="preserve">Вслед за публикацией </w:t>
      </w:r>
      <w:hyperlink r:id="rId18" w:history="1">
        <w:r w:rsidRPr="00407AA1">
          <w:rPr>
            <w:rStyle w:val="Hyperlink"/>
          </w:rPr>
          <w:t>Решения 14.COM 17</w:t>
        </w:r>
      </w:hyperlink>
      <w:r>
        <w:t xml:space="preserve"> Министерство культуры </w:t>
      </w:r>
      <w:r w:rsidR="00BA2022">
        <w:t xml:space="preserve">и спорта </w:t>
      </w:r>
      <w:r>
        <w:t>Греции довело до сведения Секретариата, что на самом деле PIOP представил свой отчет к конечному сроку 15 февраля 2019 года. В результате рассмотрения электронные письма, отправленные этой НПО в Секретариат, включая письмо с отчетом НПО за четырехлетний период, были обнаружены в папке «Спам» электронной почты Секретариата. Это могло произойти по причине присутствия слова «банк» в адресе эл.почты НПО. Тщательно изучив отчет за четырехлетний период, Секретариат считает, что отчет позволил бы Комитету положительным образом оценить вклад и участие данной организации в его работе. Учитывая административный характер возникшей проблемы, Секретариат предлагает Генеральной Ассамблее провести переаккредитацию PIOP без запроса дополнительной документации. В этой связи в Приложении к данному документу PIOP фигурирует в качестве одной из тридцати шести организаций, которые могут быть аккредитованы Генеральной Ассамблеей в ходе текущей сессии.</w:t>
      </w:r>
    </w:p>
    <w:p w14:paraId="6577F17D" w14:textId="77777777" w:rsidR="008A1ED4" w:rsidRPr="005A4A42" w:rsidRDefault="008A1ED4" w:rsidP="008A1ED4">
      <w:pPr>
        <w:keepNext/>
        <w:numPr>
          <w:ilvl w:val="0"/>
          <w:numId w:val="19"/>
        </w:numPr>
        <w:ind w:left="567" w:hanging="567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Генеральной ассамблее предлагается принять резолюцию следующего содержания:</w:t>
      </w:r>
    </w:p>
    <w:p w14:paraId="457827F2" w14:textId="4B40AA27" w:rsidR="008A1ED4" w:rsidRPr="00407AA1" w:rsidRDefault="00F010E0" w:rsidP="008A1ED4">
      <w:pPr>
        <w:pStyle w:val="GATitleResolution"/>
      </w:pPr>
      <w:r>
        <w:t xml:space="preserve">ПРОЕКТ РЕЗОЛЮЦИИ 8.GA </w:t>
      </w:r>
      <w:r w:rsidR="00DF10A4" w:rsidRPr="00407AA1">
        <w:t>13</w:t>
      </w:r>
    </w:p>
    <w:p w14:paraId="2DA13918" w14:textId="77777777" w:rsidR="008A1ED4" w:rsidRPr="005A4A42" w:rsidRDefault="008A1ED4" w:rsidP="008A1ED4">
      <w:pPr>
        <w:pStyle w:val="GAPreambulaResolution"/>
        <w:rPr>
          <w:rFonts w:eastAsia="SimSun"/>
        </w:rPr>
      </w:pPr>
      <w:r>
        <w:t>Генеральная Ассамблея,</w:t>
      </w:r>
    </w:p>
    <w:p w14:paraId="1D1820D1" w14:textId="0ACC7DFA" w:rsidR="008A1ED4" w:rsidRPr="00345CB4" w:rsidRDefault="008A1ED4" w:rsidP="008A1ED4">
      <w:pPr>
        <w:pStyle w:val="COMParaDecision"/>
        <w:numPr>
          <w:ilvl w:val="0"/>
          <w:numId w:val="10"/>
        </w:numPr>
        <w:ind w:left="1134" w:hanging="567"/>
        <w:jc w:val="left"/>
      </w:pPr>
      <w:r>
        <w:t>Рассмотрев</w:t>
      </w:r>
      <w:r>
        <w:rPr>
          <w:u w:val="none"/>
        </w:rPr>
        <w:t xml:space="preserve"> документ LHE/20/8.GA/</w:t>
      </w:r>
      <w:r w:rsidR="00DF10A4">
        <w:rPr>
          <w:u w:val="none"/>
          <w:lang w:val="en-US"/>
        </w:rPr>
        <w:t>13</w:t>
      </w:r>
      <w:r>
        <w:rPr>
          <w:u w:val="none"/>
        </w:rPr>
        <w:t>,</w:t>
      </w:r>
    </w:p>
    <w:p w14:paraId="41AFB643" w14:textId="7A519569" w:rsidR="008A1ED4" w:rsidRPr="00345CB4" w:rsidRDefault="00170EE7" w:rsidP="008A1ED4">
      <w:pPr>
        <w:pStyle w:val="COMParaDecision"/>
        <w:numPr>
          <w:ilvl w:val="0"/>
          <w:numId w:val="10"/>
        </w:numPr>
        <w:ind w:left="1134" w:hanging="567"/>
        <w:jc w:val="left"/>
      </w:pPr>
      <w:r>
        <w:t>Ссылаясь</w:t>
      </w:r>
      <w:r w:rsidRPr="005A52EB">
        <w:rPr>
          <w:u w:val="none"/>
        </w:rPr>
        <w:t xml:space="preserve"> </w:t>
      </w:r>
      <w:r>
        <w:rPr>
          <w:u w:val="none"/>
        </w:rPr>
        <w:t>на</w:t>
      </w:r>
      <w:r w:rsidRPr="005A52EB">
        <w:rPr>
          <w:u w:val="none"/>
        </w:rPr>
        <w:t xml:space="preserve"> </w:t>
      </w:r>
      <w:r>
        <w:rPr>
          <w:u w:val="none"/>
        </w:rPr>
        <w:t>статью</w:t>
      </w:r>
      <w:r w:rsidRPr="005A52EB">
        <w:rPr>
          <w:u w:val="none"/>
        </w:rPr>
        <w:t xml:space="preserve"> 9 </w:t>
      </w:r>
      <w:r>
        <w:rPr>
          <w:u w:val="none"/>
        </w:rPr>
        <w:t>Конвенции</w:t>
      </w:r>
      <w:r w:rsidRPr="005A52EB">
        <w:rPr>
          <w:u w:val="none"/>
        </w:rPr>
        <w:t xml:space="preserve"> </w:t>
      </w:r>
      <w:r>
        <w:rPr>
          <w:u w:val="none"/>
        </w:rPr>
        <w:t>и</w:t>
      </w:r>
      <w:r w:rsidRPr="005A52EB">
        <w:rPr>
          <w:u w:val="none"/>
        </w:rPr>
        <w:t xml:space="preserve"> </w:t>
      </w:r>
      <w:r>
        <w:rPr>
          <w:u w:val="none"/>
        </w:rPr>
        <w:t>пункты</w:t>
      </w:r>
      <w:r w:rsidRPr="005A52EB">
        <w:rPr>
          <w:u w:val="none"/>
        </w:rPr>
        <w:t xml:space="preserve"> 91-99 </w:t>
      </w:r>
      <w:r>
        <w:rPr>
          <w:u w:val="none"/>
        </w:rPr>
        <w:t>Оперативного</w:t>
      </w:r>
      <w:r w:rsidRPr="005A52EB">
        <w:rPr>
          <w:u w:val="none"/>
        </w:rPr>
        <w:t xml:space="preserve"> </w:t>
      </w:r>
      <w:r>
        <w:rPr>
          <w:u w:val="none"/>
        </w:rPr>
        <w:t>руководства</w:t>
      </w:r>
      <w:r w:rsidR="008A1ED4">
        <w:rPr>
          <w:u w:val="none"/>
        </w:rPr>
        <w:t>,</w:t>
      </w:r>
    </w:p>
    <w:p w14:paraId="0CEFF4FF" w14:textId="26A7267F" w:rsidR="008A1ED4" w:rsidRPr="00345CB4" w:rsidRDefault="00170EE7" w:rsidP="002A48D6">
      <w:pPr>
        <w:pStyle w:val="COMParaDecision"/>
        <w:numPr>
          <w:ilvl w:val="0"/>
          <w:numId w:val="10"/>
        </w:numPr>
        <w:ind w:left="1134" w:hanging="567"/>
      </w:pPr>
      <w:r>
        <w:t>Ссылаясь также</w:t>
      </w:r>
      <w:r w:rsidRPr="00C941B2">
        <w:rPr>
          <w:u w:val="none"/>
        </w:rPr>
        <w:t xml:space="preserve"> </w:t>
      </w:r>
      <w:r>
        <w:rPr>
          <w:u w:val="none"/>
        </w:rPr>
        <w:t xml:space="preserve">на </w:t>
      </w:r>
      <w:hyperlink r:id="rId19" w:history="1">
        <w:r w:rsidRPr="00407AA1">
          <w:rPr>
            <w:rStyle w:val="Hyperlink"/>
          </w:rPr>
          <w:t>р</w:t>
        </w:r>
        <w:r w:rsidR="008A1ED4" w:rsidRPr="00407AA1">
          <w:rPr>
            <w:rStyle w:val="Hyperlink"/>
          </w:rPr>
          <w:t>ешени</w:t>
        </w:r>
        <w:r w:rsidRPr="00407AA1">
          <w:rPr>
            <w:rStyle w:val="Hyperlink"/>
          </w:rPr>
          <w:t>е</w:t>
        </w:r>
        <w:r w:rsidR="008A1ED4" w:rsidRPr="00407AA1">
          <w:rPr>
            <w:rStyle w:val="Hyperlink"/>
          </w:rPr>
          <w:t xml:space="preserve"> 14.COM 17</w:t>
        </w:r>
      </w:hyperlink>
      <w:r w:rsidR="008A1ED4">
        <w:rPr>
          <w:u w:val="none"/>
        </w:rPr>
        <w:t>,</w:t>
      </w:r>
    </w:p>
    <w:p w14:paraId="6C968724" w14:textId="757C8C88" w:rsidR="008A1ED4" w:rsidRPr="00345CB4" w:rsidRDefault="008A1ED4" w:rsidP="002A48D6">
      <w:pPr>
        <w:pStyle w:val="COMParaDecision"/>
        <w:numPr>
          <w:ilvl w:val="0"/>
          <w:numId w:val="10"/>
        </w:numPr>
        <w:ind w:left="1134" w:hanging="567"/>
      </w:pPr>
      <w:r>
        <w:t>Аккредитует</w:t>
      </w:r>
      <w:r>
        <w:rPr>
          <w:u w:val="none"/>
        </w:rPr>
        <w:t xml:space="preserve"> тридцать шесть НПО, перечисленных в Приложении к данной резолюции, </w:t>
      </w:r>
      <w:r w:rsidR="00DB294C">
        <w:rPr>
          <w:u w:val="none"/>
        </w:rPr>
        <w:t>для</w:t>
      </w:r>
      <w:r w:rsidR="00DB294C" w:rsidRPr="00C941B2">
        <w:rPr>
          <w:u w:val="none"/>
        </w:rPr>
        <w:t xml:space="preserve"> </w:t>
      </w:r>
      <w:r w:rsidR="00DB294C">
        <w:rPr>
          <w:u w:val="none"/>
        </w:rPr>
        <w:t>выполнения консультативных функций по отношению к Комитету</w:t>
      </w:r>
      <w:r>
        <w:rPr>
          <w:u w:val="none"/>
        </w:rPr>
        <w:t>;</w:t>
      </w:r>
    </w:p>
    <w:p w14:paraId="65CB6C3B" w14:textId="362725F9" w:rsidR="008A1ED4" w:rsidRPr="00345CB4" w:rsidRDefault="002A48D6" w:rsidP="002A48D6">
      <w:pPr>
        <w:pStyle w:val="COMParaDecision"/>
        <w:numPr>
          <w:ilvl w:val="0"/>
          <w:numId w:val="10"/>
        </w:numPr>
        <w:ind w:left="1134" w:hanging="567"/>
      </w:pPr>
      <w:r>
        <w:t>Призывает</w:t>
      </w:r>
      <w:r>
        <w:rPr>
          <w:u w:val="none"/>
        </w:rPr>
        <w:t xml:space="preserve"> НПО из числа недостаточно представленных </w:t>
      </w:r>
      <w:r w:rsidR="00DB294C">
        <w:rPr>
          <w:u w:val="none"/>
        </w:rPr>
        <w:t>избирательных</w:t>
      </w:r>
      <w:r w:rsidR="00DB294C" w:rsidRPr="00F824A9">
        <w:rPr>
          <w:u w:val="none"/>
        </w:rPr>
        <w:t xml:space="preserve"> </w:t>
      </w:r>
      <w:r>
        <w:rPr>
          <w:u w:val="none"/>
        </w:rPr>
        <w:t xml:space="preserve">групп, которые отвечают критериям аккредитации, </w:t>
      </w:r>
      <w:r w:rsidR="00DB294C">
        <w:rPr>
          <w:u w:val="none"/>
        </w:rPr>
        <w:t>как</w:t>
      </w:r>
      <w:r w:rsidR="00DB294C" w:rsidRPr="00F824A9">
        <w:rPr>
          <w:u w:val="none"/>
        </w:rPr>
        <w:t xml:space="preserve"> </w:t>
      </w:r>
      <w:r w:rsidR="00DB294C">
        <w:rPr>
          <w:u w:val="none"/>
        </w:rPr>
        <w:t>можно</w:t>
      </w:r>
      <w:r w:rsidR="00DB294C" w:rsidRPr="00F824A9">
        <w:rPr>
          <w:u w:val="none"/>
        </w:rPr>
        <w:t xml:space="preserve"> </w:t>
      </w:r>
      <w:r w:rsidR="00DB294C">
        <w:rPr>
          <w:u w:val="none"/>
        </w:rPr>
        <w:t>быстрее</w:t>
      </w:r>
      <w:r w:rsidR="00DB294C" w:rsidRPr="00F824A9">
        <w:rPr>
          <w:u w:val="none"/>
        </w:rPr>
        <w:t xml:space="preserve"> </w:t>
      </w:r>
      <w:r>
        <w:rPr>
          <w:u w:val="none"/>
        </w:rPr>
        <w:t xml:space="preserve">представить свои запросы на аккредитацию, в целях улучшения географического распределения аккредитованных НПО, и </w:t>
      </w:r>
      <w:r w:rsidRPr="00816359">
        <w:t>предлагает</w:t>
      </w:r>
      <w:r>
        <w:rPr>
          <w:u w:val="none"/>
        </w:rPr>
        <w:t xml:space="preserve"> государствам-участникам из числа этих </w:t>
      </w:r>
      <w:r w:rsidR="00DB294C">
        <w:rPr>
          <w:u w:val="none"/>
        </w:rPr>
        <w:t>избирательных</w:t>
      </w:r>
      <w:r w:rsidR="00DB294C" w:rsidRPr="00F824A9">
        <w:rPr>
          <w:u w:val="none"/>
        </w:rPr>
        <w:t xml:space="preserve"> </w:t>
      </w:r>
      <w:r>
        <w:rPr>
          <w:u w:val="none"/>
        </w:rPr>
        <w:t xml:space="preserve">групп </w:t>
      </w:r>
      <w:r w:rsidR="00DB294C">
        <w:rPr>
          <w:u w:val="none"/>
        </w:rPr>
        <w:t xml:space="preserve">максимально широко ознакомить с настоящим призывом </w:t>
      </w:r>
      <w:r>
        <w:rPr>
          <w:u w:val="none"/>
        </w:rPr>
        <w:t xml:space="preserve">НПО, </w:t>
      </w:r>
      <w:r w:rsidR="00DB294C">
        <w:rPr>
          <w:u w:val="none"/>
        </w:rPr>
        <w:t xml:space="preserve">действующие </w:t>
      </w:r>
      <w:r>
        <w:rPr>
          <w:u w:val="none"/>
        </w:rPr>
        <w:t>на их территориях;</w:t>
      </w:r>
    </w:p>
    <w:p w14:paraId="480412E3" w14:textId="16E88532" w:rsidR="008A1ED4" w:rsidRPr="00CA5D4F" w:rsidRDefault="002A48D6" w:rsidP="00816359">
      <w:pPr>
        <w:pStyle w:val="COMParaDecision"/>
        <w:numPr>
          <w:ilvl w:val="0"/>
          <w:numId w:val="10"/>
        </w:numPr>
        <w:ind w:left="1134" w:hanging="567"/>
      </w:pPr>
      <w:r>
        <w:t>Приглашает</w:t>
      </w:r>
      <w:r>
        <w:rPr>
          <w:u w:val="none"/>
        </w:rPr>
        <w:t xml:space="preserve"> НПО, аккредитованные в 2012 и в 2016 гг., представить Секретариату свои отчеты за четырехлетний период, в срок до 15 февраля 2021 г., чтобы Комитет мог рассмотреть в ходе своей шестнадцатой сессии вклад и </w:t>
      </w:r>
      <w:r w:rsidR="00DB294C">
        <w:rPr>
          <w:u w:val="none"/>
        </w:rPr>
        <w:t xml:space="preserve">приверженность каждой консультативной </w:t>
      </w:r>
      <w:r>
        <w:rPr>
          <w:u w:val="none"/>
        </w:rPr>
        <w:t>организации.</w:t>
      </w:r>
    </w:p>
    <w:p w14:paraId="6A8A1D1E" w14:textId="4F8BEDBA" w:rsidR="00CA5D4F" w:rsidRDefault="00CA5D4F">
      <w:pPr>
        <w:rPr>
          <w:rFonts w:ascii="Arial" w:eastAsia="SimSun" w:hAnsi="Arial" w:cs="Arial"/>
          <w:sz w:val="22"/>
          <w:szCs w:val="22"/>
          <w:u w:val="single"/>
        </w:rPr>
      </w:pPr>
      <w:bookmarkStart w:id="0" w:name="_GoBack"/>
      <w:bookmarkEnd w:id="0"/>
      <w:r>
        <w:br w:type="page"/>
      </w:r>
    </w:p>
    <w:p w14:paraId="4C01400A" w14:textId="31DBD48B" w:rsidR="00CA5D4F" w:rsidRDefault="00CA5D4F" w:rsidP="00CA5D4F">
      <w:pPr>
        <w:pStyle w:val="5GAparabodytext"/>
        <w:ind w:left="0" w:firstLine="0"/>
        <w:jc w:val="center"/>
        <w:rPr>
          <w:b/>
        </w:rPr>
      </w:pPr>
      <w:r>
        <w:rPr>
          <w:b/>
        </w:rPr>
        <w:lastRenderedPageBreak/>
        <w:t>ПРИЛОЖЕНИЕ</w:t>
      </w:r>
    </w:p>
    <w:p w14:paraId="67028E01" w14:textId="77777777" w:rsidR="00CA5D4F" w:rsidRPr="00B10A85" w:rsidRDefault="00CA5D4F" w:rsidP="00CA5D4F">
      <w:pPr>
        <w:pStyle w:val="ListParagraph"/>
        <w:keepNext/>
        <w:spacing w:before="120" w:after="240"/>
        <w:ind w:left="0"/>
        <w:jc w:val="center"/>
        <w:rPr>
          <w:b/>
        </w:rPr>
      </w:pPr>
      <w:r>
        <w:rPr>
          <w:rFonts w:ascii="Arial" w:hAnsi="Arial"/>
          <w:b/>
          <w:sz w:val="22"/>
          <w:szCs w:val="22"/>
        </w:rPr>
        <w:t>Неправительственные организации, рекомендованные для аккредитации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8"/>
        <w:gridCol w:w="2370"/>
        <w:gridCol w:w="1759"/>
      </w:tblGrid>
      <w:tr w:rsidR="00CA5D4F" w:rsidRPr="00D1780C" w14:paraId="12B29208" w14:textId="77777777" w:rsidTr="00816359">
        <w:trPr>
          <w:trHeight w:val="164"/>
        </w:trPr>
        <w:tc>
          <w:tcPr>
            <w:tcW w:w="2826" w:type="pct"/>
            <w:shd w:val="clear" w:color="auto" w:fill="808080" w:themeFill="background1" w:themeFillShade="80"/>
            <w:vAlign w:val="center"/>
            <w:hideMark/>
          </w:tcPr>
          <w:p w14:paraId="680EBC6A" w14:textId="77777777" w:rsidR="00CA5D4F" w:rsidRPr="0046644C" w:rsidRDefault="00CA5D4F" w:rsidP="008929F3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Название организации</w:t>
            </w:r>
          </w:p>
        </w:tc>
        <w:tc>
          <w:tcPr>
            <w:tcW w:w="1248" w:type="pct"/>
            <w:shd w:val="clear" w:color="auto" w:fill="808080" w:themeFill="background1" w:themeFillShade="80"/>
            <w:vAlign w:val="center"/>
            <w:hideMark/>
          </w:tcPr>
          <w:p w14:paraId="185F189C" w14:textId="77777777" w:rsidR="00CA5D4F" w:rsidRPr="0046644C" w:rsidRDefault="00CA5D4F" w:rsidP="008929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Страна, в которой расположена штаб-квартира</w:t>
            </w:r>
          </w:p>
        </w:tc>
        <w:tc>
          <w:tcPr>
            <w:tcW w:w="926" w:type="pct"/>
            <w:shd w:val="clear" w:color="auto" w:fill="808080" w:themeFill="background1" w:themeFillShade="80"/>
            <w:vAlign w:val="center"/>
            <w:hideMark/>
          </w:tcPr>
          <w:p w14:paraId="133FD3F1" w14:textId="714A8A6E" w:rsidR="00CA5D4F" w:rsidRPr="0046644C" w:rsidRDefault="00CA5D4F" w:rsidP="008929F3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Номер </w:t>
            </w:r>
            <w:r w:rsidR="00FB389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заявки</w:t>
            </w:r>
          </w:p>
        </w:tc>
      </w:tr>
      <w:tr w:rsidR="00697921" w:rsidRPr="00D1780C" w14:paraId="5AB70A87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98E956" w14:textId="53AD91CD" w:rsidR="00697921" w:rsidRPr="001A69E4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BAIM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03C7D6D" w14:textId="3C02C573" w:rsidR="00697921" w:rsidRPr="001A69E4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Маврикий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BA4C218" w14:textId="390AAAAE" w:rsidR="00697921" w:rsidRPr="001A69E4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0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NGO-90443</w:t>
              </w:r>
            </w:hyperlink>
          </w:p>
        </w:tc>
      </w:tr>
      <w:tr w:rsidR="00697921" w:rsidRPr="00D1780C" w14:paraId="2EACA098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996AE" w14:textId="44BF386B" w:rsidR="00697921" w:rsidRPr="001A69E4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Association Culturelle Passate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643A4" w14:textId="1D4B7523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Буркина-Фасо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DA76C" w14:textId="3D200475" w:rsidR="00697921" w:rsidRPr="001A69E4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1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NGO-90450</w:t>
              </w:r>
            </w:hyperlink>
          </w:p>
        </w:tc>
      </w:tr>
      <w:tr w:rsidR="00697921" w:rsidRPr="00D1780C" w14:paraId="1079DE53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EED29" w14:textId="76E43DA1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Association House of Batana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D2D17" w14:textId="44F6FA76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Хорватия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7941D" w14:textId="13D82A61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2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NGO-90457</w:t>
              </w:r>
            </w:hyperlink>
          </w:p>
        </w:tc>
      </w:tr>
      <w:tr w:rsidR="00697921" w:rsidRPr="00D1780C" w14:paraId="6BCDC247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CA5EA" w14:textId="2D1D44BF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Association Mamelomaso (MM)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5B782" w14:textId="70C74997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Мадагаскар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DC439" w14:textId="00232A7E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3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NGO-90419</w:t>
              </w:r>
            </w:hyperlink>
          </w:p>
        </w:tc>
      </w:tr>
      <w:tr w:rsidR="00697921" w:rsidRPr="00D1780C" w14:paraId="574626A8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DA6F2" w14:textId="2A2907F2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407AA1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Association Recherche Histoire et Patrimoine de l’Oriental Marocain (ARHPOM)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A48AF" w14:textId="5F3E255D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Марокко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3594F" w14:textId="0EBE533E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4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NGO-90470</w:t>
              </w:r>
            </w:hyperlink>
          </w:p>
        </w:tc>
      </w:tr>
      <w:tr w:rsidR="00697921" w:rsidRPr="00A30707" w14:paraId="2C8E678F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11286" w14:textId="44B60792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3070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Bavarian association for cultural he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ritage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0881B" w14:textId="42D4DDAB" w:rsidR="00697921" w:rsidRPr="00A30707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Германия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23D17" w14:textId="3C5CC12D" w:rsidR="00697921" w:rsidRPr="00A30707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5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NGO-90438</w:t>
              </w:r>
            </w:hyperlink>
          </w:p>
        </w:tc>
      </w:tr>
      <w:tr w:rsidR="00697921" w:rsidRPr="00A30707" w14:paraId="5DC12B8D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50B9D" w14:textId="164D4C1A" w:rsidR="00697921" w:rsidRPr="00A30707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Bonairean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Historical Cultural Foundation FUHIKUBO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B74A7" w14:textId="58DF1AC4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Нидерланды</w:t>
            </w:r>
          </w:p>
          <w:p w14:paraId="654B6F15" w14:textId="39315B15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(Бонэйр)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16BCC" w14:textId="3907191E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6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NGO-90466</w:t>
              </w:r>
            </w:hyperlink>
          </w:p>
        </w:tc>
      </w:tr>
      <w:tr w:rsidR="00697921" w:rsidRPr="00A30707" w14:paraId="30AD07CA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65874" w14:textId="2E6D2FAD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Carrefour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mondial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l’accordéon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C4E21" w14:textId="6A01638C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E28B9" w14:textId="2DBBE6C6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7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NGO-90439</w:t>
              </w:r>
            </w:hyperlink>
          </w:p>
        </w:tc>
      </w:tr>
      <w:tr w:rsidR="00697921" w:rsidRPr="00A30707" w14:paraId="7D91853C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114E93" w14:textId="563BC601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Centre for Black Culture and International Understanding, Osogbo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03990" w14:textId="7F6A4B5E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Нигерия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D3330" w14:textId="03B6297E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8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NGO-90423</w:t>
              </w:r>
            </w:hyperlink>
          </w:p>
        </w:tc>
      </w:tr>
      <w:tr w:rsidR="00697921" w:rsidRPr="00A30707" w14:paraId="24C4F499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2D6E3" w14:textId="4E27F6AB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Crafts of Chile Foundation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A8FA5" w14:textId="38D299B2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Чили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563DE" w14:textId="24E444CF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29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NGO-90458</w:t>
              </w:r>
            </w:hyperlink>
          </w:p>
        </w:tc>
      </w:tr>
      <w:tr w:rsidR="00697921" w:rsidRPr="00A30707" w14:paraId="3C7B378B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1F4DE" w14:textId="34056819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Cultural and Community Organization NAKS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B96F4" w14:textId="6FDCA53F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Суринам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AF239" w14:textId="34581165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0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NGO-90444</w:t>
              </w:r>
            </w:hyperlink>
          </w:p>
        </w:tc>
      </w:tr>
      <w:tr w:rsidR="00697921" w:rsidRPr="00A30707" w14:paraId="72F76172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19E29" w14:textId="4E774619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Culture –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Développement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(CUL.DEV)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D6003" w14:textId="3E504B20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Того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93A1F" w14:textId="67692375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1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NGO-90454</w:t>
              </w:r>
            </w:hyperlink>
          </w:p>
        </w:tc>
      </w:tr>
      <w:tr w:rsidR="00697921" w:rsidRPr="00A30707" w14:paraId="103622B9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93E23" w14:textId="1351DA58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Development Centre ‘Democracy through culture’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19616" w14:textId="23A48914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Украина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7ADDE" w14:textId="679CB969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2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NGO-90421</w:t>
              </w:r>
            </w:hyperlink>
          </w:p>
        </w:tc>
      </w:tr>
      <w:tr w:rsidR="00697921" w:rsidRPr="00A30707" w14:paraId="50E0A966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45EA8" w14:textId="79FBDA53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Ethnographic Centre of the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Campane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Islands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05841" w14:textId="29AD394E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Италия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68DF4" w14:textId="4C6B4825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3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NGO-90462</w:t>
              </w:r>
            </w:hyperlink>
          </w:p>
        </w:tc>
      </w:tr>
      <w:tr w:rsidR="00697921" w:rsidRPr="00A30707" w14:paraId="4687B28C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5FF1B" w14:textId="4DF398D7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Finnish Crafts Organization Taito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865BB" w14:textId="7D72A2EF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Финляндия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3963E" w14:textId="17813356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4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NGO-90436</w:t>
              </w:r>
            </w:hyperlink>
          </w:p>
        </w:tc>
      </w:tr>
      <w:tr w:rsidR="00697921" w:rsidRPr="00A30707" w14:paraId="4E716B72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D15E8" w14:textId="153B3F28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Foundation Museum Tula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E3AD9" w14:textId="2E44BDB3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Кюрасао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4814F" w14:textId="23B60EAE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5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NGO-90460</w:t>
              </w:r>
            </w:hyperlink>
          </w:p>
        </w:tc>
      </w:tr>
      <w:tr w:rsidR="00697921" w:rsidRPr="00A30707" w14:paraId="4C245D59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CC496" w14:textId="73F4E60B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Hazarashen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– Armenian Centre for Ethnological Studies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E6F28" w14:textId="77A7E199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Армения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B2201" w14:textId="2365BE5F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6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NGO-90431</w:t>
              </w:r>
            </w:hyperlink>
          </w:p>
        </w:tc>
      </w:tr>
      <w:tr w:rsidR="00697921" w:rsidRPr="00A30707" w14:paraId="31A98F98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2692D" w14:textId="152A1A5A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Heritage Saskatchewan Alliance Inc.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9DF6E" w14:textId="5FE888CC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D5101" w14:textId="20413E31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7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NGO-90437</w:t>
              </w:r>
            </w:hyperlink>
          </w:p>
        </w:tc>
      </w:tr>
      <w:tr w:rsidR="00697921" w:rsidRPr="00A30707" w14:paraId="538EB483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826BD" w14:textId="0B41A6F8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Institut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Tshakapesh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2D616" w14:textId="6C304940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BD107" w14:textId="2F485131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8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NGO-90474</w:t>
              </w:r>
            </w:hyperlink>
          </w:p>
        </w:tc>
      </w:tr>
      <w:tr w:rsidR="00697921" w:rsidRPr="00A30707" w14:paraId="2518BDD7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B4187" w14:textId="70AF3B60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Les Forges de Montréal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DE009" w14:textId="0562F4C1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8AD2E" w14:textId="63AEFE3E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39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NGO-90472</w:t>
              </w:r>
            </w:hyperlink>
          </w:p>
        </w:tc>
      </w:tr>
      <w:tr w:rsidR="00697921" w:rsidRPr="00DE12E7" w14:paraId="3458062E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C2809" w14:textId="7C6082BD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407AA1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Maison de la Culture Yiddish – Bibliothèque MEDEM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89CD6" w14:textId="738AF599" w:rsidR="00697921" w:rsidRPr="00DE12E7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Франция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5A717" w14:textId="35D62786" w:rsidR="00697921" w:rsidRPr="00DE12E7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0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NGO-90451</w:t>
              </w:r>
            </w:hyperlink>
          </w:p>
        </w:tc>
      </w:tr>
      <w:tr w:rsidR="00697921" w:rsidRPr="00DE12E7" w14:paraId="3DFC2235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84495" w14:textId="1D848047" w:rsidR="00697921" w:rsidRPr="00DE12E7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Norwegian Ship Preservation Association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BB0E3" w14:textId="5C708375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Норвегия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DED7A" w14:textId="511EA337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1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NGO-90448</w:t>
              </w:r>
            </w:hyperlink>
          </w:p>
        </w:tc>
      </w:tr>
      <w:tr w:rsidR="00697921" w:rsidRPr="00DE12E7" w14:paraId="23E4932A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11A30" w14:textId="7F39E1C1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Nubian Heritage Society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687B1" w14:textId="5D48E9F9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Египет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06CA4" w14:textId="7E852CE4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2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NGO-90446</w:t>
              </w:r>
            </w:hyperlink>
          </w:p>
        </w:tc>
      </w:tr>
      <w:tr w:rsidR="00697921" w:rsidRPr="00DE12E7" w14:paraId="1C432450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8EC3" w14:textId="6A96B1A1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Pacific Traditions Society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0B891" w14:textId="01F02D2E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Соединенные Штаты Америки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55177" w14:textId="7611817F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3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NGO-90425</w:t>
              </w:r>
            </w:hyperlink>
          </w:p>
        </w:tc>
      </w:tr>
      <w:tr w:rsidR="00697921" w:rsidRPr="00567312" w14:paraId="15ADCDAE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71D78" w14:textId="6A6CE6FC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673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Persian Garden Institute for 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iving Heritage (PGILH)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2754A" w14:textId="69741B55" w:rsidR="00697921" w:rsidRPr="00567312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Исламская Республика Ислам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2A528C" w14:textId="15DF6CAB" w:rsidR="00697921" w:rsidRPr="00567312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4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NGO-90433</w:t>
              </w:r>
            </w:hyperlink>
          </w:p>
        </w:tc>
      </w:tr>
      <w:tr w:rsidR="00697921" w:rsidRPr="00567312" w14:paraId="59B485F3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F5130" w14:textId="17EF6376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D3AA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Piraeus Bank Group Cultural Foundation (PIOP)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A60BF" w14:textId="3928A5CA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Греция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E7612" w14:textId="5D52BDB1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5" w:history="1">
              <w:r w:rsidR="00697921" w:rsidRPr="00E022CF">
                <w:rPr>
                  <w:rStyle w:val="Hyperlink"/>
                  <w:rFonts w:ascii="Arial" w:hAnsi="Arial" w:cs="Arial"/>
                  <w:sz w:val="22"/>
                  <w:szCs w:val="22"/>
                </w:rPr>
                <w:t>NGO-90287</w:t>
              </w:r>
            </w:hyperlink>
          </w:p>
        </w:tc>
      </w:tr>
      <w:tr w:rsidR="00697921" w:rsidRPr="00567312" w14:paraId="392BB222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20AA4" w14:textId="55C75213" w:rsidR="00697921" w:rsidRPr="00567312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Portuguese Folklore Federation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F3781" w14:textId="0A07B7CC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Португалия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12881" w14:textId="2E9861D4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6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NGO-90447</w:t>
              </w:r>
            </w:hyperlink>
          </w:p>
        </w:tc>
      </w:tr>
      <w:tr w:rsidR="00697921" w:rsidRPr="00567312" w14:paraId="63C3C117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58729" w14:textId="67572D3A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Public Found ‘Rural Development Found’ (RDF)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EE65E" w14:textId="65BBDF9E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Кыргызстан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88003" w14:textId="0E4ECFC7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7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NGO-90441</w:t>
              </w:r>
            </w:hyperlink>
          </w:p>
        </w:tc>
      </w:tr>
      <w:tr w:rsidR="00697921" w:rsidRPr="005A329E" w14:paraId="0BBB7D5E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3E184" w14:textId="7B56E27E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Rupayan</w:t>
            </w:r>
            <w:proofErr w:type="spellEnd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Sansthan</w:t>
            </w:r>
            <w:proofErr w:type="spellEnd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(Rajasthan Institute of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Folklore)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F5521" w14:textId="2AA61063" w:rsidR="00697921" w:rsidRPr="005A329E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Индия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1941B" w14:textId="24C092BB" w:rsidR="00697921" w:rsidRPr="005A329E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8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NGO-90459</w:t>
              </w:r>
            </w:hyperlink>
          </w:p>
        </w:tc>
      </w:tr>
      <w:tr w:rsidR="00697921" w:rsidRPr="005A329E" w14:paraId="2E2C314D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3A396" w14:textId="66B25A23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Saudi Heritage Preservation Society (SHPS)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78770" w14:textId="2FEC5A45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Саудовская Аравия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39446" w14:textId="7E765579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9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NGO-90473</w:t>
              </w:r>
            </w:hyperlink>
          </w:p>
        </w:tc>
      </w:tr>
      <w:tr w:rsidR="00697921" w:rsidRPr="00B37CAC" w14:paraId="5388B212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46D46" w14:textId="37B984EF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Sadhona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– Center for Advancement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Southasian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Culture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0DE70" w14:textId="258E99EE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Бангладеш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23784" w14:textId="242E1F2A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0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NGO-90420</w:t>
              </w:r>
            </w:hyperlink>
          </w:p>
        </w:tc>
      </w:tr>
      <w:tr w:rsidR="00697921" w:rsidRPr="00B37CAC" w14:paraId="3F5BF502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BF7CC" w14:textId="2A897556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Association for Cultural Equity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E01B5" w14:textId="149A82F3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Соединенные Штаты Америки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46A39" w14:textId="5E5A3BBA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1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NGO-90455</w:t>
              </w:r>
            </w:hyperlink>
          </w:p>
        </w:tc>
      </w:tr>
      <w:tr w:rsidR="00697921" w:rsidRPr="00B37CAC" w14:paraId="15BC634D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CB574" w14:textId="0AEEA782" w:rsidR="00697921" w:rsidRPr="00407AA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Eel Coast Cultural Heritage NGO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A0BD1" w14:textId="4F5A4434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Швеция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42141" w14:textId="3E68976D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2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NGO-90428</w:t>
              </w:r>
            </w:hyperlink>
          </w:p>
        </w:tc>
      </w:tr>
      <w:tr w:rsidR="00697921" w:rsidRPr="00B37CAC" w14:paraId="32EAFD19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FBE4C" w14:textId="009CE95E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Taghzym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Public Fund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41644" w14:textId="24C0C4F2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Казахстан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71270" w14:textId="28D2AD4E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3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NGO-90434</w:t>
              </w:r>
            </w:hyperlink>
          </w:p>
        </w:tc>
      </w:tr>
      <w:tr w:rsidR="00697921" w:rsidRPr="00B37CAC" w14:paraId="62DABE27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8441B" w14:textId="1EB16509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World Crafts Council AISBL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9AA23" w14:textId="1E139AE7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Соединенное Королевство Великобритании и Северной Ирландии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0AA87" w14:textId="3C35E53A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4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NGO-90435</w:t>
              </w:r>
            </w:hyperlink>
          </w:p>
        </w:tc>
      </w:tr>
      <w:tr w:rsidR="00697921" w:rsidRPr="00B37CAC" w14:paraId="0C40C0BC" w14:textId="77777777" w:rsidTr="00816359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7EDCB" w14:textId="167DD25B" w:rsidR="00697921" w:rsidRDefault="00697921" w:rsidP="006979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World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Ethnosport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Society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A275D" w14:textId="7ECB5477" w:rsidR="00697921" w:rsidRDefault="00697921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Латвия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4F17B" w14:textId="0DE9A1F4" w:rsidR="00697921" w:rsidRDefault="00DC43F5" w:rsidP="0069792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5" w:history="1">
              <w:r w:rsidR="00697921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NGO-90478</w:t>
              </w:r>
            </w:hyperlink>
          </w:p>
        </w:tc>
      </w:tr>
    </w:tbl>
    <w:p w14:paraId="5F55672E" w14:textId="77777777" w:rsidR="008A1ED4" w:rsidRPr="005A329E" w:rsidRDefault="008A1ED4" w:rsidP="008A1ED4">
      <w:pPr>
        <w:spacing w:after="120"/>
        <w:jc w:val="both"/>
        <w:rPr>
          <w:rFonts w:ascii="Arial" w:hAnsi="Arial" w:cs="Arial"/>
          <w:snapToGrid w:val="0"/>
          <w:sz w:val="22"/>
          <w:szCs w:val="22"/>
          <w:lang w:val="en-US" w:eastAsia="en-US"/>
        </w:rPr>
      </w:pPr>
    </w:p>
    <w:sectPr w:rsidR="008A1ED4" w:rsidRPr="005A329E" w:rsidSect="00B718C6">
      <w:headerReference w:type="even" r:id="rId56"/>
      <w:headerReference w:type="default" r:id="rId57"/>
      <w:headerReference w:type="first" r:id="rId58"/>
      <w:pgSz w:w="11906" w:h="16838" w:code="9"/>
      <w:pgMar w:top="1418" w:right="1134" w:bottom="1077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04B2F" w14:textId="77777777" w:rsidR="00490B01" w:rsidRDefault="00490B01" w:rsidP="00655736">
      <w:r>
        <w:separator/>
      </w:r>
    </w:p>
  </w:endnote>
  <w:endnote w:type="continuationSeparator" w:id="0">
    <w:p w14:paraId="5551B071" w14:textId="77777777" w:rsidR="00490B01" w:rsidRDefault="00490B01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383A6" w14:textId="77777777" w:rsidR="00490B01" w:rsidRDefault="00490B01" w:rsidP="00655736">
      <w:r>
        <w:separator/>
      </w:r>
    </w:p>
  </w:footnote>
  <w:footnote w:type="continuationSeparator" w:id="0">
    <w:p w14:paraId="7DDBAE3E" w14:textId="77777777" w:rsidR="00490B01" w:rsidRDefault="00490B01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38C5A" w14:textId="69AD9476" w:rsidR="00D95C4C" w:rsidRPr="00C23A97" w:rsidRDefault="006F41B4">
    <w:pPr>
      <w:pStyle w:val="Header"/>
      <w:rPr>
        <w:rFonts w:ascii="Arial" w:hAnsi="Arial" w:cs="Arial"/>
      </w:rPr>
    </w:pPr>
    <w:r>
      <w:rPr>
        <w:rFonts w:ascii="Arial" w:hAnsi="Arial"/>
        <w:sz w:val="20"/>
        <w:szCs w:val="20"/>
      </w:rPr>
      <w:t>LHE/20/8.GA/</w:t>
    </w:r>
    <w:r w:rsidR="00DF10A4">
      <w:rPr>
        <w:rFonts w:ascii="Arial" w:hAnsi="Arial"/>
        <w:sz w:val="20"/>
        <w:szCs w:val="20"/>
        <w:lang w:val="en-US"/>
      </w:rPr>
      <w:t>13</w:t>
    </w:r>
    <w:r w:rsidR="00DF10A4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 xml:space="preserve">– страница </w: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separate"/>
    </w:r>
    <w:r w:rsidR="00DC43F5">
      <w:rPr>
        <w:rStyle w:val="PageNumber"/>
        <w:rFonts w:ascii="Arial" w:hAnsi="Arial" w:cs="Arial"/>
        <w:noProof/>
        <w:sz w:val="20"/>
        <w:szCs w:val="20"/>
      </w:rPr>
      <w:t>4</w:t>
    </w:r>
    <w:r w:rsidR="00D95C4C" w:rsidRPr="00C23A97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34995" w14:textId="09868739" w:rsidR="00D95C4C" w:rsidRPr="0063300C" w:rsidRDefault="00407AA1" w:rsidP="0063300C">
    <w:pPr>
      <w:pStyle w:val="Header"/>
      <w:jc w:val="right"/>
      <w:rPr>
        <w:rFonts w:ascii="Arial" w:hAnsi="Arial" w:cs="Arial"/>
      </w:rPr>
    </w:pPr>
    <w:r>
      <w:rPr>
        <w:rFonts w:ascii="Arial" w:hAnsi="Arial"/>
        <w:sz w:val="20"/>
        <w:szCs w:val="20"/>
        <w:lang w:val="fr-FR"/>
      </w:rPr>
      <w:t>LHE/20</w:t>
    </w:r>
    <w:r w:rsidR="00B96B09">
      <w:rPr>
        <w:rFonts w:ascii="Arial" w:hAnsi="Arial"/>
        <w:sz w:val="20"/>
        <w:szCs w:val="20"/>
      </w:rPr>
      <w:t>/</w:t>
    </w:r>
    <w:r>
      <w:rPr>
        <w:rFonts w:ascii="Arial" w:hAnsi="Arial"/>
        <w:sz w:val="20"/>
        <w:szCs w:val="20"/>
        <w:lang w:val="fr-FR"/>
      </w:rPr>
      <w:t>8</w:t>
    </w:r>
    <w:r w:rsidR="00B96B09">
      <w:rPr>
        <w:rFonts w:ascii="Arial" w:hAnsi="Arial"/>
        <w:sz w:val="20"/>
        <w:szCs w:val="20"/>
      </w:rPr>
      <w:t>.GA/</w:t>
    </w:r>
    <w:r w:rsidR="00DF10A4">
      <w:rPr>
        <w:rFonts w:ascii="Arial" w:hAnsi="Arial"/>
        <w:sz w:val="20"/>
        <w:szCs w:val="20"/>
        <w:lang w:val="en-US"/>
      </w:rPr>
      <w:t>13</w:t>
    </w:r>
    <w:r w:rsidR="00DF10A4">
      <w:rPr>
        <w:rFonts w:ascii="Arial" w:hAnsi="Arial"/>
        <w:sz w:val="20"/>
        <w:szCs w:val="20"/>
      </w:rPr>
      <w:t xml:space="preserve"> </w:t>
    </w:r>
    <w:r w:rsidR="00B96B09">
      <w:rPr>
        <w:rFonts w:ascii="Arial" w:hAnsi="Arial"/>
        <w:sz w:val="20"/>
        <w:szCs w:val="20"/>
      </w:rPr>
      <w:t xml:space="preserve">– страница </w: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separate"/>
    </w:r>
    <w:r w:rsidR="00DC43F5">
      <w:rPr>
        <w:rStyle w:val="PageNumber"/>
        <w:rFonts w:ascii="Arial" w:hAnsi="Arial" w:cs="Arial"/>
        <w:noProof/>
        <w:sz w:val="20"/>
        <w:szCs w:val="20"/>
      </w:rPr>
      <w:t>5</w:t>
    </w:r>
    <w:r w:rsidR="004A34A0" w:rsidRPr="0063300C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30501" w14:textId="15846C58" w:rsidR="00D95C4C" w:rsidRPr="008724E5" w:rsidRDefault="003F0EE9">
    <w:pPr>
      <w:pStyle w:val="Header"/>
    </w:pPr>
    <w:r>
      <w:rPr>
        <w:rFonts w:ascii="Arial" w:hAnsi="Arial" w:cs="Arial"/>
        <w:b/>
        <w:noProof/>
        <w:sz w:val="44"/>
        <w:szCs w:val="44"/>
        <w:lang w:val="fr-FR"/>
      </w:rPr>
      <w:drawing>
        <wp:anchor distT="0" distB="0" distL="114300" distR="114300" simplePos="0" relativeHeight="251659264" behindDoc="0" locked="0" layoutInCell="1" allowOverlap="1" wp14:anchorId="143D3660" wp14:editId="25272FBB">
          <wp:simplePos x="0" y="0"/>
          <wp:positionH relativeFrom="page">
            <wp:posOffset>120015</wp:posOffset>
          </wp:positionH>
          <wp:positionV relativeFrom="page">
            <wp:posOffset>185420</wp:posOffset>
          </wp:positionV>
          <wp:extent cx="2530800" cy="1443600"/>
          <wp:effectExtent l="0" t="0" r="3175" b="4445"/>
          <wp:wrapNone/>
          <wp:docPr id="3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C3E50E" w14:textId="77777777" w:rsidR="00D95C4C" w:rsidRPr="00CB26B7" w:rsidRDefault="006F41B4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rFonts w:ascii="Arial" w:hAnsi="Arial"/>
        <w:b/>
        <w:sz w:val="44"/>
        <w:szCs w:val="44"/>
      </w:rPr>
      <w:t>8 GA</w:t>
    </w:r>
  </w:p>
  <w:p w14:paraId="6037474A" w14:textId="057ECE59" w:rsidR="00D95C4C" w:rsidRPr="00407AA1" w:rsidRDefault="00B217F6" w:rsidP="00B217F6">
    <w:pPr>
      <w:tabs>
        <w:tab w:val="left" w:pos="7320"/>
        <w:tab w:val="right" w:pos="9638"/>
      </w:tabs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ab/>
    </w:r>
    <w:r>
      <w:rPr>
        <w:rFonts w:ascii="Arial" w:hAnsi="Arial"/>
        <w:b/>
        <w:sz w:val="22"/>
        <w:szCs w:val="22"/>
      </w:rPr>
      <w:tab/>
      <w:t>LHE/20/8.GA/</w:t>
    </w:r>
    <w:r w:rsidR="00DF10A4" w:rsidRPr="00407AA1">
      <w:rPr>
        <w:rFonts w:ascii="Arial" w:hAnsi="Arial"/>
        <w:b/>
        <w:sz w:val="22"/>
        <w:szCs w:val="22"/>
      </w:rPr>
      <w:t>13</w:t>
    </w:r>
  </w:p>
  <w:p w14:paraId="43B6CFCD" w14:textId="740EC850" w:rsidR="00D95C4C" w:rsidRPr="00CB26B7" w:rsidRDefault="00D95C4C" w:rsidP="00655736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Париж, 7 августа 2020 г.</w:t>
    </w:r>
  </w:p>
  <w:p w14:paraId="574ED738" w14:textId="24A50C7D" w:rsidR="00D95C4C" w:rsidRDefault="00D95C4C" w:rsidP="00703FBF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Оригинал: английский</w:t>
    </w:r>
  </w:p>
  <w:p w14:paraId="06A360D4" w14:textId="77777777" w:rsidR="00540FE0" w:rsidRPr="00C23A97" w:rsidRDefault="00540FE0" w:rsidP="00540FE0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7A4"/>
    <w:multiLevelType w:val="hybridMultilevel"/>
    <w:tmpl w:val="DC648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5972"/>
    <w:multiLevelType w:val="hybridMultilevel"/>
    <w:tmpl w:val="4CC825C8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5155AE9"/>
    <w:multiLevelType w:val="hybridMultilevel"/>
    <w:tmpl w:val="DFE29FF2"/>
    <w:lvl w:ilvl="0" w:tplc="87983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E7254"/>
    <w:multiLevelType w:val="hybridMultilevel"/>
    <w:tmpl w:val="49909E62"/>
    <w:lvl w:ilvl="0" w:tplc="5FF6C1A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4A84E40"/>
    <w:multiLevelType w:val="hybridMultilevel"/>
    <w:tmpl w:val="70B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82F79"/>
    <w:multiLevelType w:val="hybridMultilevel"/>
    <w:tmpl w:val="EE7243B4"/>
    <w:lvl w:ilvl="0" w:tplc="4F7CBCD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508CA"/>
    <w:multiLevelType w:val="hybridMultilevel"/>
    <w:tmpl w:val="E0CC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8"/>
  </w:num>
  <w:num w:numId="5">
    <w:abstractNumId w:val="15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16"/>
  </w:num>
  <w:num w:numId="14">
    <w:abstractNumId w:val="11"/>
  </w:num>
  <w:num w:numId="15">
    <w:abstractNumId w:val="12"/>
  </w:num>
  <w:num w:numId="16">
    <w:abstractNumId w:val="7"/>
  </w:num>
  <w:num w:numId="17">
    <w:abstractNumId w:val="7"/>
  </w:num>
  <w:num w:numId="18">
    <w:abstractNumId w:val="7"/>
  </w:num>
  <w:num w:numId="19">
    <w:abstractNumId w:val="0"/>
  </w:num>
  <w:num w:numId="20">
    <w:abstractNumId w:val="1"/>
  </w:num>
  <w:num w:numId="21">
    <w:abstractNumId w:val="17"/>
  </w:num>
  <w:num w:numId="22">
    <w:abstractNumId w:val="14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PT" w:vendorID="64" w:dllVersion="6" w:nlCheck="1" w:checkStyle="0"/>
  <w:activeWritingStyle w:appName="MSWord" w:lang="en-GB" w:vendorID="64" w:dllVersion="0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66"/>
    <w:rsid w:val="000048ED"/>
    <w:rsid w:val="00026E37"/>
    <w:rsid w:val="00041A66"/>
    <w:rsid w:val="000420F7"/>
    <w:rsid w:val="0005176E"/>
    <w:rsid w:val="00054B14"/>
    <w:rsid w:val="00056A76"/>
    <w:rsid w:val="00056D7A"/>
    <w:rsid w:val="00057148"/>
    <w:rsid w:val="000765F7"/>
    <w:rsid w:val="00077AB7"/>
    <w:rsid w:val="00081CD8"/>
    <w:rsid w:val="000A7F0E"/>
    <w:rsid w:val="000B054C"/>
    <w:rsid w:val="000C0D61"/>
    <w:rsid w:val="000D7B61"/>
    <w:rsid w:val="000E3440"/>
    <w:rsid w:val="000F3A3F"/>
    <w:rsid w:val="000F692B"/>
    <w:rsid w:val="00102557"/>
    <w:rsid w:val="00123C01"/>
    <w:rsid w:val="0014784A"/>
    <w:rsid w:val="001534CE"/>
    <w:rsid w:val="00164D56"/>
    <w:rsid w:val="00167B10"/>
    <w:rsid w:val="00170EE7"/>
    <w:rsid w:val="0017402F"/>
    <w:rsid w:val="00176720"/>
    <w:rsid w:val="001829BA"/>
    <w:rsid w:val="00196C1B"/>
    <w:rsid w:val="001A0128"/>
    <w:rsid w:val="001A0166"/>
    <w:rsid w:val="001B0F73"/>
    <w:rsid w:val="001B344F"/>
    <w:rsid w:val="001D1F74"/>
    <w:rsid w:val="001D5C04"/>
    <w:rsid w:val="001E2A75"/>
    <w:rsid w:val="001F1F04"/>
    <w:rsid w:val="001F3FFA"/>
    <w:rsid w:val="00222A2D"/>
    <w:rsid w:val="00223029"/>
    <w:rsid w:val="00234745"/>
    <w:rsid w:val="002407AF"/>
    <w:rsid w:val="002810CA"/>
    <w:rsid w:val="00281579"/>
    <w:rsid w:val="002A48D6"/>
    <w:rsid w:val="002A49FA"/>
    <w:rsid w:val="002A50E5"/>
    <w:rsid w:val="002A7411"/>
    <w:rsid w:val="002B1448"/>
    <w:rsid w:val="002B2F4F"/>
    <w:rsid w:val="002C09E3"/>
    <w:rsid w:val="002D2ED0"/>
    <w:rsid w:val="002D7E10"/>
    <w:rsid w:val="002F312A"/>
    <w:rsid w:val="00345CB4"/>
    <w:rsid w:val="00345D50"/>
    <w:rsid w:val="00345FD8"/>
    <w:rsid w:val="003549B8"/>
    <w:rsid w:val="003C6465"/>
    <w:rsid w:val="003D069C"/>
    <w:rsid w:val="003D7646"/>
    <w:rsid w:val="003F0EE9"/>
    <w:rsid w:val="003F113A"/>
    <w:rsid w:val="00407AA1"/>
    <w:rsid w:val="00407E94"/>
    <w:rsid w:val="00412311"/>
    <w:rsid w:val="00414643"/>
    <w:rsid w:val="00420660"/>
    <w:rsid w:val="00423CFE"/>
    <w:rsid w:val="00442097"/>
    <w:rsid w:val="004421E5"/>
    <w:rsid w:val="00452284"/>
    <w:rsid w:val="0047123D"/>
    <w:rsid w:val="00472EEB"/>
    <w:rsid w:val="004817A4"/>
    <w:rsid w:val="004856CA"/>
    <w:rsid w:val="00490B01"/>
    <w:rsid w:val="0049705E"/>
    <w:rsid w:val="004A19E8"/>
    <w:rsid w:val="004A34A0"/>
    <w:rsid w:val="004B2891"/>
    <w:rsid w:val="004C3BE6"/>
    <w:rsid w:val="004C3F2C"/>
    <w:rsid w:val="004D3AAC"/>
    <w:rsid w:val="004E13A8"/>
    <w:rsid w:val="004E55AD"/>
    <w:rsid w:val="005007C5"/>
    <w:rsid w:val="0050380C"/>
    <w:rsid w:val="005179A3"/>
    <w:rsid w:val="00526B7B"/>
    <w:rsid w:val="005308CE"/>
    <w:rsid w:val="00540FE0"/>
    <w:rsid w:val="00567312"/>
    <w:rsid w:val="0057094A"/>
    <w:rsid w:val="00571C03"/>
    <w:rsid w:val="0057439C"/>
    <w:rsid w:val="005879B4"/>
    <w:rsid w:val="005911C8"/>
    <w:rsid w:val="005A329E"/>
    <w:rsid w:val="005B0127"/>
    <w:rsid w:val="005B7A35"/>
    <w:rsid w:val="005C4B73"/>
    <w:rsid w:val="005E1D2B"/>
    <w:rsid w:val="005F053D"/>
    <w:rsid w:val="005F1FD6"/>
    <w:rsid w:val="005F5C5C"/>
    <w:rsid w:val="00600D93"/>
    <w:rsid w:val="00601B18"/>
    <w:rsid w:val="006034D8"/>
    <w:rsid w:val="0060564F"/>
    <w:rsid w:val="0063300C"/>
    <w:rsid w:val="00655736"/>
    <w:rsid w:val="00663B8D"/>
    <w:rsid w:val="0068255A"/>
    <w:rsid w:val="00696C8D"/>
    <w:rsid w:val="00697921"/>
    <w:rsid w:val="006A2AC2"/>
    <w:rsid w:val="006A3617"/>
    <w:rsid w:val="006C3ADA"/>
    <w:rsid w:val="006C56C0"/>
    <w:rsid w:val="006D2FCD"/>
    <w:rsid w:val="006D3B3D"/>
    <w:rsid w:val="006E46E4"/>
    <w:rsid w:val="006E672A"/>
    <w:rsid w:val="006F41B4"/>
    <w:rsid w:val="00701B11"/>
    <w:rsid w:val="00703FBF"/>
    <w:rsid w:val="00706F1F"/>
    <w:rsid w:val="00714F79"/>
    <w:rsid w:val="00717DA5"/>
    <w:rsid w:val="00744484"/>
    <w:rsid w:val="00763A0D"/>
    <w:rsid w:val="00773188"/>
    <w:rsid w:val="00783782"/>
    <w:rsid w:val="00784B8C"/>
    <w:rsid w:val="00786178"/>
    <w:rsid w:val="007B6318"/>
    <w:rsid w:val="007B7885"/>
    <w:rsid w:val="007C2DAF"/>
    <w:rsid w:val="007D38E0"/>
    <w:rsid w:val="007F2DE5"/>
    <w:rsid w:val="00816359"/>
    <w:rsid w:val="008171DD"/>
    <w:rsid w:val="00823A11"/>
    <w:rsid w:val="00833C31"/>
    <w:rsid w:val="00841DA6"/>
    <w:rsid w:val="00852866"/>
    <w:rsid w:val="0085414A"/>
    <w:rsid w:val="0086269D"/>
    <w:rsid w:val="008645E3"/>
    <w:rsid w:val="0086543A"/>
    <w:rsid w:val="00867267"/>
    <w:rsid w:val="008724E5"/>
    <w:rsid w:val="00884A9D"/>
    <w:rsid w:val="0088512B"/>
    <w:rsid w:val="008948AA"/>
    <w:rsid w:val="008A1ED4"/>
    <w:rsid w:val="008A2B2D"/>
    <w:rsid w:val="008A4E1E"/>
    <w:rsid w:val="008B6476"/>
    <w:rsid w:val="008C296C"/>
    <w:rsid w:val="008C3853"/>
    <w:rsid w:val="008D2F89"/>
    <w:rsid w:val="008D4305"/>
    <w:rsid w:val="008F1E73"/>
    <w:rsid w:val="00900BCB"/>
    <w:rsid w:val="009163A7"/>
    <w:rsid w:val="00927B5C"/>
    <w:rsid w:val="00946D0B"/>
    <w:rsid w:val="00953A5A"/>
    <w:rsid w:val="00957565"/>
    <w:rsid w:val="009604E0"/>
    <w:rsid w:val="00990AB2"/>
    <w:rsid w:val="009A0D75"/>
    <w:rsid w:val="009A18CD"/>
    <w:rsid w:val="009A73A0"/>
    <w:rsid w:val="009B76DE"/>
    <w:rsid w:val="009C0B38"/>
    <w:rsid w:val="009C7742"/>
    <w:rsid w:val="009D1A33"/>
    <w:rsid w:val="009E3F82"/>
    <w:rsid w:val="009F0C90"/>
    <w:rsid w:val="00A01E29"/>
    <w:rsid w:val="00A062BF"/>
    <w:rsid w:val="00A12558"/>
    <w:rsid w:val="00A13903"/>
    <w:rsid w:val="00A1440E"/>
    <w:rsid w:val="00A26B0E"/>
    <w:rsid w:val="00A302DA"/>
    <w:rsid w:val="00A30707"/>
    <w:rsid w:val="00A31B3A"/>
    <w:rsid w:val="00A34ED5"/>
    <w:rsid w:val="00A4283A"/>
    <w:rsid w:val="00A45DBF"/>
    <w:rsid w:val="00A47ED7"/>
    <w:rsid w:val="00A515F3"/>
    <w:rsid w:val="00A645DF"/>
    <w:rsid w:val="00A65C29"/>
    <w:rsid w:val="00A755A2"/>
    <w:rsid w:val="00AA6660"/>
    <w:rsid w:val="00AA67A0"/>
    <w:rsid w:val="00AB2C36"/>
    <w:rsid w:val="00AB2C38"/>
    <w:rsid w:val="00AB6C55"/>
    <w:rsid w:val="00AB70B6"/>
    <w:rsid w:val="00AC7685"/>
    <w:rsid w:val="00AD1A86"/>
    <w:rsid w:val="00AE103E"/>
    <w:rsid w:val="00AE2C98"/>
    <w:rsid w:val="00AF0A07"/>
    <w:rsid w:val="00AF4AEC"/>
    <w:rsid w:val="00AF625E"/>
    <w:rsid w:val="00B02B1E"/>
    <w:rsid w:val="00B20830"/>
    <w:rsid w:val="00B217F6"/>
    <w:rsid w:val="00B21EAF"/>
    <w:rsid w:val="00B37CAC"/>
    <w:rsid w:val="00B42936"/>
    <w:rsid w:val="00B5506C"/>
    <w:rsid w:val="00B577DD"/>
    <w:rsid w:val="00B718C6"/>
    <w:rsid w:val="00B96B09"/>
    <w:rsid w:val="00BA2022"/>
    <w:rsid w:val="00BB04AF"/>
    <w:rsid w:val="00BD52C9"/>
    <w:rsid w:val="00BE6354"/>
    <w:rsid w:val="00BE635E"/>
    <w:rsid w:val="00BE6754"/>
    <w:rsid w:val="00BF0B89"/>
    <w:rsid w:val="00BF6122"/>
    <w:rsid w:val="00C23143"/>
    <w:rsid w:val="00C231AC"/>
    <w:rsid w:val="00C23A97"/>
    <w:rsid w:val="00C42C66"/>
    <w:rsid w:val="00C4717C"/>
    <w:rsid w:val="00C47FD2"/>
    <w:rsid w:val="00C538A0"/>
    <w:rsid w:val="00C70EA7"/>
    <w:rsid w:val="00C74108"/>
    <w:rsid w:val="00C7516E"/>
    <w:rsid w:val="00C75770"/>
    <w:rsid w:val="00C90DED"/>
    <w:rsid w:val="00C93018"/>
    <w:rsid w:val="00CA5D4F"/>
    <w:rsid w:val="00CB26B7"/>
    <w:rsid w:val="00CB4950"/>
    <w:rsid w:val="00CC06EA"/>
    <w:rsid w:val="00CD1AA7"/>
    <w:rsid w:val="00D00B2B"/>
    <w:rsid w:val="00D01E74"/>
    <w:rsid w:val="00D04159"/>
    <w:rsid w:val="00D1105B"/>
    <w:rsid w:val="00D23035"/>
    <w:rsid w:val="00D24877"/>
    <w:rsid w:val="00D32072"/>
    <w:rsid w:val="00D438CD"/>
    <w:rsid w:val="00D7077A"/>
    <w:rsid w:val="00D7622A"/>
    <w:rsid w:val="00D91327"/>
    <w:rsid w:val="00D95C4C"/>
    <w:rsid w:val="00DA2D15"/>
    <w:rsid w:val="00DA36ED"/>
    <w:rsid w:val="00DB294C"/>
    <w:rsid w:val="00DB5330"/>
    <w:rsid w:val="00DB5B2F"/>
    <w:rsid w:val="00DC43F5"/>
    <w:rsid w:val="00DE12E7"/>
    <w:rsid w:val="00DE2A72"/>
    <w:rsid w:val="00DE34F1"/>
    <w:rsid w:val="00DF10A4"/>
    <w:rsid w:val="00DF4942"/>
    <w:rsid w:val="00DF52EC"/>
    <w:rsid w:val="00E01FFB"/>
    <w:rsid w:val="00E33243"/>
    <w:rsid w:val="00E54E6B"/>
    <w:rsid w:val="00E627B1"/>
    <w:rsid w:val="00E67927"/>
    <w:rsid w:val="00E9376C"/>
    <w:rsid w:val="00EA335E"/>
    <w:rsid w:val="00EA528C"/>
    <w:rsid w:val="00EB11E6"/>
    <w:rsid w:val="00EC56D3"/>
    <w:rsid w:val="00ED2CCE"/>
    <w:rsid w:val="00ED5F06"/>
    <w:rsid w:val="00ED686C"/>
    <w:rsid w:val="00EF19A6"/>
    <w:rsid w:val="00EF34E2"/>
    <w:rsid w:val="00EF4F1F"/>
    <w:rsid w:val="00EF69E3"/>
    <w:rsid w:val="00F010E0"/>
    <w:rsid w:val="00F07FFB"/>
    <w:rsid w:val="00F318E3"/>
    <w:rsid w:val="00F37E03"/>
    <w:rsid w:val="00F42384"/>
    <w:rsid w:val="00F53DE9"/>
    <w:rsid w:val="00F576CB"/>
    <w:rsid w:val="00F62B65"/>
    <w:rsid w:val="00F63B5B"/>
    <w:rsid w:val="00F6777D"/>
    <w:rsid w:val="00F67CB3"/>
    <w:rsid w:val="00F71A02"/>
    <w:rsid w:val="00F736AA"/>
    <w:rsid w:val="00F960CB"/>
    <w:rsid w:val="00FB15D9"/>
    <w:rsid w:val="00FB3898"/>
    <w:rsid w:val="00FB6630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C182A82"/>
  <w15:docId w15:val="{B24F5496-8CB1-45A9-B320-9608C7F1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ru-RU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2F312A"/>
    <w:pPr>
      <w:ind w:left="720"/>
      <w:contextualSpacing/>
    </w:pPr>
  </w:style>
  <w:style w:type="paragraph" w:customStyle="1" w:styleId="COMParaDecision">
    <w:name w:val="COM Para Decision"/>
    <w:basedOn w:val="Normal"/>
    <w:qFormat/>
    <w:rsid w:val="008A1ED4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</w:rPr>
  </w:style>
  <w:style w:type="paragraph" w:customStyle="1" w:styleId="5GAparabodytext">
    <w:name w:val="5GA para body text"/>
    <w:qFormat/>
    <w:rsid w:val="00CA5D4F"/>
    <w:pPr>
      <w:keepNext/>
      <w:spacing w:after="120" w:line="360" w:lineRule="auto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table" w:customStyle="1" w:styleId="TableGrid1">
    <w:name w:val="Table Grid1"/>
    <w:basedOn w:val="TableNormal"/>
    <w:uiPriority w:val="59"/>
    <w:rsid w:val="0068255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4E55AD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7A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A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7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ch.unesco.org/en/Decisions/10.COM/16" TargetMode="External"/><Relationship Id="rId18" Type="http://schemas.openxmlformats.org/officeDocument/2006/relationships/hyperlink" Target="https://ich.unesco.org/en/Decisions/14.COM/17" TargetMode="External"/><Relationship Id="rId26" Type="http://schemas.openxmlformats.org/officeDocument/2006/relationships/hyperlink" Target="https://ich.unesco.org/doc/src/45510.pdf" TargetMode="External"/><Relationship Id="rId39" Type="http://schemas.openxmlformats.org/officeDocument/2006/relationships/hyperlink" Target="https://ich.unesco.org/doc/src/45523-FR.pdf" TargetMode="External"/><Relationship Id="rId21" Type="http://schemas.openxmlformats.org/officeDocument/2006/relationships/hyperlink" Target="https://ich.unesco.org/doc/src/45490-FR.pdf" TargetMode="External"/><Relationship Id="rId34" Type="http://schemas.openxmlformats.org/officeDocument/2006/relationships/hyperlink" Target="https://ich.unesco.org/doc/src/45519.pdf" TargetMode="External"/><Relationship Id="rId42" Type="http://schemas.openxmlformats.org/officeDocument/2006/relationships/hyperlink" Target="https://ich.unesco.org/doc/src/45571.pdf" TargetMode="External"/><Relationship Id="rId47" Type="http://schemas.openxmlformats.org/officeDocument/2006/relationships/hyperlink" Target="https://ich.unesco.org/doc/src/45528.pdf" TargetMode="External"/><Relationship Id="rId50" Type="http://schemas.openxmlformats.org/officeDocument/2006/relationships/hyperlink" Target="https://ich.unesco.org/doc/src/42676.pdf" TargetMode="External"/><Relationship Id="rId55" Type="http://schemas.openxmlformats.org/officeDocument/2006/relationships/hyperlink" Target="https://ich.unesco.org/doc/src/45534-E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ch.unesco.org/en/Resolutions/7.GA/11" TargetMode="External"/><Relationship Id="rId17" Type="http://schemas.openxmlformats.org/officeDocument/2006/relationships/hyperlink" Target="https://ich.unesco.org/en/Decisions/14.COM/17" TargetMode="External"/><Relationship Id="rId25" Type="http://schemas.openxmlformats.org/officeDocument/2006/relationships/hyperlink" Target="https://ich.unesco.org/doc/src/45499.pdf" TargetMode="External"/><Relationship Id="rId33" Type="http://schemas.openxmlformats.org/officeDocument/2006/relationships/hyperlink" Target="https://ich.unesco.org/doc/src/45518.pdf" TargetMode="External"/><Relationship Id="rId38" Type="http://schemas.openxmlformats.org/officeDocument/2006/relationships/hyperlink" Target="https://ich.unesco.org/doc/src/45522-FR.pdf" TargetMode="External"/><Relationship Id="rId46" Type="http://schemas.openxmlformats.org/officeDocument/2006/relationships/hyperlink" Target="https://ich.unesco.org/doc/src/45527.pdf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s://ich.unesco.org/doc/src/45486.pdf" TargetMode="External"/><Relationship Id="rId29" Type="http://schemas.openxmlformats.org/officeDocument/2006/relationships/hyperlink" Target="https://ich.unesco.org/doc/src/45514.pdf" TargetMode="External"/><Relationship Id="rId41" Type="http://schemas.openxmlformats.org/officeDocument/2006/relationships/hyperlink" Target="https://ich.unesco.org/doc/src/45525.pdf" TargetMode="External"/><Relationship Id="rId54" Type="http://schemas.openxmlformats.org/officeDocument/2006/relationships/hyperlink" Target="https://ich.unesco.org/doc/src/45533-E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Resolutions/6.GA/8" TargetMode="External"/><Relationship Id="rId24" Type="http://schemas.openxmlformats.org/officeDocument/2006/relationships/hyperlink" Target="https://ich.unesco.org/doc/src/45495.pdf" TargetMode="External"/><Relationship Id="rId32" Type="http://schemas.openxmlformats.org/officeDocument/2006/relationships/hyperlink" Target="https://ich.unesco.org/doc/src/42681.pdf" TargetMode="External"/><Relationship Id="rId37" Type="http://schemas.openxmlformats.org/officeDocument/2006/relationships/hyperlink" Target="https://ich.unesco.org/doc/src/45521-EN.pdf" TargetMode="External"/><Relationship Id="rId40" Type="http://schemas.openxmlformats.org/officeDocument/2006/relationships/hyperlink" Target="https://ich.unesco.org/doc/src/45524-FR.pdf" TargetMode="External"/><Relationship Id="rId45" Type="http://schemas.openxmlformats.org/officeDocument/2006/relationships/hyperlink" Target="https://ich.unesco.org/doc/src/48726-EN.pdf" TargetMode="External"/><Relationship Id="rId53" Type="http://schemas.openxmlformats.org/officeDocument/2006/relationships/hyperlink" Target="https://ich.unesco.org/doc/src/45532.pdf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n/Decisions/14.COM/17" TargetMode="External"/><Relationship Id="rId23" Type="http://schemas.openxmlformats.org/officeDocument/2006/relationships/hyperlink" Target="https://ich.unesco.org/doc/src/42674-FR.pdf" TargetMode="External"/><Relationship Id="rId28" Type="http://schemas.openxmlformats.org/officeDocument/2006/relationships/hyperlink" Target="https://ich.unesco.org/doc/src/45513-EN.pdf" TargetMode="External"/><Relationship Id="rId36" Type="http://schemas.openxmlformats.org/officeDocument/2006/relationships/hyperlink" Target="https://ich.unesco.org/doc/src/43083.pdf" TargetMode="External"/><Relationship Id="rId49" Type="http://schemas.openxmlformats.org/officeDocument/2006/relationships/hyperlink" Target="https://ich.unesco.org/doc/src/45530.pdf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ich.unesco.org/en/Resolutions/5.GA/6" TargetMode="External"/><Relationship Id="rId19" Type="http://schemas.openxmlformats.org/officeDocument/2006/relationships/hyperlink" Target="https://ich.unesco.org/en/Decisions/14.COM/17" TargetMode="External"/><Relationship Id="rId31" Type="http://schemas.openxmlformats.org/officeDocument/2006/relationships/hyperlink" Target="https://ich.unesco.org/doc/src/45516-FR.pdf" TargetMode="External"/><Relationship Id="rId44" Type="http://schemas.openxmlformats.org/officeDocument/2006/relationships/hyperlink" Target="https://ich.unesco.org/doc/src/43093.pdf" TargetMode="External"/><Relationship Id="rId52" Type="http://schemas.openxmlformats.org/officeDocument/2006/relationships/hyperlink" Target="https://ich.unesco.org/doc/src/42719-EN.pdf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Resolutions/4.GA/6" TargetMode="External"/><Relationship Id="rId14" Type="http://schemas.openxmlformats.org/officeDocument/2006/relationships/hyperlink" Target="https://ich.unesco.org/en/Decisions/12.COM/17" TargetMode="External"/><Relationship Id="rId22" Type="http://schemas.openxmlformats.org/officeDocument/2006/relationships/hyperlink" Target="https://ich.unesco.org/doc/src/45491-EN.pdf" TargetMode="External"/><Relationship Id="rId27" Type="http://schemas.openxmlformats.org/officeDocument/2006/relationships/hyperlink" Target="https://ich.unesco.org/doc/src/45512-FR.pdf" TargetMode="External"/><Relationship Id="rId30" Type="http://schemas.openxmlformats.org/officeDocument/2006/relationships/hyperlink" Target="https://ich.unesco.org/doc/src/45515-EN.pdf" TargetMode="External"/><Relationship Id="rId35" Type="http://schemas.openxmlformats.org/officeDocument/2006/relationships/hyperlink" Target="https://ich.unesco.org/doc/src/45520.pdf" TargetMode="External"/><Relationship Id="rId43" Type="http://schemas.openxmlformats.org/officeDocument/2006/relationships/hyperlink" Target="https://ich.unesco.org/doc/src/42711-EN.pdf" TargetMode="External"/><Relationship Id="rId48" Type="http://schemas.openxmlformats.org/officeDocument/2006/relationships/hyperlink" Target="https://ich.unesco.org/doc/src/45529.pdf" TargetMode="External"/><Relationship Id="rId56" Type="http://schemas.openxmlformats.org/officeDocument/2006/relationships/header" Target="header1.xml"/><Relationship Id="rId8" Type="http://schemas.openxmlformats.org/officeDocument/2006/relationships/hyperlink" Target="https://ich.unesco.org/en/Resolutions/3.GA/7" TargetMode="External"/><Relationship Id="rId51" Type="http://schemas.openxmlformats.org/officeDocument/2006/relationships/hyperlink" Target="https://ich.unesco.org/doc/src/45531-EN.pdf" TargetMode="Externa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Географическое распределение аккредитованных НПО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(всего 157 в 2020 г.)</a:t>
            </a:r>
          </a:p>
        </c:rich>
      </c:tx>
      <c:layout>
        <c:manualLayout>
          <c:xMode val="edge"/>
          <c:yMode val="edge"/>
          <c:x val="0.10499258692809185"/>
          <c:y val="2.5281403582941373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Географическое распределение аккредитованных НПО</c:v>
                </c:pt>
              </c:strCache>
            </c:strRef>
          </c:tx>
          <c:dPt>
            <c:idx val="0"/>
            <c:bubble3D val="0"/>
            <c:spPr>
              <a:pattFill prst="trellis">
                <a:fgClr>
                  <a:srgbClr val="FF000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FC1-4DC6-A89B-208B96F17335}"/>
              </c:ext>
            </c:extLst>
          </c:dPt>
          <c:dPt>
            <c:idx val="1"/>
            <c:bubble3D val="0"/>
            <c:spPr>
              <a:pattFill prst="pct90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FC1-4DC6-A89B-208B96F17335}"/>
              </c:ext>
            </c:extLst>
          </c:dPt>
          <c:dPt>
            <c:idx val="2"/>
            <c:bubble3D val="0"/>
            <c:spPr>
              <a:pattFill prst="pct60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C1-4DC6-A89B-208B96F17335}"/>
              </c:ext>
            </c:extLst>
          </c:dPt>
          <c:dPt>
            <c:idx val="3"/>
            <c:bubble3D val="0"/>
            <c:spPr>
              <a:pattFill prst="narHorz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FC1-4DC6-A89B-208B96F17335}"/>
              </c:ext>
            </c:extLst>
          </c:dPt>
          <c:dPt>
            <c:idx val="4"/>
            <c:bubble3D val="0"/>
            <c:spPr>
              <a:pattFill prst="pct90">
                <a:fgClr>
                  <a:srgbClr val="FFFF00"/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FC1-4DC6-A89B-208B96F17335}"/>
              </c:ext>
            </c:extLst>
          </c:dPt>
          <c:dPt>
            <c:idx val="5"/>
            <c:bubble3D val="0"/>
            <c:spPr>
              <a:pattFill prst="pct80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FC1-4DC6-A89B-208B96F1733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77843C0F-2648-40E0-AF6A-96788F9E4AF1}" type="CATEGORYNAME">
                      <a:rPr lang="az-Cyrl-AZ"/>
                      <a:pPr/>
                      <a:t>[CATEGORY NAME]</a:t>
                    </a:fld>
                    <a:r>
                      <a:rPr lang="en-US" baseline="0"/>
                      <a:t>
54%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FC1-4DC6-A89B-208B96F17335}"/>
                </c:ext>
              </c:extLst>
            </c:dLbl>
            <c:dLbl>
              <c:idx val="5"/>
              <c:layout>
                <c:manualLayout>
                  <c:x val="3.0879613966616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Группа </a:t>
                    </a:r>
                    <a:r>
                      <a:rPr lang="en-US"/>
                      <a:t>Vb</a:t>
                    </a:r>
                    <a:r>
                      <a:rPr lang="en-US" baseline="0"/>
                      <a:t>
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9FC1-4DC6-A89B-208B96F1733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layout/>
              </c:ext>
            </c:extLst>
          </c:dLbls>
          <c:cat>
            <c:strRef>
              <c:f>Sheet1!$A$2:$A$7</c:f>
              <c:strCache>
                <c:ptCount val="6"/>
                <c:pt idx="0">
                  <c:v>Группа I</c:v>
                </c:pt>
                <c:pt idx="1">
                  <c:v>Группа II</c:v>
                </c:pt>
                <c:pt idx="2">
                  <c:v>Группа III</c:v>
                </c:pt>
                <c:pt idx="3">
                  <c:v>Группа IV</c:v>
                </c:pt>
                <c:pt idx="4">
                  <c:v>Группа Va</c:v>
                </c:pt>
                <c:pt idx="5">
                  <c:v>Группа Vb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85</c:v>
                </c:pt>
                <c:pt idx="1">
                  <c:v>16</c:v>
                </c:pt>
                <c:pt idx="2">
                  <c:v>8</c:v>
                </c:pt>
                <c:pt idx="3">
                  <c:v>23</c:v>
                </c:pt>
                <c:pt idx="4">
                  <c:v>19</c:v>
                </c:pt>
                <c:pt idx="5" formatCode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FC1-4DC6-A89B-208B96F1733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 rtl="0">
        <a:defRPr/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13800-7FAC-472E-8A40-99A85D62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</Template>
  <TotalTime>37</TotalTime>
  <Pages>5</Pages>
  <Words>1858</Words>
  <Characters>10224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Constantinou, Elena</cp:lastModifiedBy>
  <cp:revision>13</cp:revision>
  <cp:lastPrinted>2011-08-06T09:22:00Z</cp:lastPrinted>
  <dcterms:created xsi:type="dcterms:W3CDTF">2020-07-31T18:04:00Z</dcterms:created>
  <dcterms:modified xsi:type="dcterms:W3CDTF">2020-08-07T09:25:00Z</dcterms:modified>
</cp:coreProperties>
</file>