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616F6" w14:textId="2BC7D75B" w:rsidR="00655736" w:rsidRPr="00414643" w:rsidRDefault="00655736" w:rsidP="00655736">
      <w:pPr>
        <w:spacing w:before="1440"/>
        <w:jc w:val="center"/>
        <w:rPr>
          <w:rFonts w:ascii="Arial" w:hAnsi="Arial" w:cs="Arial"/>
          <w:b/>
          <w:sz w:val="22"/>
          <w:szCs w:val="22"/>
        </w:rPr>
      </w:pPr>
      <w:r>
        <w:rPr>
          <w:rFonts w:ascii="Arial" w:hAnsi="Arial"/>
          <w:b/>
          <w:sz w:val="22"/>
          <w:szCs w:val="22"/>
        </w:rPr>
        <w:t>CONVENTION POUR LA SAUVEGARDE</w:t>
      </w:r>
      <w:bookmarkStart w:id="0" w:name="_GoBack"/>
      <w:bookmarkEnd w:id="0"/>
      <w:r w:rsidR="00076AB5">
        <w:rPr>
          <w:rFonts w:ascii="Arial" w:hAnsi="Arial"/>
          <w:b/>
          <w:sz w:val="22"/>
          <w:szCs w:val="22"/>
        </w:rPr>
        <w:br/>
      </w:r>
      <w:r>
        <w:rPr>
          <w:rFonts w:ascii="Arial" w:hAnsi="Arial"/>
          <w:b/>
          <w:sz w:val="22"/>
          <w:szCs w:val="22"/>
        </w:rPr>
        <w:t>DU</w:t>
      </w:r>
      <w:r w:rsidR="00076AB5">
        <w:rPr>
          <w:rFonts w:ascii="Arial" w:hAnsi="Arial"/>
          <w:b/>
          <w:sz w:val="22"/>
          <w:szCs w:val="22"/>
        </w:rPr>
        <w:t xml:space="preserve"> </w:t>
      </w:r>
      <w:r>
        <w:rPr>
          <w:rFonts w:ascii="Arial" w:hAnsi="Arial"/>
          <w:b/>
          <w:sz w:val="22"/>
          <w:szCs w:val="22"/>
        </w:rPr>
        <w:t>PATRIMOINE CULTUREL IMMATÉRIEL</w:t>
      </w:r>
    </w:p>
    <w:p w14:paraId="110BAEC4" w14:textId="77777777" w:rsidR="00655736" w:rsidRPr="00414643" w:rsidRDefault="00D95C4C" w:rsidP="00655736">
      <w:pPr>
        <w:spacing w:before="1200"/>
        <w:jc w:val="center"/>
        <w:rPr>
          <w:rFonts w:ascii="Arial" w:hAnsi="Arial" w:cs="Arial"/>
          <w:b/>
          <w:sz w:val="22"/>
          <w:szCs w:val="22"/>
        </w:rPr>
      </w:pPr>
      <w:r>
        <w:rPr>
          <w:rFonts w:ascii="Arial" w:hAnsi="Arial"/>
          <w:b/>
          <w:sz w:val="22"/>
          <w:szCs w:val="22"/>
        </w:rPr>
        <w:t>ASSEMBLÉE GÉNÉRALE DES ÉTATS PARTIES À LA CONVENTION</w:t>
      </w:r>
    </w:p>
    <w:p w14:paraId="083C4F0D" w14:textId="77777777" w:rsidR="00D95C4C" w:rsidRPr="00FD624F" w:rsidRDefault="006F41B4" w:rsidP="00D95C4C">
      <w:pPr>
        <w:spacing w:before="840"/>
        <w:jc w:val="center"/>
        <w:rPr>
          <w:rFonts w:ascii="Arial" w:hAnsi="Arial" w:cs="Arial"/>
          <w:b/>
          <w:sz w:val="22"/>
          <w:szCs w:val="22"/>
        </w:rPr>
      </w:pPr>
      <w:r>
        <w:rPr>
          <w:rFonts w:ascii="Arial" w:hAnsi="Arial"/>
          <w:b/>
          <w:sz w:val="22"/>
          <w:szCs w:val="22"/>
        </w:rPr>
        <w:t>Huitième session</w:t>
      </w:r>
    </w:p>
    <w:p w14:paraId="0CB161E5" w14:textId="77777777" w:rsidR="00D95C4C" w:rsidRPr="00FD624F" w:rsidRDefault="00D95C4C" w:rsidP="00D95C4C">
      <w:pPr>
        <w:jc w:val="center"/>
        <w:rPr>
          <w:rFonts w:ascii="Arial" w:hAnsi="Arial" w:cs="Arial"/>
          <w:b/>
          <w:sz w:val="22"/>
          <w:szCs w:val="22"/>
        </w:rPr>
      </w:pPr>
      <w:r>
        <w:rPr>
          <w:rFonts w:ascii="Arial" w:hAnsi="Arial"/>
          <w:b/>
          <w:sz w:val="22"/>
          <w:szCs w:val="22"/>
        </w:rPr>
        <w:t>Siège de l’UNESCO, Salle I</w:t>
      </w:r>
    </w:p>
    <w:p w14:paraId="0C053C33" w14:textId="698345CB" w:rsidR="00655736" w:rsidRPr="00414643" w:rsidRDefault="001829BA" w:rsidP="00D95C4C">
      <w:pPr>
        <w:jc w:val="center"/>
        <w:rPr>
          <w:rFonts w:ascii="Arial" w:hAnsi="Arial" w:cs="Arial"/>
          <w:b/>
          <w:sz w:val="22"/>
          <w:szCs w:val="22"/>
        </w:rPr>
      </w:pPr>
      <w:r>
        <w:rPr>
          <w:rFonts w:ascii="Arial" w:hAnsi="Arial"/>
          <w:b/>
          <w:sz w:val="22"/>
          <w:szCs w:val="22"/>
        </w:rPr>
        <w:t>8 – 10 septembre 2020</w:t>
      </w:r>
    </w:p>
    <w:p w14:paraId="3FE3383C" w14:textId="7768217D" w:rsidR="00655736" w:rsidRPr="00414643" w:rsidRDefault="00731816" w:rsidP="00655736">
      <w:pPr>
        <w:pStyle w:val="Sansinterligne2"/>
        <w:spacing w:before="1200"/>
        <w:jc w:val="center"/>
        <w:rPr>
          <w:rFonts w:ascii="Arial" w:hAnsi="Arial" w:cs="Arial"/>
          <w:b/>
          <w:sz w:val="22"/>
          <w:szCs w:val="22"/>
        </w:rPr>
      </w:pPr>
      <w:r>
        <w:rPr>
          <w:rFonts w:ascii="Arial" w:hAnsi="Arial"/>
          <w:b/>
          <w:sz w:val="22"/>
          <w:szCs w:val="22"/>
          <w:u w:val="single"/>
        </w:rPr>
        <w:t>Point 13</w:t>
      </w:r>
      <w:r w:rsidR="00655736">
        <w:rPr>
          <w:rFonts w:ascii="Arial" w:hAnsi="Arial"/>
          <w:b/>
          <w:sz w:val="22"/>
          <w:szCs w:val="22"/>
          <w:u w:val="single"/>
        </w:rPr>
        <w:t xml:space="preserve"> de l’ordre du jour provisoire :</w:t>
      </w:r>
    </w:p>
    <w:p w14:paraId="0AF1291F" w14:textId="58B32BE6" w:rsidR="009C7742" w:rsidRDefault="009C7742" w:rsidP="009C7742">
      <w:pPr>
        <w:pStyle w:val="Sansinterligne2"/>
        <w:jc w:val="center"/>
        <w:rPr>
          <w:rFonts w:ascii="Arial" w:hAnsi="Arial" w:cs="Arial"/>
          <w:b/>
          <w:sz w:val="22"/>
          <w:szCs w:val="22"/>
        </w:rPr>
      </w:pPr>
      <w:r>
        <w:rPr>
          <w:rFonts w:ascii="Arial" w:hAnsi="Arial"/>
          <w:b/>
          <w:sz w:val="22"/>
          <w:szCs w:val="22"/>
        </w:rPr>
        <w:t>Accréditation des organisations non gouvernementales</w:t>
      </w:r>
    </w:p>
    <w:p w14:paraId="60C33D23" w14:textId="559CC702" w:rsidR="009C7742" w:rsidRPr="00414643" w:rsidRDefault="00C603C1" w:rsidP="002F312A">
      <w:pPr>
        <w:pStyle w:val="Sansinterligne2"/>
        <w:spacing w:after="1200"/>
        <w:jc w:val="center"/>
        <w:rPr>
          <w:rFonts w:ascii="Arial" w:hAnsi="Arial" w:cs="Arial"/>
          <w:b/>
          <w:sz w:val="22"/>
          <w:szCs w:val="22"/>
        </w:rPr>
      </w:pPr>
      <w:proofErr w:type="gramStart"/>
      <w:r>
        <w:rPr>
          <w:rFonts w:ascii="Arial" w:hAnsi="Arial"/>
          <w:b/>
          <w:sz w:val="22"/>
          <w:szCs w:val="22"/>
        </w:rPr>
        <w:t>à</w:t>
      </w:r>
      <w:proofErr w:type="gramEnd"/>
      <w:r w:rsidR="00FC2A92">
        <w:rPr>
          <w:rFonts w:ascii="Arial" w:hAnsi="Arial"/>
          <w:b/>
          <w:sz w:val="22"/>
          <w:szCs w:val="22"/>
        </w:rPr>
        <w:t xml:space="preserve"> des fins d’assistance </w:t>
      </w:r>
      <w:r w:rsidR="009C7742">
        <w:rPr>
          <w:rFonts w:ascii="Arial" w:hAnsi="Arial"/>
          <w:b/>
          <w:sz w:val="22"/>
          <w:szCs w:val="22"/>
        </w:rPr>
        <w:t>consultative auprès du Comité</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C4717C" w14:paraId="46AA060C" w14:textId="77777777" w:rsidTr="002F312A">
        <w:trPr>
          <w:jc w:val="center"/>
        </w:trPr>
        <w:tc>
          <w:tcPr>
            <w:tcW w:w="5670" w:type="dxa"/>
            <w:vAlign w:val="center"/>
          </w:tcPr>
          <w:p w14:paraId="3D0D4E5E" w14:textId="77777777" w:rsidR="00281579" w:rsidRPr="00414643" w:rsidRDefault="0057439C" w:rsidP="005B7A35">
            <w:pPr>
              <w:pStyle w:val="Sansinterligne1"/>
              <w:spacing w:before="200" w:after="200"/>
              <w:jc w:val="center"/>
              <w:rPr>
                <w:rFonts w:ascii="Arial" w:hAnsi="Arial" w:cs="Arial"/>
                <w:b/>
                <w:sz w:val="22"/>
                <w:szCs w:val="22"/>
              </w:rPr>
            </w:pPr>
            <w:r>
              <w:rPr>
                <w:rFonts w:ascii="Arial" w:hAnsi="Arial"/>
                <w:b/>
                <w:sz w:val="22"/>
                <w:szCs w:val="22"/>
              </w:rPr>
              <w:t>Résumé</w:t>
            </w:r>
          </w:p>
          <w:p w14:paraId="42844025" w14:textId="0936243B" w:rsidR="00281579" w:rsidRPr="00281579" w:rsidRDefault="00281579" w:rsidP="005B7A35">
            <w:pPr>
              <w:pStyle w:val="Sansinterligne2"/>
              <w:spacing w:after="120"/>
              <w:jc w:val="both"/>
              <w:rPr>
                <w:rFonts w:ascii="Arial" w:hAnsi="Arial" w:cs="Arial"/>
                <w:sz w:val="22"/>
                <w:szCs w:val="22"/>
              </w:rPr>
            </w:pPr>
            <w:r>
              <w:rPr>
                <w:rFonts w:ascii="Arial" w:hAnsi="Arial"/>
                <w:sz w:val="22"/>
                <w:szCs w:val="22"/>
              </w:rPr>
              <w:t>L’article 9 de la Convention exige que le Comité propose à l’Assemblée générale l’accréditation d’organisations non gouvernementales ayant des compétences avérées dans le domaine du patrimoine culturel immatériel pour assurer des fonctions consultatives auprès du Comité. Le présent document propose trente-six organisations de cette nature.</w:t>
            </w:r>
          </w:p>
          <w:p w14:paraId="669D96AB" w14:textId="7A8B88DD" w:rsidR="00655736" w:rsidRPr="00414643" w:rsidRDefault="00FB6630" w:rsidP="005B7A35">
            <w:pPr>
              <w:pStyle w:val="Sansinterligne2"/>
              <w:spacing w:after="120"/>
              <w:jc w:val="both"/>
              <w:rPr>
                <w:rFonts w:ascii="Arial" w:hAnsi="Arial" w:cs="Arial"/>
                <w:b/>
                <w:sz w:val="22"/>
                <w:szCs w:val="22"/>
              </w:rPr>
            </w:pPr>
            <w:r>
              <w:rPr>
                <w:rFonts w:ascii="Arial" w:hAnsi="Arial"/>
                <w:b/>
                <w:sz w:val="22"/>
                <w:szCs w:val="22"/>
              </w:rPr>
              <w:t xml:space="preserve">Décision requise : </w:t>
            </w:r>
            <w:r>
              <w:rPr>
                <w:rFonts w:ascii="Arial" w:hAnsi="Arial"/>
                <w:bCs/>
                <w:sz w:val="22"/>
                <w:szCs w:val="22"/>
              </w:rPr>
              <w:t>paragraphe </w:t>
            </w:r>
            <w:r w:rsidR="00514204">
              <w:rPr>
                <w:rFonts w:ascii="Arial" w:hAnsi="Arial"/>
                <w:bCs/>
                <w:sz w:val="22"/>
                <w:szCs w:val="22"/>
              </w:rPr>
              <w:t>8</w:t>
            </w:r>
          </w:p>
        </w:tc>
      </w:tr>
    </w:tbl>
    <w:p w14:paraId="03B6D1BB" w14:textId="77777777" w:rsidR="00176720" w:rsidRDefault="00655736" w:rsidP="00176720">
      <w:pPr>
        <w:pStyle w:val="GAPara"/>
        <w:numPr>
          <w:ilvl w:val="0"/>
          <w:numId w:val="0"/>
        </w:numPr>
        <w:jc w:val="both"/>
      </w:pPr>
      <w:r>
        <w:br w:type="page"/>
      </w:r>
    </w:p>
    <w:p w14:paraId="42C39A9B" w14:textId="77777777" w:rsidR="004E55AD" w:rsidRPr="0056153E" w:rsidRDefault="004E55AD" w:rsidP="004D3AAC">
      <w:pPr>
        <w:pStyle w:val="COMTitleDecision"/>
        <w:spacing w:before="360" w:after="240"/>
        <w:ind w:hanging="567"/>
      </w:pPr>
      <w:r>
        <w:lastRenderedPageBreak/>
        <w:t xml:space="preserve">A. </w:t>
      </w:r>
      <w:r>
        <w:tab/>
        <w:t>Accréditation des organisations non gouvernementales</w:t>
      </w:r>
    </w:p>
    <w:p w14:paraId="55042986" w14:textId="3A3F843F" w:rsidR="00C42C66" w:rsidRDefault="00ED686C" w:rsidP="005007C5">
      <w:pPr>
        <w:pStyle w:val="GAPara"/>
        <w:numPr>
          <w:ilvl w:val="0"/>
          <w:numId w:val="19"/>
        </w:numPr>
        <w:ind w:left="567" w:hanging="567"/>
        <w:jc w:val="both"/>
      </w:pPr>
      <w:r>
        <w:t xml:space="preserve">L’article 9 de la Convention exige que le Comité propose à l’Assemblée générale l’accréditation d’organisations non gouvernementales (ONG) ayant des compétences avérées dans le domaine du patrimoine culturel immatériel pour assurer des fonctions consultatives auprès du Comité. Les critères et les modalités d’accréditation des ONG ont été adoptés par l’Assemblée générale à sa deuxième session et figurent au chapitre III.2.2 des Directives opérationnelles (paragraphes 91 à 99). À ce jour, l’Assemblée générale a accrédité 231 organisations de cette nature (97 par la </w:t>
      </w:r>
      <w:hyperlink r:id="rId8" w:history="1">
        <w:r w:rsidRPr="0016346E">
          <w:rPr>
            <w:rStyle w:val="Lienhypertexte"/>
          </w:rPr>
          <w:t>résolution 3.GA 7 </w:t>
        </w:r>
      </w:hyperlink>
      <w:r>
        <w:t xml:space="preserve">; 59 par la </w:t>
      </w:r>
      <w:hyperlink r:id="rId9" w:history="1">
        <w:r w:rsidRPr="0016346E">
          <w:rPr>
            <w:rStyle w:val="Lienhypertexte"/>
          </w:rPr>
          <w:t>résolution 4.GA 6 </w:t>
        </w:r>
      </w:hyperlink>
      <w:r>
        <w:t xml:space="preserve">; 22 par la </w:t>
      </w:r>
      <w:hyperlink r:id="rId10" w:history="1">
        <w:r w:rsidR="0016346E" w:rsidRPr="0016346E">
          <w:rPr>
            <w:rStyle w:val="Lienhypertexte"/>
          </w:rPr>
          <w:t>r</w:t>
        </w:r>
        <w:r w:rsidRPr="0016346E">
          <w:rPr>
            <w:rStyle w:val="Lienhypertexte"/>
          </w:rPr>
          <w:t>ésolution 5.GA 6 </w:t>
        </w:r>
      </w:hyperlink>
      <w:r>
        <w:t xml:space="preserve">; 24 par la </w:t>
      </w:r>
      <w:hyperlink r:id="rId11" w:history="1">
        <w:r w:rsidRPr="0016346E">
          <w:rPr>
            <w:rStyle w:val="Lienhypertexte"/>
          </w:rPr>
          <w:t>résolution 6.GA 8 </w:t>
        </w:r>
      </w:hyperlink>
      <w:r>
        <w:t xml:space="preserve">; et 29 par la </w:t>
      </w:r>
      <w:hyperlink r:id="rId12" w:history="1">
        <w:r w:rsidRPr="0016346E">
          <w:rPr>
            <w:rStyle w:val="Lienhypertexte"/>
          </w:rPr>
          <w:t>résolution 7.GA 11</w:t>
        </w:r>
      </w:hyperlink>
      <w:r>
        <w:t>).</w:t>
      </w:r>
    </w:p>
    <w:p w14:paraId="1BB9E1E8" w14:textId="46E4132D" w:rsidR="009A73A0" w:rsidRDefault="009A73A0" w:rsidP="009A73A0">
      <w:pPr>
        <w:pStyle w:val="GAPara"/>
        <w:numPr>
          <w:ilvl w:val="0"/>
          <w:numId w:val="19"/>
        </w:numPr>
        <w:ind w:left="567" w:hanging="567"/>
        <w:jc w:val="both"/>
      </w:pPr>
      <w:r>
        <w:t>Selon les modalités et procédures du processus d’examen définies au chapitre III.2.2 des Directives opérationnelles (paragraphes 92-99), le Comité « réexamine la contribution et l’engagement de l’organisme consultatif ainsi que ses relations avec lui tous les quatre ans à partir de l’accréditation, en tenant compte du point de vue de l’organisation non gouvernementale concernée ». Sur la base des recommandations formulées par le Secrétariat, qui examine les rapports quadriennaux présentés par les ONG accréditées, le Comité peut décider de maintenir ou de mettre fin aux relations avec les ONG concernées. Les décisions du Comité à cet égard ont été les suivantes :</w:t>
      </w:r>
    </w:p>
    <w:p w14:paraId="451C4E28" w14:textId="63CA0F07" w:rsidR="009A73A0" w:rsidRDefault="009A73A0" w:rsidP="00706F1F">
      <w:pPr>
        <w:pStyle w:val="GAPara"/>
        <w:numPr>
          <w:ilvl w:val="0"/>
          <w:numId w:val="22"/>
        </w:numPr>
        <w:ind w:left="927"/>
        <w:jc w:val="both"/>
      </w:pPr>
      <w:proofErr w:type="gramStart"/>
      <w:r>
        <w:t>à</w:t>
      </w:r>
      <w:proofErr w:type="gramEnd"/>
      <w:r>
        <w:t xml:space="preserve"> sa dixième session</w:t>
      </w:r>
      <w:r w:rsidR="00A83E8A">
        <w:t xml:space="preserve"> en 2015</w:t>
      </w:r>
      <w:r>
        <w:t>, le Comité a décidé de poursuivre les relations avec cinquante-neuf des quatre-vingt-dix-sept ONG accréditées par la troisième session du Comité en 2010. Lors de la même session, le Comité a décidé de mettre fin aux relations avec trente-huit ONG (</w:t>
      </w:r>
      <w:hyperlink r:id="rId13" w:history="1">
        <w:r w:rsidRPr="0016346E">
          <w:rPr>
            <w:rStyle w:val="Lienhypertexte"/>
          </w:rPr>
          <w:t>décision 10.COM 16</w:t>
        </w:r>
      </w:hyperlink>
      <w:r>
        <w:t>).</w:t>
      </w:r>
    </w:p>
    <w:p w14:paraId="69EF3C4E" w14:textId="0A84A454" w:rsidR="00026E37" w:rsidRDefault="00026E37" w:rsidP="00706F1F">
      <w:pPr>
        <w:pStyle w:val="GAPara"/>
        <w:numPr>
          <w:ilvl w:val="0"/>
          <w:numId w:val="22"/>
        </w:numPr>
        <w:ind w:left="927"/>
        <w:jc w:val="both"/>
      </w:pPr>
      <w:r>
        <w:t>à sa douzième session en 2017, le Comité a décidé de maintenir l’accréditation de quarante-deux des cinquante-neuf ONG accréditées par la quatrième session de l’Assemblée générale en 2012. Lors de la même session, le Comité a décidé de mettre fin à l’accréditation de dix-sept orga</w:t>
      </w:r>
      <w:r w:rsidR="00A83E8A">
        <w:t>nisations (</w:t>
      </w:r>
      <w:hyperlink r:id="rId14" w:history="1">
        <w:r w:rsidR="00A83E8A" w:rsidRPr="0016346E">
          <w:rPr>
            <w:rStyle w:val="Lienhypertexte"/>
          </w:rPr>
          <w:t>d</w:t>
        </w:r>
        <w:r w:rsidR="00B33CC7" w:rsidRPr="0016346E">
          <w:rPr>
            <w:rStyle w:val="Lienhypertexte"/>
          </w:rPr>
          <w:t>écision 12.COM 17</w:t>
        </w:r>
      </w:hyperlink>
      <w:r w:rsidR="00B33CC7">
        <w:t>).</w:t>
      </w:r>
    </w:p>
    <w:p w14:paraId="44568ED1" w14:textId="5DD75BBC" w:rsidR="00B718C6" w:rsidRPr="00CA5D4F" w:rsidRDefault="00D04159" w:rsidP="00B718C6">
      <w:pPr>
        <w:pStyle w:val="GAPara"/>
        <w:numPr>
          <w:ilvl w:val="0"/>
          <w:numId w:val="22"/>
        </w:numPr>
        <w:ind w:left="924" w:hanging="357"/>
        <w:jc w:val="both"/>
      </w:pPr>
      <w:r>
        <w:t>à sa quatorzième session en 2019, le Comité a décidé de maintenir l’accréditation de soixante-deux des quatre-vingt-une ONG accréditées par la troisième session de l’Assemblée générale en 2010 et maintenues par le Comité lors de sa dixième session en</w:t>
      </w:r>
      <w:r w:rsidR="00076AB5">
        <w:t> </w:t>
      </w:r>
      <w:r>
        <w:t>2015, ainsi que les ONG accréditées par la cinquième session de l’Assemblée générale en 2014. Lors de la même session, le Comité a décidé de mettre fin à l’accréditation de dix-neuf organisations (</w:t>
      </w:r>
      <w:hyperlink r:id="rId15" w:history="1">
        <w:r w:rsidRPr="0016346E">
          <w:rPr>
            <w:rStyle w:val="Lienhypertexte"/>
          </w:rPr>
          <w:t>décision 14.COM 17</w:t>
        </w:r>
      </w:hyperlink>
      <w:r>
        <w:t>).</w:t>
      </w:r>
    </w:p>
    <w:p w14:paraId="2AE60821" w14:textId="5DA3DAFB" w:rsidR="002A49FA" w:rsidRDefault="00345D50" w:rsidP="006D2FCD">
      <w:pPr>
        <w:pStyle w:val="GAPara"/>
        <w:numPr>
          <w:ilvl w:val="0"/>
          <w:numId w:val="19"/>
        </w:numPr>
        <w:ind w:left="567" w:hanging="567"/>
        <w:jc w:val="both"/>
        <w:rPr>
          <w:rFonts w:eastAsia="SimSun"/>
        </w:rPr>
      </w:pPr>
      <w:r>
        <w:t>En conséquence, il existe actuellement 157 ONG accréditées pour assurer des fonctions consultatives auprès du Comité. La représentation géographique de ces ONG est la suivante : Groupe I : 85 ; Groupe II : 16 ; Groupe III : 8 ; Groupe IV : 23 ; Groupe V(a) : 19 ; et Groupe V(b) : 5, comme illustré ci-dessous :</w:t>
      </w:r>
    </w:p>
    <w:p w14:paraId="28DFA195" w14:textId="2646AC2B" w:rsidR="0014784A" w:rsidRPr="002A49FA" w:rsidRDefault="002A49FA" w:rsidP="00123C01">
      <w:pPr>
        <w:keepNext/>
        <w:ind w:right="-57"/>
        <w:jc w:val="both"/>
        <w:rPr>
          <w:rFonts w:ascii="Arial" w:eastAsia="SimSun" w:hAnsi="Arial" w:cs="Arial"/>
          <w:sz w:val="22"/>
          <w:szCs w:val="22"/>
        </w:rPr>
      </w:pPr>
      <w:r>
        <w:rPr>
          <w:rFonts w:ascii="Arial" w:hAnsi="Arial"/>
          <w:sz w:val="22"/>
          <w:szCs w:val="22"/>
        </w:rPr>
        <w:lastRenderedPageBreak/>
        <w:tab/>
      </w:r>
      <w:r>
        <w:rPr>
          <w:b/>
          <w:noProof/>
          <w:lang w:eastAsia="ja-JP"/>
        </w:rPr>
        <w:drawing>
          <wp:inline distT="0" distB="0" distL="0" distR="0" wp14:anchorId="6A642BF2" wp14:editId="3B9BA523">
            <wp:extent cx="5662295" cy="2838450"/>
            <wp:effectExtent l="0" t="0" r="14605"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3B6438D" w14:textId="3EACECD2" w:rsidR="00C23143" w:rsidRDefault="00F736AA" w:rsidP="006D2FCD">
      <w:pPr>
        <w:pStyle w:val="GAPara"/>
        <w:numPr>
          <w:ilvl w:val="0"/>
          <w:numId w:val="19"/>
        </w:numPr>
        <w:spacing w:before="240"/>
        <w:ind w:left="567" w:hanging="567"/>
        <w:jc w:val="both"/>
        <w:rPr>
          <w:rFonts w:eastAsia="SimSun"/>
        </w:rPr>
      </w:pPr>
      <w:r>
        <w:t>En outre, à sa quatorzième session en 2019, le Comité a examiné soixante-trois nouvelles demandes d’accréditation reçues d’ONG, et a recommandé à l’Assemblée générale d’accréditer trente-cinq d’entre elles (</w:t>
      </w:r>
      <w:hyperlink r:id="rId17" w:history="1">
        <w:r w:rsidRPr="0016346E">
          <w:rPr>
            <w:rStyle w:val="Lienhypertexte"/>
          </w:rPr>
          <w:t>décision 14.COM 17</w:t>
        </w:r>
      </w:hyperlink>
      <w:r>
        <w:t>). Ces trente-cinq organisations sont énumérées dans l’annexe au projet de résolution ci-dessous. Toutes les demandes complètes soumises au Comité pour examen sont sur le site Internet de la Convention dans la langue dans laquelle elles ont été soumises, en l’occurrence le formulaire standard ICH-09 soumis par chaque organisation, accompagné des documents complémentaires pertinents concernant les points 8.a, 8.b et 8.c du formulaire.</w:t>
      </w:r>
    </w:p>
    <w:p w14:paraId="49C1EFE5" w14:textId="22335EB2" w:rsidR="00C93018" w:rsidRDefault="00C93018" w:rsidP="006D2FCD">
      <w:pPr>
        <w:pStyle w:val="GAPara"/>
        <w:numPr>
          <w:ilvl w:val="0"/>
          <w:numId w:val="19"/>
        </w:numPr>
        <w:ind w:left="567" w:hanging="567"/>
        <w:jc w:val="both"/>
        <w:rPr>
          <w:rFonts w:eastAsia="SimSun"/>
        </w:rPr>
      </w:pPr>
      <w:r>
        <w:t>À sa septième session, l’Assemblée générale a encouragé les ONG qui répondent aux critères d’accréditation à soumettre leurs demandes d’accréditation dans les meilleurs délais, en particulier celles des pays et régions moins représentés et moins actifs. À sa quatorzième session, le Comité a également souligné l’importance de la participation la plus large possible des ONG des groupes électoraux sous-représentés.</w:t>
      </w:r>
    </w:p>
    <w:p w14:paraId="27C4925B" w14:textId="03581664" w:rsidR="00C74108" w:rsidRDefault="00C74108" w:rsidP="004D3AAC">
      <w:pPr>
        <w:pStyle w:val="GAPara"/>
        <w:numPr>
          <w:ilvl w:val="0"/>
          <w:numId w:val="0"/>
        </w:numPr>
        <w:ind w:left="567" w:hanging="567"/>
        <w:jc w:val="both"/>
        <w:rPr>
          <w:rFonts w:eastAsia="SimSun"/>
          <w:b/>
        </w:rPr>
      </w:pPr>
      <w:r>
        <w:rPr>
          <w:b/>
          <w:snapToGrid/>
        </w:rPr>
        <w:t>B.</w:t>
      </w:r>
      <w:r>
        <w:rPr>
          <w:b/>
          <w:snapToGrid/>
        </w:rPr>
        <w:tab/>
        <w:t xml:space="preserve">Accréditation d’une ONG </w:t>
      </w:r>
      <w:r>
        <w:rPr>
          <w:b/>
        </w:rPr>
        <w:t>examinée par le Comité à sa quatorzième session</w:t>
      </w:r>
    </w:p>
    <w:p w14:paraId="66B4D672" w14:textId="07E268CC" w:rsidR="00C74108" w:rsidRDefault="004E55AD" w:rsidP="004D3AAC">
      <w:pPr>
        <w:pStyle w:val="GAPara"/>
        <w:numPr>
          <w:ilvl w:val="0"/>
          <w:numId w:val="19"/>
        </w:numPr>
        <w:ind w:left="567" w:hanging="567"/>
        <w:jc w:val="both"/>
        <w:rPr>
          <w:rFonts w:eastAsia="SimSun"/>
        </w:rPr>
      </w:pPr>
      <w:r>
        <w:t xml:space="preserve">Quatorze des dix-neuf ONG pour lesquelles le Comité a décidé de ne pas maintenir l’accréditation lors de sa quatorzième session en 2019 (voir paragraphe 2 ci-dessus) n’ont pas renvoyé leur rapport quadriennal. </w:t>
      </w:r>
      <w:proofErr w:type="spellStart"/>
      <w:r w:rsidR="0063058B" w:rsidRPr="0063058B">
        <w:t>Piraeus</w:t>
      </w:r>
      <w:proofErr w:type="spellEnd"/>
      <w:r w:rsidR="0063058B" w:rsidRPr="0063058B">
        <w:t xml:space="preserve"> Bank Group Cultural Fo</w:t>
      </w:r>
      <w:r w:rsidR="0063058B">
        <w:t>u</w:t>
      </w:r>
      <w:r w:rsidR="0063058B" w:rsidRPr="0063058B">
        <w:t>ndation</w:t>
      </w:r>
      <w:r w:rsidR="0063058B">
        <w:t xml:space="preserve"> </w:t>
      </w:r>
      <w:r>
        <w:t>NGO-90287, accréditée par l’Assemblée générale en 2012,</w:t>
      </w:r>
      <w:r w:rsidR="00F41EEE">
        <w:t xml:space="preserve"> compte parmi ces quatorze ONG.</w:t>
      </w:r>
    </w:p>
    <w:p w14:paraId="0C9DCFB3" w14:textId="08E236D1" w:rsidR="00957565" w:rsidRPr="004D3AAC" w:rsidRDefault="00957565" w:rsidP="004D3AAC">
      <w:pPr>
        <w:pStyle w:val="GAPara"/>
        <w:numPr>
          <w:ilvl w:val="0"/>
          <w:numId w:val="19"/>
        </w:numPr>
        <w:ind w:left="567" w:hanging="567"/>
        <w:jc w:val="both"/>
        <w:rPr>
          <w:rFonts w:ascii="Calibri" w:eastAsia="SimSun" w:hAnsi="Calibri" w:cs="Calibri"/>
        </w:rPr>
      </w:pPr>
      <w:r>
        <w:t xml:space="preserve">Suite à la publication de la </w:t>
      </w:r>
      <w:hyperlink r:id="rId18" w:history="1">
        <w:r w:rsidRPr="0016346E">
          <w:rPr>
            <w:rStyle w:val="Lienhypertexte"/>
          </w:rPr>
          <w:t>décision 14.COM 17</w:t>
        </w:r>
      </w:hyperlink>
      <w:r>
        <w:t xml:space="preserve">, le </w:t>
      </w:r>
      <w:r w:rsidR="00851795">
        <w:t>M</w:t>
      </w:r>
      <w:r>
        <w:t xml:space="preserve">inistère </w:t>
      </w:r>
      <w:r w:rsidR="00851795">
        <w:t>H</w:t>
      </w:r>
      <w:r>
        <w:t>ellénique de la Culture</w:t>
      </w:r>
      <w:r w:rsidR="00851795">
        <w:t xml:space="preserve"> et des Sports</w:t>
      </w:r>
      <w:r>
        <w:t xml:space="preserve"> a porté à l’attention du Secrétariat que la PIOP avait en fait soumis son rapport avant la date limite du 15 février 2019. Après enquête, l</w:t>
      </w:r>
      <w:r w:rsidR="00F41EEE">
        <w:t>es courriels que cette ONG avai</w:t>
      </w:r>
      <w:r>
        <w:t>t adressés au Secrétariat, notamment le message contenant le rapport quadriennal de l’ONG, ont été retrouvés dans le dossier de courriers indésirables du Secrétariat. Cela pourrait s’expliquer par la présence du mot « ban</w:t>
      </w:r>
      <w:r w:rsidR="00005EF6">
        <w:t>que</w:t>
      </w:r>
      <w:r>
        <w:t> » dans l’adresse de l’ONG. Après un examen minutieux du rapport quadriennal, le Secrétariat estime qu</w:t>
      </w:r>
      <w:r w:rsidR="00A83E8A">
        <w:t xml:space="preserve">e le document </w:t>
      </w:r>
      <w:r>
        <w:t xml:space="preserve">aurait permis au Comité d’apprécier positivement la contribution de cette organisation et son engagement à l’égard de ses travaux. Le problème étant d’ordre administratif, le Secrétariat propose à l’Assemblée générale de rétablir l’accréditation de la PIOP sans documentation supplémentaire. </w:t>
      </w:r>
      <w:r w:rsidR="00EF2199">
        <w:t xml:space="preserve">En ce sens, </w:t>
      </w:r>
      <w:r>
        <w:t>l’annexe du présent document compte la PIOP parmi les trente-six organisations susceptibles d’être accréditées par l’Assemblée générale à la présente session.</w:t>
      </w:r>
    </w:p>
    <w:p w14:paraId="6577F17D" w14:textId="77777777" w:rsidR="008A1ED4" w:rsidRPr="005A4A42" w:rsidRDefault="008A1ED4" w:rsidP="008A1ED4">
      <w:pPr>
        <w:keepNext/>
        <w:numPr>
          <w:ilvl w:val="0"/>
          <w:numId w:val="19"/>
        </w:numPr>
        <w:ind w:left="567" w:hanging="567"/>
        <w:jc w:val="both"/>
        <w:rPr>
          <w:rFonts w:ascii="Arial" w:eastAsia="SimSun" w:hAnsi="Arial" w:cs="Arial"/>
          <w:sz w:val="22"/>
          <w:szCs w:val="22"/>
        </w:rPr>
      </w:pPr>
      <w:r>
        <w:rPr>
          <w:rFonts w:ascii="Arial" w:hAnsi="Arial"/>
          <w:sz w:val="22"/>
        </w:rPr>
        <w:lastRenderedPageBreak/>
        <w:t>L’Assemblée générale souhaitera peut-être adopter la résolution suivante :</w:t>
      </w:r>
    </w:p>
    <w:p w14:paraId="457827F2" w14:textId="41CDA96E" w:rsidR="008A1ED4" w:rsidRDefault="00731816" w:rsidP="008A1ED4">
      <w:pPr>
        <w:pStyle w:val="GATitleResolution"/>
      </w:pPr>
      <w:r>
        <w:t>PROJET DE RÉSOLUTION 8.GA 13</w:t>
      </w:r>
    </w:p>
    <w:p w14:paraId="2DA13918" w14:textId="77777777" w:rsidR="008A1ED4" w:rsidRPr="005A4A42" w:rsidRDefault="008A1ED4" w:rsidP="008A1ED4">
      <w:pPr>
        <w:pStyle w:val="GAPreambulaResolution"/>
        <w:rPr>
          <w:rFonts w:eastAsia="SimSun"/>
        </w:rPr>
      </w:pPr>
      <w:r>
        <w:t>L’Assemblée générale,</w:t>
      </w:r>
    </w:p>
    <w:p w14:paraId="1D1820D1" w14:textId="275CF8E9" w:rsidR="008A1ED4" w:rsidRPr="00345CB4" w:rsidRDefault="008A1ED4" w:rsidP="008A1ED4">
      <w:pPr>
        <w:pStyle w:val="COMParaDecision"/>
        <w:numPr>
          <w:ilvl w:val="0"/>
          <w:numId w:val="10"/>
        </w:numPr>
        <w:ind w:left="1134" w:hanging="567"/>
        <w:jc w:val="left"/>
      </w:pPr>
      <w:r>
        <w:t>Ayant examiné</w:t>
      </w:r>
      <w:r>
        <w:rPr>
          <w:u w:val="none"/>
        </w:rPr>
        <w:t xml:space="preserve"> le document LHE</w:t>
      </w:r>
      <w:r w:rsidR="00731816">
        <w:rPr>
          <w:u w:val="none"/>
        </w:rPr>
        <w:t>/20/8.GA/13</w:t>
      </w:r>
      <w:r>
        <w:rPr>
          <w:u w:val="none"/>
        </w:rPr>
        <w:t>,</w:t>
      </w:r>
    </w:p>
    <w:p w14:paraId="41AFB643" w14:textId="4A7D4D83" w:rsidR="008A1ED4" w:rsidRPr="00345CB4" w:rsidRDefault="008A1ED4" w:rsidP="0016346E">
      <w:pPr>
        <w:pStyle w:val="COMParaDecision"/>
        <w:numPr>
          <w:ilvl w:val="0"/>
          <w:numId w:val="10"/>
        </w:numPr>
        <w:ind w:left="1134" w:hanging="567"/>
      </w:pPr>
      <w:r>
        <w:t>Rappelant</w:t>
      </w:r>
      <w:r>
        <w:rPr>
          <w:u w:val="none"/>
        </w:rPr>
        <w:t xml:space="preserve"> l’article 9 de la Convention et les paragraphes 91 à 99 des Directives opérationnelles,</w:t>
      </w:r>
    </w:p>
    <w:p w14:paraId="0CEFF4FF" w14:textId="2BAB0237" w:rsidR="008A1ED4" w:rsidRPr="00345CB4" w:rsidRDefault="008A1ED4" w:rsidP="002A48D6">
      <w:pPr>
        <w:pStyle w:val="COMParaDecision"/>
        <w:numPr>
          <w:ilvl w:val="0"/>
          <w:numId w:val="10"/>
        </w:numPr>
        <w:ind w:left="1134" w:hanging="567"/>
      </w:pPr>
      <w:r>
        <w:t>Rappelant également</w:t>
      </w:r>
      <w:r>
        <w:rPr>
          <w:u w:val="none"/>
        </w:rPr>
        <w:t xml:space="preserve"> la </w:t>
      </w:r>
      <w:hyperlink r:id="rId19" w:history="1">
        <w:r w:rsidRPr="0016346E">
          <w:rPr>
            <w:rStyle w:val="Lienhypertexte"/>
          </w:rPr>
          <w:t>décision 14.COM 17</w:t>
        </w:r>
      </w:hyperlink>
      <w:r>
        <w:rPr>
          <w:u w:val="none"/>
        </w:rPr>
        <w:t>,</w:t>
      </w:r>
    </w:p>
    <w:p w14:paraId="6C968724" w14:textId="52F4DAE3" w:rsidR="008A1ED4" w:rsidRPr="00345CB4" w:rsidRDefault="008A1ED4" w:rsidP="002A48D6">
      <w:pPr>
        <w:pStyle w:val="COMParaDecision"/>
        <w:numPr>
          <w:ilvl w:val="0"/>
          <w:numId w:val="10"/>
        </w:numPr>
        <w:ind w:left="1134" w:hanging="567"/>
      </w:pPr>
      <w:r>
        <w:t>Accrédite</w:t>
      </w:r>
      <w:r>
        <w:rPr>
          <w:u w:val="none"/>
        </w:rPr>
        <w:t xml:space="preserve"> les trente-six organisations non gouvernementales dont la liste figure en annexe de la présente résolution, pour qu’elles exercent des fonctions consultatives auprès du Comité ;</w:t>
      </w:r>
    </w:p>
    <w:p w14:paraId="65CB6C3B" w14:textId="741E4DED" w:rsidR="008A1ED4" w:rsidRPr="00345CB4" w:rsidRDefault="002A48D6" w:rsidP="002A48D6">
      <w:pPr>
        <w:pStyle w:val="COMParaDecision"/>
        <w:numPr>
          <w:ilvl w:val="0"/>
          <w:numId w:val="10"/>
        </w:numPr>
        <w:ind w:left="1134" w:hanging="567"/>
      </w:pPr>
      <w:r>
        <w:t>Encourage</w:t>
      </w:r>
      <w:r>
        <w:rPr>
          <w:u w:val="none"/>
        </w:rPr>
        <w:t xml:space="preserve"> les ONG des groupes électoraux sous-représentés qui répondent aux critères d’accréditation à soumettre leurs demandes d’accréditation dans les meilleurs délais afin d’améliorer la répartition géographique des ONG accréditées et </w:t>
      </w:r>
      <w:r w:rsidRPr="007C6CB4">
        <w:t>invite</w:t>
      </w:r>
      <w:r>
        <w:rPr>
          <w:u w:val="none"/>
        </w:rPr>
        <w:t xml:space="preserve"> les États parties de ces groupes électoraux à transmettre largement cet appel aux ONG opérant sur leur territoire ;</w:t>
      </w:r>
    </w:p>
    <w:p w14:paraId="059565CB" w14:textId="1EED3097" w:rsidR="00CA5D4F" w:rsidRDefault="002A48D6" w:rsidP="0051027B">
      <w:pPr>
        <w:pStyle w:val="COMParaDecision"/>
        <w:numPr>
          <w:ilvl w:val="0"/>
          <w:numId w:val="10"/>
        </w:numPr>
        <w:ind w:left="1134" w:hanging="567"/>
      </w:pPr>
      <w:r>
        <w:t>Invite</w:t>
      </w:r>
      <w:r>
        <w:rPr>
          <w:u w:val="none"/>
        </w:rPr>
        <w:t xml:space="preserve"> les ONG accréditées en 2012 et en 2016 à remettre au Secrétariat leur rapport quadriennal avant la date limite du 15 février 2021, afin que le Comité puisse étudier la contribution et l’implication de chaque organisation consultati</w:t>
      </w:r>
      <w:r w:rsidR="00EF2199">
        <w:rPr>
          <w:u w:val="none"/>
        </w:rPr>
        <w:t>ve lors de sa seizième session.</w:t>
      </w:r>
    </w:p>
    <w:p w14:paraId="6A8A1D1E" w14:textId="4F8BEDBA" w:rsidR="00CA5D4F" w:rsidRDefault="00CA5D4F">
      <w:pPr>
        <w:rPr>
          <w:rFonts w:ascii="Arial" w:eastAsia="SimSun" w:hAnsi="Arial" w:cs="Arial"/>
          <w:sz w:val="22"/>
          <w:szCs w:val="22"/>
          <w:u w:val="single"/>
        </w:rPr>
      </w:pPr>
      <w:r>
        <w:br w:type="page"/>
      </w:r>
    </w:p>
    <w:p w14:paraId="4C01400A" w14:textId="31DBD48B" w:rsidR="00CA5D4F" w:rsidRDefault="00CA5D4F" w:rsidP="00CA5D4F">
      <w:pPr>
        <w:pStyle w:val="5GAparabodytext"/>
        <w:ind w:left="0" w:firstLine="0"/>
        <w:jc w:val="center"/>
        <w:rPr>
          <w:b/>
        </w:rPr>
      </w:pPr>
      <w:r>
        <w:rPr>
          <w:b/>
        </w:rPr>
        <w:lastRenderedPageBreak/>
        <w:t>ANNEXE</w:t>
      </w:r>
    </w:p>
    <w:p w14:paraId="67028E01" w14:textId="77777777" w:rsidR="00CA5D4F" w:rsidRPr="00B10A85" w:rsidRDefault="00CA5D4F" w:rsidP="00CA5D4F">
      <w:pPr>
        <w:pStyle w:val="Paragraphedeliste"/>
        <w:keepNext/>
        <w:spacing w:before="120" w:after="240"/>
        <w:ind w:left="0"/>
        <w:jc w:val="center"/>
        <w:rPr>
          <w:b/>
        </w:rPr>
      </w:pPr>
      <w:r>
        <w:rPr>
          <w:rFonts w:ascii="Arial" w:hAnsi="Arial"/>
          <w:b/>
          <w:sz w:val="22"/>
          <w:szCs w:val="22"/>
        </w:rPr>
        <w:t>Organisations non gouvernementales recommandées pour accréditation</w:t>
      </w:r>
    </w:p>
    <w:tbl>
      <w:tblPr>
        <w:tblW w:w="9497" w:type="dxa"/>
        <w:tblInd w:w="212" w:type="dxa"/>
        <w:tblCellMar>
          <w:left w:w="70" w:type="dxa"/>
          <w:right w:w="70" w:type="dxa"/>
        </w:tblCellMar>
        <w:tblLook w:val="04A0" w:firstRow="1" w:lastRow="0" w:firstColumn="1" w:lastColumn="0" w:noHBand="0" w:noVBand="1"/>
      </w:tblPr>
      <w:tblGrid>
        <w:gridCol w:w="5813"/>
        <w:gridCol w:w="2125"/>
        <w:gridCol w:w="1559"/>
      </w:tblGrid>
      <w:tr w:rsidR="00CA5D4F" w:rsidRPr="00D1780C" w14:paraId="12B29208" w14:textId="77777777" w:rsidTr="00990AB2">
        <w:trPr>
          <w:trHeight w:val="164"/>
        </w:trPr>
        <w:tc>
          <w:tcPr>
            <w:tcW w:w="3060" w:type="pct"/>
            <w:shd w:val="clear" w:color="auto" w:fill="808080" w:themeFill="background1" w:themeFillShade="80"/>
            <w:vAlign w:val="center"/>
            <w:hideMark/>
          </w:tcPr>
          <w:p w14:paraId="680EBC6A" w14:textId="77777777" w:rsidR="00CA5D4F" w:rsidRPr="0046644C" w:rsidRDefault="00CA5D4F" w:rsidP="008929F3">
            <w:pPr>
              <w:keepNext/>
              <w:jc w:val="center"/>
              <w:rPr>
                <w:rFonts w:ascii="Arial" w:hAnsi="Arial" w:cs="Arial"/>
                <w:b/>
                <w:bCs/>
                <w:color w:val="000000"/>
                <w:sz w:val="22"/>
                <w:szCs w:val="22"/>
              </w:rPr>
            </w:pPr>
            <w:r>
              <w:rPr>
                <w:rFonts w:ascii="Arial" w:hAnsi="Arial"/>
                <w:b/>
                <w:bCs/>
                <w:color w:val="000000"/>
                <w:sz w:val="22"/>
                <w:szCs w:val="22"/>
              </w:rPr>
              <w:t>Nom de l’organisation</w:t>
            </w:r>
          </w:p>
        </w:tc>
        <w:tc>
          <w:tcPr>
            <w:tcW w:w="1119" w:type="pct"/>
            <w:shd w:val="clear" w:color="auto" w:fill="808080" w:themeFill="background1" w:themeFillShade="80"/>
            <w:vAlign w:val="center"/>
            <w:hideMark/>
          </w:tcPr>
          <w:p w14:paraId="185F189C" w14:textId="77777777" w:rsidR="00CA5D4F" w:rsidRPr="0046644C" w:rsidRDefault="00CA5D4F" w:rsidP="008929F3">
            <w:pPr>
              <w:jc w:val="center"/>
              <w:rPr>
                <w:rFonts w:ascii="Arial" w:hAnsi="Arial" w:cs="Arial"/>
                <w:b/>
                <w:bCs/>
                <w:color w:val="000000"/>
                <w:sz w:val="22"/>
                <w:szCs w:val="22"/>
              </w:rPr>
            </w:pPr>
            <w:r>
              <w:rPr>
                <w:rFonts w:ascii="Arial" w:hAnsi="Arial"/>
                <w:b/>
                <w:bCs/>
                <w:color w:val="000000"/>
                <w:sz w:val="22"/>
                <w:szCs w:val="22"/>
              </w:rPr>
              <w:t>Pays d’établissement</w:t>
            </w:r>
          </w:p>
        </w:tc>
        <w:tc>
          <w:tcPr>
            <w:tcW w:w="821" w:type="pct"/>
            <w:shd w:val="clear" w:color="auto" w:fill="808080" w:themeFill="background1" w:themeFillShade="80"/>
            <w:vAlign w:val="center"/>
            <w:hideMark/>
          </w:tcPr>
          <w:p w14:paraId="133FD3F1" w14:textId="77777777" w:rsidR="00CA5D4F" w:rsidRPr="0046644C" w:rsidRDefault="00CA5D4F" w:rsidP="008929F3">
            <w:pPr>
              <w:spacing w:before="120" w:after="120"/>
              <w:jc w:val="center"/>
              <w:rPr>
                <w:rFonts w:ascii="Arial" w:hAnsi="Arial" w:cs="Arial"/>
                <w:b/>
                <w:bCs/>
                <w:color w:val="000000"/>
                <w:sz w:val="22"/>
                <w:szCs w:val="22"/>
              </w:rPr>
            </w:pPr>
            <w:r>
              <w:rPr>
                <w:rFonts w:ascii="Arial" w:hAnsi="Arial"/>
                <w:b/>
                <w:bCs/>
                <w:color w:val="000000"/>
                <w:sz w:val="22"/>
                <w:szCs w:val="22"/>
              </w:rPr>
              <w:t>Numéro de demande</w:t>
            </w:r>
          </w:p>
        </w:tc>
      </w:tr>
      <w:tr w:rsidR="00BD3D04" w:rsidRPr="00D1780C" w14:paraId="5AB70A87" w14:textId="77777777" w:rsidTr="00990AB2">
        <w:trPr>
          <w:trHeight w:val="164"/>
        </w:trPr>
        <w:tc>
          <w:tcPr>
            <w:tcW w:w="3060" w:type="pct"/>
            <w:tcBorders>
              <w:top w:val="single" w:sz="4" w:space="0" w:color="auto"/>
              <w:bottom w:val="single" w:sz="4" w:space="0" w:color="auto"/>
            </w:tcBorders>
            <w:shd w:val="clear" w:color="auto" w:fill="auto"/>
            <w:hideMark/>
          </w:tcPr>
          <w:p w14:paraId="6798E956" w14:textId="64CD187C" w:rsidR="00BD3D04" w:rsidRPr="001A69E4" w:rsidRDefault="00BD3D04" w:rsidP="00BD3D04">
            <w:pPr>
              <w:rPr>
                <w:rFonts w:ascii="Arial" w:hAnsi="Arial" w:cs="Arial"/>
                <w:color w:val="000000"/>
                <w:sz w:val="22"/>
                <w:szCs w:val="22"/>
              </w:rPr>
            </w:pPr>
            <w:r>
              <w:rPr>
                <w:rFonts w:ascii="Arial" w:hAnsi="Arial"/>
                <w:color w:val="000000"/>
                <w:sz w:val="22"/>
                <w:szCs w:val="22"/>
              </w:rPr>
              <w:t>ABAIM</w:t>
            </w:r>
          </w:p>
        </w:tc>
        <w:tc>
          <w:tcPr>
            <w:tcW w:w="1119" w:type="pct"/>
            <w:tcBorders>
              <w:top w:val="single" w:sz="4" w:space="0" w:color="auto"/>
              <w:bottom w:val="single" w:sz="4" w:space="0" w:color="auto"/>
            </w:tcBorders>
            <w:shd w:val="clear" w:color="auto" w:fill="auto"/>
            <w:hideMark/>
          </w:tcPr>
          <w:p w14:paraId="703C7D6D" w14:textId="3C02C573" w:rsidR="00BD3D04" w:rsidRPr="001A69E4" w:rsidRDefault="00BD3D04" w:rsidP="00BD3D04">
            <w:pPr>
              <w:jc w:val="center"/>
              <w:rPr>
                <w:rFonts w:ascii="Arial" w:hAnsi="Arial" w:cs="Arial"/>
                <w:color w:val="000000"/>
                <w:sz w:val="22"/>
                <w:szCs w:val="22"/>
              </w:rPr>
            </w:pPr>
            <w:r>
              <w:rPr>
                <w:rFonts w:ascii="Arial" w:hAnsi="Arial"/>
                <w:color w:val="000000"/>
                <w:sz w:val="22"/>
                <w:szCs w:val="22"/>
              </w:rPr>
              <w:t>Maurice</w:t>
            </w:r>
          </w:p>
        </w:tc>
        <w:tc>
          <w:tcPr>
            <w:tcW w:w="821" w:type="pct"/>
            <w:tcBorders>
              <w:top w:val="single" w:sz="4" w:space="0" w:color="auto"/>
              <w:bottom w:val="single" w:sz="4" w:space="0" w:color="auto"/>
            </w:tcBorders>
            <w:shd w:val="clear" w:color="auto" w:fill="auto"/>
            <w:hideMark/>
          </w:tcPr>
          <w:p w14:paraId="5BA4C218" w14:textId="2930F310" w:rsidR="00BD3D04" w:rsidRPr="001A69E4" w:rsidRDefault="002B7F03" w:rsidP="00BD3D04">
            <w:pPr>
              <w:jc w:val="center"/>
              <w:rPr>
                <w:rFonts w:ascii="Arial" w:hAnsi="Arial" w:cs="Arial"/>
                <w:color w:val="000000"/>
                <w:sz w:val="22"/>
                <w:szCs w:val="22"/>
              </w:rPr>
            </w:pPr>
            <w:hyperlink r:id="rId20" w:history="1">
              <w:r w:rsidR="00BD3D04" w:rsidRPr="000400D4">
                <w:rPr>
                  <w:rStyle w:val="Lienhypertexte"/>
                  <w:rFonts w:ascii="Arial" w:hAnsi="Arial"/>
                  <w:sz w:val="22"/>
                  <w:szCs w:val="22"/>
                </w:rPr>
                <w:t>NGO-90443</w:t>
              </w:r>
            </w:hyperlink>
          </w:p>
        </w:tc>
      </w:tr>
      <w:tr w:rsidR="00BD3D04" w:rsidRPr="00D1780C" w14:paraId="2EACA098" w14:textId="77777777" w:rsidTr="00990AB2">
        <w:trPr>
          <w:trHeight w:val="164"/>
        </w:trPr>
        <w:tc>
          <w:tcPr>
            <w:tcW w:w="3060" w:type="pct"/>
            <w:tcBorders>
              <w:top w:val="single" w:sz="4" w:space="0" w:color="auto"/>
              <w:bottom w:val="single" w:sz="4" w:space="0" w:color="auto"/>
            </w:tcBorders>
            <w:shd w:val="clear" w:color="auto" w:fill="auto"/>
          </w:tcPr>
          <w:p w14:paraId="206996AE" w14:textId="695D934A" w:rsidR="00BD3D04" w:rsidRPr="001A69E4" w:rsidRDefault="00BD3D04" w:rsidP="00BD3D04">
            <w:pPr>
              <w:rPr>
                <w:rFonts w:ascii="Arial" w:hAnsi="Arial" w:cs="Arial"/>
                <w:color w:val="000000"/>
                <w:sz w:val="22"/>
                <w:szCs w:val="22"/>
              </w:rPr>
            </w:pPr>
            <w:r>
              <w:rPr>
                <w:rFonts w:ascii="Arial" w:hAnsi="Arial"/>
                <w:color w:val="000000"/>
                <w:sz w:val="22"/>
                <w:szCs w:val="22"/>
              </w:rPr>
              <w:t xml:space="preserve">Association culturelle </w:t>
            </w:r>
            <w:proofErr w:type="spellStart"/>
            <w:r>
              <w:rPr>
                <w:rFonts w:ascii="Arial" w:hAnsi="Arial"/>
                <w:color w:val="000000"/>
                <w:sz w:val="22"/>
                <w:szCs w:val="22"/>
              </w:rPr>
              <w:t>Passate</w:t>
            </w:r>
            <w:proofErr w:type="spellEnd"/>
          </w:p>
        </w:tc>
        <w:tc>
          <w:tcPr>
            <w:tcW w:w="1119" w:type="pct"/>
            <w:tcBorders>
              <w:top w:val="single" w:sz="4" w:space="0" w:color="auto"/>
              <w:bottom w:val="single" w:sz="4" w:space="0" w:color="auto"/>
            </w:tcBorders>
            <w:shd w:val="clear" w:color="auto" w:fill="auto"/>
          </w:tcPr>
          <w:p w14:paraId="0DC643A4" w14:textId="1D4B7523" w:rsidR="00BD3D04" w:rsidRDefault="00BD3D04" w:rsidP="00BD3D04">
            <w:pPr>
              <w:jc w:val="center"/>
              <w:rPr>
                <w:rFonts w:ascii="Arial" w:hAnsi="Arial" w:cs="Arial"/>
                <w:color w:val="000000"/>
                <w:sz w:val="22"/>
                <w:szCs w:val="22"/>
              </w:rPr>
            </w:pPr>
            <w:r>
              <w:rPr>
                <w:rFonts w:ascii="Arial" w:hAnsi="Arial"/>
                <w:color w:val="000000"/>
                <w:sz w:val="22"/>
                <w:szCs w:val="22"/>
              </w:rPr>
              <w:t>Burkina Faso</w:t>
            </w:r>
          </w:p>
        </w:tc>
        <w:tc>
          <w:tcPr>
            <w:tcW w:w="821" w:type="pct"/>
            <w:tcBorders>
              <w:top w:val="single" w:sz="4" w:space="0" w:color="auto"/>
              <w:bottom w:val="single" w:sz="4" w:space="0" w:color="auto"/>
            </w:tcBorders>
            <w:shd w:val="clear" w:color="auto" w:fill="auto"/>
          </w:tcPr>
          <w:p w14:paraId="0A1DA76C" w14:textId="785303B2" w:rsidR="00BD3D04" w:rsidRPr="001A69E4" w:rsidRDefault="002B7F03" w:rsidP="00BD3D04">
            <w:pPr>
              <w:jc w:val="center"/>
              <w:rPr>
                <w:rFonts w:ascii="Arial" w:hAnsi="Arial" w:cs="Arial"/>
                <w:color w:val="000000"/>
                <w:sz w:val="22"/>
                <w:szCs w:val="22"/>
              </w:rPr>
            </w:pPr>
            <w:hyperlink r:id="rId21" w:history="1">
              <w:r w:rsidR="00BD3D04" w:rsidRPr="008B1CFF">
                <w:rPr>
                  <w:rStyle w:val="Lienhypertexte"/>
                  <w:rFonts w:ascii="Arial" w:hAnsi="Arial"/>
                  <w:sz w:val="22"/>
                  <w:szCs w:val="22"/>
                </w:rPr>
                <w:t>NGO-90450</w:t>
              </w:r>
            </w:hyperlink>
          </w:p>
        </w:tc>
      </w:tr>
      <w:tr w:rsidR="00BD3D04" w:rsidRPr="00D1780C" w14:paraId="1079DE53" w14:textId="77777777" w:rsidTr="00990AB2">
        <w:trPr>
          <w:trHeight w:val="164"/>
        </w:trPr>
        <w:tc>
          <w:tcPr>
            <w:tcW w:w="3060" w:type="pct"/>
            <w:tcBorders>
              <w:top w:val="single" w:sz="4" w:space="0" w:color="auto"/>
              <w:bottom w:val="single" w:sz="4" w:space="0" w:color="auto"/>
            </w:tcBorders>
            <w:shd w:val="clear" w:color="auto" w:fill="auto"/>
          </w:tcPr>
          <w:p w14:paraId="4A5EED29" w14:textId="13251783" w:rsidR="00BD3D04" w:rsidRDefault="00BD3D04" w:rsidP="00BD3D04">
            <w:pPr>
              <w:rPr>
                <w:rFonts w:ascii="Arial" w:hAnsi="Arial" w:cs="Arial"/>
                <w:color w:val="000000"/>
                <w:sz w:val="22"/>
                <w:szCs w:val="22"/>
              </w:rPr>
            </w:pPr>
            <w:r>
              <w:rPr>
                <w:rFonts w:ascii="Arial" w:hAnsi="Arial"/>
                <w:color w:val="000000"/>
                <w:sz w:val="22"/>
                <w:szCs w:val="22"/>
              </w:rPr>
              <w:t xml:space="preserve">Association House of </w:t>
            </w:r>
            <w:proofErr w:type="spellStart"/>
            <w:r>
              <w:rPr>
                <w:rFonts w:ascii="Arial" w:hAnsi="Arial"/>
                <w:color w:val="000000"/>
                <w:sz w:val="22"/>
                <w:szCs w:val="22"/>
              </w:rPr>
              <w:t>Batana</w:t>
            </w:r>
            <w:proofErr w:type="spellEnd"/>
          </w:p>
        </w:tc>
        <w:tc>
          <w:tcPr>
            <w:tcW w:w="1119" w:type="pct"/>
            <w:tcBorders>
              <w:top w:val="single" w:sz="4" w:space="0" w:color="auto"/>
              <w:bottom w:val="single" w:sz="4" w:space="0" w:color="auto"/>
            </w:tcBorders>
            <w:shd w:val="clear" w:color="auto" w:fill="auto"/>
          </w:tcPr>
          <w:p w14:paraId="36BD2D17" w14:textId="44F6FA76" w:rsidR="00BD3D04" w:rsidRDefault="00BD3D04" w:rsidP="00BD3D04">
            <w:pPr>
              <w:jc w:val="center"/>
              <w:rPr>
                <w:rFonts w:ascii="Arial" w:hAnsi="Arial" w:cs="Arial"/>
                <w:color w:val="000000"/>
                <w:sz w:val="22"/>
                <w:szCs w:val="22"/>
              </w:rPr>
            </w:pPr>
            <w:r>
              <w:rPr>
                <w:rFonts w:ascii="Arial" w:hAnsi="Arial"/>
                <w:color w:val="000000"/>
                <w:sz w:val="22"/>
                <w:szCs w:val="22"/>
              </w:rPr>
              <w:t>Croatie</w:t>
            </w:r>
          </w:p>
        </w:tc>
        <w:tc>
          <w:tcPr>
            <w:tcW w:w="821" w:type="pct"/>
            <w:tcBorders>
              <w:top w:val="single" w:sz="4" w:space="0" w:color="auto"/>
              <w:bottom w:val="single" w:sz="4" w:space="0" w:color="auto"/>
            </w:tcBorders>
            <w:shd w:val="clear" w:color="auto" w:fill="auto"/>
          </w:tcPr>
          <w:p w14:paraId="1277941D" w14:textId="57E936FC" w:rsidR="00BD3D04" w:rsidRDefault="002B7F03" w:rsidP="00BD3D04">
            <w:pPr>
              <w:jc w:val="center"/>
              <w:rPr>
                <w:rFonts w:ascii="Arial" w:hAnsi="Arial" w:cs="Arial"/>
                <w:color w:val="000000"/>
                <w:sz w:val="22"/>
                <w:szCs w:val="22"/>
              </w:rPr>
            </w:pPr>
            <w:hyperlink r:id="rId22" w:history="1">
              <w:r w:rsidR="00BD3D04" w:rsidRPr="001A46BF">
                <w:rPr>
                  <w:rStyle w:val="Lienhypertexte"/>
                  <w:rFonts w:ascii="Arial" w:hAnsi="Arial"/>
                  <w:sz w:val="22"/>
                  <w:szCs w:val="22"/>
                </w:rPr>
                <w:t>NGO-90457</w:t>
              </w:r>
            </w:hyperlink>
          </w:p>
        </w:tc>
      </w:tr>
      <w:tr w:rsidR="00BD3D04" w:rsidRPr="00D1780C" w14:paraId="6BCDC247" w14:textId="77777777" w:rsidTr="00990AB2">
        <w:trPr>
          <w:trHeight w:val="164"/>
        </w:trPr>
        <w:tc>
          <w:tcPr>
            <w:tcW w:w="3060" w:type="pct"/>
            <w:tcBorders>
              <w:top w:val="single" w:sz="4" w:space="0" w:color="auto"/>
              <w:bottom w:val="single" w:sz="4" w:space="0" w:color="auto"/>
            </w:tcBorders>
            <w:shd w:val="clear" w:color="auto" w:fill="auto"/>
          </w:tcPr>
          <w:p w14:paraId="171CA5EA" w14:textId="7DCF6368" w:rsidR="00BD3D04" w:rsidRDefault="00BD3D04" w:rsidP="00BD3D04">
            <w:pPr>
              <w:rPr>
                <w:rFonts w:ascii="Arial" w:hAnsi="Arial" w:cs="Arial"/>
                <w:color w:val="000000"/>
                <w:sz w:val="22"/>
                <w:szCs w:val="22"/>
              </w:rPr>
            </w:pPr>
            <w:r>
              <w:rPr>
                <w:rFonts w:ascii="Arial" w:hAnsi="Arial"/>
                <w:color w:val="000000"/>
                <w:sz w:val="22"/>
                <w:szCs w:val="22"/>
              </w:rPr>
              <w:t xml:space="preserve">Association </w:t>
            </w:r>
            <w:proofErr w:type="spellStart"/>
            <w:r>
              <w:rPr>
                <w:rFonts w:ascii="Arial" w:hAnsi="Arial"/>
                <w:color w:val="000000"/>
                <w:sz w:val="22"/>
                <w:szCs w:val="22"/>
              </w:rPr>
              <w:t>Mamelomaso</w:t>
            </w:r>
            <w:proofErr w:type="spellEnd"/>
            <w:r>
              <w:rPr>
                <w:rFonts w:ascii="Arial" w:hAnsi="Arial"/>
                <w:color w:val="000000"/>
                <w:sz w:val="22"/>
                <w:szCs w:val="22"/>
              </w:rPr>
              <w:t xml:space="preserve"> (MM)</w:t>
            </w:r>
          </w:p>
        </w:tc>
        <w:tc>
          <w:tcPr>
            <w:tcW w:w="1119" w:type="pct"/>
            <w:tcBorders>
              <w:top w:val="single" w:sz="4" w:space="0" w:color="auto"/>
              <w:bottom w:val="single" w:sz="4" w:space="0" w:color="auto"/>
            </w:tcBorders>
            <w:shd w:val="clear" w:color="auto" w:fill="auto"/>
          </w:tcPr>
          <w:p w14:paraId="4115B782" w14:textId="70C74997" w:rsidR="00BD3D04" w:rsidRDefault="00BD3D04" w:rsidP="00BD3D04">
            <w:pPr>
              <w:jc w:val="center"/>
              <w:rPr>
                <w:rFonts w:ascii="Arial" w:hAnsi="Arial" w:cs="Arial"/>
                <w:color w:val="000000"/>
                <w:sz w:val="22"/>
                <w:szCs w:val="22"/>
              </w:rPr>
            </w:pPr>
            <w:r>
              <w:rPr>
                <w:rFonts w:ascii="Arial" w:hAnsi="Arial"/>
                <w:color w:val="000000"/>
                <w:sz w:val="22"/>
                <w:szCs w:val="22"/>
              </w:rPr>
              <w:t>Madagascar</w:t>
            </w:r>
          </w:p>
        </w:tc>
        <w:tc>
          <w:tcPr>
            <w:tcW w:w="821" w:type="pct"/>
            <w:tcBorders>
              <w:top w:val="single" w:sz="4" w:space="0" w:color="auto"/>
              <w:bottom w:val="single" w:sz="4" w:space="0" w:color="auto"/>
            </w:tcBorders>
            <w:shd w:val="clear" w:color="auto" w:fill="auto"/>
          </w:tcPr>
          <w:p w14:paraId="792DC439" w14:textId="7BD1C1A0" w:rsidR="00BD3D04" w:rsidRDefault="002B7F03" w:rsidP="00BD3D04">
            <w:pPr>
              <w:jc w:val="center"/>
              <w:rPr>
                <w:rFonts w:ascii="Arial" w:hAnsi="Arial" w:cs="Arial"/>
                <w:color w:val="000000"/>
                <w:sz w:val="22"/>
                <w:szCs w:val="22"/>
              </w:rPr>
            </w:pPr>
            <w:hyperlink r:id="rId23" w:history="1">
              <w:r w:rsidR="00BD3D04" w:rsidRPr="006D3BC6">
                <w:rPr>
                  <w:rStyle w:val="Lienhypertexte"/>
                  <w:rFonts w:ascii="Arial" w:hAnsi="Arial"/>
                  <w:sz w:val="22"/>
                  <w:szCs w:val="22"/>
                </w:rPr>
                <w:t>NGO-90419</w:t>
              </w:r>
            </w:hyperlink>
          </w:p>
        </w:tc>
      </w:tr>
      <w:tr w:rsidR="00BD3D04" w:rsidRPr="00D1780C" w14:paraId="574626A8" w14:textId="77777777" w:rsidTr="00990AB2">
        <w:trPr>
          <w:trHeight w:val="164"/>
        </w:trPr>
        <w:tc>
          <w:tcPr>
            <w:tcW w:w="3060" w:type="pct"/>
            <w:tcBorders>
              <w:top w:val="single" w:sz="4" w:space="0" w:color="auto"/>
              <w:bottom w:val="single" w:sz="4" w:space="0" w:color="auto"/>
            </w:tcBorders>
            <w:shd w:val="clear" w:color="auto" w:fill="auto"/>
          </w:tcPr>
          <w:p w14:paraId="01FDA6F2" w14:textId="06E892C8" w:rsidR="00BD3D04" w:rsidRDefault="00BD3D04" w:rsidP="00BD3D04">
            <w:pPr>
              <w:rPr>
                <w:rFonts w:ascii="Arial" w:hAnsi="Arial" w:cs="Arial"/>
                <w:color w:val="000000"/>
                <w:sz w:val="22"/>
                <w:szCs w:val="22"/>
              </w:rPr>
            </w:pPr>
            <w:r>
              <w:rPr>
                <w:rFonts w:ascii="Arial" w:hAnsi="Arial"/>
                <w:color w:val="000000"/>
                <w:sz w:val="22"/>
                <w:szCs w:val="22"/>
              </w:rPr>
              <w:t>Association Recherche Histoire et Patrimoine de l’Oriental Marocain (ARHPOM)</w:t>
            </w:r>
          </w:p>
        </w:tc>
        <w:tc>
          <w:tcPr>
            <w:tcW w:w="1119" w:type="pct"/>
            <w:tcBorders>
              <w:top w:val="single" w:sz="4" w:space="0" w:color="auto"/>
              <w:bottom w:val="single" w:sz="4" w:space="0" w:color="auto"/>
            </w:tcBorders>
            <w:shd w:val="clear" w:color="auto" w:fill="auto"/>
          </w:tcPr>
          <w:p w14:paraId="7AFA48AF" w14:textId="5F3E255D" w:rsidR="00BD3D04" w:rsidRDefault="00BD3D04" w:rsidP="00BD3D04">
            <w:pPr>
              <w:jc w:val="center"/>
              <w:rPr>
                <w:rFonts w:ascii="Arial" w:hAnsi="Arial" w:cs="Arial"/>
                <w:color w:val="000000"/>
                <w:sz w:val="22"/>
                <w:szCs w:val="22"/>
              </w:rPr>
            </w:pPr>
            <w:r>
              <w:rPr>
                <w:rFonts w:ascii="Arial" w:hAnsi="Arial"/>
                <w:color w:val="000000"/>
                <w:sz w:val="22"/>
                <w:szCs w:val="22"/>
              </w:rPr>
              <w:t>Maroc</w:t>
            </w:r>
          </w:p>
        </w:tc>
        <w:tc>
          <w:tcPr>
            <w:tcW w:w="821" w:type="pct"/>
            <w:tcBorders>
              <w:top w:val="single" w:sz="4" w:space="0" w:color="auto"/>
              <w:bottom w:val="single" w:sz="4" w:space="0" w:color="auto"/>
            </w:tcBorders>
            <w:shd w:val="clear" w:color="auto" w:fill="auto"/>
          </w:tcPr>
          <w:p w14:paraId="6EC3594F" w14:textId="07811B4D" w:rsidR="00BD3D04" w:rsidRDefault="002B7F03" w:rsidP="00BD3D04">
            <w:pPr>
              <w:jc w:val="center"/>
              <w:rPr>
                <w:rFonts w:ascii="Arial" w:hAnsi="Arial" w:cs="Arial"/>
                <w:color w:val="000000"/>
                <w:sz w:val="22"/>
                <w:szCs w:val="22"/>
              </w:rPr>
            </w:pPr>
            <w:hyperlink r:id="rId24" w:history="1">
              <w:r w:rsidR="00BD3D04" w:rsidRPr="00C66374">
                <w:rPr>
                  <w:rStyle w:val="Lienhypertexte"/>
                  <w:rFonts w:ascii="Arial" w:hAnsi="Arial"/>
                  <w:sz w:val="22"/>
                  <w:szCs w:val="22"/>
                </w:rPr>
                <w:t>NGO-90470</w:t>
              </w:r>
            </w:hyperlink>
          </w:p>
        </w:tc>
      </w:tr>
      <w:tr w:rsidR="00BD3D04" w:rsidRPr="00A30707" w14:paraId="2C8E678F" w14:textId="77777777" w:rsidTr="00990AB2">
        <w:trPr>
          <w:trHeight w:val="164"/>
        </w:trPr>
        <w:tc>
          <w:tcPr>
            <w:tcW w:w="3060" w:type="pct"/>
            <w:tcBorders>
              <w:top w:val="single" w:sz="4" w:space="0" w:color="auto"/>
              <w:bottom w:val="single" w:sz="4" w:space="0" w:color="auto"/>
            </w:tcBorders>
            <w:shd w:val="clear" w:color="auto" w:fill="auto"/>
          </w:tcPr>
          <w:p w14:paraId="61411286" w14:textId="400AB276" w:rsidR="00BD3D04" w:rsidRPr="00B33CC7" w:rsidRDefault="00BD3D04" w:rsidP="00BD3D04">
            <w:pPr>
              <w:rPr>
                <w:rFonts w:ascii="Arial" w:hAnsi="Arial" w:cs="Arial"/>
                <w:color w:val="000000"/>
                <w:sz w:val="22"/>
                <w:szCs w:val="22"/>
                <w:lang w:val="en-US"/>
              </w:rPr>
            </w:pPr>
            <w:r w:rsidRPr="00B33CC7">
              <w:rPr>
                <w:rFonts w:ascii="Arial" w:hAnsi="Arial"/>
                <w:color w:val="000000"/>
                <w:sz w:val="22"/>
                <w:szCs w:val="22"/>
                <w:lang w:val="en-US"/>
              </w:rPr>
              <w:t>Bavarian association for cultural heritage</w:t>
            </w:r>
          </w:p>
        </w:tc>
        <w:tc>
          <w:tcPr>
            <w:tcW w:w="1119" w:type="pct"/>
            <w:tcBorders>
              <w:top w:val="single" w:sz="4" w:space="0" w:color="auto"/>
              <w:bottom w:val="single" w:sz="4" w:space="0" w:color="auto"/>
            </w:tcBorders>
            <w:shd w:val="clear" w:color="auto" w:fill="auto"/>
          </w:tcPr>
          <w:p w14:paraId="1870881B" w14:textId="42D4DDAB" w:rsidR="00BD3D04" w:rsidRPr="00A30707" w:rsidRDefault="00BD3D04" w:rsidP="00BD3D04">
            <w:pPr>
              <w:jc w:val="center"/>
              <w:rPr>
                <w:rFonts w:ascii="Arial" w:hAnsi="Arial" w:cs="Arial"/>
                <w:color w:val="000000"/>
                <w:sz w:val="22"/>
                <w:szCs w:val="22"/>
              </w:rPr>
            </w:pPr>
            <w:r>
              <w:rPr>
                <w:rFonts w:ascii="Arial" w:hAnsi="Arial"/>
                <w:color w:val="000000"/>
                <w:sz w:val="22"/>
                <w:szCs w:val="22"/>
              </w:rPr>
              <w:t>Allemagne</w:t>
            </w:r>
          </w:p>
        </w:tc>
        <w:tc>
          <w:tcPr>
            <w:tcW w:w="821" w:type="pct"/>
            <w:tcBorders>
              <w:top w:val="single" w:sz="4" w:space="0" w:color="auto"/>
              <w:bottom w:val="single" w:sz="4" w:space="0" w:color="auto"/>
            </w:tcBorders>
            <w:shd w:val="clear" w:color="auto" w:fill="auto"/>
          </w:tcPr>
          <w:p w14:paraId="30223D17" w14:textId="7F1B4BC6" w:rsidR="00BD3D04" w:rsidRPr="00A30707" w:rsidRDefault="002B7F03" w:rsidP="00BD3D04">
            <w:pPr>
              <w:jc w:val="center"/>
              <w:rPr>
                <w:rFonts w:ascii="Arial" w:hAnsi="Arial" w:cs="Arial"/>
                <w:color w:val="000000"/>
                <w:sz w:val="22"/>
                <w:szCs w:val="22"/>
              </w:rPr>
            </w:pPr>
            <w:hyperlink r:id="rId25" w:history="1">
              <w:r w:rsidR="00BD3D04" w:rsidRPr="00CE1740">
                <w:rPr>
                  <w:rStyle w:val="Lienhypertexte"/>
                  <w:rFonts w:ascii="Arial" w:hAnsi="Arial"/>
                  <w:sz w:val="22"/>
                  <w:szCs w:val="22"/>
                  <w:lang w:val="en-US"/>
                </w:rPr>
                <w:t>NGO-90438</w:t>
              </w:r>
            </w:hyperlink>
          </w:p>
        </w:tc>
      </w:tr>
      <w:tr w:rsidR="00BD3D04" w:rsidRPr="00A30707" w14:paraId="5DC12B8D" w14:textId="77777777" w:rsidTr="00990AB2">
        <w:trPr>
          <w:trHeight w:val="164"/>
        </w:trPr>
        <w:tc>
          <w:tcPr>
            <w:tcW w:w="3060" w:type="pct"/>
            <w:tcBorders>
              <w:top w:val="single" w:sz="4" w:space="0" w:color="auto"/>
              <w:bottom w:val="single" w:sz="4" w:space="0" w:color="auto"/>
            </w:tcBorders>
            <w:shd w:val="clear" w:color="auto" w:fill="auto"/>
          </w:tcPr>
          <w:p w14:paraId="40750B9D" w14:textId="218B7DEF" w:rsidR="00BD3D04" w:rsidRPr="00731816" w:rsidRDefault="00BD3D04" w:rsidP="00BD3D04">
            <w:pPr>
              <w:rPr>
                <w:rFonts w:ascii="Arial" w:hAnsi="Arial" w:cs="Arial"/>
                <w:color w:val="000000"/>
                <w:sz w:val="22"/>
                <w:szCs w:val="22"/>
                <w:lang w:val="en-US"/>
              </w:rPr>
            </w:pPr>
            <w:proofErr w:type="spellStart"/>
            <w:r w:rsidRPr="00731816">
              <w:rPr>
                <w:rFonts w:ascii="Arial" w:hAnsi="Arial"/>
                <w:color w:val="000000"/>
                <w:sz w:val="22"/>
                <w:szCs w:val="22"/>
                <w:lang w:val="en-US"/>
              </w:rPr>
              <w:t>Bonairean</w:t>
            </w:r>
            <w:proofErr w:type="spellEnd"/>
            <w:r w:rsidRPr="00731816">
              <w:rPr>
                <w:rFonts w:ascii="Arial" w:hAnsi="Arial"/>
                <w:color w:val="000000"/>
                <w:sz w:val="22"/>
                <w:szCs w:val="22"/>
                <w:lang w:val="en-US"/>
              </w:rPr>
              <w:t xml:space="preserve"> Historical Cultural Foundation FUHIKUBO</w:t>
            </w:r>
          </w:p>
        </w:tc>
        <w:tc>
          <w:tcPr>
            <w:tcW w:w="1119" w:type="pct"/>
            <w:tcBorders>
              <w:top w:val="single" w:sz="4" w:space="0" w:color="auto"/>
              <w:bottom w:val="single" w:sz="4" w:space="0" w:color="auto"/>
            </w:tcBorders>
            <w:shd w:val="clear" w:color="auto" w:fill="auto"/>
          </w:tcPr>
          <w:p w14:paraId="2F5B74A7" w14:textId="58DF1AC4" w:rsidR="00BD3D04" w:rsidRDefault="00BD3D04" w:rsidP="00BD3D04">
            <w:pPr>
              <w:jc w:val="center"/>
              <w:rPr>
                <w:rFonts w:ascii="Arial" w:hAnsi="Arial" w:cs="Arial"/>
                <w:color w:val="000000"/>
                <w:sz w:val="22"/>
                <w:szCs w:val="22"/>
              </w:rPr>
            </w:pPr>
            <w:r>
              <w:rPr>
                <w:rFonts w:ascii="Arial" w:hAnsi="Arial"/>
                <w:color w:val="000000"/>
                <w:sz w:val="22"/>
                <w:szCs w:val="22"/>
              </w:rPr>
              <w:t>Pays-Bas</w:t>
            </w:r>
          </w:p>
          <w:p w14:paraId="654B6F15" w14:textId="39315B15" w:rsidR="00BD3D04" w:rsidRDefault="00BD3D04" w:rsidP="00BD3D04">
            <w:pPr>
              <w:jc w:val="center"/>
              <w:rPr>
                <w:rFonts w:ascii="Arial" w:hAnsi="Arial" w:cs="Arial"/>
                <w:color w:val="000000"/>
                <w:sz w:val="22"/>
                <w:szCs w:val="22"/>
              </w:rPr>
            </w:pPr>
            <w:r>
              <w:rPr>
                <w:rFonts w:ascii="Arial" w:hAnsi="Arial"/>
                <w:color w:val="000000"/>
                <w:sz w:val="22"/>
                <w:szCs w:val="22"/>
              </w:rPr>
              <w:t>(Bonaire)</w:t>
            </w:r>
          </w:p>
        </w:tc>
        <w:tc>
          <w:tcPr>
            <w:tcW w:w="821" w:type="pct"/>
            <w:tcBorders>
              <w:top w:val="single" w:sz="4" w:space="0" w:color="auto"/>
              <w:bottom w:val="single" w:sz="4" w:space="0" w:color="auto"/>
            </w:tcBorders>
            <w:shd w:val="clear" w:color="auto" w:fill="auto"/>
          </w:tcPr>
          <w:p w14:paraId="19F16BCC" w14:textId="37E9FD76" w:rsidR="00BD3D04" w:rsidRDefault="002B7F03" w:rsidP="00BD3D04">
            <w:pPr>
              <w:jc w:val="center"/>
              <w:rPr>
                <w:rFonts w:ascii="Arial" w:hAnsi="Arial" w:cs="Arial"/>
                <w:color w:val="000000"/>
                <w:sz w:val="22"/>
                <w:szCs w:val="22"/>
              </w:rPr>
            </w:pPr>
            <w:hyperlink r:id="rId26" w:history="1">
              <w:r w:rsidR="00BD3D04" w:rsidRPr="00845B58">
                <w:rPr>
                  <w:rStyle w:val="Lienhypertexte"/>
                  <w:rFonts w:ascii="Arial" w:hAnsi="Arial"/>
                  <w:sz w:val="22"/>
                  <w:szCs w:val="22"/>
                  <w:lang w:val="en-US"/>
                </w:rPr>
                <w:t>NGO-90466</w:t>
              </w:r>
            </w:hyperlink>
          </w:p>
        </w:tc>
      </w:tr>
      <w:tr w:rsidR="00BD3D04" w:rsidRPr="00A30707" w14:paraId="30AD07CA" w14:textId="77777777" w:rsidTr="00990AB2">
        <w:trPr>
          <w:trHeight w:val="164"/>
        </w:trPr>
        <w:tc>
          <w:tcPr>
            <w:tcW w:w="3060" w:type="pct"/>
            <w:tcBorders>
              <w:top w:val="single" w:sz="4" w:space="0" w:color="auto"/>
              <w:bottom w:val="single" w:sz="4" w:space="0" w:color="auto"/>
            </w:tcBorders>
            <w:shd w:val="clear" w:color="auto" w:fill="auto"/>
          </w:tcPr>
          <w:p w14:paraId="73F65874" w14:textId="200010FB" w:rsidR="00BD3D04" w:rsidRDefault="00BD3D04" w:rsidP="00BD3D04">
            <w:pPr>
              <w:rPr>
                <w:rFonts w:ascii="Arial" w:hAnsi="Arial" w:cs="Arial"/>
                <w:color w:val="000000"/>
                <w:sz w:val="22"/>
                <w:szCs w:val="22"/>
              </w:rPr>
            </w:pPr>
            <w:r>
              <w:rPr>
                <w:rFonts w:ascii="Arial" w:hAnsi="Arial"/>
                <w:color w:val="000000"/>
                <w:sz w:val="22"/>
                <w:szCs w:val="22"/>
              </w:rPr>
              <w:t>Carrefour mondial de l’accordéon</w:t>
            </w:r>
          </w:p>
        </w:tc>
        <w:tc>
          <w:tcPr>
            <w:tcW w:w="1119" w:type="pct"/>
            <w:tcBorders>
              <w:top w:val="single" w:sz="4" w:space="0" w:color="auto"/>
              <w:bottom w:val="single" w:sz="4" w:space="0" w:color="auto"/>
            </w:tcBorders>
            <w:shd w:val="clear" w:color="auto" w:fill="auto"/>
          </w:tcPr>
          <w:p w14:paraId="4CAC4E21" w14:textId="6A01638C" w:rsidR="00BD3D04" w:rsidRDefault="00BD3D04" w:rsidP="00BD3D04">
            <w:pPr>
              <w:jc w:val="center"/>
              <w:rPr>
                <w:rFonts w:ascii="Arial" w:hAnsi="Arial" w:cs="Arial"/>
                <w:color w:val="000000"/>
                <w:sz w:val="22"/>
                <w:szCs w:val="22"/>
              </w:rPr>
            </w:pPr>
            <w:r>
              <w:rPr>
                <w:rFonts w:ascii="Arial" w:hAnsi="Arial"/>
                <w:color w:val="000000"/>
                <w:sz w:val="22"/>
                <w:szCs w:val="22"/>
              </w:rPr>
              <w:t>Canada</w:t>
            </w:r>
          </w:p>
        </w:tc>
        <w:tc>
          <w:tcPr>
            <w:tcW w:w="821" w:type="pct"/>
            <w:tcBorders>
              <w:top w:val="single" w:sz="4" w:space="0" w:color="auto"/>
              <w:bottom w:val="single" w:sz="4" w:space="0" w:color="auto"/>
            </w:tcBorders>
            <w:shd w:val="clear" w:color="auto" w:fill="auto"/>
          </w:tcPr>
          <w:p w14:paraId="093E28B9" w14:textId="6412FF67" w:rsidR="00BD3D04" w:rsidRDefault="002B7F03" w:rsidP="00BD3D04">
            <w:pPr>
              <w:jc w:val="center"/>
              <w:rPr>
                <w:rFonts w:ascii="Arial" w:hAnsi="Arial" w:cs="Arial"/>
                <w:color w:val="000000"/>
                <w:sz w:val="22"/>
                <w:szCs w:val="22"/>
              </w:rPr>
            </w:pPr>
            <w:hyperlink r:id="rId27" w:history="1">
              <w:r w:rsidR="00BD3D04" w:rsidRPr="00075B99">
                <w:rPr>
                  <w:rStyle w:val="Lienhypertexte"/>
                  <w:rFonts w:ascii="Arial" w:hAnsi="Arial"/>
                  <w:sz w:val="22"/>
                  <w:szCs w:val="22"/>
                  <w:lang w:val="en-US"/>
                </w:rPr>
                <w:t>NGO-90439</w:t>
              </w:r>
            </w:hyperlink>
          </w:p>
        </w:tc>
      </w:tr>
      <w:tr w:rsidR="00BD3D04" w:rsidRPr="00A30707" w14:paraId="7D91853C" w14:textId="77777777" w:rsidTr="00990AB2">
        <w:trPr>
          <w:trHeight w:val="164"/>
        </w:trPr>
        <w:tc>
          <w:tcPr>
            <w:tcW w:w="3060" w:type="pct"/>
            <w:tcBorders>
              <w:top w:val="single" w:sz="4" w:space="0" w:color="auto"/>
              <w:bottom w:val="single" w:sz="4" w:space="0" w:color="auto"/>
            </w:tcBorders>
            <w:shd w:val="clear" w:color="auto" w:fill="auto"/>
          </w:tcPr>
          <w:p w14:paraId="3C114E93" w14:textId="44CCA843" w:rsidR="00BD3D04" w:rsidRPr="00B33CC7" w:rsidRDefault="00BD3D04" w:rsidP="00BD3D04">
            <w:pPr>
              <w:rPr>
                <w:rFonts w:ascii="Arial" w:hAnsi="Arial" w:cs="Arial"/>
                <w:color w:val="000000"/>
                <w:sz w:val="22"/>
                <w:szCs w:val="22"/>
                <w:lang w:val="en-US"/>
              </w:rPr>
            </w:pPr>
            <w:r w:rsidRPr="00B33CC7">
              <w:rPr>
                <w:rFonts w:ascii="Arial" w:hAnsi="Arial"/>
                <w:color w:val="000000"/>
                <w:sz w:val="22"/>
                <w:szCs w:val="22"/>
                <w:lang w:val="en-US"/>
              </w:rPr>
              <w:t>Centre for Black Culture and International Understanding, Osogbo</w:t>
            </w:r>
          </w:p>
        </w:tc>
        <w:tc>
          <w:tcPr>
            <w:tcW w:w="1119" w:type="pct"/>
            <w:tcBorders>
              <w:top w:val="single" w:sz="4" w:space="0" w:color="auto"/>
              <w:bottom w:val="single" w:sz="4" w:space="0" w:color="auto"/>
            </w:tcBorders>
            <w:shd w:val="clear" w:color="auto" w:fill="auto"/>
          </w:tcPr>
          <w:p w14:paraId="7F003990" w14:textId="7F6A4B5E" w:rsidR="00BD3D04" w:rsidRDefault="00BD3D04" w:rsidP="00BD3D04">
            <w:pPr>
              <w:jc w:val="center"/>
              <w:rPr>
                <w:rFonts w:ascii="Arial" w:hAnsi="Arial" w:cs="Arial"/>
                <w:color w:val="000000"/>
                <w:sz w:val="22"/>
                <w:szCs w:val="22"/>
              </w:rPr>
            </w:pPr>
            <w:r>
              <w:rPr>
                <w:rFonts w:ascii="Arial" w:hAnsi="Arial"/>
                <w:color w:val="000000"/>
                <w:sz w:val="22"/>
                <w:szCs w:val="22"/>
              </w:rPr>
              <w:t>Nigéria</w:t>
            </w:r>
          </w:p>
        </w:tc>
        <w:tc>
          <w:tcPr>
            <w:tcW w:w="821" w:type="pct"/>
            <w:tcBorders>
              <w:top w:val="single" w:sz="4" w:space="0" w:color="auto"/>
              <w:bottom w:val="single" w:sz="4" w:space="0" w:color="auto"/>
            </w:tcBorders>
            <w:shd w:val="clear" w:color="auto" w:fill="auto"/>
          </w:tcPr>
          <w:p w14:paraId="46AD3330" w14:textId="0390F86F" w:rsidR="00BD3D04" w:rsidRDefault="002B7F03" w:rsidP="00BD3D04">
            <w:pPr>
              <w:jc w:val="center"/>
              <w:rPr>
                <w:rFonts w:ascii="Arial" w:hAnsi="Arial" w:cs="Arial"/>
                <w:color w:val="000000"/>
                <w:sz w:val="22"/>
                <w:szCs w:val="22"/>
              </w:rPr>
            </w:pPr>
            <w:hyperlink r:id="rId28" w:history="1">
              <w:r w:rsidR="00BD3D04" w:rsidRPr="00AC2889">
                <w:rPr>
                  <w:rStyle w:val="Lienhypertexte"/>
                  <w:rFonts w:ascii="Arial" w:hAnsi="Arial"/>
                  <w:sz w:val="22"/>
                  <w:szCs w:val="22"/>
                  <w:lang w:val="en-US"/>
                </w:rPr>
                <w:t>NGO-90423</w:t>
              </w:r>
            </w:hyperlink>
          </w:p>
        </w:tc>
      </w:tr>
      <w:tr w:rsidR="00BD3D04" w:rsidRPr="00A30707" w14:paraId="24C4F499" w14:textId="77777777" w:rsidTr="00990AB2">
        <w:trPr>
          <w:trHeight w:val="164"/>
        </w:trPr>
        <w:tc>
          <w:tcPr>
            <w:tcW w:w="3060" w:type="pct"/>
            <w:tcBorders>
              <w:top w:val="single" w:sz="4" w:space="0" w:color="auto"/>
              <w:bottom w:val="single" w:sz="4" w:space="0" w:color="auto"/>
            </w:tcBorders>
            <w:shd w:val="clear" w:color="auto" w:fill="auto"/>
          </w:tcPr>
          <w:p w14:paraId="22D2D6E3" w14:textId="01B2F542" w:rsidR="00BD3D04" w:rsidRDefault="00BD3D04" w:rsidP="00BD3D04">
            <w:pPr>
              <w:rPr>
                <w:rFonts w:ascii="Arial" w:hAnsi="Arial" w:cs="Arial"/>
                <w:color w:val="000000"/>
                <w:sz w:val="22"/>
                <w:szCs w:val="22"/>
              </w:rPr>
            </w:pPr>
            <w:proofErr w:type="spellStart"/>
            <w:r w:rsidRPr="000A5062">
              <w:rPr>
                <w:rFonts w:ascii="Arial" w:hAnsi="Arial"/>
                <w:color w:val="000000"/>
                <w:sz w:val="22"/>
                <w:szCs w:val="22"/>
              </w:rPr>
              <w:t>Crafts</w:t>
            </w:r>
            <w:proofErr w:type="spellEnd"/>
            <w:r w:rsidRPr="000A5062">
              <w:rPr>
                <w:rFonts w:ascii="Arial" w:hAnsi="Arial"/>
                <w:color w:val="000000"/>
                <w:sz w:val="22"/>
                <w:szCs w:val="22"/>
              </w:rPr>
              <w:t xml:space="preserve"> of Chile </w:t>
            </w:r>
            <w:proofErr w:type="spellStart"/>
            <w:r w:rsidRPr="000A5062">
              <w:rPr>
                <w:rFonts w:ascii="Arial" w:hAnsi="Arial"/>
                <w:color w:val="000000"/>
                <w:sz w:val="22"/>
                <w:szCs w:val="22"/>
              </w:rPr>
              <w:t>Foundation</w:t>
            </w:r>
            <w:proofErr w:type="spellEnd"/>
          </w:p>
        </w:tc>
        <w:tc>
          <w:tcPr>
            <w:tcW w:w="1119" w:type="pct"/>
            <w:tcBorders>
              <w:top w:val="single" w:sz="4" w:space="0" w:color="auto"/>
              <w:bottom w:val="single" w:sz="4" w:space="0" w:color="auto"/>
            </w:tcBorders>
            <w:shd w:val="clear" w:color="auto" w:fill="auto"/>
          </w:tcPr>
          <w:p w14:paraId="0D8A8FA5" w14:textId="38D299B2" w:rsidR="00BD3D04" w:rsidRDefault="00BD3D04" w:rsidP="00BD3D04">
            <w:pPr>
              <w:jc w:val="center"/>
              <w:rPr>
                <w:rFonts w:ascii="Arial" w:hAnsi="Arial" w:cs="Arial"/>
                <w:color w:val="000000"/>
                <w:sz w:val="22"/>
                <w:szCs w:val="22"/>
              </w:rPr>
            </w:pPr>
            <w:r>
              <w:rPr>
                <w:rFonts w:ascii="Arial" w:hAnsi="Arial"/>
                <w:color w:val="000000"/>
                <w:sz w:val="22"/>
                <w:szCs w:val="22"/>
              </w:rPr>
              <w:t>Chili</w:t>
            </w:r>
          </w:p>
        </w:tc>
        <w:tc>
          <w:tcPr>
            <w:tcW w:w="821" w:type="pct"/>
            <w:tcBorders>
              <w:top w:val="single" w:sz="4" w:space="0" w:color="auto"/>
              <w:bottom w:val="single" w:sz="4" w:space="0" w:color="auto"/>
            </w:tcBorders>
            <w:shd w:val="clear" w:color="auto" w:fill="auto"/>
          </w:tcPr>
          <w:p w14:paraId="17B563DE" w14:textId="60E8FA9A" w:rsidR="00BD3D04" w:rsidRDefault="002B7F03" w:rsidP="00BD3D04">
            <w:pPr>
              <w:jc w:val="center"/>
              <w:rPr>
                <w:rFonts w:ascii="Arial" w:hAnsi="Arial" w:cs="Arial"/>
                <w:color w:val="000000"/>
                <w:sz w:val="22"/>
                <w:szCs w:val="22"/>
              </w:rPr>
            </w:pPr>
            <w:hyperlink r:id="rId29" w:history="1">
              <w:r w:rsidR="00BD3D04" w:rsidRPr="005D0F73">
                <w:rPr>
                  <w:rStyle w:val="Lienhypertexte"/>
                  <w:rFonts w:ascii="Arial" w:hAnsi="Arial"/>
                  <w:sz w:val="22"/>
                  <w:szCs w:val="22"/>
                  <w:lang w:val="en-US"/>
                </w:rPr>
                <w:t>NGO-90458</w:t>
              </w:r>
            </w:hyperlink>
          </w:p>
        </w:tc>
      </w:tr>
      <w:tr w:rsidR="00BD3D04" w:rsidRPr="00A30707" w14:paraId="3C7B378B" w14:textId="77777777" w:rsidTr="00990AB2">
        <w:trPr>
          <w:trHeight w:val="164"/>
        </w:trPr>
        <w:tc>
          <w:tcPr>
            <w:tcW w:w="3060" w:type="pct"/>
            <w:tcBorders>
              <w:top w:val="single" w:sz="4" w:space="0" w:color="auto"/>
              <w:bottom w:val="single" w:sz="4" w:space="0" w:color="auto"/>
            </w:tcBorders>
            <w:shd w:val="clear" w:color="auto" w:fill="auto"/>
          </w:tcPr>
          <w:p w14:paraId="1791F4DE" w14:textId="15B233B7" w:rsidR="00BD3D04" w:rsidRPr="00B33CC7" w:rsidRDefault="00BD3D04" w:rsidP="00BD3D04">
            <w:pPr>
              <w:rPr>
                <w:rFonts w:ascii="Arial" w:hAnsi="Arial" w:cs="Arial"/>
                <w:color w:val="000000"/>
                <w:sz w:val="22"/>
                <w:szCs w:val="22"/>
                <w:lang w:val="en-US"/>
              </w:rPr>
            </w:pPr>
            <w:r w:rsidRPr="00B33CC7">
              <w:rPr>
                <w:rFonts w:ascii="Arial" w:hAnsi="Arial"/>
                <w:color w:val="000000"/>
                <w:sz w:val="22"/>
                <w:szCs w:val="22"/>
                <w:lang w:val="en-US"/>
              </w:rPr>
              <w:t>Cultural and Community Organization NAKS</w:t>
            </w:r>
          </w:p>
        </w:tc>
        <w:tc>
          <w:tcPr>
            <w:tcW w:w="1119" w:type="pct"/>
            <w:tcBorders>
              <w:top w:val="single" w:sz="4" w:space="0" w:color="auto"/>
              <w:bottom w:val="single" w:sz="4" w:space="0" w:color="auto"/>
            </w:tcBorders>
            <w:shd w:val="clear" w:color="auto" w:fill="auto"/>
          </w:tcPr>
          <w:p w14:paraId="556B96F4" w14:textId="6FDCA53F" w:rsidR="00BD3D04" w:rsidRDefault="00BD3D04" w:rsidP="00BD3D04">
            <w:pPr>
              <w:jc w:val="center"/>
              <w:rPr>
                <w:rFonts w:ascii="Arial" w:hAnsi="Arial" w:cs="Arial"/>
                <w:color w:val="000000"/>
                <w:sz w:val="22"/>
                <w:szCs w:val="22"/>
              </w:rPr>
            </w:pPr>
            <w:r>
              <w:rPr>
                <w:rFonts w:ascii="Arial" w:hAnsi="Arial"/>
                <w:color w:val="000000"/>
                <w:sz w:val="22"/>
                <w:szCs w:val="22"/>
              </w:rPr>
              <w:t>Suriname</w:t>
            </w:r>
          </w:p>
        </w:tc>
        <w:tc>
          <w:tcPr>
            <w:tcW w:w="821" w:type="pct"/>
            <w:tcBorders>
              <w:top w:val="single" w:sz="4" w:space="0" w:color="auto"/>
              <w:bottom w:val="single" w:sz="4" w:space="0" w:color="auto"/>
            </w:tcBorders>
            <w:shd w:val="clear" w:color="auto" w:fill="auto"/>
          </w:tcPr>
          <w:p w14:paraId="1B8AF239" w14:textId="6EF7993C" w:rsidR="00BD3D04" w:rsidRDefault="002B7F03" w:rsidP="00BD3D04">
            <w:pPr>
              <w:jc w:val="center"/>
              <w:rPr>
                <w:rFonts w:ascii="Arial" w:hAnsi="Arial" w:cs="Arial"/>
                <w:color w:val="000000"/>
                <w:sz w:val="22"/>
                <w:szCs w:val="22"/>
              </w:rPr>
            </w:pPr>
            <w:hyperlink r:id="rId30" w:history="1">
              <w:r w:rsidR="00BD3D04" w:rsidRPr="00AB0DFC">
                <w:rPr>
                  <w:rStyle w:val="Lienhypertexte"/>
                  <w:rFonts w:ascii="Arial" w:hAnsi="Arial"/>
                  <w:sz w:val="22"/>
                  <w:szCs w:val="22"/>
                  <w:lang w:val="en-US"/>
                </w:rPr>
                <w:t>NGO-90444</w:t>
              </w:r>
            </w:hyperlink>
          </w:p>
        </w:tc>
      </w:tr>
      <w:tr w:rsidR="00BD3D04" w:rsidRPr="00A30707" w14:paraId="72F76172" w14:textId="77777777" w:rsidTr="00990AB2">
        <w:trPr>
          <w:trHeight w:val="164"/>
        </w:trPr>
        <w:tc>
          <w:tcPr>
            <w:tcW w:w="3060" w:type="pct"/>
            <w:tcBorders>
              <w:top w:val="single" w:sz="4" w:space="0" w:color="auto"/>
              <w:bottom w:val="single" w:sz="4" w:space="0" w:color="auto"/>
            </w:tcBorders>
            <w:shd w:val="clear" w:color="auto" w:fill="auto"/>
          </w:tcPr>
          <w:p w14:paraId="59C19E29" w14:textId="3EA96776" w:rsidR="00BD3D04" w:rsidRDefault="00BD3D04" w:rsidP="00BD3D04">
            <w:pPr>
              <w:rPr>
                <w:rFonts w:ascii="Arial" w:hAnsi="Arial" w:cs="Arial"/>
                <w:color w:val="000000"/>
                <w:sz w:val="22"/>
                <w:szCs w:val="22"/>
              </w:rPr>
            </w:pPr>
            <w:r>
              <w:rPr>
                <w:rFonts w:ascii="Arial" w:hAnsi="Arial"/>
                <w:color w:val="000000"/>
                <w:sz w:val="22"/>
                <w:szCs w:val="22"/>
              </w:rPr>
              <w:t>Culture – Développement (CUL.DEV)</w:t>
            </w:r>
          </w:p>
        </w:tc>
        <w:tc>
          <w:tcPr>
            <w:tcW w:w="1119" w:type="pct"/>
            <w:tcBorders>
              <w:top w:val="single" w:sz="4" w:space="0" w:color="auto"/>
              <w:bottom w:val="single" w:sz="4" w:space="0" w:color="auto"/>
            </w:tcBorders>
            <w:shd w:val="clear" w:color="auto" w:fill="auto"/>
          </w:tcPr>
          <w:p w14:paraId="73DD6003" w14:textId="3E504B20" w:rsidR="00BD3D04" w:rsidRDefault="00BD3D04" w:rsidP="00BD3D04">
            <w:pPr>
              <w:jc w:val="center"/>
              <w:rPr>
                <w:rFonts w:ascii="Arial" w:hAnsi="Arial" w:cs="Arial"/>
                <w:color w:val="000000"/>
                <w:sz w:val="22"/>
                <w:szCs w:val="22"/>
              </w:rPr>
            </w:pPr>
            <w:r>
              <w:rPr>
                <w:rFonts w:ascii="Arial" w:hAnsi="Arial"/>
                <w:color w:val="000000"/>
                <w:sz w:val="22"/>
                <w:szCs w:val="22"/>
              </w:rPr>
              <w:t>Togo</w:t>
            </w:r>
          </w:p>
        </w:tc>
        <w:tc>
          <w:tcPr>
            <w:tcW w:w="821" w:type="pct"/>
            <w:tcBorders>
              <w:top w:val="single" w:sz="4" w:space="0" w:color="auto"/>
              <w:bottom w:val="single" w:sz="4" w:space="0" w:color="auto"/>
            </w:tcBorders>
            <w:shd w:val="clear" w:color="auto" w:fill="auto"/>
          </w:tcPr>
          <w:p w14:paraId="0EB93A1F" w14:textId="45D89E40" w:rsidR="00BD3D04" w:rsidRDefault="002B7F03" w:rsidP="00BD3D04">
            <w:pPr>
              <w:jc w:val="center"/>
              <w:rPr>
                <w:rFonts w:ascii="Arial" w:hAnsi="Arial" w:cs="Arial"/>
                <w:color w:val="000000"/>
                <w:sz w:val="22"/>
                <w:szCs w:val="22"/>
              </w:rPr>
            </w:pPr>
            <w:hyperlink r:id="rId31" w:history="1">
              <w:r w:rsidR="00BD3D04" w:rsidRPr="00B84366">
                <w:rPr>
                  <w:rStyle w:val="Lienhypertexte"/>
                  <w:rFonts w:ascii="Arial" w:hAnsi="Arial"/>
                  <w:sz w:val="22"/>
                  <w:szCs w:val="22"/>
                  <w:lang w:val="en-US"/>
                </w:rPr>
                <w:t>NGO-90454</w:t>
              </w:r>
            </w:hyperlink>
          </w:p>
        </w:tc>
      </w:tr>
      <w:tr w:rsidR="00BD3D04" w:rsidRPr="00A30707" w14:paraId="103622B9" w14:textId="77777777" w:rsidTr="00990AB2">
        <w:trPr>
          <w:trHeight w:val="164"/>
        </w:trPr>
        <w:tc>
          <w:tcPr>
            <w:tcW w:w="3060" w:type="pct"/>
            <w:tcBorders>
              <w:top w:val="single" w:sz="4" w:space="0" w:color="auto"/>
              <w:bottom w:val="single" w:sz="4" w:space="0" w:color="auto"/>
            </w:tcBorders>
            <w:shd w:val="clear" w:color="auto" w:fill="auto"/>
          </w:tcPr>
          <w:p w14:paraId="46593E23" w14:textId="49778904" w:rsidR="00BD3D04" w:rsidRPr="0051027B" w:rsidRDefault="00BD3D04" w:rsidP="00BD3D04">
            <w:pPr>
              <w:rPr>
                <w:rFonts w:ascii="Arial" w:hAnsi="Arial" w:cs="Arial"/>
                <w:color w:val="000000"/>
                <w:sz w:val="22"/>
                <w:szCs w:val="22"/>
                <w:lang w:val="en-US"/>
              </w:rPr>
            </w:pPr>
            <w:r w:rsidRPr="0051027B">
              <w:rPr>
                <w:rFonts w:ascii="Arial" w:hAnsi="Arial"/>
                <w:color w:val="000000"/>
                <w:sz w:val="22"/>
                <w:szCs w:val="22"/>
                <w:lang w:val="en-US"/>
              </w:rPr>
              <w:t>Development Centre 'Democracy through culture'</w:t>
            </w:r>
          </w:p>
        </w:tc>
        <w:tc>
          <w:tcPr>
            <w:tcW w:w="1119" w:type="pct"/>
            <w:tcBorders>
              <w:top w:val="single" w:sz="4" w:space="0" w:color="auto"/>
              <w:bottom w:val="single" w:sz="4" w:space="0" w:color="auto"/>
            </w:tcBorders>
            <w:shd w:val="clear" w:color="auto" w:fill="auto"/>
          </w:tcPr>
          <w:p w14:paraId="68B19616" w14:textId="23A48914" w:rsidR="00BD3D04" w:rsidRDefault="00BD3D04" w:rsidP="00BD3D04">
            <w:pPr>
              <w:jc w:val="center"/>
              <w:rPr>
                <w:rFonts w:ascii="Arial" w:hAnsi="Arial" w:cs="Arial"/>
                <w:color w:val="000000"/>
                <w:sz w:val="22"/>
                <w:szCs w:val="22"/>
              </w:rPr>
            </w:pPr>
            <w:r>
              <w:rPr>
                <w:rFonts w:ascii="Arial" w:hAnsi="Arial"/>
                <w:color w:val="000000"/>
                <w:sz w:val="22"/>
                <w:szCs w:val="22"/>
              </w:rPr>
              <w:t>Ukraine</w:t>
            </w:r>
          </w:p>
        </w:tc>
        <w:tc>
          <w:tcPr>
            <w:tcW w:w="821" w:type="pct"/>
            <w:tcBorders>
              <w:top w:val="single" w:sz="4" w:space="0" w:color="auto"/>
              <w:bottom w:val="single" w:sz="4" w:space="0" w:color="auto"/>
            </w:tcBorders>
            <w:shd w:val="clear" w:color="auto" w:fill="auto"/>
          </w:tcPr>
          <w:p w14:paraId="7FD7ADDE" w14:textId="6E91A9B0" w:rsidR="00BD3D04" w:rsidRDefault="002B7F03" w:rsidP="00BD3D04">
            <w:pPr>
              <w:jc w:val="center"/>
              <w:rPr>
                <w:rFonts w:ascii="Arial" w:hAnsi="Arial" w:cs="Arial"/>
                <w:color w:val="000000"/>
                <w:sz w:val="22"/>
                <w:szCs w:val="22"/>
              </w:rPr>
            </w:pPr>
            <w:hyperlink r:id="rId32" w:history="1">
              <w:r w:rsidR="00BD3D04" w:rsidRPr="00E92CE8">
                <w:rPr>
                  <w:rStyle w:val="Lienhypertexte"/>
                  <w:rFonts w:ascii="Arial" w:hAnsi="Arial"/>
                  <w:sz w:val="22"/>
                  <w:szCs w:val="22"/>
                  <w:lang w:val="en-US"/>
                </w:rPr>
                <w:t>NGO-90421</w:t>
              </w:r>
            </w:hyperlink>
          </w:p>
        </w:tc>
      </w:tr>
      <w:tr w:rsidR="00BD3D04" w:rsidRPr="00A30707" w14:paraId="50E0A966" w14:textId="77777777" w:rsidTr="00990AB2">
        <w:trPr>
          <w:trHeight w:val="164"/>
        </w:trPr>
        <w:tc>
          <w:tcPr>
            <w:tcW w:w="3060" w:type="pct"/>
            <w:tcBorders>
              <w:top w:val="single" w:sz="4" w:space="0" w:color="auto"/>
              <w:bottom w:val="single" w:sz="4" w:space="0" w:color="auto"/>
            </w:tcBorders>
            <w:shd w:val="clear" w:color="auto" w:fill="auto"/>
          </w:tcPr>
          <w:p w14:paraId="76345EA8" w14:textId="0099F4A9" w:rsidR="00BD3D04" w:rsidRPr="00B33CC7" w:rsidRDefault="00BD3D04" w:rsidP="00BD3D04">
            <w:pPr>
              <w:rPr>
                <w:rFonts w:ascii="Arial" w:hAnsi="Arial" w:cs="Arial"/>
                <w:color w:val="000000"/>
                <w:sz w:val="22"/>
                <w:szCs w:val="22"/>
                <w:lang w:val="en-US"/>
              </w:rPr>
            </w:pPr>
            <w:r w:rsidRPr="00B33CC7">
              <w:rPr>
                <w:rFonts w:ascii="Arial" w:hAnsi="Arial"/>
                <w:color w:val="000000"/>
                <w:sz w:val="22"/>
                <w:szCs w:val="22"/>
                <w:lang w:val="en-US"/>
              </w:rPr>
              <w:t xml:space="preserve">Ethnographic Centre of the </w:t>
            </w:r>
            <w:proofErr w:type="spellStart"/>
            <w:r w:rsidRPr="00B33CC7">
              <w:rPr>
                <w:rFonts w:ascii="Arial" w:hAnsi="Arial"/>
                <w:color w:val="000000"/>
                <w:sz w:val="22"/>
                <w:szCs w:val="22"/>
                <w:lang w:val="en-US"/>
              </w:rPr>
              <w:t>Campane</w:t>
            </w:r>
            <w:proofErr w:type="spellEnd"/>
            <w:r w:rsidRPr="00B33CC7">
              <w:rPr>
                <w:rFonts w:ascii="Arial" w:hAnsi="Arial"/>
                <w:color w:val="000000"/>
                <w:sz w:val="22"/>
                <w:szCs w:val="22"/>
                <w:lang w:val="en-US"/>
              </w:rPr>
              <w:t xml:space="preserve"> Islands</w:t>
            </w:r>
          </w:p>
        </w:tc>
        <w:tc>
          <w:tcPr>
            <w:tcW w:w="1119" w:type="pct"/>
            <w:tcBorders>
              <w:top w:val="single" w:sz="4" w:space="0" w:color="auto"/>
              <w:bottom w:val="single" w:sz="4" w:space="0" w:color="auto"/>
            </w:tcBorders>
            <w:shd w:val="clear" w:color="auto" w:fill="auto"/>
          </w:tcPr>
          <w:p w14:paraId="52205841" w14:textId="29AD394E" w:rsidR="00BD3D04" w:rsidRDefault="00BD3D04" w:rsidP="00BD3D04">
            <w:pPr>
              <w:jc w:val="center"/>
              <w:rPr>
                <w:rFonts w:ascii="Arial" w:hAnsi="Arial" w:cs="Arial"/>
                <w:color w:val="000000"/>
                <w:sz w:val="22"/>
                <w:szCs w:val="22"/>
              </w:rPr>
            </w:pPr>
            <w:r>
              <w:rPr>
                <w:rFonts w:ascii="Arial" w:hAnsi="Arial"/>
                <w:color w:val="000000"/>
                <w:sz w:val="22"/>
                <w:szCs w:val="22"/>
              </w:rPr>
              <w:t>Italie</w:t>
            </w:r>
          </w:p>
        </w:tc>
        <w:tc>
          <w:tcPr>
            <w:tcW w:w="821" w:type="pct"/>
            <w:tcBorders>
              <w:top w:val="single" w:sz="4" w:space="0" w:color="auto"/>
              <w:bottom w:val="single" w:sz="4" w:space="0" w:color="auto"/>
            </w:tcBorders>
            <w:shd w:val="clear" w:color="auto" w:fill="auto"/>
          </w:tcPr>
          <w:p w14:paraId="3DE68DF4" w14:textId="3D8718A8" w:rsidR="00BD3D04" w:rsidRDefault="002B7F03" w:rsidP="00BD3D04">
            <w:pPr>
              <w:jc w:val="center"/>
              <w:rPr>
                <w:rFonts w:ascii="Arial" w:hAnsi="Arial" w:cs="Arial"/>
                <w:color w:val="000000"/>
                <w:sz w:val="22"/>
                <w:szCs w:val="22"/>
              </w:rPr>
            </w:pPr>
            <w:hyperlink r:id="rId33" w:history="1">
              <w:r w:rsidR="00BD3D04" w:rsidRPr="00D86FE3">
                <w:rPr>
                  <w:rStyle w:val="Lienhypertexte"/>
                  <w:rFonts w:ascii="Arial" w:hAnsi="Arial"/>
                  <w:sz w:val="22"/>
                  <w:szCs w:val="22"/>
                  <w:lang w:val="en-US"/>
                </w:rPr>
                <w:t>NGO-90462</w:t>
              </w:r>
            </w:hyperlink>
          </w:p>
        </w:tc>
      </w:tr>
      <w:tr w:rsidR="00BD3D04" w:rsidRPr="00A30707" w14:paraId="4687B28C" w14:textId="77777777" w:rsidTr="00990AB2">
        <w:trPr>
          <w:trHeight w:val="164"/>
        </w:trPr>
        <w:tc>
          <w:tcPr>
            <w:tcW w:w="3060" w:type="pct"/>
            <w:tcBorders>
              <w:top w:val="single" w:sz="4" w:space="0" w:color="auto"/>
              <w:bottom w:val="single" w:sz="4" w:space="0" w:color="auto"/>
            </w:tcBorders>
            <w:shd w:val="clear" w:color="auto" w:fill="auto"/>
          </w:tcPr>
          <w:p w14:paraId="0065FF1B" w14:textId="745C79F3" w:rsidR="00BD3D04" w:rsidRDefault="00BD3D04" w:rsidP="00BD3D04">
            <w:pPr>
              <w:rPr>
                <w:rFonts w:ascii="Arial" w:hAnsi="Arial" w:cs="Arial"/>
                <w:color w:val="000000"/>
                <w:sz w:val="22"/>
                <w:szCs w:val="22"/>
              </w:rPr>
            </w:pPr>
            <w:proofErr w:type="spellStart"/>
            <w:r>
              <w:rPr>
                <w:rFonts w:ascii="Arial" w:hAnsi="Arial"/>
                <w:color w:val="000000"/>
                <w:sz w:val="22"/>
                <w:szCs w:val="22"/>
              </w:rPr>
              <w:t>Finnish</w:t>
            </w:r>
            <w:proofErr w:type="spellEnd"/>
            <w:r>
              <w:rPr>
                <w:rFonts w:ascii="Arial" w:hAnsi="Arial"/>
                <w:color w:val="000000"/>
                <w:sz w:val="22"/>
                <w:szCs w:val="22"/>
              </w:rPr>
              <w:t xml:space="preserve"> </w:t>
            </w:r>
            <w:proofErr w:type="spellStart"/>
            <w:r>
              <w:rPr>
                <w:rFonts w:ascii="Arial" w:hAnsi="Arial"/>
                <w:color w:val="000000"/>
                <w:sz w:val="22"/>
                <w:szCs w:val="22"/>
              </w:rPr>
              <w:t>Crafts</w:t>
            </w:r>
            <w:proofErr w:type="spellEnd"/>
            <w:r>
              <w:rPr>
                <w:rFonts w:ascii="Arial" w:hAnsi="Arial"/>
                <w:color w:val="000000"/>
                <w:sz w:val="22"/>
                <w:szCs w:val="22"/>
              </w:rPr>
              <w:t xml:space="preserve"> </w:t>
            </w:r>
            <w:proofErr w:type="spellStart"/>
            <w:r>
              <w:rPr>
                <w:rFonts w:ascii="Arial" w:hAnsi="Arial"/>
                <w:color w:val="000000"/>
                <w:sz w:val="22"/>
                <w:szCs w:val="22"/>
              </w:rPr>
              <w:t>Organization</w:t>
            </w:r>
            <w:proofErr w:type="spellEnd"/>
            <w:r>
              <w:rPr>
                <w:rFonts w:ascii="Arial" w:hAnsi="Arial"/>
                <w:color w:val="000000"/>
                <w:sz w:val="22"/>
                <w:szCs w:val="22"/>
              </w:rPr>
              <w:t xml:space="preserve"> </w:t>
            </w:r>
            <w:proofErr w:type="spellStart"/>
            <w:r>
              <w:rPr>
                <w:rFonts w:ascii="Arial" w:hAnsi="Arial"/>
                <w:color w:val="000000"/>
                <w:sz w:val="22"/>
                <w:szCs w:val="22"/>
              </w:rPr>
              <w:t>Taito</w:t>
            </w:r>
            <w:proofErr w:type="spellEnd"/>
          </w:p>
        </w:tc>
        <w:tc>
          <w:tcPr>
            <w:tcW w:w="1119" w:type="pct"/>
            <w:tcBorders>
              <w:top w:val="single" w:sz="4" w:space="0" w:color="auto"/>
              <w:bottom w:val="single" w:sz="4" w:space="0" w:color="auto"/>
            </w:tcBorders>
            <w:shd w:val="clear" w:color="auto" w:fill="auto"/>
          </w:tcPr>
          <w:p w14:paraId="63F865BB" w14:textId="7D72A2EF" w:rsidR="00BD3D04" w:rsidRDefault="00BD3D04" w:rsidP="00BD3D04">
            <w:pPr>
              <w:jc w:val="center"/>
              <w:rPr>
                <w:rFonts w:ascii="Arial" w:hAnsi="Arial" w:cs="Arial"/>
                <w:color w:val="000000"/>
                <w:sz w:val="22"/>
                <w:szCs w:val="22"/>
              </w:rPr>
            </w:pPr>
            <w:r>
              <w:rPr>
                <w:rFonts w:ascii="Arial" w:hAnsi="Arial"/>
                <w:color w:val="000000"/>
                <w:sz w:val="22"/>
                <w:szCs w:val="22"/>
              </w:rPr>
              <w:t>Finlande</w:t>
            </w:r>
          </w:p>
        </w:tc>
        <w:tc>
          <w:tcPr>
            <w:tcW w:w="821" w:type="pct"/>
            <w:tcBorders>
              <w:top w:val="single" w:sz="4" w:space="0" w:color="auto"/>
              <w:bottom w:val="single" w:sz="4" w:space="0" w:color="auto"/>
            </w:tcBorders>
            <w:shd w:val="clear" w:color="auto" w:fill="auto"/>
          </w:tcPr>
          <w:p w14:paraId="4B63963E" w14:textId="0FCEECA5" w:rsidR="00BD3D04" w:rsidRDefault="002B7F03" w:rsidP="00BD3D04">
            <w:pPr>
              <w:jc w:val="center"/>
              <w:rPr>
                <w:rFonts w:ascii="Arial" w:hAnsi="Arial" w:cs="Arial"/>
                <w:color w:val="000000"/>
                <w:sz w:val="22"/>
                <w:szCs w:val="22"/>
              </w:rPr>
            </w:pPr>
            <w:hyperlink r:id="rId34" w:history="1">
              <w:r w:rsidR="00BD3D04" w:rsidRPr="0020654F">
                <w:rPr>
                  <w:rStyle w:val="Lienhypertexte"/>
                  <w:rFonts w:ascii="Arial" w:hAnsi="Arial"/>
                  <w:sz w:val="22"/>
                  <w:szCs w:val="22"/>
                  <w:lang w:val="en-US"/>
                </w:rPr>
                <w:t>NGO-90436</w:t>
              </w:r>
            </w:hyperlink>
          </w:p>
        </w:tc>
      </w:tr>
      <w:tr w:rsidR="00BD3D04" w:rsidRPr="00A30707" w14:paraId="4E716B72" w14:textId="77777777" w:rsidTr="00990AB2">
        <w:trPr>
          <w:trHeight w:val="164"/>
        </w:trPr>
        <w:tc>
          <w:tcPr>
            <w:tcW w:w="3060" w:type="pct"/>
            <w:tcBorders>
              <w:top w:val="single" w:sz="4" w:space="0" w:color="auto"/>
              <w:bottom w:val="single" w:sz="4" w:space="0" w:color="auto"/>
            </w:tcBorders>
            <w:shd w:val="clear" w:color="auto" w:fill="auto"/>
          </w:tcPr>
          <w:p w14:paraId="2EED15E8" w14:textId="441D7443" w:rsidR="00BD3D04" w:rsidRDefault="00BD3D04" w:rsidP="00BD3D04">
            <w:pPr>
              <w:rPr>
                <w:rFonts w:ascii="Arial" w:hAnsi="Arial" w:cs="Arial"/>
                <w:color w:val="000000"/>
                <w:sz w:val="22"/>
                <w:szCs w:val="22"/>
              </w:rPr>
            </w:pPr>
            <w:r>
              <w:rPr>
                <w:rFonts w:ascii="Arial" w:hAnsi="Arial"/>
                <w:color w:val="000000"/>
                <w:sz w:val="22"/>
                <w:szCs w:val="22"/>
              </w:rPr>
              <w:t>Foundation Museum Tula</w:t>
            </w:r>
          </w:p>
        </w:tc>
        <w:tc>
          <w:tcPr>
            <w:tcW w:w="1119" w:type="pct"/>
            <w:tcBorders>
              <w:top w:val="single" w:sz="4" w:space="0" w:color="auto"/>
              <w:bottom w:val="single" w:sz="4" w:space="0" w:color="auto"/>
            </w:tcBorders>
            <w:shd w:val="clear" w:color="auto" w:fill="auto"/>
          </w:tcPr>
          <w:p w14:paraId="586E3AD9" w14:textId="2E44BDB3" w:rsidR="00BD3D04" w:rsidRDefault="00BD3D04" w:rsidP="00BD3D04">
            <w:pPr>
              <w:jc w:val="center"/>
              <w:rPr>
                <w:rFonts w:ascii="Arial" w:hAnsi="Arial" w:cs="Arial"/>
                <w:color w:val="000000"/>
                <w:sz w:val="22"/>
                <w:szCs w:val="22"/>
              </w:rPr>
            </w:pPr>
            <w:r>
              <w:rPr>
                <w:rFonts w:ascii="Arial" w:hAnsi="Arial"/>
                <w:color w:val="000000"/>
                <w:sz w:val="22"/>
                <w:szCs w:val="22"/>
              </w:rPr>
              <w:t>Curaçao</w:t>
            </w:r>
          </w:p>
        </w:tc>
        <w:tc>
          <w:tcPr>
            <w:tcW w:w="821" w:type="pct"/>
            <w:tcBorders>
              <w:top w:val="single" w:sz="4" w:space="0" w:color="auto"/>
              <w:bottom w:val="single" w:sz="4" w:space="0" w:color="auto"/>
            </w:tcBorders>
            <w:shd w:val="clear" w:color="auto" w:fill="auto"/>
          </w:tcPr>
          <w:p w14:paraId="17D4814F" w14:textId="49152558" w:rsidR="00BD3D04" w:rsidRDefault="002B7F03" w:rsidP="00BD3D04">
            <w:pPr>
              <w:jc w:val="center"/>
              <w:rPr>
                <w:rFonts w:ascii="Arial" w:hAnsi="Arial" w:cs="Arial"/>
                <w:color w:val="000000"/>
                <w:sz w:val="22"/>
                <w:szCs w:val="22"/>
              </w:rPr>
            </w:pPr>
            <w:hyperlink r:id="rId35" w:history="1">
              <w:r w:rsidR="00BD3D04" w:rsidRPr="00866116">
                <w:rPr>
                  <w:rStyle w:val="Lienhypertexte"/>
                  <w:rFonts w:ascii="Arial" w:hAnsi="Arial"/>
                  <w:sz w:val="22"/>
                  <w:szCs w:val="22"/>
                  <w:lang w:val="en-US"/>
                </w:rPr>
                <w:t>NGO-90460</w:t>
              </w:r>
            </w:hyperlink>
          </w:p>
        </w:tc>
      </w:tr>
      <w:tr w:rsidR="00BD3D04" w:rsidRPr="00A30707" w14:paraId="4C245D59" w14:textId="77777777" w:rsidTr="00990AB2">
        <w:trPr>
          <w:trHeight w:val="164"/>
        </w:trPr>
        <w:tc>
          <w:tcPr>
            <w:tcW w:w="3060" w:type="pct"/>
            <w:tcBorders>
              <w:top w:val="single" w:sz="4" w:space="0" w:color="auto"/>
              <w:bottom w:val="single" w:sz="4" w:space="0" w:color="auto"/>
            </w:tcBorders>
            <w:shd w:val="clear" w:color="auto" w:fill="auto"/>
          </w:tcPr>
          <w:p w14:paraId="243CC496" w14:textId="162BC57B" w:rsidR="00BD3D04" w:rsidRPr="0051027B" w:rsidRDefault="00BD3D04" w:rsidP="00BD3D04">
            <w:pPr>
              <w:rPr>
                <w:rFonts w:ascii="Arial" w:hAnsi="Arial" w:cs="Arial"/>
                <w:color w:val="000000"/>
                <w:sz w:val="22"/>
                <w:szCs w:val="22"/>
                <w:lang w:val="en-US"/>
              </w:rPr>
            </w:pPr>
            <w:proofErr w:type="spellStart"/>
            <w:r w:rsidRPr="0051027B">
              <w:rPr>
                <w:rFonts w:ascii="Arial" w:hAnsi="Arial"/>
                <w:color w:val="000000"/>
                <w:sz w:val="22"/>
                <w:szCs w:val="22"/>
                <w:lang w:val="en-US"/>
              </w:rPr>
              <w:t>Hazarashen</w:t>
            </w:r>
            <w:proofErr w:type="spellEnd"/>
            <w:r w:rsidRPr="0051027B">
              <w:rPr>
                <w:rFonts w:ascii="Arial" w:hAnsi="Arial"/>
                <w:color w:val="000000"/>
                <w:sz w:val="22"/>
                <w:szCs w:val="22"/>
                <w:lang w:val="en-US"/>
              </w:rPr>
              <w:t xml:space="preserve"> Armenian Center for Ethnological Studies</w:t>
            </w:r>
          </w:p>
        </w:tc>
        <w:tc>
          <w:tcPr>
            <w:tcW w:w="1119" w:type="pct"/>
            <w:tcBorders>
              <w:top w:val="single" w:sz="4" w:space="0" w:color="auto"/>
              <w:bottom w:val="single" w:sz="4" w:space="0" w:color="auto"/>
            </w:tcBorders>
            <w:shd w:val="clear" w:color="auto" w:fill="auto"/>
          </w:tcPr>
          <w:p w14:paraId="4A4E6F28" w14:textId="77A7E199" w:rsidR="00BD3D04" w:rsidRDefault="00BD3D04" w:rsidP="00BD3D04">
            <w:pPr>
              <w:jc w:val="center"/>
              <w:rPr>
                <w:rFonts w:ascii="Arial" w:hAnsi="Arial" w:cs="Arial"/>
                <w:color w:val="000000"/>
                <w:sz w:val="22"/>
                <w:szCs w:val="22"/>
              </w:rPr>
            </w:pPr>
            <w:r>
              <w:rPr>
                <w:rFonts w:ascii="Arial" w:hAnsi="Arial"/>
                <w:color w:val="000000"/>
                <w:sz w:val="22"/>
                <w:szCs w:val="22"/>
              </w:rPr>
              <w:t>Arménie</w:t>
            </w:r>
          </w:p>
        </w:tc>
        <w:tc>
          <w:tcPr>
            <w:tcW w:w="821" w:type="pct"/>
            <w:tcBorders>
              <w:top w:val="single" w:sz="4" w:space="0" w:color="auto"/>
              <w:bottom w:val="single" w:sz="4" w:space="0" w:color="auto"/>
            </w:tcBorders>
            <w:shd w:val="clear" w:color="auto" w:fill="auto"/>
          </w:tcPr>
          <w:p w14:paraId="3E0B2201" w14:textId="6C8E4A17" w:rsidR="00BD3D04" w:rsidRDefault="002B7F03" w:rsidP="00BD3D04">
            <w:pPr>
              <w:jc w:val="center"/>
              <w:rPr>
                <w:rFonts w:ascii="Arial" w:hAnsi="Arial" w:cs="Arial"/>
                <w:color w:val="000000"/>
                <w:sz w:val="22"/>
                <w:szCs w:val="22"/>
              </w:rPr>
            </w:pPr>
            <w:hyperlink r:id="rId36" w:history="1">
              <w:r w:rsidR="00BD3D04" w:rsidRPr="00866116">
                <w:rPr>
                  <w:rStyle w:val="Lienhypertexte"/>
                  <w:rFonts w:ascii="Arial" w:hAnsi="Arial"/>
                  <w:sz w:val="22"/>
                  <w:szCs w:val="22"/>
                  <w:lang w:val="en-US"/>
                </w:rPr>
                <w:t>NGO-90431</w:t>
              </w:r>
            </w:hyperlink>
          </w:p>
        </w:tc>
      </w:tr>
      <w:tr w:rsidR="00BD3D04" w:rsidRPr="00A30707" w14:paraId="31A98F98" w14:textId="77777777" w:rsidTr="00990AB2">
        <w:trPr>
          <w:trHeight w:val="164"/>
        </w:trPr>
        <w:tc>
          <w:tcPr>
            <w:tcW w:w="3060" w:type="pct"/>
            <w:tcBorders>
              <w:top w:val="single" w:sz="4" w:space="0" w:color="auto"/>
              <w:bottom w:val="single" w:sz="4" w:space="0" w:color="auto"/>
            </w:tcBorders>
            <w:shd w:val="clear" w:color="auto" w:fill="auto"/>
          </w:tcPr>
          <w:p w14:paraId="5F82692D" w14:textId="51C253CA" w:rsidR="00BD3D04" w:rsidRDefault="00BD3D04" w:rsidP="00BD3D04">
            <w:pPr>
              <w:rPr>
                <w:rFonts w:ascii="Arial" w:hAnsi="Arial" w:cs="Arial"/>
                <w:color w:val="000000"/>
                <w:sz w:val="22"/>
                <w:szCs w:val="22"/>
              </w:rPr>
            </w:pPr>
            <w:r>
              <w:rPr>
                <w:rFonts w:ascii="Arial" w:hAnsi="Arial"/>
                <w:color w:val="000000"/>
                <w:sz w:val="22"/>
                <w:szCs w:val="22"/>
              </w:rPr>
              <w:t>Heritage Saskatchewan Alliance Inc.</w:t>
            </w:r>
          </w:p>
        </w:tc>
        <w:tc>
          <w:tcPr>
            <w:tcW w:w="1119" w:type="pct"/>
            <w:tcBorders>
              <w:top w:val="single" w:sz="4" w:space="0" w:color="auto"/>
              <w:bottom w:val="single" w:sz="4" w:space="0" w:color="auto"/>
            </w:tcBorders>
            <w:shd w:val="clear" w:color="auto" w:fill="auto"/>
          </w:tcPr>
          <w:p w14:paraId="2909DF6E" w14:textId="5FE888CC" w:rsidR="00BD3D04" w:rsidRDefault="00BD3D04" w:rsidP="00BD3D04">
            <w:pPr>
              <w:jc w:val="center"/>
              <w:rPr>
                <w:rFonts w:ascii="Arial" w:hAnsi="Arial" w:cs="Arial"/>
                <w:color w:val="000000"/>
                <w:sz w:val="22"/>
                <w:szCs w:val="22"/>
              </w:rPr>
            </w:pPr>
            <w:r>
              <w:rPr>
                <w:rFonts w:ascii="Arial" w:hAnsi="Arial"/>
                <w:color w:val="000000"/>
                <w:sz w:val="22"/>
                <w:szCs w:val="22"/>
              </w:rPr>
              <w:t>Canada</w:t>
            </w:r>
          </w:p>
        </w:tc>
        <w:tc>
          <w:tcPr>
            <w:tcW w:w="821" w:type="pct"/>
            <w:tcBorders>
              <w:top w:val="single" w:sz="4" w:space="0" w:color="auto"/>
              <w:bottom w:val="single" w:sz="4" w:space="0" w:color="auto"/>
            </w:tcBorders>
            <w:shd w:val="clear" w:color="auto" w:fill="auto"/>
          </w:tcPr>
          <w:p w14:paraId="7ACD5101" w14:textId="5C0EE9FA" w:rsidR="00BD3D04" w:rsidRDefault="002B7F03" w:rsidP="00BD3D04">
            <w:pPr>
              <w:jc w:val="center"/>
              <w:rPr>
                <w:rFonts w:ascii="Arial" w:hAnsi="Arial" w:cs="Arial"/>
                <w:color w:val="000000"/>
                <w:sz w:val="22"/>
                <w:szCs w:val="22"/>
              </w:rPr>
            </w:pPr>
            <w:hyperlink r:id="rId37" w:history="1">
              <w:r w:rsidR="00BD3D04" w:rsidRPr="00866116">
                <w:rPr>
                  <w:rStyle w:val="Lienhypertexte"/>
                  <w:rFonts w:ascii="Arial" w:hAnsi="Arial"/>
                  <w:sz w:val="22"/>
                  <w:szCs w:val="22"/>
                  <w:lang w:val="en-US"/>
                </w:rPr>
                <w:t>NGO-90437</w:t>
              </w:r>
            </w:hyperlink>
          </w:p>
        </w:tc>
      </w:tr>
      <w:tr w:rsidR="00BD3D04" w:rsidRPr="00A30707" w14:paraId="538EB483" w14:textId="77777777" w:rsidTr="00990AB2">
        <w:trPr>
          <w:trHeight w:val="164"/>
        </w:trPr>
        <w:tc>
          <w:tcPr>
            <w:tcW w:w="3060" w:type="pct"/>
            <w:tcBorders>
              <w:top w:val="single" w:sz="4" w:space="0" w:color="auto"/>
              <w:bottom w:val="single" w:sz="4" w:space="0" w:color="auto"/>
            </w:tcBorders>
            <w:shd w:val="clear" w:color="auto" w:fill="auto"/>
          </w:tcPr>
          <w:p w14:paraId="256826BD" w14:textId="1E1BE97F" w:rsidR="00BD3D04" w:rsidRDefault="00BD3D04" w:rsidP="00BD3D04">
            <w:pPr>
              <w:rPr>
                <w:rFonts w:ascii="Arial" w:hAnsi="Arial" w:cs="Arial"/>
                <w:color w:val="000000"/>
                <w:sz w:val="22"/>
                <w:szCs w:val="22"/>
              </w:rPr>
            </w:pPr>
            <w:r>
              <w:rPr>
                <w:rFonts w:ascii="Arial" w:hAnsi="Arial"/>
                <w:color w:val="000000"/>
                <w:sz w:val="22"/>
                <w:szCs w:val="22"/>
              </w:rPr>
              <w:t xml:space="preserve">Institut </w:t>
            </w:r>
            <w:proofErr w:type="spellStart"/>
            <w:r>
              <w:rPr>
                <w:rFonts w:ascii="Arial" w:hAnsi="Arial"/>
                <w:color w:val="000000"/>
                <w:sz w:val="22"/>
                <w:szCs w:val="22"/>
              </w:rPr>
              <w:t>Tshakapesh</w:t>
            </w:r>
            <w:proofErr w:type="spellEnd"/>
          </w:p>
        </w:tc>
        <w:tc>
          <w:tcPr>
            <w:tcW w:w="1119" w:type="pct"/>
            <w:tcBorders>
              <w:top w:val="single" w:sz="4" w:space="0" w:color="auto"/>
              <w:bottom w:val="single" w:sz="4" w:space="0" w:color="auto"/>
            </w:tcBorders>
            <w:shd w:val="clear" w:color="auto" w:fill="auto"/>
          </w:tcPr>
          <w:p w14:paraId="27A2D616" w14:textId="6C304940" w:rsidR="00BD3D04" w:rsidRDefault="00BD3D04" w:rsidP="00BD3D04">
            <w:pPr>
              <w:jc w:val="center"/>
              <w:rPr>
                <w:rFonts w:ascii="Arial" w:hAnsi="Arial" w:cs="Arial"/>
                <w:color w:val="000000"/>
                <w:sz w:val="22"/>
                <w:szCs w:val="22"/>
              </w:rPr>
            </w:pPr>
            <w:r>
              <w:rPr>
                <w:rFonts w:ascii="Arial" w:hAnsi="Arial"/>
                <w:color w:val="000000"/>
                <w:sz w:val="22"/>
                <w:szCs w:val="22"/>
              </w:rPr>
              <w:t>Canada</w:t>
            </w:r>
          </w:p>
        </w:tc>
        <w:tc>
          <w:tcPr>
            <w:tcW w:w="821" w:type="pct"/>
            <w:tcBorders>
              <w:top w:val="single" w:sz="4" w:space="0" w:color="auto"/>
              <w:bottom w:val="single" w:sz="4" w:space="0" w:color="auto"/>
            </w:tcBorders>
            <w:shd w:val="clear" w:color="auto" w:fill="auto"/>
          </w:tcPr>
          <w:p w14:paraId="2CFBD107" w14:textId="14D64845" w:rsidR="00BD3D04" w:rsidRDefault="002B7F03" w:rsidP="00BD3D04">
            <w:pPr>
              <w:jc w:val="center"/>
              <w:rPr>
                <w:rFonts w:ascii="Arial" w:hAnsi="Arial" w:cs="Arial"/>
                <w:color w:val="000000"/>
                <w:sz w:val="22"/>
                <w:szCs w:val="22"/>
              </w:rPr>
            </w:pPr>
            <w:hyperlink r:id="rId38" w:history="1">
              <w:r w:rsidR="00BD3D04" w:rsidRPr="00E35573">
                <w:rPr>
                  <w:rStyle w:val="Lienhypertexte"/>
                  <w:rFonts w:ascii="Arial" w:hAnsi="Arial"/>
                  <w:sz w:val="22"/>
                  <w:szCs w:val="22"/>
                  <w:lang w:val="en-US"/>
                </w:rPr>
                <w:t>NGO-90474</w:t>
              </w:r>
            </w:hyperlink>
          </w:p>
        </w:tc>
      </w:tr>
      <w:tr w:rsidR="00BD3D04" w:rsidRPr="00A30707" w14:paraId="2518BDD7" w14:textId="77777777" w:rsidTr="00990AB2">
        <w:trPr>
          <w:trHeight w:val="164"/>
        </w:trPr>
        <w:tc>
          <w:tcPr>
            <w:tcW w:w="3060" w:type="pct"/>
            <w:tcBorders>
              <w:top w:val="single" w:sz="4" w:space="0" w:color="auto"/>
              <w:bottom w:val="single" w:sz="4" w:space="0" w:color="auto"/>
            </w:tcBorders>
            <w:shd w:val="clear" w:color="auto" w:fill="auto"/>
          </w:tcPr>
          <w:p w14:paraId="799B4187" w14:textId="6784DD0C" w:rsidR="00BD3D04" w:rsidRDefault="00BD3D04" w:rsidP="00BD3D04">
            <w:pPr>
              <w:rPr>
                <w:rFonts w:ascii="Arial" w:hAnsi="Arial" w:cs="Arial"/>
                <w:color w:val="000000"/>
                <w:sz w:val="22"/>
                <w:szCs w:val="22"/>
              </w:rPr>
            </w:pPr>
            <w:r>
              <w:rPr>
                <w:rFonts w:ascii="Arial" w:hAnsi="Arial"/>
                <w:color w:val="000000"/>
                <w:sz w:val="22"/>
                <w:szCs w:val="22"/>
              </w:rPr>
              <w:t>Les Forges de Montréal</w:t>
            </w:r>
          </w:p>
        </w:tc>
        <w:tc>
          <w:tcPr>
            <w:tcW w:w="1119" w:type="pct"/>
            <w:tcBorders>
              <w:top w:val="single" w:sz="4" w:space="0" w:color="auto"/>
              <w:bottom w:val="single" w:sz="4" w:space="0" w:color="auto"/>
            </w:tcBorders>
            <w:shd w:val="clear" w:color="auto" w:fill="auto"/>
          </w:tcPr>
          <w:p w14:paraId="542DE009" w14:textId="0562F4C1" w:rsidR="00BD3D04" w:rsidRDefault="00BD3D04" w:rsidP="00BD3D04">
            <w:pPr>
              <w:jc w:val="center"/>
              <w:rPr>
                <w:rFonts w:ascii="Arial" w:hAnsi="Arial" w:cs="Arial"/>
                <w:color w:val="000000"/>
                <w:sz w:val="22"/>
                <w:szCs w:val="22"/>
              </w:rPr>
            </w:pPr>
            <w:r>
              <w:rPr>
                <w:rFonts w:ascii="Arial" w:hAnsi="Arial"/>
                <w:color w:val="000000"/>
                <w:sz w:val="22"/>
                <w:szCs w:val="22"/>
              </w:rPr>
              <w:t>Canada</w:t>
            </w:r>
          </w:p>
        </w:tc>
        <w:tc>
          <w:tcPr>
            <w:tcW w:w="821" w:type="pct"/>
            <w:tcBorders>
              <w:top w:val="single" w:sz="4" w:space="0" w:color="auto"/>
              <w:bottom w:val="single" w:sz="4" w:space="0" w:color="auto"/>
            </w:tcBorders>
            <w:shd w:val="clear" w:color="auto" w:fill="auto"/>
          </w:tcPr>
          <w:p w14:paraId="7EF8AD2E" w14:textId="2451BC75" w:rsidR="00BD3D04" w:rsidRDefault="002B7F03" w:rsidP="00BD3D04">
            <w:pPr>
              <w:jc w:val="center"/>
              <w:rPr>
                <w:rFonts w:ascii="Arial" w:hAnsi="Arial" w:cs="Arial"/>
                <w:color w:val="000000"/>
                <w:sz w:val="22"/>
                <w:szCs w:val="22"/>
              </w:rPr>
            </w:pPr>
            <w:hyperlink r:id="rId39" w:history="1">
              <w:r w:rsidR="00BD3D04" w:rsidRPr="005F2D4C">
                <w:rPr>
                  <w:rStyle w:val="Lienhypertexte"/>
                  <w:rFonts w:ascii="Arial" w:hAnsi="Arial"/>
                  <w:sz w:val="22"/>
                  <w:szCs w:val="22"/>
                  <w:lang w:val="en-US"/>
                </w:rPr>
                <w:t>NGO-90472</w:t>
              </w:r>
            </w:hyperlink>
          </w:p>
        </w:tc>
      </w:tr>
      <w:tr w:rsidR="00BD3D04" w:rsidRPr="00DE12E7" w14:paraId="3458062E" w14:textId="77777777" w:rsidTr="00990AB2">
        <w:trPr>
          <w:trHeight w:val="164"/>
        </w:trPr>
        <w:tc>
          <w:tcPr>
            <w:tcW w:w="3060" w:type="pct"/>
            <w:tcBorders>
              <w:top w:val="single" w:sz="4" w:space="0" w:color="auto"/>
              <w:bottom w:val="single" w:sz="4" w:space="0" w:color="auto"/>
            </w:tcBorders>
            <w:shd w:val="clear" w:color="auto" w:fill="auto"/>
          </w:tcPr>
          <w:p w14:paraId="1AEC2809" w14:textId="0ED99DC4" w:rsidR="00BD3D04" w:rsidRPr="00DE12E7" w:rsidRDefault="00BD3D04" w:rsidP="00BD3D04">
            <w:pPr>
              <w:rPr>
                <w:rFonts w:ascii="Arial" w:hAnsi="Arial" w:cs="Arial"/>
                <w:color w:val="000000"/>
                <w:sz w:val="22"/>
                <w:szCs w:val="22"/>
              </w:rPr>
            </w:pPr>
            <w:r>
              <w:rPr>
                <w:rFonts w:ascii="Arial" w:hAnsi="Arial"/>
                <w:color w:val="000000"/>
                <w:sz w:val="22"/>
                <w:szCs w:val="22"/>
              </w:rPr>
              <w:t>Maison de la culture yiddish – Bibliothèque MEDEM</w:t>
            </w:r>
          </w:p>
        </w:tc>
        <w:tc>
          <w:tcPr>
            <w:tcW w:w="1119" w:type="pct"/>
            <w:tcBorders>
              <w:top w:val="single" w:sz="4" w:space="0" w:color="auto"/>
              <w:bottom w:val="single" w:sz="4" w:space="0" w:color="auto"/>
            </w:tcBorders>
            <w:shd w:val="clear" w:color="auto" w:fill="auto"/>
          </w:tcPr>
          <w:p w14:paraId="70C89CD6" w14:textId="738AF599" w:rsidR="00BD3D04" w:rsidRPr="00DE12E7" w:rsidRDefault="00BD3D04" w:rsidP="00BD3D04">
            <w:pPr>
              <w:jc w:val="center"/>
              <w:rPr>
                <w:rFonts w:ascii="Arial" w:hAnsi="Arial" w:cs="Arial"/>
                <w:color w:val="000000"/>
                <w:sz w:val="22"/>
                <w:szCs w:val="22"/>
              </w:rPr>
            </w:pPr>
            <w:r>
              <w:rPr>
                <w:rFonts w:ascii="Arial" w:hAnsi="Arial"/>
                <w:color w:val="000000"/>
                <w:sz w:val="22"/>
                <w:szCs w:val="22"/>
              </w:rPr>
              <w:t>France</w:t>
            </w:r>
          </w:p>
        </w:tc>
        <w:tc>
          <w:tcPr>
            <w:tcW w:w="821" w:type="pct"/>
            <w:tcBorders>
              <w:top w:val="single" w:sz="4" w:space="0" w:color="auto"/>
              <w:bottom w:val="single" w:sz="4" w:space="0" w:color="auto"/>
            </w:tcBorders>
            <w:shd w:val="clear" w:color="auto" w:fill="auto"/>
          </w:tcPr>
          <w:p w14:paraId="5B35A717" w14:textId="1307ECED" w:rsidR="00BD3D04" w:rsidRPr="00DE12E7" w:rsidRDefault="002B7F03" w:rsidP="00BD3D04">
            <w:pPr>
              <w:jc w:val="center"/>
              <w:rPr>
                <w:rFonts w:ascii="Arial" w:hAnsi="Arial" w:cs="Arial"/>
                <w:color w:val="000000"/>
                <w:sz w:val="22"/>
                <w:szCs w:val="22"/>
              </w:rPr>
            </w:pPr>
            <w:hyperlink r:id="rId40" w:history="1">
              <w:r w:rsidR="00BD3D04" w:rsidRPr="006038AF">
                <w:rPr>
                  <w:rStyle w:val="Lienhypertexte"/>
                  <w:rFonts w:ascii="Arial" w:hAnsi="Arial"/>
                  <w:sz w:val="22"/>
                  <w:szCs w:val="22"/>
                </w:rPr>
                <w:t>NGO-90451</w:t>
              </w:r>
            </w:hyperlink>
          </w:p>
        </w:tc>
      </w:tr>
      <w:tr w:rsidR="00BD3D04" w:rsidRPr="00DE12E7" w14:paraId="3DFC2235" w14:textId="77777777" w:rsidTr="00990AB2">
        <w:trPr>
          <w:trHeight w:val="164"/>
        </w:trPr>
        <w:tc>
          <w:tcPr>
            <w:tcW w:w="3060" w:type="pct"/>
            <w:tcBorders>
              <w:top w:val="single" w:sz="4" w:space="0" w:color="auto"/>
              <w:bottom w:val="single" w:sz="4" w:space="0" w:color="auto"/>
            </w:tcBorders>
            <w:shd w:val="clear" w:color="auto" w:fill="auto"/>
          </w:tcPr>
          <w:p w14:paraId="06B84495" w14:textId="09199B96" w:rsidR="00BD3D04" w:rsidRPr="00DE12E7" w:rsidRDefault="00BD3D04" w:rsidP="00BD3D04">
            <w:pPr>
              <w:rPr>
                <w:rFonts w:ascii="Arial" w:hAnsi="Arial" w:cs="Arial"/>
                <w:color w:val="000000"/>
                <w:sz w:val="22"/>
                <w:szCs w:val="22"/>
              </w:rPr>
            </w:pPr>
            <w:proofErr w:type="spellStart"/>
            <w:r>
              <w:rPr>
                <w:rFonts w:ascii="Arial" w:hAnsi="Arial"/>
                <w:color w:val="000000"/>
                <w:sz w:val="22"/>
                <w:szCs w:val="22"/>
              </w:rPr>
              <w:t>Norwegian</w:t>
            </w:r>
            <w:proofErr w:type="spellEnd"/>
            <w:r>
              <w:rPr>
                <w:rFonts w:ascii="Arial" w:hAnsi="Arial"/>
                <w:color w:val="000000"/>
                <w:sz w:val="22"/>
                <w:szCs w:val="22"/>
              </w:rPr>
              <w:t xml:space="preserve"> </w:t>
            </w:r>
            <w:proofErr w:type="spellStart"/>
            <w:r>
              <w:rPr>
                <w:rFonts w:ascii="Arial" w:hAnsi="Arial"/>
                <w:color w:val="000000"/>
                <w:sz w:val="22"/>
                <w:szCs w:val="22"/>
              </w:rPr>
              <w:t>Ship</w:t>
            </w:r>
            <w:proofErr w:type="spellEnd"/>
            <w:r>
              <w:rPr>
                <w:rFonts w:ascii="Arial" w:hAnsi="Arial"/>
                <w:color w:val="000000"/>
                <w:sz w:val="22"/>
                <w:szCs w:val="22"/>
              </w:rPr>
              <w:t xml:space="preserve"> </w:t>
            </w:r>
            <w:proofErr w:type="spellStart"/>
            <w:r>
              <w:rPr>
                <w:rFonts w:ascii="Arial" w:hAnsi="Arial"/>
                <w:color w:val="000000"/>
                <w:sz w:val="22"/>
                <w:szCs w:val="22"/>
              </w:rPr>
              <w:t>Preservation</w:t>
            </w:r>
            <w:proofErr w:type="spellEnd"/>
            <w:r>
              <w:rPr>
                <w:rFonts w:ascii="Arial" w:hAnsi="Arial"/>
                <w:color w:val="000000"/>
                <w:sz w:val="22"/>
                <w:szCs w:val="22"/>
              </w:rPr>
              <w:t xml:space="preserve"> Association</w:t>
            </w:r>
          </w:p>
        </w:tc>
        <w:tc>
          <w:tcPr>
            <w:tcW w:w="1119" w:type="pct"/>
            <w:tcBorders>
              <w:top w:val="single" w:sz="4" w:space="0" w:color="auto"/>
              <w:bottom w:val="single" w:sz="4" w:space="0" w:color="auto"/>
            </w:tcBorders>
            <w:shd w:val="clear" w:color="auto" w:fill="auto"/>
          </w:tcPr>
          <w:p w14:paraId="662BB0E3" w14:textId="5C708375" w:rsidR="00BD3D04" w:rsidRDefault="00BD3D04" w:rsidP="00BD3D04">
            <w:pPr>
              <w:jc w:val="center"/>
              <w:rPr>
                <w:rFonts w:ascii="Arial" w:hAnsi="Arial" w:cs="Arial"/>
                <w:color w:val="000000"/>
                <w:sz w:val="22"/>
                <w:szCs w:val="22"/>
              </w:rPr>
            </w:pPr>
            <w:r>
              <w:rPr>
                <w:rFonts w:ascii="Arial" w:hAnsi="Arial"/>
                <w:color w:val="000000"/>
                <w:sz w:val="22"/>
                <w:szCs w:val="22"/>
              </w:rPr>
              <w:t>Norvège</w:t>
            </w:r>
          </w:p>
        </w:tc>
        <w:tc>
          <w:tcPr>
            <w:tcW w:w="821" w:type="pct"/>
            <w:tcBorders>
              <w:top w:val="single" w:sz="4" w:space="0" w:color="auto"/>
              <w:bottom w:val="single" w:sz="4" w:space="0" w:color="auto"/>
            </w:tcBorders>
            <w:shd w:val="clear" w:color="auto" w:fill="auto"/>
          </w:tcPr>
          <w:p w14:paraId="352DED7A" w14:textId="03B50F86" w:rsidR="00BD3D04" w:rsidRDefault="002B7F03" w:rsidP="00BD3D04">
            <w:pPr>
              <w:jc w:val="center"/>
              <w:rPr>
                <w:rFonts w:ascii="Arial" w:hAnsi="Arial" w:cs="Arial"/>
                <w:color w:val="000000"/>
                <w:sz w:val="22"/>
                <w:szCs w:val="22"/>
              </w:rPr>
            </w:pPr>
            <w:hyperlink r:id="rId41" w:history="1">
              <w:r w:rsidR="00BD3D04" w:rsidRPr="006038AF">
                <w:rPr>
                  <w:rStyle w:val="Lienhypertexte"/>
                  <w:rFonts w:ascii="Arial" w:hAnsi="Arial"/>
                  <w:sz w:val="22"/>
                  <w:szCs w:val="22"/>
                </w:rPr>
                <w:t>NGO-90448</w:t>
              </w:r>
            </w:hyperlink>
          </w:p>
        </w:tc>
      </w:tr>
      <w:tr w:rsidR="00BD3D04" w:rsidRPr="00DE12E7" w14:paraId="23E4932A" w14:textId="77777777" w:rsidTr="00990AB2">
        <w:trPr>
          <w:trHeight w:val="164"/>
        </w:trPr>
        <w:tc>
          <w:tcPr>
            <w:tcW w:w="3060" w:type="pct"/>
            <w:tcBorders>
              <w:top w:val="single" w:sz="4" w:space="0" w:color="auto"/>
              <w:bottom w:val="single" w:sz="4" w:space="0" w:color="auto"/>
            </w:tcBorders>
            <w:shd w:val="clear" w:color="auto" w:fill="auto"/>
          </w:tcPr>
          <w:p w14:paraId="74B11A30" w14:textId="14E49D66" w:rsidR="00BD3D04" w:rsidRDefault="00BD3D04" w:rsidP="00BD3D04">
            <w:pPr>
              <w:rPr>
                <w:rFonts w:ascii="Arial" w:hAnsi="Arial" w:cs="Arial"/>
                <w:color w:val="000000"/>
                <w:sz w:val="22"/>
                <w:szCs w:val="22"/>
              </w:rPr>
            </w:pPr>
            <w:proofErr w:type="spellStart"/>
            <w:r>
              <w:rPr>
                <w:rFonts w:ascii="Arial" w:hAnsi="Arial"/>
                <w:color w:val="000000"/>
                <w:sz w:val="22"/>
                <w:szCs w:val="22"/>
              </w:rPr>
              <w:t>Nubian</w:t>
            </w:r>
            <w:proofErr w:type="spellEnd"/>
            <w:r>
              <w:rPr>
                <w:rFonts w:ascii="Arial" w:hAnsi="Arial"/>
                <w:color w:val="000000"/>
                <w:sz w:val="22"/>
                <w:szCs w:val="22"/>
              </w:rPr>
              <w:t xml:space="preserve"> Heritage Society</w:t>
            </w:r>
          </w:p>
        </w:tc>
        <w:tc>
          <w:tcPr>
            <w:tcW w:w="1119" w:type="pct"/>
            <w:tcBorders>
              <w:top w:val="single" w:sz="4" w:space="0" w:color="auto"/>
              <w:bottom w:val="single" w:sz="4" w:space="0" w:color="auto"/>
            </w:tcBorders>
            <w:shd w:val="clear" w:color="auto" w:fill="auto"/>
          </w:tcPr>
          <w:p w14:paraId="494687B1" w14:textId="5D48E9F9" w:rsidR="00BD3D04" w:rsidRDefault="00BD3D04" w:rsidP="00BD3D04">
            <w:pPr>
              <w:jc w:val="center"/>
              <w:rPr>
                <w:rFonts w:ascii="Arial" w:hAnsi="Arial" w:cs="Arial"/>
                <w:color w:val="000000"/>
                <w:sz w:val="22"/>
                <w:szCs w:val="22"/>
              </w:rPr>
            </w:pPr>
            <w:r>
              <w:rPr>
                <w:rFonts w:ascii="Arial" w:hAnsi="Arial"/>
                <w:color w:val="000000"/>
                <w:sz w:val="22"/>
                <w:szCs w:val="22"/>
              </w:rPr>
              <w:t>Égypte</w:t>
            </w:r>
          </w:p>
        </w:tc>
        <w:tc>
          <w:tcPr>
            <w:tcW w:w="821" w:type="pct"/>
            <w:tcBorders>
              <w:top w:val="single" w:sz="4" w:space="0" w:color="auto"/>
              <w:bottom w:val="single" w:sz="4" w:space="0" w:color="auto"/>
            </w:tcBorders>
            <w:shd w:val="clear" w:color="auto" w:fill="auto"/>
          </w:tcPr>
          <w:p w14:paraId="31D06CA4" w14:textId="1B45EF6E" w:rsidR="00BD3D04" w:rsidRDefault="002B7F03" w:rsidP="00BD3D04">
            <w:pPr>
              <w:jc w:val="center"/>
              <w:rPr>
                <w:rFonts w:ascii="Arial" w:hAnsi="Arial" w:cs="Arial"/>
                <w:color w:val="000000"/>
                <w:sz w:val="22"/>
                <w:szCs w:val="22"/>
              </w:rPr>
            </w:pPr>
            <w:hyperlink r:id="rId42" w:history="1">
              <w:r w:rsidR="00BD3D04" w:rsidRPr="00E9365A">
                <w:rPr>
                  <w:rStyle w:val="Lienhypertexte"/>
                  <w:rFonts w:ascii="Arial" w:hAnsi="Arial"/>
                  <w:sz w:val="22"/>
                  <w:szCs w:val="22"/>
                </w:rPr>
                <w:t>NGO-90446</w:t>
              </w:r>
            </w:hyperlink>
          </w:p>
        </w:tc>
      </w:tr>
      <w:tr w:rsidR="00BD3D04" w:rsidRPr="00DE12E7" w14:paraId="1C432450" w14:textId="77777777" w:rsidTr="00990AB2">
        <w:trPr>
          <w:trHeight w:val="164"/>
        </w:trPr>
        <w:tc>
          <w:tcPr>
            <w:tcW w:w="3060" w:type="pct"/>
            <w:tcBorders>
              <w:top w:val="single" w:sz="4" w:space="0" w:color="auto"/>
              <w:bottom w:val="single" w:sz="4" w:space="0" w:color="auto"/>
            </w:tcBorders>
            <w:shd w:val="clear" w:color="auto" w:fill="auto"/>
          </w:tcPr>
          <w:p w14:paraId="551B8EC3" w14:textId="5FB656BF" w:rsidR="00BD3D04" w:rsidRDefault="00BD3D04" w:rsidP="00BD3D04">
            <w:pPr>
              <w:rPr>
                <w:rFonts w:ascii="Arial" w:hAnsi="Arial" w:cs="Arial"/>
                <w:color w:val="000000"/>
                <w:sz w:val="22"/>
                <w:szCs w:val="22"/>
              </w:rPr>
            </w:pPr>
            <w:r>
              <w:rPr>
                <w:rFonts w:ascii="Arial" w:hAnsi="Arial"/>
                <w:color w:val="000000"/>
                <w:sz w:val="22"/>
                <w:szCs w:val="22"/>
              </w:rPr>
              <w:t>Pacific Traditions Society</w:t>
            </w:r>
          </w:p>
        </w:tc>
        <w:tc>
          <w:tcPr>
            <w:tcW w:w="1119" w:type="pct"/>
            <w:tcBorders>
              <w:top w:val="single" w:sz="4" w:space="0" w:color="auto"/>
              <w:bottom w:val="single" w:sz="4" w:space="0" w:color="auto"/>
            </w:tcBorders>
            <w:shd w:val="clear" w:color="auto" w:fill="auto"/>
          </w:tcPr>
          <w:p w14:paraId="1D40B891" w14:textId="01F02D2E" w:rsidR="00BD3D04" w:rsidRDefault="00BD3D04" w:rsidP="00BD3D04">
            <w:pPr>
              <w:jc w:val="center"/>
              <w:rPr>
                <w:rFonts w:ascii="Arial" w:hAnsi="Arial" w:cs="Arial"/>
                <w:color w:val="000000"/>
                <w:sz w:val="22"/>
                <w:szCs w:val="22"/>
              </w:rPr>
            </w:pPr>
            <w:r>
              <w:rPr>
                <w:rFonts w:ascii="Arial" w:hAnsi="Arial"/>
                <w:color w:val="000000"/>
                <w:sz w:val="22"/>
                <w:szCs w:val="22"/>
              </w:rPr>
              <w:t>États-Unis d’Amérique</w:t>
            </w:r>
          </w:p>
        </w:tc>
        <w:tc>
          <w:tcPr>
            <w:tcW w:w="821" w:type="pct"/>
            <w:tcBorders>
              <w:top w:val="single" w:sz="4" w:space="0" w:color="auto"/>
              <w:bottom w:val="single" w:sz="4" w:space="0" w:color="auto"/>
            </w:tcBorders>
            <w:shd w:val="clear" w:color="auto" w:fill="auto"/>
          </w:tcPr>
          <w:p w14:paraId="56F55177" w14:textId="2560DC1F" w:rsidR="00BD3D04" w:rsidRDefault="002B7F03" w:rsidP="00BD3D04">
            <w:pPr>
              <w:jc w:val="center"/>
              <w:rPr>
                <w:rFonts w:ascii="Arial" w:hAnsi="Arial" w:cs="Arial"/>
                <w:color w:val="000000"/>
                <w:sz w:val="22"/>
                <w:szCs w:val="22"/>
              </w:rPr>
            </w:pPr>
            <w:hyperlink r:id="rId43" w:history="1">
              <w:r w:rsidR="00BD3D04" w:rsidRPr="009E32DF">
                <w:rPr>
                  <w:rStyle w:val="Lienhypertexte"/>
                  <w:rFonts w:ascii="Arial" w:hAnsi="Arial"/>
                  <w:sz w:val="22"/>
                  <w:szCs w:val="22"/>
                  <w:lang w:val="en-US"/>
                </w:rPr>
                <w:t>NGO-90425</w:t>
              </w:r>
            </w:hyperlink>
          </w:p>
        </w:tc>
      </w:tr>
      <w:tr w:rsidR="00567312" w:rsidRPr="00567312" w14:paraId="15ADCDAE" w14:textId="77777777" w:rsidTr="00990AB2">
        <w:trPr>
          <w:trHeight w:val="164"/>
        </w:trPr>
        <w:tc>
          <w:tcPr>
            <w:tcW w:w="3060" w:type="pct"/>
            <w:tcBorders>
              <w:top w:val="single" w:sz="4" w:space="0" w:color="auto"/>
              <w:bottom w:val="single" w:sz="4" w:space="0" w:color="auto"/>
            </w:tcBorders>
            <w:shd w:val="clear" w:color="auto" w:fill="auto"/>
          </w:tcPr>
          <w:p w14:paraId="63571D78" w14:textId="2CB70C8D" w:rsidR="00567312" w:rsidRPr="00B33CC7" w:rsidRDefault="00567312" w:rsidP="008929F3">
            <w:pPr>
              <w:rPr>
                <w:rFonts w:ascii="Arial" w:hAnsi="Arial" w:cs="Arial"/>
                <w:color w:val="000000"/>
                <w:sz w:val="22"/>
                <w:szCs w:val="22"/>
                <w:lang w:val="en-US"/>
              </w:rPr>
            </w:pPr>
            <w:r w:rsidRPr="00B33CC7">
              <w:rPr>
                <w:rFonts w:ascii="Arial" w:hAnsi="Arial"/>
                <w:color w:val="000000"/>
                <w:sz w:val="22"/>
                <w:szCs w:val="22"/>
                <w:lang w:val="en-US"/>
              </w:rPr>
              <w:t>Persian Garden Institute for Living Heritage (PGILH)</w:t>
            </w:r>
          </w:p>
        </w:tc>
        <w:tc>
          <w:tcPr>
            <w:tcW w:w="1119" w:type="pct"/>
            <w:tcBorders>
              <w:top w:val="single" w:sz="4" w:space="0" w:color="auto"/>
              <w:bottom w:val="single" w:sz="4" w:space="0" w:color="auto"/>
            </w:tcBorders>
            <w:shd w:val="clear" w:color="auto" w:fill="auto"/>
          </w:tcPr>
          <w:p w14:paraId="2012754A" w14:textId="69741B55" w:rsidR="00567312" w:rsidRPr="00567312" w:rsidRDefault="00567312" w:rsidP="008929F3">
            <w:pPr>
              <w:jc w:val="center"/>
              <w:rPr>
                <w:rFonts w:ascii="Arial" w:hAnsi="Arial" w:cs="Arial"/>
                <w:color w:val="000000"/>
                <w:sz w:val="22"/>
                <w:szCs w:val="22"/>
              </w:rPr>
            </w:pPr>
            <w:r>
              <w:rPr>
                <w:rFonts w:ascii="Arial" w:hAnsi="Arial"/>
                <w:color w:val="000000"/>
                <w:sz w:val="22"/>
                <w:szCs w:val="22"/>
              </w:rPr>
              <w:t>République islamique d’Iran</w:t>
            </w:r>
          </w:p>
        </w:tc>
        <w:tc>
          <w:tcPr>
            <w:tcW w:w="821" w:type="pct"/>
            <w:tcBorders>
              <w:top w:val="single" w:sz="4" w:space="0" w:color="auto"/>
              <w:bottom w:val="single" w:sz="4" w:space="0" w:color="auto"/>
            </w:tcBorders>
            <w:shd w:val="clear" w:color="auto" w:fill="auto"/>
          </w:tcPr>
          <w:p w14:paraId="7F2A528C" w14:textId="66083BEA" w:rsidR="00567312" w:rsidRPr="00567312" w:rsidRDefault="002B7F03" w:rsidP="008929F3">
            <w:pPr>
              <w:jc w:val="center"/>
              <w:rPr>
                <w:rFonts w:ascii="Arial" w:hAnsi="Arial" w:cs="Arial"/>
                <w:color w:val="000000"/>
                <w:sz w:val="22"/>
                <w:szCs w:val="22"/>
              </w:rPr>
            </w:pPr>
            <w:hyperlink r:id="rId44" w:history="1">
              <w:r w:rsidR="00BD3D04" w:rsidRPr="00F73406">
                <w:rPr>
                  <w:rStyle w:val="Lienhypertexte"/>
                  <w:rFonts w:ascii="Arial" w:hAnsi="Arial"/>
                  <w:sz w:val="22"/>
                  <w:szCs w:val="22"/>
                  <w:lang w:val="en-US"/>
                </w:rPr>
                <w:t>NGO-90433</w:t>
              </w:r>
            </w:hyperlink>
          </w:p>
        </w:tc>
      </w:tr>
      <w:tr w:rsidR="00442097" w:rsidRPr="00567312" w14:paraId="59B485F3" w14:textId="77777777" w:rsidTr="00990AB2">
        <w:trPr>
          <w:trHeight w:val="164"/>
        </w:trPr>
        <w:tc>
          <w:tcPr>
            <w:tcW w:w="3060" w:type="pct"/>
            <w:tcBorders>
              <w:top w:val="single" w:sz="4" w:space="0" w:color="auto"/>
              <w:bottom w:val="single" w:sz="4" w:space="0" w:color="auto"/>
            </w:tcBorders>
            <w:shd w:val="clear" w:color="auto" w:fill="auto"/>
          </w:tcPr>
          <w:p w14:paraId="232F5130" w14:textId="2843C465" w:rsidR="00442097" w:rsidRPr="0051027B" w:rsidRDefault="00AD3756" w:rsidP="00442097">
            <w:pPr>
              <w:rPr>
                <w:rFonts w:ascii="Arial" w:hAnsi="Arial" w:cs="Arial"/>
                <w:color w:val="000000"/>
                <w:sz w:val="22"/>
                <w:szCs w:val="22"/>
                <w:lang w:val="en-US"/>
              </w:rPr>
            </w:pPr>
            <w:r w:rsidRPr="0051027B">
              <w:rPr>
                <w:rFonts w:ascii="Arial" w:hAnsi="Arial"/>
                <w:color w:val="000000"/>
                <w:sz w:val="22"/>
                <w:szCs w:val="22"/>
                <w:lang w:val="en-US"/>
              </w:rPr>
              <w:t>Piraeus Bank Group Cultural Foundation</w:t>
            </w:r>
            <w:r w:rsidR="00E375BB">
              <w:rPr>
                <w:rFonts w:ascii="Arial" w:hAnsi="Arial"/>
                <w:color w:val="000000"/>
                <w:sz w:val="22"/>
                <w:szCs w:val="22"/>
                <w:lang w:val="en-US"/>
              </w:rPr>
              <w:t xml:space="preserve"> (PIOP)</w:t>
            </w:r>
          </w:p>
        </w:tc>
        <w:tc>
          <w:tcPr>
            <w:tcW w:w="1119" w:type="pct"/>
            <w:tcBorders>
              <w:top w:val="single" w:sz="4" w:space="0" w:color="auto"/>
              <w:bottom w:val="single" w:sz="4" w:space="0" w:color="auto"/>
            </w:tcBorders>
            <w:shd w:val="clear" w:color="auto" w:fill="auto"/>
          </w:tcPr>
          <w:p w14:paraId="694A60BF" w14:textId="3928A5CA" w:rsidR="00442097" w:rsidRDefault="00442097" w:rsidP="00442097">
            <w:pPr>
              <w:jc w:val="center"/>
              <w:rPr>
                <w:rFonts w:ascii="Arial" w:hAnsi="Arial" w:cs="Arial"/>
                <w:color w:val="000000"/>
                <w:sz w:val="22"/>
                <w:szCs w:val="22"/>
              </w:rPr>
            </w:pPr>
            <w:r>
              <w:rPr>
                <w:rFonts w:ascii="Arial" w:hAnsi="Arial"/>
                <w:color w:val="000000"/>
                <w:sz w:val="22"/>
                <w:szCs w:val="22"/>
              </w:rPr>
              <w:t>Grèce</w:t>
            </w:r>
          </w:p>
        </w:tc>
        <w:tc>
          <w:tcPr>
            <w:tcW w:w="821" w:type="pct"/>
            <w:tcBorders>
              <w:top w:val="single" w:sz="4" w:space="0" w:color="auto"/>
              <w:bottom w:val="single" w:sz="4" w:space="0" w:color="auto"/>
            </w:tcBorders>
            <w:shd w:val="clear" w:color="auto" w:fill="auto"/>
          </w:tcPr>
          <w:p w14:paraId="656E7612" w14:textId="7EE737E6" w:rsidR="00442097" w:rsidRDefault="002B7F03" w:rsidP="00442097">
            <w:pPr>
              <w:jc w:val="center"/>
              <w:rPr>
                <w:rFonts w:ascii="Arial" w:hAnsi="Arial" w:cs="Arial"/>
                <w:color w:val="000000"/>
                <w:sz w:val="22"/>
                <w:szCs w:val="22"/>
              </w:rPr>
            </w:pPr>
            <w:hyperlink r:id="rId45" w:history="1">
              <w:r w:rsidR="00442097" w:rsidRPr="006A32CE">
                <w:rPr>
                  <w:rStyle w:val="Lienhypertexte"/>
                  <w:rFonts w:ascii="Arial" w:hAnsi="Arial"/>
                  <w:sz w:val="22"/>
                  <w:szCs w:val="22"/>
                </w:rPr>
                <w:t>NGO-90287</w:t>
              </w:r>
            </w:hyperlink>
          </w:p>
        </w:tc>
      </w:tr>
      <w:tr w:rsidR="00442097" w:rsidRPr="00567312" w14:paraId="392BB222" w14:textId="77777777" w:rsidTr="00990AB2">
        <w:trPr>
          <w:trHeight w:val="164"/>
        </w:trPr>
        <w:tc>
          <w:tcPr>
            <w:tcW w:w="3060" w:type="pct"/>
            <w:tcBorders>
              <w:top w:val="single" w:sz="4" w:space="0" w:color="auto"/>
              <w:bottom w:val="single" w:sz="4" w:space="0" w:color="auto"/>
            </w:tcBorders>
            <w:shd w:val="clear" w:color="auto" w:fill="auto"/>
          </w:tcPr>
          <w:p w14:paraId="7C120AA4" w14:textId="4AD21FD2" w:rsidR="00442097" w:rsidRPr="00567312" w:rsidRDefault="00D32D50" w:rsidP="00442097">
            <w:pPr>
              <w:rPr>
                <w:rFonts w:ascii="Arial" w:hAnsi="Arial" w:cs="Arial"/>
                <w:color w:val="000000"/>
                <w:sz w:val="22"/>
                <w:szCs w:val="22"/>
              </w:rPr>
            </w:pPr>
            <w:proofErr w:type="spellStart"/>
            <w:r w:rsidRPr="00D32D50">
              <w:rPr>
                <w:rFonts w:ascii="Arial" w:hAnsi="Arial"/>
                <w:color w:val="000000"/>
                <w:sz w:val="22"/>
                <w:szCs w:val="22"/>
              </w:rPr>
              <w:t>Portuguese</w:t>
            </w:r>
            <w:proofErr w:type="spellEnd"/>
            <w:r w:rsidRPr="00D32D50">
              <w:rPr>
                <w:rFonts w:ascii="Arial" w:hAnsi="Arial"/>
                <w:color w:val="000000"/>
                <w:sz w:val="22"/>
                <w:szCs w:val="22"/>
              </w:rPr>
              <w:t xml:space="preserve"> Folklore </w:t>
            </w:r>
            <w:proofErr w:type="spellStart"/>
            <w:r w:rsidRPr="00D32D50">
              <w:rPr>
                <w:rFonts w:ascii="Arial" w:hAnsi="Arial"/>
                <w:color w:val="000000"/>
                <w:sz w:val="22"/>
                <w:szCs w:val="22"/>
              </w:rPr>
              <w:t>Federation</w:t>
            </w:r>
            <w:proofErr w:type="spellEnd"/>
          </w:p>
        </w:tc>
        <w:tc>
          <w:tcPr>
            <w:tcW w:w="1119" w:type="pct"/>
            <w:tcBorders>
              <w:top w:val="single" w:sz="4" w:space="0" w:color="auto"/>
              <w:bottom w:val="single" w:sz="4" w:space="0" w:color="auto"/>
            </w:tcBorders>
            <w:shd w:val="clear" w:color="auto" w:fill="auto"/>
          </w:tcPr>
          <w:p w14:paraId="5B2F3781" w14:textId="0A07B7CC" w:rsidR="00442097" w:rsidRDefault="00442097" w:rsidP="00442097">
            <w:pPr>
              <w:jc w:val="center"/>
              <w:rPr>
                <w:rFonts w:ascii="Arial" w:hAnsi="Arial" w:cs="Arial"/>
                <w:color w:val="000000"/>
                <w:sz w:val="22"/>
                <w:szCs w:val="22"/>
              </w:rPr>
            </w:pPr>
            <w:r>
              <w:rPr>
                <w:rFonts w:ascii="Arial" w:hAnsi="Arial"/>
                <w:color w:val="000000"/>
                <w:sz w:val="22"/>
                <w:szCs w:val="22"/>
              </w:rPr>
              <w:t>Portugal</w:t>
            </w:r>
          </w:p>
        </w:tc>
        <w:tc>
          <w:tcPr>
            <w:tcW w:w="821" w:type="pct"/>
            <w:tcBorders>
              <w:top w:val="single" w:sz="4" w:space="0" w:color="auto"/>
              <w:bottom w:val="single" w:sz="4" w:space="0" w:color="auto"/>
            </w:tcBorders>
            <w:shd w:val="clear" w:color="auto" w:fill="auto"/>
          </w:tcPr>
          <w:p w14:paraId="3D712881" w14:textId="394F12B8" w:rsidR="00442097" w:rsidRDefault="002B7F03" w:rsidP="00442097">
            <w:pPr>
              <w:jc w:val="center"/>
              <w:rPr>
                <w:rFonts w:ascii="Arial" w:hAnsi="Arial" w:cs="Arial"/>
                <w:color w:val="000000"/>
                <w:sz w:val="22"/>
                <w:szCs w:val="22"/>
              </w:rPr>
            </w:pPr>
            <w:hyperlink r:id="rId46" w:history="1">
              <w:r w:rsidR="00BD3D04" w:rsidRPr="00DF7252">
                <w:rPr>
                  <w:rStyle w:val="Lienhypertexte"/>
                  <w:rFonts w:ascii="Arial" w:hAnsi="Arial"/>
                  <w:sz w:val="22"/>
                  <w:szCs w:val="22"/>
                  <w:lang w:val="en-US"/>
                </w:rPr>
                <w:t>NGO-90447</w:t>
              </w:r>
            </w:hyperlink>
          </w:p>
        </w:tc>
      </w:tr>
      <w:tr w:rsidR="00BD3D04" w:rsidRPr="00567312" w14:paraId="63C3C117" w14:textId="77777777" w:rsidTr="00990AB2">
        <w:trPr>
          <w:trHeight w:val="164"/>
        </w:trPr>
        <w:tc>
          <w:tcPr>
            <w:tcW w:w="3060" w:type="pct"/>
            <w:tcBorders>
              <w:top w:val="single" w:sz="4" w:space="0" w:color="auto"/>
              <w:bottom w:val="single" w:sz="4" w:space="0" w:color="auto"/>
            </w:tcBorders>
            <w:shd w:val="clear" w:color="auto" w:fill="auto"/>
          </w:tcPr>
          <w:p w14:paraId="0E358729" w14:textId="10D2D20A" w:rsidR="00BD3D04" w:rsidRPr="0051027B" w:rsidRDefault="00BD3D04" w:rsidP="00BD3D04">
            <w:pPr>
              <w:rPr>
                <w:rFonts w:ascii="Arial" w:hAnsi="Arial" w:cs="Arial"/>
                <w:color w:val="000000"/>
                <w:sz w:val="22"/>
                <w:szCs w:val="22"/>
                <w:lang w:val="en-US"/>
              </w:rPr>
            </w:pPr>
            <w:r w:rsidRPr="0051027B">
              <w:rPr>
                <w:rFonts w:ascii="Arial" w:hAnsi="Arial"/>
                <w:color w:val="000000"/>
                <w:sz w:val="22"/>
                <w:szCs w:val="22"/>
                <w:lang w:val="en-US"/>
              </w:rPr>
              <w:t>Public Fund 'Rural Development Fund'</w:t>
            </w:r>
          </w:p>
        </w:tc>
        <w:tc>
          <w:tcPr>
            <w:tcW w:w="1119" w:type="pct"/>
            <w:tcBorders>
              <w:top w:val="single" w:sz="4" w:space="0" w:color="auto"/>
              <w:bottom w:val="single" w:sz="4" w:space="0" w:color="auto"/>
            </w:tcBorders>
            <w:shd w:val="clear" w:color="auto" w:fill="auto"/>
          </w:tcPr>
          <w:p w14:paraId="368EE65E" w14:textId="65BBDF9E" w:rsidR="00BD3D04" w:rsidRDefault="00BD3D04" w:rsidP="00BD3D04">
            <w:pPr>
              <w:jc w:val="center"/>
              <w:rPr>
                <w:rFonts w:ascii="Arial" w:hAnsi="Arial" w:cs="Arial"/>
                <w:color w:val="000000"/>
                <w:sz w:val="22"/>
                <w:szCs w:val="22"/>
              </w:rPr>
            </w:pPr>
            <w:r>
              <w:rPr>
                <w:rFonts w:ascii="Arial" w:hAnsi="Arial"/>
                <w:color w:val="000000"/>
                <w:sz w:val="22"/>
                <w:szCs w:val="22"/>
              </w:rPr>
              <w:t>Kirghizstan</w:t>
            </w:r>
          </w:p>
        </w:tc>
        <w:tc>
          <w:tcPr>
            <w:tcW w:w="821" w:type="pct"/>
            <w:tcBorders>
              <w:top w:val="single" w:sz="4" w:space="0" w:color="auto"/>
              <w:bottom w:val="single" w:sz="4" w:space="0" w:color="auto"/>
            </w:tcBorders>
            <w:shd w:val="clear" w:color="auto" w:fill="auto"/>
          </w:tcPr>
          <w:p w14:paraId="23288003" w14:textId="2C7860B4" w:rsidR="00BD3D04" w:rsidRDefault="002B7F03" w:rsidP="00BD3D04">
            <w:pPr>
              <w:jc w:val="center"/>
              <w:rPr>
                <w:rFonts w:ascii="Arial" w:hAnsi="Arial" w:cs="Arial"/>
                <w:color w:val="000000"/>
                <w:sz w:val="22"/>
                <w:szCs w:val="22"/>
              </w:rPr>
            </w:pPr>
            <w:hyperlink r:id="rId47" w:history="1">
              <w:r w:rsidR="00BD3D04" w:rsidRPr="00DF7252">
                <w:rPr>
                  <w:rStyle w:val="Lienhypertexte"/>
                  <w:rFonts w:ascii="Arial" w:hAnsi="Arial"/>
                  <w:sz w:val="22"/>
                  <w:szCs w:val="22"/>
                  <w:lang w:val="en-US"/>
                </w:rPr>
                <w:t>NGO-90441</w:t>
              </w:r>
            </w:hyperlink>
          </w:p>
        </w:tc>
      </w:tr>
      <w:tr w:rsidR="00BD3D04" w:rsidRPr="005A329E" w14:paraId="0BBB7D5E" w14:textId="77777777" w:rsidTr="00990AB2">
        <w:trPr>
          <w:trHeight w:val="164"/>
        </w:trPr>
        <w:tc>
          <w:tcPr>
            <w:tcW w:w="3060" w:type="pct"/>
            <w:tcBorders>
              <w:top w:val="single" w:sz="4" w:space="0" w:color="auto"/>
              <w:bottom w:val="single" w:sz="4" w:space="0" w:color="auto"/>
            </w:tcBorders>
            <w:shd w:val="clear" w:color="auto" w:fill="auto"/>
          </w:tcPr>
          <w:p w14:paraId="3F03E184" w14:textId="7A8C7042" w:rsidR="00BD3D04" w:rsidRPr="00B33CC7" w:rsidRDefault="00BD3D04" w:rsidP="00BD3D04">
            <w:pPr>
              <w:rPr>
                <w:rFonts w:ascii="Arial" w:hAnsi="Arial" w:cs="Arial"/>
                <w:color w:val="000000"/>
                <w:sz w:val="22"/>
                <w:szCs w:val="22"/>
                <w:lang w:val="en-US"/>
              </w:rPr>
            </w:pPr>
            <w:proofErr w:type="spellStart"/>
            <w:r w:rsidRPr="00B33CC7">
              <w:rPr>
                <w:rFonts w:ascii="Arial" w:hAnsi="Arial"/>
                <w:color w:val="000000"/>
                <w:sz w:val="22"/>
                <w:szCs w:val="22"/>
                <w:lang w:val="en-US"/>
              </w:rPr>
              <w:t>Rupayan</w:t>
            </w:r>
            <w:proofErr w:type="spellEnd"/>
            <w:r w:rsidRPr="00B33CC7">
              <w:rPr>
                <w:rFonts w:ascii="Arial" w:hAnsi="Arial"/>
                <w:color w:val="000000"/>
                <w:sz w:val="22"/>
                <w:szCs w:val="22"/>
                <w:lang w:val="en-US"/>
              </w:rPr>
              <w:t xml:space="preserve"> </w:t>
            </w:r>
            <w:proofErr w:type="spellStart"/>
            <w:r w:rsidRPr="00B33CC7">
              <w:rPr>
                <w:rFonts w:ascii="Arial" w:hAnsi="Arial"/>
                <w:color w:val="000000"/>
                <w:sz w:val="22"/>
                <w:szCs w:val="22"/>
                <w:lang w:val="en-US"/>
              </w:rPr>
              <w:t>Sansthan</w:t>
            </w:r>
            <w:proofErr w:type="spellEnd"/>
            <w:r w:rsidRPr="00B33CC7">
              <w:rPr>
                <w:rFonts w:ascii="Arial" w:hAnsi="Arial"/>
                <w:color w:val="000000"/>
                <w:sz w:val="22"/>
                <w:szCs w:val="22"/>
                <w:lang w:val="en-US"/>
              </w:rPr>
              <w:t xml:space="preserve"> (Rajasthan Institute of Folklore)</w:t>
            </w:r>
          </w:p>
        </w:tc>
        <w:tc>
          <w:tcPr>
            <w:tcW w:w="1119" w:type="pct"/>
            <w:tcBorders>
              <w:top w:val="single" w:sz="4" w:space="0" w:color="auto"/>
              <w:bottom w:val="single" w:sz="4" w:space="0" w:color="auto"/>
            </w:tcBorders>
            <w:shd w:val="clear" w:color="auto" w:fill="auto"/>
          </w:tcPr>
          <w:p w14:paraId="12EF5521" w14:textId="2AA61063" w:rsidR="00BD3D04" w:rsidRPr="005A329E" w:rsidRDefault="00BD3D04" w:rsidP="00BD3D04">
            <w:pPr>
              <w:jc w:val="center"/>
              <w:rPr>
                <w:rFonts w:ascii="Arial" w:hAnsi="Arial" w:cs="Arial"/>
                <w:color w:val="000000"/>
                <w:sz w:val="22"/>
                <w:szCs w:val="22"/>
              </w:rPr>
            </w:pPr>
            <w:r>
              <w:rPr>
                <w:rFonts w:ascii="Arial" w:hAnsi="Arial"/>
                <w:color w:val="000000"/>
                <w:sz w:val="22"/>
                <w:szCs w:val="22"/>
              </w:rPr>
              <w:t>Inde</w:t>
            </w:r>
          </w:p>
        </w:tc>
        <w:tc>
          <w:tcPr>
            <w:tcW w:w="821" w:type="pct"/>
            <w:tcBorders>
              <w:top w:val="single" w:sz="4" w:space="0" w:color="auto"/>
              <w:bottom w:val="single" w:sz="4" w:space="0" w:color="auto"/>
            </w:tcBorders>
            <w:shd w:val="clear" w:color="auto" w:fill="auto"/>
          </w:tcPr>
          <w:p w14:paraId="02A1941B" w14:textId="47491DE3" w:rsidR="00BD3D04" w:rsidRPr="005A329E" w:rsidRDefault="002B7F03" w:rsidP="00BD3D04">
            <w:pPr>
              <w:jc w:val="center"/>
              <w:rPr>
                <w:rFonts w:ascii="Arial" w:hAnsi="Arial" w:cs="Arial"/>
                <w:color w:val="000000"/>
                <w:sz w:val="22"/>
                <w:szCs w:val="22"/>
              </w:rPr>
            </w:pPr>
            <w:hyperlink r:id="rId48" w:history="1">
              <w:r w:rsidR="00BD3D04" w:rsidRPr="00DF7252">
                <w:rPr>
                  <w:rStyle w:val="Lienhypertexte"/>
                  <w:rFonts w:ascii="Arial" w:hAnsi="Arial"/>
                  <w:sz w:val="22"/>
                  <w:szCs w:val="22"/>
                  <w:lang w:val="en-US"/>
                </w:rPr>
                <w:t>NGO-90459</w:t>
              </w:r>
            </w:hyperlink>
          </w:p>
        </w:tc>
      </w:tr>
      <w:tr w:rsidR="00BD3D04" w:rsidRPr="005A329E" w14:paraId="2E2C314D" w14:textId="77777777" w:rsidTr="00990AB2">
        <w:trPr>
          <w:trHeight w:val="164"/>
        </w:trPr>
        <w:tc>
          <w:tcPr>
            <w:tcW w:w="3060" w:type="pct"/>
            <w:tcBorders>
              <w:top w:val="single" w:sz="4" w:space="0" w:color="auto"/>
              <w:bottom w:val="single" w:sz="4" w:space="0" w:color="auto"/>
            </w:tcBorders>
            <w:shd w:val="clear" w:color="auto" w:fill="auto"/>
          </w:tcPr>
          <w:p w14:paraId="3793A396" w14:textId="02D09132" w:rsidR="00BD3D04" w:rsidRPr="0051027B" w:rsidRDefault="00BD3D04" w:rsidP="00BD3D04">
            <w:pPr>
              <w:rPr>
                <w:rFonts w:ascii="Arial" w:hAnsi="Arial" w:cs="Arial"/>
                <w:color w:val="000000"/>
                <w:sz w:val="22"/>
                <w:szCs w:val="22"/>
                <w:lang w:val="en-US"/>
              </w:rPr>
            </w:pPr>
            <w:r w:rsidRPr="0051027B">
              <w:rPr>
                <w:rFonts w:ascii="Arial" w:hAnsi="Arial"/>
                <w:color w:val="000000"/>
                <w:sz w:val="22"/>
                <w:szCs w:val="22"/>
                <w:lang w:val="en-US"/>
              </w:rPr>
              <w:t>Saudi Heritage Preservation Society (SHPS)</w:t>
            </w:r>
          </w:p>
        </w:tc>
        <w:tc>
          <w:tcPr>
            <w:tcW w:w="1119" w:type="pct"/>
            <w:tcBorders>
              <w:top w:val="single" w:sz="4" w:space="0" w:color="auto"/>
              <w:bottom w:val="single" w:sz="4" w:space="0" w:color="auto"/>
            </w:tcBorders>
            <w:shd w:val="clear" w:color="auto" w:fill="auto"/>
          </w:tcPr>
          <w:p w14:paraId="35F78770" w14:textId="2FEC5A45" w:rsidR="00BD3D04" w:rsidRDefault="00BD3D04" w:rsidP="00BD3D04">
            <w:pPr>
              <w:jc w:val="center"/>
              <w:rPr>
                <w:rFonts w:ascii="Arial" w:hAnsi="Arial" w:cs="Arial"/>
                <w:color w:val="000000"/>
                <w:sz w:val="22"/>
                <w:szCs w:val="22"/>
              </w:rPr>
            </w:pPr>
            <w:r>
              <w:rPr>
                <w:rFonts w:ascii="Arial" w:hAnsi="Arial"/>
                <w:color w:val="000000"/>
                <w:sz w:val="22"/>
                <w:szCs w:val="22"/>
              </w:rPr>
              <w:t>Arabie saoudite</w:t>
            </w:r>
          </w:p>
        </w:tc>
        <w:tc>
          <w:tcPr>
            <w:tcW w:w="821" w:type="pct"/>
            <w:tcBorders>
              <w:top w:val="single" w:sz="4" w:space="0" w:color="auto"/>
              <w:bottom w:val="single" w:sz="4" w:space="0" w:color="auto"/>
            </w:tcBorders>
            <w:shd w:val="clear" w:color="auto" w:fill="auto"/>
          </w:tcPr>
          <w:p w14:paraId="74139446" w14:textId="05FAEBFA" w:rsidR="00BD3D04" w:rsidRDefault="002B7F03" w:rsidP="00BD3D04">
            <w:pPr>
              <w:jc w:val="center"/>
              <w:rPr>
                <w:rFonts w:ascii="Arial" w:hAnsi="Arial" w:cs="Arial"/>
                <w:color w:val="000000"/>
                <w:sz w:val="22"/>
                <w:szCs w:val="22"/>
              </w:rPr>
            </w:pPr>
            <w:hyperlink r:id="rId49" w:history="1">
              <w:r w:rsidR="00BD3D04" w:rsidRPr="00907E3D">
                <w:rPr>
                  <w:rStyle w:val="Lienhypertexte"/>
                  <w:rFonts w:ascii="Arial" w:hAnsi="Arial"/>
                  <w:sz w:val="22"/>
                  <w:szCs w:val="22"/>
                  <w:lang w:val="en-US"/>
                </w:rPr>
                <w:t>NGO-90473</w:t>
              </w:r>
            </w:hyperlink>
          </w:p>
        </w:tc>
      </w:tr>
      <w:tr w:rsidR="00BD3D04" w:rsidRPr="00B37CAC" w14:paraId="5388B212" w14:textId="77777777" w:rsidTr="00990AB2">
        <w:trPr>
          <w:trHeight w:val="164"/>
        </w:trPr>
        <w:tc>
          <w:tcPr>
            <w:tcW w:w="3060" w:type="pct"/>
            <w:tcBorders>
              <w:top w:val="single" w:sz="4" w:space="0" w:color="auto"/>
              <w:bottom w:val="single" w:sz="4" w:space="0" w:color="auto"/>
            </w:tcBorders>
            <w:shd w:val="clear" w:color="auto" w:fill="auto"/>
          </w:tcPr>
          <w:p w14:paraId="0CF46D46" w14:textId="5576AB87" w:rsidR="00BD3D04" w:rsidRPr="00B33CC7" w:rsidRDefault="00BD3D04" w:rsidP="00BD3D04">
            <w:pPr>
              <w:rPr>
                <w:rFonts w:ascii="Arial" w:hAnsi="Arial" w:cs="Arial"/>
                <w:color w:val="000000"/>
                <w:sz w:val="22"/>
                <w:szCs w:val="22"/>
                <w:lang w:val="en-US"/>
              </w:rPr>
            </w:pPr>
            <w:proofErr w:type="spellStart"/>
            <w:r w:rsidRPr="00B33CC7">
              <w:rPr>
                <w:rFonts w:ascii="Arial" w:hAnsi="Arial"/>
                <w:color w:val="000000"/>
                <w:sz w:val="22"/>
                <w:szCs w:val="22"/>
                <w:lang w:val="en-US"/>
              </w:rPr>
              <w:t>Sadhona</w:t>
            </w:r>
            <w:proofErr w:type="spellEnd"/>
            <w:r w:rsidRPr="00B33CC7">
              <w:rPr>
                <w:rFonts w:ascii="Arial" w:hAnsi="Arial"/>
                <w:color w:val="000000"/>
                <w:sz w:val="22"/>
                <w:szCs w:val="22"/>
                <w:lang w:val="en-US"/>
              </w:rPr>
              <w:t xml:space="preserve"> – Center for Advancement of </w:t>
            </w:r>
            <w:proofErr w:type="spellStart"/>
            <w:r w:rsidRPr="00B33CC7">
              <w:rPr>
                <w:rFonts w:ascii="Arial" w:hAnsi="Arial"/>
                <w:color w:val="000000"/>
                <w:sz w:val="22"/>
                <w:szCs w:val="22"/>
                <w:lang w:val="en-US"/>
              </w:rPr>
              <w:t>Southasian</w:t>
            </w:r>
            <w:proofErr w:type="spellEnd"/>
            <w:r w:rsidRPr="00B33CC7">
              <w:rPr>
                <w:rFonts w:ascii="Arial" w:hAnsi="Arial"/>
                <w:color w:val="000000"/>
                <w:sz w:val="22"/>
                <w:szCs w:val="22"/>
                <w:lang w:val="en-US"/>
              </w:rPr>
              <w:t xml:space="preserve"> Culture</w:t>
            </w:r>
          </w:p>
        </w:tc>
        <w:tc>
          <w:tcPr>
            <w:tcW w:w="1119" w:type="pct"/>
            <w:tcBorders>
              <w:top w:val="single" w:sz="4" w:space="0" w:color="auto"/>
              <w:bottom w:val="single" w:sz="4" w:space="0" w:color="auto"/>
            </w:tcBorders>
            <w:shd w:val="clear" w:color="auto" w:fill="auto"/>
          </w:tcPr>
          <w:p w14:paraId="1810DE70" w14:textId="258E99EE" w:rsidR="00BD3D04" w:rsidRDefault="00BD3D04" w:rsidP="00BD3D04">
            <w:pPr>
              <w:jc w:val="center"/>
              <w:rPr>
                <w:rFonts w:ascii="Arial" w:hAnsi="Arial" w:cs="Arial"/>
                <w:color w:val="000000"/>
                <w:sz w:val="22"/>
                <w:szCs w:val="22"/>
              </w:rPr>
            </w:pPr>
            <w:r>
              <w:rPr>
                <w:rFonts w:ascii="Arial" w:hAnsi="Arial"/>
                <w:color w:val="000000"/>
                <w:sz w:val="22"/>
                <w:szCs w:val="22"/>
              </w:rPr>
              <w:t>Bangladesh</w:t>
            </w:r>
          </w:p>
        </w:tc>
        <w:tc>
          <w:tcPr>
            <w:tcW w:w="821" w:type="pct"/>
            <w:tcBorders>
              <w:top w:val="single" w:sz="4" w:space="0" w:color="auto"/>
              <w:bottom w:val="single" w:sz="4" w:space="0" w:color="auto"/>
            </w:tcBorders>
            <w:shd w:val="clear" w:color="auto" w:fill="auto"/>
          </w:tcPr>
          <w:p w14:paraId="5A323784" w14:textId="35CCB1BF" w:rsidR="00BD3D04" w:rsidRDefault="002B7F03" w:rsidP="00BD3D04">
            <w:pPr>
              <w:jc w:val="center"/>
              <w:rPr>
                <w:rFonts w:ascii="Arial" w:hAnsi="Arial" w:cs="Arial"/>
                <w:color w:val="000000"/>
                <w:sz w:val="22"/>
                <w:szCs w:val="22"/>
              </w:rPr>
            </w:pPr>
            <w:hyperlink r:id="rId50" w:history="1">
              <w:r w:rsidR="00BD3D04" w:rsidRPr="00A40190">
                <w:rPr>
                  <w:rStyle w:val="Lienhypertexte"/>
                  <w:rFonts w:ascii="Arial" w:hAnsi="Arial"/>
                  <w:sz w:val="22"/>
                  <w:szCs w:val="22"/>
                  <w:lang w:val="en-US"/>
                </w:rPr>
                <w:t>NGO-90420</w:t>
              </w:r>
            </w:hyperlink>
          </w:p>
        </w:tc>
      </w:tr>
      <w:tr w:rsidR="00BD3D04" w:rsidRPr="00B37CAC" w14:paraId="3F5BF502" w14:textId="77777777" w:rsidTr="00990AB2">
        <w:trPr>
          <w:trHeight w:val="164"/>
        </w:trPr>
        <w:tc>
          <w:tcPr>
            <w:tcW w:w="3060" w:type="pct"/>
            <w:tcBorders>
              <w:top w:val="single" w:sz="4" w:space="0" w:color="auto"/>
              <w:bottom w:val="single" w:sz="4" w:space="0" w:color="auto"/>
            </w:tcBorders>
            <w:shd w:val="clear" w:color="auto" w:fill="auto"/>
          </w:tcPr>
          <w:p w14:paraId="143BF7CC" w14:textId="0CF57931" w:rsidR="00BD3D04" w:rsidRPr="00B33CC7" w:rsidRDefault="00BD3D04" w:rsidP="00BD3D04">
            <w:pPr>
              <w:rPr>
                <w:rFonts w:ascii="Arial" w:hAnsi="Arial" w:cs="Arial"/>
                <w:color w:val="000000"/>
                <w:sz w:val="22"/>
                <w:szCs w:val="22"/>
                <w:lang w:val="en-US"/>
              </w:rPr>
            </w:pPr>
            <w:r w:rsidRPr="00B33CC7">
              <w:rPr>
                <w:rFonts w:ascii="Arial" w:hAnsi="Arial"/>
                <w:color w:val="000000"/>
                <w:sz w:val="22"/>
                <w:szCs w:val="22"/>
                <w:lang w:val="en-US"/>
              </w:rPr>
              <w:t>The Association for Cultural Equity</w:t>
            </w:r>
          </w:p>
        </w:tc>
        <w:tc>
          <w:tcPr>
            <w:tcW w:w="1119" w:type="pct"/>
            <w:tcBorders>
              <w:top w:val="single" w:sz="4" w:space="0" w:color="auto"/>
              <w:bottom w:val="single" w:sz="4" w:space="0" w:color="auto"/>
            </w:tcBorders>
            <w:shd w:val="clear" w:color="auto" w:fill="auto"/>
          </w:tcPr>
          <w:p w14:paraId="5B9E01B5" w14:textId="149A82F3" w:rsidR="00BD3D04" w:rsidRDefault="00BD3D04" w:rsidP="00BD3D04">
            <w:pPr>
              <w:jc w:val="center"/>
              <w:rPr>
                <w:rFonts w:ascii="Arial" w:hAnsi="Arial" w:cs="Arial"/>
                <w:color w:val="000000"/>
                <w:sz w:val="22"/>
                <w:szCs w:val="22"/>
              </w:rPr>
            </w:pPr>
            <w:r>
              <w:rPr>
                <w:rFonts w:ascii="Arial" w:hAnsi="Arial"/>
                <w:color w:val="000000"/>
                <w:sz w:val="22"/>
                <w:szCs w:val="22"/>
              </w:rPr>
              <w:t>États-Unis d’Amérique</w:t>
            </w:r>
          </w:p>
        </w:tc>
        <w:tc>
          <w:tcPr>
            <w:tcW w:w="821" w:type="pct"/>
            <w:tcBorders>
              <w:top w:val="single" w:sz="4" w:space="0" w:color="auto"/>
              <w:bottom w:val="single" w:sz="4" w:space="0" w:color="auto"/>
            </w:tcBorders>
            <w:shd w:val="clear" w:color="auto" w:fill="auto"/>
          </w:tcPr>
          <w:p w14:paraId="57B46A39" w14:textId="045DE75F" w:rsidR="00BD3D04" w:rsidRDefault="002B7F03" w:rsidP="00BD3D04">
            <w:pPr>
              <w:jc w:val="center"/>
              <w:rPr>
                <w:rFonts w:ascii="Arial" w:hAnsi="Arial" w:cs="Arial"/>
                <w:color w:val="000000"/>
                <w:sz w:val="22"/>
                <w:szCs w:val="22"/>
              </w:rPr>
            </w:pPr>
            <w:hyperlink r:id="rId51" w:history="1">
              <w:r w:rsidR="00BD3D04" w:rsidRPr="00A40190">
                <w:rPr>
                  <w:rStyle w:val="Lienhypertexte"/>
                  <w:rFonts w:ascii="Arial" w:hAnsi="Arial"/>
                  <w:sz w:val="22"/>
                  <w:szCs w:val="22"/>
                  <w:lang w:val="en-US"/>
                </w:rPr>
                <w:t>NGO-90455</w:t>
              </w:r>
            </w:hyperlink>
          </w:p>
        </w:tc>
      </w:tr>
      <w:tr w:rsidR="00BD3D04" w:rsidRPr="00B37CAC" w14:paraId="15BC634D" w14:textId="77777777" w:rsidTr="00990AB2">
        <w:trPr>
          <w:trHeight w:val="164"/>
        </w:trPr>
        <w:tc>
          <w:tcPr>
            <w:tcW w:w="3060" w:type="pct"/>
            <w:tcBorders>
              <w:top w:val="single" w:sz="4" w:space="0" w:color="auto"/>
              <w:bottom w:val="single" w:sz="4" w:space="0" w:color="auto"/>
            </w:tcBorders>
            <w:shd w:val="clear" w:color="auto" w:fill="auto"/>
          </w:tcPr>
          <w:p w14:paraId="6A8CB574" w14:textId="18B0447E" w:rsidR="00BD3D04" w:rsidRPr="00B33CC7" w:rsidRDefault="00BD3D04" w:rsidP="00BD3D04">
            <w:pPr>
              <w:rPr>
                <w:rFonts w:ascii="Arial" w:hAnsi="Arial" w:cs="Arial"/>
                <w:color w:val="000000"/>
                <w:sz w:val="22"/>
                <w:szCs w:val="22"/>
                <w:lang w:val="en-US"/>
              </w:rPr>
            </w:pPr>
            <w:r w:rsidRPr="00B33CC7">
              <w:rPr>
                <w:rFonts w:ascii="Arial" w:hAnsi="Arial"/>
                <w:color w:val="000000"/>
                <w:sz w:val="22"/>
                <w:szCs w:val="22"/>
                <w:lang w:val="en-US"/>
              </w:rPr>
              <w:t>The Eel Coast Cultural Heritage</w:t>
            </w:r>
          </w:p>
        </w:tc>
        <w:tc>
          <w:tcPr>
            <w:tcW w:w="1119" w:type="pct"/>
            <w:tcBorders>
              <w:top w:val="single" w:sz="4" w:space="0" w:color="auto"/>
              <w:bottom w:val="single" w:sz="4" w:space="0" w:color="auto"/>
            </w:tcBorders>
            <w:shd w:val="clear" w:color="auto" w:fill="auto"/>
          </w:tcPr>
          <w:p w14:paraId="331A0BD1" w14:textId="4F5A4434" w:rsidR="00BD3D04" w:rsidRDefault="00BD3D04" w:rsidP="00BD3D04">
            <w:pPr>
              <w:jc w:val="center"/>
              <w:rPr>
                <w:rFonts w:ascii="Arial" w:hAnsi="Arial" w:cs="Arial"/>
                <w:color w:val="000000"/>
                <w:sz w:val="22"/>
                <w:szCs w:val="22"/>
              </w:rPr>
            </w:pPr>
            <w:r>
              <w:rPr>
                <w:rFonts w:ascii="Arial" w:hAnsi="Arial"/>
                <w:color w:val="000000"/>
                <w:sz w:val="22"/>
                <w:szCs w:val="22"/>
              </w:rPr>
              <w:t>Suède</w:t>
            </w:r>
          </w:p>
        </w:tc>
        <w:tc>
          <w:tcPr>
            <w:tcW w:w="821" w:type="pct"/>
            <w:tcBorders>
              <w:top w:val="single" w:sz="4" w:space="0" w:color="auto"/>
              <w:bottom w:val="single" w:sz="4" w:space="0" w:color="auto"/>
            </w:tcBorders>
            <w:shd w:val="clear" w:color="auto" w:fill="auto"/>
          </w:tcPr>
          <w:p w14:paraId="09442141" w14:textId="0CF1B6A3" w:rsidR="00BD3D04" w:rsidRDefault="002B7F03" w:rsidP="00BD3D04">
            <w:pPr>
              <w:jc w:val="center"/>
              <w:rPr>
                <w:rFonts w:ascii="Arial" w:hAnsi="Arial" w:cs="Arial"/>
                <w:color w:val="000000"/>
                <w:sz w:val="22"/>
                <w:szCs w:val="22"/>
              </w:rPr>
            </w:pPr>
            <w:hyperlink r:id="rId52" w:history="1">
              <w:r w:rsidR="00BD3D04" w:rsidRPr="00780576">
                <w:rPr>
                  <w:rStyle w:val="Lienhypertexte"/>
                  <w:rFonts w:ascii="Arial" w:hAnsi="Arial"/>
                  <w:sz w:val="22"/>
                  <w:szCs w:val="22"/>
                  <w:lang w:val="en-US"/>
                </w:rPr>
                <w:t>NGO-90428</w:t>
              </w:r>
            </w:hyperlink>
          </w:p>
        </w:tc>
      </w:tr>
      <w:tr w:rsidR="00BD3D04" w:rsidRPr="00B37CAC" w14:paraId="32EAFD19" w14:textId="77777777" w:rsidTr="00990AB2">
        <w:trPr>
          <w:trHeight w:val="164"/>
        </w:trPr>
        <w:tc>
          <w:tcPr>
            <w:tcW w:w="3060" w:type="pct"/>
            <w:tcBorders>
              <w:top w:val="single" w:sz="4" w:space="0" w:color="auto"/>
              <w:bottom w:val="single" w:sz="4" w:space="0" w:color="auto"/>
            </w:tcBorders>
            <w:shd w:val="clear" w:color="auto" w:fill="auto"/>
          </w:tcPr>
          <w:p w14:paraId="170FBE4C" w14:textId="197F5A0C" w:rsidR="00BD3D04" w:rsidRDefault="00BD3D04" w:rsidP="00BD3D04">
            <w:pPr>
              <w:rPr>
                <w:rFonts w:ascii="Arial" w:hAnsi="Arial" w:cs="Arial"/>
                <w:color w:val="000000"/>
                <w:sz w:val="22"/>
                <w:szCs w:val="22"/>
              </w:rPr>
            </w:pPr>
            <w:proofErr w:type="spellStart"/>
            <w:r>
              <w:rPr>
                <w:rFonts w:ascii="Arial" w:hAnsi="Arial"/>
                <w:color w:val="000000"/>
                <w:sz w:val="22"/>
                <w:szCs w:val="22"/>
              </w:rPr>
              <w:t>Uly</w:t>
            </w:r>
            <w:proofErr w:type="spellEnd"/>
            <w:r>
              <w:rPr>
                <w:rFonts w:ascii="Arial" w:hAnsi="Arial"/>
                <w:color w:val="000000"/>
                <w:sz w:val="22"/>
                <w:szCs w:val="22"/>
              </w:rPr>
              <w:t xml:space="preserve"> </w:t>
            </w:r>
            <w:proofErr w:type="spellStart"/>
            <w:r>
              <w:rPr>
                <w:rFonts w:ascii="Arial" w:hAnsi="Arial"/>
                <w:color w:val="000000"/>
                <w:sz w:val="22"/>
                <w:szCs w:val="22"/>
              </w:rPr>
              <w:t>Taghzym</w:t>
            </w:r>
            <w:proofErr w:type="spellEnd"/>
            <w:r>
              <w:rPr>
                <w:rFonts w:ascii="Arial" w:hAnsi="Arial"/>
                <w:color w:val="000000"/>
                <w:sz w:val="22"/>
                <w:szCs w:val="22"/>
              </w:rPr>
              <w:t xml:space="preserve"> Public </w:t>
            </w:r>
            <w:proofErr w:type="spellStart"/>
            <w:r>
              <w:rPr>
                <w:rFonts w:ascii="Arial" w:hAnsi="Arial"/>
                <w:color w:val="000000"/>
                <w:sz w:val="22"/>
                <w:szCs w:val="22"/>
              </w:rPr>
              <w:t>Fund</w:t>
            </w:r>
            <w:proofErr w:type="spellEnd"/>
          </w:p>
        </w:tc>
        <w:tc>
          <w:tcPr>
            <w:tcW w:w="1119" w:type="pct"/>
            <w:tcBorders>
              <w:top w:val="single" w:sz="4" w:space="0" w:color="auto"/>
              <w:bottom w:val="single" w:sz="4" w:space="0" w:color="auto"/>
            </w:tcBorders>
            <w:shd w:val="clear" w:color="auto" w:fill="auto"/>
          </w:tcPr>
          <w:p w14:paraId="52041644" w14:textId="24C0C4F2" w:rsidR="00BD3D04" w:rsidRDefault="00BD3D04" w:rsidP="00BD3D04">
            <w:pPr>
              <w:jc w:val="center"/>
              <w:rPr>
                <w:rFonts w:ascii="Arial" w:hAnsi="Arial" w:cs="Arial"/>
                <w:color w:val="000000"/>
                <w:sz w:val="22"/>
                <w:szCs w:val="22"/>
              </w:rPr>
            </w:pPr>
            <w:r>
              <w:rPr>
                <w:rFonts w:ascii="Arial" w:hAnsi="Arial"/>
                <w:color w:val="000000"/>
                <w:sz w:val="22"/>
                <w:szCs w:val="22"/>
              </w:rPr>
              <w:t>Kazakhstan</w:t>
            </w:r>
          </w:p>
        </w:tc>
        <w:tc>
          <w:tcPr>
            <w:tcW w:w="821" w:type="pct"/>
            <w:tcBorders>
              <w:top w:val="single" w:sz="4" w:space="0" w:color="auto"/>
              <w:bottom w:val="single" w:sz="4" w:space="0" w:color="auto"/>
            </w:tcBorders>
            <w:shd w:val="clear" w:color="auto" w:fill="auto"/>
          </w:tcPr>
          <w:p w14:paraId="01D71270" w14:textId="64753C59" w:rsidR="00BD3D04" w:rsidRDefault="002B7F03" w:rsidP="00BD3D04">
            <w:pPr>
              <w:jc w:val="center"/>
              <w:rPr>
                <w:rFonts w:ascii="Arial" w:hAnsi="Arial" w:cs="Arial"/>
                <w:color w:val="000000"/>
                <w:sz w:val="22"/>
                <w:szCs w:val="22"/>
              </w:rPr>
            </w:pPr>
            <w:hyperlink r:id="rId53" w:history="1">
              <w:r w:rsidR="00BD3D04" w:rsidRPr="00780576">
                <w:rPr>
                  <w:rStyle w:val="Lienhypertexte"/>
                  <w:rFonts w:ascii="Arial" w:hAnsi="Arial"/>
                  <w:sz w:val="22"/>
                  <w:szCs w:val="22"/>
                  <w:lang w:val="en-US"/>
                </w:rPr>
                <w:t>NGO-90434</w:t>
              </w:r>
            </w:hyperlink>
          </w:p>
        </w:tc>
      </w:tr>
      <w:tr w:rsidR="00BD3D04" w:rsidRPr="00B37CAC" w14:paraId="62DABE27" w14:textId="77777777" w:rsidTr="00990AB2">
        <w:trPr>
          <w:trHeight w:val="164"/>
        </w:trPr>
        <w:tc>
          <w:tcPr>
            <w:tcW w:w="3060" w:type="pct"/>
            <w:tcBorders>
              <w:top w:val="single" w:sz="4" w:space="0" w:color="auto"/>
              <w:bottom w:val="single" w:sz="4" w:space="0" w:color="auto"/>
            </w:tcBorders>
            <w:shd w:val="clear" w:color="auto" w:fill="auto"/>
          </w:tcPr>
          <w:p w14:paraId="4B58441B" w14:textId="4D7F4E8F" w:rsidR="00BD3D04" w:rsidRPr="0051027B" w:rsidRDefault="00BD3D04" w:rsidP="00BD3D04">
            <w:pPr>
              <w:rPr>
                <w:rFonts w:ascii="Arial" w:hAnsi="Arial" w:cs="Arial"/>
                <w:color w:val="000000"/>
                <w:sz w:val="22"/>
                <w:szCs w:val="22"/>
                <w:lang w:val="en-US"/>
              </w:rPr>
            </w:pPr>
            <w:r w:rsidRPr="0051027B">
              <w:rPr>
                <w:rFonts w:ascii="Arial" w:hAnsi="Arial"/>
                <w:color w:val="000000"/>
                <w:sz w:val="22"/>
                <w:szCs w:val="22"/>
                <w:lang w:val="en-US"/>
              </w:rPr>
              <w:t>World Crafts Council AISBLAISBL</w:t>
            </w:r>
          </w:p>
        </w:tc>
        <w:tc>
          <w:tcPr>
            <w:tcW w:w="1119" w:type="pct"/>
            <w:tcBorders>
              <w:top w:val="single" w:sz="4" w:space="0" w:color="auto"/>
              <w:bottom w:val="single" w:sz="4" w:space="0" w:color="auto"/>
            </w:tcBorders>
            <w:shd w:val="clear" w:color="auto" w:fill="auto"/>
          </w:tcPr>
          <w:p w14:paraId="1439AA23" w14:textId="1E139AE7" w:rsidR="00BD3D04" w:rsidRDefault="00BD3D04" w:rsidP="00BD3D04">
            <w:pPr>
              <w:jc w:val="center"/>
              <w:rPr>
                <w:rFonts w:ascii="Arial" w:hAnsi="Arial" w:cs="Arial"/>
                <w:color w:val="000000"/>
                <w:sz w:val="22"/>
                <w:szCs w:val="22"/>
              </w:rPr>
            </w:pPr>
            <w:r>
              <w:rPr>
                <w:rFonts w:ascii="Arial" w:hAnsi="Arial"/>
                <w:color w:val="000000"/>
                <w:sz w:val="22"/>
                <w:szCs w:val="22"/>
              </w:rPr>
              <w:t>Royaume-Uni de Grande-Bretagne et d’Irlande du Nord</w:t>
            </w:r>
          </w:p>
        </w:tc>
        <w:tc>
          <w:tcPr>
            <w:tcW w:w="821" w:type="pct"/>
            <w:tcBorders>
              <w:top w:val="single" w:sz="4" w:space="0" w:color="auto"/>
              <w:bottom w:val="single" w:sz="4" w:space="0" w:color="auto"/>
            </w:tcBorders>
            <w:shd w:val="clear" w:color="auto" w:fill="auto"/>
          </w:tcPr>
          <w:p w14:paraId="0340AA87" w14:textId="086531C8" w:rsidR="00BD3D04" w:rsidRDefault="002B7F03" w:rsidP="00BD3D04">
            <w:pPr>
              <w:jc w:val="center"/>
              <w:rPr>
                <w:rFonts w:ascii="Arial" w:hAnsi="Arial" w:cs="Arial"/>
                <w:color w:val="000000"/>
                <w:sz w:val="22"/>
                <w:szCs w:val="22"/>
              </w:rPr>
            </w:pPr>
            <w:hyperlink r:id="rId54" w:history="1">
              <w:r w:rsidR="00BD3D04" w:rsidRPr="00780576">
                <w:rPr>
                  <w:rStyle w:val="Lienhypertexte"/>
                  <w:rFonts w:ascii="Arial" w:hAnsi="Arial"/>
                  <w:sz w:val="22"/>
                  <w:szCs w:val="22"/>
                </w:rPr>
                <w:t>NGO-90435</w:t>
              </w:r>
            </w:hyperlink>
          </w:p>
        </w:tc>
      </w:tr>
      <w:tr w:rsidR="00442097" w:rsidRPr="00B37CAC" w14:paraId="0C40C0BC" w14:textId="77777777" w:rsidTr="00990AB2">
        <w:trPr>
          <w:trHeight w:val="164"/>
        </w:trPr>
        <w:tc>
          <w:tcPr>
            <w:tcW w:w="3060" w:type="pct"/>
            <w:tcBorders>
              <w:top w:val="single" w:sz="4" w:space="0" w:color="auto"/>
              <w:bottom w:val="single" w:sz="4" w:space="0" w:color="auto"/>
            </w:tcBorders>
            <w:shd w:val="clear" w:color="auto" w:fill="auto"/>
          </w:tcPr>
          <w:p w14:paraId="0157EDCB" w14:textId="2A47C314" w:rsidR="00442097" w:rsidRDefault="00442097" w:rsidP="00442097">
            <w:pPr>
              <w:rPr>
                <w:rFonts w:ascii="Arial" w:hAnsi="Arial" w:cs="Arial"/>
                <w:color w:val="000000"/>
                <w:sz w:val="22"/>
                <w:szCs w:val="22"/>
              </w:rPr>
            </w:pPr>
            <w:r>
              <w:rPr>
                <w:rFonts w:ascii="Arial" w:hAnsi="Arial"/>
                <w:color w:val="000000"/>
                <w:sz w:val="22"/>
                <w:szCs w:val="22"/>
              </w:rPr>
              <w:t xml:space="preserve">World </w:t>
            </w:r>
            <w:proofErr w:type="spellStart"/>
            <w:r>
              <w:rPr>
                <w:rFonts w:ascii="Arial" w:hAnsi="Arial"/>
                <w:color w:val="000000"/>
                <w:sz w:val="22"/>
                <w:szCs w:val="22"/>
              </w:rPr>
              <w:t>Ethnosport</w:t>
            </w:r>
            <w:proofErr w:type="spellEnd"/>
            <w:r>
              <w:rPr>
                <w:rFonts w:ascii="Arial" w:hAnsi="Arial"/>
                <w:color w:val="000000"/>
                <w:sz w:val="22"/>
                <w:szCs w:val="22"/>
              </w:rPr>
              <w:t xml:space="preserve"> Society</w:t>
            </w:r>
          </w:p>
        </w:tc>
        <w:tc>
          <w:tcPr>
            <w:tcW w:w="1119" w:type="pct"/>
            <w:tcBorders>
              <w:top w:val="single" w:sz="4" w:space="0" w:color="auto"/>
              <w:bottom w:val="single" w:sz="4" w:space="0" w:color="auto"/>
            </w:tcBorders>
            <w:shd w:val="clear" w:color="auto" w:fill="auto"/>
          </w:tcPr>
          <w:p w14:paraId="254A275D" w14:textId="7ECB5477" w:rsidR="00442097" w:rsidRDefault="00442097" w:rsidP="00442097">
            <w:pPr>
              <w:jc w:val="center"/>
              <w:rPr>
                <w:rFonts w:ascii="Arial" w:hAnsi="Arial" w:cs="Arial"/>
                <w:color w:val="000000"/>
                <w:sz w:val="22"/>
                <w:szCs w:val="22"/>
              </w:rPr>
            </w:pPr>
            <w:r>
              <w:rPr>
                <w:rFonts w:ascii="Arial" w:hAnsi="Arial"/>
                <w:color w:val="000000"/>
                <w:sz w:val="22"/>
                <w:szCs w:val="22"/>
              </w:rPr>
              <w:t>Lettonie</w:t>
            </w:r>
          </w:p>
        </w:tc>
        <w:tc>
          <w:tcPr>
            <w:tcW w:w="821" w:type="pct"/>
            <w:tcBorders>
              <w:top w:val="single" w:sz="4" w:space="0" w:color="auto"/>
              <w:bottom w:val="single" w:sz="4" w:space="0" w:color="auto"/>
            </w:tcBorders>
            <w:shd w:val="clear" w:color="auto" w:fill="auto"/>
          </w:tcPr>
          <w:p w14:paraId="28D4F17B" w14:textId="2EC25BD7" w:rsidR="00442097" w:rsidRDefault="002B7F03" w:rsidP="00442097">
            <w:pPr>
              <w:jc w:val="center"/>
              <w:rPr>
                <w:rFonts w:ascii="Arial" w:hAnsi="Arial" w:cs="Arial"/>
                <w:color w:val="000000"/>
                <w:sz w:val="22"/>
                <w:szCs w:val="22"/>
              </w:rPr>
            </w:pPr>
            <w:hyperlink r:id="rId55" w:history="1">
              <w:r w:rsidR="00BD3D04" w:rsidRPr="00E415A0">
                <w:rPr>
                  <w:rStyle w:val="Lienhypertexte"/>
                  <w:rFonts w:ascii="Arial" w:hAnsi="Arial"/>
                  <w:sz w:val="22"/>
                  <w:szCs w:val="22"/>
                  <w:lang w:val="en-US"/>
                </w:rPr>
                <w:t>NGO-90478</w:t>
              </w:r>
            </w:hyperlink>
          </w:p>
        </w:tc>
      </w:tr>
    </w:tbl>
    <w:p w14:paraId="5F55672E" w14:textId="6A97AB73" w:rsidR="008A1ED4" w:rsidRPr="005A329E" w:rsidRDefault="008A1ED4" w:rsidP="008A1ED4">
      <w:pPr>
        <w:spacing w:after="120"/>
        <w:jc w:val="both"/>
        <w:rPr>
          <w:rFonts w:ascii="Arial" w:hAnsi="Arial" w:cs="Arial"/>
          <w:snapToGrid w:val="0"/>
          <w:sz w:val="22"/>
          <w:szCs w:val="22"/>
          <w:lang w:val="en-US" w:eastAsia="en-US"/>
        </w:rPr>
      </w:pPr>
    </w:p>
    <w:sectPr w:rsidR="008A1ED4" w:rsidRPr="005A329E" w:rsidSect="00B718C6">
      <w:headerReference w:type="even" r:id="rId56"/>
      <w:headerReference w:type="default" r:id="rId57"/>
      <w:headerReference w:type="first" r:id="rId58"/>
      <w:pgSz w:w="11906" w:h="16838" w:code="9"/>
      <w:pgMar w:top="1418" w:right="1134" w:bottom="1077"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A6DE3" w14:textId="77777777" w:rsidR="006D2EA7" w:rsidRDefault="006D2EA7" w:rsidP="00655736">
      <w:r>
        <w:separator/>
      </w:r>
    </w:p>
  </w:endnote>
  <w:endnote w:type="continuationSeparator" w:id="0">
    <w:p w14:paraId="2ECCC02B" w14:textId="77777777" w:rsidR="006D2EA7" w:rsidRDefault="006D2EA7"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EDBF3" w14:textId="77777777" w:rsidR="006D2EA7" w:rsidRDefault="006D2EA7" w:rsidP="00655736">
      <w:r>
        <w:separator/>
      </w:r>
    </w:p>
  </w:footnote>
  <w:footnote w:type="continuationSeparator" w:id="0">
    <w:p w14:paraId="4AC2FF00" w14:textId="77777777" w:rsidR="006D2EA7" w:rsidRDefault="006D2EA7"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38C5A" w14:textId="0E24B093" w:rsidR="00D95C4C" w:rsidRPr="00C23A97" w:rsidRDefault="00731816">
    <w:pPr>
      <w:pStyle w:val="En-tte"/>
      <w:rPr>
        <w:rFonts w:ascii="Arial" w:hAnsi="Arial" w:cs="Arial"/>
      </w:rPr>
    </w:pPr>
    <w:r>
      <w:rPr>
        <w:rFonts w:ascii="Arial" w:hAnsi="Arial"/>
        <w:sz w:val="20"/>
        <w:szCs w:val="20"/>
      </w:rPr>
      <w:t>LHE/20/8.GA/13</w:t>
    </w:r>
    <w:r w:rsidR="006F41B4">
      <w:rPr>
        <w:rFonts w:ascii="Arial" w:hAnsi="Arial"/>
        <w:sz w:val="20"/>
        <w:szCs w:val="20"/>
      </w:rPr>
      <w:t xml:space="preserve"> – page </w:t>
    </w:r>
    <w:r w:rsidR="00D95C4C" w:rsidRPr="00C23A97">
      <w:rPr>
        <w:rStyle w:val="Numrodepage"/>
        <w:rFonts w:ascii="Arial" w:hAnsi="Arial" w:cs="Arial"/>
        <w:sz w:val="20"/>
        <w:szCs w:val="20"/>
      </w:rPr>
      <w:fldChar w:fldCharType="begin"/>
    </w:r>
    <w:r w:rsidR="00D95C4C" w:rsidRPr="00C23A97">
      <w:rPr>
        <w:rStyle w:val="Numrodepage"/>
        <w:rFonts w:ascii="Arial" w:hAnsi="Arial" w:cs="Arial"/>
        <w:sz w:val="20"/>
        <w:szCs w:val="20"/>
      </w:rPr>
      <w:instrText xml:space="preserve"> PAGE </w:instrText>
    </w:r>
    <w:r w:rsidR="00D95C4C" w:rsidRPr="00C23A97">
      <w:rPr>
        <w:rStyle w:val="Numrodepage"/>
        <w:rFonts w:ascii="Arial" w:hAnsi="Arial" w:cs="Arial"/>
        <w:sz w:val="20"/>
        <w:szCs w:val="20"/>
      </w:rPr>
      <w:fldChar w:fldCharType="separate"/>
    </w:r>
    <w:r w:rsidR="002B7F03">
      <w:rPr>
        <w:rStyle w:val="Numrodepage"/>
        <w:rFonts w:ascii="Arial" w:hAnsi="Arial" w:cs="Arial"/>
        <w:noProof/>
        <w:sz w:val="20"/>
        <w:szCs w:val="20"/>
      </w:rPr>
      <w:t>4</w:t>
    </w:r>
    <w:r w:rsidR="00D95C4C" w:rsidRPr="00C23A97">
      <w:rPr>
        <w:rStyle w:val="Numrodepage"/>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34995" w14:textId="2788837E" w:rsidR="00D95C4C" w:rsidRPr="0063300C" w:rsidRDefault="004F5427" w:rsidP="0063300C">
    <w:pPr>
      <w:pStyle w:val="En-tte"/>
      <w:jc w:val="right"/>
      <w:rPr>
        <w:rFonts w:ascii="Arial" w:hAnsi="Arial" w:cs="Arial"/>
      </w:rPr>
    </w:pPr>
    <w:r w:rsidRPr="004F5427">
      <w:rPr>
        <w:rFonts w:ascii="Arial" w:hAnsi="Arial"/>
        <w:sz w:val="20"/>
        <w:szCs w:val="20"/>
      </w:rPr>
      <w:t xml:space="preserve">LHE/20/8.GA/13 </w:t>
    </w:r>
    <w:r w:rsidR="00B96B09">
      <w:rPr>
        <w:rFonts w:ascii="Arial" w:hAnsi="Arial"/>
        <w:sz w:val="20"/>
        <w:szCs w:val="20"/>
      </w:rPr>
      <w:t>– page </w:t>
    </w:r>
    <w:r w:rsidR="004A34A0" w:rsidRPr="0063300C">
      <w:rPr>
        <w:rStyle w:val="Numrodepage"/>
        <w:rFonts w:ascii="Arial" w:hAnsi="Arial" w:cs="Arial"/>
        <w:sz w:val="20"/>
        <w:szCs w:val="20"/>
      </w:rPr>
      <w:fldChar w:fldCharType="begin"/>
    </w:r>
    <w:r w:rsidR="004A34A0" w:rsidRPr="0063300C">
      <w:rPr>
        <w:rStyle w:val="Numrodepage"/>
        <w:rFonts w:ascii="Arial" w:hAnsi="Arial" w:cs="Arial"/>
        <w:sz w:val="20"/>
        <w:szCs w:val="20"/>
      </w:rPr>
      <w:instrText xml:space="preserve"> PAGE </w:instrText>
    </w:r>
    <w:r w:rsidR="004A34A0" w:rsidRPr="0063300C">
      <w:rPr>
        <w:rStyle w:val="Numrodepage"/>
        <w:rFonts w:ascii="Arial" w:hAnsi="Arial" w:cs="Arial"/>
        <w:sz w:val="20"/>
        <w:szCs w:val="20"/>
      </w:rPr>
      <w:fldChar w:fldCharType="separate"/>
    </w:r>
    <w:r w:rsidR="002B7F03">
      <w:rPr>
        <w:rStyle w:val="Numrodepage"/>
        <w:rFonts w:ascii="Arial" w:hAnsi="Arial" w:cs="Arial"/>
        <w:noProof/>
        <w:sz w:val="20"/>
        <w:szCs w:val="20"/>
      </w:rPr>
      <w:t>5</w:t>
    </w:r>
    <w:r w:rsidR="004A34A0" w:rsidRPr="0063300C">
      <w:rPr>
        <w:rStyle w:val="Numrodepage"/>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30501" w14:textId="151DF1CF" w:rsidR="00D95C4C" w:rsidRPr="008724E5" w:rsidRDefault="00EF2199">
    <w:pPr>
      <w:pStyle w:val="En-tte"/>
    </w:pPr>
    <w:r>
      <w:rPr>
        <w:noProof/>
        <w:lang w:eastAsia="ja-JP"/>
      </w:rPr>
      <w:drawing>
        <wp:anchor distT="0" distB="0" distL="114300" distR="114300" simplePos="0" relativeHeight="251659264" behindDoc="0" locked="0" layoutInCell="1" allowOverlap="1" wp14:anchorId="38D243BA" wp14:editId="614F5F7B">
          <wp:simplePos x="0" y="0"/>
          <wp:positionH relativeFrom="column">
            <wp:posOffset>-365125</wp:posOffset>
          </wp:positionH>
          <wp:positionV relativeFrom="paragraph">
            <wp:posOffset>-3810</wp:posOffset>
          </wp:positionV>
          <wp:extent cx="2038350" cy="1529080"/>
          <wp:effectExtent l="0" t="0" r="0" b="0"/>
          <wp:wrapNone/>
          <wp:docPr id="15"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3E50E" w14:textId="77777777" w:rsidR="00D95C4C" w:rsidRPr="0051027B" w:rsidRDefault="006F41B4" w:rsidP="00655736">
    <w:pPr>
      <w:pStyle w:val="En-tte"/>
      <w:spacing w:after="520"/>
      <w:jc w:val="right"/>
      <w:rPr>
        <w:rFonts w:ascii="Arial" w:hAnsi="Arial" w:cs="Arial"/>
        <w:b/>
        <w:sz w:val="44"/>
        <w:szCs w:val="44"/>
        <w:lang w:val="pt-PT"/>
      </w:rPr>
    </w:pPr>
    <w:r w:rsidRPr="0051027B">
      <w:rPr>
        <w:rFonts w:ascii="Arial" w:hAnsi="Arial"/>
        <w:b/>
        <w:sz w:val="44"/>
        <w:szCs w:val="44"/>
        <w:lang w:val="pt-PT"/>
      </w:rPr>
      <w:t>8 GA</w:t>
    </w:r>
  </w:p>
  <w:p w14:paraId="6037474A" w14:textId="0452BB82" w:rsidR="00D95C4C" w:rsidRPr="0051027B" w:rsidRDefault="00731816" w:rsidP="00B217F6">
    <w:pPr>
      <w:tabs>
        <w:tab w:val="left" w:pos="7320"/>
        <w:tab w:val="right" w:pos="9638"/>
      </w:tabs>
      <w:rPr>
        <w:rFonts w:ascii="Arial" w:hAnsi="Arial" w:cs="Arial"/>
        <w:b/>
        <w:sz w:val="22"/>
        <w:szCs w:val="22"/>
        <w:lang w:val="pt-PT"/>
      </w:rPr>
    </w:pPr>
    <w:r w:rsidRPr="0051027B">
      <w:rPr>
        <w:rFonts w:ascii="Arial" w:hAnsi="Arial"/>
        <w:b/>
        <w:sz w:val="22"/>
        <w:szCs w:val="22"/>
        <w:lang w:val="pt-PT"/>
      </w:rPr>
      <w:tab/>
    </w:r>
    <w:r w:rsidRPr="0051027B">
      <w:rPr>
        <w:rFonts w:ascii="Arial" w:hAnsi="Arial"/>
        <w:b/>
        <w:sz w:val="22"/>
        <w:szCs w:val="22"/>
        <w:lang w:val="pt-PT"/>
      </w:rPr>
      <w:tab/>
      <w:t>LHE/20/8.GA/13</w:t>
    </w:r>
  </w:p>
  <w:p w14:paraId="43B6CFCD" w14:textId="740EC850" w:rsidR="00D95C4C" w:rsidRPr="0051027B" w:rsidRDefault="00D95C4C" w:rsidP="00655736">
    <w:pPr>
      <w:jc w:val="right"/>
      <w:rPr>
        <w:rFonts w:ascii="Arial" w:hAnsi="Arial" w:cs="Arial"/>
        <w:b/>
        <w:sz w:val="22"/>
        <w:szCs w:val="22"/>
        <w:lang w:val="pt-PT"/>
      </w:rPr>
    </w:pPr>
    <w:r w:rsidRPr="0051027B">
      <w:rPr>
        <w:rFonts w:ascii="Arial" w:hAnsi="Arial"/>
        <w:b/>
        <w:sz w:val="22"/>
        <w:szCs w:val="22"/>
        <w:lang w:val="pt-PT"/>
      </w:rPr>
      <w:t>Paris, 7 août 2020</w:t>
    </w:r>
  </w:p>
  <w:p w14:paraId="574ED738" w14:textId="24A50C7D" w:rsidR="00D95C4C" w:rsidRDefault="00D95C4C" w:rsidP="00703FBF">
    <w:pPr>
      <w:jc w:val="right"/>
      <w:rPr>
        <w:rFonts w:ascii="Arial" w:hAnsi="Arial" w:cs="Arial"/>
        <w:b/>
        <w:sz w:val="22"/>
        <w:szCs w:val="22"/>
      </w:rPr>
    </w:pPr>
    <w:r>
      <w:rPr>
        <w:rFonts w:ascii="Arial" w:hAnsi="Arial"/>
        <w:b/>
        <w:sz w:val="22"/>
        <w:szCs w:val="22"/>
      </w:rPr>
      <w:t>Original : anglais</w:t>
    </w:r>
  </w:p>
  <w:p w14:paraId="06A360D4" w14:textId="77777777" w:rsidR="00540FE0" w:rsidRPr="00731816" w:rsidRDefault="00540FE0" w:rsidP="00540FE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807A4"/>
    <w:multiLevelType w:val="hybridMultilevel"/>
    <w:tmpl w:val="DC648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5972"/>
    <w:multiLevelType w:val="hybridMultilevel"/>
    <w:tmpl w:val="4CC825C8"/>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4A84E40"/>
    <w:multiLevelType w:val="hybridMultilevel"/>
    <w:tmpl w:val="70B8C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0C508CA"/>
    <w:multiLevelType w:val="hybridMultilevel"/>
    <w:tmpl w:val="E0CC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6"/>
  </w:num>
  <w:num w:numId="3">
    <w:abstractNumId w:val="3"/>
  </w:num>
  <w:num w:numId="4">
    <w:abstractNumId w:val="18"/>
  </w:num>
  <w:num w:numId="5">
    <w:abstractNumId w:val="15"/>
  </w:num>
  <w:num w:numId="6">
    <w:abstractNumId w:val="2"/>
  </w:num>
  <w:num w:numId="7">
    <w:abstractNumId w:val="4"/>
  </w:num>
  <w:num w:numId="8">
    <w:abstractNumId w:val="10"/>
  </w:num>
  <w:num w:numId="9">
    <w:abstractNumId w:val="5"/>
  </w:num>
  <w:num w:numId="10">
    <w:abstractNumId w:val="7"/>
  </w:num>
  <w:num w:numId="11">
    <w:abstractNumId w:val="9"/>
  </w:num>
  <w:num w:numId="12">
    <w:abstractNumId w:val="8"/>
  </w:num>
  <w:num w:numId="13">
    <w:abstractNumId w:val="16"/>
  </w:num>
  <w:num w:numId="14">
    <w:abstractNumId w:val="11"/>
  </w:num>
  <w:num w:numId="15">
    <w:abstractNumId w:val="12"/>
  </w:num>
  <w:num w:numId="16">
    <w:abstractNumId w:val="7"/>
  </w:num>
  <w:num w:numId="17">
    <w:abstractNumId w:val="7"/>
  </w:num>
  <w:num w:numId="18">
    <w:abstractNumId w:val="7"/>
  </w:num>
  <w:num w:numId="19">
    <w:abstractNumId w:val="0"/>
  </w:num>
  <w:num w:numId="20">
    <w:abstractNumId w:val="1"/>
  </w:num>
  <w:num w:numId="21">
    <w:abstractNumId w:val="17"/>
  </w:num>
  <w:num w:numId="22">
    <w:abstractNumId w:val="14"/>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pt-PT" w:vendorID="64" w:dllVersion="6" w:nlCheck="1" w:checkStyle="0"/>
  <w:activeWritingStyle w:appName="MSWord" w:lang="en-GB" w:vendorID="64" w:dllVersion="0" w:nlCheck="1" w:checkStyle="0"/>
  <w:activeWritingStyle w:appName="MSWord" w:lang="pt-PT" w:vendorID="64" w:dllVersion="0" w:nlCheck="1" w:checkStyle="0"/>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866"/>
    <w:rsid w:val="000048ED"/>
    <w:rsid w:val="00005EF6"/>
    <w:rsid w:val="00026E37"/>
    <w:rsid w:val="00041A66"/>
    <w:rsid w:val="000420F7"/>
    <w:rsid w:val="0005176E"/>
    <w:rsid w:val="00054B14"/>
    <w:rsid w:val="00056A76"/>
    <w:rsid w:val="00056D7A"/>
    <w:rsid w:val="00057148"/>
    <w:rsid w:val="000765F7"/>
    <w:rsid w:val="00076AB5"/>
    <w:rsid w:val="00077AB7"/>
    <w:rsid w:val="00081CD8"/>
    <w:rsid w:val="000A5062"/>
    <w:rsid w:val="000A600A"/>
    <w:rsid w:val="000A7F0E"/>
    <w:rsid w:val="000B054C"/>
    <w:rsid w:val="000B0F3B"/>
    <w:rsid w:val="000C0D61"/>
    <w:rsid w:val="000D7B61"/>
    <w:rsid w:val="000E3440"/>
    <w:rsid w:val="000F3A3F"/>
    <w:rsid w:val="000F692B"/>
    <w:rsid w:val="00102557"/>
    <w:rsid w:val="00123C01"/>
    <w:rsid w:val="0014784A"/>
    <w:rsid w:val="001534CE"/>
    <w:rsid w:val="0016346E"/>
    <w:rsid w:val="00164D56"/>
    <w:rsid w:val="00167B10"/>
    <w:rsid w:val="0017402F"/>
    <w:rsid w:val="00176720"/>
    <w:rsid w:val="001829BA"/>
    <w:rsid w:val="00196C1B"/>
    <w:rsid w:val="001A0128"/>
    <w:rsid w:val="001A0166"/>
    <w:rsid w:val="001B0F73"/>
    <w:rsid w:val="001B344F"/>
    <w:rsid w:val="001D1F74"/>
    <w:rsid w:val="001D5C04"/>
    <w:rsid w:val="001E2A75"/>
    <w:rsid w:val="001F1F04"/>
    <w:rsid w:val="001F3FFA"/>
    <w:rsid w:val="00222A2D"/>
    <w:rsid w:val="00223029"/>
    <w:rsid w:val="00234745"/>
    <w:rsid w:val="002407AF"/>
    <w:rsid w:val="00275A2F"/>
    <w:rsid w:val="002810CA"/>
    <w:rsid w:val="00281579"/>
    <w:rsid w:val="002A48D6"/>
    <w:rsid w:val="002A49FA"/>
    <w:rsid w:val="002A50E5"/>
    <w:rsid w:val="002A7411"/>
    <w:rsid w:val="002B1448"/>
    <w:rsid w:val="002B2F4F"/>
    <w:rsid w:val="002B7F03"/>
    <w:rsid w:val="002C09E3"/>
    <w:rsid w:val="002D2ED0"/>
    <w:rsid w:val="002D7E10"/>
    <w:rsid w:val="002F312A"/>
    <w:rsid w:val="00345CB4"/>
    <w:rsid w:val="00345D50"/>
    <w:rsid w:val="00345FD8"/>
    <w:rsid w:val="003549B8"/>
    <w:rsid w:val="003C6465"/>
    <w:rsid w:val="003D069C"/>
    <w:rsid w:val="003D7646"/>
    <w:rsid w:val="003F113A"/>
    <w:rsid w:val="00407E94"/>
    <w:rsid w:val="00412311"/>
    <w:rsid w:val="00414643"/>
    <w:rsid w:val="00420660"/>
    <w:rsid w:val="00423CFE"/>
    <w:rsid w:val="00442097"/>
    <w:rsid w:val="004421E5"/>
    <w:rsid w:val="00452284"/>
    <w:rsid w:val="0047123D"/>
    <w:rsid w:val="00472EEB"/>
    <w:rsid w:val="004817A4"/>
    <w:rsid w:val="004856CA"/>
    <w:rsid w:val="00490B01"/>
    <w:rsid w:val="0049705E"/>
    <w:rsid w:val="004A19E8"/>
    <w:rsid w:val="004A34A0"/>
    <w:rsid w:val="004B2891"/>
    <w:rsid w:val="004C3BE6"/>
    <w:rsid w:val="004C3F2C"/>
    <w:rsid w:val="004D3AAC"/>
    <w:rsid w:val="004E13A8"/>
    <w:rsid w:val="004E55AD"/>
    <w:rsid w:val="004F5427"/>
    <w:rsid w:val="005007C5"/>
    <w:rsid w:val="0050380C"/>
    <w:rsid w:val="0051027B"/>
    <w:rsid w:val="00514204"/>
    <w:rsid w:val="005179A3"/>
    <w:rsid w:val="00526B7B"/>
    <w:rsid w:val="005308CE"/>
    <w:rsid w:val="00540FE0"/>
    <w:rsid w:val="00567312"/>
    <w:rsid w:val="0057094A"/>
    <w:rsid w:val="00571C03"/>
    <w:rsid w:val="0057439C"/>
    <w:rsid w:val="005911C8"/>
    <w:rsid w:val="005A329E"/>
    <w:rsid w:val="005B0127"/>
    <w:rsid w:val="005B7A35"/>
    <w:rsid w:val="005C4B73"/>
    <w:rsid w:val="005E1D2B"/>
    <w:rsid w:val="005F053D"/>
    <w:rsid w:val="005F1FD6"/>
    <w:rsid w:val="005F5C5C"/>
    <w:rsid w:val="00600D93"/>
    <w:rsid w:val="00601B18"/>
    <w:rsid w:val="006034D8"/>
    <w:rsid w:val="0060564F"/>
    <w:rsid w:val="006304A2"/>
    <w:rsid w:val="0063058B"/>
    <w:rsid w:val="0063300C"/>
    <w:rsid w:val="00655736"/>
    <w:rsid w:val="00663B8D"/>
    <w:rsid w:val="0068255A"/>
    <w:rsid w:val="00696C8D"/>
    <w:rsid w:val="006A2AC2"/>
    <w:rsid w:val="006A32CE"/>
    <w:rsid w:val="006A3617"/>
    <w:rsid w:val="006C3ADA"/>
    <w:rsid w:val="006C56C0"/>
    <w:rsid w:val="006D2EA7"/>
    <w:rsid w:val="006D2FCD"/>
    <w:rsid w:val="006D3B3D"/>
    <w:rsid w:val="006E46E4"/>
    <w:rsid w:val="006E672A"/>
    <w:rsid w:val="006F41B4"/>
    <w:rsid w:val="00701B11"/>
    <w:rsid w:val="00703FBF"/>
    <w:rsid w:val="00706F1F"/>
    <w:rsid w:val="00714F79"/>
    <w:rsid w:val="00717DA5"/>
    <w:rsid w:val="00731816"/>
    <w:rsid w:val="00744484"/>
    <w:rsid w:val="00754FBF"/>
    <w:rsid w:val="00763A0D"/>
    <w:rsid w:val="00773188"/>
    <w:rsid w:val="00783782"/>
    <w:rsid w:val="00784B8C"/>
    <w:rsid w:val="00786178"/>
    <w:rsid w:val="00797208"/>
    <w:rsid w:val="007B6318"/>
    <w:rsid w:val="007B7885"/>
    <w:rsid w:val="007C2DAF"/>
    <w:rsid w:val="007C6CB4"/>
    <w:rsid w:val="007D38E0"/>
    <w:rsid w:val="007F2DE5"/>
    <w:rsid w:val="008171DD"/>
    <w:rsid w:val="00823A11"/>
    <w:rsid w:val="00833C31"/>
    <w:rsid w:val="00841DA6"/>
    <w:rsid w:val="00851795"/>
    <w:rsid w:val="00852866"/>
    <w:rsid w:val="0085414A"/>
    <w:rsid w:val="0086269D"/>
    <w:rsid w:val="008645E3"/>
    <w:rsid w:val="0086543A"/>
    <w:rsid w:val="00867267"/>
    <w:rsid w:val="008724E5"/>
    <w:rsid w:val="00884A9D"/>
    <w:rsid w:val="0088512B"/>
    <w:rsid w:val="008948AA"/>
    <w:rsid w:val="008A1ED4"/>
    <w:rsid w:val="008A2B2D"/>
    <w:rsid w:val="008A4E1E"/>
    <w:rsid w:val="008B6476"/>
    <w:rsid w:val="008C296C"/>
    <w:rsid w:val="008C3853"/>
    <w:rsid w:val="008D2F89"/>
    <w:rsid w:val="008D4305"/>
    <w:rsid w:val="008F1E73"/>
    <w:rsid w:val="00900BCB"/>
    <w:rsid w:val="009163A7"/>
    <w:rsid w:val="009252B6"/>
    <w:rsid w:val="00927B5C"/>
    <w:rsid w:val="00946D0B"/>
    <w:rsid w:val="00953A5A"/>
    <w:rsid w:val="00957565"/>
    <w:rsid w:val="009604E0"/>
    <w:rsid w:val="00990AB2"/>
    <w:rsid w:val="009A0D75"/>
    <w:rsid w:val="009A18CD"/>
    <w:rsid w:val="009A73A0"/>
    <w:rsid w:val="009B76DE"/>
    <w:rsid w:val="009C0B38"/>
    <w:rsid w:val="009C7742"/>
    <w:rsid w:val="009D1A33"/>
    <w:rsid w:val="009E3F82"/>
    <w:rsid w:val="009F0C90"/>
    <w:rsid w:val="00A01E29"/>
    <w:rsid w:val="00A062BF"/>
    <w:rsid w:val="00A12558"/>
    <w:rsid w:val="00A13903"/>
    <w:rsid w:val="00A1440E"/>
    <w:rsid w:val="00A26B0E"/>
    <w:rsid w:val="00A302DA"/>
    <w:rsid w:val="00A30707"/>
    <w:rsid w:val="00A31B3A"/>
    <w:rsid w:val="00A34ED5"/>
    <w:rsid w:val="00A4283A"/>
    <w:rsid w:val="00A45DBF"/>
    <w:rsid w:val="00A47ED7"/>
    <w:rsid w:val="00A515F3"/>
    <w:rsid w:val="00A645DF"/>
    <w:rsid w:val="00A65C29"/>
    <w:rsid w:val="00A724C1"/>
    <w:rsid w:val="00A755A2"/>
    <w:rsid w:val="00A83E8A"/>
    <w:rsid w:val="00AA6660"/>
    <w:rsid w:val="00AA67A0"/>
    <w:rsid w:val="00AB2C36"/>
    <w:rsid w:val="00AB70B6"/>
    <w:rsid w:val="00AC7685"/>
    <w:rsid w:val="00AD1A86"/>
    <w:rsid w:val="00AD3756"/>
    <w:rsid w:val="00AE103E"/>
    <w:rsid w:val="00AE2C98"/>
    <w:rsid w:val="00AF0A07"/>
    <w:rsid w:val="00AF4AEC"/>
    <w:rsid w:val="00AF625E"/>
    <w:rsid w:val="00B02B1E"/>
    <w:rsid w:val="00B20830"/>
    <w:rsid w:val="00B217F6"/>
    <w:rsid w:val="00B21EAF"/>
    <w:rsid w:val="00B33CC7"/>
    <w:rsid w:val="00B37CAC"/>
    <w:rsid w:val="00B42936"/>
    <w:rsid w:val="00B5506C"/>
    <w:rsid w:val="00B577DD"/>
    <w:rsid w:val="00B718C6"/>
    <w:rsid w:val="00B96B09"/>
    <w:rsid w:val="00BB04AF"/>
    <w:rsid w:val="00BD3D04"/>
    <w:rsid w:val="00BD52C9"/>
    <w:rsid w:val="00BE6354"/>
    <w:rsid w:val="00BE635E"/>
    <w:rsid w:val="00BE6754"/>
    <w:rsid w:val="00BF0B89"/>
    <w:rsid w:val="00BF6122"/>
    <w:rsid w:val="00C039A8"/>
    <w:rsid w:val="00C23143"/>
    <w:rsid w:val="00C231AC"/>
    <w:rsid w:val="00C23A97"/>
    <w:rsid w:val="00C42C66"/>
    <w:rsid w:val="00C4717C"/>
    <w:rsid w:val="00C47FD2"/>
    <w:rsid w:val="00C538A0"/>
    <w:rsid w:val="00C603C1"/>
    <w:rsid w:val="00C70EA7"/>
    <w:rsid w:val="00C74108"/>
    <w:rsid w:val="00C7516E"/>
    <w:rsid w:val="00C75770"/>
    <w:rsid w:val="00C90DED"/>
    <w:rsid w:val="00C93018"/>
    <w:rsid w:val="00CA5D4F"/>
    <w:rsid w:val="00CB26B7"/>
    <w:rsid w:val="00CB4950"/>
    <w:rsid w:val="00CC06EA"/>
    <w:rsid w:val="00CC6512"/>
    <w:rsid w:val="00CD1AA7"/>
    <w:rsid w:val="00D00B2B"/>
    <w:rsid w:val="00D01E74"/>
    <w:rsid w:val="00D04159"/>
    <w:rsid w:val="00D1105B"/>
    <w:rsid w:val="00D23035"/>
    <w:rsid w:val="00D24877"/>
    <w:rsid w:val="00D32072"/>
    <w:rsid w:val="00D32D50"/>
    <w:rsid w:val="00D438CD"/>
    <w:rsid w:val="00D7077A"/>
    <w:rsid w:val="00D7622A"/>
    <w:rsid w:val="00D91327"/>
    <w:rsid w:val="00D95C4C"/>
    <w:rsid w:val="00DA2D15"/>
    <w:rsid w:val="00DA36ED"/>
    <w:rsid w:val="00DB5330"/>
    <w:rsid w:val="00DB5B2F"/>
    <w:rsid w:val="00DE12E7"/>
    <w:rsid w:val="00DE2A72"/>
    <w:rsid w:val="00DE34F1"/>
    <w:rsid w:val="00DE54BC"/>
    <w:rsid w:val="00DF4942"/>
    <w:rsid w:val="00E01FFB"/>
    <w:rsid w:val="00E33243"/>
    <w:rsid w:val="00E375BB"/>
    <w:rsid w:val="00E54E6B"/>
    <w:rsid w:val="00E627B1"/>
    <w:rsid w:val="00E67927"/>
    <w:rsid w:val="00E9376C"/>
    <w:rsid w:val="00EA335E"/>
    <w:rsid w:val="00EA528C"/>
    <w:rsid w:val="00EB11E6"/>
    <w:rsid w:val="00EB7B93"/>
    <w:rsid w:val="00EC56D3"/>
    <w:rsid w:val="00ED2CCE"/>
    <w:rsid w:val="00ED5F06"/>
    <w:rsid w:val="00ED686C"/>
    <w:rsid w:val="00EF19A6"/>
    <w:rsid w:val="00EF2199"/>
    <w:rsid w:val="00EF34E2"/>
    <w:rsid w:val="00EF4F1F"/>
    <w:rsid w:val="00EF69E3"/>
    <w:rsid w:val="00F010E0"/>
    <w:rsid w:val="00F07FFB"/>
    <w:rsid w:val="00F318E3"/>
    <w:rsid w:val="00F37E03"/>
    <w:rsid w:val="00F41EEE"/>
    <w:rsid w:val="00F42384"/>
    <w:rsid w:val="00F53DE9"/>
    <w:rsid w:val="00F576CB"/>
    <w:rsid w:val="00F62B65"/>
    <w:rsid w:val="00F63B5B"/>
    <w:rsid w:val="00F67CB3"/>
    <w:rsid w:val="00F71A02"/>
    <w:rsid w:val="00F736AA"/>
    <w:rsid w:val="00F960CB"/>
    <w:rsid w:val="00FB15D9"/>
    <w:rsid w:val="00FB2840"/>
    <w:rsid w:val="00FB3A0D"/>
    <w:rsid w:val="00FB6630"/>
    <w:rsid w:val="00FC2A92"/>
    <w:rsid w:val="00FD1226"/>
    <w:rsid w:val="00FF4830"/>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1C182A82"/>
  <w15:docId w15:val="{B24F5496-8CB1-45A9-B320-9608C7F1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en-GB"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lang w:eastAsia="fr-FR"/>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GA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fr-FR"/>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fr-FR"/>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fr-FR"/>
    </w:rPr>
  </w:style>
  <w:style w:type="paragraph" w:customStyle="1" w:styleId="Sansinterligne2">
    <w:name w:val="Sans interligne2"/>
    <w:uiPriority w:val="1"/>
    <w:rsid w:val="006C3FFC"/>
    <w:rPr>
      <w:rFonts w:ascii="Times New Roman" w:eastAsia="Times New Roman" w:hAnsi="Times New Roman"/>
      <w:sz w:val="24"/>
      <w:szCs w:val="24"/>
      <w:lang w:eastAsia="fr-FR"/>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GA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lang w:eastAsia="fr-FR"/>
    </w:rPr>
  </w:style>
  <w:style w:type="paragraph" w:customStyle="1" w:styleId="GAPara">
    <w:name w:val="GA Para"/>
    <w:qFormat/>
    <w:rsid w:val="00345CB4"/>
    <w:pPr>
      <w:numPr>
        <w:numId w:val="9"/>
      </w:numPr>
      <w:spacing w:after="120"/>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rPr>
  </w:style>
  <w:style w:type="paragraph" w:styleId="Paragraphedeliste">
    <w:name w:val="List Paragraph"/>
    <w:basedOn w:val="Normal"/>
    <w:uiPriority w:val="34"/>
    <w:qFormat/>
    <w:rsid w:val="002F312A"/>
    <w:pPr>
      <w:ind w:left="720"/>
      <w:contextualSpacing/>
    </w:pPr>
  </w:style>
  <w:style w:type="paragraph" w:customStyle="1" w:styleId="COMParaDecision">
    <w:name w:val="COM Para Decision"/>
    <w:basedOn w:val="Normal"/>
    <w:qFormat/>
    <w:rsid w:val="008A1ED4"/>
    <w:pPr>
      <w:autoSpaceDE w:val="0"/>
      <w:autoSpaceDN w:val="0"/>
      <w:adjustRightInd w:val="0"/>
      <w:spacing w:after="120"/>
      <w:ind w:left="1134" w:hanging="567"/>
      <w:jc w:val="both"/>
    </w:pPr>
    <w:rPr>
      <w:rFonts w:ascii="Arial" w:eastAsia="SimSun" w:hAnsi="Arial" w:cs="Arial"/>
      <w:sz w:val="22"/>
      <w:szCs w:val="22"/>
      <w:u w:val="single"/>
    </w:rPr>
  </w:style>
  <w:style w:type="paragraph" w:customStyle="1" w:styleId="5GAparabodytext">
    <w:name w:val="5GA para body text"/>
    <w:qFormat/>
    <w:rsid w:val="00CA5D4F"/>
    <w:pPr>
      <w:keepNext/>
      <w:spacing w:after="120" w:line="360" w:lineRule="auto"/>
      <w:ind w:left="720" w:hanging="360"/>
    </w:pPr>
    <w:rPr>
      <w:rFonts w:ascii="Arial" w:eastAsia="Times New Roman" w:hAnsi="Arial" w:cs="Arial"/>
      <w:snapToGrid w:val="0"/>
      <w:sz w:val="22"/>
      <w:szCs w:val="22"/>
      <w:lang w:eastAsia="en-US"/>
    </w:rPr>
  </w:style>
  <w:style w:type="table" w:customStyle="1" w:styleId="TableGrid1">
    <w:name w:val="Table Grid1"/>
    <w:basedOn w:val="TableauNormal"/>
    <w:uiPriority w:val="59"/>
    <w:rsid w:val="006825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4E55AD"/>
    <w:pPr>
      <w:keepNext/>
      <w:spacing w:before="240" w:after="120"/>
      <w:ind w:left="567"/>
      <w:jc w:val="both"/>
    </w:pPr>
    <w:rPr>
      <w:rFonts w:ascii="Arial" w:hAnsi="Arial" w:cs="Arial"/>
      <w:b/>
      <w:sz w:val="22"/>
      <w:szCs w:val="22"/>
    </w:rPr>
  </w:style>
  <w:style w:type="character" w:styleId="Lienhypertexte">
    <w:name w:val="Hyperlink"/>
    <w:basedOn w:val="Policepardfaut"/>
    <w:uiPriority w:val="99"/>
    <w:unhideWhenUsed/>
    <w:rsid w:val="0016346E"/>
    <w:rPr>
      <w:color w:val="0563C1" w:themeColor="hyperlink"/>
      <w:u w:val="single"/>
    </w:rPr>
  </w:style>
  <w:style w:type="character" w:customStyle="1" w:styleId="UnresolvedMention1">
    <w:name w:val="Unresolved Mention1"/>
    <w:basedOn w:val="Policepardfaut"/>
    <w:uiPriority w:val="99"/>
    <w:semiHidden/>
    <w:unhideWhenUsed/>
    <w:rsid w:val="0016346E"/>
    <w:rPr>
      <w:color w:val="605E5C"/>
      <w:shd w:val="clear" w:color="auto" w:fill="E1DFDD"/>
    </w:rPr>
  </w:style>
  <w:style w:type="character" w:styleId="Lienhypertextesuivivisit">
    <w:name w:val="FollowedHyperlink"/>
    <w:basedOn w:val="Policepardfaut"/>
    <w:uiPriority w:val="99"/>
    <w:semiHidden/>
    <w:unhideWhenUsed/>
    <w:rsid w:val="0016346E"/>
    <w:rPr>
      <w:color w:val="954F72" w:themeColor="followedHyperlink"/>
      <w:u w:val="single"/>
    </w:rPr>
  </w:style>
  <w:style w:type="character" w:customStyle="1" w:styleId="UnresolvedMention">
    <w:name w:val="Unresolved Mention"/>
    <w:basedOn w:val="Policepardfaut"/>
    <w:uiPriority w:val="99"/>
    <w:semiHidden/>
    <w:unhideWhenUsed/>
    <w:rsid w:val="006A3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223501">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119758061">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84932995">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ch.unesco.org/fr/Decisions/10.COM/16" TargetMode="External"/><Relationship Id="rId18" Type="http://schemas.openxmlformats.org/officeDocument/2006/relationships/hyperlink" Target="https://ich.unesco.org/fr/Decisions/14.COM/17" TargetMode="External"/><Relationship Id="rId26" Type="http://schemas.openxmlformats.org/officeDocument/2006/relationships/hyperlink" Target="https://ich.unesco.org/doc/src/45510.pdf" TargetMode="External"/><Relationship Id="rId39" Type="http://schemas.openxmlformats.org/officeDocument/2006/relationships/hyperlink" Target="https://ich.unesco.org/doc/src/45523-FR.pdf" TargetMode="External"/><Relationship Id="rId21" Type="http://schemas.openxmlformats.org/officeDocument/2006/relationships/hyperlink" Target="https://ich.unesco.org/doc/src/45490-FR.pdf" TargetMode="External"/><Relationship Id="rId34" Type="http://schemas.openxmlformats.org/officeDocument/2006/relationships/hyperlink" Target="https://ich.unesco.org/doc/src/45519.pdf" TargetMode="External"/><Relationship Id="rId42" Type="http://schemas.openxmlformats.org/officeDocument/2006/relationships/hyperlink" Target="https://ich.unesco.org/doc/src/45571.pdf" TargetMode="External"/><Relationship Id="rId47" Type="http://schemas.openxmlformats.org/officeDocument/2006/relationships/hyperlink" Target="https://ich.unesco.org/doc/src/45528.pdf" TargetMode="External"/><Relationship Id="rId50" Type="http://schemas.openxmlformats.org/officeDocument/2006/relationships/hyperlink" Target="https://ich.unesco.org/doc/src/42676.pdf" TargetMode="External"/><Relationship Id="rId55" Type="http://schemas.openxmlformats.org/officeDocument/2006/relationships/hyperlink" Target="https://ich.unesco.org/doc/src/45534-EN.pdf" TargetMode="External"/><Relationship Id="rId7" Type="http://schemas.openxmlformats.org/officeDocument/2006/relationships/endnotes" Target="endnotes.xml"/><Relationship Id="rId12" Type="http://schemas.openxmlformats.org/officeDocument/2006/relationships/hyperlink" Target="https://ich.unesco.org/fr/Resolutions/7.GA/11" TargetMode="External"/><Relationship Id="rId17" Type="http://schemas.openxmlformats.org/officeDocument/2006/relationships/hyperlink" Target="https://ich.unesco.org/fr/Decisions/14.COM/17" TargetMode="External"/><Relationship Id="rId25" Type="http://schemas.openxmlformats.org/officeDocument/2006/relationships/hyperlink" Target="https://ich.unesco.org/doc/src/45499.pdf" TargetMode="External"/><Relationship Id="rId33" Type="http://schemas.openxmlformats.org/officeDocument/2006/relationships/hyperlink" Target="https://ich.unesco.org/doc/src/45518.pdf" TargetMode="External"/><Relationship Id="rId38" Type="http://schemas.openxmlformats.org/officeDocument/2006/relationships/hyperlink" Target="https://ich.unesco.org/doc/src/45522-FR.pdf" TargetMode="External"/><Relationship Id="rId46" Type="http://schemas.openxmlformats.org/officeDocument/2006/relationships/hyperlink" Target="https://ich.unesco.org/doc/src/45527.pd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ich.unesco.org/doc/src/45486.pdf" TargetMode="External"/><Relationship Id="rId29" Type="http://schemas.openxmlformats.org/officeDocument/2006/relationships/hyperlink" Target="https://ich.unesco.org/doc/src/45514.pdf" TargetMode="External"/><Relationship Id="rId41" Type="http://schemas.openxmlformats.org/officeDocument/2006/relationships/hyperlink" Target="https://ich.unesco.org/doc/src/45525.pdf" TargetMode="External"/><Relationship Id="rId54" Type="http://schemas.openxmlformats.org/officeDocument/2006/relationships/hyperlink" Target="https://ich.unesco.org/doc/src/45533-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Resolutions/6.GA/8" TargetMode="External"/><Relationship Id="rId24" Type="http://schemas.openxmlformats.org/officeDocument/2006/relationships/hyperlink" Target="https://ich.unesco.org/doc/src/45495.pdf" TargetMode="External"/><Relationship Id="rId32" Type="http://schemas.openxmlformats.org/officeDocument/2006/relationships/hyperlink" Target="https://ich.unesco.org/doc/src/42681.pdf" TargetMode="External"/><Relationship Id="rId37" Type="http://schemas.openxmlformats.org/officeDocument/2006/relationships/hyperlink" Target="https://ich.unesco.org/doc/src/45521-EN.pdf" TargetMode="External"/><Relationship Id="rId40" Type="http://schemas.openxmlformats.org/officeDocument/2006/relationships/hyperlink" Target="https://ich.unesco.org/doc/src/45524-FR.pdf" TargetMode="External"/><Relationship Id="rId45" Type="http://schemas.openxmlformats.org/officeDocument/2006/relationships/hyperlink" Target="https://ich.unesco.org/doc/src/48726-EN.pdf" TargetMode="External"/><Relationship Id="rId53" Type="http://schemas.openxmlformats.org/officeDocument/2006/relationships/hyperlink" Target="https://ich.unesco.org/doc/src/45532.pdf"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fr/Decisions/14.COM/17" TargetMode="External"/><Relationship Id="rId23" Type="http://schemas.openxmlformats.org/officeDocument/2006/relationships/hyperlink" Target="https://ich.unesco.org/doc/src/42674-FR.pdf" TargetMode="External"/><Relationship Id="rId28" Type="http://schemas.openxmlformats.org/officeDocument/2006/relationships/hyperlink" Target="https://ich.unesco.org/doc/src/45513-EN.pdf" TargetMode="External"/><Relationship Id="rId36" Type="http://schemas.openxmlformats.org/officeDocument/2006/relationships/hyperlink" Target="https://ich.unesco.org/doc/src/43083.pdf" TargetMode="External"/><Relationship Id="rId49" Type="http://schemas.openxmlformats.org/officeDocument/2006/relationships/hyperlink" Target="https://ich.unesco.org/doc/src/45530.pdf" TargetMode="External"/><Relationship Id="rId57" Type="http://schemas.openxmlformats.org/officeDocument/2006/relationships/header" Target="header2.xml"/><Relationship Id="rId10" Type="http://schemas.openxmlformats.org/officeDocument/2006/relationships/hyperlink" Target="https://ich.unesco.org/fr/Resolutions/5.GA/6" TargetMode="External"/><Relationship Id="rId19" Type="http://schemas.openxmlformats.org/officeDocument/2006/relationships/hyperlink" Target="https://ich.unesco.org/fr/d%C3%A9cisions/14.COM/17?dec=decisions&amp;ref_decision=14.COM" TargetMode="External"/><Relationship Id="rId31" Type="http://schemas.openxmlformats.org/officeDocument/2006/relationships/hyperlink" Target="https://ich.unesco.org/doc/src/45516-FR.pdf" TargetMode="External"/><Relationship Id="rId44" Type="http://schemas.openxmlformats.org/officeDocument/2006/relationships/hyperlink" Target="https://ich.unesco.org/doc/src/43093.pdf" TargetMode="External"/><Relationship Id="rId52" Type="http://schemas.openxmlformats.org/officeDocument/2006/relationships/hyperlink" Target="https://ich.unesco.org/doc/src/42719-EN.pdf"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fr/Resolutions/4.GA/6" TargetMode="External"/><Relationship Id="rId14" Type="http://schemas.openxmlformats.org/officeDocument/2006/relationships/hyperlink" Target="https://ich.unesco.org/fr/Decisions/12.COM/17" TargetMode="External"/><Relationship Id="rId22" Type="http://schemas.openxmlformats.org/officeDocument/2006/relationships/hyperlink" Target="https://ich.unesco.org/doc/src/45491-EN.pdf" TargetMode="External"/><Relationship Id="rId27" Type="http://schemas.openxmlformats.org/officeDocument/2006/relationships/hyperlink" Target="https://ich.unesco.org/doc/src/45512-FR.pdf" TargetMode="External"/><Relationship Id="rId30" Type="http://schemas.openxmlformats.org/officeDocument/2006/relationships/hyperlink" Target="https://ich.unesco.org/doc/src/45515-EN.pdf" TargetMode="External"/><Relationship Id="rId35" Type="http://schemas.openxmlformats.org/officeDocument/2006/relationships/hyperlink" Target="https://ich.unesco.org/doc/src/45520.pdf" TargetMode="External"/><Relationship Id="rId43" Type="http://schemas.openxmlformats.org/officeDocument/2006/relationships/hyperlink" Target="https://ich.unesco.org/doc/src/42711-EN.pdf" TargetMode="External"/><Relationship Id="rId48" Type="http://schemas.openxmlformats.org/officeDocument/2006/relationships/hyperlink" Target="https://ich.unesco.org/doc/src/45529.pdf" TargetMode="External"/><Relationship Id="rId56" Type="http://schemas.openxmlformats.org/officeDocument/2006/relationships/header" Target="header1.xml"/><Relationship Id="rId8" Type="http://schemas.openxmlformats.org/officeDocument/2006/relationships/hyperlink" Target="https://ich.unesco.org/fr/Resolutions/3.GA/7" TargetMode="External"/><Relationship Id="rId51" Type="http://schemas.openxmlformats.org/officeDocument/2006/relationships/hyperlink" Target="https://ich.unesco.org/doc/src/45531-EN.pdf"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fr-FR"/>
              <a:t>Répartition géographique des ONG accréditées</a:t>
            </a:r>
          </a:p>
          <a:p>
            <a:pPr algn="ctr">
              <a:defRPr sz="1400" b="0" i="0" u="none" strike="noStrike" kern="1200" spc="0" baseline="0">
                <a:solidFill>
                  <a:schemeClr val="tx1">
                    <a:lumMod val="65000"/>
                    <a:lumOff val="35000"/>
                  </a:schemeClr>
                </a:solidFill>
                <a:latin typeface="+mn-lt"/>
                <a:ea typeface="+mn-ea"/>
                <a:cs typeface="+mn-cs"/>
              </a:defRPr>
            </a:pPr>
            <a:r>
              <a:rPr lang="fr-FR"/>
              <a:t>(157 au total en 2020)</a:t>
            </a:r>
          </a:p>
        </c:rich>
      </c:tx>
      <c:layout>
        <c:manualLayout>
          <c:xMode val="edge"/>
          <c:yMode val="edge"/>
          <c:x val="0.21713785997330459"/>
          <c:y val="1.1476668563282737E-2"/>
        </c:manualLayout>
      </c:layout>
      <c:overlay val="0"/>
      <c:spPr>
        <a:noFill/>
        <a:ln>
          <a:noFill/>
        </a:ln>
        <a:effectLst/>
      </c:spPr>
    </c:title>
    <c:autoTitleDeleted val="0"/>
    <c:plotArea>
      <c:layout/>
      <c:pieChart>
        <c:varyColors val="1"/>
        <c:ser>
          <c:idx val="0"/>
          <c:order val="0"/>
          <c:tx>
            <c:strRef>
              <c:f>Sheet1!$B$1</c:f>
              <c:strCache>
                <c:ptCount val="1"/>
                <c:pt idx="0">
                  <c:v>Répartition géographique des ONG accréditées</c:v>
                </c:pt>
              </c:strCache>
            </c:strRef>
          </c:tx>
          <c:dPt>
            <c:idx val="0"/>
            <c:bubble3D val="0"/>
            <c:spPr>
              <a:pattFill prst="trellis">
                <a:fgClr>
                  <a:srgbClr val="FF0000"/>
                </a:fgClr>
                <a:bgClr>
                  <a:schemeClr val="bg1"/>
                </a:bgClr>
              </a:pattFill>
              <a:ln w="19050">
                <a:solidFill>
                  <a:schemeClr val="lt1"/>
                </a:solidFill>
              </a:ln>
              <a:effectLst/>
            </c:spPr>
            <c:extLst>
              <c:ext xmlns:c16="http://schemas.microsoft.com/office/drawing/2014/chart" uri="{C3380CC4-5D6E-409C-BE32-E72D297353CC}">
                <c16:uniqueId val="{00000001-9FC1-4DC6-A89B-208B96F17335}"/>
              </c:ext>
            </c:extLst>
          </c:dPt>
          <c:dPt>
            <c:idx val="1"/>
            <c:bubble3D val="0"/>
            <c:spPr>
              <a:pattFill prst="pct90">
                <a:fgClr>
                  <a:srgbClr val="00B050"/>
                </a:fgClr>
                <a:bgClr>
                  <a:schemeClr val="bg1"/>
                </a:bgClr>
              </a:pattFill>
              <a:ln w="19050">
                <a:solidFill>
                  <a:schemeClr val="lt1"/>
                </a:solidFill>
              </a:ln>
              <a:effectLst/>
            </c:spPr>
            <c:extLst>
              <c:ext xmlns:c16="http://schemas.microsoft.com/office/drawing/2014/chart" uri="{C3380CC4-5D6E-409C-BE32-E72D297353CC}">
                <c16:uniqueId val="{00000003-9FC1-4DC6-A89B-208B96F17335}"/>
              </c:ext>
            </c:extLst>
          </c:dPt>
          <c:dPt>
            <c:idx val="2"/>
            <c:bubble3D val="0"/>
            <c:spPr>
              <a:pattFill prst="pct60">
                <a:fgClr>
                  <a:srgbClr val="00B0F0"/>
                </a:fgClr>
                <a:bgClr>
                  <a:schemeClr val="bg1"/>
                </a:bgClr>
              </a:pattFill>
              <a:ln w="19050">
                <a:solidFill>
                  <a:schemeClr val="lt1"/>
                </a:solidFill>
              </a:ln>
              <a:effectLst/>
            </c:spPr>
            <c:extLst>
              <c:ext xmlns:c16="http://schemas.microsoft.com/office/drawing/2014/chart" uri="{C3380CC4-5D6E-409C-BE32-E72D297353CC}">
                <c16:uniqueId val="{00000005-9FC1-4DC6-A89B-208B96F17335}"/>
              </c:ext>
            </c:extLst>
          </c:dPt>
          <c:dPt>
            <c:idx val="3"/>
            <c:bubble3D val="0"/>
            <c:spPr>
              <a:pattFill prst="narHorz">
                <a:fgClr>
                  <a:srgbClr val="7030A0"/>
                </a:fgClr>
                <a:bgClr>
                  <a:schemeClr val="bg1"/>
                </a:bgClr>
              </a:pattFill>
              <a:ln w="19050">
                <a:solidFill>
                  <a:schemeClr val="lt1"/>
                </a:solidFill>
              </a:ln>
              <a:effectLst/>
            </c:spPr>
            <c:extLst>
              <c:ext xmlns:c16="http://schemas.microsoft.com/office/drawing/2014/chart" uri="{C3380CC4-5D6E-409C-BE32-E72D297353CC}">
                <c16:uniqueId val="{00000007-9FC1-4DC6-A89B-208B96F17335}"/>
              </c:ext>
            </c:extLst>
          </c:dPt>
          <c:dPt>
            <c:idx val="4"/>
            <c:bubble3D val="0"/>
            <c:spPr>
              <a:pattFill prst="pct90">
                <a:fgClr>
                  <a:srgbClr val="FFFF00"/>
                </a:fgClr>
                <a:bgClr>
                  <a:schemeClr val="bg1"/>
                </a:bgClr>
              </a:pattFill>
              <a:ln w="19050">
                <a:solidFill>
                  <a:schemeClr val="lt1"/>
                </a:solidFill>
              </a:ln>
              <a:effectLst/>
            </c:spPr>
            <c:extLst>
              <c:ext xmlns:c16="http://schemas.microsoft.com/office/drawing/2014/chart" uri="{C3380CC4-5D6E-409C-BE32-E72D297353CC}">
                <c16:uniqueId val="{00000009-9FC1-4DC6-A89B-208B96F17335}"/>
              </c:ext>
            </c:extLst>
          </c:dPt>
          <c:dPt>
            <c:idx val="5"/>
            <c:bubble3D val="0"/>
            <c:spPr>
              <a:pattFill prst="pct80">
                <a:fgClr>
                  <a:schemeClr val="accent6">
                    <a:lumMod val="75000"/>
                  </a:schemeClr>
                </a:fgClr>
                <a:bgClr>
                  <a:schemeClr val="bg1"/>
                </a:bgClr>
              </a:pattFill>
              <a:ln w="19050">
                <a:solidFill>
                  <a:schemeClr val="lt1"/>
                </a:solidFill>
              </a:ln>
              <a:effectLst/>
            </c:spPr>
            <c:extLst>
              <c:ext xmlns:c16="http://schemas.microsoft.com/office/drawing/2014/chart" uri="{C3380CC4-5D6E-409C-BE32-E72D297353CC}">
                <c16:uniqueId val="{0000000B-9FC1-4DC6-A89B-208B96F17335}"/>
              </c:ext>
            </c:extLst>
          </c:dPt>
          <c:dLbls>
            <c:dLbl>
              <c:idx val="0"/>
              <c:layout/>
              <c:tx>
                <c:rich>
                  <a:bodyPr/>
                  <a:lstStyle/>
                  <a:p>
                    <a:fld id="{C4EC87D2-5BAA-4CAA-9B5B-453772E7B1AA}" type="CATEGORYNAME">
                      <a:rPr lang="en-US"/>
                      <a:pPr/>
                      <a:t>[NOM DE CATÉGORIE]</a:t>
                    </a:fld>
                    <a:r>
                      <a:rPr lang="en-US" baseline="0"/>
                      <a:t>
54 %</a:t>
                    </a:r>
                  </a:p>
                </c:rich>
              </c:tx>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1-9FC1-4DC6-A89B-208B96F17335}"/>
                </c:ext>
              </c:extLst>
            </c:dLbl>
            <c:dLbl>
              <c:idx val="1"/>
              <c:layout/>
              <c:tx>
                <c:rich>
                  <a:bodyPr/>
                  <a:lstStyle/>
                  <a:p>
                    <a:fld id="{ADB423D9-FF91-48CC-83D4-7F2D1D629845}" type="CATEGORYNAME">
                      <a:rPr lang="en-US"/>
                      <a:pPr/>
                      <a:t>[NOM DE CATÉGORIE]</a:t>
                    </a:fld>
                    <a:r>
                      <a:rPr lang="en-US" baseline="0"/>
                      <a:t>
10 %</a:t>
                    </a:r>
                  </a:p>
                </c:rich>
              </c:tx>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3-9FC1-4DC6-A89B-208B96F17335}"/>
                </c:ext>
              </c:extLst>
            </c:dLbl>
            <c:dLbl>
              <c:idx val="2"/>
              <c:layout/>
              <c:tx>
                <c:rich>
                  <a:bodyPr/>
                  <a:lstStyle/>
                  <a:p>
                    <a:fld id="{657C330C-AF3D-4F40-814B-7B9E3F838588}" type="CATEGORYNAME">
                      <a:rPr lang="en-US"/>
                      <a:pPr/>
                      <a:t>[NOM DE CATÉGORIE]</a:t>
                    </a:fld>
                    <a:r>
                      <a:rPr lang="en-US" baseline="0"/>
                      <a:t>
5 %</a:t>
                    </a:r>
                  </a:p>
                </c:rich>
              </c:tx>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5-9FC1-4DC6-A89B-208B96F17335}"/>
                </c:ext>
              </c:extLst>
            </c:dLbl>
            <c:dLbl>
              <c:idx val="3"/>
              <c:layout/>
              <c:tx>
                <c:rich>
                  <a:bodyPr/>
                  <a:lstStyle/>
                  <a:p>
                    <a:fld id="{D58D1ACC-3E71-45C1-89ED-748A1B1FC4A7}" type="CATEGORYNAME">
                      <a:rPr lang="en-US"/>
                      <a:pPr/>
                      <a:t>[NOM DE CATÉGORIE]</a:t>
                    </a:fld>
                    <a:r>
                      <a:rPr lang="en-US" baseline="0"/>
                      <a:t>
15 %</a:t>
                    </a:r>
                  </a:p>
                </c:rich>
              </c:tx>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7-9FC1-4DC6-A89B-208B96F17335}"/>
                </c:ext>
              </c:extLst>
            </c:dLbl>
            <c:dLbl>
              <c:idx val="4"/>
              <c:layout/>
              <c:tx>
                <c:rich>
                  <a:bodyPr/>
                  <a:lstStyle/>
                  <a:p>
                    <a:fld id="{78F040F8-84BA-4CEF-98A2-2A622F6CF1AA}" type="CATEGORYNAME">
                      <a:rPr lang="en-US"/>
                      <a:pPr/>
                      <a:t>[NOM DE CATÉGORIE]</a:t>
                    </a:fld>
                    <a:r>
                      <a:rPr lang="en-US" baseline="0"/>
                      <a:t>
12 %</a:t>
                    </a:r>
                  </a:p>
                </c:rich>
              </c:tx>
              <c:dLblPos val="outEnd"/>
              <c:showLegendKey val="0"/>
              <c:showVal val="0"/>
              <c:showCatName val="1"/>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9FC1-4DC6-A89B-208B96F17335}"/>
                </c:ext>
              </c:extLst>
            </c:dLbl>
            <c:dLbl>
              <c:idx val="5"/>
              <c:layout>
                <c:manualLayout>
                  <c:x val="3.08796139666167E-2"/>
                  <c:y val="0"/>
                </c:manualLayout>
              </c:layout>
              <c:tx>
                <c:rich>
                  <a:bodyPr/>
                  <a:lstStyle/>
                  <a:p>
                    <a:r>
                      <a:rPr lang="en-US"/>
                      <a:t>Groupe Vb</a:t>
                    </a:r>
                    <a:r>
                      <a:rPr lang="en-US" baseline="0"/>
                      <a:t>
4 %</a:t>
                    </a:r>
                  </a:p>
                </c:rich>
              </c:tx>
              <c:dLblPos val="bestFit"/>
              <c:showLegendKey val="0"/>
              <c:showVal val="0"/>
              <c:showCatName val="1"/>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9FC1-4DC6-A89B-208B96F1733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Sheet1!$A$2:$A$7</c:f>
              <c:strCache>
                <c:ptCount val="6"/>
                <c:pt idx="0">
                  <c:v>Groupe I</c:v>
                </c:pt>
                <c:pt idx="1">
                  <c:v>Groupe II</c:v>
                </c:pt>
                <c:pt idx="2">
                  <c:v>Groupe III</c:v>
                </c:pt>
                <c:pt idx="3">
                  <c:v>Groupe IV</c:v>
                </c:pt>
                <c:pt idx="4">
                  <c:v>Groupe Va</c:v>
                </c:pt>
                <c:pt idx="5">
                  <c:v>Groupe Vb</c:v>
                </c:pt>
              </c:strCache>
            </c:strRef>
          </c:cat>
          <c:val>
            <c:numRef>
              <c:f>Sheet1!$B$2:$B$7</c:f>
              <c:numCache>
                <c:formatCode>General</c:formatCode>
                <c:ptCount val="6"/>
                <c:pt idx="0">
                  <c:v>85</c:v>
                </c:pt>
                <c:pt idx="1">
                  <c:v>16</c:v>
                </c:pt>
                <c:pt idx="2">
                  <c:v>8</c:v>
                </c:pt>
                <c:pt idx="3">
                  <c:v>23</c:v>
                </c:pt>
                <c:pt idx="4">
                  <c:v>19</c:v>
                </c:pt>
                <c:pt idx="5" formatCode="0">
                  <c:v>5</c:v>
                </c:pt>
              </c:numCache>
            </c:numRef>
          </c:val>
          <c:extLst>
            <c:ext xmlns:c16="http://schemas.microsoft.com/office/drawing/2014/chart" uri="{C3380CC4-5D6E-409C-BE32-E72D297353CC}">
              <c16:uniqueId val="{0000000C-9FC1-4DC6-A89B-208B96F17335}"/>
            </c:ext>
          </c:extLst>
        </c:ser>
        <c:dLbls>
          <c:showLegendKey val="0"/>
          <c:showVal val="0"/>
          <c:showCatName val="0"/>
          <c:showSerName val="0"/>
          <c:showPercent val="1"/>
          <c:showBubbleSize val="0"/>
          <c:showLeaderLines val="0"/>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lgn="ctr" rtl="0">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A2F2C-5FBA-4862-BE7A-F4E9FC525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63</TotalTime>
  <Pages>5</Pages>
  <Words>1899</Words>
  <Characters>10449</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Ohinata, Fumiko</cp:lastModifiedBy>
  <cp:revision>27</cp:revision>
  <cp:lastPrinted>2011-08-06T09:22:00Z</cp:lastPrinted>
  <dcterms:created xsi:type="dcterms:W3CDTF">2020-08-03T14:27:00Z</dcterms:created>
  <dcterms:modified xsi:type="dcterms:W3CDTF">2020-08-07T13:00:00Z</dcterms:modified>
</cp:coreProperties>
</file>