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F3B6F" w14:textId="39F84D30" w:rsidR="00143E5B" w:rsidRPr="002402C9" w:rsidRDefault="00143E5B" w:rsidP="00143E5B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КОНВЕНЦИЯ ОБ ОХРАНЕ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14:paraId="77E1526E" w14:textId="77777777" w:rsidR="00143E5B" w:rsidRDefault="00143E5B" w:rsidP="00143E5B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14:paraId="4DB47335" w14:textId="77777777" w:rsidR="00143E5B" w:rsidRPr="004064DB" w:rsidRDefault="00143E5B" w:rsidP="00143E5B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Восьмая сессия</w:t>
      </w:r>
    </w:p>
    <w:p w14:paraId="1EB4946B" w14:textId="77777777" w:rsidR="00143E5B" w:rsidRPr="004064DB" w:rsidRDefault="00143E5B" w:rsidP="00143E5B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Штаб-квартира ЮНЕСКО, зал I</w:t>
      </w:r>
    </w:p>
    <w:p w14:paraId="10AE9062" w14:textId="740E9EB8" w:rsidR="00143E5B" w:rsidRPr="004064DB" w:rsidRDefault="00143E5B" w:rsidP="00143E5B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0F4677">
        <w:rPr>
          <w:rFonts w:ascii="Arial" w:hAnsi="Arial" w:cs="Arial"/>
          <w:b/>
          <w:sz w:val="22"/>
          <w:szCs w:val="22"/>
          <w:lang w:val="ru-RU"/>
        </w:rPr>
        <w:t>8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B3435D">
        <w:rPr>
          <w:rFonts w:ascii="Arial" w:hAnsi="Arial" w:cs="Arial"/>
          <w:b/>
          <w:sz w:val="22"/>
          <w:szCs w:val="22"/>
          <w:lang w:val="ru-RU"/>
        </w:rPr>
        <w:t>–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0F4677">
        <w:rPr>
          <w:rFonts w:ascii="Arial" w:hAnsi="Arial" w:cs="Arial"/>
          <w:b/>
          <w:sz w:val="22"/>
          <w:szCs w:val="22"/>
          <w:lang w:val="ru-RU"/>
        </w:rPr>
        <w:t xml:space="preserve">10 </w:t>
      </w:r>
      <w:r>
        <w:rPr>
          <w:rFonts w:ascii="Arial" w:hAnsi="Arial" w:cs="Arial"/>
          <w:b/>
          <w:sz w:val="22"/>
          <w:szCs w:val="22"/>
          <w:lang w:val="ru-RU"/>
        </w:rPr>
        <w:t>сентября</w:t>
      </w:r>
      <w:r w:rsidRPr="000F4677">
        <w:rPr>
          <w:rFonts w:ascii="Arial" w:hAnsi="Arial" w:cs="Arial"/>
          <w:b/>
          <w:sz w:val="22"/>
          <w:szCs w:val="22"/>
          <w:lang w:val="ru-RU"/>
        </w:rPr>
        <w:t xml:space="preserve"> 2020</w:t>
      </w:r>
      <w:r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14:paraId="07117F77" w14:textId="6F4855C5" w:rsidR="00655736" w:rsidRPr="000F4677" w:rsidRDefault="00143E5B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>Пункт 12 Предварительной повестки дня</w:t>
      </w:r>
      <w:r w:rsidR="00655736" w:rsidRPr="000F4677">
        <w:rPr>
          <w:rFonts w:ascii="Arial" w:hAnsi="Arial" w:cs="Arial"/>
          <w:b/>
          <w:sz w:val="22"/>
          <w:szCs w:val="22"/>
          <w:u w:val="single"/>
          <w:lang w:val="ru-RU"/>
        </w:rPr>
        <w:t>:</w:t>
      </w:r>
    </w:p>
    <w:p w14:paraId="45539C1F" w14:textId="11672891" w:rsidR="002F312A" w:rsidRPr="000F4677" w:rsidRDefault="00C106D4" w:rsidP="002F312A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Hlk47332049"/>
      <w:r w:rsidRPr="00C106D4">
        <w:rPr>
          <w:rFonts w:ascii="Arial" w:hAnsi="Arial" w:cs="Arial"/>
          <w:b/>
          <w:sz w:val="22"/>
          <w:szCs w:val="22"/>
          <w:lang w:val="ru-RU"/>
        </w:rPr>
        <w:t xml:space="preserve">Последняя информация о ходе </w:t>
      </w:r>
      <w:r w:rsidR="00007352" w:rsidRPr="00007352">
        <w:rPr>
          <w:rFonts w:ascii="Arial" w:hAnsi="Arial" w:cs="Arial"/>
          <w:b/>
          <w:sz w:val="22"/>
          <w:szCs w:val="22"/>
          <w:lang w:val="ru-RU"/>
        </w:rPr>
        <w:t xml:space="preserve">анализа </w:t>
      </w:r>
      <w:r w:rsidRPr="00C106D4">
        <w:rPr>
          <w:rFonts w:ascii="Arial" w:hAnsi="Arial" w:cs="Arial"/>
          <w:b/>
          <w:sz w:val="22"/>
          <w:szCs w:val="22"/>
          <w:lang w:val="ru-RU"/>
        </w:rPr>
        <w:t xml:space="preserve">касательно участия неправительственных организаций в </w:t>
      </w:r>
      <w:r w:rsidR="00353843">
        <w:rPr>
          <w:rFonts w:ascii="Arial" w:hAnsi="Arial" w:cs="Arial"/>
          <w:b/>
          <w:sz w:val="22"/>
          <w:szCs w:val="22"/>
          <w:lang w:val="ru-RU"/>
        </w:rPr>
        <w:t>осуществлении</w:t>
      </w:r>
      <w:r w:rsidRPr="00C106D4">
        <w:rPr>
          <w:rFonts w:ascii="Arial" w:hAnsi="Arial" w:cs="Arial"/>
          <w:b/>
          <w:sz w:val="22"/>
          <w:szCs w:val="22"/>
          <w:lang w:val="ru-RU"/>
        </w:rPr>
        <w:t xml:space="preserve"> Конвенции</w:t>
      </w:r>
      <w:bookmarkStart w:id="1" w:name="_GoBack"/>
      <w:bookmarkEnd w:id="0"/>
      <w:bookmarkEnd w:id="1"/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5B2D73" w14:paraId="6322D3F5" w14:textId="77777777" w:rsidTr="002F312A">
        <w:trPr>
          <w:jc w:val="center"/>
        </w:trPr>
        <w:tc>
          <w:tcPr>
            <w:tcW w:w="5670" w:type="dxa"/>
            <w:vAlign w:val="center"/>
          </w:tcPr>
          <w:p w14:paraId="33992B54" w14:textId="188F3EE2" w:rsidR="0057439C" w:rsidRPr="007077B2" w:rsidRDefault="007077B2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14:paraId="2DF4F8B2" w14:textId="5FC3D3D8" w:rsidR="0065698F" w:rsidRPr="00143E5B" w:rsidRDefault="00143E5B" w:rsidP="00F35BB6">
            <w:pPr>
              <w:pStyle w:val="Sansinterligne2"/>
              <w:spacing w:before="200" w:after="20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 своей двенадцатой</w:t>
            </w:r>
            <w:r w:rsidR="00D525D1">
              <w:rPr>
                <w:rFonts w:ascii="Arial" w:hAnsi="Arial" w:cs="Arial"/>
                <w:sz w:val="22"/>
                <w:szCs w:val="22"/>
                <w:lang w:val="ru-RU"/>
              </w:rPr>
              <w:t xml:space="preserve"> сессии Комитет </w:t>
            </w:r>
            <w:r w:rsidR="00AE2B61">
              <w:rPr>
                <w:rFonts w:ascii="Arial" w:hAnsi="Arial" w:cs="Arial"/>
                <w:sz w:val="22"/>
                <w:szCs w:val="22"/>
                <w:lang w:val="ru-RU"/>
              </w:rPr>
              <w:t xml:space="preserve">инициировал анализ </w:t>
            </w:r>
            <w:r w:rsidR="00F35BB6">
              <w:rPr>
                <w:rFonts w:ascii="Arial" w:hAnsi="Arial" w:cs="Arial"/>
                <w:sz w:val="22"/>
                <w:szCs w:val="22"/>
                <w:lang w:val="ru-RU"/>
              </w:rPr>
              <w:t>с целью</w:t>
            </w:r>
            <w:r w:rsidR="00AE2B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525D1">
              <w:rPr>
                <w:rFonts w:ascii="Arial" w:hAnsi="Arial" w:cs="Arial"/>
                <w:sz w:val="22"/>
                <w:szCs w:val="22"/>
                <w:lang w:val="ru-RU"/>
              </w:rPr>
              <w:t>определени</w:t>
            </w:r>
            <w:r w:rsidR="00AE2B61"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консульта</w:t>
            </w:r>
            <w:r w:rsidR="00DB6BD8">
              <w:rPr>
                <w:rFonts w:ascii="Arial" w:hAnsi="Arial" w:cs="Arial"/>
                <w:sz w:val="22"/>
                <w:szCs w:val="22"/>
                <w:lang w:val="ru-RU"/>
              </w:rPr>
              <w:t>тивных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функций, которые могут выполнять </w:t>
            </w:r>
            <w:r w:rsidR="00222244">
              <w:rPr>
                <w:rFonts w:ascii="Arial" w:hAnsi="Arial" w:cs="Arial"/>
                <w:sz w:val="22"/>
                <w:szCs w:val="22"/>
                <w:lang w:val="ru-RU"/>
              </w:rPr>
              <w:t xml:space="preserve">аккредитованные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НПО</w:t>
            </w:r>
            <w:r w:rsidR="001C2344">
              <w:rPr>
                <w:rFonts w:ascii="Arial" w:hAnsi="Arial" w:cs="Arial"/>
                <w:sz w:val="22"/>
                <w:szCs w:val="22"/>
                <w:lang w:val="ru-RU"/>
              </w:rPr>
              <w:t xml:space="preserve"> для Конвенции 2003 г. Дискуссия продолжалась</w:t>
            </w:r>
            <w:r w:rsidR="007077B2">
              <w:rPr>
                <w:rFonts w:ascii="Arial" w:hAnsi="Arial" w:cs="Arial"/>
                <w:sz w:val="22"/>
                <w:szCs w:val="22"/>
                <w:lang w:val="ru-RU"/>
              </w:rPr>
              <w:t>, начиная с 2018 п</w:t>
            </w:r>
            <w:r w:rsidR="001C2344">
              <w:rPr>
                <w:rFonts w:ascii="Arial" w:hAnsi="Arial" w:cs="Arial"/>
                <w:sz w:val="22"/>
                <w:szCs w:val="22"/>
                <w:lang w:val="ru-RU"/>
              </w:rPr>
              <w:t xml:space="preserve">о 2019 гг. В соответствии с </w:t>
            </w:r>
            <w:r w:rsidR="00DB6BD8">
              <w:rPr>
                <w:rFonts w:ascii="Arial" w:hAnsi="Arial" w:cs="Arial"/>
                <w:sz w:val="22"/>
                <w:szCs w:val="22"/>
                <w:lang w:val="ru-RU"/>
              </w:rPr>
              <w:t>требованием</w:t>
            </w:r>
            <w:r w:rsidR="001C2344">
              <w:rPr>
                <w:rFonts w:ascii="Arial" w:hAnsi="Arial" w:cs="Arial"/>
                <w:sz w:val="22"/>
                <w:szCs w:val="22"/>
                <w:lang w:val="ru-RU"/>
              </w:rPr>
              <w:t xml:space="preserve"> Генеральной ассамблеи, выск</w:t>
            </w:r>
            <w:r w:rsidR="00DB6BD8">
              <w:rPr>
                <w:rFonts w:ascii="Arial" w:hAnsi="Arial" w:cs="Arial"/>
                <w:sz w:val="22"/>
                <w:szCs w:val="22"/>
                <w:lang w:val="ru-RU"/>
              </w:rPr>
              <w:t>азанным</w:t>
            </w:r>
            <w:r w:rsidR="001C2344">
              <w:rPr>
                <w:rFonts w:ascii="Arial" w:hAnsi="Arial" w:cs="Arial"/>
                <w:sz w:val="22"/>
                <w:szCs w:val="22"/>
                <w:lang w:val="ru-RU"/>
              </w:rPr>
              <w:t xml:space="preserve"> на седьмой сессии в 2018 г.</w:t>
            </w:r>
            <w:r w:rsidR="00D525D1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1C2344">
              <w:rPr>
                <w:rFonts w:ascii="Arial" w:hAnsi="Arial" w:cs="Arial"/>
                <w:sz w:val="22"/>
                <w:szCs w:val="22"/>
                <w:lang w:val="ru-RU"/>
              </w:rPr>
              <w:t xml:space="preserve"> и </w:t>
            </w:r>
            <w:r w:rsidR="00D525D1">
              <w:rPr>
                <w:rFonts w:ascii="Arial" w:hAnsi="Arial" w:cs="Arial"/>
                <w:sz w:val="22"/>
                <w:szCs w:val="22"/>
                <w:lang w:val="ru-RU"/>
              </w:rPr>
              <w:t xml:space="preserve">Комитетом </w:t>
            </w:r>
            <w:r w:rsidR="001C2344">
              <w:rPr>
                <w:rFonts w:ascii="Arial" w:hAnsi="Arial" w:cs="Arial"/>
                <w:sz w:val="22"/>
                <w:szCs w:val="22"/>
                <w:lang w:val="ru-RU"/>
              </w:rPr>
              <w:t xml:space="preserve">на </w:t>
            </w:r>
            <w:r w:rsidR="00D525D1">
              <w:rPr>
                <w:rFonts w:ascii="Arial" w:hAnsi="Arial" w:cs="Arial"/>
                <w:sz w:val="22"/>
                <w:szCs w:val="22"/>
                <w:lang w:val="ru-RU"/>
              </w:rPr>
              <w:t xml:space="preserve">его </w:t>
            </w:r>
            <w:r w:rsidR="001C2344">
              <w:rPr>
                <w:rFonts w:ascii="Arial" w:hAnsi="Arial" w:cs="Arial"/>
                <w:sz w:val="22"/>
                <w:szCs w:val="22"/>
                <w:lang w:val="ru-RU"/>
              </w:rPr>
              <w:t xml:space="preserve">четырнадцатой сессии в 2019 г., </w:t>
            </w:r>
            <w:r w:rsidR="007077B2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1C2344">
              <w:rPr>
                <w:rFonts w:ascii="Arial" w:hAnsi="Arial" w:cs="Arial"/>
                <w:sz w:val="22"/>
                <w:szCs w:val="22"/>
                <w:lang w:val="ru-RU"/>
              </w:rPr>
              <w:t xml:space="preserve"> документ</w:t>
            </w:r>
            <w:r w:rsidR="007077B2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="001C2344">
              <w:rPr>
                <w:rFonts w:ascii="Arial" w:hAnsi="Arial" w:cs="Arial"/>
                <w:sz w:val="22"/>
                <w:szCs w:val="22"/>
                <w:lang w:val="ru-RU"/>
              </w:rPr>
              <w:t xml:space="preserve"> изл</w:t>
            </w:r>
            <w:r w:rsidR="007077B2">
              <w:rPr>
                <w:rFonts w:ascii="Arial" w:hAnsi="Arial" w:cs="Arial"/>
                <w:sz w:val="22"/>
                <w:szCs w:val="22"/>
                <w:lang w:val="ru-RU"/>
              </w:rPr>
              <w:t>ожены</w:t>
            </w:r>
            <w:r w:rsidR="001C2344">
              <w:rPr>
                <w:rFonts w:ascii="Arial" w:hAnsi="Arial" w:cs="Arial"/>
                <w:sz w:val="22"/>
                <w:szCs w:val="22"/>
                <w:lang w:val="ru-RU"/>
              </w:rPr>
              <w:t xml:space="preserve"> результаты данного процесса.</w:t>
            </w:r>
          </w:p>
          <w:p w14:paraId="161FF5BB" w14:textId="42E07B65" w:rsidR="00655736" w:rsidRPr="00414643" w:rsidRDefault="001C2344" w:rsidP="001C2344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Требуемое решение</w:t>
            </w:r>
            <w:r w:rsidR="0057439C"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пункт</w:t>
            </w:r>
            <w:r w:rsidR="0057439C" w:rsidRPr="0041464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18735F">
              <w:rPr>
                <w:rFonts w:ascii="Arial" w:hAnsi="Arial" w:cs="Arial"/>
                <w:bCs/>
                <w:sz w:val="22"/>
                <w:szCs w:val="22"/>
                <w:lang w:val="en-GB"/>
              </w:rPr>
              <w:t>9</w:t>
            </w:r>
          </w:p>
        </w:tc>
      </w:tr>
    </w:tbl>
    <w:p w14:paraId="4A2A53B7" w14:textId="77777777" w:rsidR="00176720" w:rsidRDefault="00655736" w:rsidP="00176720">
      <w:pPr>
        <w:pStyle w:val="GAPara"/>
        <w:numPr>
          <w:ilvl w:val="0"/>
          <w:numId w:val="0"/>
        </w:numPr>
        <w:jc w:val="both"/>
      </w:pPr>
      <w:r w:rsidRPr="00414643">
        <w:br w:type="page"/>
      </w:r>
    </w:p>
    <w:p w14:paraId="54DA7B08" w14:textId="023CE3B9" w:rsidR="008D5142" w:rsidRPr="00610AA6" w:rsidRDefault="00630DF0" w:rsidP="00DD5335">
      <w:pPr>
        <w:pStyle w:val="Titre4"/>
        <w:ind w:left="567" w:hanging="425"/>
      </w:pPr>
      <w:r>
        <w:rPr>
          <w:lang w:val="ru-RU"/>
        </w:rPr>
        <w:lastRenderedPageBreak/>
        <w:t>История вопроса</w:t>
      </w:r>
    </w:p>
    <w:p w14:paraId="19A5C91B" w14:textId="771C9AF4" w:rsidR="00AA4FE3" w:rsidRPr="000F4677" w:rsidRDefault="00EE360B" w:rsidP="00DD5335">
      <w:pPr>
        <w:pStyle w:val="COMPara"/>
        <w:numPr>
          <w:ilvl w:val="0"/>
          <w:numId w:val="2"/>
        </w:numPr>
        <w:ind w:left="567" w:hanging="567"/>
        <w:jc w:val="both"/>
        <w:rPr>
          <w:bCs/>
          <w:lang w:val="ru-RU"/>
        </w:rPr>
      </w:pPr>
      <w:r>
        <w:rPr>
          <w:bCs/>
          <w:lang w:val="ru-RU"/>
        </w:rPr>
        <w:t>Неправительственные организации (НПО)</w:t>
      </w:r>
      <w:r w:rsidR="00C26EAD">
        <w:rPr>
          <w:bCs/>
          <w:lang w:val="ru-RU"/>
        </w:rPr>
        <w:t xml:space="preserve"> призна</w:t>
      </w:r>
      <w:r w:rsidR="000068CA">
        <w:rPr>
          <w:bCs/>
          <w:lang w:val="ru-RU"/>
        </w:rPr>
        <w:t>ются</w:t>
      </w:r>
      <w:r w:rsidR="00F35B61">
        <w:rPr>
          <w:bCs/>
          <w:lang w:val="ru-RU"/>
        </w:rPr>
        <w:t xml:space="preserve"> важными участниками</w:t>
      </w:r>
      <w:r w:rsidR="00C26EAD">
        <w:rPr>
          <w:bCs/>
          <w:lang w:val="ru-RU"/>
        </w:rPr>
        <w:t xml:space="preserve"> </w:t>
      </w:r>
      <w:r w:rsidR="00BD6274">
        <w:rPr>
          <w:bCs/>
          <w:lang w:val="ru-RU"/>
        </w:rPr>
        <w:t xml:space="preserve">осуществления </w:t>
      </w:r>
      <w:r w:rsidR="00C26EAD">
        <w:rPr>
          <w:bCs/>
          <w:lang w:val="ru-RU"/>
        </w:rPr>
        <w:t>Конвенции 2003 г.</w:t>
      </w:r>
      <w:r w:rsidR="00A7634D">
        <w:rPr>
          <w:bCs/>
          <w:lang w:val="ru-RU"/>
        </w:rPr>
        <w:t xml:space="preserve"> Статья 9 Конвенции предусматривает, что Комитет вносит на ра</w:t>
      </w:r>
      <w:r w:rsidR="00FC2040">
        <w:rPr>
          <w:bCs/>
          <w:lang w:val="ru-RU"/>
        </w:rPr>
        <w:t>ссмотрение Генеральной ассамблеи</w:t>
      </w:r>
      <w:r w:rsidR="00A7634D">
        <w:rPr>
          <w:bCs/>
          <w:lang w:val="ru-RU"/>
        </w:rPr>
        <w:t xml:space="preserve"> предложения об аккредитации НПО, обладающих признанной компетенцией в области нематериального культурного </w:t>
      </w:r>
      <w:r w:rsidR="00A7634D" w:rsidRPr="00063EFE">
        <w:rPr>
          <w:bCs/>
          <w:lang w:val="ru-RU"/>
        </w:rPr>
        <w:t>наследия</w:t>
      </w:r>
      <w:r w:rsidR="005F20BF" w:rsidRPr="00063EFE">
        <w:rPr>
          <w:bCs/>
          <w:lang w:val="ru-RU"/>
        </w:rPr>
        <w:t>,</w:t>
      </w:r>
      <w:r w:rsidR="00A7634D" w:rsidRPr="00063EFE">
        <w:rPr>
          <w:bCs/>
          <w:lang w:val="ru-RU"/>
        </w:rPr>
        <w:t xml:space="preserve"> для выполнения </w:t>
      </w:r>
      <w:r w:rsidR="00A95A2C" w:rsidRPr="00063EFE">
        <w:rPr>
          <w:bCs/>
          <w:lang w:val="ru-RU"/>
        </w:rPr>
        <w:t>консультативных</w:t>
      </w:r>
      <w:r w:rsidR="00A7634D" w:rsidRPr="00063EFE">
        <w:rPr>
          <w:bCs/>
          <w:lang w:val="ru-RU"/>
        </w:rPr>
        <w:t xml:space="preserve"> </w:t>
      </w:r>
      <w:r w:rsidR="00BD6274" w:rsidRPr="00063EFE">
        <w:rPr>
          <w:bCs/>
          <w:lang w:val="ru-RU"/>
        </w:rPr>
        <w:t xml:space="preserve">функций по отношению к </w:t>
      </w:r>
      <w:r w:rsidR="005A3F64" w:rsidRPr="00063EFE">
        <w:rPr>
          <w:bCs/>
          <w:lang w:val="ru-RU"/>
        </w:rPr>
        <w:t>Комитет</w:t>
      </w:r>
      <w:r w:rsidR="00BD6274" w:rsidRPr="00063EFE">
        <w:rPr>
          <w:bCs/>
          <w:lang w:val="ru-RU"/>
        </w:rPr>
        <w:t>у</w:t>
      </w:r>
      <w:r w:rsidR="00A7634D" w:rsidRPr="00063EFE">
        <w:rPr>
          <w:bCs/>
          <w:lang w:val="ru-RU"/>
        </w:rPr>
        <w:t>.</w:t>
      </w:r>
      <w:r w:rsidR="00BD3905" w:rsidRPr="00063EFE">
        <w:rPr>
          <w:bCs/>
          <w:lang w:val="ru-RU"/>
        </w:rPr>
        <w:t xml:space="preserve"> Соответственно пункты 91-96 главы </w:t>
      </w:r>
      <w:r w:rsidR="00BD3905" w:rsidRPr="00063EFE">
        <w:rPr>
          <w:bCs/>
          <w:lang w:val="en-US"/>
        </w:rPr>
        <w:t>III</w:t>
      </w:r>
      <w:r w:rsidR="00BD3905" w:rsidRPr="00063EFE">
        <w:rPr>
          <w:bCs/>
          <w:lang w:val="ru-RU"/>
        </w:rPr>
        <w:t>.2.2 Оперативн</w:t>
      </w:r>
      <w:r w:rsidR="00BD6274" w:rsidRPr="00063EFE">
        <w:rPr>
          <w:bCs/>
          <w:lang w:val="ru-RU"/>
        </w:rPr>
        <w:t xml:space="preserve">ого </w:t>
      </w:r>
      <w:r w:rsidR="00BD3905" w:rsidRPr="00063EFE">
        <w:rPr>
          <w:bCs/>
          <w:lang w:val="ru-RU"/>
        </w:rPr>
        <w:t>руководств</w:t>
      </w:r>
      <w:r w:rsidR="00BD6274" w:rsidRPr="00063EFE">
        <w:rPr>
          <w:bCs/>
          <w:lang w:val="ru-RU"/>
        </w:rPr>
        <w:t>а</w:t>
      </w:r>
      <w:r w:rsidR="00535E1B" w:rsidRPr="00063EFE">
        <w:rPr>
          <w:bCs/>
          <w:lang w:val="ru-RU"/>
        </w:rPr>
        <w:t xml:space="preserve"> содержат критерии, условия </w:t>
      </w:r>
      <w:r w:rsidR="00F35B61" w:rsidRPr="00063EFE">
        <w:rPr>
          <w:bCs/>
          <w:lang w:val="ru-RU"/>
        </w:rPr>
        <w:t xml:space="preserve">и </w:t>
      </w:r>
      <w:r w:rsidR="00063EFE">
        <w:rPr>
          <w:bCs/>
          <w:lang w:val="ru-RU"/>
        </w:rPr>
        <w:t xml:space="preserve">процесс оценки </w:t>
      </w:r>
      <w:r w:rsidR="00C4398C" w:rsidRPr="00063EFE">
        <w:rPr>
          <w:bCs/>
          <w:lang w:val="ru-RU"/>
        </w:rPr>
        <w:t>аккредитации НПО, а также тот объем консульта</w:t>
      </w:r>
      <w:r w:rsidR="00A95A2C" w:rsidRPr="00063EFE">
        <w:rPr>
          <w:bCs/>
          <w:lang w:val="ru-RU"/>
        </w:rPr>
        <w:t>тивных</w:t>
      </w:r>
      <w:r w:rsidR="00C4398C" w:rsidRPr="00063EFE">
        <w:rPr>
          <w:bCs/>
          <w:lang w:val="ru-RU"/>
        </w:rPr>
        <w:t xml:space="preserve"> </w:t>
      </w:r>
      <w:r w:rsidR="005F20BF" w:rsidRPr="00063EFE">
        <w:rPr>
          <w:bCs/>
          <w:lang w:val="ru-RU"/>
        </w:rPr>
        <w:t>функций</w:t>
      </w:r>
      <w:r w:rsidR="00FC2040" w:rsidRPr="00063EFE">
        <w:rPr>
          <w:bCs/>
          <w:lang w:val="ru-RU"/>
        </w:rPr>
        <w:t xml:space="preserve">, которые </w:t>
      </w:r>
      <w:r w:rsidR="00063EFE">
        <w:rPr>
          <w:bCs/>
          <w:lang w:val="ru-RU"/>
        </w:rPr>
        <w:t>эти организации</w:t>
      </w:r>
      <w:r w:rsidR="00F31709" w:rsidRPr="00063EFE">
        <w:rPr>
          <w:bCs/>
          <w:lang w:val="ru-RU"/>
        </w:rPr>
        <w:t xml:space="preserve"> мо</w:t>
      </w:r>
      <w:r w:rsidR="00063EFE">
        <w:rPr>
          <w:bCs/>
          <w:lang w:val="ru-RU"/>
        </w:rPr>
        <w:t xml:space="preserve">гут </w:t>
      </w:r>
      <w:r w:rsidR="00F31709" w:rsidRPr="00063EFE">
        <w:rPr>
          <w:bCs/>
          <w:lang w:val="ru-RU"/>
        </w:rPr>
        <w:t xml:space="preserve">предоставить </w:t>
      </w:r>
      <w:r w:rsidR="00C4398C" w:rsidRPr="00063EFE">
        <w:rPr>
          <w:bCs/>
          <w:lang w:val="ru-RU"/>
        </w:rPr>
        <w:t>К</w:t>
      </w:r>
      <w:r w:rsidR="005F20BF" w:rsidRPr="00063EFE">
        <w:rPr>
          <w:bCs/>
          <w:lang w:val="ru-RU"/>
        </w:rPr>
        <w:t>омитет</w:t>
      </w:r>
      <w:r w:rsidR="00F31709" w:rsidRPr="00063EFE">
        <w:rPr>
          <w:bCs/>
          <w:lang w:val="ru-RU"/>
        </w:rPr>
        <w:t>у</w:t>
      </w:r>
      <w:r w:rsidR="00C4398C" w:rsidRPr="00063EFE">
        <w:rPr>
          <w:bCs/>
          <w:lang w:val="ru-RU"/>
        </w:rPr>
        <w:t xml:space="preserve">. </w:t>
      </w:r>
      <w:r w:rsidR="00A95A2C" w:rsidRPr="00063EFE">
        <w:rPr>
          <w:bCs/>
          <w:lang w:val="ru-RU"/>
        </w:rPr>
        <w:t>Функции</w:t>
      </w:r>
      <w:r w:rsidR="00C4398C" w:rsidRPr="00063EFE">
        <w:rPr>
          <w:bCs/>
          <w:lang w:val="ru-RU"/>
        </w:rPr>
        <w:t xml:space="preserve"> были определены</w:t>
      </w:r>
      <w:r w:rsidR="00C4398C">
        <w:rPr>
          <w:bCs/>
          <w:lang w:val="ru-RU"/>
        </w:rPr>
        <w:t xml:space="preserve">, в частности, как оценочные </w:t>
      </w:r>
      <w:r w:rsidR="005A3F64">
        <w:rPr>
          <w:bCs/>
          <w:lang w:val="ru-RU"/>
        </w:rPr>
        <w:t>по отношению к</w:t>
      </w:r>
      <w:r w:rsidR="00C4398C">
        <w:rPr>
          <w:bCs/>
          <w:lang w:val="ru-RU"/>
        </w:rPr>
        <w:t xml:space="preserve"> номинаци</w:t>
      </w:r>
      <w:r w:rsidR="005A3F64">
        <w:rPr>
          <w:bCs/>
          <w:lang w:val="ru-RU"/>
        </w:rPr>
        <w:t>ям, предложениям и заявкам</w:t>
      </w:r>
      <w:r w:rsidR="00C4398C">
        <w:rPr>
          <w:bCs/>
          <w:lang w:val="ru-RU"/>
        </w:rPr>
        <w:t>.</w:t>
      </w:r>
    </w:p>
    <w:p w14:paraId="4D74C4C2" w14:textId="5E9BFAC4" w:rsidR="00743D8C" w:rsidRPr="000F4677" w:rsidRDefault="00562F05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ru-RU"/>
        </w:rPr>
      </w:pPr>
      <w:r>
        <w:rPr>
          <w:bCs/>
          <w:lang w:val="ru-RU"/>
        </w:rPr>
        <w:t xml:space="preserve">Комитет начал процесс </w:t>
      </w:r>
      <w:r w:rsidR="00F94745">
        <w:rPr>
          <w:bCs/>
          <w:lang w:val="ru-RU"/>
        </w:rPr>
        <w:t xml:space="preserve">анализа </w:t>
      </w:r>
      <w:r w:rsidR="00E142F5">
        <w:rPr>
          <w:bCs/>
          <w:lang w:val="ru-RU"/>
        </w:rPr>
        <w:t>консультативной роли аккредитованных НПО</w:t>
      </w:r>
      <w:r>
        <w:rPr>
          <w:bCs/>
          <w:lang w:val="ru-RU"/>
        </w:rPr>
        <w:t xml:space="preserve"> в 2017 г. на своей двенадцатой сессии</w:t>
      </w:r>
      <w:r w:rsidR="00E142F5">
        <w:rPr>
          <w:bCs/>
          <w:lang w:val="ru-RU"/>
        </w:rPr>
        <w:t xml:space="preserve"> </w:t>
      </w:r>
      <w:r w:rsidR="00E142F5" w:rsidRPr="000F4677">
        <w:rPr>
          <w:lang w:val="ru-RU"/>
        </w:rPr>
        <w:t>(</w:t>
      </w:r>
      <w:hyperlink r:id="rId11" w:history="1">
        <w:r w:rsidR="00E142F5">
          <w:rPr>
            <w:rStyle w:val="Lienhypertexte"/>
            <w:lang w:val="ru-RU"/>
          </w:rPr>
          <w:t>Решение</w:t>
        </w:r>
        <w:r w:rsidR="00E142F5" w:rsidRPr="000F4677">
          <w:rPr>
            <w:rStyle w:val="Lienhypertexte"/>
            <w:lang w:val="ru-RU"/>
          </w:rPr>
          <w:t xml:space="preserve"> 12.</w:t>
        </w:r>
        <w:r w:rsidR="00E142F5" w:rsidRPr="00E539DD">
          <w:rPr>
            <w:rStyle w:val="Lienhypertexte"/>
          </w:rPr>
          <w:t>COM</w:t>
        </w:r>
        <w:r w:rsidR="00E142F5">
          <w:rPr>
            <w:rStyle w:val="Lienhypertexte"/>
          </w:rPr>
          <w:t> </w:t>
        </w:r>
        <w:r w:rsidR="00E142F5" w:rsidRPr="000F4677">
          <w:rPr>
            <w:rStyle w:val="Lienhypertexte"/>
            <w:lang w:val="ru-RU"/>
          </w:rPr>
          <w:t>13</w:t>
        </w:r>
      </w:hyperlink>
      <w:r w:rsidR="00E142F5" w:rsidRPr="000F4677">
        <w:rPr>
          <w:lang w:val="ru-RU"/>
        </w:rPr>
        <w:t xml:space="preserve"> </w:t>
      </w:r>
      <w:r w:rsidR="00E142F5">
        <w:rPr>
          <w:lang w:val="ru-RU"/>
        </w:rPr>
        <w:t>и</w:t>
      </w:r>
      <w:r w:rsidR="00E142F5" w:rsidRPr="000F4677">
        <w:rPr>
          <w:lang w:val="ru-RU"/>
        </w:rPr>
        <w:t xml:space="preserve"> </w:t>
      </w:r>
      <w:hyperlink r:id="rId12" w:history="1">
        <w:r w:rsidR="00E142F5">
          <w:rPr>
            <w:rStyle w:val="Lienhypertexte"/>
            <w:lang w:val="ru-RU"/>
          </w:rPr>
          <w:t>Решение</w:t>
        </w:r>
        <w:r w:rsidR="00E142F5" w:rsidRPr="000F4677">
          <w:rPr>
            <w:rStyle w:val="Lienhypertexte"/>
            <w:lang w:val="ru-RU"/>
          </w:rPr>
          <w:t xml:space="preserve"> 12.</w:t>
        </w:r>
        <w:r w:rsidR="00E142F5" w:rsidRPr="00743D8C">
          <w:rPr>
            <w:rStyle w:val="Lienhypertexte"/>
            <w:lang w:val="en-US"/>
          </w:rPr>
          <w:t>COM </w:t>
        </w:r>
        <w:r w:rsidR="00E142F5" w:rsidRPr="000F4677">
          <w:rPr>
            <w:rStyle w:val="Lienhypertexte"/>
            <w:lang w:val="ru-RU"/>
          </w:rPr>
          <w:t>17</w:t>
        </w:r>
      </w:hyperlink>
      <w:r w:rsidR="00E142F5" w:rsidRPr="000F4677">
        <w:rPr>
          <w:lang w:val="ru-RU"/>
        </w:rPr>
        <w:t>)</w:t>
      </w:r>
      <w:r w:rsidR="00E142F5" w:rsidRPr="000F4677">
        <w:rPr>
          <w:bCs/>
          <w:lang w:val="ru-RU"/>
        </w:rPr>
        <w:t>.</w:t>
      </w:r>
      <w:r w:rsidR="00E142F5">
        <w:rPr>
          <w:bCs/>
          <w:lang w:val="ru-RU"/>
        </w:rPr>
        <w:t xml:space="preserve"> Началу </w:t>
      </w:r>
      <w:r w:rsidR="00F94745">
        <w:rPr>
          <w:bCs/>
          <w:lang w:val="ru-RU"/>
        </w:rPr>
        <w:t xml:space="preserve">анализа </w:t>
      </w:r>
      <w:r w:rsidR="00E142F5">
        <w:rPr>
          <w:bCs/>
          <w:lang w:val="ru-RU"/>
        </w:rPr>
        <w:t>положил факт признания того, что в любой конкретный отрезок времени только 6 из 164 аккредитованных НПО являются членами Оценочного органа и поэтому имеют право исполнять консульта</w:t>
      </w:r>
      <w:r w:rsidR="003B4F3E">
        <w:rPr>
          <w:bCs/>
          <w:lang w:val="ru-RU"/>
        </w:rPr>
        <w:t>тивные</w:t>
      </w:r>
      <w:r w:rsidR="00E142F5">
        <w:rPr>
          <w:bCs/>
          <w:lang w:val="ru-RU"/>
        </w:rPr>
        <w:t xml:space="preserve"> функции, которыми Опера</w:t>
      </w:r>
      <w:r w:rsidR="00F31709">
        <w:rPr>
          <w:bCs/>
          <w:lang w:val="ru-RU"/>
        </w:rPr>
        <w:t xml:space="preserve">тивное </w:t>
      </w:r>
      <w:r w:rsidR="00E142F5">
        <w:rPr>
          <w:bCs/>
          <w:lang w:val="ru-RU"/>
        </w:rPr>
        <w:t>руководств наделяют аккредитованных НПО. Комитет предложил Секретариату и неформально</w:t>
      </w:r>
      <w:r w:rsidR="002B5552">
        <w:rPr>
          <w:bCs/>
          <w:lang w:val="ru-RU"/>
        </w:rPr>
        <w:t>й</w:t>
      </w:r>
      <w:r w:rsidR="00E142F5">
        <w:rPr>
          <w:bCs/>
          <w:lang w:val="ru-RU"/>
        </w:rPr>
        <w:t xml:space="preserve"> специальной рабочей группе </w:t>
      </w:r>
      <w:r w:rsidR="00A731DF">
        <w:rPr>
          <w:bCs/>
          <w:lang w:val="ru-RU"/>
        </w:rPr>
        <w:t xml:space="preserve">открытого состава </w:t>
      </w:r>
      <w:r w:rsidR="00E142F5">
        <w:rPr>
          <w:bCs/>
          <w:lang w:val="ru-RU"/>
        </w:rPr>
        <w:t xml:space="preserve">обсудить, консультируясь с аккредитованными НПО, какие существуют возможные пути </w:t>
      </w:r>
      <w:r w:rsidR="002B5552">
        <w:rPr>
          <w:bCs/>
          <w:lang w:val="ru-RU"/>
        </w:rPr>
        <w:t xml:space="preserve">дальнейшего развития участия НПО в Конвенции, и как они отразятся на механизмах получения и возобновления аккредитации НПО. В настоящем документе изложены результаты этих обсуждений, как того требовала Генеральная ассамблея на своей седьмой сессии в 2018 г. </w:t>
      </w:r>
      <w:r w:rsidR="002B5552" w:rsidRPr="000F4677">
        <w:rPr>
          <w:bCs/>
          <w:lang w:val="ru-RU"/>
        </w:rPr>
        <w:t>(</w:t>
      </w:r>
      <w:hyperlink r:id="rId13" w:history="1">
        <w:r w:rsidR="002B5552">
          <w:rPr>
            <w:rStyle w:val="Lienhypertexte"/>
            <w:lang w:val="ru-RU"/>
          </w:rPr>
          <w:t>Резолюция</w:t>
        </w:r>
        <w:r w:rsidR="002B5552" w:rsidRPr="0033326E">
          <w:rPr>
            <w:rStyle w:val="Lienhypertexte"/>
            <w:lang w:val="en-US"/>
          </w:rPr>
          <w:t> </w:t>
        </w:r>
        <w:r w:rsidR="002B5552" w:rsidRPr="000F4677">
          <w:rPr>
            <w:rStyle w:val="Lienhypertexte"/>
            <w:lang w:val="ru-RU"/>
          </w:rPr>
          <w:t>7.</w:t>
        </w:r>
        <w:r w:rsidR="002B5552" w:rsidRPr="0033326E">
          <w:rPr>
            <w:rStyle w:val="Lienhypertexte"/>
            <w:lang w:val="en-US"/>
          </w:rPr>
          <w:t>GA </w:t>
        </w:r>
        <w:r w:rsidR="002B5552" w:rsidRPr="000F4677">
          <w:rPr>
            <w:rStyle w:val="Lienhypertexte"/>
            <w:lang w:val="ru-RU"/>
          </w:rPr>
          <w:t>11</w:t>
        </w:r>
      </w:hyperlink>
      <w:r w:rsidR="002B5552" w:rsidRPr="000F4677">
        <w:rPr>
          <w:bCs/>
          <w:lang w:val="ru-RU"/>
        </w:rPr>
        <w:t xml:space="preserve">) </w:t>
      </w:r>
      <w:r w:rsidR="002B5552">
        <w:rPr>
          <w:bCs/>
          <w:lang w:val="ru-RU"/>
        </w:rPr>
        <w:t xml:space="preserve">и Комитет </w:t>
      </w:r>
      <w:r w:rsidR="002B5552" w:rsidRPr="000F4677">
        <w:rPr>
          <w:bCs/>
          <w:lang w:val="ru-RU"/>
        </w:rPr>
        <w:t>(</w:t>
      </w:r>
      <w:hyperlink r:id="rId14" w:history="1">
        <w:r w:rsidR="002B5552">
          <w:rPr>
            <w:rStyle w:val="Lienhypertexte"/>
            <w:lang w:val="ru-RU"/>
          </w:rPr>
          <w:t>Решение</w:t>
        </w:r>
        <w:r w:rsidR="002B5552" w:rsidRPr="000F4677">
          <w:rPr>
            <w:rStyle w:val="Lienhypertexte"/>
            <w:lang w:val="ru-RU"/>
          </w:rPr>
          <w:t xml:space="preserve"> 14.</w:t>
        </w:r>
        <w:r w:rsidR="002B5552" w:rsidRPr="0033326E">
          <w:rPr>
            <w:rStyle w:val="Lienhypertexte"/>
            <w:lang w:val="en-US"/>
          </w:rPr>
          <w:t>COM </w:t>
        </w:r>
        <w:r w:rsidR="002B5552" w:rsidRPr="000F4677">
          <w:rPr>
            <w:rStyle w:val="Lienhypertexte"/>
            <w:lang w:val="ru-RU"/>
          </w:rPr>
          <w:t>15</w:t>
        </w:r>
      </w:hyperlink>
      <w:r w:rsidR="002B5552" w:rsidRPr="000F4677">
        <w:rPr>
          <w:bCs/>
          <w:lang w:val="ru-RU"/>
        </w:rPr>
        <w:t xml:space="preserve">) </w:t>
      </w:r>
      <w:r w:rsidR="002B5552">
        <w:rPr>
          <w:bCs/>
          <w:lang w:val="ru-RU"/>
        </w:rPr>
        <w:t xml:space="preserve">на </w:t>
      </w:r>
      <w:r w:rsidR="00FB6C18">
        <w:rPr>
          <w:bCs/>
          <w:lang w:val="ru-RU"/>
        </w:rPr>
        <w:t xml:space="preserve">своей </w:t>
      </w:r>
      <w:r w:rsidR="002B5552">
        <w:rPr>
          <w:bCs/>
          <w:lang w:val="ru-RU"/>
        </w:rPr>
        <w:t>четырнадцатой сессии в 2019 г.</w:t>
      </w:r>
    </w:p>
    <w:p w14:paraId="6668C4C8" w14:textId="524337A6" w:rsidR="00AE1D58" w:rsidRPr="000F4677" w:rsidRDefault="002B5552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Процесс </w:t>
      </w:r>
      <w:r w:rsidR="006E5620">
        <w:rPr>
          <w:lang w:val="ru-RU"/>
        </w:rPr>
        <w:t xml:space="preserve">анализа </w:t>
      </w:r>
      <w:r>
        <w:rPr>
          <w:lang w:val="ru-RU"/>
        </w:rPr>
        <w:t xml:space="preserve">был направлен на </w:t>
      </w:r>
      <w:r w:rsidR="00FB6C18">
        <w:rPr>
          <w:lang w:val="ru-RU"/>
        </w:rPr>
        <w:t>изучение идей, связанных</w:t>
      </w:r>
      <w:r>
        <w:rPr>
          <w:lang w:val="ru-RU"/>
        </w:rPr>
        <w:t xml:space="preserve"> с</w:t>
      </w:r>
      <w:r w:rsidR="00AE1D58" w:rsidRPr="000F4677">
        <w:rPr>
          <w:lang w:val="ru-RU"/>
        </w:rPr>
        <w:t>:</w:t>
      </w:r>
    </w:p>
    <w:p w14:paraId="08DD812C" w14:textId="460E78B1" w:rsidR="002E14C7" w:rsidRPr="000F4677" w:rsidRDefault="003B4F3E" w:rsidP="00935106">
      <w:pPr>
        <w:pStyle w:val="GAPara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 xml:space="preserve">потенциальными консультативными функциями, которые определены как консультативные функции </w:t>
      </w:r>
      <w:r w:rsidR="00856FE5">
        <w:rPr>
          <w:lang w:val="ru-RU"/>
        </w:rPr>
        <w:t xml:space="preserve">«среди прочего» </w:t>
      </w:r>
      <w:r>
        <w:rPr>
          <w:lang w:val="ru-RU"/>
        </w:rPr>
        <w:t>в пункте 96 Оперативных руководств и которые аккредитованные НПО могут выполнять для руководящих органов Конвенции</w:t>
      </w:r>
      <w:r w:rsidR="002E14C7" w:rsidRPr="000F4677">
        <w:rPr>
          <w:lang w:val="ru-RU"/>
        </w:rPr>
        <w:t>;</w:t>
      </w:r>
    </w:p>
    <w:p w14:paraId="34B135F3" w14:textId="2D78BACC" w:rsidR="002E14C7" w:rsidRPr="000F4677" w:rsidRDefault="003B4F3E" w:rsidP="00935106">
      <w:pPr>
        <w:pStyle w:val="GAPara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 xml:space="preserve">потенциальными функциями, которые аккредитованные НПО могут выполнять для </w:t>
      </w:r>
      <w:r w:rsidR="00270F92">
        <w:rPr>
          <w:lang w:val="ru-RU"/>
        </w:rPr>
        <w:t>выполнения</w:t>
      </w:r>
      <w:r>
        <w:rPr>
          <w:lang w:val="ru-RU"/>
        </w:rPr>
        <w:t xml:space="preserve"> Конвенции</w:t>
      </w:r>
      <w:r w:rsidR="002E14C7" w:rsidRPr="000F4677">
        <w:rPr>
          <w:lang w:val="ru-RU"/>
        </w:rPr>
        <w:t>;</w:t>
      </w:r>
    </w:p>
    <w:p w14:paraId="0D6F7144" w14:textId="1BF881A8" w:rsidR="002E14C7" w:rsidRPr="008F2B6E" w:rsidRDefault="00270F92" w:rsidP="00935106">
      <w:pPr>
        <w:pStyle w:val="GAPara"/>
        <w:numPr>
          <w:ilvl w:val="0"/>
          <w:numId w:val="5"/>
        </w:numPr>
        <w:jc w:val="both"/>
      </w:pPr>
      <w:r>
        <w:rPr>
          <w:lang w:val="ru-RU"/>
        </w:rPr>
        <w:t>изменением</w:t>
      </w:r>
      <w:r w:rsidR="003B4F3E">
        <w:rPr>
          <w:lang w:val="ru-RU"/>
        </w:rPr>
        <w:t xml:space="preserve"> системы аккредитации НПО</w:t>
      </w:r>
      <w:r w:rsidR="002E14C7" w:rsidRPr="008F2B6E">
        <w:t xml:space="preserve">; </w:t>
      </w:r>
      <w:r w:rsidR="003B4F3E">
        <w:rPr>
          <w:lang w:val="ru-RU"/>
        </w:rPr>
        <w:t>и</w:t>
      </w:r>
    </w:p>
    <w:p w14:paraId="0758E3D8" w14:textId="553FA6DC" w:rsidR="00F9151B" w:rsidRPr="000F4677" w:rsidRDefault="003B4F3E" w:rsidP="00935106">
      <w:pPr>
        <w:pStyle w:val="GAPara"/>
        <w:numPr>
          <w:ilvl w:val="0"/>
          <w:numId w:val="5"/>
        </w:numPr>
        <w:rPr>
          <w:lang w:val="ru-RU"/>
        </w:rPr>
      </w:pPr>
      <w:r>
        <w:rPr>
          <w:lang w:val="ru-RU"/>
        </w:rPr>
        <w:t>ролью</w:t>
      </w:r>
      <w:r w:rsidR="002E14C7" w:rsidRPr="008F2B6E">
        <w:t> </w:t>
      </w:r>
      <w:r>
        <w:rPr>
          <w:lang w:val="ru-RU"/>
        </w:rPr>
        <w:t>Форума НПО</w:t>
      </w:r>
      <w:r w:rsidR="00AE3171">
        <w:rPr>
          <w:lang w:val="ru-RU"/>
        </w:rPr>
        <w:t xml:space="preserve"> нематериального культурного наследия</w:t>
      </w:r>
      <w:r w:rsidR="002E14C7" w:rsidRPr="000F4677">
        <w:rPr>
          <w:lang w:val="ru-RU"/>
        </w:rPr>
        <w:t>.</w:t>
      </w:r>
    </w:p>
    <w:p w14:paraId="7E1125D0" w14:textId="2D2A8782" w:rsidR="002163AB" w:rsidRPr="000F4677" w:rsidRDefault="00671050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ru-RU"/>
        </w:rPr>
      </w:pPr>
      <w:r>
        <w:rPr>
          <w:lang w:val="ru-RU"/>
        </w:rPr>
        <w:t>На первом этапе</w:t>
      </w:r>
      <w:r w:rsidR="00270F92">
        <w:rPr>
          <w:lang w:val="ru-RU"/>
        </w:rPr>
        <w:t xml:space="preserve"> </w:t>
      </w:r>
      <w:r w:rsidR="00856FE5">
        <w:rPr>
          <w:lang w:val="ru-RU"/>
        </w:rPr>
        <w:t>анализа</w:t>
      </w:r>
      <w:r w:rsidR="00270F92">
        <w:rPr>
          <w:lang w:val="ru-RU"/>
        </w:rPr>
        <w:t>, с сентября по октябрь 2018 г.</w:t>
      </w:r>
      <w:r>
        <w:rPr>
          <w:lang w:val="ru-RU"/>
        </w:rPr>
        <w:t>,</w:t>
      </w:r>
      <w:r w:rsidR="00270F92">
        <w:rPr>
          <w:lang w:val="ru-RU"/>
        </w:rPr>
        <w:t xml:space="preserve"> Секретариат организовал электронную консультацию на тему определения консультационных функций, которые следует выполнять НПО</w:t>
      </w:r>
      <w:r w:rsidR="00FF12FC">
        <w:rPr>
          <w:lang w:val="ru-RU"/>
        </w:rPr>
        <w:t>,</w:t>
      </w:r>
      <w:r w:rsidR="00270F92">
        <w:rPr>
          <w:lang w:val="ru-RU"/>
        </w:rPr>
        <w:t xml:space="preserve"> и о возможных путях усовершенствования системы аккредитации. В целом, в этой консультации приняли участие 38 государств-участников и 68 аккредитованных НПО, а ее предварительные результаты были представлены на рассмотрение тринадцатой сессии Комитета в 2018 г. </w:t>
      </w:r>
      <w:r w:rsidR="00270F92" w:rsidRPr="000F4677">
        <w:rPr>
          <w:bCs/>
          <w:lang w:val="ru-RU"/>
        </w:rPr>
        <w:t>(</w:t>
      </w:r>
      <w:hyperlink r:id="rId15" w:history="1">
        <w:r w:rsidR="00B914C8">
          <w:rPr>
            <w:rStyle w:val="Lienhypertexte"/>
            <w:bCs/>
            <w:lang w:val="ru-RU"/>
          </w:rPr>
          <w:t>д</w:t>
        </w:r>
        <w:r w:rsidR="00270F92">
          <w:rPr>
            <w:rStyle w:val="Lienhypertexte"/>
            <w:bCs/>
            <w:lang w:val="ru-RU"/>
          </w:rPr>
          <w:t>окумент</w:t>
        </w:r>
        <w:r w:rsidR="00270F92" w:rsidRPr="00581684">
          <w:rPr>
            <w:rStyle w:val="Lienhypertexte"/>
            <w:bCs/>
          </w:rPr>
          <w:t> ITH</w:t>
        </w:r>
        <w:r w:rsidR="00270F92" w:rsidRPr="000F4677">
          <w:rPr>
            <w:rStyle w:val="Lienhypertexte"/>
            <w:bCs/>
            <w:lang w:val="ru-RU"/>
          </w:rPr>
          <w:t>/18/13.</w:t>
        </w:r>
        <w:r w:rsidR="00270F92" w:rsidRPr="00581684">
          <w:rPr>
            <w:rStyle w:val="Lienhypertexte"/>
            <w:bCs/>
          </w:rPr>
          <w:t>COM</w:t>
        </w:r>
        <w:r w:rsidR="00270F92" w:rsidRPr="000F4677">
          <w:rPr>
            <w:rStyle w:val="Lienhypertexte"/>
            <w:bCs/>
            <w:lang w:val="ru-RU"/>
          </w:rPr>
          <w:t>/13</w:t>
        </w:r>
      </w:hyperlink>
      <w:r w:rsidR="00270F92" w:rsidRPr="000F4677">
        <w:rPr>
          <w:bCs/>
          <w:lang w:val="ru-RU"/>
        </w:rPr>
        <w:t>).</w:t>
      </w:r>
      <w:r w:rsidR="00270F92">
        <w:rPr>
          <w:bCs/>
          <w:lang w:val="ru-RU"/>
        </w:rPr>
        <w:t xml:space="preserve"> </w:t>
      </w:r>
      <w:r w:rsidR="00B914C8">
        <w:rPr>
          <w:bCs/>
          <w:lang w:val="ru-RU"/>
        </w:rPr>
        <w:t xml:space="preserve">Приняв во внимание консультационный процесс, Комитет предложил Секретариату продолжить </w:t>
      </w:r>
      <w:r w:rsidR="00856FE5">
        <w:rPr>
          <w:bCs/>
          <w:lang w:val="ru-RU"/>
        </w:rPr>
        <w:t xml:space="preserve">анализ </w:t>
      </w:r>
      <w:r w:rsidR="00B914C8">
        <w:rPr>
          <w:bCs/>
          <w:lang w:val="ru-RU"/>
        </w:rPr>
        <w:t xml:space="preserve">и представить </w:t>
      </w:r>
      <w:r w:rsidR="00856FE5">
        <w:rPr>
          <w:bCs/>
          <w:lang w:val="ru-RU"/>
        </w:rPr>
        <w:t xml:space="preserve">его </w:t>
      </w:r>
      <w:r w:rsidR="00B914C8">
        <w:rPr>
          <w:bCs/>
          <w:lang w:val="ru-RU"/>
        </w:rPr>
        <w:t xml:space="preserve">результаты и предложения о пересмотре системы аккредитации на его четырнадцатой сессии </w:t>
      </w:r>
      <w:r w:rsidR="00B914C8" w:rsidRPr="000F4677">
        <w:rPr>
          <w:lang w:val="ru-RU"/>
        </w:rPr>
        <w:t>(</w:t>
      </w:r>
      <w:hyperlink r:id="rId16" w:history="1">
        <w:r w:rsidR="00B914C8">
          <w:rPr>
            <w:rStyle w:val="Lienhypertexte"/>
            <w:lang w:val="ru-RU"/>
          </w:rPr>
          <w:t>Решение</w:t>
        </w:r>
        <w:r w:rsidR="00B914C8">
          <w:rPr>
            <w:rStyle w:val="Lienhypertexte"/>
          </w:rPr>
          <w:t> </w:t>
        </w:r>
        <w:r w:rsidR="00B914C8" w:rsidRPr="000F4677">
          <w:rPr>
            <w:rStyle w:val="Lienhypertexte"/>
            <w:lang w:val="ru-RU"/>
          </w:rPr>
          <w:t>13.</w:t>
        </w:r>
        <w:r w:rsidR="00B914C8" w:rsidRPr="008F2B6E">
          <w:rPr>
            <w:rStyle w:val="Lienhypertexte"/>
          </w:rPr>
          <w:t>COM </w:t>
        </w:r>
        <w:r w:rsidR="00B914C8" w:rsidRPr="000F4677">
          <w:rPr>
            <w:rStyle w:val="Lienhypertexte"/>
            <w:lang w:val="ru-RU"/>
          </w:rPr>
          <w:t>13</w:t>
        </w:r>
      </w:hyperlink>
      <w:r w:rsidR="00B914C8" w:rsidRPr="000F4677">
        <w:rPr>
          <w:lang w:val="ru-RU"/>
        </w:rPr>
        <w:t>).</w:t>
      </w:r>
      <w:r w:rsidR="00B914C8" w:rsidRPr="000F4677" w:rsidDel="00B16BF6">
        <w:rPr>
          <w:bCs/>
          <w:lang w:val="ru-RU"/>
        </w:rPr>
        <w:t xml:space="preserve"> </w:t>
      </w:r>
      <w:r w:rsidR="00DF697B">
        <w:rPr>
          <w:lang w:val="ru-RU"/>
        </w:rPr>
        <w:t>Вслед за электронной консультацией произошло обычное консульта</w:t>
      </w:r>
      <w:r>
        <w:rPr>
          <w:lang w:val="ru-RU"/>
        </w:rPr>
        <w:t>тивное</w:t>
      </w:r>
      <w:r w:rsidR="00DF697B">
        <w:rPr>
          <w:lang w:val="ru-RU"/>
        </w:rPr>
        <w:t xml:space="preserve"> совещание, организованное в 18 апреля 2019 г. в штаб-квартире ЮНЕСКО. </w:t>
      </w:r>
      <w:r w:rsidR="00DF697B">
        <w:rPr>
          <w:rStyle w:val="Lienhypertexte"/>
          <w:lang w:val="ru-RU"/>
        </w:rPr>
        <w:t>Отчет о консульта</w:t>
      </w:r>
      <w:r>
        <w:rPr>
          <w:rStyle w:val="Lienhypertexte"/>
          <w:lang w:val="ru-RU"/>
        </w:rPr>
        <w:t>тивном</w:t>
      </w:r>
      <w:r w:rsidR="00DF697B">
        <w:rPr>
          <w:rStyle w:val="Lienhypertexte"/>
          <w:lang w:val="ru-RU"/>
        </w:rPr>
        <w:t xml:space="preserve"> совещании</w:t>
      </w:r>
      <w:r w:rsidR="00DF697B" w:rsidRPr="00DF697B">
        <w:rPr>
          <w:rStyle w:val="Lienhypertexte"/>
          <w:u w:val="none"/>
          <w:lang w:val="ru-RU"/>
        </w:rPr>
        <w:t xml:space="preserve"> </w:t>
      </w:r>
      <w:r w:rsidR="00DF697B" w:rsidRPr="00DF697B">
        <w:rPr>
          <w:rStyle w:val="Lienhypertexte"/>
          <w:color w:val="auto"/>
          <w:u w:val="none"/>
          <w:lang w:val="ru-RU"/>
        </w:rPr>
        <w:t xml:space="preserve">был </w:t>
      </w:r>
      <w:r w:rsidR="00DF697B">
        <w:rPr>
          <w:rStyle w:val="Lienhypertexte"/>
          <w:color w:val="auto"/>
          <w:u w:val="none"/>
          <w:lang w:val="ru-RU"/>
        </w:rPr>
        <w:t xml:space="preserve">рассмотрен Координационным советом Форума НПО </w:t>
      </w:r>
      <w:r w:rsidR="00FF12FC">
        <w:rPr>
          <w:rStyle w:val="Lienhypertexte"/>
          <w:color w:val="auto"/>
          <w:u w:val="none"/>
          <w:lang w:val="ru-RU"/>
        </w:rPr>
        <w:t>нематериального культурного наследия</w:t>
      </w:r>
      <w:r w:rsidR="00DF697B">
        <w:rPr>
          <w:rStyle w:val="Lienhypertexte"/>
          <w:color w:val="auto"/>
          <w:u w:val="none"/>
          <w:lang w:val="ru-RU"/>
        </w:rPr>
        <w:t xml:space="preserve">, прежде чем его представили государствам-участникам и аккредитованным НПО в </w:t>
      </w:r>
      <w:r>
        <w:rPr>
          <w:rStyle w:val="Lienhypertexte"/>
          <w:color w:val="auto"/>
          <w:u w:val="none"/>
          <w:lang w:val="ru-RU"/>
        </w:rPr>
        <w:t>августе</w:t>
      </w:r>
      <w:r w:rsidR="00DF697B">
        <w:rPr>
          <w:rStyle w:val="Lienhypertexte"/>
          <w:color w:val="auto"/>
          <w:u w:val="none"/>
          <w:lang w:val="ru-RU"/>
        </w:rPr>
        <w:t xml:space="preserve"> 2019 г. </w:t>
      </w:r>
      <w:r>
        <w:rPr>
          <w:rStyle w:val="Lienhypertexte"/>
          <w:color w:val="auto"/>
          <w:u w:val="none"/>
          <w:lang w:val="ru-RU"/>
        </w:rPr>
        <w:t xml:space="preserve">Результаты </w:t>
      </w:r>
      <w:r w:rsidR="00856FE5">
        <w:rPr>
          <w:rStyle w:val="Lienhypertexte"/>
          <w:color w:val="auto"/>
          <w:u w:val="none"/>
          <w:lang w:val="ru-RU"/>
        </w:rPr>
        <w:t xml:space="preserve">анализа </w:t>
      </w:r>
      <w:r>
        <w:rPr>
          <w:rStyle w:val="Lienhypertexte"/>
          <w:color w:val="auto"/>
          <w:u w:val="none"/>
          <w:lang w:val="ru-RU"/>
        </w:rPr>
        <w:t xml:space="preserve">были представлены четырнадцатой сессии Комитета в декабре 2019 г. </w:t>
      </w:r>
      <w:r w:rsidR="00DF697B">
        <w:rPr>
          <w:rStyle w:val="Lienhypertexte"/>
          <w:color w:val="auto"/>
          <w:u w:val="none"/>
          <w:lang w:val="ru-RU"/>
        </w:rPr>
        <w:t xml:space="preserve">(см. ниже в разделе </w:t>
      </w:r>
      <w:r w:rsidR="00DF697B">
        <w:rPr>
          <w:rStyle w:val="Lienhypertexte"/>
          <w:color w:val="auto"/>
          <w:u w:val="none"/>
          <w:lang w:val="en-US"/>
        </w:rPr>
        <w:t>II</w:t>
      </w:r>
      <w:r w:rsidR="00DF697B">
        <w:rPr>
          <w:rStyle w:val="Lienhypertexte"/>
          <w:color w:val="auto"/>
          <w:u w:val="none"/>
          <w:lang w:val="ru-RU"/>
        </w:rPr>
        <w:t>)</w:t>
      </w:r>
      <w:r w:rsidR="0039441A" w:rsidRPr="0039441A">
        <w:rPr>
          <w:rStyle w:val="Lienhypertexte"/>
          <w:color w:val="auto"/>
          <w:u w:val="none"/>
          <w:lang w:val="ru-RU"/>
        </w:rPr>
        <w:t>.</w:t>
      </w:r>
    </w:p>
    <w:p w14:paraId="5B73C402" w14:textId="11976454" w:rsidR="002163AB" w:rsidRPr="000F4677" w:rsidRDefault="0063458E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76 государств и 99 аккредитованных НПО </w:t>
      </w:r>
      <w:r w:rsidR="00B914C8">
        <w:rPr>
          <w:lang w:val="ru-RU"/>
        </w:rPr>
        <w:t>участвовали</w:t>
      </w:r>
      <w:r>
        <w:rPr>
          <w:lang w:val="ru-RU"/>
        </w:rPr>
        <w:t xml:space="preserve"> по крайней мере в первом этапе процесса</w:t>
      </w:r>
      <w:r w:rsidR="00856FE5">
        <w:rPr>
          <w:lang w:val="ru-RU"/>
        </w:rPr>
        <w:t xml:space="preserve"> анализа</w:t>
      </w:r>
      <w:r>
        <w:rPr>
          <w:lang w:val="ru-RU"/>
        </w:rPr>
        <w:t>, организованного Секретариатом.</w:t>
      </w:r>
      <w:r w:rsidR="008C3191">
        <w:rPr>
          <w:lang w:val="ru-RU"/>
        </w:rPr>
        <w:t xml:space="preserve"> Хотя не все аккредитованные НПО и государства-участники </w:t>
      </w:r>
      <w:r w:rsidR="00E311F8">
        <w:rPr>
          <w:lang w:val="ru-RU"/>
        </w:rPr>
        <w:t>приняли участие в электронной консультации</w:t>
      </w:r>
      <w:r w:rsidR="008C3191">
        <w:rPr>
          <w:lang w:val="ru-RU"/>
        </w:rPr>
        <w:t xml:space="preserve">, </w:t>
      </w:r>
      <w:r w:rsidR="00E311F8">
        <w:rPr>
          <w:lang w:val="ru-RU"/>
        </w:rPr>
        <w:t xml:space="preserve">появилась </w:t>
      </w:r>
      <w:r w:rsidR="00E311F8">
        <w:rPr>
          <w:lang w:val="ru-RU"/>
        </w:rPr>
        <w:lastRenderedPageBreak/>
        <w:t>возможность</w:t>
      </w:r>
      <w:r w:rsidR="008C3191">
        <w:rPr>
          <w:lang w:val="ru-RU"/>
        </w:rPr>
        <w:t xml:space="preserve"> получить репрезентативную выборку мнений (56 </w:t>
      </w:r>
      <w:proofErr w:type="gramStart"/>
      <w:r w:rsidR="008C3191">
        <w:rPr>
          <w:lang w:val="ru-RU"/>
        </w:rPr>
        <w:t>процентов</w:t>
      </w:r>
      <w:proofErr w:type="gramEnd"/>
      <w:r w:rsidR="008C3191">
        <w:rPr>
          <w:lang w:val="ru-RU"/>
        </w:rPr>
        <w:t xml:space="preserve"> аккредитованных НПО</w:t>
      </w:r>
      <w:r w:rsidR="00FD224F">
        <w:rPr>
          <w:lang w:val="ru-RU"/>
        </w:rPr>
        <w:t xml:space="preserve"> и 43 процента</w:t>
      </w:r>
      <w:r w:rsidR="008C3191">
        <w:rPr>
          <w:lang w:val="ru-RU"/>
        </w:rPr>
        <w:t xml:space="preserve"> государств-участников</w:t>
      </w:r>
      <w:r w:rsidR="00FD224F">
        <w:rPr>
          <w:lang w:val="ru-RU"/>
        </w:rPr>
        <w:t>)</w:t>
      </w:r>
      <w:r w:rsidR="008C3191">
        <w:rPr>
          <w:lang w:val="ru-RU"/>
        </w:rPr>
        <w:t>.</w:t>
      </w:r>
      <w:r w:rsidR="00FD224F">
        <w:rPr>
          <w:lang w:val="ru-RU"/>
        </w:rPr>
        <w:t xml:space="preserve"> </w:t>
      </w:r>
      <w:r w:rsidR="00E311F8">
        <w:rPr>
          <w:lang w:val="ru-RU"/>
        </w:rPr>
        <w:t>Параллельно и</w:t>
      </w:r>
      <w:r w:rsidR="00FD224F">
        <w:rPr>
          <w:lang w:val="ru-RU"/>
        </w:rPr>
        <w:t xml:space="preserve"> в рамках своего мандата неформальная специальная открытая рабочая группа (организованная решением одиннадцатой сессии Комитета в 2016 г. и расширенная в 2017 г. </w:t>
      </w:r>
      <w:hyperlink r:id="rId17" w:history="1">
        <w:r w:rsidR="00FD224F">
          <w:rPr>
            <w:rStyle w:val="Lienhypertexte"/>
            <w:lang w:val="ru-RU"/>
          </w:rPr>
          <w:t>Решением</w:t>
        </w:r>
        <w:r w:rsidR="00B33DE9" w:rsidRPr="000F4677">
          <w:rPr>
            <w:rStyle w:val="Lienhypertexte"/>
          </w:rPr>
          <w:t> </w:t>
        </w:r>
        <w:r w:rsidR="00FD224F" w:rsidRPr="000F4677">
          <w:rPr>
            <w:rStyle w:val="Lienhypertexte"/>
            <w:lang w:val="ru-RU"/>
          </w:rPr>
          <w:t>12.</w:t>
        </w:r>
        <w:r w:rsidR="00FD224F" w:rsidRPr="00E539DD">
          <w:rPr>
            <w:rStyle w:val="Lienhypertexte"/>
          </w:rPr>
          <w:t>COM</w:t>
        </w:r>
        <w:r w:rsidR="00FD224F">
          <w:rPr>
            <w:rStyle w:val="Lienhypertexte"/>
          </w:rPr>
          <w:t> </w:t>
        </w:r>
        <w:r w:rsidR="00FD224F" w:rsidRPr="000F4677">
          <w:rPr>
            <w:rStyle w:val="Lienhypertexte"/>
            <w:lang w:val="ru-RU"/>
          </w:rPr>
          <w:t>13</w:t>
        </w:r>
      </w:hyperlink>
      <w:r w:rsidR="00FD224F">
        <w:rPr>
          <w:rStyle w:val="Lienhypertexte"/>
          <w:lang w:val="ru-RU"/>
        </w:rPr>
        <w:t xml:space="preserve"> </w:t>
      </w:r>
      <w:r w:rsidR="00FD224F" w:rsidRPr="00FD224F">
        <w:rPr>
          <w:rStyle w:val="Lienhypertexte"/>
          <w:color w:val="auto"/>
          <w:u w:val="none"/>
          <w:lang w:val="ru-RU"/>
        </w:rPr>
        <w:t>и</w:t>
      </w:r>
      <w:r w:rsidR="00FD224F">
        <w:rPr>
          <w:rStyle w:val="Lienhypertexte"/>
          <w:color w:val="auto"/>
          <w:u w:val="none"/>
          <w:lang w:val="ru-RU"/>
        </w:rPr>
        <w:t xml:space="preserve"> </w:t>
      </w:r>
      <w:hyperlink r:id="rId18" w:history="1">
        <w:r w:rsidR="00FD224F">
          <w:rPr>
            <w:rStyle w:val="Lienhypertexte"/>
            <w:lang w:val="ru-RU"/>
          </w:rPr>
          <w:t>Решением</w:t>
        </w:r>
        <w:r w:rsidR="00FD224F" w:rsidRPr="00BB5354">
          <w:rPr>
            <w:rStyle w:val="Lienhypertexte"/>
          </w:rPr>
          <w:t> </w:t>
        </w:r>
        <w:r w:rsidR="00FD224F" w:rsidRPr="000F4677">
          <w:rPr>
            <w:rStyle w:val="Lienhypertexte"/>
            <w:lang w:val="ru-RU"/>
          </w:rPr>
          <w:t>13.</w:t>
        </w:r>
        <w:r w:rsidR="00FD224F" w:rsidRPr="00BB5354">
          <w:rPr>
            <w:rStyle w:val="Lienhypertexte"/>
          </w:rPr>
          <w:t>COM </w:t>
        </w:r>
        <w:r w:rsidR="00FD224F" w:rsidRPr="000F4677">
          <w:rPr>
            <w:rStyle w:val="Lienhypertexte"/>
            <w:lang w:val="ru-RU"/>
          </w:rPr>
          <w:t>16</w:t>
        </w:r>
      </w:hyperlink>
      <w:r w:rsidR="00FD224F" w:rsidRPr="000F4677">
        <w:rPr>
          <w:lang w:val="ru-RU"/>
        </w:rPr>
        <w:t>)</w:t>
      </w:r>
      <w:r w:rsidR="00FD224F">
        <w:rPr>
          <w:lang w:val="ru-RU"/>
        </w:rPr>
        <w:t xml:space="preserve"> начала обсуждения, которые привели к созданию рекомендаций в отношении участия НПО, которые соответствуют главным </w:t>
      </w:r>
      <w:r w:rsidR="0080699E">
        <w:rPr>
          <w:lang w:val="ru-RU"/>
        </w:rPr>
        <w:t>итогам</w:t>
      </w:r>
      <w:r w:rsidR="00FD224F">
        <w:rPr>
          <w:lang w:val="ru-RU"/>
        </w:rPr>
        <w:t xml:space="preserve">, изложенным ниже </w:t>
      </w:r>
      <w:r w:rsidR="00FD224F" w:rsidRPr="000F4677">
        <w:rPr>
          <w:lang w:val="ru-RU"/>
        </w:rPr>
        <w:t>(</w:t>
      </w:r>
      <w:hyperlink r:id="rId19" w:history="1">
        <w:r w:rsidR="00FD224F">
          <w:rPr>
            <w:rStyle w:val="Lienhypertexte"/>
            <w:lang w:val="ru-RU"/>
          </w:rPr>
          <w:t>Решение</w:t>
        </w:r>
        <w:r w:rsidR="00FD224F" w:rsidRPr="00BB5354">
          <w:rPr>
            <w:rStyle w:val="Lienhypertexte"/>
          </w:rPr>
          <w:t> </w:t>
        </w:r>
        <w:r w:rsidR="00FD224F" w:rsidRPr="000F4677">
          <w:rPr>
            <w:rStyle w:val="Lienhypertexte"/>
            <w:lang w:val="ru-RU"/>
          </w:rPr>
          <w:t>14.</w:t>
        </w:r>
        <w:r w:rsidR="00FD224F" w:rsidRPr="00BB5354">
          <w:rPr>
            <w:rStyle w:val="Lienhypertexte"/>
          </w:rPr>
          <w:t>COM </w:t>
        </w:r>
        <w:r w:rsidR="00FD224F" w:rsidRPr="000F4677">
          <w:rPr>
            <w:rStyle w:val="Lienhypertexte"/>
            <w:lang w:val="ru-RU"/>
          </w:rPr>
          <w:t>16</w:t>
        </w:r>
      </w:hyperlink>
      <w:r w:rsidR="00FD224F" w:rsidRPr="000F4677">
        <w:rPr>
          <w:lang w:val="ru-RU"/>
        </w:rPr>
        <w:t xml:space="preserve"> </w:t>
      </w:r>
      <w:r w:rsidR="00FD224F">
        <w:rPr>
          <w:lang w:val="ru-RU"/>
        </w:rPr>
        <w:t>и</w:t>
      </w:r>
      <w:r w:rsidR="00FD224F" w:rsidRPr="000F4677">
        <w:rPr>
          <w:lang w:val="ru-RU"/>
        </w:rPr>
        <w:t xml:space="preserve"> </w:t>
      </w:r>
      <w:hyperlink r:id="rId20" w:history="1">
        <w:r w:rsidR="00FD224F">
          <w:rPr>
            <w:rStyle w:val="Lienhypertexte"/>
            <w:lang w:val="ru-RU"/>
          </w:rPr>
          <w:t>документ</w:t>
        </w:r>
        <w:r w:rsidR="00FD224F" w:rsidRPr="002A1246">
          <w:rPr>
            <w:rStyle w:val="Lienhypertexte"/>
          </w:rPr>
          <w:t> LHE</w:t>
        </w:r>
        <w:r w:rsidR="00FD224F" w:rsidRPr="000F4677">
          <w:rPr>
            <w:rStyle w:val="Lienhypertexte"/>
            <w:lang w:val="ru-RU"/>
          </w:rPr>
          <w:t>/19/14.</w:t>
        </w:r>
        <w:r w:rsidR="00FD224F" w:rsidRPr="002A1246">
          <w:rPr>
            <w:rStyle w:val="Lienhypertexte"/>
          </w:rPr>
          <w:t>COM</w:t>
        </w:r>
        <w:r w:rsidR="00FD224F" w:rsidRPr="000F4677">
          <w:rPr>
            <w:rStyle w:val="Lienhypertexte"/>
            <w:lang w:val="ru-RU"/>
          </w:rPr>
          <w:t>/16</w:t>
        </w:r>
      </w:hyperlink>
      <w:r w:rsidR="00FD224F" w:rsidRPr="000F4677">
        <w:rPr>
          <w:rStyle w:val="Lienhypertexte"/>
          <w:color w:val="auto"/>
          <w:lang w:val="ru-RU"/>
        </w:rPr>
        <w:t>)</w:t>
      </w:r>
      <w:r w:rsidR="00FD224F" w:rsidRPr="000F4677">
        <w:rPr>
          <w:lang w:val="ru-RU"/>
        </w:rPr>
        <w:t>.</w:t>
      </w:r>
    </w:p>
    <w:p w14:paraId="1224C3DE" w14:textId="513F97FD" w:rsidR="00B16BF6" w:rsidRDefault="0080699E" w:rsidP="00DD5335">
      <w:pPr>
        <w:pStyle w:val="Titre4"/>
        <w:spacing w:before="240"/>
        <w:ind w:left="567" w:hanging="425"/>
      </w:pPr>
      <w:r>
        <w:rPr>
          <w:lang w:val="ru-RU"/>
        </w:rPr>
        <w:t xml:space="preserve">Главные итоги </w:t>
      </w:r>
      <w:r w:rsidR="000F4677">
        <w:rPr>
          <w:lang w:val="ru-RU"/>
        </w:rPr>
        <w:t>анализа</w:t>
      </w:r>
    </w:p>
    <w:p w14:paraId="3C0D1F4A" w14:textId="4545FFE5" w:rsidR="00775E5C" w:rsidRDefault="00856FE5" w:rsidP="00DD5335">
      <w:pPr>
        <w:pStyle w:val="COMPara"/>
        <w:numPr>
          <w:ilvl w:val="0"/>
          <w:numId w:val="2"/>
        </w:numPr>
        <w:ind w:left="567" w:hanging="567"/>
        <w:jc w:val="both"/>
        <w:rPr>
          <w:bCs/>
        </w:rPr>
      </w:pPr>
      <w:r>
        <w:rPr>
          <w:bCs/>
          <w:lang w:val="ru-RU"/>
        </w:rPr>
        <w:t>И</w:t>
      </w:r>
      <w:r w:rsidR="0080699E">
        <w:rPr>
          <w:bCs/>
          <w:lang w:val="ru-RU"/>
        </w:rPr>
        <w:t>тог</w:t>
      </w:r>
      <w:r>
        <w:rPr>
          <w:bCs/>
          <w:lang w:val="ru-RU"/>
        </w:rPr>
        <w:t>и анализа</w:t>
      </w:r>
      <w:r w:rsidR="0080699E">
        <w:rPr>
          <w:bCs/>
          <w:lang w:val="ru-RU"/>
        </w:rPr>
        <w:t xml:space="preserve"> был</w:t>
      </w:r>
      <w:r>
        <w:rPr>
          <w:bCs/>
          <w:lang w:val="ru-RU"/>
        </w:rPr>
        <w:t>и</w:t>
      </w:r>
      <w:r w:rsidR="0080699E">
        <w:rPr>
          <w:bCs/>
          <w:lang w:val="ru-RU"/>
        </w:rPr>
        <w:t xml:space="preserve"> </w:t>
      </w:r>
      <w:r>
        <w:rPr>
          <w:bCs/>
          <w:lang w:val="ru-RU"/>
        </w:rPr>
        <w:t xml:space="preserve">подробно </w:t>
      </w:r>
      <w:r w:rsidR="0080699E">
        <w:rPr>
          <w:bCs/>
          <w:lang w:val="ru-RU"/>
        </w:rPr>
        <w:t>представлен</w:t>
      </w:r>
      <w:r>
        <w:rPr>
          <w:bCs/>
          <w:lang w:val="ru-RU"/>
        </w:rPr>
        <w:t>ы</w:t>
      </w:r>
      <w:r w:rsidR="0080699E">
        <w:rPr>
          <w:bCs/>
          <w:lang w:val="ru-RU"/>
        </w:rPr>
        <w:t xml:space="preserve"> на четырнадцатой сессии Комитета </w:t>
      </w:r>
      <w:r w:rsidR="0080699E" w:rsidRPr="000F4677">
        <w:rPr>
          <w:bCs/>
          <w:lang w:val="ru-RU"/>
        </w:rPr>
        <w:t>(</w:t>
      </w:r>
      <w:hyperlink r:id="rId21" w:history="1">
        <w:r w:rsidR="0080699E">
          <w:rPr>
            <w:rStyle w:val="Lienhypertexte"/>
            <w:bCs/>
            <w:lang w:val="ru-RU"/>
          </w:rPr>
          <w:t>документ</w:t>
        </w:r>
        <w:r w:rsidR="0080699E" w:rsidRPr="00E539DD">
          <w:rPr>
            <w:rStyle w:val="Lienhypertexte"/>
            <w:bCs/>
          </w:rPr>
          <w:t> LHE</w:t>
        </w:r>
        <w:r w:rsidR="0080699E" w:rsidRPr="000F4677">
          <w:rPr>
            <w:rStyle w:val="Lienhypertexte"/>
            <w:bCs/>
            <w:lang w:val="ru-RU"/>
          </w:rPr>
          <w:t>/19/14.</w:t>
        </w:r>
        <w:r w:rsidR="0080699E" w:rsidRPr="00E539DD">
          <w:rPr>
            <w:rStyle w:val="Lienhypertexte"/>
            <w:bCs/>
          </w:rPr>
          <w:t>COM</w:t>
        </w:r>
        <w:r w:rsidR="0080699E">
          <w:rPr>
            <w:rStyle w:val="Lienhypertexte"/>
            <w:bCs/>
          </w:rPr>
          <w:t> </w:t>
        </w:r>
        <w:r w:rsidR="0080699E" w:rsidRPr="000F4677">
          <w:rPr>
            <w:rStyle w:val="Lienhypertexte"/>
            <w:bCs/>
            <w:lang w:val="ru-RU"/>
          </w:rPr>
          <w:t>15</w:t>
        </w:r>
      </w:hyperlink>
      <w:r w:rsidR="0080699E" w:rsidRPr="000F4677">
        <w:rPr>
          <w:bCs/>
          <w:lang w:val="ru-RU"/>
        </w:rPr>
        <w:t>)</w:t>
      </w:r>
      <w:r w:rsidR="000A354A">
        <w:rPr>
          <w:bCs/>
          <w:lang w:val="ru-RU"/>
        </w:rPr>
        <w:t xml:space="preserve">. Его </w:t>
      </w:r>
      <w:r w:rsidR="00E311F8">
        <w:rPr>
          <w:bCs/>
          <w:lang w:val="ru-RU"/>
        </w:rPr>
        <w:t>основные</w:t>
      </w:r>
      <w:r w:rsidR="0080699E">
        <w:rPr>
          <w:bCs/>
          <w:lang w:val="ru-RU"/>
        </w:rPr>
        <w:t xml:space="preserve"> </w:t>
      </w:r>
      <w:r w:rsidR="000A354A">
        <w:rPr>
          <w:bCs/>
          <w:lang w:val="ru-RU"/>
        </w:rPr>
        <w:t xml:space="preserve">результаты </w:t>
      </w:r>
      <w:r w:rsidR="0080699E">
        <w:rPr>
          <w:bCs/>
          <w:lang w:val="ru-RU"/>
        </w:rPr>
        <w:t xml:space="preserve">можно изложить </w:t>
      </w:r>
      <w:r w:rsidR="00E311F8">
        <w:rPr>
          <w:bCs/>
          <w:lang w:val="ru-RU"/>
        </w:rPr>
        <w:t>следующим образом</w:t>
      </w:r>
      <w:r w:rsidR="00775E5C">
        <w:rPr>
          <w:bCs/>
        </w:rPr>
        <w:t>:</w:t>
      </w:r>
    </w:p>
    <w:p w14:paraId="4B89D588" w14:textId="70C44EEE" w:rsidR="00775E5C" w:rsidRPr="000F4677" w:rsidRDefault="004927FE" w:rsidP="00DD5335">
      <w:pPr>
        <w:pStyle w:val="GAPara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Что касается </w:t>
      </w:r>
      <w:r w:rsidRPr="004C5C8A">
        <w:rPr>
          <w:bCs/>
          <w:u w:val="single"/>
          <w:lang w:val="ru-RU"/>
        </w:rPr>
        <w:t>целей системы аккредитации</w:t>
      </w:r>
      <w:r>
        <w:rPr>
          <w:bCs/>
          <w:lang w:val="ru-RU"/>
        </w:rPr>
        <w:t>, то существует два мнения на этот счет</w:t>
      </w:r>
      <w:r w:rsidR="00C4564B">
        <w:rPr>
          <w:bCs/>
          <w:lang w:val="ru-RU"/>
        </w:rPr>
        <w:t>: с</w:t>
      </w:r>
      <w:r>
        <w:rPr>
          <w:bCs/>
          <w:lang w:val="ru-RU"/>
        </w:rPr>
        <w:t xml:space="preserve"> одной стороны, </w:t>
      </w:r>
      <w:r w:rsidR="00714AED">
        <w:rPr>
          <w:bCs/>
          <w:lang w:val="ru-RU"/>
        </w:rPr>
        <w:t>предполагается</w:t>
      </w:r>
      <w:r>
        <w:rPr>
          <w:bCs/>
          <w:lang w:val="ru-RU"/>
        </w:rPr>
        <w:t xml:space="preserve">, что аккредитация </w:t>
      </w:r>
      <w:r w:rsidR="00C4564B">
        <w:rPr>
          <w:bCs/>
          <w:lang w:val="ru-RU"/>
        </w:rPr>
        <w:t xml:space="preserve">должна </w:t>
      </w:r>
      <w:r w:rsidR="00714AED">
        <w:rPr>
          <w:bCs/>
          <w:lang w:val="ru-RU"/>
        </w:rPr>
        <w:t>обеспечивать</w:t>
      </w:r>
      <w:r w:rsidR="00C4564B">
        <w:rPr>
          <w:bCs/>
          <w:lang w:val="ru-RU"/>
        </w:rPr>
        <w:t xml:space="preserve"> </w:t>
      </w:r>
      <w:r w:rsidR="00714AED">
        <w:rPr>
          <w:bCs/>
          <w:lang w:val="ru-RU"/>
        </w:rPr>
        <w:t>компетенцией</w:t>
      </w:r>
      <w:r w:rsidR="00C4564B">
        <w:rPr>
          <w:bCs/>
          <w:lang w:val="ru-RU"/>
        </w:rPr>
        <w:t xml:space="preserve"> и опыт</w:t>
      </w:r>
      <w:r w:rsidR="00714AED">
        <w:rPr>
          <w:bCs/>
          <w:lang w:val="ru-RU"/>
        </w:rPr>
        <w:t>ом</w:t>
      </w:r>
      <w:r w:rsidR="00E311F8">
        <w:rPr>
          <w:bCs/>
          <w:lang w:val="ru-RU"/>
        </w:rPr>
        <w:t>, накопленным</w:t>
      </w:r>
      <w:r w:rsidR="00C4564B">
        <w:rPr>
          <w:bCs/>
          <w:lang w:val="ru-RU"/>
        </w:rPr>
        <w:t xml:space="preserve"> НПО</w:t>
      </w:r>
      <w:r w:rsidR="00714AED">
        <w:rPr>
          <w:bCs/>
          <w:lang w:val="ru-RU"/>
        </w:rPr>
        <w:t>, что соответствует статье 9.1 Конвенции и пункту</w:t>
      </w:r>
      <w:r w:rsidR="00C4564B">
        <w:rPr>
          <w:bCs/>
          <w:lang w:val="ru-RU"/>
        </w:rPr>
        <w:t xml:space="preserve"> 96 Оперативных руководств; но одновременно система аккредитации является системой </w:t>
      </w:r>
      <w:r w:rsidR="00E311F8">
        <w:rPr>
          <w:bCs/>
          <w:lang w:val="ru-RU"/>
        </w:rPr>
        <w:t>определения принадлежности</w:t>
      </w:r>
      <w:r w:rsidR="00C4564B">
        <w:rPr>
          <w:bCs/>
          <w:lang w:val="ru-RU"/>
        </w:rPr>
        <w:t xml:space="preserve">, с помощью которой </w:t>
      </w:r>
      <w:r w:rsidR="00E311F8">
        <w:rPr>
          <w:bCs/>
          <w:lang w:val="ru-RU"/>
        </w:rPr>
        <w:t>можно идентифицировать</w:t>
      </w:r>
      <w:r w:rsidR="00C4564B">
        <w:rPr>
          <w:bCs/>
          <w:lang w:val="ru-RU"/>
        </w:rPr>
        <w:t xml:space="preserve"> НПО, что </w:t>
      </w:r>
      <w:r w:rsidR="00714AED">
        <w:rPr>
          <w:bCs/>
          <w:lang w:val="ru-RU"/>
        </w:rPr>
        <w:t>позволит им</w:t>
      </w:r>
      <w:r w:rsidR="00C4564B">
        <w:rPr>
          <w:bCs/>
          <w:lang w:val="ru-RU"/>
        </w:rPr>
        <w:t xml:space="preserve"> получить международное признание.</w:t>
      </w:r>
    </w:p>
    <w:p w14:paraId="09286319" w14:textId="63B5006A" w:rsidR="00775E5C" w:rsidRPr="000F4677" w:rsidRDefault="004C5C8A" w:rsidP="00DD5335">
      <w:pPr>
        <w:pStyle w:val="GAPara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В отношении </w:t>
      </w:r>
      <w:r w:rsidRPr="00714AED">
        <w:rPr>
          <w:bCs/>
          <w:u w:val="single"/>
          <w:lang w:val="ru-RU"/>
        </w:rPr>
        <w:t>определения консультативных функций</w:t>
      </w:r>
      <w:r>
        <w:rPr>
          <w:bCs/>
          <w:lang w:val="ru-RU"/>
        </w:rPr>
        <w:t xml:space="preserve">, которые </w:t>
      </w:r>
      <w:r w:rsidR="00714AED">
        <w:rPr>
          <w:bCs/>
          <w:lang w:val="ru-RU"/>
        </w:rPr>
        <w:t>должны выполнять</w:t>
      </w:r>
      <w:r>
        <w:rPr>
          <w:bCs/>
          <w:lang w:val="ru-RU"/>
        </w:rPr>
        <w:t xml:space="preserve"> НПО, </w:t>
      </w:r>
      <w:r w:rsidR="00714AED">
        <w:rPr>
          <w:bCs/>
          <w:lang w:val="ru-RU"/>
        </w:rPr>
        <w:t>есть</w:t>
      </w:r>
      <w:r>
        <w:rPr>
          <w:bCs/>
          <w:lang w:val="ru-RU"/>
        </w:rPr>
        <w:t xml:space="preserve"> две главные категории, соответствующие двум мнениям о целях </w:t>
      </w:r>
      <w:r w:rsidR="00714AED">
        <w:rPr>
          <w:bCs/>
          <w:lang w:val="ru-RU"/>
        </w:rPr>
        <w:t>системы аккредитации, упомянутых</w:t>
      </w:r>
      <w:r>
        <w:rPr>
          <w:bCs/>
          <w:lang w:val="ru-RU"/>
        </w:rPr>
        <w:t xml:space="preserve"> выше: НПО считаются одновременно консультативными организациями для Комитета и участниками </w:t>
      </w:r>
      <w:r w:rsidR="005D680B">
        <w:rPr>
          <w:bCs/>
          <w:lang w:val="ru-RU"/>
        </w:rPr>
        <w:t xml:space="preserve">осуществления </w:t>
      </w:r>
      <w:r>
        <w:rPr>
          <w:bCs/>
          <w:lang w:val="ru-RU"/>
        </w:rPr>
        <w:t>Конвенции.</w:t>
      </w:r>
    </w:p>
    <w:p w14:paraId="2B92A8D2" w14:textId="326E2515" w:rsidR="00EC0AFC" w:rsidRPr="000F4677" w:rsidRDefault="004C5C8A" w:rsidP="00DD5335">
      <w:pPr>
        <w:pStyle w:val="GAPara"/>
        <w:numPr>
          <w:ilvl w:val="0"/>
          <w:numId w:val="5"/>
        </w:numPr>
        <w:jc w:val="both"/>
        <w:rPr>
          <w:bCs/>
          <w:lang w:val="ru-RU"/>
        </w:rPr>
      </w:pPr>
      <w:r w:rsidRPr="00535E1B">
        <w:rPr>
          <w:u w:val="single"/>
          <w:lang w:val="ru-RU"/>
        </w:rPr>
        <w:t xml:space="preserve">В том, что касается процессов и критериев, применяемых в отношении аккредитации, а также </w:t>
      </w:r>
      <w:r w:rsidR="00535E1B">
        <w:rPr>
          <w:u w:val="single"/>
          <w:lang w:val="ru-RU"/>
        </w:rPr>
        <w:t>возобновления</w:t>
      </w:r>
      <w:r w:rsidRPr="00535E1B">
        <w:rPr>
          <w:u w:val="single"/>
          <w:lang w:val="ru-RU"/>
        </w:rPr>
        <w:t xml:space="preserve"> аккредитации</w:t>
      </w:r>
      <w:r>
        <w:rPr>
          <w:lang w:val="ru-RU"/>
        </w:rPr>
        <w:t>, то широкое призна</w:t>
      </w:r>
      <w:r w:rsidR="007A6F78">
        <w:rPr>
          <w:lang w:val="ru-RU"/>
        </w:rPr>
        <w:t>ние получило мнение, что во</w:t>
      </w:r>
      <w:r w:rsidR="00535E1B">
        <w:rPr>
          <w:lang w:val="ru-RU"/>
        </w:rPr>
        <w:t xml:space="preserve"> </w:t>
      </w:r>
      <w:r>
        <w:rPr>
          <w:lang w:val="ru-RU"/>
        </w:rPr>
        <w:t xml:space="preserve">время </w:t>
      </w:r>
      <w:r w:rsidR="00535E1B">
        <w:rPr>
          <w:lang w:val="ru-RU"/>
        </w:rPr>
        <w:t>возобновления</w:t>
      </w:r>
      <w:r>
        <w:rPr>
          <w:lang w:val="ru-RU"/>
        </w:rPr>
        <w:t xml:space="preserve"> аккредитации</w:t>
      </w:r>
      <w:r w:rsidR="007A6F78">
        <w:rPr>
          <w:lang w:val="ru-RU"/>
        </w:rPr>
        <w:t xml:space="preserve"> необходимо оценивать вклад и приверженность целям НПО (пункт 94 Опера</w:t>
      </w:r>
      <w:r w:rsidR="007A381C">
        <w:rPr>
          <w:lang w:val="ru-RU"/>
        </w:rPr>
        <w:t xml:space="preserve">тивного </w:t>
      </w:r>
      <w:r w:rsidR="007A6F78">
        <w:rPr>
          <w:lang w:val="ru-RU"/>
        </w:rPr>
        <w:t>руководств</w:t>
      </w:r>
      <w:r w:rsidR="007A381C">
        <w:rPr>
          <w:lang w:val="ru-RU"/>
        </w:rPr>
        <w:t>а</w:t>
      </w:r>
      <w:r w:rsidR="007A6F78">
        <w:rPr>
          <w:lang w:val="ru-RU"/>
        </w:rPr>
        <w:t xml:space="preserve">) </w:t>
      </w:r>
      <w:r w:rsidR="00535E1B">
        <w:rPr>
          <w:lang w:val="ru-RU"/>
        </w:rPr>
        <w:t xml:space="preserve">в первую очередь </w:t>
      </w:r>
      <w:r w:rsidR="007A6F78">
        <w:rPr>
          <w:lang w:val="ru-RU"/>
        </w:rPr>
        <w:t xml:space="preserve">по тем же критериям, что используются </w:t>
      </w:r>
      <w:r w:rsidR="001F2169">
        <w:rPr>
          <w:lang w:val="ru-RU"/>
        </w:rPr>
        <w:t>для</w:t>
      </w:r>
      <w:r w:rsidR="007A6F78">
        <w:rPr>
          <w:lang w:val="ru-RU"/>
        </w:rPr>
        <w:t xml:space="preserve"> </w:t>
      </w:r>
      <w:r w:rsidR="00535E1B">
        <w:rPr>
          <w:lang w:val="ru-RU"/>
        </w:rPr>
        <w:t>аккредитации НПО (пункт 91 Оперативн</w:t>
      </w:r>
      <w:r w:rsidR="007A381C">
        <w:rPr>
          <w:lang w:val="ru-RU"/>
        </w:rPr>
        <w:t xml:space="preserve">ого </w:t>
      </w:r>
      <w:r w:rsidR="00535E1B">
        <w:rPr>
          <w:lang w:val="ru-RU"/>
        </w:rPr>
        <w:t>руководств</w:t>
      </w:r>
      <w:r w:rsidR="007A381C">
        <w:rPr>
          <w:lang w:val="ru-RU"/>
        </w:rPr>
        <w:t>а</w:t>
      </w:r>
      <w:r w:rsidR="00535E1B">
        <w:rPr>
          <w:lang w:val="ru-RU"/>
        </w:rPr>
        <w:t>).</w:t>
      </w:r>
    </w:p>
    <w:p w14:paraId="2BBF5D2A" w14:textId="3ABBFD02" w:rsidR="00C518F0" w:rsidRPr="000F4677" w:rsidRDefault="00535E1B" w:rsidP="00DD5335">
      <w:pPr>
        <w:pStyle w:val="GAPara"/>
        <w:numPr>
          <w:ilvl w:val="0"/>
          <w:numId w:val="5"/>
        </w:numPr>
        <w:jc w:val="both"/>
        <w:rPr>
          <w:bCs/>
          <w:lang w:val="ru-RU"/>
        </w:rPr>
      </w:pPr>
      <w:r>
        <w:rPr>
          <w:bCs/>
          <w:lang w:val="ru-RU"/>
        </w:rPr>
        <w:t>Было предложено создать «</w:t>
      </w:r>
      <w:r w:rsidRPr="00A86561">
        <w:rPr>
          <w:bCs/>
          <w:u w:val="single"/>
          <w:lang w:val="ru-RU"/>
        </w:rPr>
        <w:t>зонтичную организацию</w:t>
      </w:r>
      <w:r>
        <w:rPr>
          <w:bCs/>
          <w:lang w:val="ru-RU"/>
        </w:rPr>
        <w:t xml:space="preserve">», которая отвечала бы за аккредитацию и возобновление аккредитации, а также за координацию </w:t>
      </w:r>
      <w:r w:rsidR="006D151E">
        <w:rPr>
          <w:bCs/>
          <w:lang w:val="ru-RU"/>
        </w:rPr>
        <w:t>консультативной деятельности НПО. Это предложение не получило общего одобрения</w:t>
      </w:r>
      <w:r w:rsidR="0098619D">
        <w:rPr>
          <w:bCs/>
          <w:lang w:val="ru-RU"/>
        </w:rPr>
        <w:t>. Г</w:t>
      </w:r>
      <w:r w:rsidR="006D151E">
        <w:rPr>
          <w:bCs/>
          <w:lang w:val="ru-RU"/>
        </w:rPr>
        <w:t>осударства и аккредитованные НПО склонялись к тому, что нужно улуч</w:t>
      </w:r>
      <w:r w:rsidR="001F2169">
        <w:rPr>
          <w:bCs/>
          <w:lang w:val="ru-RU"/>
        </w:rPr>
        <w:t>ша</w:t>
      </w:r>
      <w:r w:rsidR="006D151E">
        <w:rPr>
          <w:bCs/>
          <w:lang w:val="ru-RU"/>
        </w:rPr>
        <w:t xml:space="preserve">ть нынешнюю систему, или </w:t>
      </w:r>
      <w:r w:rsidR="0098619D">
        <w:rPr>
          <w:bCs/>
          <w:lang w:val="ru-RU"/>
        </w:rPr>
        <w:t xml:space="preserve">применить </w:t>
      </w:r>
      <w:r w:rsidR="006D151E">
        <w:rPr>
          <w:bCs/>
          <w:lang w:val="ru-RU"/>
        </w:rPr>
        <w:t xml:space="preserve">гибридный подход, который предполагал </w:t>
      </w:r>
      <w:r w:rsidR="0098619D">
        <w:rPr>
          <w:bCs/>
          <w:lang w:val="ru-RU"/>
        </w:rPr>
        <w:t xml:space="preserve">бы </w:t>
      </w:r>
      <w:r w:rsidR="006D151E">
        <w:rPr>
          <w:bCs/>
          <w:lang w:val="ru-RU"/>
        </w:rPr>
        <w:t xml:space="preserve">улучшение нынешней системы аккредитации, </w:t>
      </w:r>
      <w:r w:rsidR="001F2169">
        <w:rPr>
          <w:bCs/>
          <w:lang w:val="ru-RU"/>
        </w:rPr>
        <w:t xml:space="preserve">и </w:t>
      </w:r>
      <w:r w:rsidR="006D151E">
        <w:rPr>
          <w:bCs/>
          <w:lang w:val="ru-RU"/>
        </w:rPr>
        <w:t xml:space="preserve">в ней принял </w:t>
      </w:r>
      <w:r w:rsidR="001F2169">
        <w:rPr>
          <w:bCs/>
          <w:lang w:val="ru-RU"/>
        </w:rPr>
        <w:t xml:space="preserve">бы </w:t>
      </w:r>
      <w:r w:rsidR="006D151E">
        <w:rPr>
          <w:bCs/>
          <w:lang w:val="ru-RU"/>
        </w:rPr>
        <w:t>участие Форум НПО нематериального культурного наследия.</w:t>
      </w:r>
    </w:p>
    <w:p w14:paraId="0A5B753B" w14:textId="7E20E9AF" w:rsidR="00833C85" w:rsidRPr="000F4677" w:rsidRDefault="006D151E" w:rsidP="00DD5335">
      <w:pPr>
        <w:pStyle w:val="GAPara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Главную озабочен</w:t>
      </w:r>
      <w:r w:rsidR="00A86561">
        <w:rPr>
          <w:lang w:val="ru-RU"/>
        </w:rPr>
        <w:t>н</w:t>
      </w:r>
      <w:r>
        <w:rPr>
          <w:lang w:val="ru-RU"/>
        </w:rPr>
        <w:t xml:space="preserve">ость вызывало </w:t>
      </w:r>
      <w:r w:rsidRPr="00A86561">
        <w:rPr>
          <w:u w:val="single"/>
          <w:lang w:val="ru-RU"/>
        </w:rPr>
        <w:t>несбалансированное географическое распределение</w:t>
      </w:r>
      <w:r w:rsidRPr="001146C2">
        <w:rPr>
          <w:lang w:val="ru-RU"/>
        </w:rPr>
        <w:t xml:space="preserve"> </w:t>
      </w:r>
      <w:r>
        <w:rPr>
          <w:lang w:val="ru-RU"/>
        </w:rPr>
        <w:t>аккредитованных НПО</w:t>
      </w:r>
      <w:r w:rsidR="00A86561">
        <w:rPr>
          <w:lang w:val="ru-RU"/>
        </w:rPr>
        <w:t xml:space="preserve">. </w:t>
      </w:r>
      <w:r w:rsidR="001F2169">
        <w:rPr>
          <w:lang w:val="ru-RU"/>
        </w:rPr>
        <w:t>Процесс дискуссии по</w:t>
      </w:r>
      <w:r w:rsidR="00A86561">
        <w:rPr>
          <w:lang w:val="ru-RU"/>
        </w:rPr>
        <w:t xml:space="preserve">казал, что возможность установления </w:t>
      </w:r>
      <w:r w:rsidR="001F2169">
        <w:rPr>
          <w:lang w:val="ru-RU"/>
        </w:rPr>
        <w:t>предельного показателя</w:t>
      </w:r>
      <w:r w:rsidR="00A86561">
        <w:rPr>
          <w:lang w:val="ru-RU"/>
        </w:rPr>
        <w:t xml:space="preserve"> для числа аккредитованных НПО из регионов</w:t>
      </w:r>
      <w:r w:rsidR="001F2169">
        <w:rPr>
          <w:lang w:val="ru-RU"/>
        </w:rPr>
        <w:t xml:space="preserve"> с чересчур высоким представительством</w:t>
      </w:r>
      <w:r w:rsidR="00A86561">
        <w:rPr>
          <w:lang w:val="ru-RU"/>
        </w:rPr>
        <w:t xml:space="preserve"> не вызвал</w:t>
      </w:r>
      <w:r w:rsidR="001F2169">
        <w:rPr>
          <w:lang w:val="ru-RU"/>
        </w:rPr>
        <w:t>а</w:t>
      </w:r>
      <w:r w:rsidR="00A86561">
        <w:rPr>
          <w:lang w:val="ru-RU"/>
        </w:rPr>
        <w:t xml:space="preserve"> одобрения. Но инициативы, призвавшие обратить внимание на систему аккредитации и укрепления потенциала НПО из регионов с низким представительством, получили положительные отзывы.</w:t>
      </w:r>
    </w:p>
    <w:p w14:paraId="02CD9AAA" w14:textId="3DE54857" w:rsidR="00066988" w:rsidRPr="000F4677" w:rsidRDefault="00E73818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ru-RU"/>
        </w:rPr>
      </w:pPr>
      <w:r>
        <w:rPr>
          <w:lang w:val="ru-RU"/>
        </w:rPr>
        <w:t>На четырнадцатой сессии Комитета в 2019</w:t>
      </w:r>
      <w:r w:rsidR="00226084">
        <w:rPr>
          <w:lang w:val="ru-RU"/>
        </w:rPr>
        <w:t xml:space="preserve"> г.</w:t>
      </w:r>
      <w:r>
        <w:rPr>
          <w:lang w:val="ru-RU"/>
        </w:rPr>
        <w:t xml:space="preserve"> состоялось продолжительное обсуждение результатов </w:t>
      </w:r>
      <w:r w:rsidR="0098619D">
        <w:rPr>
          <w:lang w:val="ru-RU"/>
        </w:rPr>
        <w:t>анализа</w:t>
      </w:r>
      <w:r w:rsidR="0098619D" w:rsidRPr="000F4677">
        <w:rPr>
          <w:lang w:val="ru-RU"/>
        </w:rPr>
        <w:t xml:space="preserve"> </w:t>
      </w:r>
      <w:r w:rsidRPr="000F4677">
        <w:rPr>
          <w:lang w:val="ru-RU"/>
        </w:rPr>
        <w:t>(</w:t>
      </w:r>
      <w:hyperlink r:id="rId22" w:history="1">
        <w:r w:rsidR="009311DA">
          <w:rPr>
            <w:rStyle w:val="Lienhypertexte"/>
            <w:lang w:val="ru-RU"/>
          </w:rPr>
          <w:t>Решение</w:t>
        </w:r>
        <w:r w:rsidRPr="000F4677">
          <w:rPr>
            <w:rStyle w:val="Lienhypertexte"/>
            <w:lang w:val="ru-RU"/>
          </w:rPr>
          <w:t xml:space="preserve"> 14.</w:t>
        </w:r>
        <w:r w:rsidRPr="00CB405A">
          <w:rPr>
            <w:rStyle w:val="Lienhypertexte"/>
          </w:rPr>
          <w:t>COM</w:t>
        </w:r>
        <w:r w:rsidRPr="000F4677">
          <w:rPr>
            <w:rStyle w:val="Lienhypertexte"/>
            <w:lang w:val="ru-RU"/>
          </w:rPr>
          <w:t xml:space="preserve"> 15</w:t>
        </w:r>
      </w:hyperlink>
      <w:r w:rsidRPr="000F4677">
        <w:rPr>
          <w:lang w:val="ru-RU"/>
        </w:rPr>
        <w:t>).</w:t>
      </w:r>
      <w:r>
        <w:rPr>
          <w:lang w:val="ru-RU"/>
        </w:rPr>
        <w:t xml:space="preserve"> Комитет подтвердил, что НПО, аккредитованные в соответствии с Конвенцией 2003</w:t>
      </w:r>
      <w:r w:rsidR="00226084">
        <w:rPr>
          <w:lang w:val="ru-RU"/>
        </w:rPr>
        <w:t xml:space="preserve"> </w:t>
      </w:r>
      <w:r>
        <w:rPr>
          <w:lang w:val="ru-RU"/>
        </w:rPr>
        <w:t>г., независимо от их размера и возможностей, являются ценными</w:t>
      </w:r>
      <w:r w:rsidRPr="000F4677">
        <w:rPr>
          <w:lang w:val="ru-RU"/>
        </w:rPr>
        <w:t xml:space="preserve"> </w:t>
      </w:r>
      <w:r w:rsidR="00827551">
        <w:rPr>
          <w:lang w:val="ru-RU"/>
        </w:rPr>
        <w:t xml:space="preserve">хранителями устоев Конвенции. Кроме того, сессия дала возможность Комитету ознакомиться </w:t>
      </w:r>
      <w:r w:rsidR="00226084">
        <w:rPr>
          <w:lang w:val="ru-RU"/>
        </w:rPr>
        <w:t xml:space="preserve">с </w:t>
      </w:r>
      <w:r w:rsidR="0098619D">
        <w:rPr>
          <w:lang w:val="ru-RU"/>
        </w:rPr>
        <w:t xml:space="preserve">последними достижениями </w:t>
      </w:r>
      <w:r w:rsidR="00827551">
        <w:rPr>
          <w:lang w:val="ru-RU"/>
        </w:rPr>
        <w:t>Форум</w:t>
      </w:r>
      <w:r w:rsidR="0098619D">
        <w:rPr>
          <w:lang w:val="ru-RU"/>
        </w:rPr>
        <w:t>а</w:t>
      </w:r>
      <w:r w:rsidR="00827551">
        <w:rPr>
          <w:lang w:val="ru-RU"/>
        </w:rPr>
        <w:t xml:space="preserve"> НПО </w:t>
      </w:r>
      <w:r w:rsidR="00827551">
        <w:rPr>
          <w:lang w:val="ru-RU"/>
        </w:rPr>
        <w:lastRenderedPageBreak/>
        <w:t>нематериального культурного наследия, который принял свой Устав</w:t>
      </w:r>
      <w:r w:rsidR="00827551" w:rsidRPr="00C770D0">
        <w:rPr>
          <w:rStyle w:val="Appelnotedebasdep"/>
        </w:rPr>
        <w:footnoteReference w:id="1"/>
      </w:r>
      <w:r w:rsidR="00827551">
        <w:rPr>
          <w:lang w:val="ru-RU"/>
        </w:rPr>
        <w:t xml:space="preserve"> и Кодекс поведения, а также недавно </w:t>
      </w:r>
      <w:r w:rsidR="009311DA">
        <w:rPr>
          <w:lang w:val="ru-RU"/>
        </w:rPr>
        <w:t>взял</w:t>
      </w:r>
      <w:r w:rsidR="00827551">
        <w:rPr>
          <w:lang w:val="ru-RU"/>
        </w:rPr>
        <w:t xml:space="preserve"> на себя некоторые тематические обязательства (особенно связанные с нематериальным культурным наследием в городских условиях и нематериальным культурным наследием и устойчивым туризмом</w:t>
      </w:r>
      <w:r w:rsidR="009311DA">
        <w:rPr>
          <w:lang w:val="ru-RU"/>
        </w:rPr>
        <w:t>)</w:t>
      </w:r>
      <w:r w:rsidR="00827551">
        <w:rPr>
          <w:lang w:val="ru-RU"/>
        </w:rPr>
        <w:t>.</w:t>
      </w:r>
      <w:r w:rsidR="00930F00">
        <w:rPr>
          <w:lang w:val="ru-RU"/>
        </w:rPr>
        <w:t xml:space="preserve"> </w:t>
      </w:r>
      <w:r w:rsidR="00827551">
        <w:rPr>
          <w:lang w:val="ru-RU"/>
        </w:rPr>
        <w:t xml:space="preserve">Вместо того, чтобы радикально </w:t>
      </w:r>
      <w:r w:rsidR="00930F00">
        <w:rPr>
          <w:lang w:val="ru-RU"/>
        </w:rPr>
        <w:t xml:space="preserve">менять </w:t>
      </w:r>
      <w:r w:rsidR="0017213B">
        <w:rPr>
          <w:lang w:val="ru-RU"/>
        </w:rPr>
        <w:t>нынешнюю систему аккредитации, К</w:t>
      </w:r>
      <w:r w:rsidR="00930F00">
        <w:rPr>
          <w:lang w:val="ru-RU"/>
        </w:rPr>
        <w:t xml:space="preserve">омитет указал, что предпочитает переориентировать аккредитацию на НПО с признанной </w:t>
      </w:r>
      <w:r w:rsidR="0017213B">
        <w:rPr>
          <w:lang w:val="ru-RU"/>
        </w:rPr>
        <w:t xml:space="preserve">компетенцией для того, чтобы они действовали </w:t>
      </w:r>
      <w:r w:rsidR="009311DA" w:rsidRPr="000F4677">
        <w:rPr>
          <w:lang w:val="ru-RU"/>
        </w:rPr>
        <w:t>в</w:t>
      </w:r>
      <w:r w:rsidR="00BB1F1D" w:rsidRPr="000F4677">
        <w:rPr>
          <w:lang w:val="ru-RU"/>
        </w:rPr>
        <w:t xml:space="preserve"> </w:t>
      </w:r>
      <w:r w:rsidR="00BB1F1D">
        <w:rPr>
          <w:lang w:val="ru-RU"/>
        </w:rPr>
        <w:t>качестве</w:t>
      </w:r>
      <w:r w:rsidR="00BB1F1D" w:rsidRPr="000F4677">
        <w:rPr>
          <w:lang w:val="ru-RU"/>
        </w:rPr>
        <w:t xml:space="preserve"> </w:t>
      </w:r>
      <w:r w:rsidR="0017213B">
        <w:rPr>
          <w:lang w:val="ru-RU"/>
        </w:rPr>
        <w:t>консульта</w:t>
      </w:r>
      <w:r w:rsidR="00BB1F1D">
        <w:rPr>
          <w:lang w:val="ru-RU"/>
        </w:rPr>
        <w:t>нто</w:t>
      </w:r>
      <w:r w:rsidR="009311DA">
        <w:rPr>
          <w:lang w:val="ru-RU"/>
        </w:rPr>
        <w:t>в</w:t>
      </w:r>
      <w:r w:rsidR="0017213B">
        <w:rPr>
          <w:lang w:val="ru-RU"/>
        </w:rPr>
        <w:t xml:space="preserve"> для Комитета. Для этого некоторые функции </w:t>
      </w:r>
      <w:r w:rsidR="00BB1F1D">
        <w:rPr>
          <w:lang w:val="ru-RU"/>
        </w:rPr>
        <w:t xml:space="preserve">можно было бы </w:t>
      </w:r>
      <w:r w:rsidR="00B60257">
        <w:rPr>
          <w:lang w:val="ru-RU"/>
        </w:rPr>
        <w:t>передать</w:t>
      </w:r>
      <w:r w:rsidR="0017213B">
        <w:rPr>
          <w:lang w:val="ru-RU"/>
        </w:rPr>
        <w:t xml:space="preserve"> </w:t>
      </w:r>
      <w:r w:rsidR="00BB1F1D">
        <w:rPr>
          <w:lang w:val="ru-RU"/>
        </w:rPr>
        <w:t>аккредитованным</w:t>
      </w:r>
      <w:r w:rsidR="0017213B">
        <w:rPr>
          <w:lang w:val="ru-RU"/>
        </w:rPr>
        <w:t xml:space="preserve"> НПО, в том числе представление </w:t>
      </w:r>
      <w:r w:rsidR="00BB1F1D">
        <w:rPr>
          <w:lang w:val="ru-RU"/>
        </w:rPr>
        <w:t xml:space="preserve">периодических </w:t>
      </w:r>
      <w:r w:rsidR="0017213B">
        <w:rPr>
          <w:lang w:val="ru-RU"/>
        </w:rPr>
        <w:t xml:space="preserve">докладов, процесс </w:t>
      </w:r>
      <w:r w:rsidR="00B60257">
        <w:rPr>
          <w:lang w:val="ru-RU"/>
        </w:rPr>
        <w:t>коллегиальной помощи</w:t>
      </w:r>
      <w:r w:rsidR="0017213B">
        <w:rPr>
          <w:lang w:val="ru-RU"/>
        </w:rPr>
        <w:t xml:space="preserve"> до и после внесения в списки</w:t>
      </w:r>
      <w:r w:rsidR="00BB1F1D">
        <w:rPr>
          <w:lang w:val="ru-RU"/>
        </w:rPr>
        <w:t xml:space="preserve">, мониторинг воздействия внесения в списки, контроль за состоянием элементов, внесенных в списки, распространение </w:t>
      </w:r>
      <w:r w:rsidR="007E07EB">
        <w:rPr>
          <w:lang w:val="ru-RU"/>
        </w:rPr>
        <w:t>передовых практик по охране, тематические исследования и проекты (например, нематериальное культурное наследие в городских условиях, туризм и коммерциализация) а также укрепление потенциала.</w:t>
      </w:r>
    </w:p>
    <w:p w14:paraId="40096DCB" w14:textId="31B63B72" w:rsidR="00D61041" w:rsidRPr="000F4677" w:rsidRDefault="001656C3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Снова был поднят вопрос о </w:t>
      </w:r>
      <w:proofErr w:type="spellStart"/>
      <w:r>
        <w:rPr>
          <w:lang w:val="ru-RU"/>
        </w:rPr>
        <w:t>недопредставленных</w:t>
      </w:r>
      <w:proofErr w:type="spellEnd"/>
      <w:r>
        <w:rPr>
          <w:lang w:val="ru-RU"/>
        </w:rPr>
        <w:t xml:space="preserve"> регионах, и Комитет поэтому призвал заинтересованные стороны организовать укрепление потенциала тех НПО, которые в будущем могут захотеть пройти аккредитацию, </w:t>
      </w:r>
      <w:r w:rsidR="003D5297">
        <w:rPr>
          <w:lang w:val="ru-RU"/>
        </w:rPr>
        <w:t xml:space="preserve">особенно </w:t>
      </w:r>
      <w:r w:rsidR="00B60257">
        <w:rPr>
          <w:lang w:val="ru-RU"/>
        </w:rPr>
        <w:t>делая</w:t>
      </w:r>
      <w:r w:rsidR="003D5297">
        <w:rPr>
          <w:lang w:val="ru-RU"/>
        </w:rPr>
        <w:t xml:space="preserve"> упор на те неправительственные организации, что базируются в </w:t>
      </w:r>
      <w:r w:rsidR="00B60257">
        <w:rPr>
          <w:lang w:val="ru-RU"/>
        </w:rPr>
        <w:t>неполно</w:t>
      </w:r>
      <w:r w:rsidR="003D5297">
        <w:rPr>
          <w:lang w:val="ru-RU"/>
        </w:rPr>
        <w:t xml:space="preserve"> представленных регионах. Далее Комитет пожелал прислушаться к </w:t>
      </w:r>
      <w:r w:rsidR="00B60257">
        <w:rPr>
          <w:lang w:val="ru-RU"/>
        </w:rPr>
        <w:t>мнениям</w:t>
      </w:r>
      <w:r w:rsidR="003D5297">
        <w:rPr>
          <w:lang w:val="ru-RU"/>
        </w:rPr>
        <w:t xml:space="preserve"> НПО с помощью более содержательных и регулярных взаимодействий между Комитетом и Форумом НПО нематериального культурного наследия и для э</w:t>
      </w:r>
      <w:r w:rsidR="00942568">
        <w:rPr>
          <w:lang w:val="ru-RU"/>
        </w:rPr>
        <w:t xml:space="preserve">того решил в виде эксперимента </w:t>
      </w:r>
      <w:r w:rsidR="003D5297">
        <w:rPr>
          <w:lang w:val="ru-RU"/>
        </w:rPr>
        <w:t xml:space="preserve">включить </w:t>
      </w:r>
      <w:r w:rsidR="00942568">
        <w:rPr>
          <w:lang w:val="ru-RU"/>
        </w:rPr>
        <w:t xml:space="preserve">пункт </w:t>
      </w:r>
      <w:r w:rsidR="00B60257">
        <w:rPr>
          <w:lang w:val="ru-RU"/>
        </w:rPr>
        <w:t xml:space="preserve">«Доклад </w:t>
      </w:r>
      <w:r w:rsidR="003D5297">
        <w:rPr>
          <w:lang w:val="ru-RU"/>
        </w:rPr>
        <w:t xml:space="preserve">Форума НПО нематериального культурного наследия» в повестку дня своей пятнадцатой сессии. Комитет решил, что </w:t>
      </w:r>
      <w:r w:rsidR="00B60257">
        <w:rPr>
          <w:lang w:val="ru-RU"/>
        </w:rPr>
        <w:t>составление карты</w:t>
      </w:r>
      <w:r w:rsidR="003D5297">
        <w:rPr>
          <w:lang w:val="ru-RU"/>
        </w:rPr>
        <w:t xml:space="preserve"> сети аккредитованных НПО</w:t>
      </w:r>
      <w:r w:rsidR="00942568">
        <w:rPr>
          <w:lang w:val="ru-RU"/>
        </w:rPr>
        <w:t xml:space="preserve"> </w:t>
      </w:r>
      <w:r w:rsidR="00B60257">
        <w:rPr>
          <w:lang w:val="ru-RU"/>
        </w:rPr>
        <w:t xml:space="preserve">будет </w:t>
      </w:r>
      <w:r w:rsidR="00942568">
        <w:rPr>
          <w:lang w:val="ru-RU"/>
        </w:rPr>
        <w:t>полезно для содействия их вовлечению в дело выполнения Конвенции и в работу Комитета. Для этого Секретариат призвали собрать необходимую информацию у аккредитованных неправительственных организаций, чтобы определить область их компетентности с учетом их возможностей.</w:t>
      </w:r>
    </w:p>
    <w:p w14:paraId="29DC03DA" w14:textId="77777777" w:rsidR="005D5776" w:rsidRPr="000F4677" w:rsidRDefault="005D5776" w:rsidP="00B33DE9">
      <w:pPr>
        <w:pStyle w:val="COMPara"/>
        <w:numPr>
          <w:ilvl w:val="0"/>
          <w:numId w:val="2"/>
        </w:numPr>
        <w:ind w:left="567" w:hanging="567"/>
        <w:jc w:val="both"/>
        <w:rPr>
          <w:lang w:val="ru-RU"/>
        </w:rPr>
      </w:pPr>
      <w:r w:rsidRPr="000F4677">
        <w:rPr>
          <w:lang w:val="ru-RU"/>
        </w:rPr>
        <w:t>Генеральной ассамблее предлагается принять резолюцию следующего содержания:</w:t>
      </w:r>
    </w:p>
    <w:p w14:paraId="7D09DDBB" w14:textId="66AD1DCC" w:rsidR="008A1ED4" w:rsidRPr="000F4677" w:rsidRDefault="00C328A7" w:rsidP="008A1ED4">
      <w:pPr>
        <w:pStyle w:val="GATitleResolution"/>
        <w:rPr>
          <w:lang w:val="ru-RU"/>
        </w:rPr>
      </w:pPr>
      <w:r>
        <w:rPr>
          <w:lang w:val="ru-RU"/>
        </w:rPr>
        <w:t>ПРОЕКТ РЕЗОЛЮЦИИ</w:t>
      </w:r>
      <w:r w:rsidR="00F010E0" w:rsidRPr="000F4677">
        <w:rPr>
          <w:lang w:val="ru-RU"/>
        </w:rPr>
        <w:t xml:space="preserve"> 8</w:t>
      </w:r>
      <w:r w:rsidR="008A1ED4" w:rsidRPr="000F4677">
        <w:rPr>
          <w:lang w:val="ru-RU"/>
        </w:rPr>
        <w:t>.</w:t>
      </w:r>
      <w:r w:rsidR="008A1ED4">
        <w:t>GA</w:t>
      </w:r>
      <w:r w:rsidR="008A1ED4" w:rsidRPr="000F4677">
        <w:rPr>
          <w:lang w:val="ru-RU"/>
        </w:rPr>
        <w:t xml:space="preserve"> </w:t>
      </w:r>
      <w:r w:rsidR="00931D55" w:rsidRPr="000F4677">
        <w:rPr>
          <w:lang w:val="ru-RU"/>
        </w:rPr>
        <w:t>12</w:t>
      </w:r>
    </w:p>
    <w:p w14:paraId="7E8C55BA" w14:textId="69BF653B" w:rsidR="008A1ED4" w:rsidRPr="000F4677" w:rsidRDefault="000D73A6" w:rsidP="008A1ED4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8A1ED4" w:rsidRPr="000F4677">
        <w:rPr>
          <w:lang w:val="ru-RU"/>
        </w:rPr>
        <w:t>,</w:t>
      </w:r>
    </w:p>
    <w:p w14:paraId="68C1B814" w14:textId="11A622EA" w:rsidR="008A1ED4" w:rsidRPr="00345CB4" w:rsidRDefault="000D73A6" w:rsidP="00935106">
      <w:pPr>
        <w:pStyle w:val="COMParaDecision"/>
        <w:numPr>
          <w:ilvl w:val="0"/>
          <w:numId w:val="3"/>
        </w:numPr>
        <w:ind w:left="1134" w:hanging="567"/>
        <w:jc w:val="left"/>
      </w:pPr>
      <w:r>
        <w:rPr>
          <w:lang w:val="ru-RU"/>
        </w:rPr>
        <w:t>Рассмотрев</w:t>
      </w:r>
      <w:r w:rsidR="008A1ED4" w:rsidRPr="00F32C23">
        <w:rPr>
          <w:u w:val="none"/>
        </w:rPr>
        <w:t xml:space="preserve"> </w:t>
      </w:r>
      <w:r>
        <w:rPr>
          <w:u w:val="none"/>
          <w:lang w:val="ru-RU"/>
        </w:rPr>
        <w:t>документ</w:t>
      </w:r>
      <w:r w:rsidR="00F010E0">
        <w:rPr>
          <w:u w:val="none"/>
        </w:rPr>
        <w:t xml:space="preserve"> LHE/20</w:t>
      </w:r>
      <w:r w:rsidR="008A1ED4">
        <w:rPr>
          <w:u w:val="none"/>
        </w:rPr>
        <w:t>/</w:t>
      </w:r>
      <w:r w:rsidR="00F010E0">
        <w:rPr>
          <w:u w:val="none"/>
        </w:rPr>
        <w:t>8</w:t>
      </w:r>
      <w:r w:rsidR="008A1ED4">
        <w:rPr>
          <w:u w:val="none"/>
        </w:rPr>
        <w:t>.GA</w:t>
      </w:r>
      <w:r w:rsidR="008A1ED4" w:rsidRPr="00F32C23">
        <w:rPr>
          <w:u w:val="none"/>
        </w:rPr>
        <w:t>/</w:t>
      </w:r>
      <w:r w:rsidR="00931D55">
        <w:rPr>
          <w:u w:val="none"/>
        </w:rPr>
        <w:t>12</w:t>
      </w:r>
      <w:r w:rsidR="008A1ED4" w:rsidRPr="00F32C23">
        <w:rPr>
          <w:u w:val="none"/>
        </w:rPr>
        <w:t>,</w:t>
      </w:r>
    </w:p>
    <w:p w14:paraId="6ABFCCAD" w14:textId="6AB11DD5" w:rsidR="008A1ED4" w:rsidRPr="000F4677" w:rsidRDefault="000D73A6" w:rsidP="00DD5335">
      <w:pPr>
        <w:pStyle w:val="COMParaDecision"/>
        <w:numPr>
          <w:ilvl w:val="0"/>
          <w:numId w:val="3"/>
        </w:numPr>
        <w:ind w:left="1134" w:hanging="567"/>
        <w:rPr>
          <w:lang w:val="ru-RU"/>
        </w:rPr>
      </w:pPr>
      <w:r>
        <w:rPr>
          <w:lang w:val="ru-RU"/>
        </w:rPr>
        <w:t xml:space="preserve">Ссылаясь </w:t>
      </w:r>
      <w:r w:rsidRPr="00CD64B0">
        <w:rPr>
          <w:u w:val="none"/>
          <w:lang w:val="ru-RU"/>
        </w:rPr>
        <w:t xml:space="preserve">на Статью 9 Конвенции и главу </w:t>
      </w:r>
      <w:r w:rsidRPr="00CD64B0">
        <w:rPr>
          <w:u w:val="none"/>
          <w:lang w:val="en-US"/>
        </w:rPr>
        <w:t>III</w:t>
      </w:r>
      <w:r w:rsidRPr="00CD64B0">
        <w:rPr>
          <w:u w:val="none"/>
          <w:lang w:val="ru-RU"/>
        </w:rPr>
        <w:t>.2 Оперативн</w:t>
      </w:r>
      <w:r w:rsidR="00C106D4">
        <w:rPr>
          <w:u w:val="none"/>
          <w:lang w:val="ru-RU"/>
        </w:rPr>
        <w:t>ого</w:t>
      </w:r>
      <w:r w:rsidRPr="00CD64B0">
        <w:rPr>
          <w:u w:val="none"/>
          <w:lang w:val="ru-RU"/>
        </w:rPr>
        <w:t xml:space="preserve"> руководств</w:t>
      </w:r>
      <w:r w:rsidR="00C106D4">
        <w:rPr>
          <w:u w:val="none"/>
          <w:lang w:val="ru-RU"/>
        </w:rPr>
        <w:t>а</w:t>
      </w:r>
      <w:r w:rsidR="00473EA7" w:rsidRPr="000F4677">
        <w:rPr>
          <w:u w:val="none"/>
          <w:lang w:val="ru-RU"/>
        </w:rPr>
        <w:t>,</w:t>
      </w:r>
    </w:p>
    <w:p w14:paraId="2ED8A579" w14:textId="31692224" w:rsidR="00E50B96" w:rsidRPr="000F4677" w:rsidRDefault="000D73A6" w:rsidP="00AD188D">
      <w:pPr>
        <w:pStyle w:val="COMParaDecision"/>
        <w:numPr>
          <w:ilvl w:val="0"/>
          <w:numId w:val="3"/>
        </w:numPr>
        <w:ind w:left="1134" w:hanging="567"/>
        <w:rPr>
          <w:lang w:val="ru-RU"/>
        </w:rPr>
      </w:pPr>
      <w:r>
        <w:rPr>
          <w:lang w:val="ru-RU"/>
        </w:rPr>
        <w:t>Ссылаясь также</w:t>
      </w:r>
      <w:r w:rsidRPr="00CD64B0">
        <w:rPr>
          <w:u w:val="none"/>
          <w:lang w:val="ru-RU"/>
        </w:rPr>
        <w:t xml:space="preserve"> на</w:t>
      </w:r>
      <w:r w:rsidR="00E50B96" w:rsidRPr="000F4677">
        <w:rPr>
          <w:u w:val="none"/>
          <w:lang w:val="ru-RU"/>
        </w:rPr>
        <w:t xml:space="preserve"> </w:t>
      </w:r>
      <w:hyperlink r:id="rId23" w:history="1">
        <w:r>
          <w:rPr>
            <w:rStyle w:val="Lienhypertexte"/>
            <w:lang w:val="ru-RU"/>
          </w:rPr>
          <w:t>Решение</w:t>
        </w:r>
        <w:r w:rsidR="00473EA7" w:rsidRPr="00961D35">
          <w:rPr>
            <w:rStyle w:val="Lienhypertexte"/>
          </w:rPr>
          <w:t> </w:t>
        </w:r>
        <w:r w:rsidR="00473EA7" w:rsidRPr="000F4677">
          <w:rPr>
            <w:rStyle w:val="Lienhypertexte"/>
            <w:lang w:val="ru-RU"/>
          </w:rPr>
          <w:t>12.</w:t>
        </w:r>
        <w:r w:rsidR="00473EA7" w:rsidRPr="00961D35">
          <w:rPr>
            <w:rStyle w:val="Lienhypertexte"/>
          </w:rPr>
          <w:t>COM </w:t>
        </w:r>
        <w:r w:rsidR="00E50B96" w:rsidRPr="000F4677">
          <w:rPr>
            <w:rStyle w:val="Lienhypertexte"/>
            <w:lang w:val="ru-RU"/>
          </w:rPr>
          <w:t>13</w:t>
        </w:r>
      </w:hyperlink>
      <w:r w:rsidR="00E50B96" w:rsidRPr="000F4677">
        <w:rPr>
          <w:u w:val="none"/>
          <w:lang w:val="ru-RU"/>
        </w:rPr>
        <w:t xml:space="preserve">, </w:t>
      </w:r>
      <w:hyperlink r:id="rId24" w:history="1">
        <w:r>
          <w:rPr>
            <w:rStyle w:val="Lienhypertexte"/>
            <w:lang w:val="ru-RU"/>
          </w:rPr>
          <w:t>Решение</w:t>
        </w:r>
        <w:r w:rsidR="00E50B96" w:rsidRPr="000F4677">
          <w:rPr>
            <w:rStyle w:val="Lienhypertexte"/>
            <w:lang w:val="ru-RU"/>
          </w:rPr>
          <w:t xml:space="preserve"> 12.</w:t>
        </w:r>
        <w:r w:rsidR="00E50B96" w:rsidRPr="00961D35">
          <w:rPr>
            <w:rStyle w:val="Lienhypertexte"/>
          </w:rPr>
          <w:t>COM</w:t>
        </w:r>
        <w:r w:rsidR="00F461BE">
          <w:rPr>
            <w:rStyle w:val="Lienhypertexte"/>
          </w:rPr>
          <w:t> </w:t>
        </w:r>
        <w:r w:rsidR="00473EA7" w:rsidRPr="000F4677">
          <w:rPr>
            <w:rStyle w:val="Lienhypertexte"/>
            <w:lang w:val="ru-RU"/>
          </w:rPr>
          <w:t>17</w:t>
        </w:r>
      </w:hyperlink>
      <w:r w:rsidR="00473EA7" w:rsidRPr="000F4677">
        <w:rPr>
          <w:u w:val="none"/>
          <w:lang w:val="ru-RU"/>
        </w:rPr>
        <w:t>,</w:t>
      </w:r>
      <w:r w:rsidR="00E50B96" w:rsidRPr="000F4677">
        <w:rPr>
          <w:u w:val="none"/>
          <w:lang w:val="ru-RU"/>
        </w:rPr>
        <w:t xml:space="preserve"> </w:t>
      </w:r>
      <w:hyperlink r:id="rId25" w:history="1">
        <w:r>
          <w:rPr>
            <w:rStyle w:val="Lienhypertexte"/>
            <w:lang w:val="ru-RU"/>
          </w:rPr>
          <w:t>Решение</w:t>
        </w:r>
        <w:r w:rsidR="00B33DE9">
          <w:rPr>
            <w:rStyle w:val="Lienhypertexte"/>
            <w:lang w:val="fr-FR"/>
          </w:rPr>
          <w:t> </w:t>
        </w:r>
        <w:r w:rsidR="00473EA7" w:rsidRPr="000F4677">
          <w:rPr>
            <w:rStyle w:val="Lienhypertexte"/>
            <w:lang w:val="ru-RU"/>
          </w:rPr>
          <w:t>13.</w:t>
        </w:r>
        <w:r w:rsidR="00473EA7" w:rsidRPr="00961D35">
          <w:rPr>
            <w:rStyle w:val="Lienhypertexte"/>
          </w:rPr>
          <w:t>COM</w:t>
        </w:r>
        <w:r w:rsidR="00F461BE">
          <w:rPr>
            <w:rStyle w:val="Lienhypertexte"/>
          </w:rPr>
          <w:t> </w:t>
        </w:r>
        <w:r w:rsidR="00473EA7" w:rsidRPr="000F4677">
          <w:rPr>
            <w:rStyle w:val="Lienhypertexte"/>
            <w:lang w:val="ru-RU"/>
          </w:rPr>
          <w:t>13</w:t>
        </w:r>
      </w:hyperlink>
      <w:r w:rsidR="00E50B96" w:rsidRPr="000F4677">
        <w:rPr>
          <w:u w:val="none"/>
          <w:lang w:val="ru-RU"/>
        </w:rPr>
        <w:t xml:space="preserve">, </w:t>
      </w:r>
      <w:hyperlink r:id="rId26" w:history="1">
        <w:r>
          <w:rPr>
            <w:rStyle w:val="Lienhypertexte"/>
            <w:lang w:val="ru-RU"/>
          </w:rPr>
          <w:t>Решение</w:t>
        </w:r>
        <w:r w:rsidR="00E50B96" w:rsidRPr="000F4677">
          <w:rPr>
            <w:rStyle w:val="Lienhypertexte"/>
            <w:lang w:val="ru-RU"/>
          </w:rPr>
          <w:t xml:space="preserve"> 13.</w:t>
        </w:r>
        <w:r w:rsidR="00E50B96" w:rsidRPr="00961D35">
          <w:rPr>
            <w:rStyle w:val="Lienhypertexte"/>
          </w:rPr>
          <w:t>COM</w:t>
        </w:r>
        <w:r w:rsidR="00F461BE">
          <w:rPr>
            <w:rStyle w:val="Lienhypertexte"/>
          </w:rPr>
          <w:t> </w:t>
        </w:r>
        <w:r w:rsidR="00E50B96" w:rsidRPr="000F4677">
          <w:rPr>
            <w:rStyle w:val="Lienhypertexte"/>
            <w:lang w:val="ru-RU"/>
          </w:rPr>
          <w:t>16</w:t>
        </w:r>
      </w:hyperlink>
      <w:r w:rsidR="00E50B96" w:rsidRPr="000F4677">
        <w:rPr>
          <w:u w:val="none"/>
          <w:lang w:val="ru-RU"/>
        </w:rPr>
        <w:t xml:space="preserve">, </w:t>
      </w:r>
      <w:hyperlink r:id="rId27" w:history="1">
        <w:r>
          <w:rPr>
            <w:rStyle w:val="Lienhypertexte"/>
            <w:lang w:val="ru-RU"/>
          </w:rPr>
          <w:t>Решение</w:t>
        </w:r>
        <w:r w:rsidR="00E50B96" w:rsidRPr="000F4677">
          <w:rPr>
            <w:rStyle w:val="Lienhypertexte"/>
            <w:lang w:val="ru-RU"/>
          </w:rPr>
          <w:t xml:space="preserve"> </w:t>
        </w:r>
        <w:r w:rsidR="00473EA7" w:rsidRPr="000F4677">
          <w:rPr>
            <w:rStyle w:val="Lienhypertexte"/>
            <w:lang w:val="ru-RU"/>
          </w:rPr>
          <w:t>14.</w:t>
        </w:r>
        <w:r w:rsidR="00473EA7" w:rsidRPr="00961D35">
          <w:rPr>
            <w:rStyle w:val="Lienhypertexte"/>
          </w:rPr>
          <w:t>COM</w:t>
        </w:r>
        <w:r w:rsidR="00F461BE">
          <w:rPr>
            <w:rStyle w:val="Lienhypertexte"/>
          </w:rPr>
          <w:t> </w:t>
        </w:r>
        <w:r w:rsidR="00473EA7" w:rsidRPr="000F4677">
          <w:rPr>
            <w:rStyle w:val="Lienhypertexte"/>
            <w:lang w:val="ru-RU"/>
          </w:rPr>
          <w:t>15</w:t>
        </w:r>
      </w:hyperlink>
      <w:r w:rsidR="00473EA7" w:rsidRPr="000F4677">
        <w:rPr>
          <w:u w:val="none"/>
          <w:lang w:val="ru-RU"/>
        </w:rPr>
        <w:t>,</w:t>
      </w:r>
      <w:r w:rsidR="00E50B96" w:rsidRPr="000F4677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="00E50B96" w:rsidRPr="000F4677">
        <w:rPr>
          <w:u w:val="none"/>
          <w:lang w:val="ru-RU"/>
        </w:rPr>
        <w:t xml:space="preserve"> </w:t>
      </w:r>
      <w:hyperlink r:id="rId28" w:history="1">
        <w:r>
          <w:rPr>
            <w:rStyle w:val="Lienhypertexte"/>
            <w:lang w:val="ru-RU"/>
          </w:rPr>
          <w:t>Решение</w:t>
        </w:r>
        <w:r w:rsidR="00CB405A">
          <w:rPr>
            <w:rStyle w:val="Lienhypertexte"/>
          </w:rPr>
          <w:t> </w:t>
        </w:r>
        <w:r w:rsidR="00E50B96" w:rsidRPr="000F4677">
          <w:rPr>
            <w:rStyle w:val="Lienhypertexte"/>
            <w:lang w:val="ru-RU"/>
          </w:rPr>
          <w:t>14.</w:t>
        </w:r>
        <w:r w:rsidR="00E50B96" w:rsidRPr="00961D35">
          <w:rPr>
            <w:rStyle w:val="Lienhypertexte"/>
          </w:rPr>
          <w:t>COM</w:t>
        </w:r>
        <w:r w:rsidR="00CB405A">
          <w:rPr>
            <w:rStyle w:val="Lienhypertexte"/>
          </w:rPr>
          <w:t> </w:t>
        </w:r>
        <w:r w:rsidR="00E50B96" w:rsidRPr="000F4677">
          <w:rPr>
            <w:rStyle w:val="Lienhypertexte"/>
            <w:lang w:val="ru-RU"/>
          </w:rPr>
          <w:t>16</w:t>
        </w:r>
      </w:hyperlink>
      <w:r>
        <w:rPr>
          <w:u w:val="none"/>
          <w:lang w:val="ru-RU"/>
        </w:rPr>
        <w:t>, а также</w:t>
      </w:r>
      <w:r w:rsidR="00E50B96" w:rsidRPr="000F467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="00E50B96" w:rsidRPr="000F4677">
        <w:rPr>
          <w:u w:val="none"/>
          <w:lang w:val="ru-RU"/>
        </w:rPr>
        <w:t xml:space="preserve"> </w:t>
      </w:r>
      <w:hyperlink r:id="rId29" w:history="1">
        <w:r>
          <w:rPr>
            <w:rStyle w:val="Lienhypertexte"/>
            <w:lang w:val="ru-RU"/>
          </w:rPr>
          <w:t>Резолюцию</w:t>
        </w:r>
        <w:r w:rsidR="00E50B96" w:rsidRPr="000F4677">
          <w:rPr>
            <w:rStyle w:val="Lienhypertexte"/>
            <w:lang w:val="ru-RU"/>
          </w:rPr>
          <w:t xml:space="preserve"> 7.</w:t>
        </w:r>
        <w:r w:rsidR="00E50B96" w:rsidRPr="00961D35">
          <w:rPr>
            <w:rStyle w:val="Lienhypertexte"/>
          </w:rPr>
          <w:t>GA</w:t>
        </w:r>
        <w:r w:rsidR="0088418B">
          <w:rPr>
            <w:rStyle w:val="Lienhypertexte"/>
          </w:rPr>
          <w:t> </w:t>
        </w:r>
        <w:r w:rsidR="00E50B96" w:rsidRPr="000F4677">
          <w:rPr>
            <w:rStyle w:val="Lienhypertexte"/>
            <w:lang w:val="ru-RU"/>
          </w:rPr>
          <w:t>6</w:t>
        </w:r>
      </w:hyperlink>
      <w:r w:rsidR="00E50B96" w:rsidRPr="000F4677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="00961D35" w:rsidRPr="000F4677">
        <w:rPr>
          <w:u w:val="none"/>
          <w:lang w:val="ru-RU"/>
        </w:rPr>
        <w:t xml:space="preserve"> </w:t>
      </w:r>
      <w:hyperlink r:id="rId30" w:history="1">
        <w:r>
          <w:rPr>
            <w:rStyle w:val="Lienhypertexte"/>
            <w:lang w:val="ru-RU"/>
          </w:rPr>
          <w:t>Резолюцию</w:t>
        </w:r>
        <w:r w:rsidR="00E50B96" w:rsidRPr="000F4677">
          <w:rPr>
            <w:rStyle w:val="Lienhypertexte"/>
            <w:lang w:val="ru-RU"/>
          </w:rPr>
          <w:t xml:space="preserve"> 7.</w:t>
        </w:r>
        <w:r w:rsidR="00E50B96" w:rsidRPr="00961D35">
          <w:rPr>
            <w:rStyle w:val="Lienhypertexte"/>
          </w:rPr>
          <w:t>GA</w:t>
        </w:r>
        <w:r w:rsidR="0088418B">
          <w:rPr>
            <w:rStyle w:val="Lienhypertexte"/>
          </w:rPr>
          <w:t> </w:t>
        </w:r>
        <w:r w:rsidR="00E50B96" w:rsidRPr="000F4677">
          <w:rPr>
            <w:rStyle w:val="Lienhypertexte"/>
            <w:lang w:val="ru-RU"/>
          </w:rPr>
          <w:t>11</w:t>
        </w:r>
      </w:hyperlink>
      <w:r w:rsidR="00E50B96" w:rsidRPr="000F4677">
        <w:rPr>
          <w:u w:val="none"/>
          <w:lang w:val="ru-RU"/>
        </w:rPr>
        <w:t>,</w:t>
      </w:r>
    </w:p>
    <w:p w14:paraId="255BC5D4" w14:textId="539693AD" w:rsidR="00EA70F7" w:rsidRPr="000F4677" w:rsidRDefault="000D73A6" w:rsidP="00EA70F7">
      <w:pPr>
        <w:pStyle w:val="GAParaResolution"/>
        <w:ind w:left="1134" w:hanging="567"/>
        <w:rPr>
          <w:u w:val="none"/>
          <w:lang w:val="ru-RU"/>
        </w:rPr>
      </w:pPr>
      <w:r w:rsidRPr="007A507E">
        <w:rPr>
          <w:lang w:val="ru-RU"/>
        </w:rPr>
        <w:t>В</w:t>
      </w:r>
      <w:r w:rsidR="007A507E" w:rsidRPr="007A507E">
        <w:rPr>
          <w:lang w:val="ru-RU"/>
        </w:rPr>
        <w:t>ысоко оценивает</w:t>
      </w:r>
      <w:r>
        <w:rPr>
          <w:u w:val="none"/>
          <w:lang w:val="ru-RU"/>
        </w:rPr>
        <w:t xml:space="preserve"> работу Секретариата, аккредитованных неправительственных организаций, Форума неправительственных организаций нематериального культурного наследия, неформальн</w:t>
      </w:r>
      <w:r w:rsidR="00C106D4">
        <w:rPr>
          <w:u w:val="none"/>
          <w:lang w:val="ru-RU"/>
        </w:rPr>
        <w:t xml:space="preserve">ой </w:t>
      </w:r>
      <w:r>
        <w:rPr>
          <w:u w:val="none"/>
          <w:lang w:val="ru-RU"/>
        </w:rPr>
        <w:t>специальн</w:t>
      </w:r>
      <w:r w:rsidR="00C106D4">
        <w:rPr>
          <w:u w:val="none"/>
          <w:lang w:val="ru-RU"/>
        </w:rPr>
        <w:t>ой</w:t>
      </w:r>
      <w:r>
        <w:rPr>
          <w:u w:val="none"/>
          <w:lang w:val="ru-RU"/>
        </w:rPr>
        <w:t xml:space="preserve"> рабоч</w:t>
      </w:r>
      <w:r w:rsidR="00C106D4">
        <w:rPr>
          <w:u w:val="none"/>
          <w:lang w:val="ru-RU"/>
        </w:rPr>
        <w:t>ей</w:t>
      </w:r>
      <w:r>
        <w:rPr>
          <w:u w:val="none"/>
          <w:lang w:val="ru-RU"/>
        </w:rPr>
        <w:t xml:space="preserve"> групп</w:t>
      </w:r>
      <w:r w:rsidR="00C106D4">
        <w:rPr>
          <w:u w:val="none"/>
          <w:lang w:val="ru-RU"/>
        </w:rPr>
        <w:t>ы</w:t>
      </w:r>
      <w:r>
        <w:rPr>
          <w:u w:val="none"/>
          <w:lang w:val="ru-RU"/>
        </w:rPr>
        <w:t xml:space="preserve"> </w:t>
      </w:r>
      <w:r w:rsidR="00C106D4" w:rsidRPr="00C106D4">
        <w:rPr>
          <w:u w:val="none"/>
          <w:lang w:val="ru-RU"/>
        </w:rPr>
        <w:t xml:space="preserve">открытого состава </w:t>
      </w:r>
      <w:r>
        <w:rPr>
          <w:u w:val="none"/>
          <w:lang w:val="ru-RU"/>
        </w:rPr>
        <w:t>и государств-участников, в</w:t>
      </w:r>
      <w:r w:rsidR="00CD64B0">
        <w:rPr>
          <w:u w:val="none"/>
          <w:lang w:val="ru-RU"/>
        </w:rPr>
        <w:t>о время проведения</w:t>
      </w:r>
      <w:r>
        <w:rPr>
          <w:u w:val="none"/>
          <w:lang w:val="ru-RU"/>
        </w:rPr>
        <w:t xml:space="preserve"> </w:t>
      </w:r>
      <w:r w:rsidR="00007352" w:rsidRPr="000F4677">
        <w:rPr>
          <w:u w:val="none"/>
          <w:lang w:val="ru-RU"/>
        </w:rPr>
        <w:t xml:space="preserve">анализа </w:t>
      </w:r>
      <w:r w:rsidR="00C106D4">
        <w:rPr>
          <w:u w:val="none"/>
          <w:lang w:val="ru-RU"/>
        </w:rPr>
        <w:t xml:space="preserve">касательно </w:t>
      </w:r>
      <w:r>
        <w:rPr>
          <w:u w:val="none"/>
          <w:lang w:val="ru-RU"/>
        </w:rPr>
        <w:t>участи</w:t>
      </w:r>
      <w:r w:rsidR="00C106D4">
        <w:rPr>
          <w:u w:val="none"/>
          <w:lang w:val="ru-RU"/>
        </w:rPr>
        <w:t>я</w:t>
      </w:r>
      <w:r>
        <w:rPr>
          <w:u w:val="none"/>
          <w:lang w:val="ru-RU"/>
        </w:rPr>
        <w:t xml:space="preserve"> неправительственных организаций в </w:t>
      </w:r>
      <w:r w:rsidR="00353843">
        <w:rPr>
          <w:u w:val="none"/>
          <w:lang w:val="ru-RU"/>
        </w:rPr>
        <w:t xml:space="preserve">осуществлении </w:t>
      </w:r>
      <w:r>
        <w:rPr>
          <w:u w:val="none"/>
          <w:lang w:val="ru-RU"/>
        </w:rPr>
        <w:t>Конвенции</w:t>
      </w:r>
      <w:r w:rsidR="00EA70F7" w:rsidRPr="000F4677">
        <w:rPr>
          <w:u w:val="none"/>
          <w:lang w:val="ru-RU"/>
        </w:rPr>
        <w:t>;</w:t>
      </w:r>
    </w:p>
    <w:p w14:paraId="2C6038C7" w14:textId="35C8836D" w:rsidR="00137B1A" w:rsidRDefault="007A507E" w:rsidP="00935106">
      <w:pPr>
        <w:pStyle w:val="COMParaDecision"/>
        <w:numPr>
          <w:ilvl w:val="0"/>
          <w:numId w:val="3"/>
        </w:numPr>
        <w:ind w:left="1134" w:hanging="567"/>
      </w:pPr>
      <w:r w:rsidRPr="007A507E">
        <w:rPr>
          <w:lang w:val="ru-RU"/>
        </w:rPr>
        <w:lastRenderedPageBreak/>
        <w:t>Признает</w:t>
      </w:r>
      <w:r>
        <w:rPr>
          <w:u w:val="none"/>
          <w:lang w:val="ru-RU"/>
        </w:rPr>
        <w:t xml:space="preserve"> важную роль и </w:t>
      </w:r>
      <w:r w:rsidR="00C106D4">
        <w:rPr>
          <w:u w:val="none"/>
          <w:lang w:val="ru-RU"/>
        </w:rPr>
        <w:t xml:space="preserve">не полностью </w:t>
      </w:r>
      <w:r>
        <w:rPr>
          <w:u w:val="none"/>
          <w:lang w:val="ru-RU"/>
        </w:rPr>
        <w:t xml:space="preserve">реализованный потенциал аккредитованных неправительственных организаций, а также Форума НПО нематериального культурного наследия в оказании поддержки </w:t>
      </w:r>
      <w:r w:rsidR="00C106D4">
        <w:rPr>
          <w:u w:val="none"/>
          <w:lang w:val="ru-RU"/>
        </w:rPr>
        <w:t xml:space="preserve">осуществлению </w:t>
      </w:r>
      <w:r>
        <w:rPr>
          <w:u w:val="none"/>
          <w:lang w:val="ru-RU"/>
        </w:rPr>
        <w:t>Конвенции</w:t>
      </w:r>
      <w:r w:rsidR="00CB405A" w:rsidRPr="00C770D0">
        <w:rPr>
          <w:u w:val="none"/>
        </w:rPr>
        <w:t>;</w:t>
      </w:r>
    </w:p>
    <w:p w14:paraId="43B3E149" w14:textId="6866B0EE" w:rsidR="006A2083" w:rsidRPr="000F4677" w:rsidRDefault="007A507E" w:rsidP="006A2083">
      <w:pPr>
        <w:pStyle w:val="COMParaDecision"/>
        <w:numPr>
          <w:ilvl w:val="0"/>
          <w:numId w:val="3"/>
        </w:numPr>
        <w:ind w:left="1134" w:hanging="567"/>
        <w:rPr>
          <w:snapToGrid w:val="0"/>
          <w:lang w:val="ru-RU" w:eastAsia="en-US"/>
        </w:rPr>
      </w:pPr>
      <w:r w:rsidRPr="007A507E">
        <w:rPr>
          <w:lang w:val="ru-RU"/>
        </w:rPr>
        <w:t>Приветствует</w:t>
      </w:r>
      <w:r>
        <w:rPr>
          <w:u w:val="none"/>
          <w:lang w:val="ru-RU"/>
        </w:rPr>
        <w:t xml:space="preserve"> включение пункта «Доклад Форума неправительственных организаций»</w:t>
      </w:r>
      <w:r w:rsidR="00C106D4">
        <w:rPr>
          <w:u w:val="none"/>
          <w:lang w:val="ru-RU"/>
        </w:rPr>
        <w:t xml:space="preserve">, на </w:t>
      </w:r>
      <w:r w:rsidR="00C106D4" w:rsidRPr="00C106D4">
        <w:rPr>
          <w:u w:val="none"/>
          <w:lang w:val="ru-RU"/>
        </w:rPr>
        <w:t>экспериментальной</w:t>
      </w:r>
      <w:r w:rsidR="00C106D4">
        <w:rPr>
          <w:u w:val="none"/>
          <w:lang w:val="ru-RU"/>
        </w:rPr>
        <w:t xml:space="preserve"> основе,</w:t>
      </w:r>
      <w:r>
        <w:rPr>
          <w:u w:val="none"/>
          <w:lang w:val="ru-RU"/>
        </w:rPr>
        <w:t xml:space="preserve"> в предварительную повестку дня пятнадцатой сессии Комитета</w:t>
      </w:r>
      <w:r w:rsidR="00B10E8D" w:rsidRPr="000F4677">
        <w:rPr>
          <w:u w:val="none"/>
          <w:lang w:val="ru-RU"/>
        </w:rPr>
        <w:t>;</w:t>
      </w:r>
    </w:p>
    <w:p w14:paraId="7AA6A769" w14:textId="4BA65431" w:rsidR="000139DF" w:rsidRPr="000F4677" w:rsidRDefault="007A507E" w:rsidP="00B523F4">
      <w:pPr>
        <w:pStyle w:val="COMParaDecision"/>
        <w:numPr>
          <w:ilvl w:val="0"/>
          <w:numId w:val="3"/>
        </w:numPr>
        <w:ind w:left="1134" w:hanging="567"/>
        <w:rPr>
          <w:snapToGrid w:val="0"/>
          <w:lang w:val="ru-RU" w:eastAsia="en-US"/>
        </w:rPr>
      </w:pPr>
      <w:r w:rsidRPr="00286183">
        <w:rPr>
          <w:lang w:val="ru-RU"/>
        </w:rPr>
        <w:t>Отмечает</w:t>
      </w:r>
      <w:r>
        <w:rPr>
          <w:u w:val="none"/>
          <w:lang w:val="ru-RU"/>
        </w:rPr>
        <w:t xml:space="preserve"> результаты процесса </w:t>
      </w:r>
      <w:r w:rsidR="00007352" w:rsidRPr="000F4677">
        <w:rPr>
          <w:u w:val="none"/>
          <w:lang w:val="ru-RU"/>
        </w:rPr>
        <w:t xml:space="preserve">анализа </w:t>
      </w:r>
      <w:r>
        <w:rPr>
          <w:u w:val="none"/>
          <w:lang w:val="ru-RU"/>
        </w:rPr>
        <w:t xml:space="preserve">и </w:t>
      </w:r>
      <w:r w:rsidR="00286183" w:rsidRPr="00286183">
        <w:rPr>
          <w:lang w:val="ru-RU"/>
        </w:rPr>
        <w:t>просит</w:t>
      </w:r>
      <w:r w:rsidR="00286183">
        <w:rPr>
          <w:u w:val="none"/>
          <w:lang w:val="ru-RU"/>
        </w:rPr>
        <w:t xml:space="preserve"> Секретариат надлежащим образом осуществить соответствующие решения Комитета </w:t>
      </w:r>
      <w:r w:rsidR="00BD6274">
        <w:rPr>
          <w:u w:val="none"/>
          <w:lang w:val="ru-RU"/>
        </w:rPr>
        <w:t xml:space="preserve">после консультаций и </w:t>
      </w:r>
      <w:r w:rsidR="00286183">
        <w:rPr>
          <w:u w:val="none"/>
          <w:lang w:val="ru-RU"/>
        </w:rPr>
        <w:t>в сотрудничестве с Форумом НПО нематериального наследия</w:t>
      </w:r>
      <w:r w:rsidR="00CB405A" w:rsidRPr="000F4677">
        <w:rPr>
          <w:u w:val="none"/>
          <w:lang w:val="ru-RU"/>
        </w:rPr>
        <w:t>.</w:t>
      </w:r>
    </w:p>
    <w:sectPr w:rsidR="000139DF" w:rsidRPr="000F4677" w:rsidSect="00176720">
      <w:headerReference w:type="even" r:id="rId31"/>
      <w:headerReference w:type="default" r:id="rId32"/>
      <w:headerReference w:type="first" r:id="rId3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2C442" w14:textId="77777777" w:rsidR="00AF79A1" w:rsidRDefault="00AF79A1" w:rsidP="00655736">
      <w:r>
        <w:separator/>
      </w:r>
    </w:p>
  </w:endnote>
  <w:endnote w:type="continuationSeparator" w:id="0">
    <w:p w14:paraId="5E9FFC4B" w14:textId="77777777" w:rsidR="00AF79A1" w:rsidRDefault="00AF79A1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2D5B8" w14:textId="77777777" w:rsidR="00AF79A1" w:rsidRDefault="00AF79A1" w:rsidP="00655736">
      <w:r>
        <w:separator/>
      </w:r>
    </w:p>
  </w:footnote>
  <w:footnote w:type="continuationSeparator" w:id="0">
    <w:p w14:paraId="7884FC7C" w14:textId="77777777" w:rsidR="00AF79A1" w:rsidRDefault="00AF79A1" w:rsidP="00655736">
      <w:r>
        <w:continuationSeparator/>
      </w:r>
    </w:p>
  </w:footnote>
  <w:footnote w:id="1">
    <w:p w14:paraId="5B6387FD" w14:textId="0AAC190A" w:rsidR="00827551" w:rsidRPr="009311DA" w:rsidRDefault="00827551" w:rsidP="00827551">
      <w:pPr>
        <w:pStyle w:val="Notedebasdepage"/>
        <w:ind w:left="475" w:hanging="475"/>
        <w:jc w:val="both"/>
        <w:rPr>
          <w:rFonts w:ascii="Arial" w:hAnsi="Arial" w:cs="Arial"/>
          <w:sz w:val="18"/>
          <w:szCs w:val="18"/>
          <w:lang w:val="ru-RU"/>
        </w:rPr>
      </w:pPr>
      <w:r w:rsidRPr="00DD5335">
        <w:rPr>
          <w:rStyle w:val="Appelnotedebasdep"/>
          <w:rFonts w:ascii="Arial" w:hAnsi="Arial" w:cs="Arial"/>
          <w:sz w:val="18"/>
          <w:szCs w:val="18"/>
          <w:vertAlign w:val="baseline"/>
        </w:rPr>
        <w:footnoteRef/>
      </w:r>
      <w:r w:rsidRPr="000F4677">
        <w:rPr>
          <w:rFonts w:ascii="Arial" w:hAnsi="Arial" w:cs="Arial"/>
          <w:sz w:val="18"/>
          <w:szCs w:val="18"/>
          <w:lang w:val="ru-RU"/>
        </w:rPr>
        <w:t>.</w:t>
      </w:r>
      <w:r w:rsidRPr="000F4677">
        <w:rPr>
          <w:rFonts w:ascii="Arial" w:hAnsi="Arial" w:cs="Arial"/>
          <w:sz w:val="18"/>
          <w:szCs w:val="18"/>
          <w:lang w:val="ru-RU"/>
        </w:rPr>
        <w:tab/>
      </w:r>
      <w:r w:rsidR="009311DA">
        <w:rPr>
          <w:rFonts w:ascii="Arial" w:hAnsi="Arial" w:cs="Arial"/>
          <w:sz w:val="18"/>
          <w:szCs w:val="18"/>
          <w:lang w:val="ru-RU"/>
        </w:rPr>
        <w:t>С</w:t>
      </w:r>
      <w:r w:rsidR="00EF619B">
        <w:rPr>
          <w:rFonts w:ascii="Arial" w:hAnsi="Arial" w:cs="Arial"/>
          <w:sz w:val="18"/>
          <w:szCs w:val="18"/>
          <w:lang w:val="ru-RU"/>
        </w:rPr>
        <w:t>ледующие с</w:t>
      </w:r>
      <w:r w:rsidR="009311DA">
        <w:rPr>
          <w:rFonts w:ascii="Arial" w:hAnsi="Arial" w:cs="Arial"/>
          <w:sz w:val="18"/>
          <w:szCs w:val="18"/>
          <w:lang w:val="ru-RU"/>
        </w:rPr>
        <w:t>емь групп функций Форума НПО нематериального культурного наследия был</w:t>
      </w:r>
      <w:r w:rsidR="00BD6274">
        <w:rPr>
          <w:rFonts w:ascii="Arial" w:hAnsi="Arial" w:cs="Arial"/>
          <w:sz w:val="18"/>
          <w:szCs w:val="18"/>
          <w:lang w:val="ru-RU"/>
        </w:rPr>
        <w:t>и</w:t>
      </w:r>
      <w:r w:rsidR="009311DA">
        <w:rPr>
          <w:rFonts w:ascii="Arial" w:hAnsi="Arial" w:cs="Arial"/>
          <w:sz w:val="18"/>
          <w:szCs w:val="18"/>
          <w:lang w:val="ru-RU"/>
        </w:rPr>
        <w:t xml:space="preserve"> определен</w:t>
      </w:r>
      <w:r w:rsidR="00BD6274">
        <w:rPr>
          <w:rFonts w:ascii="Arial" w:hAnsi="Arial" w:cs="Arial"/>
          <w:sz w:val="18"/>
          <w:szCs w:val="18"/>
          <w:lang w:val="ru-RU"/>
        </w:rPr>
        <w:t>ы</w:t>
      </w:r>
      <w:r w:rsidR="009311DA">
        <w:rPr>
          <w:rFonts w:ascii="Arial" w:hAnsi="Arial" w:cs="Arial"/>
          <w:sz w:val="18"/>
          <w:szCs w:val="18"/>
          <w:lang w:val="ru-RU"/>
        </w:rPr>
        <w:t xml:space="preserve"> его Уставом (Статья 3)</w:t>
      </w:r>
      <w:r w:rsidR="007A507E">
        <w:rPr>
          <w:rFonts w:ascii="Arial" w:hAnsi="Arial" w:cs="Arial"/>
          <w:sz w:val="18"/>
          <w:szCs w:val="18"/>
          <w:lang w:val="ru-RU"/>
        </w:rPr>
        <w:t>: (1) служить форумом для обмена</w:t>
      </w:r>
      <w:r w:rsidR="009311DA">
        <w:rPr>
          <w:rFonts w:ascii="Arial" w:hAnsi="Arial" w:cs="Arial"/>
          <w:sz w:val="18"/>
          <w:szCs w:val="18"/>
          <w:lang w:val="ru-RU"/>
        </w:rPr>
        <w:t xml:space="preserve"> информацией и идеями, связанными с охраной нематериального наследия; (2) служить платформой для связей и сотрудничества между НПО нематериального культурного наследия; (3) </w:t>
      </w:r>
      <w:r w:rsidR="00DC64A9">
        <w:rPr>
          <w:rFonts w:ascii="Arial" w:hAnsi="Arial" w:cs="Arial"/>
          <w:sz w:val="18"/>
          <w:szCs w:val="18"/>
          <w:lang w:val="ru-RU"/>
        </w:rPr>
        <w:t xml:space="preserve">способствовать укреплению этических принципов и участию гражданского общества в охране нематериального культурного наследия; (4) обеспечивать ЮНЕСКО, государства-участники, сообщества, практических участников и другие заинтересованные стороны ресурсами, докладами и информацией о практиках охраны наследия; (5) поддерживать НПО в их совместной деятельности с правительствами и межправительственным организациями; (6) вносить свой вклад в </w:t>
      </w:r>
      <w:r w:rsidR="001656C3">
        <w:rPr>
          <w:rFonts w:ascii="Arial" w:hAnsi="Arial" w:cs="Arial"/>
          <w:sz w:val="18"/>
          <w:szCs w:val="18"/>
          <w:lang w:val="ru-RU"/>
        </w:rPr>
        <w:t xml:space="preserve">программу </w:t>
      </w:r>
      <w:r w:rsidR="00DC64A9">
        <w:rPr>
          <w:rFonts w:ascii="Arial" w:hAnsi="Arial" w:cs="Arial"/>
          <w:sz w:val="18"/>
          <w:szCs w:val="18"/>
          <w:lang w:val="ru-RU"/>
        </w:rPr>
        <w:t xml:space="preserve">укрепление потенциала  </w:t>
      </w:r>
      <w:r w:rsidR="001656C3">
        <w:rPr>
          <w:rFonts w:ascii="Arial" w:hAnsi="Arial" w:cs="Arial"/>
          <w:sz w:val="18"/>
          <w:szCs w:val="18"/>
          <w:lang w:val="ru-RU"/>
        </w:rPr>
        <w:t xml:space="preserve">и обмениваться </w:t>
      </w:r>
      <w:r w:rsidR="00F4023A">
        <w:rPr>
          <w:rFonts w:ascii="Arial" w:hAnsi="Arial" w:cs="Arial"/>
          <w:sz w:val="18"/>
          <w:szCs w:val="18"/>
          <w:lang w:val="ru-RU"/>
        </w:rPr>
        <w:t>передовыми практиками</w:t>
      </w:r>
      <w:r w:rsidR="001656C3">
        <w:rPr>
          <w:rFonts w:ascii="Arial" w:hAnsi="Arial" w:cs="Arial"/>
          <w:sz w:val="18"/>
          <w:szCs w:val="18"/>
          <w:lang w:val="ru-RU"/>
        </w:rPr>
        <w:t xml:space="preserve"> в охране нематериального </w:t>
      </w:r>
      <w:r w:rsidR="00F4023A">
        <w:rPr>
          <w:rFonts w:ascii="Arial" w:hAnsi="Arial" w:cs="Arial"/>
          <w:sz w:val="18"/>
          <w:szCs w:val="18"/>
          <w:lang w:val="ru-RU"/>
        </w:rPr>
        <w:t xml:space="preserve">культурного </w:t>
      </w:r>
      <w:r w:rsidR="001656C3">
        <w:rPr>
          <w:rFonts w:ascii="Arial" w:hAnsi="Arial" w:cs="Arial"/>
          <w:sz w:val="18"/>
          <w:szCs w:val="18"/>
          <w:lang w:val="ru-RU"/>
        </w:rPr>
        <w:t>наследия</w:t>
      </w:r>
      <w:r w:rsidR="00B120C2">
        <w:rPr>
          <w:rFonts w:ascii="Arial" w:hAnsi="Arial" w:cs="Arial"/>
          <w:sz w:val="18"/>
          <w:szCs w:val="18"/>
        </w:rPr>
        <w:t>;</w:t>
      </w:r>
      <w:r w:rsidR="001656C3">
        <w:rPr>
          <w:rFonts w:ascii="Arial" w:hAnsi="Arial" w:cs="Arial"/>
          <w:sz w:val="18"/>
          <w:szCs w:val="18"/>
          <w:lang w:val="ru-RU"/>
        </w:rPr>
        <w:t xml:space="preserve"> (7) консультировать Межправительственный комитет по </w:t>
      </w:r>
      <w:r w:rsidR="00F4023A">
        <w:rPr>
          <w:rFonts w:ascii="Arial" w:hAnsi="Arial" w:cs="Arial"/>
          <w:sz w:val="18"/>
          <w:szCs w:val="18"/>
          <w:lang w:val="ru-RU"/>
        </w:rPr>
        <w:t>специальным</w:t>
      </w:r>
      <w:r w:rsidR="001656C3">
        <w:rPr>
          <w:rFonts w:ascii="Arial" w:hAnsi="Arial" w:cs="Arial"/>
          <w:sz w:val="18"/>
          <w:szCs w:val="18"/>
          <w:lang w:val="ru-RU"/>
        </w:rPr>
        <w:t xml:space="preserve"> тематическим вопросам, участвовать в подготовке докладов и мониторинге элементов, внесенных в списки, и практик по охране.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61E93" w14:textId="3F0FD517" w:rsidR="00450078" w:rsidRPr="00C23A97" w:rsidRDefault="00450078">
    <w:pPr>
      <w:pStyle w:val="En-tte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LHE/20/8</w:t>
    </w:r>
    <w:r w:rsidRPr="00C23A97">
      <w:rPr>
        <w:rFonts w:ascii="Arial" w:hAnsi="Arial" w:cs="Arial"/>
        <w:sz w:val="20"/>
        <w:szCs w:val="20"/>
        <w:lang w:val="en-GB"/>
      </w:rPr>
      <w:t>.GA/</w:t>
    </w:r>
    <w:r w:rsidR="00931D55">
      <w:rPr>
        <w:rFonts w:ascii="Arial" w:hAnsi="Arial" w:cs="Arial"/>
        <w:sz w:val="20"/>
        <w:szCs w:val="20"/>
        <w:lang w:val="en-GB"/>
      </w:rPr>
      <w:t>12</w:t>
    </w:r>
    <w:r w:rsidRPr="00C23A97">
      <w:rPr>
        <w:rFonts w:ascii="Arial" w:hAnsi="Arial" w:cs="Arial"/>
        <w:sz w:val="20"/>
        <w:szCs w:val="20"/>
        <w:lang w:val="en-GB"/>
      </w:rPr>
      <w:t xml:space="preserve"> – </w:t>
    </w:r>
    <w:r w:rsidR="007077B2">
      <w:rPr>
        <w:rFonts w:ascii="Arial" w:hAnsi="Arial" w:cs="Arial"/>
        <w:sz w:val="20"/>
        <w:szCs w:val="20"/>
        <w:lang w:val="ru-RU"/>
      </w:rPr>
      <w:t>страница</w:t>
    </w:r>
    <w:r w:rsidRPr="00C23A97">
      <w:rPr>
        <w:rFonts w:ascii="Arial" w:hAnsi="Arial" w:cs="Arial"/>
        <w:sz w:val="20"/>
        <w:szCs w:val="20"/>
        <w:lang w:val="en-GB"/>
      </w:rPr>
      <w:t xml:space="preserve"> </w:t>
    </w:r>
    <w:r w:rsidRPr="00C23A97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Pr="00C23A97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Pr="00C23A97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F9244B">
      <w:rPr>
        <w:rStyle w:val="Numrodepage"/>
        <w:rFonts w:ascii="Arial" w:hAnsi="Arial" w:cs="Arial"/>
        <w:noProof/>
        <w:sz w:val="20"/>
        <w:szCs w:val="20"/>
        <w:lang w:val="en-GB"/>
      </w:rPr>
      <w:t>4</w:t>
    </w:r>
    <w:r w:rsidRPr="00C23A97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53FF4" w14:textId="7695EFC3" w:rsidR="00450078" w:rsidRPr="0063300C" w:rsidRDefault="00B33DE9" w:rsidP="0063300C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</w:t>
    </w:r>
    <w:r w:rsidR="00450078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20</w:t>
    </w:r>
    <w:r w:rsidR="00450078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8</w:t>
    </w:r>
    <w:r w:rsidR="00450078" w:rsidRPr="0063300C">
      <w:rPr>
        <w:rFonts w:ascii="Arial" w:hAnsi="Arial" w:cs="Arial"/>
        <w:sz w:val="20"/>
        <w:szCs w:val="20"/>
        <w:lang w:val="en-GB"/>
      </w:rPr>
      <w:t>.GA/</w:t>
    </w:r>
    <w:r w:rsidR="00931D55">
      <w:rPr>
        <w:rFonts w:ascii="Arial" w:hAnsi="Arial" w:cs="Arial"/>
        <w:sz w:val="20"/>
        <w:szCs w:val="20"/>
        <w:lang w:val="en-GB"/>
      </w:rPr>
      <w:t>12</w:t>
    </w:r>
    <w:r w:rsidR="00450078" w:rsidRPr="0063300C">
      <w:rPr>
        <w:rFonts w:ascii="Arial" w:hAnsi="Arial" w:cs="Arial"/>
        <w:sz w:val="20"/>
        <w:szCs w:val="20"/>
        <w:lang w:val="en-GB"/>
      </w:rPr>
      <w:t xml:space="preserve"> – </w:t>
    </w:r>
    <w:r w:rsidR="00196882">
      <w:rPr>
        <w:rFonts w:ascii="Arial" w:hAnsi="Arial" w:cs="Arial"/>
        <w:sz w:val="20"/>
        <w:szCs w:val="20"/>
        <w:lang w:val="ru-RU"/>
      </w:rPr>
      <w:t>страница</w:t>
    </w:r>
    <w:r w:rsidR="00450078" w:rsidRPr="0063300C">
      <w:rPr>
        <w:rFonts w:ascii="Arial" w:hAnsi="Arial" w:cs="Arial"/>
        <w:sz w:val="20"/>
        <w:szCs w:val="20"/>
        <w:lang w:val="en-GB"/>
      </w:rPr>
      <w:t xml:space="preserve"> </w:t>
    </w:r>
    <w:r w:rsidR="00450078" w:rsidRPr="0063300C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450078" w:rsidRPr="0063300C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450078" w:rsidRPr="0063300C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F9244B">
      <w:rPr>
        <w:rStyle w:val="Numrodepage"/>
        <w:rFonts w:ascii="Arial" w:hAnsi="Arial" w:cs="Arial"/>
        <w:noProof/>
        <w:sz w:val="20"/>
        <w:szCs w:val="20"/>
        <w:lang w:val="en-GB"/>
      </w:rPr>
      <w:t>5</w:t>
    </w:r>
    <w:r w:rsidR="00450078" w:rsidRPr="0063300C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43758" w14:textId="12756C26" w:rsidR="00450078" w:rsidRPr="008724E5" w:rsidRDefault="00B33DE9">
    <w:pPr>
      <w:pStyle w:val="En-tte"/>
    </w:pPr>
    <w:r>
      <w:rPr>
        <w:rFonts w:ascii="Arial" w:hAnsi="Arial" w:cs="Arial"/>
        <w:b/>
        <w:noProof/>
        <w:sz w:val="44"/>
        <w:szCs w:val="44"/>
        <w:lang w:eastAsia="ja-JP"/>
      </w:rPr>
      <w:drawing>
        <wp:anchor distT="0" distB="0" distL="114300" distR="114300" simplePos="0" relativeHeight="251659264" behindDoc="0" locked="0" layoutInCell="1" allowOverlap="1" wp14:anchorId="3DC29F2F" wp14:editId="1C195EF5">
          <wp:simplePos x="0" y="0"/>
          <wp:positionH relativeFrom="column">
            <wp:posOffset>-542925</wp:posOffset>
          </wp:positionH>
          <wp:positionV relativeFrom="paragraph">
            <wp:posOffset>-19050</wp:posOffset>
          </wp:positionV>
          <wp:extent cx="2479675" cy="1415415"/>
          <wp:effectExtent l="0" t="0" r="0" b="0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2BFAB2" w14:textId="77777777" w:rsidR="00450078" w:rsidRPr="000F4677" w:rsidRDefault="00450078" w:rsidP="00655736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ru-RU"/>
      </w:rPr>
    </w:pPr>
    <w:r w:rsidRPr="000F4677">
      <w:rPr>
        <w:rFonts w:ascii="Arial" w:hAnsi="Arial" w:cs="Arial"/>
        <w:b/>
        <w:sz w:val="44"/>
        <w:szCs w:val="44"/>
        <w:lang w:val="ru-RU"/>
      </w:rPr>
      <w:t xml:space="preserve">8 </w:t>
    </w:r>
    <w:r w:rsidRPr="00B65CDE">
      <w:rPr>
        <w:rFonts w:ascii="Arial" w:hAnsi="Arial" w:cs="Arial"/>
        <w:b/>
        <w:sz w:val="44"/>
        <w:szCs w:val="44"/>
        <w:lang w:val="pt-BR"/>
      </w:rPr>
      <w:t>GA</w:t>
    </w:r>
  </w:p>
  <w:p w14:paraId="3A3D3C55" w14:textId="06CF8DBC" w:rsidR="00450078" w:rsidRPr="000F4677" w:rsidRDefault="00931D55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pt-BR"/>
      </w:rPr>
      <w:t>LHE</w:t>
    </w:r>
    <w:r w:rsidRPr="000F4677">
      <w:rPr>
        <w:rFonts w:ascii="Arial" w:hAnsi="Arial" w:cs="Arial"/>
        <w:b/>
        <w:sz w:val="22"/>
        <w:szCs w:val="22"/>
        <w:lang w:val="ru-RU"/>
      </w:rPr>
      <w:t>/20/8.</w:t>
    </w:r>
    <w:r>
      <w:rPr>
        <w:rFonts w:ascii="Arial" w:hAnsi="Arial" w:cs="Arial"/>
        <w:b/>
        <w:sz w:val="22"/>
        <w:szCs w:val="22"/>
        <w:lang w:val="pt-BR"/>
      </w:rPr>
      <w:t>GA</w:t>
    </w:r>
    <w:r w:rsidRPr="000F4677">
      <w:rPr>
        <w:rFonts w:ascii="Arial" w:hAnsi="Arial" w:cs="Arial"/>
        <w:b/>
        <w:sz w:val="22"/>
        <w:szCs w:val="22"/>
        <w:lang w:val="ru-RU"/>
      </w:rPr>
      <w:t>/12</w:t>
    </w:r>
  </w:p>
  <w:p w14:paraId="5A404F29" w14:textId="5C61F7E7" w:rsidR="00450078" w:rsidRPr="007077B2" w:rsidRDefault="00B33DE9" w:rsidP="000F4677">
    <w:pPr>
      <w:tabs>
        <w:tab w:val="center" w:pos="4819"/>
        <w:tab w:val="right" w:pos="9638"/>
      </w:tabs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ab/>
    </w:r>
    <w:r>
      <w:rPr>
        <w:rFonts w:ascii="Arial" w:hAnsi="Arial" w:cs="Arial"/>
        <w:b/>
        <w:sz w:val="22"/>
        <w:szCs w:val="22"/>
        <w:lang w:val="ru-RU"/>
      </w:rPr>
      <w:tab/>
    </w:r>
    <w:r w:rsidR="007077B2">
      <w:rPr>
        <w:rFonts w:ascii="Arial" w:hAnsi="Arial" w:cs="Arial"/>
        <w:b/>
        <w:sz w:val="22"/>
        <w:szCs w:val="22"/>
        <w:lang w:val="ru-RU"/>
      </w:rPr>
      <w:t>Париж</w:t>
    </w:r>
    <w:r w:rsidR="00450078" w:rsidRPr="000F4677">
      <w:rPr>
        <w:rFonts w:ascii="Arial" w:hAnsi="Arial" w:cs="Arial"/>
        <w:b/>
        <w:sz w:val="22"/>
        <w:szCs w:val="22"/>
        <w:lang w:val="ru-RU"/>
      </w:rPr>
      <w:t xml:space="preserve">, </w:t>
    </w:r>
    <w:r w:rsidR="00700F35" w:rsidRPr="000F4677">
      <w:rPr>
        <w:rFonts w:ascii="Arial" w:hAnsi="Arial" w:cs="Arial"/>
        <w:b/>
        <w:sz w:val="22"/>
        <w:szCs w:val="22"/>
        <w:lang w:val="ru-RU"/>
      </w:rPr>
      <w:t xml:space="preserve">7 </w:t>
    </w:r>
    <w:r w:rsidR="007077B2" w:rsidRPr="00007352">
      <w:rPr>
        <w:rFonts w:ascii="Arial" w:hAnsi="Arial" w:cs="Arial"/>
        <w:b/>
        <w:sz w:val="22"/>
        <w:szCs w:val="22"/>
        <w:lang w:val="ru-RU"/>
      </w:rPr>
      <w:t>а</w:t>
    </w:r>
    <w:r w:rsidR="007077B2">
      <w:rPr>
        <w:rFonts w:ascii="Arial" w:hAnsi="Arial" w:cs="Arial"/>
        <w:b/>
        <w:sz w:val="22"/>
        <w:szCs w:val="22"/>
        <w:lang w:val="ru-RU"/>
      </w:rPr>
      <w:t>вгуста</w:t>
    </w:r>
    <w:r w:rsidR="00450078" w:rsidRPr="000F4677">
      <w:rPr>
        <w:rFonts w:ascii="Arial" w:hAnsi="Arial" w:cs="Arial"/>
        <w:b/>
        <w:sz w:val="22"/>
        <w:szCs w:val="22"/>
        <w:lang w:val="ru-RU"/>
      </w:rPr>
      <w:t xml:space="preserve"> 2020</w:t>
    </w:r>
    <w:r w:rsidR="007077B2">
      <w:rPr>
        <w:rFonts w:ascii="Arial" w:hAnsi="Arial" w:cs="Arial"/>
        <w:b/>
        <w:sz w:val="22"/>
        <w:szCs w:val="22"/>
        <w:lang w:val="ru-RU"/>
      </w:rPr>
      <w:t xml:space="preserve"> г.</w:t>
    </w:r>
  </w:p>
  <w:p w14:paraId="7029C044" w14:textId="437EB3E2" w:rsidR="00450078" w:rsidRPr="007077B2" w:rsidRDefault="007077B2" w:rsidP="00703FBF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>Оригинал</w:t>
    </w:r>
    <w:r w:rsidR="00450078" w:rsidRPr="00C23A97">
      <w:rPr>
        <w:rFonts w:ascii="Arial" w:hAnsi="Arial" w:cs="Arial"/>
        <w:b/>
        <w:sz w:val="22"/>
        <w:szCs w:val="22"/>
        <w:lang w:val="en-GB"/>
      </w:rPr>
      <w:t xml:space="preserve">: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  <w:p w14:paraId="0CC1F1E2" w14:textId="77777777" w:rsidR="00450078" w:rsidRPr="00C23A97" w:rsidRDefault="00450078" w:rsidP="00540FE0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2113DAC"/>
    <w:multiLevelType w:val="multilevel"/>
    <w:tmpl w:val="3AA2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01E05"/>
    <w:multiLevelType w:val="hybridMultilevel"/>
    <w:tmpl w:val="761438F6"/>
    <w:lvl w:ilvl="0" w:tplc="8680781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14D83"/>
    <w:multiLevelType w:val="singleLevel"/>
    <w:tmpl w:val="6BB68568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5F07BFE"/>
    <w:multiLevelType w:val="hybridMultilevel"/>
    <w:tmpl w:val="22BAB922"/>
    <w:lvl w:ilvl="0" w:tplc="E636284C">
      <w:start w:val="1"/>
      <w:numFmt w:val="decimal"/>
      <w:pStyle w:val="GAPara"/>
      <w:lvlText w:val="%1."/>
      <w:lvlJc w:val="left"/>
      <w:pPr>
        <w:ind w:left="720" w:hanging="360"/>
      </w:pPr>
      <w:rPr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14ECB"/>
    <w:multiLevelType w:val="hybridMultilevel"/>
    <w:tmpl w:val="220A5FB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en-US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>
      <w:start w:val="1"/>
      <w:numFmt w:val="lowerRoman"/>
      <w:lvlText w:val="%3."/>
      <w:lvlJc w:val="right"/>
      <w:pPr>
        <w:ind w:left="2509" w:hanging="180"/>
      </w:pPr>
    </w:lvl>
    <w:lvl w:ilvl="3" w:tplc="040C000F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B67C65"/>
    <w:multiLevelType w:val="hybridMultilevel"/>
    <w:tmpl w:val="FBD81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B1045"/>
    <w:multiLevelType w:val="hybridMultilevel"/>
    <w:tmpl w:val="42C29F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1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9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3"/>
  </w:num>
  <w:num w:numId="33">
    <w:abstractNumId w:val="4"/>
  </w:num>
  <w:num w:numId="34">
    <w:abstractNumId w:val="4"/>
  </w:num>
  <w:num w:numId="35">
    <w:abstractNumId w:val="4"/>
  </w:num>
  <w:num w:numId="36">
    <w:abstractNumId w:val="6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6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17E5"/>
    <w:rsid w:val="000048ED"/>
    <w:rsid w:val="000068CA"/>
    <w:rsid w:val="00007352"/>
    <w:rsid w:val="00010F24"/>
    <w:rsid w:val="00011C3D"/>
    <w:rsid w:val="000139DF"/>
    <w:rsid w:val="00034E35"/>
    <w:rsid w:val="000407E3"/>
    <w:rsid w:val="00041A66"/>
    <w:rsid w:val="00044DCA"/>
    <w:rsid w:val="00047DCC"/>
    <w:rsid w:val="000506E0"/>
    <w:rsid w:val="0005176E"/>
    <w:rsid w:val="00052A1F"/>
    <w:rsid w:val="00063EFE"/>
    <w:rsid w:val="00065273"/>
    <w:rsid w:val="00066988"/>
    <w:rsid w:val="000728D7"/>
    <w:rsid w:val="000765F7"/>
    <w:rsid w:val="000767EC"/>
    <w:rsid w:val="00077AB7"/>
    <w:rsid w:val="00081CD8"/>
    <w:rsid w:val="00084204"/>
    <w:rsid w:val="00087346"/>
    <w:rsid w:val="00095F74"/>
    <w:rsid w:val="000A2C46"/>
    <w:rsid w:val="000A354A"/>
    <w:rsid w:val="000A3DCF"/>
    <w:rsid w:val="000A4203"/>
    <w:rsid w:val="000A7F0E"/>
    <w:rsid w:val="000B286C"/>
    <w:rsid w:val="000C0D61"/>
    <w:rsid w:val="000C663A"/>
    <w:rsid w:val="000D73A6"/>
    <w:rsid w:val="000E2D36"/>
    <w:rsid w:val="000E5053"/>
    <w:rsid w:val="000F0233"/>
    <w:rsid w:val="000F0A59"/>
    <w:rsid w:val="000F3A3F"/>
    <w:rsid w:val="000F4677"/>
    <w:rsid w:val="00102557"/>
    <w:rsid w:val="0011106C"/>
    <w:rsid w:val="0011131C"/>
    <w:rsid w:val="001146C2"/>
    <w:rsid w:val="00122259"/>
    <w:rsid w:val="00122D69"/>
    <w:rsid w:val="00124FD0"/>
    <w:rsid w:val="001256D7"/>
    <w:rsid w:val="001340FE"/>
    <w:rsid w:val="00137B1A"/>
    <w:rsid w:val="00141A0D"/>
    <w:rsid w:val="00142211"/>
    <w:rsid w:val="001430C2"/>
    <w:rsid w:val="00143E5B"/>
    <w:rsid w:val="00154D78"/>
    <w:rsid w:val="00161CF1"/>
    <w:rsid w:val="00162B1C"/>
    <w:rsid w:val="00164D56"/>
    <w:rsid w:val="001656C3"/>
    <w:rsid w:val="00166BB2"/>
    <w:rsid w:val="00167B10"/>
    <w:rsid w:val="0017213B"/>
    <w:rsid w:val="0017402F"/>
    <w:rsid w:val="00174540"/>
    <w:rsid w:val="00174BEB"/>
    <w:rsid w:val="00176720"/>
    <w:rsid w:val="00176F5F"/>
    <w:rsid w:val="00183B94"/>
    <w:rsid w:val="0018735F"/>
    <w:rsid w:val="0019052E"/>
    <w:rsid w:val="00191133"/>
    <w:rsid w:val="00196882"/>
    <w:rsid w:val="00196C1B"/>
    <w:rsid w:val="001A4B10"/>
    <w:rsid w:val="001B0F73"/>
    <w:rsid w:val="001B73F4"/>
    <w:rsid w:val="001C0903"/>
    <w:rsid w:val="001C2344"/>
    <w:rsid w:val="001C6F0D"/>
    <w:rsid w:val="001D263C"/>
    <w:rsid w:val="001D5C04"/>
    <w:rsid w:val="001E06A1"/>
    <w:rsid w:val="001F2169"/>
    <w:rsid w:val="001F32B8"/>
    <w:rsid w:val="00200732"/>
    <w:rsid w:val="0020111B"/>
    <w:rsid w:val="0020227B"/>
    <w:rsid w:val="00202580"/>
    <w:rsid w:val="00202733"/>
    <w:rsid w:val="002058B7"/>
    <w:rsid w:val="00206635"/>
    <w:rsid w:val="00207534"/>
    <w:rsid w:val="00207548"/>
    <w:rsid w:val="002075CB"/>
    <w:rsid w:val="002115E7"/>
    <w:rsid w:val="002163AB"/>
    <w:rsid w:val="0021691D"/>
    <w:rsid w:val="0022214D"/>
    <w:rsid w:val="00222244"/>
    <w:rsid w:val="0022253F"/>
    <w:rsid w:val="00222A2D"/>
    <w:rsid w:val="00223029"/>
    <w:rsid w:val="00225BE4"/>
    <w:rsid w:val="00226033"/>
    <w:rsid w:val="00226084"/>
    <w:rsid w:val="0022712B"/>
    <w:rsid w:val="00234745"/>
    <w:rsid w:val="002407AF"/>
    <w:rsid w:val="00241009"/>
    <w:rsid w:val="002425E6"/>
    <w:rsid w:val="002505EE"/>
    <w:rsid w:val="002548E2"/>
    <w:rsid w:val="002553B7"/>
    <w:rsid w:val="00257105"/>
    <w:rsid w:val="00265355"/>
    <w:rsid w:val="00270F92"/>
    <w:rsid w:val="002740E9"/>
    <w:rsid w:val="00277180"/>
    <w:rsid w:val="00283DFA"/>
    <w:rsid w:val="00286183"/>
    <w:rsid w:val="002923E7"/>
    <w:rsid w:val="0029582F"/>
    <w:rsid w:val="002A1246"/>
    <w:rsid w:val="002B5552"/>
    <w:rsid w:val="002B570F"/>
    <w:rsid w:val="002B616A"/>
    <w:rsid w:val="002C02AB"/>
    <w:rsid w:val="002C09E3"/>
    <w:rsid w:val="002C7953"/>
    <w:rsid w:val="002D0CC6"/>
    <w:rsid w:val="002E14C7"/>
    <w:rsid w:val="002E3497"/>
    <w:rsid w:val="002E56C0"/>
    <w:rsid w:val="002F312A"/>
    <w:rsid w:val="002F4B71"/>
    <w:rsid w:val="0030587F"/>
    <w:rsid w:val="00313AB6"/>
    <w:rsid w:val="003144E8"/>
    <w:rsid w:val="00320D43"/>
    <w:rsid w:val="003264D1"/>
    <w:rsid w:val="00333255"/>
    <w:rsid w:val="0033326E"/>
    <w:rsid w:val="003367E9"/>
    <w:rsid w:val="003403D5"/>
    <w:rsid w:val="00341036"/>
    <w:rsid w:val="00345CB4"/>
    <w:rsid w:val="0035086C"/>
    <w:rsid w:val="00353843"/>
    <w:rsid w:val="003549B8"/>
    <w:rsid w:val="003627DE"/>
    <w:rsid w:val="00362A3F"/>
    <w:rsid w:val="003663E5"/>
    <w:rsid w:val="00373A0A"/>
    <w:rsid w:val="00373BCB"/>
    <w:rsid w:val="00375EC4"/>
    <w:rsid w:val="00385E68"/>
    <w:rsid w:val="00393AA9"/>
    <w:rsid w:val="0039441A"/>
    <w:rsid w:val="00394C88"/>
    <w:rsid w:val="003A52BC"/>
    <w:rsid w:val="003A697D"/>
    <w:rsid w:val="003B005F"/>
    <w:rsid w:val="003B0ECC"/>
    <w:rsid w:val="003B3BBA"/>
    <w:rsid w:val="003B48C6"/>
    <w:rsid w:val="003B4F3E"/>
    <w:rsid w:val="003C0A98"/>
    <w:rsid w:val="003C63D6"/>
    <w:rsid w:val="003C7963"/>
    <w:rsid w:val="003D0634"/>
    <w:rsid w:val="003D069C"/>
    <w:rsid w:val="003D5297"/>
    <w:rsid w:val="003D7646"/>
    <w:rsid w:val="003E1D56"/>
    <w:rsid w:val="003F113A"/>
    <w:rsid w:val="003F36A8"/>
    <w:rsid w:val="003F3FBB"/>
    <w:rsid w:val="003F4145"/>
    <w:rsid w:val="003F7854"/>
    <w:rsid w:val="0040441B"/>
    <w:rsid w:val="00414643"/>
    <w:rsid w:val="0041682C"/>
    <w:rsid w:val="004269B6"/>
    <w:rsid w:val="0042777D"/>
    <w:rsid w:val="00432813"/>
    <w:rsid w:val="0044194D"/>
    <w:rsid w:val="004421E5"/>
    <w:rsid w:val="004422D9"/>
    <w:rsid w:val="00450078"/>
    <w:rsid w:val="00451557"/>
    <w:rsid w:val="00452284"/>
    <w:rsid w:val="00454AEE"/>
    <w:rsid w:val="0046567C"/>
    <w:rsid w:val="00467FA1"/>
    <w:rsid w:val="0047155F"/>
    <w:rsid w:val="00473EA7"/>
    <w:rsid w:val="004856CA"/>
    <w:rsid w:val="004874CC"/>
    <w:rsid w:val="004927FE"/>
    <w:rsid w:val="0049444F"/>
    <w:rsid w:val="004962AE"/>
    <w:rsid w:val="0049705E"/>
    <w:rsid w:val="004A2D4A"/>
    <w:rsid w:val="004A34A0"/>
    <w:rsid w:val="004A489F"/>
    <w:rsid w:val="004B2AC3"/>
    <w:rsid w:val="004B3B9B"/>
    <w:rsid w:val="004B42CA"/>
    <w:rsid w:val="004B4AC7"/>
    <w:rsid w:val="004B69E4"/>
    <w:rsid w:val="004C0710"/>
    <w:rsid w:val="004C1831"/>
    <w:rsid w:val="004C4CEE"/>
    <w:rsid w:val="004C5C8A"/>
    <w:rsid w:val="004D7145"/>
    <w:rsid w:val="004E14A4"/>
    <w:rsid w:val="004F361C"/>
    <w:rsid w:val="004F4362"/>
    <w:rsid w:val="004F74CC"/>
    <w:rsid w:val="004F7C7D"/>
    <w:rsid w:val="005060B1"/>
    <w:rsid w:val="005215F8"/>
    <w:rsid w:val="005221C2"/>
    <w:rsid w:val="00523335"/>
    <w:rsid w:val="00524C32"/>
    <w:rsid w:val="00526B7B"/>
    <w:rsid w:val="0052769C"/>
    <w:rsid w:val="005308CE"/>
    <w:rsid w:val="00531279"/>
    <w:rsid w:val="00534367"/>
    <w:rsid w:val="00535E1B"/>
    <w:rsid w:val="00540FE0"/>
    <w:rsid w:val="00546577"/>
    <w:rsid w:val="00550167"/>
    <w:rsid w:val="00554559"/>
    <w:rsid w:val="00562F05"/>
    <w:rsid w:val="0056334C"/>
    <w:rsid w:val="00570083"/>
    <w:rsid w:val="0057439C"/>
    <w:rsid w:val="00575454"/>
    <w:rsid w:val="00580EFA"/>
    <w:rsid w:val="005812A0"/>
    <w:rsid w:val="0058152B"/>
    <w:rsid w:val="00581684"/>
    <w:rsid w:val="00582C2C"/>
    <w:rsid w:val="0058698D"/>
    <w:rsid w:val="005A13EE"/>
    <w:rsid w:val="005A3F64"/>
    <w:rsid w:val="005B0127"/>
    <w:rsid w:val="005B2D73"/>
    <w:rsid w:val="005B7A35"/>
    <w:rsid w:val="005C4B73"/>
    <w:rsid w:val="005C4D5A"/>
    <w:rsid w:val="005C5E80"/>
    <w:rsid w:val="005C6611"/>
    <w:rsid w:val="005D0D00"/>
    <w:rsid w:val="005D4FBE"/>
    <w:rsid w:val="005D5776"/>
    <w:rsid w:val="005D680B"/>
    <w:rsid w:val="005D7FF1"/>
    <w:rsid w:val="005E1D2B"/>
    <w:rsid w:val="005E2682"/>
    <w:rsid w:val="005F20BF"/>
    <w:rsid w:val="005F3CD3"/>
    <w:rsid w:val="005F5085"/>
    <w:rsid w:val="005F5C17"/>
    <w:rsid w:val="00600D93"/>
    <w:rsid w:val="00601775"/>
    <w:rsid w:val="0060727F"/>
    <w:rsid w:val="00610AA6"/>
    <w:rsid w:val="00627A71"/>
    <w:rsid w:val="00630DF0"/>
    <w:rsid w:val="0063300C"/>
    <w:rsid w:val="00634466"/>
    <w:rsid w:val="0063458E"/>
    <w:rsid w:val="00634B13"/>
    <w:rsid w:val="00641057"/>
    <w:rsid w:val="00642A95"/>
    <w:rsid w:val="006442E2"/>
    <w:rsid w:val="0064735B"/>
    <w:rsid w:val="006530B3"/>
    <w:rsid w:val="00655736"/>
    <w:rsid w:val="0065698F"/>
    <w:rsid w:val="00663B8D"/>
    <w:rsid w:val="00667C11"/>
    <w:rsid w:val="00671050"/>
    <w:rsid w:val="00672F49"/>
    <w:rsid w:val="00677786"/>
    <w:rsid w:val="00682322"/>
    <w:rsid w:val="0068355D"/>
    <w:rsid w:val="006837BD"/>
    <w:rsid w:val="006904D7"/>
    <w:rsid w:val="00691C6C"/>
    <w:rsid w:val="00696C8D"/>
    <w:rsid w:val="006A2083"/>
    <w:rsid w:val="006A2AC2"/>
    <w:rsid w:val="006A3617"/>
    <w:rsid w:val="006A442B"/>
    <w:rsid w:val="006A4FE1"/>
    <w:rsid w:val="006A5B9B"/>
    <w:rsid w:val="006A6197"/>
    <w:rsid w:val="006B185F"/>
    <w:rsid w:val="006C4134"/>
    <w:rsid w:val="006C78C1"/>
    <w:rsid w:val="006D151E"/>
    <w:rsid w:val="006D45F7"/>
    <w:rsid w:val="006E46E4"/>
    <w:rsid w:val="006E5620"/>
    <w:rsid w:val="006F2CFC"/>
    <w:rsid w:val="006F2ECB"/>
    <w:rsid w:val="006F41B4"/>
    <w:rsid w:val="00700F35"/>
    <w:rsid w:val="00703AF1"/>
    <w:rsid w:val="00703FBF"/>
    <w:rsid w:val="00706669"/>
    <w:rsid w:val="007077B2"/>
    <w:rsid w:val="007134A1"/>
    <w:rsid w:val="00714AED"/>
    <w:rsid w:val="00717DA5"/>
    <w:rsid w:val="00725000"/>
    <w:rsid w:val="00725D43"/>
    <w:rsid w:val="00734C06"/>
    <w:rsid w:val="00735D84"/>
    <w:rsid w:val="00743D8C"/>
    <w:rsid w:val="00744484"/>
    <w:rsid w:val="00746FCE"/>
    <w:rsid w:val="00750B8D"/>
    <w:rsid w:val="00752B98"/>
    <w:rsid w:val="007554E2"/>
    <w:rsid w:val="00763A0D"/>
    <w:rsid w:val="007647D1"/>
    <w:rsid w:val="00765F3B"/>
    <w:rsid w:val="00773188"/>
    <w:rsid w:val="00775E5C"/>
    <w:rsid w:val="007773D0"/>
    <w:rsid w:val="00783782"/>
    <w:rsid w:val="00784B8C"/>
    <w:rsid w:val="00793B49"/>
    <w:rsid w:val="00794395"/>
    <w:rsid w:val="007A381C"/>
    <w:rsid w:val="007A507E"/>
    <w:rsid w:val="007A6F78"/>
    <w:rsid w:val="007B28ED"/>
    <w:rsid w:val="007B3DB9"/>
    <w:rsid w:val="007B3E48"/>
    <w:rsid w:val="007C407B"/>
    <w:rsid w:val="007D0E69"/>
    <w:rsid w:val="007E0217"/>
    <w:rsid w:val="007E07EB"/>
    <w:rsid w:val="007E5E2C"/>
    <w:rsid w:val="007F1AFF"/>
    <w:rsid w:val="007F3C7E"/>
    <w:rsid w:val="007F52FC"/>
    <w:rsid w:val="007F5B8E"/>
    <w:rsid w:val="0080699E"/>
    <w:rsid w:val="008159AD"/>
    <w:rsid w:val="00816F75"/>
    <w:rsid w:val="00823A11"/>
    <w:rsid w:val="008242A8"/>
    <w:rsid w:val="00827551"/>
    <w:rsid w:val="00833C85"/>
    <w:rsid w:val="00836662"/>
    <w:rsid w:val="00850214"/>
    <w:rsid w:val="00852866"/>
    <w:rsid w:val="0085414A"/>
    <w:rsid w:val="00855BEE"/>
    <w:rsid w:val="00856BF6"/>
    <w:rsid w:val="00856FE5"/>
    <w:rsid w:val="0086269D"/>
    <w:rsid w:val="0086543A"/>
    <w:rsid w:val="00865A93"/>
    <w:rsid w:val="00872168"/>
    <w:rsid w:val="008724E5"/>
    <w:rsid w:val="00875BFF"/>
    <w:rsid w:val="008777B6"/>
    <w:rsid w:val="0088418B"/>
    <w:rsid w:val="00884A9D"/>
    <w:rsid w:val="0088512B"/>
    <w:rsid w:val="00885994"/>
    <w:rsid w:val="008866FC"/>
    <w:rsid w:val="008919B1"/>
    <w:rsid w:val="00893961"/>
    <w:rsid w:val="008948AA"/>
    <w:rsid w:val="00896CA0"/>
    <w:rsid w:val="008A1ED4"/>
    <w:rsid w:val="008A2B2D"/>
    <w:rsid w:val="008A4E1E"/>
    <w:rsid w:val="008B0A8A"/>
    <w:rsid w:val="008B4310"/>
    <w:rsid w:val="008B4486"/>
    <w:rsid w:val="008C296C"/>
    <w:rsid w:val="008C3191"/>
    <w:rsid w:val="008C32A4"/>
    <w:rsid w:val="008D4015"/>
    <w:rsid w:val="008D4305"/>
    <w:rsid w:val="008D5142"/>
    <w:rsid w:val="008D65F3"/>
    <w:rsid w:val="008E320A"/>
    <w:rsid w:val="008E69CA"/>
    <w:rsid w:val="008E772A"/>
    <w:rsid w:val="008F1F54"/>
    <w:rsid w:val="009163A7"/>
    <w:rsid w:val="009172AE"/>
    <w:rsid w:val="0092276B"/>
    <w:rsid w:val="00930F00"/>
    <w:rsid w:val="009311DA"/>
    <w:rsid w:val="00931D55"/>
    <w:rsid w:val="00935106"/>
    <w:rsid w:val="00937DDE"/>
    <w:rsid w:val="0094051E"/>
    <w:rsid w:val="00941D5C"/>
    <w:rsid w:val="00942568"/>
    <w:rsid w:val="00946968"/>
    <w:rsid w:val="00946D0B"/>
    <w:rsid w:val="00946D69"/>
    <w:rsid w:val="00947507"/>
    <w:rsid w:val="00947CB1"/>
    <w:rsid w:val="009527FF"/>
    <w:rsid w:val="009559AC"/>
    <w:rsid w:val="00957870"/>
    <w:rsid w:val="00961D35"/>
    <w:rsid w:val="009714A7"/>
    <w:rsid w:val="00982F08"/>
    <w:rsid w:val="0098619D"/>
    <w:rsid w:val="009862CC"/>
    <w:rsid w:val="00994BC0"/>
    <w:rsid w:val="00996FCC"/>
    <w:rsid w:val="009A18CD"/>
    <w:rsid w:val="009B003B"/>
    <w:rsid w:val="009D36A2"/>
    <w:rsid w:val="009E18AD"/>
    <w:rsid w:val="009E291F"/>
    <w:rsid w:val="009E6999"/>
    <w:rsid w:val="009F0924"/>
    <w:rsid w:val="009F52F9"/>
    <w:rsid w:val="009F6C3A"/>
    <w:rsid w:val="00A109D3"/>
    <w:rsid w:val="00A12558"/>
    <w:rsid w:val="00A13903"/>
    <w:rsid w:val="00A13E59"/>
    <w:rsid w:val="00A269F4"/>
    <w:rsid w:val="00A3089C"/>
    <w:rsid w:val="00A3353A"/>
    <w:rsid w:val="00A34ED5"/>
    <w:rsid w:val="00A3706D"/>
    <w:rsid w:val="00A428EF"/>
    <w:rsid w:val="00A453EB"/>
    <w:rsid w:val="00A45DBF"/>
    <w:rsid w:val="00A50A21"/>
    <w:rsid w:val="00A52EF5"/>
    <w:rsid w:val="00A54183"/>
    <w:rsid w:val="00A645DF"/>
    <w:rsid w:val="00A64651"/>
    <w:rsid w:val="00A65C29"/>
    <w:rsid w:val="00A731DF"/>
    <w:rsid w:val="00A74052"/>
    <w:rsid w:val="00A755A2"/>
    <w:rsid w:val="00A7634D"/>
    <w:rsid w:val="00A80BDC"/>
    <w:rsid w:val="00A82515"/>
    <w:rsid w:val="00A8541A"/>
    <w:rsid w:val="00A85F94"/>
    <w:rsid w:val="00A86561"/>
    <w:rsid w:val="00A95A2C"/>
    <w:rsid w:val="00AA4FE3"/>
    <w:rsid w:val="00AA6660"/>
    <w:rsid w:val="00AB2C36"/>
    <w:rsid w:val="00AB6812"/>
    <w:rsid w:val="00AB70B6"/>
    <w:rsid w:val="00AC1881"/>
    <w:rsid w:val="00AC30F6"/>
    <w:rsid w:val="00AC607A"/>
    <w:rsid w:val="00AD188D"/>
    <w:rsid w:val="00AD1A86"/>
    <w:rsid w:val="00AD2F9B"/>
    <w:rsid w:val="00AD2F9D"/>
    <w:rsid w:val="00AD4D19"/>
    <w:rsid w:val="00AD57DC"/>
    <w:rsid w:val="00AD5E13"/>
    <w:rsid w:val="00AD7DEA"/>
    <w:rsid w:val="00AE103E"/>
    <w:rsid w:val="00AE1D58"/>
    <w:rsid w:val="00AE2B61"/>
    <w:rsid w:val="00AE3171"/>
    <w:rsid w:val="00AF0A07"/>
    <w:rsid w:val="00AF1C85"/>
    <w:rsid w:val="00AF2FA4"/>
    <w:rsid w:val="00AF31C1"/>
    <w:rsid w:val="00AF4AEC"/>
    <w:rsid w:val="00AF625E"/>
    <w:rsid w:val="00AF6FD7"/>
    <w:rsid w:val="00AF79A1"/>
    <w:rsid w:val="00B009A4"/>
    <w:rsid w:val="00B020BD"/>
    <w:rsid w:val="00B10A1D"/>
    <w:rsid w:val="00B10E8D"/>
    <w:rsid w:val="00B120C2"/>
    <w:rsid w:val="00B16BF6"/>
    <w:rsid w:val="00B303CB"/>
    <w:rsid w:val="00B33DE9"/>
    <w:rsid w:val="00B3435D"/>
    <w:rsid w:val="00B36A09"/>
    <w:rsid w:val="00B40A54"/>
    <w:rsid w:val="00B44BF7"/>
    <w:rsid w:val="00B457A2"/>
    <w:rsid w:val="00B4730B"/>
    <w:rsid w:val="00B523F4"/>
    <w:rsid w:val="00B60257"/>
    <w:rsid w:val="00B65CDE"/>
    <w:rsid w:val="00B705B1"/>
    <w:rsid w:val="00B71FC4"/>
    <w:rsid w:val="00B81E10"/>
    <w:rsid w:val="00B914C8"/>
    <w:rsid w:val="00B94DBB"/>
    <w:rsid w:val="00B96B09"/>
    <w:rsid w:val="00BA085A"/>
    <w:rsid w:val="00BA4928"/>
    <w:rsid w:val="00BB04AF"/>
    <w:rsid w:val="00BB1F1D"/>
    <w:rsid w:val="00BB5354"/>
    <w:rsid w:val="00BC6E55"/>
    <w:rsid w:val="00BC74C1"/>
    <w:rsid w:val="00BD3905"/>
    <w:rsid w:val="00BD52C9"/>
    <w:rsid w:val="00BD6274"/>
    <w:rsid w:val="00BE6354"/>
    <w:rsid w:val="00BF0D6D"/>
    <w:rsid w:val="00BF3681"/>
    <w:rsid w:val="00BF4B0C"/>
    <w:rsid w:val="00C04DCD"/>
    <w:rsid w:val="00C106D4"/>
    <w:rsid w:val="00C12934"/>
    <w:rsid w:val="00C23A97"/>
    <w:rsid w:val="00C26EAD"/>
    <w:rsid w:val="00C3069D"/>
    <w:rsid w:val="00C328A7"/>
    <w:rsid w:val="00C35564"/>
    <w:rsid w:val="00C40AED"/>
    <w:rsid w:val="00C42C66"/>
    <w:rsid w:val="00C4398C"/>
    <w:rsid w:val="00C43C1F"/>
    <w:rsid w:val="00C4564B"/>
    <w:rsid w:val="00C4763D"/>
    <w:rsid w:val="00C518F0"/>
    <w:rsid w:val="00C579E8"/>
    <w:rsid w:val="00C64D4E"/>
    <w:rsid w:val="00C66C6A"/>
    <w:rsid w:val="00C70EA7"/>
    <w:rsid w:val="00C7516E"/>
    <w:rsid w:val="00C75770"/>
    <w:rsid w:val="00C770D0"/>
    <w:rsid w:val="00C96736"/>
    <w:rsid w:val="00CA1977"/>
    <w:rsid w:val="00CA7EF0"/>
    <w:rsid w:val="00CB405A"/>
    <w:rsid w:val="00CD64B0"/>
    <w:rsid w:val="00D00B2B"/>
    <w:rsid w:val="00D0431C"/>
    <w:rsid w:val="00D10537"/>
    <w:rsid w:val="00D14343"/>
    <w:rsid w:val="00D15C4F"/>
    <w:rsid w:val="00D16511"/>
    <w:rsid w:val="00D17E4E"/>
    <w:rsid w:val="00D24877"/>
    <w:rsid w:val="00D278DB"/>
    <w:rsid w:val="00D3452A"/>
    <w:rsid w:val="00D437C5"/>
    <w:rsid w:val="00D470C0"/>
    <w:rsid w:val="00D525D1"/>
    <w:rsid w:val="00D53458"/>
    <w:rsid w:val="00D60725"/>
    <w:rsid w:val="00D61041"/>
    <w:rsid w:val="00D64E23"/>
    <w:rsid w:val="00D7038B"/>
    <w:rsid w:val="00D70598"/>
    <w:rsid w:val="00D95C4C"/>
    <w:rsid w:val="00DA36ED"/>
    <w:rsid w:val="00DA473F"/>
    <w:rsid w:val="00DA6AE0"/>
    <w:rsid w:val="00DB573A"/>
    <w:rsid w:val="00DB6BD8"/>
    <w:rsid w:val="00DC06EC"/>
    <w:rsid w:val="00DC1A8C"/>
    <w:rsid w:val="00DC3AE7"/>
    <w:rsid w:val="00DC497C"/>
    <w:rsid w:val="00DC64A9"/>
    <w:rsid w:val="00DD5335"/>
    <w:rsid w:val="00DE34F1"/>
    <w:rsid w:val="00DE6C6E"/>
    <w:rsid w:val="00DF2209"/>
    <w:rsid w:val="00DF4942"/>
    <w:rsid w:val="00DF697B"/>
    <w:rsid w:val="00E0110B"/>
    <w:rsid w:val="00E07175"/>
    <w:rsid w:val="00E10CA3"/>
    <w:rsid w:val="00E142F5"/>
    <w:rsid w:val="00E21758"/>
    <w:rsid w:val="00E262DD"/>
    <w:rsid w:val="00E311F8"/>
    <w:rsid w:val="00E34145"/>
    <w:rsid w:val="00E41F1B"/>
    <w:rsid w:val="00E50B96"/>
    <w:rsid w:val="00E539DD"/>
    <w:rsid w:val="00E6072C"/>
    <w:rsid w:val="00E627B1"/>
    <w:rsid w:val="00E64E0F"/>
    <w:rsid w:val="00E7146F"/>
    <w:rsid w:val="00E73818"/>
    <w:rsid w:val="00E853FA"/>
    <w:rsid w:val="00E9376C"/>
    <w:rsid w:val="00EA335E"/>
    <w:rsid w:val="00EA528C"/>
    <w:rsid w:val="00EA70F7"/>
    <w:rsid w:val="00EA74C9"/>
    <w:rsid w:val="00EB4064"/>
    <w:rsid w:val="00EB53E2"/>
    <w:rsid w:val="00EB5B68"/>
    <w:rsid w:val="00EC01C1"/>
    <w:rsid w:val="00EC0776"/>
    <w:rsid w:val="00EC0AFC"/>
    <w:rsid w:val="00EC2633"/>
    <w:rsid w:val="00EE360B"/>
    <w:rsid w:val="00EF07AB"/>
    <w:rsid w:val="00EF19A6"/>
    <w:rsid w:val="00EF34E2"/>
    <w:rsid w:val="00EF4DB9"/>
    <w:rsid w:val="00EF4F1F"/>
    <w:rsid w:val="00EF619B"/>
    <w:rsid w:val="00EF69E3"/>
    <w:rsid w:val="00EF71BE"/>
    <w:rsid w:val="00F01073"/>
    <w:rsid w:val="00F010E0"/>
    <w:rsid w:val="00F01A36"/>
    <w:rsid w:val="00F07A82"/>
    <w:rsid w:val="00F13026"/>
    <w:rsid w:val="00F17B1E"/>
    <w:rsid w:val="00F21403"/>
    <w:rsid w:val="00F23E25"/>
    <w:rsid w:val="00F31709"/>
    <w:rsid w:val="00F33065"/>
    <w:rsid w:val="00F34E20"/>
    <w:rsid w:val="00F35B61"/>
    <w:rsid w:val="00F35BB6"/>
    <w:rsid w:val="00F37CA8"/>
    <w:rsid w:val="00F4023A"/>
    <w:rsid w:val="00F42FDC"/>
    <w:rsid w:val="00F461BE"/>
    <w:rsid w:val="00F53DE9"/>
    <w:rsid w:val="00F576CB"/>
    <w:rsid w:val="00F627F7"/>
    <w:rsid w:val="00F71A02"/>
    <w:rsid w:val="00F71E3F"/>
    <w:rsid w:val="00F9151B"/>
    <w:rsid w:val="00F915FC"/>
    <w:rsid w:val="00F9244B"/>
    <w:rsid w:val="00F94745"/>
    <w:rsid w:val="00FA145C"/>
    <w:rsid w:val="00FB115E"/>
    <w:rsid w:val="00FB18FA"/>
    <w:rsid w:val="00FB50B0"/>
    <w:rsid w:val="00FB6630"/>
    <w:rsid w:val="00FB6C18"/>
    <w:rsid w:val="00FC0255"/>
    <w:rsid w:val="00FC1B1B"/>
    <w:rsid w:val="00FC2040"/>
    <w:rsid w:val="00FC21FE"/>
    <w:rsid w:val="00FC5795"/>
    <w:rsid w:val="00FD062E"/>
    <w:rsid w:val="00FD1226"/>
    <w:rsid w:val="00FD224F"/>
    <w:rsid w:val="00FE3AB2"/>
    <w:rsid w:val="00FE726A"/>
    <w:rsid w:val="00FF12FC"/>
    <w:rsid w:val="00FF4830"/>
    <w:rsid w:val="00FF6CF8"/>
    <w:rsid w:val="0962FE39"/>
    <w:rsid w:val="12FE2DC1"/>
    <w:rsid w:val="45111DCE"/>
    <w:rsid w:val="64B8D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B089F95"/>
  <w15:docId w15:val="{BD81529E-DDEA-42A5-9988-118CBA6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0AA6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rsid w:val="00891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GA Heading"/>
    <w:basedOn w:val="Normal"/>
    <w:next w:val="Normal"/>
    <w:link w:val="Titre4Car"/>
    <w:qFormat/>
    <w:rsid w:val="00F71A02"/>
    <w:pPr>
      <w:keepNext/>
      <w:keepLines/>
      <w:numPr>
        <w:numId w:val="4"/>
      </w:numPr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GA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1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2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3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Paragraphedeliste">
    <w:name w:val="List Paragraph"/>
    <w:basedOn w:val="Normal"/>
    <w:uiPriority w:val="34"/>
    <w:qFormat/>
    <w:rsid w:val="002F312A"/>
    <w:pPr>
      <w:ind w:left="720"/>
      <w:contextualSpacing/>
    </w:pPr>
  </w:style>
  <w:style w:type="paragraph" w:customStyle="1" w:styleId="COMParaDecision">
    <w:name w:val="COM Para Decision"/>
    <w:basedOn w:val="Normal"/>
    <w:qFormat/>
    <w:rsid w:val="008A1ED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COMPara">
    <w:name w:val="COM Para"/>
    <w:qFormat/>
    <w:rsid w:val="00FC21FE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F23E25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Default">
    <w:name w:val="Default"/>
    <w:rsid w:val="00580EFA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  <w:lang w:val="fr-FR"/>
    </w:rPr>
  </w:style>
  <w:style w:type="character" w:styleId="Lienhypertexte">
    <w:name w:val="Hyperlink"/>
    <w:aliases w:val=" Car Car3 Char, Car Car3 Char Char Char Char"/>
    <w:link w:val="CarCar3"/>
    <w:rsid w:val="00F9151B"/>
    <w:rPr>
      <w:color w:val="0000FF"/>
      <w:u w:val="single"/>
    </w:rPr>
  </w:style>
  <w:style w:type="paragraph" w:customStyle="1" w:styleId="CarCar3">
    <w:name w:val="Car Car3"/>
    <w:aliases w:val=" Car Car3 Char Char"/>
    <w:basedOn w:val="Normal"/>
    <w:link w:val="Lienhypertexte"/>
    <w:rsid w:val="00F9151B"/>
    <w:pPr>
      <w:tabs>
        <w:tab w:val="left" w:pos="510"/>
        <w:tab w:val="right" w:pos="9639"/>
      </w:tabs>
      <w:autoSpaceDE w:val="0"/>
      <w:autoSpaceDN w:val="0"/>
      <w:adjustRightInd w:val="0"/>
      <w:spacing w:after="80" w:line="220" w:lineRule="exact"/>
      <w:ind w:left="1020" w:hanging="510"/>
      <w:jc w:val="both"/>
    </w:pPr>
    <w:rPr>
      <w:rFonts w:ascii="Calibri" w:eastAsia="SimSun" w:hAnsi="Calibri"/>
      <w:color w:val="0000FF"/>
      <w:sz w:val="20"/>
      <w:szCs w:val="20"/>
      <w:u w:val="single"/>
      <w:lang w:val="en-GB" w:eastAsia="en-GB"/>
    </w:rPr>
  </w:style>
  <w:style w:type="paragraph" w:styleId="Notedebasdepage">
    <w:name w:val="footnote text"/>
    <w:basedOn w:val="Normal"/>
    <w:link w:val="NotedebasdepageCar"/>
    <w:uiPriority w:val="99"/>
    <w:unhideWhenUsed/>
    <w:rsid w:val="00F9151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9151B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9151B"/>
    <w:rPr>
      <w:vertAlign w:val="superscript"/>
    </w:rPr>
  </w:style>
  <w:style w:type="paragraph" w:customStyle="1" w:styleId="Pa20">
    <w:name w:val="Pa20"/>
    <w:basedOn w:val="Default"/>
    <w:next w:val="Default"/>
    <w:uiPriority w:val="99"/>
    <w:rsid w:val="00F9151B"/>
    <w:pPr>
      <w:spacing w:line="206" w:lineRule="atLeast"/>
    </w:pPr>
    <w:rPr>
      <w:rFonts w:cs="Times New Roman"/>
      <w:color w:val="auto"/>
      <w:lang w:eastAsia="fr-FR"/>
    </w:rPr>
  </w:style>
  <w:style w:type="character" w:customStyle="1" w:styleId="A16">
    <w:name w:val="A16"/>
    <w:uiPriority w:val="99"/>
    <w:rsid w:val="00F9151B"/>
    <w:rPr>
      <w:rFonts w:cs="Adobe Garamond Pro"/>
      <w:color w:val="000000"/>
      <w:sz w:val="12"/>
      <w:szCs w:val="12"/>
    </w:rPr>
  </w:style>
  <w:style w:type="paragraph" w:styleId="Sansinterligne">
    <w:name w:val="No Spacing"/>
    <w:uiPriority w:val="1"/>
    <w:qFormat/>
    <w:rsid w:val="00546577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8919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F07AB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C18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C18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1881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881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BA085A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50078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50078"/>
    <w:rPr>
      <w:rFonts w:ascii="Lucida Grande" w:eastAsia="Times New Roman" w:hAnsi="Lucida Grande" w:cs="Lucida Grande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1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6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67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1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6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0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4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0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0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1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8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7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12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7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8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94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8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6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6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5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7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h.unesco.org/en/Decisions/7.GA/11" TargetMode="External"/><Relationship Id="rId18" Type="http://schemas.openxmlformats.org/officeDocument/2006/relationships/hyperlink" Target="https://ich.unesco.org/en/Decisions/13.COM/16" TargetMode="External"/><Relationship Id="rId26" Type="http://schemas.openxmlformats.org/officeDocument/2006/relationships/hyperlink" Target="https://ich.unesco.org/en/Decisions/13.COM/1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ch.unesco.org/doc/src/LHE-19-14.COM-15-EN.docx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ch.unesco.org/en/d%C3%A9cisions/12.COM/17?dec=decisions&amp;ref_decision=12.COM" TargetMode="External"/><Relationship Id="rId17" Type="http://schemas.openxmlformats.org/officeDocument/2006/relationships/hyperlink" Target="https://ich.unesco.org/en/Decisions/12.COM/13" TargetMode="External"/><Relationship Id="rId25" Type="http://schemas.openxmlformats.org/officeDocument/2006/relationships/hyperlink" Target="https://ich.unesco.org/en/Decisions/13.COM/13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ich.unesco.org/en/Decisions/13.COM/13" TargetMode="External"/><Relationship Id="rId20" Type="http://schemas.openxmlformats.org/officeDocument/2006/relationships/hyperlink" Target="https://ich.unesco.org/doc/src/LHE-19-14.COM-16-EN.docx" TargetMode="External"/><Relationship Id="rId29" Type="http://schemas.openxmlformats.org/officeDocument/2006/relationships/hyperlink" Target="https://ich.unesco.org/doc/src/ITH-18-7.GA-Resolutions-RU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h.unesco.org/en/Decisions/12.COM/13" TargetMode="External"/><Relationship Id="rId24" Type="http://schemas.openxmlformats.org/officeDocument/2006/relationships/hyperlink" Target="https://ich.unesco.org/en/Decisions/12.COM/17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ich.unesco.org/doc/src/ITH-18-13.COM-13-EN.docx" TargetMode="External"/><Relationship Id="rId23" Type="http://schemas.openxmlformats.org/officeDocument/2006/relationships/hyperlink" Target="https://ich.unesco.org/en/Decisions/12.COM/13" TargetMode="External"/><Relationship Id="rId28" Type="http://schemas.openxmlformats.org/officeDocument/2006/relationships/hyperlink" Target="https://ich.unesco.org/en/Decisions/14.COM/1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ch.unesco.org/en/Decisions/14.COM/16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ch.unesco.org/en/Decisions/14.COM/15" TargetMode="External"/><Relationship Id="rId22" Type="http://schemas.openxmlformats.org/officeDocument/2006/relationships/hyperlink" Target="https://ich.unesco.org/en/Decisions/14.COM/15" TargetMode="External"/><Relationship Id="rId27" Type="http://schemas.openxmlformats.org/officeDocument/2006/relationships/hyperlink" Target="https://ich.unesco.org/en/Decisions/14.COM/15" TargetMode="External"/><Relationship Id="rId30" Type="http://schemas.openxmlformats.org/officeDocument/2006/relationships/hyperlink" Target="https://ich.unesco.org/doc/src/ITH-18-7.GA-Resolutions-RU.docx" TargetMode="External"/><Relationship Id="rId35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13" ma:contentTypeDescription="Create a new document." ma:contentTypeScope="" ma:versionID="1456ecff9f2a98582efd01bc1b750e6f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43b5d121ec1ed15a3b4abd6186a34b65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8ef70f3-4e3d-42be-bd40-fbc1cacc1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0797-9DFC-4A34-B3ED-E1675E1F7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13A79-1E96-4769-8B82-6C9A939DCED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ef70f3-4e3d-42be-bd40-fbc1cacc1519"/>
    <ds:schemaRef ds:uri="5b799ec2-212c-48b5-b7ff-d14ec6cbce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D3B656-657C-42B8-A34E-02F8E4277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6956D-97A0-4058-B47F-64C4A108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document_EN.dotx</Template>
  <TotalTime>95</TotalTime>
  <Pages>5</Pages>
  <Words>1868</Words>
  <Characters>10279</Characters>
  <Application>Microsoft Office Word</Application>
  <DocSecurity>0</DocSecurity>
  <Lines>85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Ohinata, Fumiko</cp:lastModifiedBy>
  <cp:revision>18</cp:revision>
  <cp:lastPrinted>2020-07-24T09:09:00Z</cp:lastPrinted>
  <dcterms:created xsi:type="dcterms:W3CDTF">2020-07-31T18:36:00Z</dcterms:created>
  <dcterms:modified xsi:type="dcterms:W3CDTF">2020-08-07T10:06:00Z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