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BA84" w14:textId="60D3270F" w:rsidR="00655736" w:rsidRPr="00414643" w:rsidRDefault="00655736" w:rsidP="00655736">
      <w:pPr>
        <w:spacing w:before="1440"/>
        <w:jc w:val="center"/>
        <w:rPr>
          <w:rFonts w:ascii="Arial" w:hAnsi="Arial" w:cs="Arial"/>
          <w:b/>
          <w:sz w:val="22"/>
          <w:szCs w:val="22"/>
        </w:rPr>
      </w:pPr>
      <w:r>
        <w:rPr>
          <w:rFonts w:ascii="Arial" w:hAnsi="Arial" w:cs="Arial"/>
          <w:b/>
          <w:bCs/>
          <w:sz w:val="22"/>
          <w:szCs w:val="22"/>
        </w:rPr>
        <w:t>CONVENTION POUR LA SAUVEGARDE</w:t>
      </w:r>
      <w:r w:rsidR="00FB352E">
        <w:rPr>
          <w:rFonts w:ascii="Arial" w:hAnsi="Arial" w:cs="Arial"/>
          <w:b/>
          <w:bCs/>
          <w:sz w:val="22"/>
          <w:szCs w:val="22"/>
        </w:rPr>
        <w:br/>
      </w:r>
      <w:r>
        <w:rPr>
          <w:rFonts w:ascii="Arial" w:hAnsi="Arial" w:cs="Arial"/>
          <w:b/>
          <w:bCs/>
          <w:sz w:val="22"/>
          <w:szCs w:val="22"/>
        </w:rPr>
        <w:t>DU</w:t>
      </w:r>
      <w:r w:rsidR="00FB352E">
        <w:rPr>
          <w:rFonts w:ascii="Arial" w:hAnsi="Arial" w:cs="Arial"/>
          <w:b/>
          <w:bCs/>
          <w:sz w:val="22"/>
          <w:szCs w:val="22"/>
        </w:rPr>
        <w:t xml:space="preserve"> </w:t>
      </w:r>
      <w:r>
        <w:rPr>
          <w:rFonts w:ascii="Arial" w:hAnsi="Arial" w:cs="Arial"/>
          <w:b/>
          <w:bCs/>
          <w:sz w:val="22"/>
          <w:szCs w:val="22"/>
        </w:rPr>
        <w:t>PATRIMOINE CULTUREL IMMATÉRIEL</w:t>
      </w:r>
    </w:p>
    <w:p w14:paraId="772D4313" w14:textId="77777777" w:rsidR="00655736" w:rsidRPr="00414643" w:rsidRDefault="00D95C4C" w:rsidP="00655736">
      <w:pPr>
        <w:spacing w:before="1200"/>
        <w:jc w:val="center"/>
        <w:rPr>
          <w:rFonts w:ascii="Arial" w:hAnsi="Arial" w:cs="Arial"/>
          <w:b/>
          <w:sz w:val="22"/>
          <w:szCs w:val="22"/>
        </w:rPr>
      </w:pPr>
      <w:r>
        <w:rPr>
          <w:rFonts w:ascii="Arial" w:hAnsi="Arial" w:cs="Arial"/>
          <w:b/>
          <w:bCs/>
          <w:sz w:val="22"/>
          <w:szCs w:val="22"/>
        </w:rPr>
        <w:t>ASSEMBLÉE GÉNÉRALE DES ÉTATS PARTIES À LA CONVENTION</w:t>
      </w:r>
    </w:p>
    <w:p w14:paraId="1E732A0A" w14:textId="77777777" w:rsidR="00D95C4C" w:rsidRPr="00FD624F" w:rsidRDefault="006F41B4" w:rsidP="00D95C4C">
      <w:pPr>
        <w:spacing w:before="840"/>
        <w:jc w:val="center"/>
        <w:rPr>
          <w:rFonts w:ascii="Arial" w:hAnsi="Arial" w:cs="Arial"/>
          <w:b/>
          <w:sz w:val="22"/>
          <w:szCs w:val="22"/>
        </w:rPr>
      </w:pPr>
      <w:r>
        <w:rPr>
          <w:rFonts w:ascii="Arial" w:hAnsi="Arial" w:cs="Arial"/>
          <w:b/>
          <w:bCs/>
          <w:sz w:val="22"/>
          <w:szCs w:val="22"/>
        </w:rPr>
        <w:t>Huitième session</w:t>
      </w:r>
    </w:p>
    <w:p w14:paraId="4320781B" w14:textId="77777777" w:rsidR="00D95C4C" w:rsidRPr="00FD624F" w:rsidRDefault="00D95C4C" w:rsidP="00D95C4C">
      <w:pPr>
        <w:jc w:val="center"/>
        <w:rPr>
          <w:rFonts w:ascii="Arial" w:hAnsi="Arial" w:cs="Arial"/>
          <w:b/>
          <w:sz w:val="22"/>
          <w:szCs w:val="22"/>
        </w:rPr>
      </w:pPr>
      <w:r>
        <w:rPr>
          <w:rFonts w:ascii="Arial" w:hAnsi="Arial" w:cs="Arial"/>
          <w:b/>
          <w:bCs/>
          <w:sz w:val="22"/>
          <w:szCs w:val="22"/>
        </w:rPr>
        <w:t>Siège de l</w:t>
      </w:r>
      <w:r w:rsidR="00450D0E">
        <w:rPr>
          <w:rFonts w:ascii="Arial" w:hAnsi="Arial" w:cs="Arial"/>
          <w:b/>
          <w:bCs/>
          <w:sz w:val="22"/>
          <w:szCs w:val="22"/>
        </w:rPr>
        <w:t>’</w:t>
      </w:r>
      <w:r>
        <w:rPr>
          <w:rFonts w:ascii="Arial" w:hAnsi="Arial" w:cs="Arial"/>
          <w:b/>
          <w:bCs/>
          <w:sz w:val="22"/>
          <w:szCs w:val="22"/>
        </w:rPr>
        <w:t>UNESCO, Salle I</w:t>
      </w:r>
    </w:p>
    <w:p w14:paraId="4FAC7FAC" w14:textId="7D3BB845" w:rsidR="00655736" w:rsidRPr="00414643" w:rsidRDefault="00B65CDE" w:rsidP="00D95C4C">
      <w:pPr>
        <w:jc w:val="center"/>
        <w:rPr>
          <w:rFonts w:ascii="Arial" w:hAnsi="Arial" w:cs="Arial"/>
          <w:b/>
          <w:sz w:val="22"/>
          <w:szCs w:val="22"/>
        </w:rPr>
      </w:pPr>
      <w:r>
        <w:rPr>
          <w:rFonts w:ascii="Arial" w:hAnsi="Arial" w:cs="Arial"/>
          <w:b/>
          <w:bCs/>
          <w:sz w:val="22"/>
          <w:szCs w:val="22"/>
        </w:rPr>
        <w:t xml:space="preserve">8 </w:t>
      </w:r>
      <w:r w:rsidR="00E80FBB">
        <w:rPr>
          <w:rFonts w:ascii="Arial" w:hAnsi="Arial" w:cs="Arial"/>
          <w:b/>
          <w:bCs/>
          <w:sz w:val="22"/>
          <w:szCs w:val="22"/>
        </w:rPr>
        <w:t>–</w:t>
      </w:r>
      <w:r>
        <w:rPr>
          <w:rFonts w:ascii="Arial" w:hAnsi="Arial" w:cs="Arial"/>
          <w:b/>
          <w:bCs/>
          <w:sz w:val="22"/>
          <w:szCs w:val="22"/>
        </w:rPr>
        <w:t xml:space="preserve"> 10 septembre 2020</w:t>
      </w:r>
    </w:p>
    <w:p w14:paraId="27AAB77D" w14:textId="77777777" w:rsidR="00655736" w:rsidRPr="00414643" w:rsidRDefault="00655736" w:rsidP="00655736">
      <w:pPr>
        <w:pStyle w:val="Sansinterligne2"/>
        <w:spacing w:before="1200"/>
        <w:jc w:val="center"/>
        <w:rPr>
          <w:rFonts w:ascii="Arial" w:hAnsi="Arial" w:cs="Arial"/>
          <w:b/>
          <w:sz w:val="22"/>
          <w:szCs w:val="22"/>
        </w:rPr>
      </w:pPr>
      <w:r>
        <w:rPr>
          <w:rFonts w:ascii="Arial" w:hAnsi="Arial" w:cs="Arial"/>
          <w:b/>
          <w:bCs/>
          <w:sz w:val="22"/>
          <w:szCs w:val="22"/>
          <w:u w:val="single"/>
        </w:rPr>
        <w:t>Point 12 de l</w:t>
      </w:r>
      <w:r w:rsidR="00450D0E">
        <w:rPr>
          <w:rFonts w:ascii="Arial" w:hAnsi="Arial" w:cs="Arial"/>
          <w:b/>
          <w:bCs/>
          <w:sz w:val="22"/>
          <w:szCs w:val="22"/>
          <w:u w:val="single"/>
        </w:rPr>
        <w:t>’</w:t>
      </w:r>
      <w:r>
        <w:rPr>
          <w:rFonts w:ascii="Arial" w:hAnsi="Arial" w:cs="Arial"/>
          <w:b/>
          <w:bCs/>
          <w:sz w:val="22"/>
          <w:szCs w:val="22"/>
          <w:u w:val="single"/>
        </w:rPr>
        <w:t>ordre du jour provisoire :</w:t>
      </w:r>
    </w:p>
    <w:p w14:paraId="5B4DED42" w14:textId="3F1E7F25" w:rsidR="002F312A" w:rsidRPr="00414643" w:rsidRDefault="00931D55" w:rsidP="002F312A">
      <w:pPr>
        <w:pStyle w:val="Sansinterligne2"/>
        <w:spacing w:after="1200"/>
        <w:jc w:val="center"/>
        <w:rPr>
          <w:rFonts w:ascii="Arial" w:hAnsi="Arial" w:cs="Arial"/>
          <w:b/>
          <w:sz w:val="22"/>
          <w:szCs w:val="22"/>
        </w:rPr>
      </w:pPr>
      <w:r>
        <w:rPr>
          <w:rFonts w:ascii="Arial" w:hAnsi="Arial" w:cs="Arial"/>
          <w:b/>
          <w:bCs/>
          <w:sz w:val="22"/>
          <w:szCs w:val="22"/>
        </w:rPr>
        <w:t>P</w:t>
      </w:r>
      <w:r w:rsidR="00F61E46">
        <w:rPr>
          <w:rFonts w:ascii="Arial" w:hAnsi="Arial" w:cs="Arial"/>
          <w:b/>
          <w:bCs/>
          <w:sz w:val="22"/>
          <w:szCs w:val="22"/>
        </w:rPr>
        <w:t xml:space="preserve">oint sur </w:t>
      </w:r>
      <w:r>
        <w:rPr>
          <w:rFonts w:ascii="Arial" w:hAnsi="Arial" w:cs="Arial"/>
          <w:b/>
          <w:bCs/>
          <w:sz w:val="22"/>
          <w:szCs w:val="22"/>
        </w:rPr>
        <w:t xml:space="preserve">la réflexion </w:t>
      </w:r>
      <w:r w:rsidR="00F61E46">
        <w:rPr>
          <w:rFonts w:ascii="Arial" w:hAnsi="Arial" w:cs="Arial"/>
          <w:b/>
          <w:bCs/>
          <w:sz w:val="22"/>
          <w:szCs w:val="22"/>
        </w:rPr>
        <w:t xml:space="preserve">portant </w:t>
      </w:r>
      <w:r>
        <w:rPr>
          <w:rFonts w:ascii="Arial" w:hAnsi="Arial" w:cs="Arial"/>
          <w:b/>
          <w:bCs/>
          <w:sz w:val="22"/>
          <w:szCs w:val="22"/>
        </w:rPr>
        <w:t>sur la participation des organisations non gouvernementales</w:t>
      </w:r>
      <w:r>
        <w:rPr>
          <w:rFonts w:ascii="Arial" w:hAnsi="Arial" w:cs="Arial"/>
          <w:sz w:val="22"/>
          <w:szCs w:val="22"/>
        </w:rPr>
        <w:br/>
      </w:r>
      <w:r>
        <w:rPr>
          <w:rFonts w:ascii="Arial" w:hAnsi="Arial" w:cs="Arial"/>
          <w:b/>
          <w:bCs/>
          <w:sz w:val="22"/>
          <w:szCs w:val="22"/>
        </w:rPr>
        <w:t>à la mise en œuvre de la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5B2D73" w14:paraId="243071A1" w14:textId="77777777" w:rsidTr="002F312A">
        <w:trPr>
          <w:jc w:val="center"/>
        </w:trPr>
        <w:tc>
          <w:tcPr>
            <w:tcW w:w="5670" w:type="dxa"/>
            <w:vAlign w:val="center"/>
          </w:tcPr>
          <w:p w14:paraId="5793D551" w14:textId="77777777" w:rsidR="0057439C" w:rsidRDefault="0057439C" w:rsidP="005B7A35">
            <w:pPr>
              <w:pStyle w:val="Sansinterligne1"/>
              <w:spacing w:before="200" w:after="200"/>
              <w:jc w:val="center"/>
              <w:rPr>
                <w:rFonts w:ascii="Arial" w:hAnsi="Arial" w:cs="Arial"/>
                <w:b/>
                <w:sz w:val="22"/>
                <w:szCs w:val="22"/>
              </w:rPr>
            </w:pPr>
            <w:r>
              <w:rPr>
                <w:rFonts w:ascii="Arial" w:hAnsi="Arial" w:cs="Arial"/>
                <w:b/>
                <w:bCs/>
                <w:sz w:val="22"/>
                <w:szCs w:val="22"/>
              </w:rPr>
              <w:t>Résumé</w:t>
            </w:r>
          </w:p>
          <w:p w14:paraId="5D6B642F" w14:textId="77777777" w:rsidR="0065698F" w:rsidRPr="008F2B6E" w:rsidRDefault="0065698F" w:rsidP="0065698F">
            <w:pPr>
              <w:pStyle w:val="Sansinterligne2"/>
              <w:spacing w:before="200" w:after="200"/>
              <w:jc w:val="both"/>
              <w:rPr>
                <w:rFonts w:ascii="Arial" w:hAnsi="Arial" w:cs="Arial"/>
                <w:sz w:val="22"/>
                <w:szCs w:val="22"/>
              </w:rPr>
            </w:pPr>
            <w:r>
              <w:rPr>
                <w:rFonts w:ascii="Arial" w:hAnsi="Arial" w:cs="Arial"/>
                <w:sz w:val="22"/>
                <w:szCs w:val="22"/>
              </w:rPr>
              <w:t>Lors de sa douzième session en 2017, le Comité a entamé une réflexion sur la définition des fonctions consultatives qui pourraient être confiées aux organisations non gouvernementales accréditées au titre de la Convention de 2003. Cette réflexion s</w:t>
            </w:r>
            <w:r w:rsidR="00450D0E">
              <w:rPr>
                <w:rFonts w:ascii="Arial" w:hAnsi="Arial" w:cs="Arial"/>
                <w:sz w:val="22"/>
                <w:szCs w:val="22"/>
              </w:rPr>
              <w:t>’</w:t>
            </w:r>
            <w:r>
              <w:rPr>
                <w:rFonts w:ascii="Arial" w:hAnsi="Arial" w:cs="Arial"/>
                <w:sz w:val="22"/>
                <w:szCs w:val="22"/>
              </w:rPr>
              <w:t>est poursuivie tout au long de 2018 et 2019. Ce document présente les conclusions de ce processus suite à la demande de l</w:t>
            </w:r>
            <w:r w:rsidR="00450D0E">
              <w:rPr>
                <w:rFonts w:ascii="Arial" w:hAnsi="Arial" w:cs="Arial"/>
                <w:sz w:val="22"/>
                <w:szCs w:val="22"/>
              </w:rPr>
              <w:t>’</w:t>
            </w:r>
            <w:r>
              <w:rPr>
                <w:rFonts w:ascii="Arial" w:hAnsi="Arial" w:cs="Arial"/>
                <w:sz w:val="22"/>
                <w:szCs w:val="22"/>
              </w:rPr>
              <w:t>Assemblée générale lors de sa septième session en 2018 et du Comité lors de sa quatorzième session en 2019.</w:t>
            </w:r>
          </w:p>
          <w:p w14:paraId="7BEF3E28" w14:textId="77777777" w:rsidR="00655736" w:rsidRPr="00414643" w:rsidRDefault="00FB6630" w:rsidP="0018735F">
            <w:pPr>
              <w:pStyle w:val="Sansinterligne2"/>
              <w:spacing w:after="120"/>
              <w:jc w:val="both"/>
              <w:rPr>
                <w:rFonts w:ascii="Arial" w:hAnsi="Arial" w:cs="Arial"/>
                <w:b/>
                <w:sz w:val="22"/>
                <w:szCs w:val="22"/>
              </w:rPr>
            </w:pPr>
            <w:r>
              <w:rPr>
                <w:rFonts w:ascii="Arial" w:hAnsi="Arial" w:cs="Arial"/>
                <w:b/>
                <w:bCs/>
                <w:sz w:val="22"/>
                <w:szCs w:val="22"/>
              </w:rPr>
              <w:t xml:space="preserve">Décision requise : </w:t>
            </w:r>
            <w:r>
              <w:rPr>
                <w:rFonts w:ascii="Arial" w:hAnsi="Arial" w:cs="Arial"/>
                <w:sz w:val="22"/>
                <w:szCs w:val="22"/>
              </w:rPr>
              <w:t>paragraphe 9</w:t>
            </w:r>
          </w:p>
        </w:tc>
      </w:tr>
    </w:tbl>
    <w:p w14:paraId="7183F2F2" w14:textId="77777777" w:rsidR="00176720" w:rsidRDefault="00655736" w:rsidP="00176720">
      <w:pPr>
        <w:pStyle w:val="GAPara"/>
        <w:numPr>
          <w:ilvl w:val="0"/>
          <w:numId w:val="0"/>
        </w:numPr>
        <w:jc w:val="both"/>
      </w:pPr>
      <w:r>
        <w:rPr>
          <w:lang w:val="fr-FR"/>
        </w:rPr>
        <w:br w:type="page"/>
      </w:r>
    </w:p>
    <w:p w14:paraId="6E0C165D" w14:textId="77777777" w:rsidR="008D5142" w:rsidRPr="00610AA6" w:rsidRDefault="00F9151B" w:rsidP="00DD5335">
      <w:pPr>
        <w:pStyle w:val="Titre4"/>
        <w:ind w:left="567" w:hanging="425"/>
      </w:pPr>
      <w:r>
        <w:rPr>
          <w:lang w:val="fr-FR"/>
        </w:rPr>
        <w:lastRenderedPageBreak/>
        <w:t>Contexte</w:t>
      </w:r>
    </w:p>
    <w:p w14:paraId="60C2CFB7" w14:textId="4D95002A" w:rsidR="00AA4FE3" w:rsidRPr="004004F4" w:rsidRDefault="00E6072C" w:rsidP="00DD5335">
      <w:pPr>
        <w:pStyle w:val="COMPara"/>
        <w:numPr>
          <w:ilvl w:val="0"/>
          <w:numId w:val="2"/>
        </w:numPr>
        <w:ind w:left="567" w:hanging="567"/>
        <w:jc w:val="both"/>
        <w:rPr>
          <w:bCs/>
          <w:lang w:val="fr-FR"/>
        </w:rPr>
      </w:pPr>
      <w:r>
        <w:rPr>
          <w:lang w:val="fr-FR"/>
        </w:rPr>
        <w:t>Les organisations non gouvernementales (ONG) sont reconnues comme des acteurs essentiels à la mise en œuvre de la Convention de 2003. L</w:t>
      </w:r>
      <w:r w:rsidR="00450D0E">
        <w:rPr>
          <w:lang w:val="fr-FR"/>
        </w:rPr>
        <w:t>’</w:t>
      </w:r>
      <w:r>
        <w:rPr>
          <w:lang w:val="fr-FR"/>
        </w:rPr>
        <w:t>article 9 de la Convention précise que le Comité propose à l</w:t>
      </w:r>
      <w:r w:rsidR="00450D0E">
        <w:rPr>
          <w:lang w:val="fr-FR"/>
        </w:rPr>
        <w:t>’</w:t>
      </w:r>
      <w:r>
        <w:rPr>
          <w:lang w:val="fr-FR"/>
        </w:rPr>
        <w:t>Assemblée générale l</w:t>
      </w:r>
      <w:r w:rsidR="00450D0E">
        <w:rPr>
          <w:lang w:val="fr-FR"/>
        </w:rPr>
        <w:t>’</w:t>
      </w:r>
      <w:r>
        <w:rPr>
          <w:lang w:val="fr-FR"/>
        </w:rPr>
        <w:t>accréditation d</w:t>
      </w:r>
      <w:r w:rsidR="00450D0E">
        <w:rPr>
          <w:lang w:val="fr-FR"/>
        </w:rPr>
        <w:t>’</w:t>
      </w:r>
      <w:r>
        <w:rPr>
          <w:lang w:val="fr-FR"/>
        </w:rPr>
        <w:t>ONG ayant des compétences reconnues dans le domaine du patrimoine culturel immatériel pour agir à titre consultatif auprès du Comité. De même, les paragraphes 91 à 96 du chapitre III.2.2 des Directives opérationnelles définissent les critères, les modalités et l</w:t>
      </w:r>
      <w:r w:rsidR="00450D0E">
        <w:rPr>
          <w:lang w:val="fr-FR"/>
        </w:rPr>
        <w:t>’</w:t>
      </w:r>
      <w:r>
        <w:rPr>
          <w:lang w:val="fr-FR"/>
        </w:rPr>
        <w:t>examen d</w:t>
      </w:r>
      <w:r w:rsidR="00F02488">
        <w:rPr>
          <w:lang w:val="fr-FR"/>
        </w:rPr>
        <w:t>e</w:t>
      </w:r>
      <w:r w:rsidR="00D0539B">
        <w:rPr>
          <w:lang w:val="fr-FR"/>
        </w:rPr>
        <w:t xml:space="preserve"> </w:t>
      </w:r>
      <w:r w:rsidR="00F02488">
        <w:rPr>
          <w:lang w:val="fr-FR"/>
        </w:rPr>
        <w:t>l’</w:t>
      </w:r>
      <w:r>
        <w:rPr>
          <w:lang w:val="fr-FR"/>
        </w:rPr>
        <w:t>accréditation des ONG, ainsi que la portée des fonctions consultatives qu</w:t>
      </w:r>
      <w:r w:rsidR="00450D0E">
        <w:rPr>
          <w:lang w:val="fr-FR"/>
        </w:rPr>
        <w:t>’</w:t>
      </w:r>
      <w:r>
        <w:rPr>
          <w:lang w:val="fr-FR"/>
        </w:rPr>
        <w:t>elles peuvent être invitées à exercer auprès du Comité. Celles-ci sont définies, entre autres, comme les fonctions d</w:t>
      </w:r>
      <w:r w:rsidR="00450D0E">
        <w:rPr>
          <w:lang w:val="fr-FR"/>
        </w:rPr>
        <w:t>’</w:t>
      </w:r>
      <w:r>
        <w:rPr>
          <w:lang w:val="fr-FR"/>
        </w:rPr>
        <w:t>évaluation des candidatures, des propositions et des demandes.</w:t>
      </w:r>
    </w:p>
    <w:p w14:paraId="2CA788E8" w14:textId="6039C98A" w:rsidR="00743D8C" w:rsidRPr="004004F4" w:rsidRDefault="004B4AC7" w:rsidP="00DD5335">
      <w:pPr>
        <w:pStyle w:val="COMPara"/>
        <w:numPr>
          <w:ilvl w:val="0"/>
          <w:numId w:val="2"/>
        </w:numPr>
        <w:ind w:left="567" w:hanging="567"/>
        <w:jc w:val="both"/>
        <w:rPr>
          <w:lang w:val="fr-FR"/>
        </w:rPr>
      </w:pPr>
      <w:r>
        <w:rPr>
          <w:lang w:val="fr-FR"/>
        </w:rPr>
        <w:t>Le Comité a lancé un processus de réflexion lors de sa douzième session en 2017 sur le rôle consultatif des ONG accréditées (</w:t>
      </w:r>
      <w:hyperlink r:id="rId8" w:history="1">
        <w:r w:rsidR="00D0539B">
          <w:rPr>
            <w:rStyle w:val="Lienhypertexte"/>
            <w:lang w:val="fr-FR"/>
          </w:rPr>
          <w:t>d</w:t>
        </w:r>
        <w:r>
          <w:rPr>
            <w:rStyle w:val="Lienhypertexte"/>
            <w:lang w:val="fr-FR"/>
          </w:rPr>
          <w:t>écision 12.COM</w:t>
        </w:r>
        <w:r w:rsidR="006920DE">
          <w:rPr>
            <w:rStyle w:val="Lienhypertexte"/>
            <w:lang w:val="fr-FR"/>
          </w:rPr>
          <w:t> </w:t>
        </w:r>
        <w:r>
          <w:rPr>
            <w:rStyle w:val="Lienhypertexte"/>
            <w:lang w:val="fr-FR"/>
          </w:rPr>
          <w:t>13</w:t>
        </w:r>
      </w:hyperlink>
      <w:r w:rsidR="00450D0E" w:rsidRPr="004004F4">
        <w:rPr>
          <w:lang w:val="fr-FR"/>
        </w:rPr>
        <w:t xml:space="preserve"> </w:t>
      </w:r>
      <w:r>
        <w:rPr>
          <w:lang w:val="fr-FR"/>
        </w:rPr>
        <w:t xml:space="preserve">et </w:t>
      </w:r>
      <w:hyperlink r:id="rId9" w:history="1">
        <w:r w:rsidR="00D0539B">
          <w:rPr>
            <w:rStyle w:val="Lienhypertexte"/>
            <w:lang w:val="fr-FR"/>
          </w:rPr>
          <w:t>d</w:t>
        </w:r>
        <w:r>
          <w:rPr>
            <w:rStyle w:val="Lienhypertexte"/>
            <w:lang w:val="fr-FR"/>
          </w:rPr>
          <w:t>écision 12.COM</w:t>
        </w:r>
        <w:r w:rsidR="006920DE">
          <w:rPr>
            <w:rStyle w:val="Lienhypertexte"/>
            <w:lang w:val="fr-FR"/>
          </w:rPr>
          <w:t> </w:t>
        </w:r>
        <w:r>
          <w:rPr>
            <w:rStyle w:val="Lienhypertexte"/>
            <w:lang w:val="fr-FR"/>
          </w:rPr>
          <w:t>17</w:t>
        </w:r>
      </w:hyperlink>
      <w:r>
        <w:rPr>
          <w:lang w:val="fr-FR"/>
        </w:rPr>
        <w:t>). Le lancement de la réflexion est principalement né de la reconnaissance du fait que, à tout moment, seules 6 des 164 ONG alors accréditées sont membres de l</w:t>
      </w:r>
      <w:r w:rsidR="00450D0E">
        <w:rPr>
          <w:lang w:val="fr-FR"/>
        </w:rPr>
        <w:t>’</w:t>
      </w:r>
      <w:r>
        <w:rPr>
          <w:lang w:val="fr-FR"/>
        </w:rPr>
        <w:t>Organe d</w:t>
      </w:r>
      <w:r w:rsidR="00450D0E">
        <w:rPr>
          <w:lang w:val="fr-FR"/>
        </w:rPr>
        <w:t>’</w:t>
      </w:r>
      <w:r>
        <w:rPr>
          <w:lang w:val="fr-FR"/>
        </w:rPr>
        <w:t xml:space="preserve">évaluation et sont donc en mesure de remplir les fonctions consultatives </w:t>
      </w:r>
      <w:r w:rsidR="002543DC">
        <w:rPr>
          <w:lang w:val="fr-FR"/>
        </w:rPr>
        <w:t xml:space="preserve">qui sont </w:t>
      </w:r>
      <w:r>
        <w:rPr>
          <w:lang w:val="fr-FR"/>
        </w:rPr>
        <w:t xml:space="preserve">attribuées </w:t>
      </w:r>
      <w:r w:rsidR="00BE2F2D">
        <w:rPr>
          <w:lang w:val="fr-FR"/>
        </w:rPr>
        <w:t xml:space="preserve">dans les Directives opérationnelles </w:t>
      </w:r>
      <w:r>
        <w:rPr>
          <w:lang w:val="fr-FR"/>
        </w:rPr>
        <w:t>aux ON</w:t>
      </w:r>
      <w:r w:rsidR="00BE2F2D">
        <w:rPr>
          <w:lang w:val="fr-FR"/>
        </w:rPr>
        <w:t>G</w:t>
      </w:r>
      <w:r w:rsidR="006270AC">
        <w:rPr>
          <w:lang w:val="fr-FR"/>
        </w:rPr>
        <w:t xml:space="preserve"> accréditées</w:t>
      </w:r>
      <w:r>
        <w:rPr>
          <w:lang w:val="fr-FR"/>
        </w:rPr>
        <w:t>. Le Comité a invité le Secrétariat ainsi qu</w:t>
      </w:r>
      <w:r w:rsidR="00450D0E">
        <w:rPr>
          <w:lang w:val="fr-FR"/>
        </w:rPr>
        <w:t>’</w:t>
      </w:r>
      <w:r>
        <w:rPr>
          <w:lang w:val="fr-FR"/>
        </w:rPr>
        <w:t>un groupe de travail ad hoc informel à réfléchir, en consultation avec les ONG accréditées, sur les moyens de renforcer la participation des ONG dans le cadre de la Convention de 2003 et sur la manière dont ces mesures se refléteraient dans les mécanismes d</w:t>
      </w:r>
      <w:r w:rsidR="00450D0E">
        <w:rPr>
          <w:lang w:val="fr-FR"/>
        </w:rPr>
        <w:t>’</w:t>
      </w:r>
      <w:r>
        <w:rPr>
          <w:lang w:val="fr-FR"/>
        </w:rPr>
        <w:t>accréditation et de renouvellement des ONG. Le présent document rend compte des conclusions de cette réflexion, à la demande de l</w:t>
      </w:r>
      <w:r w:rsidR="00450D0E">
        <w:rPr>
          <w:lang w:val="fr-FR"/>
        </w:rPr>
        <w:t>’</w:t>
      </w:r>
      <w:r>
        <w:rPr>
          <w:lang w:val="fr-FR"/>
        </w:rPr>
        <w:t>Assemblée générale lors de sa septième session en 2018 (</w:t>
      </w:r>
      <w:hyperlink r:id="rId10" w:history="1">
        <w:r w:rsidR="00D0539B">
          <w:rPr>
            <w:rStyle w:val="Lienhypertexte"/>
            <w:lang w:val="fr-FR"/>
          </w:rPr>
          <w:t>r</w:t>
        </w:r>
        <w:r>
          <w:rPr>
            <w:rStyle w:val="Lienhypertexte"/>
            <w:lang w:val="fr-FR"/>
          </w:rPr>
          <w:t>ésolution 7.GA</w:t>
        </w:r>
        <w:r w:rsidR="006920DE">
          <w:rPr>
            <w:rStyle w:val="Lienhypertexte"/>
            <w:lang w:val="fr-FR"/>
          </w:rPr>
          <w:t> </w:t>
        </w:r>
        <w:r>
          <w:rPr>
            <w:rStyle w:val="Lienhypertexte"/>
            <w:lang w:val="fr-FR"/>
          </w:rPr>
          <w:t>11</w:t>
        </w:r>
      </w:hyperlink>
      <w:r>
        <w:rPr>
          <w:lang w:val="fr-FR"/>
        </w:rPr>
        <w:t>) et du Comité lors de sa quatorzième session en 2019</w:t>
      </w:r>
      <w:r w:rsidR="002E7092">
        <w:rPr>
          <w:lang w:val="fr-FR"/>
        </w:rPr>
        <w:t xml:space="preserve"> (</w:t>
      </w:r>
      <w:hyperlink r:id="rId11" w:history="1">
        <w:r w:rsidR="00D0539B">
          <w:rPr>
            <w:rStyle w:val="Lienhypertexte"/>
            <w:lang w:val="fr-FR"/>
          </w:rPr>
          <w:t>d</w:t>
        </w:r>
        <w:r w:rsidR="002E7092">
          <w:rPr>
            <w:rStyle w:val="Lienhypertexte"/>
            <w:lang w:val="fr-FR"/>
          </w:rPr>
          <w:t>écision 14.COM</w:t>
        </w:r>
        <w:r w:rsidR="006920DE">
          <w:rPr>
            <w:rStyle w:val="Lienhypertexte"/>
            <w:lang w:val="fr-FR"/>
          </w:rPr>
          <w:t> </w:t>
        </w:r>
        <w:bookmarkStart w:id="0" w:name="_GoBack"/>
        <w:bookmarkEnd w:id="0"/>
        <w:r w:rsidR="002E7092">
          <w:rPr>
            <w:rStyle w:val="Lienhypertexte"/>
            <w:lang w:val="fr-FR"/>
          </w:rPr>
          <w:t>15</w:t>
        </w:r>
      </w:hyperlink>
      <w:r w:rsidR="002E7092">
        <w:rPr>
          <w:lang w:val="fr-FR"/>
        </w:rPr>
        <w:t>)</w:t>
      </w:r>
      <w:r>
        <w:rPr>
          <w:lang w:val="fr-FR"/>
        </w:rPr>
        <w:t>.</w:t>
      </w:r>
    </w:p>
    <w:p w14:paraId="323BF590" w14:textId="77777777" w:rsidR="00AE1D58" w:rsidRPr="004004F4" w:rsidRDefault="00AE1D58" w:rsidP="00DD5335">
      <w:pPr>
        <w:pStyle w:val="COMPara"/>
        <w:numPr>
          <w:ilvl w:val="0"/>
          <w:numId w:val="2"/>
        </w:numPr>
        <w:ind w:left="567" w:hanging="567"/>
        <w:jc w:val="both"/>
        <w:rPr>
          <w:lang w:val="fr-FR"/>
        </w:rPr>
      </w:pPr>
      <w:r>
        <w:rPr>
          <w:lang w:val="fr-FR"/>
        </w:rPr>
        <w:t xml:space="preserve">Ce processus de réflexion visait à recueillir </w:t>
      </w:r>
      <w:proofErr w:type="gramStart"/>
      <w:r>
        <w:rPr>
          <w:lang w:val="fr-FR"/>
        </w:rPr>
        <w:t>des idées sur</w:t>
      </w:r>
      <w:proofErr w:type="gramEnd"/>
      <w:r>
        <w:rPr>
          <w:lang w:val="fr-FR"/>
        </w:rPr>
        <w:t xml:space="preserve"> :</w:t>
      </w:r>
    </w:p>
    <w:p w14:paraId="41486184" w14:textId="77777777" w:rsidR="002E14C7" w:rsidRPr="004004F4" w:rsidRDefault="002E14C7" w:rsidP="00935106">
      <w:pPr>
        <w:pStyle w:val="GAPara"/>
        <w:numPr>
          <w:ilvl w:val="0"/>
          <w:numId w:val="5"/>
        </w:numPr>
        <w:jc w:val="both"/>
        <w:rPr>
          <w:lang w:val="fr-FR"/>
        </w:rPr>
      </w:pPr>
      <w:proofErr w:type="gramStart"/>
      <w:r>
        <w:rPr>
          <w:lang w:val="fr-FR"/>
        </w:rPr>
        <w:t>les</w:t>
      </w:r>
      <w:proofErr w:type="gramEnd"/>
      <w:r>
        <w:rPr>
          <w:lang w:val="fr-FR"/>
        </w:rPr>
        <w:t xml:space="preserve"> éventuelles fonctions consultatives (définies comme étant entre autres des fonctions consultatives au paragraphe 96 des Directives opérationnelles) que les ONG accréditées pourraient remplir pour les organes directeurs de la Convention ;</w:t>
      </w:r>
    </w:p>
    <w:p w14:paraId="10D1D461" w14:textId="77777777" w:rsidR="002E14C7" w:rsidRPr="004004F4" w:rsidRDefault="002E14C7" w:rsidP="00935106">
      <w:pPr>
        <w:pStyle w:val="GAPara"/>
        <w:numPr>
          <w:ilvl w:val="0"/>
          <w:numId w:val="5"/>
        </w:numPr>
        <w:jc w:val="both"/>
        <w:rPr>
          <w:lang w:val="fr-FR"/>
        </w:rPr>
      </w:pPr>
      <w:proofErr w:type="gramStart"/>
      <w:r>
        <w:rPr>
          <w:lang w:val="fr-FR"/>
        </w:rPr>
        <w:t>les</w:t>
      </w:r>
      <w:proofErr w:type="gramEnd"/>
      <w:r>
        <w:rPr>
          <w:lang w:val="fr-FR"/>
        </w:rPr>
        <w:t xml:space="preserve"> éventuelles fonctions que les ONG accréditées pourraient remplir dans le cadre de la mise en œuvre de la Convention ;</w:t>
      </w:r>
    </w:p>
    <w:p w14:paraId="5CCD5565" w14:textId="77777777" w:rsidR="002E14C7" w:rsidRPr="004004F4" w:rsidRDefault="002E14C7" w:rsidP="00935106">
      <w:pPr>
        <w:pStyle w:val="GAPara"/>
        <w:numPr>
          <w:ilvl w:val="0"/>
          <w:numId w:val="5"/>
        </w:numPr>
        <w:jc w:val="both"/>
        <w:rPr>
          <w:lang w:val="fr-FR"/>
        </w:rPr>
      </w:pPr>
      <w:proofErr w:type="gramStart"/>
      <w:r>
        <w:rPr>
          <w:lang w:val="fr-FR"/>
        </w:rPr>
        <w:t>l</w:t>
      </w:r>
      <w:r w:rsidR="00450D0E">
        <w:rPr>
          <w:lang w:val="fr-FR"/>
        </w:rPr>
        <w:t>’</w:t>
      </w:r>
      <w:r>
        <w:rPr>
          <w:lang w:val="fr-FR"/>
        </w:rPr>
        <w:t>évolution</w:t>
      </w:r>
      <w:proofErr w:type="gramEnd"/>
      <w:r>
        <w:rPr>
          <w:lang w:val="fr-FR"/>
        </w:rPr>
        <w:t xml:space="preserve"> du système d</w:t>
      </w:r>
      <w:r w:rsidR="00450D0E">
        <w:rPr>
          <w:lang w:val="fr-FR"/>
        </w:rPr>
        <w:t>’</w:t>
      </w:r>
      <w:r>
        <w:rPr>
          <w:lang w:val="fr-FR"/>
        </w:rPr>
        <w:t>accréditation des ONG ; et</w:t>
      </w:r>
    </w:p>
    <w:p w14:paraId="4C51DA75" w14:textId="77777777" w:rsidR="00F9151B" w:rsidRPr="004004F4" w:rsidRDefault="002E14C7" w:rsidP="00935106">
      <w:pPr>
        <w:pStyle w:val="GAPara"/>
        <w:numPr>
          <w:ilvl w:val="0"/>
          <w:numId w:val="5"/>
        </w:numPr>
        <w:rPr>
          <w:lang w:val="fr-FR"/>
        </w:rPr>
      </w:pPr>
      <w:proofErr w:type="gramStart"/>
      <w:r>
        <w:rPr>
          <w:lang w:val="fr-FR"/>
        </w:rPr>
        <w:t>le</w:t>
      </w:r>
      <w:proofErr w:type="gramEnd"/>
      <w:r>
        <w:rPr>
          <w:lang w:val="fr-FR"/>
        </w:rPr>
        <w:t xml:space="preserve"> rôle du Forum des ONG-PCI.</w:t>
      </w:r>
    </w:p>
    <w:p w14:paraId="7B36A161" w14:textId="3D408D34" w:rsidR="002163AB" w:rsidRPr="004004F4" w:rsidRDefault="00011C3D" w:rsidP="00DD5335">
      <w:pPr>
        <w:pStyle w:val="COMPara"/>
        <w:numPr>
          <w:ilvl w:val="0"/>
          <w:numId w:val="2"/>
        </w:numPr>
        <w:ind w:left="567" w:hanging="567"/>
        <w:jc w:val="both"/>
        <w:rPr>
          <w:lang w:val="fr-FR"/>
        </w:rPr>
      </w:pPr>
      <w:r>
        <w:rPr>
          <w:lang w:val="fr-FR"/>
        </w:rPr>
        <w:t xml:space="preserve">Comme première étape de la réflexion, le Secrétariat a organisé une consultation électronique de septembre à octobre 2018 sur la définition des fonctions consultatives que doivent exercer les ONG accréditées et sur les </w:t>
      </w:r>
      <w:r w:rsidR="000F28B9">
        <w:rPr>
          <w:lang w:val="fr-FR"/>
        </w:rPr>
        <w:t>pistes d’évolution</w:t>
      </w:r>
      <w:r>
        <w:rPr>
          <w:lang w:val="fr-FR"/>
        </w:rPr>
        <w:t xml:space="preserve"> du système d</w:t>
      </w:r>
      <w:r w:rsidR="00450D0E">
        <w:rPr>
          <w:lang w:val="fr-FR"/>
        </w:rPr>
        <w:t>’</w:t>
      </w:r>
      <w:r>
        <w:rPr>
          <w:lang w:val="fr-FR"/>
        </w:rPr>
        <w:t>accréditation. Au total, 38 États parties et 68 ONG accréditées ont participé à cette consultation, dont les conclusions initiales ont été présentées lors de la treizième session du Comité en 2018 (</w:t>
      </w:r>
      <w:hyperlink r:id="rId12" w:history="1">
        <w:r w:rsidRPr="00923172">
          <w:rPr>
            <w:rStyle w:val="Lienhypertexte"/>
            <w:lang w:val="fr-FR"/>
          </w:rPr>
          <w:t>document</w:t>
        </w:r>
        <w:r w:rsidR="00D0539B">
          <w:rPr>
            <w:rStyle w:val="Lienhypertexte"/>
            <w:lang w:val="fr-FR"/>
          </w:rPr>
          <w:t> </w:t>
        </w:r>
        <w:r w:rsidRPr="00923172">
          <w:rPr>
            <w:rStyle w:val="Lienhypertexte"/>
            <w:lang w:val="fr-FR"/>
          </w:rPr>
          <w:t>ITH/18/13.COM/13)</w:t>
        </w:r>
      </w:hyperlink>
      <w:r>
        <w:rPr>
          <w:lang w:val="fr-FR"/>
        </w:rPr>
        <w:t>. Tout en prenant note du processus de consultation, le Comité a demandé au Secrétariat de poursuivre la réflexion et de présenter les conclusions et les propositions de révision du système d</w:t>
      </w:r>
      <w:r w:rsidR="00450D0E">
        <w:rPr>
          <w:lang w:val="fr-FR"/>
        </w:rPr>
        <w:t>’</w:t>
      </w:r>
      <w:r>
        <w:rPr>
          <w:lang w:val="fr-FR"/>
        </w:rPr>
        <w:t>accréditation lors de sa quatorzième session (</w:t>
      </w:r>
      <w:hyperlink r:id="rId13" w:history="1">
        <w:r w:rsidR="00D0539B">
          <w:rPr>
            <w:rStyle w:val="Lienhypertexte"/>
            <w:lang w:val="fr-FR"/>
          </w:rPr>
          <w:t>d</w:t>
        </w:r>
        <w:r>
          <w:rPr>
            <w:rStyle w:val="Lienhypertexte"/>
            <w:lang w:val="fr-FR"/>
          </w:rPr>
          <w:t>écision</w:t>
        </w:r>
        <w:r w:rsidR="00D0539B">
          <w:rPr>
            <w:rStyle w:val="Lienhypertexte"/>
            <w:lang w:val="fr-FR"/>
          </w:rPr>
          <w:t> </w:t>
        </w:r>
        <w:r>
          <w:rPr>
            <w:rStyle w:val="Lienhypertexte"/>
            <w:lang w:val="fr-FR"/>
          </w:rPr>
          <w:t>13.COM 13</w:t>
        </w:r>
      </w:hyperlink>
      <w:r>
        <w:rPr>
          <w:lang w:val="fr-FR"/>
        </w:rPr>
        <w:t>). Une réunion de consultation physique organisée le 18 avril 2019 au siège de l</w:t>
      </w:r>
      <w:r w:rsidR="00450D0E">
        <w:rPr>
          <w:lang w:val="fr-FR"/>
        </w:rPr>
        <w:t>’</w:t>
      </w:r>
      <w:r>
        <w:rPr>
          <w:lang w:val="fr-FR"/>
        </w:rPr>
        <w:t xml:space="preserve">UNESCO a fait suite à la consultation électronique. Le </w:t>
      </w:r>
      <w:hyperlink r:id="rId14" w:history="1">
        <w:r w:rsidR="005A3D1A" w:rsidRPr="005A3D1A">
          <w:rPr>
            <w:rStyle w:val="Lienhypertexte"/>
            <w:lang w:val="fr-FR"/>
          </w:rPr>
          <w:t>rapport de la réunion de</w:t>
        </w:r>
        <w:r w:rsidR="00B9382E">
          <w:rPr>
            <w:rStyle w:val="Lienhypertexte"/>
            <w:lang w:val="fr-FR"/>
          </w:rPr>
          <w:t> </w:t>
        </w:r>
        <w:r w:rsidR="005A3D1A" w:rsidRPr="005A3D1A">
          <w:rPr>
            <w:rStyle w:val="Lienhypertexte"/>
            <w:lang w:val="fr-FR"/>
          </w:rPr>
          <w:t>consultation</w:t>
        </w:r>
      </w:hyperlink>
      <w:r w:rsidR="00450D0E" w:rsidRPr="004004F4">
        <w:rPr>
          <w:lang w:val="fr-FR"/>
        </w:rPr>
        <w:t xml:space="preserve"> </w:t>
      </w:r>
      <w:r>
        <w:rPr>
          <w:lang w:val="fr-FR"/>
        </w:rPr>
        <w:t>a été examiné par le Comité directeur du Forum des ONG-PCI, avant d</w:t>
      </w:r>
      <w:r w:rsidR="00450D0E">
        <w:rPr>
          <w:lang w:val="fr-FR"/>
        </w:rPr>
        <w:t>’</w:t>
      </w:r>
      <w:r>
        <w:rPr>
          <w:lang w:val="fr-FR"/>
        </w:rPr>
        <w:t>être communiqué aux États parties et aux ONG accréditées en août 2019. Les conclusions de cette réflexion ont été présentées à l</w:t>
      </w:r>
      <w:r w:rsidR="00450D0E">
        <w:rPr>
          <w:lang w:val="fr-FR"/>
        </w:rPr>
        <w:t>’</w:t>
      </w:r>
      <w:r>
        <w:rPr>
          <w:lang w:val="fr-FR"/>
        </w:rPr>
        <w:t>occasion de la quatorzième session du Comité en novembre-décembre 2019 (voir section II ci-dessous).</w:t>
      </w:r>
    </w:p>
    <w:p w14:paraId="79D9EF22" w14:textId="44D5ADB5" w:rsidR="002163AB" w:rsidRPr="004004F4" w:rsidRDefault="002163AB" w:rsidP="00DD5335">
      <w:pPr>
        <w:pStyle w:val="COMPara"/>
        <w:numPr>
          <w:ilvl w:val="0"/>
          <w:numId w:val="2"/>
        </w:numPr>
        <w:ind w:left="567" w:hanging="567"/>
        <w:jc w:val="both"/>
        <w:rPr>
          <w:lang w:val="fr-FR"/>
        </w:rPr>
      </w:pPr>
      <w:r>
        <w:rPr>
          <w:lang w:val="fr-FR"/>
        </w:rPr>
        <w:t>Au total, 76 États et 99 ONG accréditées ont participé à au moins une étape du processus de réflexion organisé par le Secrétariat. Bien que toutes les ONG accréditées et tous les États parties n</w:t>
      </w:r>
      <w:r w:rsidR="00450D0E">
        <w:rPr>
          <w:lang w:val="fr-FR"/>
        </w:rPr>
        <w:t>’</w:t>
      </w:r>
      <w:r>
        <w:rPr>
          <w:lang w:val="fr-FR"/>
        </w:rPr>
        <w:t>aient pas pris part à la consultation électronique, un échantillon représentatif d</w:t>
      </w:r>
      <w:r w:rsidR="00450D0E">
        <w:rPr>
          <w:lang w:val="fr-FR"/>
        </w:rPr>
        <w:t>’</w:t>
      </w:r>
      <w:r>
        <w:rPr>
          <w:lang w:val="fr-FR"/>
        </w:rPr>
        <w:t xml:space="preserve">opinions a pu être recueilli (56 % des ONG accréditées et 43 % des États parties). Parallèlement et dans le cadre de son mandat, le groupe de travail informel ad hoc à composition non limitée (créé par la onzième session du Comité en 2016 et prolongé en 2017 par la </w:t>
      </w:r>
      <w:hyperlink r:id="rId15" w:history="1">
        <w:r w:rsidR="00D0539B">
          <w:rPr>
            <w:rStyle w:val="Lienhypertexte"/>
            <w:lang w:val="fr-FR"/>
          </w:rPr>
          <w:t>d</w:t>
        </w:r>
        <w:r>
          <w:rPr>
            <w:rStyle w:val="Lienhypertexte"/>
            <w:lang w:val="fr-FR"/>
          </w:rPr>
          <w:t>écision 12.COM 13</w:t>
        </w:r>
      </w:hyperlink>
      <w:r w:rsidR="00450D0E" w:rsidRPr="004004F4">
        <w:rPr>
          <w:lang w:val="fr-FR"/>
        </w:rPr>
        <w:t xml:space="preserve"> </w:t>
      </w:r>
      <w:r>
        <w:rPr>
          <w:lang w:val="fr-FR"/>
        </w:rPr>
        <w:t xml:space="preserve">et en 2018 par la </w:t>
      </w:r>
      <w:hyperlink r:id="rId16" w:history="1">
        <w:r w:rsidR="00D0539B">
          <w:rPr>
            <w:rStyle w:val="Lienhypertexte"/>
            <w:lang w:val="fr-FR"/>
          </w:rPr>
          <w:t>d</w:t>
        </w:r>
        <w:r>
          <w:rPr>
            <w:rStyle w:val="Lienhypertexte"/>
            <w:lang w:val="fr-FR"/>
          </w:rPr>
          <w:t>écision 13.COM 16</w:t>
        </w:r>
      </w:hyperlink>
      <w:r>
        <w:rPr>
          <w:lang w:val="fr-FR"/>
        </w:rPr>
        <w:t xml:space="preserve">) a mené des discussions </w:t>
      </w:r>
      <w:r>
        <w:rPr>
          <w:lang w:val="fr-FR"/>
        </w:rPr>
        <w:lastRenderedPageBreak/>
        <w:t>qui ont abouti à une série de recommandations concernant la participation des ONG, qui sont en accord avec les principales conclusions décrites ci-dessous (</w:t>
      </w:r>
      <w:hyperlink r:id="rId17" w:history="1">
        <w:r w:rsidR="00D0539B">
          <w:rPr>
            <w:rStyle w:val="Lienhypertexte"/>
            <w:lang w:val="fr-FR"/>
          </w:rPr>
          <w:t>d</w:t>
        </w:r>
        <w:r>
          <w:rPr>
            <w:rStyle w:val="Lienhypertexte"/>
            <w:lang w:val="fr-FR"/>
          </w:rPr>
          <w:t>écision 14.COM 16</w:t>
        </w:r>
      </w:hyperlink>
      <w:r w:rsidR="00450D0E" w:rsidRPr="004004F4">
        <w:rPr>
          <w:lang w:val="fr-FR"/>
        </w:rPr>
        <w:t xml:space="preserve"> </w:t>
      </w:r>
      <w:r>
        <w:rPr>
          <w:lang w:val="fr-FR"/>
        </w:rPr>
        <w:t xml:space="preserve">et </w:t>
      </w:r>
      <w:hyperlink r:id="rId18" w:history="1">
        <w:r w:rsidR="001449E6" w:rsidRPr="00E217CD">
          <w:rPr>
            <w:rStyle w:val="Lienhypertexte"/>
            <w:lang w:val="fr-FR"/>
          </w:rPr>
          <w:t>document LHE/19/14.COM/16</w:t>
        </w:r>
      </w:hyperlink>
      <w:r>
        <w:rPr>
          <w:rStyle w:val="Lienhypertexte"/>
          <w:color w:val="auto"/>
          <w:lang w:val="fr-FR"/>
        </w:rPr>
        <w:t>)</w:t>
      </w:r>
      <w:r>
        <w:rPr>
          <w:lang w:val="fr-FR"/>
        </w:rPr>
        <w:t>.</w:t>
      </w:r>
    </w:p>
    <w:p w14:paraId="38B7F6F2" w14:textId="77777777" w:rsidR="00B16BF6" w:rsidRDefault="00320D43" w:rsidP="00DD5335">
      <w:pPr>
        <w:pStyle w:val="Titre4"/>
        <w:spacing w:before="240"/>
        <w:ind w:left="567" w:hanging="425"/>
      </w:pPr>
      <w:r>
        <w:rPr>
          <w:lang w:val="fr-FR"/>
        </w:rPr>
        <w:t>Principales conclusions de la réflexion</w:t>
      </w:r>
    </w:p>
    <w:p w14:paraId="048964AE" w14:textId="5475C568" w:rsidR="00775E5C" w:rsidRPr="004004F4" w:rsidRDefault="00A80BDC" w:rsidP="00DD5335">
      <w:pPr>
        <w:pStyle w:val="COMPara"/>
        <w:numPr>
          <w:ilvl w:val="0"/>
          <w:numId w:val="2"/>
        </w:numPr>
        <w:ind w:left="567" w:hanging="567"/>
        <w:jc w:val="both"/>
        <w:rPr>
          <w:bCs/>
          <w:lang w:val="fr-FR"/>
        </w:rPr>
      </w:pPr>
      <w:r>
        <w:rPr>
          <w:lang w:val="fr-FR"/>
        </w:rPr>
        <w:t>Alors qu</w:t>
      </w:r>
      <w:r w:rsidR="00450D0E">
        <w:rPr>
          <w:lang w:val="fr-FR"/>
        </w:rPr>
        <w:t>’</w:t>
      </w:r>
      <w:r>
        <w:rPr>
          <w:lang w:val="fr-FR"/>
        </w:rPr>
        <w:t>une analyse détaillée des conclusions de la réflexion a été présentée lors de la quatorzième session du Comité (</w:t>
      </w:r>
      <w:hyperlink r:id="rId19" w:history="1">
        <w:r w:rsidR="00354EF5" w:rsidRPr="00354EF5">
          <w:rPr>
            <w:rStyle w:val="Lienhypertexte"/>
            <w:lang w:val="fr-FR"/>
          </w:rPr>
          <w:t>document LHE/19/14.COM 15</w:t>
        </w:r>
      </w:hyperlink>
      <w:r>
        <w:rPr>
          <w:lang w:val="fr-FR"/>
        </w:rPr>
        <w:t>), les principales conclusions peuvent être synthétisées comme suit :</w:t>
      </w:r>
    </w:p>
    <w:p w14:paraId="25E8149F" w14:textId="77777777" w:rsidR="00775E5C" w:rsidRPr="004004F4" w:rsidRDefault="00775E5C" w:rsidP="00DD5335">
      <w:pPr>
        <w:pStyle w:val="GAPara"/>
        <w:numPr>
          <w:ilvl w:val="0"/>
          <w:numId w:val="5"/>
        </w:numPr>
        <w:jc w:val="both"/>
        <w:rPr>
          <w:bCs/>
          <w:lang w:val="fr-FR"/>
        </w:rPr>
      </w:pPr>
      <w:r>
        <w:rPr>
          <w:lang w:val="fr-FR"/>
        </w:rPr>
        <w:t xml:space="preserve">En ce qui concerne la </w:t>
      </w:r>
      <w:r>
        <w:rPr>
          <w:u w:val="single"/>
          <w:lang w:val="fr-FR"/>
        </w:rPr>
        <w:t>finalité du système d</w:t>
      </w:r>
      <w:r w:rsidR="00450D0E">
        <w:rPr>
          <w:u w:val="single"/>
          <w:lang w:val="fr-FR"/>
        </w:rPr>
        <w:t>’</w:t>
      </w:r>
      <w:r>
        <w:rPr>
          <w:u w:val="single"/>
          <w:lang w:val="fr-FR"/>
        </w:rPr>
        <w:t>accréditation</w:t>
      </w:r>
      <w:r>
        <w:rPr>
          <w:lang w:val="fr-FR"/>
        </w:rPr>
        <w:t>, deux visions se distinguent : d</w:t>
      </w:r>
      <w:r w:rsidR="00450D0E">
        <w:rPr>
          <w:lang w:val="fr-FR"/>
        </w:rPr>
        <w:t>’</w:t>
      </w:r>
      <w:r>
        <w:rPr>
          <w:lang w:val="fr-FR"/>
        </w:rPr>
        <w:t>une part, l</w:t>
      </w:r>
      <w:r w:rsidR="00450D0E">
        <w:rPr>
          <w:lang w:val="fr-FR"/>
        </w:rPr>
        <w:t>’</w:t>
      </w:r>
      <w:r>
        <w:rPr>
          <w:lang w:val="fr-FR"/>
        </w:rPr>
        <w:t>accréditation est considérée comme fournissant l</w:t>
      </w:r>
      <w:r w:rsidR="00450D0E">
        <w:rPr>
          <w:lang w:val="fr-FR"/>
        </w:rPr>
        <w:t>’</w:t>
      </w:r>
      <w:r>
        <w:rPr>
          <w:lang w:val="fr-FR"/>
        </w:rPr>
        <w:t>expertise et l</w:t>
      </w:r>
      <w:r w:rsidR="00450D0E">
        <w:rPr>
          <w:lang w:val="fr-FR"/>
        </w:rPr>
        <w:t>’</w:t>
      </w:r>
      <w:r>
        <w:rPr>
          <w:lang w:val="fr-FR"/>
        </w:rPr>
        <w:t>expérience aux ONG au sens de l</w:t>
      </w:r>
      <w:r w:rsidR="00450D0E">
        <w:rPr>
          <w:lang w:val="fr-FR"/>
        </w:rPr>
        <w:t>’</w:t>
      </w:r>
      <w:r>
        <w:rPr>
          <w:lang w:val="fr-FR"/>
        </w:rPr>
        <w:t>article 9.1 de la Convention et du paragraphe 96 des Directives opérationnelles ; d</w:t>
      </w:r>
      <w:r w:rsidR="00450D0E">
        <w:rPr>
          <w:lang w:val="fr-FR"/>
        </w:rPr>
        <w:t>’</w:t>
      </w:r>
      <w:r>
        <w:rPr>
          <w:lang w:val="fr-FR"/>
        </w:rPr>
        <w:t>autre part, le système d</w:t>
      </w:r>
      <w:r w:rsidR="00450D0E">
        <w:rPr>
          <w:lang w:val="fr-FR"/>
        </w:rPr>
        <w:t>’</w:t>
      </w:r>
      <w:r>
        <w:rPr>
          <w:lang w:val="fr-FR"/>
        </w:rPr>
        <w:t>accréditation est vu comme un système d</w:t>
      </w:r>
      <w:r w:rsidR="00450D0E">
        <w:rPr>
          <w:lang w:val="fr-FR"/>
        </w:rPr>
        <w:t>’</w:t>
      </w:r>
      <w:r>
        <w:rPr>
          <w:lang w:val="fr-FR"/>
        </w:rPr>
        <w:t>affiliation, grâce auquel les ONG peuvent être identifiées et peuvent bénéficier d</w:t>
      </w:r>
      <w:r w:rsidR="00450D0E">
        <w:rPr>
          <w:lang w:val="fr-FR"/>
        </w:rPr>
        <w:t>’</w:t>
      </w:r>
      <w:r>
        <w:rPr>
          <w:lang w:val="fr-FR"/>
        </w:rPr>
        <w:t>une reconnaissance internationale.</w:t>
      </w:r>
    </w:p>
    <w:p w14:paraId="536BCE15" w14:textId="77777777" w:rsidR="00775E5C" w:rsidRPr="004004F4" w:rsidRDefault="00C518F0" w:rsidP="00DD5335">
      <w:pPr>
        <w:pStyle w:val="GAPara"/>
        <w:numPr>
          <w:ilvl w:val="0"/>
          <w:numId w:val="5"/>
        </w:numPr>
        <w:jc w:val="both"/>
        <w:rPr>
          <w:bCs/>
          <w:lang w:val="fr-FR"/>
        </w:rPr>
      </w:pPr>
      <w:r>
        <w:rPr>
          <w:lang w:val="fr-FR"/>
        </w:rPr>
        <w:t xml:space="preserve">En ce qui concerne la </w:t>
      </w:r>
      <w:r>
        <w:rPr>
          <w:u w:val="single"/>
          <w:lang w:val="fr-FR"/>
        </w:rPr>
        <w:t>définition des fonctions consultatives</w:t>
      </w:r>
      <w:r>
        <w:rPr>
          <w:lang w:val="fr-FR"/>
        </w:rPr>
        <w:t xml:space="preserve"> attribuées aux ONG, deux grandes catégories se sont dégagées, correspondant aux deux visions du système d</w:t>
      </w:r>
      <w:r w:rsidR="00450D0E">
        <w:rPr>
          <w:lang w:val="fr-FR"/>
        </w:rPr>
        <w:t>’</w:t>
      </w:r>
      <w:r>
        <w:rPr>
          <w:lang w:val="fr-FR"/>
        </w:rPr>
        <w:t>accréditation décrites ci-dessus : les ONG sont considérées à la fois comme des organisations consultatives auprès du Comité et comme des parties prenantes dans la mise en œuvre de la Convention.</w:t>
      </w:r>
    </w:p>
    <w:p w14:paraId="69CDEFEA" w14:textId="77777777" w:rsidR="00EC0AFC" w:rsidRPr="004004F4" w:rsidRDefault="00EC0AFC" w:rsidP="00DD5335">
      <w:pPr>
        <w:pStyle w:val="GAPara"/>
        <w:numPr>
          <w:ilvl w:val="0"/>
          <w:numId w:val="5"/>
        </w:numPr>
        <w:jc w:val="both"/>
        <w:rPr>
          <w:bCs/>
          <w:lang w:val="fr-FR"/>
        </w:rPr>
      </w:pPr>
      <w:r>
        <w:rPr>
          <w:u w:val="single"/>
          <w:lang w:val="fr-FR"/>
        </w:rPr>
        <w:t>En ce qui concerne les processus et les critères appliqués à l</w:t>
      </w:r>
      <w:r w:rsidR="00450D0E">
        <w:rPr>
          <w:u w:val="single"/>
          <w:lang w:val="fr-FR"/>
        </w:rPr>
        <w:t>’</w:t>
      </w:r>
      <w:r>
        <w:rPr>
          <w:u w:val="single"/>
          <w:lang w:val="fr-FR"/>
        </w:rPr>
        <w:t>accréditation et à l</w:t>
      </w:r>
      <w:r w:rsidR="00450D0E">
        <w:rPr>
          <w:u w:val="single"/>
          <w:lang w:val="fr-FR"/>
        </w:rPr>
        <w:t>’</w:t>
      </w:r>
      <w:r>
        <w:rPr>
          <w:u w:val="single"/>
          <w:lang w:val="fr-FR"/>
        </w:rPr>
        <w:t>examen de l</w:t>
      </w:r>
      <w:r w:rsidR="00450D0E">
        <w:rPr>
          <w:u w:val="single"/>
          <w:lang w:val="fr-FR"/>
        </w:rPr>
        <w:t>’</w:t>
      </w:r>
      <w:r>
        <w:rPr>
          <w:u w:val="single"/>
          <w:lang w:val="fr-FR"/>
        </w:rPr>
        <w:t>accréditation</w:t>
      </w:r>
      <w:r>
        <w:rPr>
          <w:lang w:val="fr-FR"/>
        </w:rPr>
        <w:t>, il a été largement reconnu que lors du réexamen de l</w:t>
      </w:r>
      <w:r w:rsidR="00450D0E">
        <w:rPr>
          <w:lang w:val="fr-FR"/>
        </w:rPr>
        <w:t>’</w:t>
      </w:r>
      <w:r>
        <w:rPr>
          <w:lang w:val="fr-FR"/>
        </w:rPr>
        <w:t>accréditation, la contribution et l</w:t>
      </w:r>
      <w:r w:rsidR="00450D0E">
        <w:rPr>
          <w:lang w:val="fr-FR"/>
        </w:rPr>
        <w:t>’</w:t>
      </w:r>
      <w:r>
        <w:rPr>
          <w:lang w:val="fr-FR"/>
        </w:rPr>
        <w:t>engagement des ONG accréditées (paragraphe 94 des Directives opérationnelles) devraient être évalués sur la base des mêmes critères que ceux utilisés pour l</w:t>
      </w:r>
      <w:r w:rsidR="00450D0E">
        <w:rPr>
          <w:lang w:val="fr-FR"/>
        </w:rPr>
        <w:t>’</w:t>
      </w:r>
      <w:r>
        <w:rPr>
          <w:lang w:val="fr-FR"/>
        </w:rPr>
        <w:t>accréditation des ONG en premier lieu (paragraphe 91 des Directives opérationnelles).</w:t>
      </w:r>
    </w:p>
    <w:p w14:paraId="1C79E09E" w14:textId="77777777" w:rsidR="00C518F0" w:rsidRPr="004004F4" w:rsidRDefault="006F2CFC" w:rsidP="00DD5335">
      <w:pPr>
        <w:pStyle w:val="GAPara"/>
        <w:numPr>
          <w:ilvl w:val="0"/>
          <w:numId w:val="5"/>
        </w:numPr>
        <w:jc w:val="both"/>
        <w:rPr>
          <w:bCs/>
          <w:lang w:val="fr-FR"/>
        </w:rPr>
      </w:pPr>
      <w:r>
        <w:rPr>
          <w:lang w:val="fr-FR"/>
        </w:rPr>
        <w:t xml:space="preserve">La possibilité de créer une « </w:t>
      </w:r>
      <w:r>
        <w:rPr>
          <w:u w:val="single"/>
          <w:lang w:val="fr-FR"/>
        </w:rPr>
        <w:t>organisation cadre</w:t>
      </w:r>
      <w:r>
        <w:rPr>
          <w:lang w:val="fr-FR"/>
        </w:rPr>
        <w:t> », responsable de l</w:t>
      </w:r>
      <w:r w:rsidR="00450D0E">
        <w:rPr>
          <w:lang w:val="fr-FR"/>
        </w:rPr>
        <w:t>’</w:t>
      </w:r>
      <w:r>
        <w:rPr>
          <w:lang w:val="fr-FR"/>
        </w:rPr>
        <w:t>accréditation et de la révision de l</w:t>
      </w:r>
      <w:r w:rsidR="00450D0E">
        <w:rPr>
          <w:lang w:val="fr-FR"/>
        </w:rPr>
        <w:t>’</w:t>
      </w:r>
      <w:r>
        <w:rPr>
          <w:lang w:val="fr-FR"/>
        </w:rPr>
        <w:t>accréditation, ainsi que de la coordination du soutien consultatif de la part des ONG, a été envisagée. La proposition n</w:t>
      </w:r>
      <w:r w:rsidR="00450D0E">
        <w:rPr>
          <w:lang w:val="fr-FR"/>
        </w:rPr>
        <w:t>’</w:t>
      </w:r>
      <w:r>
        <w:rPr>
          <w:lang w:val="fr-FR"/>
        </w:rPr>
        <w:t>a pas fait l</w:t>
      </w:r>
      <w:r w:rsidR="00450D0E">
        <w:rPr>
          <w:lang w:val="fr-FR"/>
        </w:rPr>
        <w:t>’</w:t>
      </w:r>
      <w:r>
        <w:rPr>
          <w:lang w:val="fr-FR"/>
        </w:rPr>
        <w:t>objet d</w:t>
      </w:r>
      <w:r w:rsidR="00450D0E">
        <w:rPr>
          <w:lang w:val="fr-FR"/>
        </w:rPr>
        <w:t>’</w:t>
      </w:r>
      <w:r>
        <w:rPr>
          <w:lang w:val="fr-FR"/>
        </w:rPr>
        <w:t>un consensus, et les États et les ONG accréditées se sont plutôt penchés sur l</w:t>
      </w:r>
      <w:r w:rsidR="00450D0E">
        <w:rPr>
          <w:lang w:val="fr-FR"/>
        </w:rPr>
        <w:t>’</w:t>
      </w:r>
      <w:r>
        <w:rPr>
          <w:lang w:val="fr-FR"/>
        </w:rPr>
        <w:t>amélioration du système actuel ou, à défaut, sur une approche hybride, dans laquelle l</w:t>
      </w:r>
      <w:r w:rsidR="00450D0E">
        <w:rPr>
          <w:lang w:val="fr-FR"/>
        </w:rPr>
        <w:t>’</w:t>
      </w:r>
      <w:r>
        <w:rPr>
          <w:lang w:val="fr-FR"/>
        </w:rPr>
        <w:t>accréditation actuelle serait améliorée et où le Forum des ONG-PCI pourrait jouer un rôle.</w:t>
      </w:r>
    </w:p>
    <w:p w14:paraId="0AAAC380" w14:textId="77777777" w:rsidR="00833C85" w:rsidRPr="004004F4" w:rsidRDefault="00833C85" w:rsidP="00DD5335">
      <w:pPr>
        <w:pStyle w:val="GAPara"/>
        <w:numPr>
          <w:ilvl w:val="0"/>
          <w:numId w:val="5"/>
        </w:numPr>
        <w:jc w:val="both"/>
        <w:rPr>
          <w:lang w:val="fr-FR"/>
        </w:rPr>
      </w:pPr>
      <w:r>
        <w:rPr>
          <w:lang w:val="fr-FR"/>
        </w:rPr>
        <w:t xml:space="preserve">Le </w:t>
      </w:r>
      <w:r>
        <w:rPr>
          <w:u w:val="single"/>
          <w:lang w:val="fr-FR"/>
        </w:rPr>
        <w:t>déséquilibre de la répartition géographique</w:t>
      </w:r>
      <w:r>
        <w:rPr>
          <w:lang w:val="fr-FR"/>
        </w:rPr>
        <w:t xml:space="preserve"> des ONG accréditées avait été identifié comme l</w:t>
      </w:r>
      <w:r w:rsidR="00450D0E">
        <w:rPr>
          <w:lang w:val="fr-FR"/>
        </w:rPr>
        <w:t>’</w:t>
      </w:r>
      <w:r>
        <w:rPr>
          <w:lang w:val="fr-FR"/>
        </w:rPr>
        <w:t xml:space="preserve">un des problèmes </w:t>
      </w:r>
      <w:r w:rsidR="00450D0E">
        <w:rPr>
          <w:lang w:val="fr-FR"/>
        </w:rPr>
        <w:t>majeurs.</w:t>
      </w:r>
      <w:r w:rsidR="00450D0E">
        <w:rPr>
          <w:shd w:val="clear" w:color="auto" w:fill="FFFFFF" w:themeFill="background1"/>
          <w:lang w:val="fr-FR"/>
        </w:rPr>
        <w:t xml:space="preserve"> Le</w:t>
      </w:r>
      <w:r>
        <w:rPr>
          <w:shd w:val="clear" w:color="auto" w:fill="FFFFFF" w:themeFill="background1"/>
          <w:lang w:val="fr-FR"/>
        </w:rPr>
        <w:t xml:space="preserve"> processus de réflexion a révélé que</w:t>
      </w:r>
      <w:r>
        <w:rPr>
          <w:lang w:val="fr-FR"/>
        </w:rPr>
        <w:t xml:space="preserve"> la possibilité d</w:t>
      </w:r>
      <w:r w:rsidR="00450D0E">
        <w:rPr>
          <w:lang w:val="fr-FR"/>
        </w:rPr>
        <w:t>’</w:t>
      </w:r>
      <w:r>
        <w:rPr>
          <w:lang w:val="fr-FR"/>
        </w:rPr>
        <w:t>établir un plafond d</w:t>
      </w:r>
      <w:r w:rsidR="00450D0E">
        <w:rPr>
          <w:lang w:val="fr-FR"/>
        </w:rPr>
        <w:t>’</w:t>
      </w:r>
      <w:r>
        <w:rPr>
          <w:lang w:val="fr-FR"/>
        </w:rPr>
        <w:t xml:space="preserve">ONG accréditées dans les régions </w:t>
      </w:r>
      <w:r w:rsidR="00450D0E">
        <w:rPr>
          <w:lang w:val="fr-FR"/>
        </w:rPr>
        <w:t>surreprésentées</w:t>
      </w:r>
      <w:r>
        <w:rPr>
          <w:lang w:val="fr-FR"/>
        </w:rPr>
        <w:t xml:space="preserve"> n</w:t>
      </w:r>
      <w:r w:rsidR="00450D0E">
        <w:rPr>
          <w:lang w:val="fr-FR"/>
        </w:rPr>
        <w:t>’</w:t>
      </w:r>
      <w:r>
        <w:rPr>
          <w:lang w:val="fr-FR"/>
        </w:rPr>
        <w:t>était pas la bienvenue. En revanche, les initiatives de sensibilisation au système d</w:t>
      </w:r>
      <w:r w:rsidR="00450D0E">
        <w:rPr>
          <w:lang w:val="fr-FR"/>
        </w:rPr>
        <w:t>’</w:t>
      </w:r>
      <w:r>
        <w:rPr>
          <w:lang w:val="fr-FR"/>
        </w:rPr>
        <w:t>accréditation et de renforcement des capacités des ONG provenant de régions sous-représentées ont reçu un accueil positif.</w:t>
      </w:r>
    </w:p>
    <w:p w14:paraId="541ABE85" w14:textId="1E8FA9C3" w:rsidR="00066988" w:rsidRPr="004004F4" w:rsidRDefault="00375EC4" w:rsidP="00DD5335">
      <w:pPr>
        <w:pStyle w:val="COMPara"/>
        <w:numPr>
          <w:ilvl w:val="0"/>
          <w:numId w:val="2"/>
        </w:numPr>
        <w:ind w:left="567" w:hanging="567"/>
        <w:jc w:val="both"/>
        <w:rPr>
          <w:lang w:val="fr-FR"/>
        </w:rPr>
      </w:pPr>
      <w:r>
        <w:rPr>
          <w:lang w:val="fr-FR"/>
        </w:rPr>
        <w:t>La quatorzième session du Comité en 2019 a longuement discuté des conclusions de la réflexion (</w:t>
      </w:r>
      <w:hyperlink r:id="rId20" w:history="1">
        <w:r w:rsidR="00D0539B">
          <w:rPr>
            <w:rStyle w:val="Lienhypertexte"/>
            <w:lang w:val="fr-FR"/>
          </w:rPr>
          <w:t>d</w:t>
        </w:r>
        <w:r>
          <w:rPr>
            <w:rStyle w:val="Lienhypertexte"/>
            <w:lang w:val="fr-FR"/>
          </w:rPr>
          <w:t>écision 14.COM 15</w:t>
        </w:r>
      </w:hyperlink>
      <w:r>
        <w:rPr>
          <w:lang w:val="fr-FR"/>
        </w:rPr>
        <w:t>). Le Comité a réaffirmé que les ONG accréditées dans le cadre de la Convention de 2003, quelles que soient leur taille et leurs capacités, sont de précieux gardiens de la Convention. La session a également permis au Comité de s</w:t>
      </w:r>
      <w:r w:rsidR="00450D0E">
        <w:rPr>
          <w:lang w:val="fr-FR"/>
        </w:rPr>
        <w:t>’</w:t>
      </w:r>
      <w:r>
        <w:rPr>
          <w:lang w:val="fr-FR"/>
        </w:rPr>
        <w:t>informer des récents développements dans le cadre du Forum des ONG-PCI qui a adopté ses statuts</w:t>
      </w:r>
      <w:r>
        <w:rPr>
          <w:rStyle w:val="Appelnotedebasdep"/>
          <w:lang w:val="fr-FR"/>
        </w:rPr>
        <w:footnoteReference w:id="1"/>
      </w:r>
      <w:r>
        <w:rPr>
          <w:lang w:val="fr-FR"/>
        </w:rPr>
        <w:t xml:space="preserve"> et son code de conduite ainsi que ses récents engagements thématiques (en particulier </w:t>
      </w:r>
      <w:r>
        <w:rPr>
          <w:lang w:val="fr-FR"/>
        </w:rPr>
        <w:lastRenderedPageBreak/>
        <w:t xml:space="preserve">concernant le patrimoine culturel immatériel dans les </w:t>
      </w:r>
      <w:r w:rsidR="00CE3667">
        <w:rPr>
          <w:lang w:val="fr-FR"/>
        </w:rPr>
        <w:t>contextes</w:t>
      </w:r>
      <w:r>
        <w:rPr>
          <w:lang w:val="fr-FR"/>
        </w:rPr>
        <w:t xml:space="preserve"> urbains, le patrimoine culturel immatériel et le tourisme durable). Plutôt que de modifier radicalement le système d</w:t>
      </w:r>
      <w:r w:rsidR="00450D0E">
        <w:rPr>
          <w:lang w:val="fr-FR"/>
        </w:rPr>
        <w:t>’</w:t>
      </w:r>
      <w:r>
        <w:rPr>
          <w:lang w:val="fr-FR"/>
        </w:rPr>
        <w:t>accréditation actuel, le Comité a indiqué sa préférence pour recentrer l</w:t>
      </w:r>
      <w:r w:rsidR="00450D0E">
        <w:rPr>
          <w:lang w:val="fr-FR"/>
        </w:rPr>
        <w:t>’</w:t>
      </w:r>
      <w:r>
        <w:rPr>
          <w:lang w:val="fr-FR"/>
        </w:rPr>
        <w:t>accréditation sur les ONG ayant une compétence reconnue pour agir à titre consultatif auprès du Comité. À cet égard, certaines des fonctions susceptibles d</w:t>
      </w:r>
      <w:r w:rsidR="00450D0E">
        <w:rPr>
          <w:lang w:val="fr-FR"/>
        </w:rPr>
        <w:t>’</w:t>
      </w:r>
      <w:r>
        <w:rPr>
          <w:lang w:val="fr-FR"/>
        </w:rPr>
        <w:t>être ouvertes aux ONG accréditées comprennent l</w:t>
      </w:r>
      <w:r w:rsidR="00450D0E">
        <w:rPr>
          <w:lang w:val="fr-FR"/>
        </w:rPr>
        <w:t>’</w:t>
      </w:r>
      <w:r>
        <w:rPr>
          <w:lang w:val="fr-FR"/>
        </w:rPr>
        <w:t>établissement de rapports périodiques, le processus d</w:t>
      </w:r>
      <w:r w:rsidR="00450D0E">
        <w:rPr>
          <w:lang w:val="fr-FR"/>
        </w:rPr>
        <w:t>’</w:t>
      </w:r>
      <w:r>
        <w:rPr>
          <w:lang w:val="fr-FR"/>
        </w:rPr>
        <w:t>assistance par les pairs avant et après l</w:t>
      </w:r>
      <w:r w:rsidR="00450D0E">
        <w:rPr>
          <w:lang w:val="fr-FR"/>
        </w:rPr>
        <w:t>’</w:t>
      </w:r>
      <w:r>
        <w:rPr>
          <w:lang w:val="fr-FR"/>
        </w:rPr>
        <w:t>inscription, la surveillance de l</w:t>
      </w:r>
      <w:r w:rsidR="00450D0E">
        <w:rPr>
          <w:lang w:val="fr-FR"/>
        </w:rPr>
        <w:t>’</w:t>
      </w:r>
      <w:r>
        <w:rPr>
          <w:lang w:val="fr-FR"/>
        </w:rPr>
        <w:t>impact de l</w:t>
      </w:r>
      <w:r w:rsidR="00450D0E">
        <w:rPr>
          <w:lang w:val="fr-FR"/>
        </w:rPr>
        <w:t>’</w:t>
      </w:r>
      <w:r>
        <w:rPr>
          <w:lang w:val="fr-FR"/>
        </w:rPr>
        <w:t xml:space="preserve">inscription, le suivi des éléments inscrits, la diffusion des bonnes pratiques de sauvegarde, les études et projets thématiques (par exemple, le patrimoine culturel immatériel dans les </w:t>
      </w:r>
      <w:r w:rsidR="00CE3667">
        <w:rPr>
          <w:lang w:val="fr-FR"/>
        </w:rPr>
        <w:t>contextes</w:t>
      </w:r>
      <w:r>
        <w:rPr>
          <w:lang w:val="fr-FR"/>
        </w:rPr>
        <w:t xml:space="preserve"> urbains, le tourisme et la commercialisation) et le renforcement des capacités.</w:t>
      </w:r>
    </w:p>
    <w:p w14:paraId="210BD6ED" w14:textId="77777777" w:rsidR="00D61041" w:rsidRPr="004004F4" w:rsidRDefault="00066988" w:rsidP="00DD5335">
      <w:pPr>
        <w:pStyle w:val="COMPara"/>
        <w:numPr>
          <w:ilvl w:val="0"/>
          <w:numId w:val="2"/>
        </w:numPr>
        <w:ind w:left="567" w:hanging="567"/>
        <w:jc w:val="both"/>
        <w:rPr>
          <w:lang w:val="fr-FR"/>
        </w:rPr>
      </w:pPr>
      <w:r>
        <w:rPr>
          <w:lang w:val="fr-FR"/>
        </w:rPr>
        <w:t>La question problématique des régions sous-représentées a de nouveau été examinée et le Comité a donc encouragé les parties prenantes à organiser le renforcement des capacités des ONG susceptibles de demander une accréditation à l</w:t>
      </w:r>
      <w:r w:rsidR="00450D0E">
        <w:rPr>
          <w:lang w:val="fr-FR"/>
        </w:rPr>
        <w:t>’</w:t>
      </w:r>
      <w:r>
        <w:rPr>
          <w:lang w:val="fr-FR"/>
        </w:rPr>
        <w:t>avenir, notamment des organisations non gouvernementales basées dans les régions sous-représentées. En outre, le Comité a demandé à entendre la voix des ONG par le biais d</w:t>
      </w:r>
      <w:r w:rsidR="00450D0E">
        <w:rPr>
          <w:lang w:val="fr-FR"/>
        </w:rPr>
        <w:t>’</w:t>
      </w:r>
      <w:r>
        <w:rPr>
          <w:lang w:val="fr-FR"/>
        </w:rPr>
        <w:t>interactions plus significatives et régulières entre le Comité et le Forum des ONG-PCI. Aussi, il a décidé d</w:t>
      </w:r>
      <w:r w:rsidR="00450D0E">
        <w:rPr>
          <w:lang w:val="fr-FR"/>
        </w:rPr>
        <w:t>’</w:t>
      </w:r>
      <w:r>
        <w:rPr>
          <w:lang w:val="fr-FR"/>
        </w:rPr>
        <w:t>inclure, à titre expérimental, un point spécifique sur le « Rapport du Forum des organisations non gouvernementales » lors de sa quinzième session. Le Comité a également décidé qu</w:t>
      </w:r>
      <w:r w:rsidR="00450D0E">
        <w:rPr>
          <w:lang w:val="fr-FR"/>
        </w:rPr>
        <w:t>’</w:t>
      </w:r>
      <w:r>
        <w:rPr>
          <w:lang w:val="fr-FR"/>
        </w:rPr>
        <w:t>une cartographie du réseau des ONG accréditées serait utile pour faciliter leur participation à la mise en œuvre de la Convention et aux travaux du Comité. À cet égard, le Secrétariat est prié de recueillir des informations pertinentes auprès des organisations non gouvernementales accréditées afin de réaliser une cartographie de leurs domaines de compétence, en tenant compte de leurs capacités.</w:t>
      </w:r>
    </w:p>
    <w:p w14:paraId="5E40F712" w14:textId="77777777" w:rsidR="008A1ED4" w:rsidRPr="004004F4" w:rsidRDefault="008A1ED4" w:rsidP="00DD5335">
      <w:pPr>
        <w:pStyle w:val="COMPara"/>
        <w:numPr>
          <w:ilvl w:val="0"/>
          <w:numId w:val="2"/>
        </w:numPr>
        <w:ind w:left="567" w:hanging="567"/>
        <w:jc w:val="both"/>
        <w:rPr>
          <w:rFonts w:eastAsia="SimSun"/>
          <w:lang w:val="fr-FR"/>
        </w:rPr>
      </w:pPr>
      <w:r>
        <w:rPr>
          <w:lang w:val="fr-FR"/>
        </w:rPr>
        <w:t>L</w:t>
      </w:r>
      <w:r w:rsidR="00450D0E">
        <w:rPr>
          <w:lang w:val="fr-FR"/>
        </w:rPr>
        <w:t>’</w:t>
      </w:r>
      <w:r>
        <w:rPr>
          <w:lang w:val="fr-FR"/>
        </w:rPr>
        <w:t>Assemblée générale souhaitera peut-être adopter la résolution suivante :</w:t>
      </w:r>
    </w:p>
    <w:p w14:paraId="7D53577C" w14:textId="77777777" w:rsidR="008A1ED4" w:rsidRPr="004004F4" w:rsidRDefault="00F010E0" w:rsidP="008A1ED4">
      <w:pPr>
        <w:pStyle w:val="GATitleResolution"/>
        <w:rPr>
          <w:lang w:val="fr-FR"/>
        </w:rPr>
      </w:pPr>
      <w:r>
        <w:rPr>
          <w:bCs/>
          <w:lang w:val="fr-FR"/>
        </w:rPr>
        <w:t>PROJET DE RÉSOLUTION 8.GA 12</w:t>
      </w:r>
    </w:p>
    <w:p w14:paraId="01502A1C" w14:textId="77777777" w:rsidR="008A1ED4" w:rsidRPr="004004F4" w:rsidRDefault="008A1ED4" w:rsidP="008A1ED4">
      <w:pPr>
        <w:pStyle w:val="GAPreambulaResolution"/>
        <w:rPr>
          <w:rFonts w:eastAsia="SimSun"/>
          <w:lang w:val="fr-FR"/>
        </w:rPr>
      </w:pPr>
      <w:r>
        <w:rPr>
          <w:lang w:val="fr-FR"/>
        </w:rPr>
        <w:t>L</w:t>
      </w:r>
      <w:r w:rsidR="00450D0E">
        <w:rPr>
          <w:lang w:val="fr-FR"/>
        </w:rPr>
        <w:t>’</w:t>
      </w:r>
      <w:r>
        <w:rPr>
          <w:lang w:val="fr-FR"/>
        </w:rPr>
        <w:t>Assemblée générale,</w:t>
      </w:r>
    </w:p>
    <w:p w14:paraId="7B6C2399" w14:textId="77777777" w:rsidR="008A1ED4" w:rsidRPr="004004F4" w:rsidRDefault="008A1ED4" w:rsidP="00935106">
      <w:pPr>
        <w:pStyle w:val="COMParaDecision"/>
        <w:numPr>
          <w:ilvl w:val="0"/>
          <w:numId w:val="3"/>
        </w:numPr>
        <w:ind w:left="1134" w:hanging="567"/>
        <w:jc w:val="left"/>
        <w:rPr>
          <w:lang w:val="fr-FR"/>
        </w:rPr>
      </w:pPr>
      <w:r>
        <w:rPr>
          <w:lang w:val="fr-FR"/>
        </w:rPr>
        <w:t>Ayant examiné</w:t>
      </w:r>
      <w:r>
        <w:rPr>
          <w:u w:val="none"/>
          <w:lang w:val="fr-FR"/>
        </w:rPr>
        <w:t xml:space="preserve"> le document LHE/20/8.GA/12,</w:t>
      </w:r>
    </w:p>
    <w:p w14:paraId="7E9EA3F5" w14:textId="77777777" w:rsidR="008A1ED4" w:rsidRPr="004004F4" w:rsidRDefault="008A1ED4" w:rsidP="00DD5335">
      <w:pPr>
        <w:pStyle w:val="COMParaDecision"/>
        <w:numPr>
          <w:ilvl w:val="0"/>
          <w:numId w:val="3"/>
        </w:numPr>
        <w:ind w:left="1134" w:hanging="567"/>
        <w:rPr>
          <w:lang w:val="fr-FR"/>
        </w:rPr>
      </w:pPr>
      <w:r>
        <w:rPr>
          <w:lang w:val="fr-FR"/>
        </w:rPr>
        <w:t>Rappelant</w:t>
      </w:r>
      <w:r>
        <w:rPr>
          <w:u w:val="none"/>
          <w:lang w:val="fr-FR"/>
        </w:rPr>
        <w:t xml:space="preserve"> l</w:t>
      </w:r>
      <w:r w:rsidR="00450D0E">
        <w:rPr>
          <w:u w:val="none"/>
          <w:lang w:val="fr-FR"/>
        </w:rPr>
        <w:t>’</w:t>
      </w:r>
      <w:r>
        <w:rPr>
          <w:u w:val="none"/>
          <w:lang w:val="fr-FR"/>
        </w:rPr>
        <w:t>article 9 de la Convention et le chapitre III.2 des Directives opérationnelles,</w:t>
      </w:r>
    </w:p>
    <w:p w14:paraId="2704F1A8" w14:textId="1BD60131" w:rsidR="00E50B96" w:rsidRPr="004004F4" w:rsidRDefault="008A1ED4" w:rsidP="00AD188D">
      <w:pPr>
        <w:pStyle w:val="COMParaDecision"/>
        <w:numPr>
          <w:ilvl w:val="0"/>
          <w:numId w:val="3"/>
        </w:numPr>
        <w:ind w:left="1134" w:hanging="567"/>
        <w:rPr>
          <w:lang w:val="fr-FR"/>
        </w:rPr>
      </w:pPr>
      <w:r>
        <w:rPr>
          <w:lang w:val="fr-FR"/>
        </w:rPr>
        <w:t>Rappelant également</w:t>
      </w:r>
      <w:r w:rsidRPr="00B9382E">
        <w:rPr>
          <w:u w:val="none"/>
          <w:lang w:val="fr-FR"/>
        </w:rPr>
        <w:t xml:space="preserve"> la</w:t>
      </w:r>
      <w:r w:rsidR="00450D0E" w:rsidRPr="00D0539B">
        <w:rPr>
          <w:u w:val="none"/>
          <w:lang w:val="fr-FR"/>
        </w:rPr>
        <w:t xml:space="preserve"> </w:t>
      </w:r>
      <w:hyperlink r:id="rId21" w:history="1">
        <w:r w:rsidR="00D0539B">
          <w:rPr>
            <w:rStyle w:val="Lienhypertexte"/>
            <w:lang w:val="fr-FR"/>
          </w:rPr>
          <w:t>d</w:t>
        </w:r>
        <w:r>
          <w:rPr>
            <w:rStyle w:val="Lienhypertexte"/>
            <w:lang w:val="fr-FR"/>
          </w:rPr>
          <w:t>écision 12.COM 13</w:t>
        </w:r>
      </w:hyperlink>
      <w:r>
        <w:rPr>
          <w:u w:val="none"/>
          <w:lang w:val="fr-FR"/>
        </w:rPr>
        <w:t xml:space="preserve">, </w:t>
      </w:r>
      <w:hyperlink r:id="rId22" w:history="1">
        <w:r w:rsidR="00D0539B">
          <w:rPr>
            <w:rStyle w:val="Lienhypertexte"/>
            <w:lang w:val="fr-FR"/>
          </w:rPr>
          <w:t>d</w:t>
        </w:r>
        <w:r>
          <w:rPr>
            <w:rStyle w:val="Lienhypertexte"/>
            <w:lang w:val="fr-FR"/>
          </w:rPr>
          <w:t>écision 12.COM 17</w:t>
        </w:r>
      </w:hyperlink>
      <w:r>
        <w:rPr>
          <w:u w:val="none"/>
          <w:lang w:val="fr-FR"/>
        </w:rPr>
        <w:t xml:space="preserve">, </w:t>
      </w:r>
      <w:hyperlink r:id="rId23" w:history="1">
        <w:r w:rsidR="00D0539B">
          <w:rPr>
            <w:rStyle w:val="Lienhypertexte"/>
            <w:lang w:val="fr-FR"/>
          </w:rPr>
          <w:t>d</w:t>
        </w:r>
        <w:r>
          <w:rPr>
            <w:rStyle w:val="Lienhypertexte"/>
            <w:lang w:val="fr-FR"/>
          </w:rPr>
          <w:t>écision</w:t>
        </w:r>
        <w:r w:rsidR="00D0539B">
          <w:rPr>
            <w:rStyle w:val="Lienhypertexte"/>
            <w:lang w:val="fr-FR"/>
          </w:rPr>
          <w:t> </w:t>
        </w:r>
        <w:r>
          <w:rPr>
            <w:rStyle w:val="Lienhypertexte"/>
            <w:lang w:val="fr-FR"/>
          </w:rPr>
          <w:t>13.COM</w:t>
        </w:r>
        <w:r w:rsidR="00D0539B">
          <w:rPr>
            <w:rStyle w:val="Lienhypertexte"/>
            <w:lang w:val="fr-FR"/>
          </w:rPr>
          <w:t> </w:t>
        </w:r>
        <w:r>
          <w:rPr>
            <w:rStyle w:val="Lienhypertexte"/>
            <w:lang w:val="fr-FR"/>
          </w:rPr>
          <w:t>13</w:t>
        </w:r>
      </w:hyperlink>
      <w:r>
        <w:rPr>
          <w:u w:val="none"/>
          <w:lang w:val="fr-FR"/>
        </w:rPr>
        <w:t xml:space="preserve">, </w:t>
      </w:r>
      <w:hyperlink r:id="rId24" w:history="1">
        <w:r w:rsidR="00D0539B">
          <w:rPr>
            <w:rStyle w:val="Lienhypertexte"/>
            <w:lang w:val="fr-FR"/>
          </w:rPr>
          <w:t>d</w:t>
        </w:r>
        <w:r>
          <w:rPr>
            <w:rStyle w:val="Lienhypertexte"/>
            <w:lang w:val="fr-FR"/>
          </w:rPr>
          <w:t>écision 13.COM 16</w:t>
        </w:r>
      </w:hyperlink>
      <w:r>
        <w:rPr>
          <w:u w:val="none"/>
          <w:lang w:val="fr-FR"/>
        </w:rPr>
        <w:t xml:space="preserve">, </w:t>
      </w:r>
      <w:hyperlink r:id="rId25" w:history="1">
        <w:r w:rsidR="00D0539B">
          <w:rPr>
            <w:rStyle w:val="Lienhypertexte"/>
            <w:lang w:val="fr-FR"/>
          </w:rPr>
          <w:t>d</w:t>
        </w:r>
        <w:r>
          <w:rPr>
            <w:rStyle w:val="Lienhypertexte"/>
            <w:lang w:val="fr-FR"/>
          </w:rPr>
          <w:t>écision 14.COM 15</w:t>
        </w:r>
      </w:hyperlink>
      <w:r w:rsidR="00450D0E" w:rsidRPr="00B9382E">
        <w:rPr>
          <w:u w:val="none"/>
          <w:lang w:val="fr-FR"/>
        </w:rPr>
        <w:t xml:space="preserve"> </w:t>
      </w:r>
      <w:r>
        <w:rPr>
          <w:u w:val="none"/>
          <w:lang w:val="fr-FR"/>
        </w:rPr>
        <w:t xml:space="preserve">et la </w:t>
      </w:r>
      <w:hyperlink r:id="rId26" w:history="1">
        <w:r w:rsidR="00D0539B">
          <w:rPr>
            <w:rStyle w:val="Lienhypertexte"/>
            <w:lang w:val="fr-FR"/>
          </w:rPr>
          <w:t>d</w:t>
        </w:r>
        <w:r>
          <w:rPr>
            <w:rStyle w:val="Lienhypertexte"/>
            <w:lang w:val="fr-FR"/>
          </w:rPr>
          <w:t>écision</w:t>
        </w:r>
        <w:r w:rsidR="00D0539B">
          <w:rPr>
            <w:rStyle w:val="Lienhypertexte"/>
            <w:lang w:val="fr-FR"/>
          </w:rPr>
          <w:t> </w:t>
        </w:r>
        <w:r>
          <w:rPr>
            <w:rStyle w:val="Lienhypertexte"/>
            <w:lang w:val="fr-FR"/>
          </w:rPr>
          <w:t>14.COM</w:t>
        </w:r>
        <w:r w:rsidR="00D0539B">
          <w:rPr>
            <w:rStyle w:val="Lienhypertexte"/>
            <w:lang w:val="fr-FR"/>
          </w:rPr>
          <w:t> </w:t>
        </w:r>
        <w:r>
          <w:rPr>
            <w:rStyle w:val="Lienhypertexte"/>
            <w:lang w:val="fr-FR"/>
          </w:rPr>
          <w:t>16</w:t>
        </w:r>
      </w:hyperlink>
      <w:r w:rsidR="00450D0E" w:rsidRPr="00B9382E">
        <w:rPr>
          <w:u w:val="none"/>
          <w:lang w:val="fr-FR"/>
        </w:rPr>
        <w:t xml:space="preserve"> </w:t>
      </w:r>
      <w:r>
        <w:rPr>
          <w:u w:val="none"/>
          <w:lang w:val="fr-FR"/>
        </w:rPr>
        <w:t xml:space="preserve">ainsi que la </w:t>
      </w:r>
      <w:hyperlink r:id="rId27" w:history="1">
        <w:r w:rsidR="00D0539B">
          <w:rPr>
            <w:rStyle w:val="Lienhypertexte"/>
            <w:lang w:val="fr-FR"/>
          </w:rPr>
          <w:t>r</w:t>
        </w:r>
        <w:r>
          <w:rPr>
            <w:rStyle w:val="Lienhypertexte"/>
            <w:lang w:val="fr-FR"/>
          </w:rPr>
          <w:t>ésolution 7.GA 6</w:t>
        </w:r>
      </w:hyperlink>
      <w:r w:rsidR="00450D0E" w:rsidRPr="004004F4">
        <w:rPr>
          <w:lang w:val="fr-FR"/>
        </w:rPr>
        <w:t xml:space="preserve"> </w:t>
      </w:r>
      <w:r>
        <w:rPr>
          <w:u w:val="none"/>
          <w:lang w:val="fr-FR"/>
        </w:rPr>
        <w:t xml:space="preserve">et la </w:t>
      </w:r>
      <w:hyperlink r:id="rId28" w:history="1">
        <w:r w:rsidR="00D0539B">
          <w:rPr>
            <w:rStyle w:val="Lienhypertexte"/>
            <w:lang w:val="fr-FR"/>
          </w:rPr>
          <w:t>r</w:t>
        </w:r>
        <w:r>
          <w:rPr>
            <w:rStyle w:val="Lienhypertexte"/>
            <w:lang w:val="fr-FR"/>
          </w:rPr>
          <w:t>ésolution 7.GA 11</w:t>
        </w:r>
      </w:hyperlink>
      <w:r>
        <w:rPr>
          <w:u w:val="none"/>
          <w:lang w:val="fr-FR"/>
        </w:rPr>
        <w:t>,</w:t>
      </w:r>
    </w:p>
    <w:p w14:paraId="03B7730E" w14:textId="77777777" w:rsidR="00EA70F7" w:rsidRPr="004004F4" w:rsidRDefault="008A1ED4" w:rsidP="00EA70F7">
      <w:pPr>
        <w:pStyle w:val="GAParaResolution"/>
        <w:ind w:left="1134" w:hanging="567"/>
        <w:rPr>
          <w:u w:val="none"/>
          <w:lang w:val="fr-FR"/>
        </w:rPr>
      </w:pPr>
      <w:r>
        <w:rPr>
          <w:lang w:val="fr-FR"/>
        </w:rPr>
        <w:t>Remerciant</w:t>
      </w:r>
      <w:r>
        <w:rPr>
          <w:u w:val="none"/>
          <w:lang w:val="fr-FR"/>
        </w:rPr>
        <w:t xml:space="preserve"> le Secrétariat, les organisations non gouvernementales accréditées, le Forum des ONG-PCI, le groupe de travail ad hoc informel à composition non limitée et les États parties pour la réflexion qu</w:t>
      </w:r>
      <w:r w:rsidR="00450D0E">
        <w:rPr>
          <w:u w:val="none"/>
          <w:lang w:val="fr-FR"/>
        </w:rPr>
        <w:t>’</w:t>
      </w:r>
      <w:r>
        <w:rPr>
          <w:u w:val="none"/>
          <w:lang w:val="fr-FR"/>
        </w:rPr>
        <w:t>ils ont menée sur la participation des organisations non gouvernementales à la mise en œuvre de la Convention ;</w:t>
      </w:r>
    </w:p>
    <w:p w14:paraId="2FC59C54" w14:textId="77777777" w:rsidR="00137B1A" w:rsidRPr="004004F4" w:rsidRDefault="00137B1A" w:rsidP="00935106">
      <w:pPr>
        <w:pStyle w:val="COMParaDecision"/>
        <w:numPr>
          <w:ilvl w:val="0"/>
          <w:numId w:val="3"/>
        </w:numPr>
        <w:ind w:left="1134" w:hanging="567"/>
        <w:rPr>
          <w:lang w:val="fr-FR"/>
        </w:rPr>
      </w:pPr>
      <w:r>
        <w:rPr>
          <w:lang w:val="fr-FR"/>
        </w:rPr>
        <w:t>Reconnaissant</w:t>
      </w:r>
      <w:r>
        <w:rPr>
          <w:u w:val="none"/>
          <w:lang w:val="fr-FR"/>
        </w:rPr>
        <w:t xml:space="preserve"> le rôle important et le potentiel inexploité des organisations non gouvernementales accréditées et du Forum des ONG-PCI dans le soutien à la mise en œuvre de la Convention ;</w:t>
      </w:r>
    </w:p>
    <w:p w14:paraId="4B0B1DDA" w14:textId="77777777" w:rsidR="006A2083" w:rsidRPr="004004F4" w:rsidRDefault="003F3FBB" w:rsidP="006A2083">
      <w:pPr>
        <w:pStyle w:val="COMParaDecision"/>
        <w:numPr>
          <w:ilvl w:val="0"/>
          <w:numId w:val="3"/>
        </w:numPr>
        <w:ind w:left="1134" w:hanging="567"/>
        <w:rPr>
          <w:snapToGrid w:val="0"/>
          <w:lang w:val="fr-FR"/>
        </w:rPr>
      </w:pPr>
      <w:r>
        <w:rPr>
          <w:lang w:val="fr-FR"/>
        </w:rPr>
        <w:t>Accueille favorablement</w:t>
      </w:r>
      <w:r>
        <w:rPr>
          <w:u w:val="none"/>
          <w:lang w:val="fr-FR"/>
        </w:rPr>
        <w:t xml:space="preserve"> le point spécifique « Rapport du Forum des organisations non gouvernementales » qui sera inscrit, à titre expérimental, à l</w:t>
      </w:r>
      <w:r w:rsidR="00450D0E">
        <w:rPr>
          <w:u w:val="none"/>
          <w:lang w:val="fr-FR"/>
        </w:rPr>
        <w:t>’</w:t>
      </w:r>
      <w:r>
        <w:rPr>
          <w:u w:val="none"/>
          <w:lang w:val="fr-FR"/>
        </w:rPr>
        <w:t>ordre du jour provisoire de la quinzième session du Comité ;</w:t>
      </w:r>
    </w:p>
    <w:p w14:paraId="04851E26" w14:textId="77777777" w:rsidR="000139DF" w:rsidRPr="004004F4" w:rsidRDefault="006530B3" w:rsidP="00B523F4">
      <w:pPr>
        <w:pStyle w:val="COMParaDecision"/>
        <w:numPr>
          <w:ilvl w:val="0"/>
          <w:numId w:val="3"/>
        </w:numPr>
        <w:ind w:left="1134" w:hanging="567"/>
        <w:rPr>
          <w:snapToGrid w:val="0"/>
          <w:lang w:val="fr-FR"/>
        </w:rPr>
      </w:pPr>
      <w:r>
        <w:rPr>
          <w:lang w:val="fr-FR"/>
        </w:rPr>
        <w:t>Note</w:t>
      </w:r>
      <w:r>
        <w:rPr>
          <w:u w:val="none"/>
          <w:lang w:val="fr-FR"/>
        </w:rPr>
        <w:t xml:space="preserve"> les conclusions du processus de réflexion et </w:t>
      </w:r>
      <w:r>
        <w:rPr>
          <w:lang w:val="fr-FR"/>
        </w:rPr>
        <w:t>demande</w:t>
      </w:r>
      <w:r>
        <w:rPr>
          <w:u w:val="none"/>
          <w:lang w:val="fr-FR"/>
        </w:rPr>
        <w:t xml:space="preserve"> que le Secrétariat mette en œuvre, le cas échéant, les décisions pertinentes du Comité en consultation et en collaboration avec le Forum des ONG-PCI.</w:t>
      </w:r>
    </w:p>
    <w:sectPr w:rsidR="000139DF" w:rsidRPr="004004F4" w:rsidSect="00176720">
      <w:headerReference w:type="even" r:id="rId29"/>
      <w:headerReference w:type="default" r:id="rId30"/>
      <w:headerReference w:type="first" r:id="rId3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8CC91" w14:textId="77777777" w:rsidR="00116258" w:rsidRDefault="00116258" w:rsidP="00655736">
      <w:r>
        <w:separator/>
      </w:r>
    </w:p>
  </w:endnote>
  <w:endnote w:type="continuationSeparator" w:id="0">
    <w:p w14:paraId="0DADA9A5" w14:textId="77777777" w:rsidR="00116258" w:rsidRDefault="0011625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C5356" w14:textId="77777777" w:rsidR="00116258" w:rsidRDefault="00116258" w:rsidP="00655736">
      <w:r>
        <w:separator/>
      </w:r>
    </w:p>
  </w:footnote>
  <w:footnote w:type="continuationSeparator" w:id="0">
    <w:p w14:paraId="4C3B65A0" w14:textId="77777777" w:rsidR="00116258" w:rsidRDefault="00116258" w:rsidP="00655736">
      <w:r>
        <w:continuationSeparator/>
      </w:r>
    </w:p>
  </w:footnote>
  <w:footnote w:id="1">
    <w:p w14:paraId="7364969F" w14:textId="15BE9085" w:rsidR="004C0710" w:rsidRPr="00DD5335" w:rsidRDefault="004C0710" w:rsidP="00DD5335">
      <w:pPr>
        <w:pStyle w:val="Notedebasdepage"/>
        <w:ind w:left="475" w:hanging="475"/>
        <w:jc w:val="both"/>
        <w:rPr>
          <w:rFonts w:ascii="Arial" w:hAnsi="Arial" w:cs="Arial"/>
          <w:sz w:val="18"/>
          <w:szCs w:val="18"/>
        </w:rPr>
      </w:pPr>
      <w:r>
        <w:rPr>
          <w:rStyle w:val="Appelnotedebasdep"/>
          <w:rFonts w:ascii="Arial" w:hAnsi="Arial" w:cs="Arial"/>
          <w:sz w:val="18"/>
          <w:szCs w:val="18"/>
          <w:vertAlign w:val="baseline"/>
        </w:rPr>
        <w:footnoteRef/>
      </w:r>
      <w:r w:rsidR="00D0539B">
        <w:rPr>
          <w:rFonts w:ascii="Arial" w:hAnsi="Arial" w:cs="Arial"/>
          <w:sz w:val="18"/>
          <w:szCs w:val="18"/>
        </w:rPr>
        <w:t>.</w:t>
      </w:r>
      <w:r>
        <w:rPr>
          <w:rFonts w:ascii="Arial" w:hAnsi="Arial" w:cs="Arial"/>
          <w:sz w:val="18"/>
          <w:szCs w:val="18"/>
        </w:rPr>
        <w:tab/>
        <w:t>Sept groupes de fonctions du Forum des ONG-PCI ont été identifiés dans ses statuts (article 3), ils sont résumés comme suit : (1) servir de forum d</w:t>
      </w:r>
      <w:r w:rsidR="00450D0E">
        <w:rPr>
          <w:rFonts w:ascii="Arial" w:hAnsi="Arial" w:cs="Arial"/>
          <w:sz w:val="18"/>
          <w:szCs w:val="18"/>
        </w:rPr>
        <w:t>’</w:t>
      </w:r>
      <w:r>
        <w:rPr>
          <w:rFonts w:ascii="Arial" w:hAnsi="Arial" w:cs="Arial"/>
          <w:sz w:val="18"/>
          <w:szCs w:val="18"/>
        </w:rPr>
        <w:t>échange d</w:t>
      </w:r>
      <w:r w:rsidR="00450D0E">
        <w:rPr>
          <w:rFonts w:ascii="Arial" w:hAnsi="Arial" w:cs="Arial"/>
          <w:sz w:val="18"/>
          <w:szCs w:val="18"/>
        </w:rPr>
        <w:t>’</w:t>
      </w:r>
      <w:r>
        <w:rPr>
          <w:rFonts w:ascii="Arial" w:hAnsi="Arial" w:cs="Arial"/>
          <w:sz w:val="18"/>
          <w:szCs w:val="18"/>
        </w:rPr>
        <w:t>informations et d</w:t>
      </w:r>
      <w:r w:rsidR="00450D0E">
        <w:rPr>
          <w:rFonts w:ascii="Arial" w:hAnsi="Arial" w:cs="Arial"/>
          <w:sz w:val="18"/>
          <w:szCs w:val="18"/>
        </w:rPr>
        <w:t>’</w:t>
      </w:r>
      <w:r>
        <w:rPr>
          <w:rFonts w:ascii="Arial" w:hAnsi="Arial" w:cs="Arial"/>
          <w:sz w:val="18"/>
          <w:szCs w:val="18"/>
        </w:rPr>
        <w:t>idées pour la sauvegarde du PCI ; (2) servir de plate-forme pour la mise en réseau et la coopération entre les ONG du PCI ; (3) encourager les principes éthiques et la participation de la société civile à la sauvegarde du PCI ; (4) fournir des ressources, des rapports et des informations sur les pratiques de sauvegarde à l</w:t>
      </w:r>
      <w:r w:rsidR="00450D0E">
        <w:rPr>
          <w:rFonts w:ascii="Arial" w:hAnsi="Arial" w:cs="Arial"/>
          <w:sz w:val="18"/>
          <w:szCs w:val="18"/>
        </w:rPr>
        <w:t>’</w:t>
      </w:r>
      <w:r>
        <w:rPr>
          <w:rFonts w:ascii="Arial" w:hAnsi="Arial" w:cs="Arial"/>
          <w:sz w:val="18"/>
          <w:szCs w:val="18"/>
        </w:rPr>
        <w:t>UNESCO, aux États parties, aux communautés, aux praticiens et aux autres parties prenantes ; (5) aider les ONG à faire progresser leur coopération avec les entités gouvernementales et intergouvernementales ; (6) contribuer au programme de renforcement des capacités et au partage d</w:t>
      </w:r>
      <w:r w:rsidR="00450D0E">
        <w:rPr>
          <w:rFonts w:ascii="Arial" w:hAnsi="Arial" w:cs="Arial"/>
          <w:sz w:val="18"/>
          <w:szCs w:val="18"/>
        </w:rPr>
        <w:t>’</w:t>
      </w:r>
      <w:r>
        <w:rPr>
          <w:rFonts w:ascii="Arial" w:hAnsi="Arial" w:cs="Arial"/>
          <w:sz w:val="18"/>
          <w:szCs w:val="18"/>
        </w:rPr>
        <w:t>expériences sur les bonnes pratiques de sauvegarde ; (7) conseiller le Comité intergouvernemental sur des questions thématiques spécifiques et participer à l</w:t>
      </w:r>
      <w:r w:rsidR="00450D0E">
        <w:rPr>
          <w:rFonts w:ascii="Arial" w:hAnsi="Arial" w:cs="Arial"/>
          <w:sz w:val="18"/>
          <w:szCs w:val="18"/>
        </w:rPr>
        <w:t>’</w:t>
      </w:r>
      <w:r>
        <w:rPr>
          <w:rFonts w:ascii="Arial" w:hAnsi="Arial" w:cs="Arial"/>
          <w:sz w:val="18"/>
          <w:szCs w:val="18"/>
        </w:rPr>
        <w:t>établissement de rapports et au suivi des éléments inscrits et des pratiques de sauvegarde.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834E" w14:textId="0B3BB3A1" w:rsidR="00450078" w:rsidRPr="00C23A97" w:rsidRDefault="00450078">
    <w:pPr>
      <w:pStyle w:val="En-tte"/>
      <w:rPr>
        <w:rFonts w:ascii="Arial" w:hAnsi="Arial" w:cs="Arial"/>
      </w:rPr>
    </w:pPr>
    <w:r>
      <w:rPr>
        <w:rFonts w:ascii="Arial" w:hAnsi="Arial" w:cs="Arial"/>
        <w:sz w:val="20"/>
        <w:szCs w:val="20"/>
      </w:rPr>
      <w:t xml:space="preserve">LHE/20/8.GA/12 </w:t>
    </w:r>
    <w:r w:rsidR="00CB2C19">
      <w:rPr>
        <w:rFonts w:ascii="Arial" w:hAnsi="Arial" w:cs="Arial"/>
        <w:sz w:val="20"/>
        <w:szCs w:val="20"/>
      </w:rPr>
      <w:t>–</w:t>
    </w:r>
    <w:r>
      <w:rPr>
        <w:rFonts w:ascii="Arial" w:hAnsi="Arial" w:cs="Arial"/>
        <w:sz w:val="20"/>
        <w:szCs w:val="20"/>
      </w:rPr>
      <w:t xml:space="preserve"> page </w:t>
    </w:r>
    <w:r w:rsidR="00CC2DAF">
      <w:rPr>
        <w:rStyle w:val="Numrodepage"/>
        <w:rFonts w:ascii="Arial" w:hAnsi="Arial" w:cs="Arial"/>
        <w:sz w:val="20"/>
        <w:szCs w:val="20"/>
      </w:rPr>
      <w:fldChar w:fldCharType="begin"/>
    </w:r>
    <w:r>
      <w:rPr>
        <w:rStyle w:val="Numrodepage"/>
        <w:rFonts w:ascii="Arial" w:hAnsi="Arial" w:cs="Arial"/>
        <w:sz w:val="20"/>
        <w:szCs w:val="20"/>
      </w:rPr>
      <w:instrText xml:space="preserve"> PAGE </w:instrText>
    </w:r>
    <w:r w:rsidR="00CC2DAF">
      <w:rPr>
        <w:rStyle w:val="Numrodepage"/>
        <w:rFonts w:ascii="Arial" w:hAnsi="Arial" w:cs="Arial"/>
        <w:sz w:val="20"/>
        <w:szCs w:val="20"/>
      </w:rPr>
      <w:fldChar w:fldCharType="separate"/>
    </w:r>
    <w:r w:rsidR="006920DE">
      <w:rPr>
        <w:rStyle w:val="Numrodepage"/>
        <w:rFonts w:ascii="Arial" w:hAnsi="Arial" w:cs="Arial"/>
        <w:noProof/>
        <w:sz w:val="20"/>
        <w:szCs w:val="20"/>
      </w:rPr>
      <w:t>4</w:t>
    </w:r>
    <w:r w:rsidR="00CC2DAF">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A925" w14:textId="665B89CA" w:rsidR="00450078" w:rsidRPr="0063300C" w:rsidRDefault="006773B0" w:rsidP="0063300C">
    <w:pPr>
      <w:pStyle w:val="En-tte"/>
      <w:jc w:val="right"/>
      <w:rPr>
        <w:rFonts w:ascii="Arial" w:hAnsi="Arial" w:cs="Arial"/>
      </w:rPr>
    </w:pPr>
    <w:r w:rsidRPr="006773B0">
      <w:rPr>
        <w:rFonts w:ascii="Arial" w:hAnsi="Arial" w:cs="Arial"/>
        <w:sz w:val="20"/>
        <w:szCs w:val="20"/>
      </w:rPr>
      <w:t xml:space="preserve">LHE/20/8.GA/12 </w:t>
    </w:r>
    <w:r w:rsidR="00CB2C19">
      <w:rPr>
        <w:rFonts w:ascii="Arial" w:hAnsi="Arial" w:cs="Arial"/>
        <w:sz w:val="20"/>
        <w:szCs w:val="20"/>
      </w:rPr>
      <w:t>–</w:t>
    </w:r>
    <w:r w:rsidR="00450078">
      <w:rPr>
        <w:rFonts w:ascii="Arial" w:hAnsi="Arial" w:cs="Arial"/>
        <w:sz w:val="20"/>
        <w:szCs w:val="20"/>
      </w:rPr>
      <w:t xml:space="preserve"> page </w:t>
    </w:r>
    <w:r w:rsidR="00CC2DAF">
      <w:rPr>
        <w:rStyle w:val="Numrodepage"/>
        <w:rFonts w:ascii="Arial" w:hAnsi="Arial" w:cs="Arial"/>
        <w:sz w:val="20"/>
        <w:szCs w:val="20"/>
      </w:rPr>
      <w:fldChar w:fldCharType="begin"/>
    </w:r>
    <w:r w:rsidR="00450078">
      <w:rPr>
        <w:rStyle w:val="Numrodepage"/>
        <w:rFonts w:ascii="Arial" w:hAnsi="Arial" w:cs="Arial"/>
        <w:sz w:val="20"/>
        <w:szCs w:val="20"/>
      </w:rPr>
      <w:instrText xml:space="preserve"> PAGE </w:instrText>
    </w:r>
    <w:r w:rsidR="00CC2DAF">
      <w:rPr>
        <w:rStyle w:val="Numrodepage"/>
        <w:rFonts w:ascii="Arial" w:hAnsi="Arial" w:cs="Arial"/>
        <w:sz w:val="20"/>
        <w:szCs w:val="20"/>
      </w:rPr>
      <w:fldChar w:fldCharType="separate"/>
    </w:r>
    <w:r w:rsidR="006920DE">
      <w:rPr>
        <w:rStyle w:val="Numrodepage"/>
        <w:rFonts w:ascii="Arial" w:hAnsi="Arial" w:cs="Arial"/>
        <w:noProof/>
        <w:sz w:val="20"/>
        <w:szCs w:val="20"/>
      </w:rPr>
      <w:t>3</w:t>
    </w:r>
    <w:r w:rsidR="00CC2DAF">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D56" w14:textId="012C420B" w:rsidR="00450078" w:rsidRPr="008724E5" w:rsidRDefault="00804D5D">
    <w:pPr>
      <w:pStyle w:val="En-tte"/>
    </w:pPr>
    <w:r>
      <w:rPr>
        <w:noProof/>
        <w:lang w:eastAsia="ja-JP"/>
      </w:rPr>
      <w:drawing>
        <wp:anchor distT="0" distB="0" distL="114300" distR="114300" simplePos="0" relativeHeight="251659264" behindDoc="0" locked="0" layoutInCell="1" allowOverlap="1" wp14:anchorId="45CFE857" wp14:editId="6B578440">
          <wp:simplePos x="0" y="0"/>
          <wp:positionH relativeFrom="margin">
            <wp:posOffset>-361950</wp:posOffset>
          </wp:positionH>
          <wp:positionV relativeFrom="paragraph">
            <wp:posOffset>10160</wp:posOffset>
          </wp:positionV>
          <wp:extent cx="2038095" cy="1473200"/>
          <wp:effectExtent l="0" t="0" r="635" b="0"/>
          <wp:wrapNone/>
          <wp:docPr id="1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095" cy="147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79EA9" w14:textId="5BEBB40E" w:rsidR="00450078" w:rsidRPr="00B65CDE" w:rsidRDefault="00450078" w:rsidP="00655736">
    <w:pPr>
      <w:pStyle w:val="En-tte"/>
      <w:spacing w:after="520"/>
      <w:jc w:val="right"/>
      <w:rPr>
        <w:rFonts w:ascii="Arial" w:hAnsi="Arial" w:cs="Arial"/>
        <w:b/>
        <w:sz w:val="44"/>
        <w:szCs w:val="44"/>
      </w:rPr>
    </w:pPr>
    <w:r>
      <w:rPr>
        <w:rFonts w:ascii="Arial" w:hAnsi="Arial" w:cs="Arial"/>
        <w:b/>
        <w:bCs/>
        <w:sz w:val="44"/>
        <w:szCs w:val="44"/>
      </w:rPr>
      <w:t xml:space="preserve">8 </w:t>
    </w:r>
    <w:r w:rsidR="00B732A8">
      <w:rPr>
        <w:rFonts w:ascii="Arial" w:hAnsi="Arial" w:cs="Arial"/>
        <w:b/>
        <w:bCs/>
        <w:sz w:val="44"/>
        <w:szCs w:val="44"/>
      </w:rPr>
      <w:t>GA</w:t>
    </w:r>
  </w:p>
  <w:p w14:paraId="6AEE7AE1" w14:textId="77777777" w:rsidR="00450078" w:rsidRPr="00B65CDE" w:rsidRDefault="00931D55" w:rsidP="00655736">
    <w:pPr>
      <w:jc w:val="right"/>
      <w:rPr>
        <w:rFonts w:ascii="Arial" w:hAnsi="Arial" w:cs="Arial"/>
        <w:b/>
        <w:sz w:val="22"/>
        <w:szCs w:val="22"/>
      </w:rPr>
    </w:pPr>
    <w:r>
      <w:rPr>
        <w:rFonts w:ascii="Arial" w:hAnsi="Arial" w:cs="Arial"/>
        <w:b/>
        <w:bCs/>
        <w:sz w:val="22"/>
        <w:szCs w:val="22"/>
      </w:rPr>
      <w:t>LHE/20/8.GA/12</w:t>
    </w:r>
  </w:p>
  <w:p w14:paraId="59ED0080" w14:textId="77777777" w:rsidR="00450078" w:rsidRPr="00B65CDE" w:rsidRDefault="00450078" w:rsidP="00655736">
    <w:pPr>
      <w:jc w:val="right"/>
      <w:rPr>
        <w:rFonts w:ascii="Arial" w:hAnsi="Arial" w:cs="Arial"/>
        <w:b/>
        <w:sz w:val="22"/>
        <w:szCs w:val="22"/>
      </w:rPr>
    </w:pPr>
    <w:r>
      <w:rPr>
        <w:rFonts w:ascii="Arial" w:hAnsi="Arial" w:cs="Arial"/>
        <w:b/>
        <w:bCs/>
        <w:sz w:val="22"/>
        <w:szCs w:val="22"/>
      </w:rPr>
      <w:t xml:space="preserve">Paris, </w:t>
    </w:r>
    <w:r w:rsidRPr="00D0539B">
      <w:rPr>
        <w:rFonts w:ascii="Arial" w:hAnsi="Arial" w:cs="Arial"/>
        <w:b/>
        <w:bCs/>
        <w:sz w:val="22"/>
        <w:szCs w:val="22"/>
      </w:rPr>
      <w:t>le 7 août</w:t>
    </w:r>
    <w:r w:rsidR="00450D0E" w:rsidRPr="00D0539B">
      <w:rPr>
        <w:rFonts w:ascii="Arial" w:hAnsi="Arial" w:cs="Arial"/>
        <w:b/>
        <w:bCs/>
        <w:sz w:val="22"/>
        <w:szCs w:val="22"/>
      </w:rPr>
      <w:t xml:space="preserve"> </w:t>
    </w:r>
    <w:r w:rsidRPr="00D0539B">
      <w:rPr>
        <w:rFonts w:ascii="Arial" w:hAnsi="Arial" w:cs="Arial"/>
        <w:b/>
        <w:bCs/>
        <w:sz w:val="22"/>
        <w:szCs w:val="22"/>
      </w:rPr>
      <w:t>2020</w:t>
    </w:r>
  </w:p>
  <w:p w14:paraId="74391021" w14:textId="77777777" w:rsidR="00450078" w:rsidRDefault="00450078" w:rsidP="00703FBF">
    <w:pPr>
      <w:jc w:val="right"/>
      <w:rPr>
        <w:rFonts w:ascii="Arial" w:hAnsi="Arial" w:cs="Arial"/>
        <w:b/>
        <w:sz w:val="22"/>
        <w:szCs w:val="22"/>
      </w:rPr>
    </w:pPr>
    <w:r>
      <w:rPr>
        <w:rFonts w:ascii="Arial" w:hAnsi="Arial" w:cs="Arial"/>
        <w:b/>
        <w:bCs/>
        <w:sz w:val="22"/>
        <w:szCs w:val="22"/>
      </w:rPr>
      <w:t>Original : anglais</w:t>
    </w:r>
  </w:p>
  <w:p w14:paraId="4C2CB5D4" w14:textId="77777777" w:rsidR="00450078" w:rsidRPr="00C23A97" w:rsidRDefault="00450078" w:rsidP="00540F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2113DAC"/>
    <w:multiLevelType w:val="multilevel"/>
    <w:tmpl w:val="3AA2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3" w15:restartNumberingAfterBreak="0">
    <w:nsid w:val="35F07BFE"/>
    <w:multiLevelType w:val="hybridMultilevel"/>
    <w:tmpl w:val="22BAB922"/>
    <w:lvl w:ilvl="0" w:tplc="E636284C">
      <w:start w:val="1"/>
      <w:numFmt w:val="decimal"/>
      <w:pStyle w:val="GAPara"/>
      <w:lvlText w:val="%1."/>
      <w:lvlJc w:val="left"/>
      <w:pPr>
        <w:ind w:left="720" w:hanging="360"/>
      </w:pPr>
      <w:rPr>
        <w:lang w:val="en-G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714ECB"/>
    <w:multiLevelType w:val="hybridMultilevel"/>
    <w:tmpl w:val="220A5FB0"/>
    <w:lvl w:ilvl="0" w:tplc="040C0001">
      <w:start w:val="1"/>
      <w:numFmt w:val="bullet"/>
      <w:lvlText w:val=""/>
      <w:lvlJc w:val="left"/>
      <w:pPr>
        <w:ind w:left="1069" w:hanging="360"/>
      </w:pPr>
      <w:rPr>
        <w:rFonts w:ascii="Symbol" w:hAnsi="Symbol" w:hint="default"/>
        <w:lang w:val="en-US"/>
      </w:r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5CB67C65"/>
    <w:multiLevelType w:val="hybridMultilevel"/>
    <w:tmpl w:val="FBD8187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68B1045"/>
    <w:multiLevelType w:val="hybridMultilevel"/>
    <w:tmpl w:val="42C29F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lvlOverride w:ilvl="0">
      <w:startOverride w:val="1"/>
    </w:lvlOverride>
  </w:num>
  <w:num w:numId="15">
    <w:abstractNumId w:val="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8"/>
  </w:num>
  <w:num w:numId="28">
    <w:abstractNumId w:val="3"/>
  </w:num>
  <w:num w:numId="29">
    <w:abstractNumId w:val="3"/>
  </w:num>
  <w:num w:numId="30">
    <w:abstractNumId w:val="3"/>
  </w:num>
  <w:num w:numId="31">
    <w:abstractNumId w:val="3"/>
  </w:num>
  <w:num w:numId="32">
    <w:abstractNumId w:val="2"/>
  </w:num>
  <w:num w:numId="33">
    <w:abstractNumId w:val="3"/>
  </w:num>
  <w:num w:numId="34">
    <w:abstractNumId w:val="3"/>
  </w:num>
  <w:num w:numId="35">
    <w:abstractNumId w:val="3"/>
  </w:num>
  <w:num w:numId="36">
    <w:abstractNumId w:val="5"/>
  </w:num>
  <w:num w:numId="37">
    <w:abstractNumId w:val="3"/>
  </w:num>
  <w:num w:numId="38">
    <w:abstractNumId w:val="3"/>
  </w:num>
  <w:num w:numId="39">
    <w:abstractNumId w:val="3"/>
  </w:num>
  <w:num w:numId="40">
    <w:abstractNumId w:val="3"/>
  </w:num>
  <w:num w:numId="4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fr-FR"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17E5"/>
    <w:rsid w:val="000048ED"/>
    <w:rsid w:val="00010F24"/>
    <w:rsid w:val="00011C3D"/>
    <w:rsid w:val="000139DF"/>
    <w:rsid w:val="0001538C"/>
    <w:rsid w:val="00034E35"/>
    <w:rsid w:val="000407E3"/>
    <w:rsid w:val="00041A66"/>
    <w:rsid w:val="00044DCA"/>
    <w:rsid w:val="00047DCC"/>
    <w:rsid w:val="000506E0"/>
    <w:rsid w:val="0005176E"/>
    <w:rsid w:val="00052A1F"/>
    <w:rsid w:val="00065273"/>
    <w:rsid w:val="00066988"/>
    <w:rsid w:val="000728D7"/>
    <w:rsid w:val="000765F7"/>
    <w:rsid w:val="000767EC"/>
    <w:rsid w:val="00077AB7"/>
    <w:rsid w:val="00081CD8"/>
    <w:rsid w:val="00084204"/>
    <w:rsid w:val="00087346"/>
    <w:rsid w:val="00095F74"/>
    <w:rsid w:val="000A2C46"/>
    <w:rsid w:val="000A3DCF"/>
    <w:rsid w:val="000A4203"/>
    <w:rsid w:val="000A7F0E"/>
    <w:rsid w:val="000B286C"/>
    <w:rsid w:val="000C0D61"/>
    <w:rsid w:val="000C663A"/>
    <w:rsid w:val="000E2D36"/>
    <w:rsid w:val="000E5053"/>
    <w:rsid w:val="000F0233"/>
    <w:rsid w:val="000F0A59"/>
    <w:rsid w:val="000F28B9"/>
    <w:rsid w:val="000F3A3F"/>
    <w:rsid w:val="00102557"/>
    <w:rsid w:val="0011106C"/>
    <w:rsid w:val="0011131C"/>
    <w:rsid w:val="00116258"/>
    <w:rsid w:val="00122259"/>
    <w:rsid w:val="00122D69"/>
    <w:rsid w:val="00124FD0"/>
    <w:rsid w:val="001256D7"/>
    <w:rsid w:val="001340FE"/>
    <w:rsid w:val="00137B1A"/>
    <w:rsid w:val="00141A0D"/>
    <w:rsid w:val="00142211"/>
    <w:rsid w:val="001430C2"/>
    <w:rsid w:val="001449E6"/>
    <w:rsid w:val="00154D78"/>
    <w:rsid w:val="00161CF1"/>
    <w:rsid w:val="00162B1C"/>
    <w:rsid w:val="00164D56"/>
    <w:rsid w:val="00166BB2"/>
    <w:rsid w:val="00167B10"/>
    <w:rsid w:val="0017402F"/>
    <w:rsid w:val="00174540"/>
    <w:rsid w:val="00174BEB"/>
    <w:rsid w:val="00176720"/>
    <w:rsid w:val="00176F5F"/>
    <w:rsid w:val="00183B94"/>
    <w:rsid w:val="0018735F"/>
    <w:rsid w:val="0019052E"/>
    <w:rsid w:val="00191133"/>
    <w:rsid w:val="00196C1B"/>
    <w:rsid w:val="001A4B10"/>
    <w:rsid w:val="001B0F73"/>
    <w:rsid w:val="001B73F4"/>
    <w:rsid w:val="001C0903"/>
    <w:rsid w:val="001C6F0D"/>
    <w:rsid w:val="001D263C"/>
    <w:rsid w:val="001D5C04"/>
    <w:rsid w:val="001E06A1"/>
    <w:rsid w:val="001F32B8"/>
    <w:rsid w:val="00200732"/>
    <w:rsid w:val="0020111B"/>
    <w:rsid w:val="0020227B"/>
    <w:rsid w:val="00202580"/>
    <w:rsid w:val="00202733"/>
    <w:rsid w:val="002058B7"/>
    <w:rsid w:val="00206635"/>
    <w:rsid w:val="00207534"/>
    <w:rsid w:val="00207548"/>
    <w:rsid w:val="002075CB"/>
    <w:rsid w:val="002115E7"/>
    <w:rsid w:val="002163AB"/>
    <w:rsid w:val="0021691D"/>
    <w:rsid w:val="0022214D"/>
    <w:rsid w:val="0022253F"/>
    <w:rsid w:val="00222A2D"/>
    <w:rsid w:val="00223029"/>
    <w:rsid w:val="00225BE4"/>
    <w:rsid w:val="00226033"/>
    <w:rsid w:val="0022712B"/>
    <w:rsid w:val="00234745"/>
    <w:rsid w:val="002407AF"/>
    <w:rsid w:val="00241009"/>
    <w:rsid w:val="002425E6"/>
    <w:rsid w:val="002505EE"/>
    <w:rsid w:val="002543DC"/>
    <w:rsid w:val="002548E2"/>
    <w:rsid w:val="002553B7"/>
    <w:rsid w:val="00257105"/>
    <w:rsid w:val="00265355"/>
    <w:rsid w:val="002740E9"/>
    <w:rsid w:val="00277180"/>
    <w:rsid w:val="00283DFA"/>
    <w:rsid w:val="002923E7"/>
    <w:rsid w:val="0029582F"/>
    <w:rsid w:val="002A1246"/>
    <w:rsid w:val="002B570F"/>
    <w:rsid w:val="002B616A"/>
    <w:rsid w:val="002C02AB"/>
    <w:rsid w:val="002C09E3"/>
    <w:rsid w:val="002C7953"/>
    <w:rsid w:val="002E14C7"/>
    <w:rsid w:val="002E3497"/>
    <w:rsid w:val="002E56C0"/>
    <w:rsid w:val="002E7092"/>
    <w:rsid w:val="002F312A"/>
    <w:rsid w:val="002F4B71"/>
    <w:rsid w:val="0030587F"/>
    <w:rsid w:val="00313AB6"/>
    <w:rsid w:val="003144E8"/>
    <w:rsid w:val="00320D43"/>
    <w:rsid w:val="003264D1"/>
    <w:rsid w:val="00333255"/>
    <w:rsid w:val="0033326E"/>
    <w:rsid w:val="003367E9"/>
    <w:rsid w:val="003403D5"/>
    <w:rsid w:val="00341036"/>
    <w:rsid w:val="00345CB4"/>
    <w:rsid w:val="0035086C"/>
    <w:rsid w:val="003549B8"/>
    <w:rsid w:val="00354EF5"/>
    <w:rsid w:val="003627DE"/>
    <w:rsid w:val="00362A3F"/>
    <w:rsid w:val="003663E5"/>
    <w:rsid w:val="00373A0A"/>
    <w:rsid w:val="00373BCB"/>
    <w:rsid w:val="00375EC4"/>
    <w:rsid w:val="00385E68"/>
    <w:rsid w:val="00393AA9"/>
    <w:rsid w:val="00394C88"/>
    <w:rsid w:val="003A52BC"/>
    <w:rsid w:val="003A697D"/>
    <w:rsid w:val="003B005F"/>
    <w:rsid w:val="003B0ECC"/>
    <w:rsid w:val="003B3BBA"/>
    <w:rsid w:val="003B48C6"/>
    <w:rsid w:val="003C0A98"/>
    <w:rsid w:val="003C63D6"/>
    <w:rsid w:val="003C7963"/>
    <w:rsid w:val="003D0634"/>
    <w:rsid w:val="003D069C"/>
    <w:rsid w:val="003D7646"/>
    <w:rsid w:val="003E1D56"/>
    <w:rsid w:val="003F113A"/>
    <w:rsid w:val="003F36A8"/>
    <w:rsid w:val="003F3FBB"/>
    <w:rsid w:val="003F4145"/>
    <w:rsid w:val="003F7854"/>
    <w:rsid w:val="004004F4"/>
    <w:rsid w:val="0040441B"/>
    <w:rsid w:val="00414643"/>
    <w:rsid w:val="0041682C"/>
    <w:rsid w:val="004269B6"/>
    <w:rsid w:val="0042777D"/>
    <w:rsid w:val="00432813"/>
    <w:rsid w:val="0044194D"/>
    <w:rsid w:val="004421E5"/>
    <w:rsid w:val="004422D9"/>
    <w:rsid w:val="00450078"/>
    <w:rsid w:val="00450D0E"/>
    <w:rsid w:val="00451557"/>
    <w:rsid w:val="00452284"/>
    <w:rsid w:val="00454AEE"/>
    <w:rsid w:val="0046567C"/>
    <w:rsid w:val="00467FA1"/>
    <w:rsid w:val="00473EA7"/>
    <w:rsid w:val="004856CA"/>
    <w:rsid w:val="004874CC"/>
    <w:rsid w:val="0049444F"/>
    <w:rsid w:val="004962AE"/>
    <w:rsid w:val="0049705E"/>
    <w:rsid w:val="004A2D4A"/>
    <w:rsid w:val="004A34A0"/>
    <w:rsid w:val="004A489F"/>
    <w:rsid w:val="004B2AC3"/>
    <w:rsid w:val="004B3B9B"/>
    <w:rsid w:val="004B42CA"/>
    <w:rsid w:val="004B4AC7"/>
    <w:rsid w:val="004B69E4"/>
    <w:rsid w:val="004C0710"/>
    <w:rsid w:val="004C1831"/>
    <w:rsid w:val="004C4CEE"/>
    <w:rsid w:val="004D258E"/>
    <w:rsid w:val="004D7145"/>
    <w:rsid w:val="004E14A4"/>
    <w:rsid w:val="004F361C"/>
    <w:rsid w:val="004F4362"/>
    <w:rsid w:val="004F74CC"/>
    <w:rsid w:val="004F7C7D"/>
    <w:rsid w:val="005060B1"/>
    <w:rsid w:val="005215F8"/>
    <w:rsid w:val="005221C2"/>
    <w:rsid w:val="00523335"/>
    <w:rsid w:val="00524C32"/>
    <w:rsid w:val="00526B7B"/>
    <w:rsid w:val="0052769C"/>
    <w:rsid w:val="005308CE"/>
    <w:rsid w:val="00531279"/>
    <w:rsid w:val="00534367"/>
    <w:rsid w:val="00537B00"/>
    <w:rsid w:val="00540FE0"/>
    <w:rsid w:val="00546577"/>
    <w:rsid w:val="00550167"/>
    <w:rsid w:val="00554559"/>
    <w:rsid w:val="0056334C"/>
    <w:rsid w:val="00570083"/>
    <w:rsid w:val="0057439C"/>
    <w:rsid w:val="00575454"/>
    <w:rsid w:val="00580EFA"/>
    <w:rsid w:val="005812A0"/>
    <w:rsid w:val="0058152B"/>
    <w:rsid w:val="00581684"/>
    <w:rsid w:val="005817FE"/>
    <w:rsid w:val="00582C2C"/>
    <w:rsid w:val="0058698D"/>
    <w:rsid w:val="005A13EE"/>
    <w:rsid w:val="005A3D1A"/>
    <w:rsid w:val="005B0127"/>
    <w:rsid w:val="005B2D73"/>
    <w:rsid w:val="005B7A35"/>
    <w:rsid w:val="005C4B73"/>
    <w:rsid w:val="005C4D5A"/>
    <w:rsid w:val="005C5E80"/>
    <w:rsid w:val="005C6611"/>
    <w:rsid w:val="005D0D00"/>
    <w:rsid w:val="005D4FBE"/>
    <w:rsid w:val="005D7FF1"/>
    <w:rsid w:val="005E1D2B"/>
    <w:rsid w:val="005E2682"/>
    <w:rsid w:val="005F3CD3"/>
    <w:rsid w:val="005F5085"/>
    <w:rsid w:val="005F5C17"/>
    <w:rsid w:val="00600D93"/>
    <w:rsid w:val="00601775"/>
    <w:rsid w:val="0060727F"/>
    <w:rsid w:val="00610AA6"/>
    <w:rsid w:val="006270AC"/>
    <w:rsid w:val="00627A71"/>
    <w:rsid w:val="0063300C"/>
    <w:rsid w:val="00634466"/>
    <w:rsid w:val="00634B13"/>
    <w:rsid w:val="00641057"/>
    <w:rsid w:val="00642A95"/>
    <w:rsid w:val="006442E2"/>
    <w:rsid w:val="0064735B"/>
    <w:rsid w:val="006530B3"/>
    <w:rsid w:val="00655736"/>
    <w:rsid w:val="0065698F"/>
    <w:rsid w:val="00663B8D"/>
    <w:rsid w:val="00667C11"/>
    <w:rsid w:val="00672F49"/>
    <w:rsid w:val="006773B0"/>
    <w:rsid w:val="00677786"/>
    <w:rsid w:val="00682322"/>
    <w:rsid w:val="0068355D"/>
    <w:rsid w:val="006837BD"/>
    <w:rsid w:val="006920DE"/>
    <w:rsid w:val="00696C8D"/>
    <w:rsid w:val="006A2083"/>
    <w:rsid w:val="006A2AC2"/>
    <w:rsid w:val="006A3617"/>
    <w:rsid w:val="006A442B"/>
    <w:rsid w:val="006A4FE1"/>
    <w:rsid w:val="006A5B9B"/>
    <w:rsid w:val="006A6197"/>
    <w:rsid w:val="006B185F"/>
    <w:rsid w:val="006C4134"/>
    <w:rsid w:val="006C78C1"/>
    <w:rsid w:val="006D45F7"/>
    <w:rsid w:val="006E46E4"/>
    <w:rsid w:val="006F2CFC"/>
    <w:rsid w:val="006F2ECB"/>
    <w:rsid w:val="006F41B4"/>
    <w:rsid w:val="00700F35"/>
    <w:rsid w:val="00703AF1"/>
    <w:rsid w:val="00703FBF"/>
    <w:rsid w:val="00706669"/>
    <w:rsid w:val="007134A1"/>
    <w:rsid w:val="00717DA5"/>
    <w:rsid w:val="00725000"/>
    <w:rsid w:val="00725D43"/>
    <w:rsid w:val="00734C06"/>
    <w:rsid w:val="00735D84"/>
    <w:rsid w:val="00743D8C"/>
    <w:rsid w:val="00744484"/>
    <w:rsid w:val="00746FCE"/>
    <w:rsid w:val="00750B8D"/>
    <w:rsid w:val="00752B98"/>
    <w:rsid w:val="007554E2"/>
    <w:rsid w:val="00763A0D"/>
    <w:rsid w:val="007647D1"/>
    <w:rsid w:val="00765F3B"/>
    <w:rsid w:val="00773188"/>
    <w:rsid w:val="00775E5C"/>
    <w:rsid w:val="007773D0"/>
    <w:rsid w:val="00783782"/>
    <w:rsid w:val="00784B8C"/>
    <w:rsid w:val="00793B49"/>
    <w:rsid w:val="00794395"/>
    <w:rsid w:val="007B28ED"/>
    <w:rsid w:val="007B3DB9"/>
    <w:rsid w:val="007B3E48"/>
    <w:rsid w:val="007C407B"/>
    <w:rsid w:val="007D0E69"/>
    <w:rsid w:val="007E0217"/>
    <w:rsid w:val="007E5E2C"/>
    <w:rsid w:val="007F1AFF"/>
    <w:rsid w:val="007F3C7E"/>
    <w:rsid w:val="007F52FC"/>
    <w:rsid w:val="007F5B8E"/>
    <w:rsid w:val="00804D5D"/>
    <w:rsid w:val="008159AD"/>
    <w:rsid w:val="00816F75"/>
    <w:rsid w:val="00823A11"/>
    <w:rsid w:val="008242A8"/>
    <w:rsid w:val="00833C85"/>
    <w:rsid w:val="00836662"/>
    <w:rsid w:val="00850214"/>
    <w:rsid w:val="00852866"/>
    <w:rsid w:val="0085414A"/>
    <w:rsid w:val="00855BEE"/>
    <w:rsid w:val="00856BF6"/>
    <w:rsid w:val="0086269D"/>
    <w:rsid w:val="0086543A"/>
    <w:rsid w:val="00865A93"/>
    <w:rsid w:val="00872168"/>
    <w:rsid w:val="008724E5"/>
    <w:rsid w:val="00875BFF"/>
    <w:rsid w:val="008777B6"/>
    <w:rsid w:val="00884A9D"/>
    <w:rsid w:val="0088512B"/>
    <w:rsid w:val="00885994"/>
    <w:rsid w:val="008866FC"/>
    <w:rsid w:val="008919B1"/>
    <w:rsid w:val="00893961"/>
    <w:rsid w:val="008948AA"/>
    <w:rsid w:val="00896CA0"/>
    <w:rsid w:val="008A1ED4"/>
    <w:rsid w:val="008A2B2D"/>
    <w:rsid w:val="008A4E1E"/>
    <w:rsid w:val="008B0A8A"/>
    <w:rsid w:val="008B4310"/>
    <w:rsid w:val="008B4486"/>
    <w:rsid w:val="008C296C"/>
    <w:rsid w:val="008C32A4"/>
    <w:rsid w:val="008D4015"/>
    <w:rsid w:val="008D4305"/>
    <w:rsid w:val="008D5142"/>
    <w:rsid w:val="008D65F3"/>
    <w:rsid w:val="008E320A"/>
    <w:rsid w:val="008E69CA"/>
    <w:rsid w:val="008E772A"/>
    <w:rsid w:val="008F1F54"/>
    <w:rsid w:val="009163A7"/>
    <w:rsid w:val="009172AE"/>
    <w:rsid w:val="0092276B"/>
    <w:rsid w:val="00923172"/>
    <w:rsid w:val="00924154"/>
    <w:rsid w:val="00931D55"/>
    <w:rsid w:val="00935106"/>
    <w:rsid w:val="00937DDE"/>
    <w:rsid w:val="0094051E"/>
    <w:rsid w:val="00941D5C"/>
    <w:rsid w:val="00946968"/>
    <w:rsid w:val="00946D0B"/>
    <w:rsid w:val="00946D69"/>
    <w:rsid w:val="00947507"/>
    <w:rsid w:val="00947CB1"/>
    <w:rsid w:val="009527FF"/>
    <w:rsid w:val="009559AC"/>
    <w:rsid w:val="00957870"/>
    <w:rsid w:val="00961D35"/>
    <w:rsid w:val="009714A7"/>
    <w:rsid w:val="00982F08"/>
    <w:rsid w:val="009862CC"/>
    <w:rsid w:val="00994BC0"/>
    <w:rsid w:val="00996FCC"/>
    <w:rsid w:val="009A18CD"/>
    <w:rsid w:val="009B003B"/>
    <w:rsid w:val="009D36A2"/>
    <w:rsid w:val="009E18AD"/>
    <w:rsid w:val="009E291F"/>
    <w:rsid w:val="009E6999"/>
    <w:rsid w:val="009F0924"/>
    <w:rsid w:val="009F52F9"/>
    <w:rsid w:val="009F6C3A"/>
    <w:rsid w:val="00A109D3"/>
    <w:rsid w:val="00A12558"/>
    <w:rsid w:val="00A13903"/>
    <w:rsid w:val="00A13E59"/>
    <w:rsid w:val="00A269F4"/>
    <w:rsid w:val="00A3089C"/>
    <w:rsid w:val="00A3353A"/>
    <w:rsid w:val="00A34ED5"/>
    <w:rsid w:val="00A3706D"/>
    <w:rsid w:val="00A428EF"/>
    <w:rsid w:val="00A453EB"/>
    <w:rsid w:val="00A45DBF"/>
    <w:rsid w:val="00A50A21"/>
    <w:rsid w:val="00A52EF5"/>
    <w:rsid w:val="00A54183"/>
    <w:rsid w:val="00A645DF"/>
    <w:rsid w:val="00A64651"/>
    <w:rsid w:val="00A65C29"/>
    <w:rsid w:val="00A74052"/>
    <w:rsid w:val="00A755A2"/>
    <w:rsid w:val="00A80BDC"/>
    <w:rsid w:val="00A82515"/>
    <w:rsid w:val="00A8541A"/>
    <w:rsid w:val="00A85F94"/>
    <w:rsid w:val="00AA4FE3"/>
    <w:rsid w:val="00AA6660"/>
    <w:rsid w:val="00AB2C36"/>
    <w:rsid w:val="00AB6812"/>
    <w:rsid w:val="00AB70B6"/>
    <w:rsid w:val="00AC1881"/>
    <w:rsid w:val="00AC30F6"/>
    <w:rsid w:val="00AC607A"/>
    <w:rsid w:val="00AD188D"/>
    <w:rsid w:val="00AD1A86"/>
    <w:rsid w:val="00AD2F9B"/>
    <w:rsid w:val="00AD2F9D"/>
    <w:rsid w:val="00AD4D19"/>
    <w:rsid w:val="00AD57DC"/>
    <w:rsid w:val="00AD5E13"/>
    <w:rsid w:val="00AD7DEA"/>
    <w:rsid w:val="00AE103E"/>
    <w:rsid w:val="00AE1D58"/>
    <w:rsid w:val="00AF0A07"/>
    <w:rsid w:val="00AF1C85"/>
    <w:rsid w:val="00AF2FA4"/>
    <w:rsid w:val="00AF31C1"/>
    <w:rsid w:val="00AF4AEC"/>
    <w:rsid w:val="00AF625E"/>
    <w:rsid w:val="00AF6FD7"/>
    <w:rsid w:val="00B009A4"/>
    <w:rsid w:val="00B020BD"/>
    <w:rsid w:val="00B10A1D"/>
    <w:rsid w:val="00B10E8D"/>
    <w:rsid w:val="00B16BF6"/>
    <w:rsid w:val="00B303CB"/>
    <w:rsid w:val="00B36A09"/>
    <w:rsid w:val="00B40A54"/>
    <w:rsid w:val="00B44BF7"/>
    <w:rsid w:val="00B457A2"/>
    <w:rsid w:val="00B4730B"/>
    <w:rsid w:val="00B523F4"/>
    <w:rsid w:val="00B65CDE"/>
    <w:rsid w:val="00B705B1"/>
    <w:rsid w:val="00B71FC4"/>
    <w:rsid w:val="00B732A8"/>
    <w:rsid w:val="00B81E10"/>
    <w:rsid w:val="00B9382E"/>
    <w:rsid w:val="00B94DBB"/>
    <w:rsid w:val="00B96B09"/>
    <w:rsid w:val="00BA085A"/>
    <w:rsid w:val="00BA4928"/>
    <w:rsid w:val="00BB04AF"/>
    <w:rsid w:val="00BB5354"/>
    <w:rsid w:val="00BC6E55"/>
    <w:rsid w:val="00BC74C1"/>
    <w:rsid w:val="00BD52C9"/>
    <w:rsid w:val="00BE2F2D"/>
    <w:rsid w:val="00BE6354"/>
    <w:rsid w:val="00BF0D6D"/>
    <w:rsid w:val="00BF3681"/>
    <w:rsid w:val="00BF4B0C"/>
    <w:rsid w:val="00C04DCD"/>
    <w:rsid w:val="00C12934"/>
    <w:rsid w:val="00C23A97"/>
    <w:rsid w:val="00C35564"/>
    <w:rsid w:val="00C40AED"/>
    <w:rsid w:val="00C42C66"/>
    <w:rsid w:val="00C43C1F"/>
    <w:rsid w:val="00C4763D"/>
    <w:rsid w:val="00C518F0"/>
    <w:rsid w:val="00C579E8"/>
    <w:rsid w:val="00C64D4E"/>
    <w:rsid w:val="00C66C6A"/>
    <w:rsid w:val="00C70EA7"/>
    <w:rsid w:val="00C7516E"/>
    <w:rsid w:val="00C75770"/>
    <w:rsid w:val="00C770D0"/>
    <w:rsid w:val="00C96736"/>
    <w:rsid w:val="00CA1977"/>
    <w:rsid w:val="00CA7EF0"/>
    <w:rsid w:val="00CB2C19"/>
    <w:rsid w:val="00CB405A"/>
    <w:rsid w:val="00CC2DAF"/>
    <w:rsid w:val="00CE3667"/>
    <w:rsid w:val="00D00B2B"/>
    <w:rsid w:val="00D0431C"/>
    <w:rsid w:val="00D0539B"/>
    <w:rsid w:val="00D10537"/>
    <w:rsid w:val="00D14343"/>
    <w:rsid w:val="00D15C4F"/>
    <w:rsid w:val="00D16511"/>
    <w:rsid w:val="00D17E4E"/>
    <w:rsid w:val="00D24877"/>
    <w:rsid w:val="00D278DB"/>
    <w:rsid w:val="00D3452A"/>
    <w:rsid w:val="00D437C5"/>
    <w:rsid w:val="00D470C0"/>
    <w:rsid w:val="00D53458"/>
    <w:rsid w:val="00D60725"/>
    <w:rsid w:val="00D61041"/>
    <w:rsid w:val="00D62506"/>
    <w:rsid w:val="00D64E23"/>
    <w:rsid w:val="00D7038B"/>
    <w:rsid w:val="00D70598"/>
    <w:rsid w:val="00D95C4C"/>
    <w:rsid w:val="00DA36ED"/>
    <w:rsid w:val="00DA473F"/>
    <w:rsid w:val="00DA6AE0"/>
    <w:rsid w:val="00DB1BEE"/>
    <w:rsid w:val="00DB573A"/>
    <w:rsid w:val="00DC06EC"/>
    <w:rsid w:val="00DC1A8C"/>
    <w:rsid w:val="00DC3AE7"/>
    <w:rsid w:val="00DC497C"/>
    <w:rsid w:val="00DD5335"/>
    <w:rsid w:val="00DE34F1"/>
    <w:rsid w:val="00DE6C6E"/>
    <w:rsid w:val="00DF2209"/>
    <w:rsid w:val="00DF4942"/>
    <w:rsid w:val="00E0110B"/>
    <w:rsid w:val="00E07175"/>
    <w:rsid w:val="00E10CA3"/>
    <w:rsid w:val="00E21758"/>
    <w:rsid w:val="00E217CD"/>
    <w:rsid w:val="00E262DD"/>
    <w:rsid w:val="00E34145"/>
    <w:rsid w:val="00E41F1B"/>
    <w:rsid w:val="00E50B96"/>
    <w:rsid w:val="00E539DD"/>
    <w:rsid w:val="00E6072C"/>
    <w:rsid w:val="00E627B1"/>
    <w:rsid w:val="00E64E0F"/>
    <w:rsid w:val="00E7146F"/>
    <w:rsid w:val="00E80FBB"/>
    <w:rsid w:val="00E853FA"/>
    <w:rsid w:val="00E9376C"/>
    <w:rsid w:val="00EA335E"/>
    <w:rsid w:val="00EA528C"/>
    <w:rsid w:val="00EA70F7"/>
    <w:rsid w:val="00EA74C9"/>
    <w:rsid w:val="00EB4064"/>
    <w:rsid w:val="00EB53E2"/>
    <w:rsid w:val="00EB5B68"/>
    <w:rsid w:val="00EC01C1"/>
    <w:rsid w:val="00EC0776"/>
    <w:rsid w:val="00EC0AFC"/>
    <w:rsid w:val="00EC2633"/>
    <w:rsid w:val="00EE78D7"/>
    <w:rsid w:val="00EF07AB"/>
    <w:rsid w:val="00EF19A6"/>
    <w:rsid w:val="00EF34E2"/>
    <w:rsid w:val="00EF4DB9"/>
    <w:rsid w:val="00EF4F1F"/>
    <w:rsid w:val="00EF69E3"/>
    <w:rsid w:val="00EF71BE"/>
    <w:rsid w:val="00F01073"/>
    <w:rsid w:val="00F010E0"/>
    <w:rsid w:val="00F01A36"/>
    <w:rsid w:val="00F02488"/>
    <w:rsid w:val="00F07A82"/>
    <w:rsid w:val="00F13026"/>
    <w:rsid w:val="00F17B1E"/>
    <w:rsid w:val="00F21403"/>
    <w:rsid w:val="00F23E25"/>
    <w:rsid w:val="00F33065"/>
    <w:rsid w:val="00F34E20"/>
    <w:rsid w:val="00F37CA8"/>
    <w:rsid w:val="00F42FDC"/>
    <w:rsid w:val="00F461BE"/>
    <w:rsid w:val="00F53DE9"/>
    <w:rsid w:val="00F576CB"/>
    <w:rsid w:val="00F61E46"/>
    <w:rsid w:val="00F71A02"/>
    <w:rsid w:val="00F71E3F"/>
    <w:rsid w:val="00F9151B"/>
    <w:rsid w:val="00F915FC"/>
    <w:rsid w:val="00FA145C"/>
    <w:rsid w:val="00FB18FA"/>
    <w:rsid w:val="00FB352E"/>
    <w:rsid w:val="00FB50B0"/>
    <w:rsid w:val="00FB6630"/>
    <w:rsid w:val="00FC0255"/>
    <w:rsid w:val="00FC1B1B"/>
    <w:rsid w:val="00FC21FE"/>
    <w:rsid w:val="00FC5795"/>
    <w:rsid w:val="00FD062E"/>
    <w:rsid w:val="00FD1226"/>
    <w:rsid w:val="00FE3AB2"/>
    <w:rsid w:val="00FE726A"/>
    <w:rsid w:val="00FF4830"/>
    <w:rsid w:val="00FF6CF8"/>
    <w:rsid w:val="0962FE39"/>
    <w:rsid w:val="12FE2DC1"/>
    <w:rsid w:val="45111DCE"/>
    <w:rsid w:val="64B8D319"/>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A22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0AA6"/>
    <w:rPr>
      <w:rFonts w:ascii="Times New Roman" w:eastAsia="Times New Roman" w:hAnsi="Times New Roman"/>
      <w:sz w:val="24"/>
      <w:szCs w:val="24"/>
      <w:lang w:val="fr-FR" w:eastAsia="fr-FR"/>
    </w:rPr>
  </w:style>
  <w:style w:type="paragraph" w:styleId="Titre1">
    <w:name w:val="heading 1"/>
    <w:basedOn w:val="Normal"/>
    <w:next w:val="Normal"/>
    <w:link w:val="Titre1Car"/>
    <w:uiPriority w:val="9"/>
    <w:rsid w:val="008919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2"/>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paragraph" w:styleId="Paragraphedeliste">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COMPara">
    <w:name w:val="COM Para"/>
    <w:qFormat/>
    <w:rsid w:val="00FC21FE"/>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F23E25"/>
    <w:pPr>
      <w:keepNext/>
      <w:spacing w:before="240" w:after="120"/>
      <w:ind w:left="567"/>
      <w:jc w:val="both"/>
    </w:pPr>
    <w:rPr>
      <w:rFonts w:ascii="Arial" w:hAnsi="Arial" w:cs="Arial"/>
      <w:b/>
      <w:sz w:val="22"/>
      <w:szCs w:val="22"/>
      <w:lang w:val="en-GB"/>
    </w:rPr>
  </w:style>
  <w:style w:type="paragraph" w:customStyle="1" w:styleId="Default">
    <w:name w:val="Default"/>
    <w:rsid w:val="00580EFA"/>
    <w:pPr>
      <w:autoSpaceDE w:val="0"/>
      <w:autoSpaceDN w:val="0"/>
      <w:adjustRightInd w:val="0"/>
    </w:pPr>
    <w:rPr>
      <w:rFonts w:ascii="Adobe Garamond Pro" w:hAnsi="Adobe Garamond Pro" w:cs="Adobe Garamond Pro"/>
      <w:color w:val="000000"/>
      <w:sz w:val="24"/>
      <w:szCs w:val="24"/>
      <w:lang w:val="fr-FR"/>
    </w:rPr>
  </w:style>
  <w:style w:type="character" w:styleId="Lienhypertexte">
    <w:name w:val="Hyperlink"/>
    <w:aliases w:val=" Car Car3 Char, Car Car3 Char Char Char Char"/>
    <w:link w:val="CarCar3"/>
    <w:rsid w:val="00F9151B"/>
    <w:rPr>
      <w:color w:val="0000FF"/>
      <w:u w:val="single"/>
    </w:rPr>
  </w:style>
  <w:style w:type="paragraph" w:customStyle="1" w:styleId="CarCar3">
    <w:name w:val="Car Car3"/>
    <w:aliases w:val=" Car Car3 Char Char"/>
    <w:basedOn w:val="Normal"/>
    <w:link w:val="Lienhypertexte"/>
    <w:rsid w:val="00F9151B"/>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lang w:val="en-GB" w:eastAsia="en-GB"/>
    </w:rPr>
  </w:style>
  <w:style w:type="paragraph" w:styleId="Notedebasdepage">
    <w:name w:val="footnote text"/>
    <w:basedOn w:val="Normal"/>
    <w:link w:val="NotedebasdepageCar"/>
    <w:uiPriority w:val="99"/>
    <w:unhideWhenUsed/>
    <w:rsid w:val="00F9151B"/>
    <w:rPr>
      <w:sz w:val="20"/>
      <w:szCs w:val="20"/>
    </w:rPr>
  </w:style>
  <w:style w:type="character" w:customStyle="1" w:styleId="NotedebasdepageCar">
    <w:name w:val="Note de bas de page Car"/>
    <w:basedOn w:val="Policepardfaut"/>
    <w:link w:val="Notedebasdepage"/>
    <w:uiPriority w:val="99"/>
    <w:rsid w:val="00F9151B"/>
    <w:rPr>
      <w:rFonts w:ascii="Times New Roman" w:eastAsia="Times New Roman" w:hAnsi="Times New Roman"/>
      <w:lang w:val="fr-FR" w:eastAsia="fr-FR"/>
    </w:rPr>
  </w:style>
  <w:style w:type="character" w:styleId="Appelnotedebasdep">
    <w:name w:val="footnote reference"/>
    <w:basedOn w:val="Policepardfaut"/>
    <w:uiPriority w:val="99"/>
    <w:semiHidden/>
    <w:unhideWhenUsed/>
    <w:rsid w:val="00F9151B"/>
    <w:rPr>
      <w:vertAlign w:val="superscript"/>
    </w:rPr>
  </w:style>
  <w:style w:type="paragraph" w:customStyle="1" w:styleId="Pa20">
    <w:name w:val="Pa20"/>
    <w:basedOn w:val="Default"/>
    <w:next w:val="Default"/>
    <w:uiPriority w:val="99"/>
    <w:rsid w:val="00F9151B"/>
    <w:pPr>
      <w:spacing w:line="206" w:lineRule="atLeast"/>
    </w:pPr>
    <w:rPr>
      <w:rFonts w:cs="Times New Roman"/>
      <w:color w:val="auto"/>
      <w:lang w:eastAsia="fr-FR"/>
    </w:rPr>
  </w:style>
  <w:style w:type="character" w:customStyle="1" w:styleId="A16">
    <w:name w:val="A16"/>
    <w:uiPriority w:val="99"/>
    <w:rsid w:val="00F9151B"/>
    <w:rPr>
      <w:rFonts w:cs="Adobe Garamond Pro"/>
      <w:color w:val="000000"/>
      <w:sz w:val="12"/>
      <w:szCs w:val="12"/>
    </w:rPr>
  </w:style>
  <w:style w:type="paragraph" w:styleId="Sansinterligne">
    <w:name w:val="No Spacing"/>
    <w:uiPriority w:val="1"/>
    <w:qFormat/>
    <w:rsid w:val="00546577"/>
    <w:rPr>
      <w:rFonts w:ascii="Times New Roman" w:eastAsia="Times New Roman" w:hAnsi="Times New Roman"/>
      <w:sz w:val="24"/>
      <w:szCs w:val="24"/>
      <w:lang w:val="fr-FR" w:eastAsia="fr-FR"/>
    </w:rPr>
  </w:style>
  <w:style w:type="character" w:customStyle="1" w:styleId="Titre1Car">
    <w:name w:val="Titre 1 Car"/>
    <w:basedOn w:val="Policepardfaut"/>
    <w:link w:val="Titre1"/>
    <w:uiPriority w:val="9"/>
    <w:rsid w:val="008919B1"/>
    <w:rPr>
      <w:rFonts w:asciiTheme="majorHAnsi" w:eastAsiaTheme="majorEastAsia" w:hAnsiTheme="majorHAnsi" w:cstheme="majorBidi"/>
      <w:color w:val="2E74B5" w:themeColor="accent1" w:themeShade="BF"/>
      <w:sz w:val="32"/>
      <w:szCs w:val="32"/>
      <w:lang w:val="fr-FR" w:eastAsia="fr-FR"/>
    </w:rPr>
  </w:style>
  <w:style w:type="character" w:styleId="Lienhypertextesuivivisit">
    <w:name w:val="FollowedHyperlink"/>
    <w:basedOn w:val="Policepardfaut"/>
    <w:uiPriority w:val="99"/>
    <w:semiHidden/>
    <w:unhideWhenUsed/>
    <w:rsid w:val="00EF07AB"/>
    <w:rPr>
      <w:color w:val="954F72" w:themeColor="followedHyperlink"/>
      <w:u w:val="single"/>
    </w:rPr>
  </w:style>
  <w:style w:type="character" w:styleId="Marquedecommentaire">
    <w:name w:val="annotation reference"/>
    <w:basedOn w:val="Policepardfaut"/>
    <w:uiPriority w:val="99"/>
    <w:semiHidden/>
    <w:unhideWhenUsed/>
    <w:rsid w:val="00AC1881"/>
    <w:rPr>
      <w:sz w:val="16"/>
      <w:szCs w:val="16"/>
    </w:rPr>
  </w:style>
  <w:style w:type="paragraph" w:styleId="Commentaire">
    <w:name w:val="annotation text"/>
    <w:basedOn w:val="Normal"/>
    <w:link w:val="CommentaireCar"/>
    <w:uiPriority w:val="99"/>
    <w:unhideWhenUsed/>
    <w:rsid w:val="00AC1881"/>
    <w:rPr>
      <w:sz w:val="20"/>
      <w:szCs w:val="20"/>
    </w:rPr>
  </w:style>
  <w:style w:type="character" w:customStyle="1" w:styleId="CommentaireCar">
    <w:name w:val="Commentaire Car"/>
    <w:basedOn w:val="Policepardfaut"/>
    <w:link w:val="Commentaire"/>
    <w:uiPriority w:val="99"/>
    <w:rsid w:val="00AC1881"/>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AC1881"/>
    <w:rPr>
      <w:b/>
      <w:bCs/>
    </w:rPr>
  </w:style>
  <w:style w:type="character" w:customStyle="1" w:styleId="ObjetducommentaireCar">
    <w:name w:val="Objet du commentaire Car"/>
    <w:basedOn w:val="CommentaireCar"/>
    <w:link w:val="Objetducommentaire"/>
    <w:uiPriority w:val="99"/>
    <w:semiHidden/>
    <w:rsid w:val="00AC1881"/>
    <w:rPr>
      <w:rFonts w:ascii="Times New Roman" w:eastAsia="Times New Roman" w:hAnsi="Times New Roman"/>
      <w:b/>
      <w:bCs/>
      <w:lang w:val="fr-FR" w:eastAsia="fr-FR"/>
    </w:rPr>
  </w:style>
  <w:style w:type="paragraph" w:styleId="Rvision">
    <w:name w:val="Revision"/>
    <w:hidden/>
    <w:uiPriority w:val="99"/>
    <w:semiHidden/>
    <w:rsid w:val="00BA085A"/>
    <w:rPr>
      <w:rFonts w:ascii="Times New Roman" w:eastAsia="Times New Roman" w:hAnsi="Times New Roman"/>
      <w:sz w:val="24"/>
      <w:szCs w:val="24"/>
      <w:lang w:val="fr-FR" w:eastAsia="fr-FR"/>
    </w:rPr>
  </w:style>
  <w:style w:type="paragraph" w:styleId="Explorateurdedocuments">
    <w:name w:val="Document Map"/>
    <w:basedOn w:val="Normal"/>
    <w:link w:val="ExplorateurdedocumentsCar"/>
    <w:uiPriority w:val="99"/>
    <w:semiHidden/>
    <w:unhideWhenUsed/>
    <w:rsid w:val="00450078"/>
    <w:rPr>
      <w:rFonts w:ascii="Lucida Grande" w:hAnsi="Lucida Grande" w:cs="Lucida Grande"/>
    </w:rPr>
  </w:style>
  <w:style w:type="character" w:customStyle="1" w:styleId="ExplorateurdedocumentsCar">
    <w:name w:val="Explorateur de documents Car"/>
    <w:basedOn w:val="Policepardfaut"/>
    <w:link w:val="Explorateurdedocuments"/>
    <w:uiPriority w:val="99"/>
    <w:semiHidden/>
    <w:rsid w:val="00450078"/>
    <w:rPr>
      <w:rFonts w:ascii="Lucida Grande" w:eastAsia="Times New Roman" w:hAnsi="Lucida Grande" w:cs="Lucida Grande"/>
      <w:sz w:val="24"/>
      <w:szCs w:val="24"/>
      <w:lang w:val="fr-FR" w:eastAsia="fr-FR"/>
    </w:rPr>
  </w:style>
  <w:style w:type="character" w:customStyle="1" w:styleId="UnresolvedMention1">
    <w:name w:val="Unresolved Mention1"/>
    <w:basedOn w:val="Policepardfaut"/>
    <w:uiPriority w:val="99"/>
    <w:semiHidden/>
    <w:unhideWhenUsed/>
    <w:rsid w:val="00923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3784">
      <w:bodyDiv w:val="1"/>
      <w:marLeft w:val="0"/>
      <w:marRight w:val="0"/>
      <w:marTop w:val="0"/>
      <w:marBottom w:val="0"/>
      <w:divBdr>
        <w:top w:val="none" w:sz="0" w:space="0" w:color="auto"/>
        <w:left w:val="none" w:sz="0" w:space="0" w:color="auto"/>
        <w:bottom w:val="none" w:sz="0" w:space="0" w:color="auto"/>
        <w:right w:val="none" w:sz="0" w:space="0" w:color="auto"/>
      </w:divBdr>
      <w:divsChild>
        <w:div w:id="256331221">
          <w:marLeft w:val="720"/>
          <w:marRight w:val="0"/>
          <w:marTop w:val="0"/>
          <w:marBottom w:val="0"/>
          <w:divBdr>
            <w:top w:val="none" w:sz="0" w:space="0" w:color="auto"/>
            <w:left w:val="none" w:sz="0" w:space="0" w:color="auto"/>
            <w:bottom w:val="none" w:sz="0" w:space="0" w:color="auto"/>
            <w:right w:val="none" w:sz="0" w:space="0" w:color="auto"/>
          </w:divBdr>
        </w:div>
      </w:divsChild>
    </w:div>
    <w:div w:id="207686527">
      <w:bodyDiv w:val="1"/>
      <w:marLeft w:val="0"/>
      <w:marRight w:val="0"/>
      <w:marTop w:val="0"/>
      <w:marBottom w:val="0"/>
      <w:divBdr>
        <w:top w:val="none" w:sz="0" w:space="0" w:color="auto"/>
        <w:left w:val="none" w:sz="0" w:space="0" w:color="auto"/>
        <w:bottom w:val="none" w:sz="0" w:space="0" w:color="auto"/>
        <w:right w:val="none" w:sz="0" w:space="0" w:color="auto"/>
      </w:divBdr>
      <w:divsChild>
        <w:div w:id="1900701607">
          <w:marLeft w:val="720"/>
          <w:marRight w:val="0"/>
          <w:marTop w:val="0"/>
          <w:marBottom w:val="0"/>
          <w:divBdr>
            <w:top w:val="none" w:sz="0" w:space="0" w:color="auto"/>
            <w:left w:val="none" w:sz="0" w:space="0" w:color="auto"/>
            <w:bottom w:val="none" w:sz="0" w:space="0" w:color="auto"/>
            <w:right w:val="none" w:sz="0" w:space="0" w:color="auto"/>
          </w:divBdr>
        </w:div>
        <w:div w:id="1816876667">
          <w:marLeft w:val="720"/>
          <w:marRight w:val="0"/>
          <w:marTop w:val="0"/>
          <w:marBottom w:val="0"/>
          <w:divBdr>
            <w:top w:val="none" w:sz="0" w:space="0" w:color="auto"/>
            <w:left w:val="none" w:sz="0" w:space="0" w:color="auto"/>
            <w:bottom w:val="none" w:sz="0" w:space="0" w:color="auto"/>
            <w:right w:val="none" w:sz="0" w:space="0" w:color="auto"/>
          </w:divBdr>
        </w:div>
        <w:div w:id="1598560367">
          <w:marLeft w:val="720"/>
          <w:marRight w:val="0"/>
          <w:marTop w:val="0"/>
          <w:marBottom w:val="0"/>
          <w:divBdr>
            <w:top w:val="none" w:sz="0" w:space="0" w:color="auto"/>
            <w:left w:val="none" w:sz="0" w:space="0" w:color="auto"/>
            <w:bottom w:val="none" w:sz="0" w:space="0" w:color="auto"/>
            <w:right w:val="none" w:sz="0" w:space="0" w:color="auto"/>
          </w:divBdr>
        </w:div>
        <w:div w:id="1308391679">
          <w:marLeft w:val="720"/>
          <w:marRight w:val="0"/>
          <w:marTop w:val="0"/>
          <w:marBottom w:val="0"/>
          <w:divBdr>
            <w:top w:val="none" w:sz="0" w:space="0" w:color="auto"/>
            <w:left w:val="none" w:sz="0" w:space="0" w:color="auto"/>
            <w:bottom w:val="none" w:sz="0" w:space="0" w:color="auto"/>
            <w:right w:val="none" w:sz="0" w:space="0" w:color="auto"/>
          </w:divBdr>
        </w:div>
      </w:divsChild>
    </w:div>
    <w:div w:id="297074721">
      <w:bodyDiv w:val="1"/>
      <w:marLeft w:val="0"/>
      <w:marRight w:val="0"/>
      <w:marTop w:val="0"/>
      <w:marBottom w:val="0"/>
      <w:divBdr>
        <w:top w:val="none" w:sz="0" w:space="0" w:color="auto"/>
        <w:left w:val="none" w:sz="0" w:space="0" w:color="auto"/>
        <w:bottom w:val="none" w:sz="0" w:space="0" w:color="auto"/>
        <w:right w:val="none" w:sz="0" w:space="0" w:color="auto"/>
      </w:divBdr>
    </w:div>
    <w:div w:id="465970473">
      <w:bodyDiv w:val="1"/>
      <w:marLeft w:val="0"/>
      <w:marRight w:val="0"/>
      <w:marTop w:val="0"/>
      <w:marBottom w:val="0"/>
      <w:divBdr>
        <w:top w:val="none" w:sz="0" w:space="0" w:color="auto"/>
        <w:left w:val="none" w:sz="0" w:space="0" w:color="auto"/>
        <w:bottom w:val="none" w:sz="0" w:space="0" w:color="auto"/>
        <w:right w:val="none" w:sz="0" w:space="0" w:color="auto"/>
      </w:divBdr>
      <w:divsChild>
        <w:div w:id="950477382">
          <w:marLeft w:val="547"/>
          <w:marRight w:val="0"/>
          <w:marTop w:val="0"/>
          <w:marBottom w:val="0"/>
          <w:divBdr>
            <w:top w:val="none" w:sz="0" w:space="0" w:color="auto"/>
            <w:left w:val="none" w:sz="0" w:space="0" w:color="auto"/>
            <w:bottom w:val="none" w:sz="0" w:space="0" w:color="auto"/>
            <w:right w:val="none" w:sz="0" w:space="0" w:color="auto"/>
          </w:divBdr>
        </w:div>
        <w:div w:id="1191190474">
          <w:marLeft w:val="547"/>
          <w:marRight w:val="0"/>
          <w:marTop w:val="0"/>
          <w:marBottom w:val="0"/>
          <w:divBdr>
            <w:top w:val="none" w:sz="0" w:space="0" w:color="auto"/>
            <w:left w:val="none" w:sz="0" w:space="0" w:color="auto"/>
            <w:bottom w:val="none" w:sz="0" w:space="0" w:color="auto"/>
            <w:right w:val="none" w:sz="0" w:space="0" w:color="auto"/>
          </w:divBdr>
        </w:div>
      </w:divsChild>
    </w:div>
    <w:div w:id="481123068">
      <w:bodyDiv w:val="1"/>
      <w:marLeft w:val="0"/>
      <w:marRight w:val="0"/>
      <w:marTop w:val="0"/>
      <w:marBottom w:val="0"/>
      <w:divBdr>
        <w:top w:val="none" w:sz="0" w:space="0" w:color="auto"/>
        <w:left w:val="none" w:sz="0" w:space="0" w:color="auto"/>
        <w:bottom w:val="none" w:sz="0" w:space="0" w:color="auto"/>
        <w:right w:val="none" w:sz="0" w:space="0" w:color="auto"/>
      </w:divBdr>
      <w:divsChild>
        <w:div w:id="1307540742">
          <w:marLeft w:val="0"/>
          <w:marRight w:val="0"/>
          <w:marTop w:val="0"/>
          <w:marBottom w:val="0"/>
          <w:divBdr>
            <w:top w:val="none" w:sz="0" w:space="0" w:color="auto"/>
            <w:left w:val="none" w:sz="0" w:space="0" w:color="auto"/>
            <w:bottom w:val="none" w:sz="0" w:space="0" w:color="auto"/>
            <w:right w:val="none" w:sz="0" w:space="0" w:color="auto"/>
          </w:divBdr>
          <w:divsChild>
            <w:div w:id="859006244">
              <w:marLeft w:val="-225"/>
              <w:marRight w:val="-225"/>
              <w:marTop w:val="0"/>
              <w:marBottom w:val="0"/>
              <w:divBdr>
                <w:top w:val="none" w:sz="0" w:space="0" w:color="auto"/>
                <w:left w:val="none" w:sz="0" w:space="0" w:color="auto"/>
                <w:bottom w:val="none" w:sz="0" w:space="0" w:color="auto"/>
                <w:right w:val="none" w:sz="0" w:space="0" w:color="auto"/>
              </w:divBdr>
              <w:divsChild>
                <w:div w:id="1457866051">
                  <w:marLeft w:val="0"/>
                  <w:marRight w:val="0"/>
                  <w:marTop w:val="0"/>
                  <w:marBottom w:val="0"/>
                  <w:divBdr>
                    <w:top w:val="none" w:sz="0" w:space="0" w:color="auto"/>
                    <w:left w:val="none" w:sz="0" w:space="0" w:color="auto"/>
                    <w:bottom w:val="none" w:sz="0" w:space="0" w:color="auto"/>
                    <w:right w:val="none" w:sz="0" w:space="0" w:color="auto"/>
                  </w:divBdr>
                  <w:divsChild>
                    <w:div w:id="9229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0729">
      <w:bodyDiv w:val="1"/>
      <w:marLeft w:val="0"/>
      <w:marRight w:val="0"/>
      <w:marTop w:val="0"/>
      <w:marBottom w:val="0"/>
      <w:divBdr>
        <w:top w:val="none" w:sz="0" w:space="0" w:color="auto"/>
        <w:left w:val="none" w:sz="0" w:space="0" w:color="auto"/>
        <w:bottom w:val="none" w:sz="0" w:space="0" w:color="auto"/>
        <w:right w:val="none" w:sz="0" w:space="0" w:color="auto"/>
      </w:divBdr>
      <w:divsChild>
        <w:div w:id="942611185">
          <w:marLeft w:val="720"/>
          <w:marRight w:val="0"/>
          <w:marTop w:val="0"/>
          <w:marBottom w:val="0"/>
          <w:divBdr>
            <w:top w:val="none" w:sz="0" w:space="0" w:color="auto"/>
            <w:left w:val="none" w:sz="0" w:space="0" w:color="auto"/>
            <w:bottom w:val="none" w:sz="0" w:space="0" w:color="auto"/>
            <w:right w:val="none" w:sz="0" w:space="0" w:color="auto"/>
          </w:divBdr>
        </w:div>
      </w:divsChild>
    </w:div>
    <w:div w:id="721750840">
      <w:bodyDiv w:val="1"/>
      <w:marLeft w:val="0"/>
      <w:marRight w:val="0"/>
      <w:marTop w:val="0"/>
      <w:marBottom w:val="0"/>
      <w:divBdr>
        <w:top w:val="none" w:sz="0" w:space="0" w:color="auto"/>
        <w:left w:val="none" w:sz="0" w:space="0" w:color="auto"/>
        <w:bottom w:val="none" w:sz="0" w:space="0" w:color="auto"/>
        <w:right w:val="none" w:sz="0" w:space="0" w:color="auto"/>
      </w:divBdr>
    </w:div>
    <w:div w:id="770322978">
      <w:bodyDiv w:val="1"/>
      <w:marLeft w:val="0"/>
      <w:marRight w:val="0"/>
      <w:marTop w:val="0"/>
      <w:marBottom w:val="0"/>
      <w:divBdr>
        <w:top w:val="none" w:sz="0" w:space="0" w:color="auto"/>
        <w:left w:val="none" w:sz="0" w:space="0" w:color="auto"/>
        <w:bottom w:val="none" w:sz="0" w:space="0" w:color="auto"/>
        <w:right w:val="none" w:sz="0" w:space="0" w:color="auto"/>
      </w:divBdr>
      <w:divsChild>
        <w:div w:id="1120606740">
          <w:marLeft w:val="547"/>
          <w:marRight w:val="0"/>
          <w:marTop w:val="0"/>
          <w:marBottom w:val="120"/>
          <w:divBdr>
            <w:top w:val="none" w:sz="0" w:space="0" w:color="auto"/>
            <w:left w:val="none" w:sz="0" w:space="0" w:color="auto"/>
            <w:bottom w:val="none" w:sz="0" w:space="0" w:color="auto"/>
            <w:right w:val="none" w:sz="0" w:space="0" w:color="auto"/>
          </w:divBdr>
        </w:div>
        <w:div w:id="313874126">
          <w:marLeft w:val="547"/>
          <w:marRight w:val="0"/>
          <w:marTop w:val="0"/>
          <w:marBottom w:val="12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9662770">
      <w:bodyDiv w:val="1"/>
      <w:marLeft w:val="0"/>
      <w:marRight w:val="0"/>
      <w:marTop w:val="0"/>
      <w:marBottom w:val="0"/>
      <w:divBdr>
        <w:top w:val="none" w:sz="0" w:space="0" w:color="auto"/>
        <w:left w:val="none" w:sz="0" w:space="0" w:color="auto"/>
        <w:bottom w:val="none" w:sz="0" w:space="0" w:color="auto"/>
        <w:right w:val="none" w:sz="0" w:space="0" w:color="auto"/>
      </w:divBdr>
      <w:divsChild>
        <w:div w:id="1907766411">
          <w:marLeft w:val="1267"/>
          <w:marRight w:val="0"/>
          <w:marTop w:val="0"/>
          <w:marBottom w:val="0"/>
          <w:divBdr>
            <w:top w:val="none" w:sz="0" w:space="0" w:color="auto"/>
            <w:left w:val="none" w:sz="0" w:space="0" w:color="auto"/>
            <w:bottom w:val="none" w:sz="0" w:space="0" w:color="auto"/>
            <w:right w:val="none" w:sz="0" w:space="0" w:color="auto"/>
          </w:divBdr>
        </w:div>
        <w:div w:id="2146461030">
          <w:marLeft w:val="1267"/>
          <w:marRight w:val="0"/>
          <w:marTop w:val="0"/>
          <w:marBottom w:val="0"/>
          <w:divBdr>
            <w:top w:val="none" w:sz="0" w:space="0" w:color="auto"/>
            <w:left w:val="none" w:sz="0" w:space="0" w:color="auto"/>
            <w:bottom w:val="none" w:sz="0" w:space="0" w:color="auto"/>
            <w:right w:val="none" w:sz="0" w:space="0" w:color="auto"/>
          </w:divBdr>
        </w:div>
        <w:div w:id="1713186489">
          <w:marLeft w:val="1267"/>
          <w:marRight w:val="0"/>
          <w:marTop w:val="0"/>
          <w:marBottom w:val="0"/>
          <w:divBdr>
            <w:top w:val="none" w:sz="0" w:space="0" w:color="auto"/>
            <w:left w:val="none" w:sz="0" w:space="0" w:color="auto"/>
            <w:bottom w:val="none" w:sz="0" w:space="0" w:color="auto"/>
            <w:right w:val="none" w:sz="0" w:space="0" w:color="auto"/>
          </w:divBdr>
        </w:div>
        <w:div w:id="1791168007">
          <w:marLeft w:val="1267"/>
          <w:marRight w:val="0"/>
          <w:marTop w:val="0"/>
          <w:marBottom w:val="0"/>
          <w:divBdr>
            <w:top w:val="none" w:sz="0" w:space="0" w:color="auto"/>
            <w:left w:val="none" w:sz="0" w:space="0" w:color="auto"/>
            <w:bottom w:val="none" w:sz="0" w:space="0" w:color="auto"/>
            <w:right w:val="none" w:sz="0" w:space="0" w:color="auto"/>
          </w:divBdr>
        </w:div>
      </w:divsChild>
    </w:div>
    <w:div w:id="1030956165">
      <w:bodyDiv w:val="1"/>
      <w:marLeft w:val="0"/>
      <w:marRight w:val="0"/>
      <w:marTop w:val="0"/>
      <w:marBottom w:val="0"/>
      <w:divBdr>
        <w:top w:val="none" w:sz="0" w:space="0" w:color="auto"/>
        <w:left w:val="none" w:sz="0" w:space="0" w:color="auto"/>
        <w:bottom w:val="none" w:sz="0" w:space="0" w:color="auto"/>
        <w:right w:val="none" w:sz="0" w:space="0" w:color="auto"/>
      </w:divBdr>
      <w:divsChild>
        <w:div w:id="1858808002">
          <w:marLeft w:val="1267"/>
          <w:marRight w:val="0"/>
          <w:marTop w:val="0"/>
          <w:marBottom w:val="0"/>
          <w:divBdr>
            <w:top w:val="none" w:sz="0" w:space="0" w:color="auto"/>
            <w:left w:val="none" w:sz="0" w:space="0" w:color="auto"/>
            <w:bottom w:val="none" w:sz="0" w:space="0" w:color="auto"/>
            <w:right w:val="none" w:sz="0" w:space="0" w:color="auto"/>
          </w:divBdr>
        </w:div>
        <w:div w:id="278801139">
          <w:marLeft w:val="1267"/>
          <w:marRight w:val="0"/>
          <w:marTop w:val="0"/>
          <w:marBottom w:val="0"/>
          <w:divBdr>
            <w:top w:val="none" w:sz="0" w:space="0" w:color="auto"/>
            <w:left w:val="none" w:sz="0" w:space="0" w:color="auto"/>
            <w:bottom w:val="none" w:sz="0" w:space="0" w:color="auto"/>
            <w:right w:val="none" w:sz="0" w:space="0" w:color="auto"/>
          </w:divBdr>
        </w:div>
        <w:div w:id="1764835864">
          <w:marLeft w:val="2160"/>
          <w:marRight w:val="0"/>
          <w:marTop w:val="0"/>
          <w:marBottom w:val="0"/>
          <w:divBdr>
            <w:top w:val="none" w:sz="0" w:space="0" w:color="auto"/>
            <w:left w:val="none" w:sz="0" w:space="0" w:color="auto"/>
            <w:bottom w:val="none" w:sz="0" w:space="0" w:color="auto"/>
            <w:right w:val="none" w:sz="0" w:space="0" w:color="auto"/>
          </w:divBdr>
        </w:div>
        <w:div w:id="1940021776">
          <w:marLeft w:val="2160"/>
          <w:marRight w:val="0"/>
          <w:marTop w:val="0"/>
          <w:marBottom w:val="0"/>
          <w:divBdr>
            <w:top w:val="none" w:sz="0" w:space="0" w:color="auto"/>
            <w:left w:val="none" w:sz="0" w:space="0" w:color="auto"/>
            <w:bottom w:val="none" w:sz="0" w:space="0" w:color="auto"/>
            <w:right w:val="none" w:sz="0" w:space="0" w:color="auto"/>
          </w:divBdr>
        </w:div>
        <w:div w:id="690911129">
          <w:marLeft w:val="2160"/>
          <w:marRight w:val="0"/>
          <w:marTop w:val="0"/>
          <w:marBottom w:val="0"/>
          <w:divBdr>
            <w:top w:val="none" w:sz="0" w:space="0" w:color="auto"/>
            <w:left w:val="none" w:sz="0" w:space="0" w:color="auto"/>
            <w:bottom w:val="none" w:sz="0" w:space="0" w:color="auto"/>
            <w:right w:val="none" w:sz="0" w:space="0" w:color="auto"/>
          </w:divBdr>
        </w:div>
        <w:div w:id="630020342">
          <w:marLeft w:val="2160"/>
          <w:marRight w:val="0"/>
          <w:marTop w:val="0"/>
          <w:marBottom w:val="0"/>
          <w:divBdr>
            <w:top w:val="none" w:sz="0" w:space="0" w:color="auto"/>
            <w:left w:val="none" w:sz="0" w:space="0" w:color="auto"/>
            <w:bottom w:val="none" w:sz="0" w:space="0" w:color="auto"/>
            <w:right w:val="none" w:sz="0" w:space="0" w:color="auto"/>
          </w:divBdr>
        </w:div>
        <w:div w:id="937568579">
          <w:marLeft w:val="2160"/>
          <w:marRight w:val="0"/>
          <w:marTop w:val="0"/>
          <w:marBottom w:val="0"/>
          <w:divBdr>
            <w:top w:val="none" w:sz="0" w:space="0" w:color="auto"/>
            <w:left w:val="none" w:sz="0" w:space="0" w:color="auto"/>
            <w:bottom w:val="none" w:sz="0" w:space="0" w:color="auto"/>
            <w:right w:val="none" w:sz="0" w:space="0" w:color="auto"/>
          </w:divBdr>
        </w:div>
        <w:div w:id="1266116805">
          <w:marLeft w:val="2160"/>
          <w:marRight w:val="0"/>
          <w:marTop w:val="0"/>
          <w:marBottom w:val="0"/>
          <w:divBdr>
            <w:top w:val="none" w:sz="0" w:space="0" w:color="auto"/>
            <w:left w:val="none" w:sz="0" w:space="0" w:color="auto"/>
            <w:bottom w:val="none" w:sz="0" w:space="0" w:color="auto"/>
            <w:right w:val="none" w:sz="0" w:space="0" w:color="auto"/>
          </w:divBdr>
        </w:div>
        <w:div w:id="1283994949">
          <w:marLeft w:val="2160"/>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64986402">
      <w:bodyDiv w:val="1"/>
      <w:marLeft w:val="0"/>
      <w:marRight w:val="0"/>
      <w:marTop w:val="0"/>
      <w:marBottom w:val="0"/>
      <w:divBdr>
        <w:top w:val="none" w:sz="0" w:space="0" w:color="auto"/>
        <w:left w:val="none" w:sz="0" w:space="0" w:color="auto"/>
        <w:bottom w:val="none" w:sz="0" w:space="0" w:color="auto"/>
        <w:right w:val="none" w:sz="0" w:space="0" w:color="auto"/>
      </w:divBdr>
      <w:divsChild>
        <w:div w:id="1244218077">
          <w:marLeft w:val="720"/>
          <w:marRight w:val="0"/>
          <w:marTop w:val="0"/>
          <w:marBottom w:val="0"/>
          <w:divBdr>
            <w:top w:val="none" w:sz="0" w:space="0" w:color="auto"/>
            <w:left w:val="none" w:sz="0" w:space="0" w:color="auto"/>
            <w:bottom w:val="none" w:sz="0" w:space="0" w:color="auto"/>
            <w:right w:val="none" w:sz="0" w:space="0" w:color="auto"/>
          </w:divBdr>
        </w:div>
      </w:divsChild>
    </w:div>
    <w:div w:id="1221593028">
      <w:bodyDiv w:val="1"/>
      <w:marLeft w:val="0"/>
      <w:marRight w:val="0"/>
      <w:marTop w:val="0"/>
      <w:marBottom w:val="0"/>
      <w:divBdr>
        <w:top w:val="none" w:sz="0" w:space="0" w:color="auto"/>
        <w:left w:val="none" w:sz="0" w:space="0" w:color="auto"/>
        <w:bottom w:val="none" w:sz="0" w:space="0" w:color="auto"/>
        <w:right w:val="none" w:sz="0" w:space="0" w:color="auto"/>
      </w:divBdr>
    </w:div>
    <w:div w:id="1222063361">
      <w:bodyDiv w:val="1"/>
      <w:marLeft w:val="0"/>
      <w:marRight w:val="0"/>
      <w:marTop w:val="0"/>
      <w:marBottom w:val="0"/>
      <w:divBdr>
        <w:top w:val="none" w:sz="0" w:space="0" w:color="auto"/>
        <w:left w:val="none" w:sz="0" w:space="0" w:color="auto"/>
        <w:bottom w:val="none" w:sz="0" w:space="0" w:color="auto"/>
        <w:right w:val="none" w:sz="0" w:space="0" w:color="auto"/>
      </w:divBdr>
    </w:div>
    <w:div w:id="141455059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77152778">
      <w:bodyDiv w:val="1"/>
      <w:marLeft w:val="0"/>
      <w:marRight w:val="0"/>
      <w:marTop w:val="0"/>
      <w:marBottom w:val="0"/>
      <w:divBdr>
        <w:top w:val="none" w:sz="0" w:space="0" w:color="auto"/>
        <w:left w:val="none" w:sz="0" w:space="0" w:color="auto"/>
        <w:bottom w:val="none" w:sz="0" w:space="0" w:color="auto"/>
        <w:right w:val="none" w:sz="0" w:space="0" w:color="auto"/>
      </w:divBdr>
      <w:divsChild>
        <w:div w:id="163714887">
          <w:marLeft w:val="547"/>
          <w:marRight w:val="0"/>
          <w:marTop w:val="0"/>
          <w:marBottom w:val="0"/>
          <w:divBdr>
            <w:top w:val="none" w:sz="0" w:space="0" w:color="auto"/>
            <w:left w:val="none" w:sz="0" w:space="0" w:color="auto"/>
            <w:bottom w:val="none" w:sz="0" w:space="0" w:color="auto"/>
            <w:right w:val="none" w:sz="0" w:space="0" w:color="auto"/>
          </w:divBdr>
        </w:div>
        <w:div w:id="1234389614">
          <w:marLeft w:val="547"/>
          <w:marRight w:val="0"/>
          <w:marTop w:val="0"/>
          <w:marBottom w:val="0"/>
          <w:divBdr>
            <w:top w:val="none" w:sz="0" w:space="0" w:color="auto"/>
            <w:left w:val="none" w:sz="0" w:space="0" w:color="auto"/>
            <w:bottom w:val="none" w:sz="0" w:space="0" w:color="auto"/>
            <w:right w:val="none" w:sz="0" w:space="0" w:color="auto"/>
          </w:divBdr>
        </w:div>
        <w:div w:id="213783856">
          <w:marLeft w:val="547"/>
          <w:marRight w:val="0"/>
          <w:marTop w:val="0"/>
          <w:marBottom w:val="0"/>
          <w:divBdr>
            <w:top w:val="none" w:sz="0" w:space="0" w:color="auto"/>
            <w:left w:val="none" w:sz="0" w:space="0" w:color="auto"/>
            <w:bottom w:val="none" w:sz="0" w:space="0" w:color="auto"/>
            <w:right w:val="none" w:sz="0" w:space="0" w:color="auto"/>
          </w:divBdr>
        </w:div>
        <w:div w:id="32924537">
          <w:marLeft w:val="547"/>
          <w:marRight w:val="0"/>
          <w:marTop w:val="0"/>
          <w:marBottom w:val="0"/>
          <w:divBdr>
            <w:top w:val="none" w:sz="0" w:space="0" w:color="auto"/>
            <w:left w:val="none" w:sz="0" w:space="0" w:color="auto"/>
            <w:bottom w:val="none" w:sz="0" w:space="0" w:color="auto"/>
            <w:right w:val="none" w:sz="0" w:space="0" w:color="auto"/>
          </w:divBdr>
        </w:div>
        <w:div w:id="940182188">
          <w:marLeft w:val="547"/>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91000741">
      <w:bodyDiv w:val="1"/>
      <w:marLeft w:val="0"/>
      <w:marRight w:val="0"/>
      <w:marTop w:val="0"/>
      <w:marBottom w:val="0"/>
      <w:divBdr>
        <w:top w:val="none" w:sz="0" w:space="0" w:color="auto"/>
        <w:left w:val="none" w:sz="0" w:space="0" w:color="auto"/>
        <w:bottom w:val="none" w:sz="0" w:space="0" w:color="auto"/>
        <w:right w:val="none" w:sz="0" w:space="0" w:color="auto"/>
      </w:divBdr>
      <w:divsChild>
        <w:div w:id="1969240673">
          <w:marLeft w:val="547"/>
          <w:marRight w:val="0"/>
          <w:marTop w:val="0"/>
          <w:marBottom w:val="120"/>
          <w:divBdr>
            <w:top w:val="none" w:sz="0" w:space="0" w:color="auto"/>
            <w:left w:val="none" w:sz="0" w:space="0" w:color="auto"/>
            <w:bottom w:val="none" w:sz="0" w:space="0" w:color="auto"/>
            <w:right w:val="none" w:sz="0" w:space="0" w:color="auto"/>
          </w:divBdr>
        </w:div>
        <w:div w:id="335495613">
          <w:marLeft w:val="547"/>
          <w:marRight w:val="0"/>
          <w:marTop w:val="0"/>
          <w:marBottom w:val="120"/>
          <w:divBdr>
            <w:top w:val="none" w:sz="0" w:space="0" w:color="auto"/>
            <w:left w:val="none" w:sz="0" w:space="0" w:color="auto"/>
            <w:bottom w:val="none" w:sz="0" w:space="0" w:color="auto"/>
            <w:right w:val="none" w:sz="0" w:space="0" w:color="auto"/>
          </w:divBdr>
        </w:div>
        <w:div w:id="44179564">
          <w:marLeft w:val="547"/>
          <w:marRight w:val="0"/>
          <w:marTop w:val="0"/>
          <w:marBottom w:val="120"/>
          <w:divBdr>
            <w:top w:val="none" w:sz="0" w:space="0" w:color="auto"/>
            <w:left w:val="none" w:sz="0" w:space="0" w:color="auto"/>
            <w:bottom w:val="none" w:sz="0" w:space="0" w:color="auto"/>
            <w:right w:val="none" w:sz="0" w:space="0" w:color="auto"/>
          </w:divBdr>
        </w:div>
        <w:div w:id="1563365734">
          <w:marLeft w:val="547"/>
          <w:marRight w:val="0"/>
          <w:marTop w:val="0"/>
          <w:marBottom w:val="12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2.COM/13?dec=decisions&amp;ref_decision=12.COM" TargetMode="External"/><Relationship Id="rId13" Type="http://schemas.openxmlformats.org/officeDocument/2006/relationships/hyperlink" Target="https://ich.unesco.org/fr/decisions/13.COM/13?dec=decisions&amp;ref_decision=13.COM" TargetMode="External"/><Relationship Id="rId18" Type="http://schemas.openxmlformats.org/officeDocument/2006/relationships/hyperlink" Target="https://ich.unesco.org/doc/src/LHE-19-14.COM-16-FR.docx" TargetMode="External"/><Relationship Id="rId26" Type="http://schemas.openxmlformats.org/officeDocument/2006/relationships/hyperlink" Target="https://ich.unesco.org/fr/decisions/14.COM/16?dec=decisions&amp;ref_decision=14.COM" TargetMode="External"/><Relationship Id="rId3" Type="http://schemas.openxmlformats.org/officeDocument/2006/relationships/styles" Target="styles.xml"/><Relationship Id="rId21" Type="http://schemas.openxmlformats.org/officeDocument/2006/relationships/hyperlink" Target="https://ich.unesco.org/fr/decisions/12.COM/13?dec=decisions&amp;ref_decision=12.COM" TargetMode="External"/><Relationship Id="rId7" Type="http://schemas.openxmlformats.org/officeDocument/2006/relationships/endnotes" Target="endnotes.xml"/><Relationship Id="rId12" Type="http://schemas.openxmlformats.org/officeDocument/2006/relationships/hyperlink" Target="https://ich.unesco.org/doc/src/ITH-18-13.COM-13-FR.docx" TargetMode="External"/><Relationship Id="rId17" Type="http://schemas.openxmlformats.org/officeDocument/2006/relationships/hyperlink" Target="https://ich.unesco.org/fr/decisions/14.COM/16?dec=decisions&amp;ref_decision=14.COM" TargetMode="External"/><Relationship Id="rId25" Type="http://schemas.openxmlformats.org/officeDocument/2006/relationships/hyperlink" Target="https://ich.unesco.org/fr/decisions/14.COM/15?dec=decisions&amp;ref_decision=14.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fr/decisions/13.COM/16?dec=decisions&amp;ref_decision=13.COM" TargetMode="External"/><Relationship Id="rId20" Type="http://schemas.openxmlformats.org/officeDocument/2006/relationships/hyperlink" Target="https://ich.unesco.org/fr/decisions/14.COM/15?dec=decisions&amp;ref_decision=14.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4.COM/15?dec=decisions&amp;ref_decision=14.COM" TargetMode="External"/><Relationship Id="rId24" Type="http://schemas.openxmlformats.org/officeDocument/2006/relationships/hyperlink" Target="https://ich.unesco.org/fr/decisions/13.COM/16?dec=decisions&amp;ref_decision=13.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fr/decisions/12.COM/13?dec=decisions&amp;ref_decision=12.COM" TargetMode="External"/><Relationship Id="rId23" Type="http://schemas.openxmlformats.org/officeDocument/2006/relationships/hyperlink" Target="https://ich.unesco.org/fr/decisions/13.COM/13?dec=decisions&amp;ref_decision=13.COM" TargetMode="External"/><Relationship Id="rId28" Type="http://schemas.openxmlformats.org/officeDocument/2006/relationships/hyperlink" Target="https://ich.unesco.org/fr/decisions/7.GA/11?dec=decisions&amp;ref_decision=7.GA" TargetMode="External"/><Relationship Id="rId10" Type="http://schemas.openxmlformats.org/officeDocument/2006/relationships/hyperlink" Target="https://ich.unesco.org/fr/decisions/7.GA/11?dec=decisions&amp;ref_decision=7.GA" TargetMode="External"/><Relationship Id="rId19" Type="http://schemas.openxmlformats.org/officeDocument/2006/relationships/hyperlink" Target="https://ich.unesco.org/doc/src/LHE-19-14.COM-15-FR.doc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fr/decisions/12.COM/17?dec=decisions&amp;ref_decision=12.COM" TargetMode="External"/><Relationship Id="rId14" Type="http://schemas.openxmlformats.org/officeDocument/2006/relationships/hyperlink" Target="https://ich.unesco.org/doc/src/LHE-19-NGO-3-FR.docx" TargetMode="External"/><Relationship Id="rId22" Type="http://schemas.openxmlformats.org/officeDocument/2006/relationships/hyperlink" Target="https://ich.unesco.org/fr/decisions/12.COM/17?dec=decisions&amp;ref_decision=12.COM" TargetMode="External"/><Relationship Id="rId27" Type="http://schemas.openxmlformats.org/officeDocument/2006/relationships/hyperlink" Target="https://ich.unesco.org/fr/resolutions/7.GA/6?dec=resolutions&amp;ref_decision=7.GA" TargetMode="External"/><Relationship Id="rId3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C8B2D-3B3C-4D17-9266-6B0D7777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2080</Words>
  <Characters>11444</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2020-08-03T13:07:00Z</dcterms:created>
  <dcterms:modified xsi:type="dcterms:W3CDTF">2020-08-07T13:15:00Z</dcterms:modified>
</cp:coreProperties>
</file>