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FB721" w14:textId="4F2A56EC" w:rsidR="00655736" w:rsidRPr="00025BC9" w:rsidRDefault="00655736" w:rsidP="00655736">
      <w:pPr>
        <w:spacing w:before="1440"/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CONVENCIÓN PARA LA SALVAGUARDIA DEL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b/>
          <w:bCs/>
          <w:sz w:val="22"/>
          <w:szCs w:val="22"/>
          <w:lang w:val="es"/>
        </w:rPr>
        <w:t>PATRIMONIO CULTURAL INMATERIAL</w:t>
      </w:r>
    </w:p>
    <w:p w14:paraId="1C61622E" w14:textId="77777777" w:rsidR="00655736" w:rsidRPr="00025BC9" w:rsidRDefault="00D95C4C" w:rsidP="00655736">
      <w:pPr>
        <w:spacing w:before="1200"/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ASAMBLEA GENERAL DE LOS ESTADOS PARTES EN LA CONVENCIÓN</w:t>
      </w:r>
    </w:p>
    <w:p w14:paraId="5F00357B" w14:textId="77777777" w:rsidR="00D95C4C" w:rsidRPr="00025BC9" w:rsidRDefault="006F41B4" w:rsidP="00D95C4C">
      <w:pPr>
        <w:spacing w:before="840"/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Octava reunión</w:t>
      </w:r>
    </w:p>
    <w:p w14:paraId="2610A76C" w14:textId="77777777" w:rsidR="00D95C4C" w:rsidRPr="00025BC9" w:rsidRDefault="00D95C4C" w:rsidP="00D95C4C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Sede de la UNESCO, Sala I</w:t>
      </w:r>
    </w:p>
    <w:p w14:paraId="67F397C0" w14:textId="77777777" w:rsidR="00655736" w:rsidRPr="00025BC9" w:rsidRDefault="00B65CDE" w:rsidP="00D95C4C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8 al 10 de septiembre de 2020</w:t>
      </w:r>
    </w:p>
    <w:p w14:paraId="07117F77" w14:textId="0E7064F7" w:rsidR="00655736" w:rsidRPr="00025BC9" w:rsidRDefault="00655736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s"/>
        </w:rPr>
        <w:t>Punto 12 del orden del día provisional:</w:t>
      </w:r>
    </w:p>
    <w:p w14:paraId="45539C1F" w14:textId="344EA166" w:rsidR="002F312A" w:rsidRPr="00025BC9" w:rsidRDefault="00931D55" w:rsidP="002F312A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Actualización de la reflexión sobre la participación de las organizaciones no gubernamentales en la aplicación de la Convención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5B2D73" w14:paraId="6322D3F5" w14:textId="77777777" w:rsidTr="002F312A">
        <w:trPr>
          <w:jc w:val="center"/>
        </w:trPr>
        <w:tc>
          <w:tcPr>
            <w:tcW w:w="5670" w:type="dxa"/>
            <w:vAlign w:val="center"/>
          </w:tcPr>
          <w:p w14:paraId="33992B54" w14:textId="6D233607" w:rsidR="0057439C" w:rsidRPr="00025BC9" w:rsidRDefault="0057439C" w:rsidP="005B7A35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Resumen</w:t>
            </w:r>
          </w:p>
          <w:p w14:paraId="2DF4F8B2" w14:textId="6F5AE2DC" w:rsidR="0065698F" w:rsidRPr="00025BC9" w:rsidRDefault="0065698F" w:rsidP="0065698F">
            <w:pPr>
              <w:pStyle w:val="Sansinterligne2"/>
              <w:spacing w:before="200" w:after="20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B62AD">
              <w:rPr>
                <w:rFonts w:ascii="Arial" w:hAnsi="Arial" w:cs="Arial"/>
                <w:sz w:val="22"/>
                <w:szCs w:val="22"/>
                <w:lang w:val="es"/>
              </w:rPr>
              <w:t xml:space="preserve">En su decimosegunda reunión, celebrada en 2017, el Comité inició una reflexión sobre la definición de las funciones </w:t>
            </w:r>
            <w:r w:rsidR="00572791" w:rsidRPr="009B62AD">
              <w:rPr>
                <w:rFonts w:ascii="Arial" w:hAnsi="Arial" w:cs="Arial"/>
                <w:sz w:val="22"/>
                <w:szCs w:val="22"/>
                <w:lang w:val="es"/>
              </w:rPr>
              <w:t>consultivas</w:t>
            </w:r>
            <w:r w:rsidRPr="009B62AD">
              <w:rPr>
                <w:rFonts w:ascii="Arial" w:hAnsi="Arial" w:cs="Arial"/>
                <w:sz w:val="22"/>
                <w:szCs w:val="22"/>
                <w:lang w:val="es"/>
              </w:rPr>
              <w:t xml:space="preserve"> que deben cumplir las organizaciones no gubernamentales acreditadas en el marco de la Convención de 2003. La reflexión continuó a lo largo de 2018 y 2019. En el presente documento se describen los resultados de este proceso</w:t>
            </w:r>
            <w:r w:rsidR="00A7032E" w:rsidRPr="009B62AD">
              <w:rPr>
                <w:rFonts w:ascii="Arial" w:hAnsi="Arial" w:cs="Arial"/>
                <w:sz w:val="22"/>
                <w:szCs w:val="22"/>
                <w:lang w:val="es"/>
              </w:rPr>
              <w:t>,</w:t>
            </w:r>
            <w:r w:rsidRPr="009B62AD">
              <w:rPr>
                <w:rFonts w:ascii="Arial" w:hAnsi="Arial" w:cs="Arial"/>
                <w:sz w:val="22"/>
                <w:szCs w:val="22"/>
                <w:lang w:val="es"/>
              </w:rPr>
              <w:t xml:space="preserve"> </w:t>
            </w:r>
            <w:r w:rsidR="00A7032E" w:rsidRPr="009B62AD">
              <w:rPr>
                <w:rFonts w:ascii="Arial" w:hAnsi="Arial" w:cs="Arial"/>
                <w:sz w:val="22"/>
                <w:szCs w:val="22"/>
                <w:lang w:val="es"/>
              </w:rPr>
              <w:t>en seguimiento a</w:t>
            </w:r>
            <w:r w:rsidRPr="009B62AD">
              <w:rPr>
                <w:rFonts w:ascii="Arial" w:hAnsi="Arial" w:cs="Arial"/>
                <w:sz w:val="22"/>
                <w:szCs w:val="22"/>
                <w:lang w:val="es"/>
              </w:rPr>
              <w:t xml:space="preserve"> la petición formulada por la Asamblea General en su séptima reunión de 2018 y por el Comité en su decimocuarta reunión de 2019.</w:t>
            </w:r>
          </w:p>
          <w:p w14:paraId="161FF5BB" w14:textId="0F47F950" w:rsidR="00655736" w:rsidRPr="00414643" w:rsidRDefault="00FB6630" w:rsidP="0018735F">
            <w:pPr>
              <w:pStyle w:val="Sansinterligne2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 xml:space="preserve">Decisión requerida: </w:t>
            </w:r>
            <w:r>
              <w:rPr>
                <w:rFonts w:ascii="Arial" w:hAnsi="Arial" w:cs="Arial"/>
                <w:sz w:val="22"/>
                <w:szCs w:val="22"/>
                <w:lang w:val="es"/>
              </w:rPr>
              <w:t>párrafo 9</w:t>
            </w:r>
          </w:p>
        </w:tc>
      </w:tr>
    </w:tbl>
    <w:p w14:paraId="4A2A53B7" w14:textId="77777777" w:rsidR="00176720" w:rsidRDefault="00655736" w:rsidP="00176720">
      <w:pPr>
        <w:pStyle w:val="GAPara"/>
        <w:numPr>
          <w:ilvl w:val="0"/>
          <w:numId w:val="0"/>
        </w:numPr>
        <w:jc w:val="both"/>
      </w:pPr>
      <w:r>
        <w:rPr>
          <w:lang w:val="es"/>
        </w:rPr>
        <w:br w:type="page"/>
      </w:r>
    </w:p>
    <w:p w14:paraId="54DA7B08" w14:textId="77777777" w:rsidR="008D5142" w:rsidRPr="00610AA6" w:rsidRDefault="00F9151B" w:rsidP="00DD5335">
      <w:pPr>
        <w:pStyle w:val="Titre4"/>
        <w:ind w:left="567" w:hanging="425"/>
      </w:pPr>
      <w:r>
        <w:rPr>
          <w:lang w:val="es"/>
        </w:rPr>
        <w:lastRenderedPageBreak/>
        <w:t>Antecedentes</w:t>
      </w:r>
    </w:p>
    <w:p w14:paraId="19A5C91B" w14:textId="2D27DB9A" w:rsidR="00AA4FE3" w:rsidRPr="00025BC9" w:rsidRDefault="00A7032E" w:rsidP="00DD5335">
      <w:pPr>
        <w:pStyle w:val="COMPara"/>
        <w:numPr>
          <w:ilvl w:val="0"/>
          <w:numId w:val="2"/>
        </w:numPr>
        <w:ind w:left="567" w:hanging="567"/>
        <w:jc w:val="both"/>
        <w:rPr>
          <w:bCs/>
          <w:lang w:val="es-ES"/>
        </w:rPr>
      </w:pPr>
      <w:r>
        <w:rPr>
          <w:lang w:val="es"/>
        </w:rPr>
        <w:t>L</w:t>
      </w:r>
      <w:r w:rsidR="00E6072C">
        <w:rPr>
          <w:lang w:val="es"/>
        </w:rPr>
        <w:t xml:space="preserve">as organizaciones no gubernamentales (ONG) son partes interesadas importantes en la aplicación de la Convención de 2003. El Artículo 9 de la Convención estipula que </w:t>
      </w:r>
      <w:r w:rsidR="001D7504">
        <w:rPr>
          <w:lang w:val="es"/>
        </w:rPr>
        <w:t>“</w:t>
      </w:r>
      <w:r w:rsidR="00E6072C">
        <w:rPr>
          <w:lang w:val="es"/>
        </w:rPr>
        <w:t xml:space="preserve">el Comité propondrá a la Asamblea General la acreditación de las ONG </w:t>
      </w:r>
      <w:r w:rsidR="006A37F9">
        <w:rPr>
          <w:lang w:val="es"/>
        </w:rPr>
        <w:t xml:space="preserve">de probada </w:t>
      </w:r>
      <w:r w:rsidR="00E6072C">
        <w:rPr>
          <w:lang w:val="es"/>
        </w:rPr>
        <w:t xml:space="preserve">competencia en el </w:t>
      </w:r>
      <w:r w:rsidR="006A37F9">
        <w:rPr>
          <w:lang w:val="es"/>
        </w:rPr>
        <w:t xml:space="preserve">terreno </w:t>
      </w:r>
      <w:r w:rsidR="00E6072C">
        <w:rPr>
          <w:lang w:val="es"/>
        </w:rPr>
        <w:t>del patrimonio cultural inmaterial</w:t>
      </w:r>
      <w:r w:rsidR="001D7504">
        <w:rPr>
          <w:lang w:val="es"/>
        </w:rPr>
        <w:t>”</w:t>
      </w:r>
      <w:r w:rsidR="00E6072C">
        <w:rPr>
          <w:lang w:val="es"/>
        </w:rPr>
        <w:t xml:space="preserve"> para que </w:t>
      </w:r>
      <w:r w:rsidR="00572791">
        <w:rPr>
          <w:lang w:val="es"/>
        </w:rPr>
        <w:t>ejerzan funciones</w:t>
      </w:r>
      <w:r w:rsidR="00E6072C">
        <w:rPr>
          <w:lang w:val="es"/>
        </w:rPr>
        <w:t xml:space="preserve"> consultiva</w:t>
      </w:r>
      <w:r w:rsidR="00572791">
        <w:rPr>
          <w:lang w:val="es"/>
        </w:rPr>
        <w:t>s</w:t>
      </w:r>
      <w:r w:rsidR="00E6072C">
        <w:rPr>
          <w:lang w:val="es"/>
        </w:rPr>
        <w:t xml:space="preserve"> ante el Comité. En consecuencia, en los párrafos 91 a 96 del capítulo III.2.2 de las Directrices Operativas se establecen los criterios, las modalidades y el examen del proceso de acreditación de las ONG, así como el alcance de las funciones consultivas que se les puede invitar a prestar al Comité. </w:t>
      </w:r>
      <w:r w:rsidR="00572791">
        <w:rPr>
          <w:lang w:val="es"/>
        </w:rPr>
        <w:t>D</w:t>
      </w:r>
      <w:r w:rsidR="00E6072C">
        <w:rPr>
          <w:lang w:val="es"/>
        </w:rPr>
        <w:t>efin</w:t>
      </w:r>
      <w:r w:rsidR="00572791">
        <w:rPr>
          <w:lang w:val="es"/>
        </w:rPr>
        <w:t>idas</w:t>
      </w:r>
      <w:r w:rsidR="00E6072C">
        <w:rPr>
          <w:lang w:val="es"/>
        </w:rPr>
        <w:t>, entre otras cosas, como las funciones de evaluación de candidaturas, propuestas y solicitudes.</w:t>
      </w:r>
    </w:p>
    <w:p w14:paraId="4D74C4C2" w14:textId="023F8AF1" w:rsidR="00743D8C" w:rsidRPr="00025BC9" w:rsidRDefault="004B4AC7" w:rsidP="00DD5335">
      <w:pPr>
        <w:pStyle w:val="COMPara"/>
        <w:numPr>
          <w:ilvl w:val="0"/>
          <w:numId w:val="2"/>
        </w:numPr>
        <w:ind w:left="567" w:hanging="567"/>
        <w:jc w:val="both"/>
        <w:rPr>
          <w:lang w:val="es-ES"/>
        </w:rPr>
      </w:pPr>
      <w:r>
        <w:rPr>
          <w:lang w:val="es"/>
        </w:rPr>
        <w:t>En su decimosegunda reunión, celebrada en 2017, el Comité inició un proceso de reflexión sobre la</w:t>
      </w:r>
      <w:r w:rsidR="00572791">
        <w:rPr>
          <w:lang w:val="es"/>
        </w:rPr>
        <w:t>s</w:t>
      </w:r>
      <w:r>
        <w:rPr>
          <w:lang w:val="es"/>
        </w:rPr>
        <w:t xml:space="preserve"> funci</w:t>
      </w:r>
      <w:r w:rsidR="00572791">
        <w:rPr>
          <w:lang w:val="es"/>
        </w:rPr>
        <w:t>o</w:t>
      </w:r>
      <w:r>
        <w:rPr>
          <w:lang w:val="es"/>
        </w:rPr>
        <w:t>n</w:t>
      </w:r>
      <w:r w:rsidR="00572791">
        <w:rPr>
          <w:lang w:val="es"/>
        </w:rPr>
        <w:t>es</w:t>
      </w:r>
      <w:r>
        <w:rPr>
          <w:lang w:val="es"/>
        </w:rPr>
        <w:t xml:space="preserve"> consultiva</w:t>
      </w:r>
      <w:r w:rsidR="00572791">
        <w:rPr>
          <w:lang w:val="es"/>
        </w:rPr>
        <w:t>s</w:t>
      </w:r>
      <w:r>
        <w:rPr>
          <w:lang w:val="es"/>
        </w:rPr>
        <w:t xml:space="preserve"> de las ONG acreditadas (</w:t>
      </w:r>
      <w:hyperlink r:id="rId11" w:history="1">
        <w:r w:rsidR="009A3376">
          <w:rPr>
            <w:rStyle w:val="Lienhypertexte"/>
            <w:lang w:val="es"/>
          </w:rPr>
          <w:t>d</w:t>
        </w:r>
        <w:r>
          <w:rPr>
            <w:rStyle w:val="Lienhypertexte"/>
            <w:lang w:val="es"/>
          </w:rPr>
          <w:t>ecisión 12.COM 13</w:t>
        </w:r>
      </w:hyperlink>
      <w:r>
        <w:rPr>
          <w:u w:val="single"/>
          <w:lang w:val="es"/>
        </w:rPr>
        <w:t xml:space="preserve"> </w:t>
      </w:r>
      <w:r>
        <w:rPr>
          <w:lang w:val="es"/>
        </w:rPr>
        <w:t xml:space="preserve">y </w:t>
      </w:r>
      <w:hyperlink r:id="rId12" w:history="1">
        <w:r w:rsidR="009A3376">
          <w:rPr>
            <w:rStyle w:val="Lienhypertexte"/>
            <w:lang w:val="es"/>
          </w:rPr>
          <w:t>d</w:t>
        </w:r>
        <w:r>
          <w:rPr>
            <w:rStyle w:val="Lienhypertexte"/>
            <w:lang w:val="es"/>
          </w:rPr>
          <w:t>ecisión</w:t>
        </w:r>
        <w:r w:rsidR="009A3376">
          <w:rPr>
            <w:rStyle w:val="Lienhypertexte"/>
            <w:lang w:val="es"/>
          </w:rPr>
          <w:t> </w:t>
        </w:r>
        <w:r>
          <w:rPr>
            <w:rStyle w:val="Lienhypertexte"/>
            <w:lang w:val="es"/>
          </w:rPr>
          <w:t>12.COM 17</w:t>
        </w:r>
      </w:hyperlink>
      <w:r>
        <w:rPr>
          <w:lang w:val="es"/>
        </w:rPr>
        <w:t xml:space="preserve">). El inicio de la reflexión se originó principalmente al reconocer que, en un momento dado, solo 6 de las 164 ONG entonces acreditadas </w:t>
      </w:r>
      <w:r w:rsidR="00293F69">
        <w:rPr>
          <w:lang w:val="es"/>
        </w:rPr>
        <w:t xml:space="preserve">eran </w:t>
      </w:r>
      <w:r>
        <w:rPr>
          <w:lang w:val="es"/>
        </w:rPr>
        <w:t>miembros del Órgano de Evaluación y, por lo tanto, est</w:t>
      </w:r>
      <w:r w:rsidR="00293F69">
        <w:rPr>
          <w:lang w:val="es"/>
        </w:rPr>
        <w:t>aba</w:t>
      </w:r>
      <w:r>
        <w:rPr>
          <w:lang w:val="es"/>
        </w:rPr>
        <w:t xml:space="preserve">n en condiciones de cumplir las funciones consultivas asignadas en las Directrices Operativas a las ONG acreditadas. El Comité invitó a la Secretaría y a un grupo de trabajo informal </w:t>
      </w:r>
      <w:r w:rsidRPr="00A53D80">
        <w:rPr>
          <w:i/>
          <w:iCs/>
          <w:lang w:val="es"/>
        </w:rPr>
        <w:t>ad hoc</w:t>
      </w:r>
      <w:r w:rsidR="007B0833">
        <w:rPr>
          <w:lang w:val="es"/>
        </w:rPr>
        <w:t xml:space="preserve"> de composición abierta </w:t>
      </w:r>
      <w:r>
        <w:rPr>
          <w:lang w:val="es"/>
        </w:rPr>
        <w:t>"a reflexionar, con el asesoramiento de las ONG acreditadas, sobre las posibles formas de aumentar la participación de las ONG en el marco de la Convención de 2003 y sobre la manera en la cual esto se reflejaría en los mecanismos de acreditación y renovación de las ONG". En el presente documento se informa de los resultados de dicha reflexión, conforme a lo solicitado por la Asamblea General en su séptima reunión, celebrada en 2018 (</w:t>
      </w:r>
      <w:hyperlink r:id="rId13" w:history="1">
        <w:r w:rsidR="009A3376">
          <w:rPr>
            <w:rStyle w:val="Lienhypertexte"/>
            <w:lang w:val="es"/>
          </w:rPr>
          <w:t>r</w:t>
        </w:r>
        <w:r>
          <w:rPr>
            <w:rStyle w:val="Lienhypertexte"/>
            <w:lang w:val="es"/>
          </w:rPr>
          <w:t>esolución 7.GA 11</w:t>
        </w:r>
      </w:hyperlink>
      <w:r>
        <w:rPr>
          <w:lang w:val="es"/>
        </w:rPr>
        <w:t>) y el Comité (</w:t>
      </w:r>
      <w:hyperlink r:id="rId14" w:history="1">
        <w:r w:rsidR="009A3376">
          <w:rPr>
            <w:rStyle w:val="Lienhypertexte"/>
            <w:lang w:val="es"/>
          </w:rPr>
          <w:t>d</w:t>
        </w:r>
        <w:r>
          <w:rPr>
            <w:rStyle w:val="Lienhypertexte"/>
            <w:lang w:val="es"/>
          </w:rPr>
          <w:t>ecisión 14.COM 15</w:t>
        </w:r>
      </w:hyperlink>
      <w:r>
        <w:rPr>
          <w:lang w:val="es"/>
        </w:rPr>
        <w:t>) en su decimocuarta reunión en 2019.</w:t>
      </w:r>
    </w:p>
    <w:p w14:paraId="6668C4C8" w14:textId="1845EBD3" w:rsidR="00AE1D58" w:rsidRPr="00025BC9" w:rsidRDefault="00AE1D58" w:rsidP="00DD5335">
      <w:pPr>
        <w:pStyle w:val="COMPara"/>
        <w:numPr>
          <w:ilvl w:val="0"/>
          <w:numId w:val="2"/>
        </w:numPr>
        <w:ind w:left="567" w:hanging="567"/>
        <w:jc w:val="both"/>
        <w:rPr>
          <w:lang w:val="es-ES"/>
        </w:rPr>
      </w:pPr>
      <w:r>
        <w:rPr>
          <w:lang w:val="es"/>
        </w:rPr>
        <w:t>Este proceso de reflexión tenía como objetivo reunir ideas sobre:</w:t>
      </w:r>
    </w:p>
    <w:p w14:paraId="08DD812C" w14:textId="1ACAE796" w:rsidR="002E14C7" w:rsidRPr="00A36CE3" w:rsidRDefault="002E14C7" w:rsidP="00935106">
      <w:pPr>
        <w:pStyle w:val="GAPara"/>
        <w:numPr>
          <w:ilvl w:val="0"/>
          <w:numId w:val="5"/>
        </w:numPr>
        <w:jc w:val="both"/>
        <w:rPr>
          <w:lang w:val="es-ES"/>
        </w:rPr>
      </w:pPr>
      <w:r w:rsidRPr="00A36CE3">
        <w:rPr>
          <w:lang w:val="es"/>
        </w:rPr>
        <w:t>posibles funciones consultivas –definidas</w:t>
      </w:r>
      <w:r w:rsidR="00B127EB" w:rsidRPr="00A36CE3">
        <w:rPr>
          <w:lang w:val="es"/>
        </w:rPr>
        <w:t xml:space="preserve"> </w:t>
      </w:r>
      <w:r w:rsidR="008F2C21" w:rsidRPr="00A36CE3">
        <w:rPr>
          <w:lang w:val="es"/>
        </w:rPr>
        <w:t xml:space="preserve">como ‘entre otras cosas’ </w:t>
      </w:r>
      <w:r w:rsidR="00B127EB" w:rsidRPr="00A36CE3">
        <w:rPr>
          <w:lang w:val="es"/>
        </w:rPr>
        <w:t>(‘</w:t>
      </w:r>
      <w:r w:rsidR="00B127EB" w:rsidRPr="00A36CE3">
        <w:rPr>
          <w:i/>
          <w:iCs/>
          <w:lang w:val="es"/>
        </w:rPr>
        <w:t xml:space="preserve">inter </w:t>
      </w:r>
      <w:proofErr w:type="spellStart"/>
      <w:r w:rsidR="00B127EB" w:rsidRPr="00A36CE3">
        <w:rPr>
          <w:i/>
          <w:iCs/>
          <w:lang w:val="es"/>
        </w:rPr>
        <w:t>alia</w:t>
      </w:r>
      <w:proofErr w:type="spellEnd"/>
      <w:r w:rsidR="00B127EB" w:rsidRPr="00A36CE3">
        <w:rPr>
          <w:i/>
          <w:iCs/>
          <w:lang w:val="es"/>
        </w:rPr>
        <w:t>’</w:t>
      </w:r>
      <w:r w:rsidR="00B127EB" w:rsidRPr="00A36CE3">
        <w:rPr>
          <w:lang w:val="es"/>
        </w:rPr>
        <w:t xml:space="preserve">) </w:t>
      </w:r>
      <w:r w:rsidRPr="00A36CE3">
        <w:rPr>
          <w:lang w:val="es"/>
        </w:rPr>
        <w:t xml:space="preserve">en el párrafo 96 de las Directrices Operativas– que las ONG acreditadas podrían cumplir </w:t>
      </w:r>
      <w:r w:rsidR="008F2C21" w:rsidRPr="00A36CE3">
        <w:rPr>
          <w:lang w:val="es"/>
        </w:rPr>
        <w:t xml:space="preserve">ante </w:t>
      </w:r>
      <w:r w:rsidRPr="00A36CE3">
        <w:rPr>
          <w:lang w:val="es"/>
        </w:rPr>
        <w:t>los órganos rectores de la Convención;</w:t>
      </w:r>
    </w:p>
    <w:p w14:paraId="34B135F3" w14:textId="3F1DB4CC" w:rsidR="002E14C7" w:rsidRPr="00025BC9" w:rsidRDefault="002E14C7" w:rsidP="00935106">
      <w:pPr>
        <w:pStyle w:val="GAPara"/>
        <w:numPr>
          <w:ilvl w:val="0"/>
          <w:numId w:val="5"/>
        </w:numPr>
        <w:jc w:val="both"/>
        <w:rPr>
          <w:lang w:val="es-ES"/>
        </w:rPr>
      </w:pPr>
      <w:r>
        <w:rPr>
          <w:lang w:val="es"/>
        </w:rPr>
        <w:t>posibles funciones que las ONG acreditadas podrían cumplir en la aplicación de la Convención;</w:t>
      </w:r>
    </w:p>
    <w:p w14:paraId="0D6F7144" w14:textId="77777777" w:rsidR="002E14C7" w:rsidRPr="00025BC9" w:rsidRDefault="002E14C7" w:rsidP="00935106">
      <w:pPr>
        <w:pStyle w:val="GAPara"/>
        <w:numPr>
          <w:ilvl w:val="0"/>
          <w:numId w:val="5"/>
        </w:numPr>
        <w:jc w:val="both"/>
        <w:rPr>
          <w:lang w:val="es-ES"/>
        </w:rPr>
      </w:pPr>
      <w:r>
        <w:rPr>
          <w:lang w:val="es"/>
        </w:rPr>
        <w:t>la evolución del sistema de acreditación de las ONG; y</w:t>
      </w:r>
    </w:p>
    <w:p w14:paraId="0758E3D8" w14:textId="77517E80" w:rsidR="00F9151B" w:rsidRPr="00A36CE3" w:rsidRDefault="002E14C7" w:rsidP="00935106">
      <w:pPr>
        <w:pStyle w:val="GAPara"/>
        <w:numPr>
          <w:ilvl w:val="0"/>
          <w:numId w:val="5"/>
        </w:numPr>
        <w:rPr>
          <w:lang w:val="es-ES"/>
        </w:rPr>
      </w:pPr>
      <w:r w:rsidRPr="00A36CE3">
        <w:rPr>
          <w:lang w:val="es"/>
        </w:rPr>
        <w:t>el papel del Foro de ONG dedicadas al PCI</w:t>
      </w:r>
      <w:r w:rsidR="00B127EB" w:rsidRPr="00A36CE3">
        <w:rPr>
          <w:lang w:val="es"/>
        </w:rPr>
        <w:t xml:space="preserve"> </w:t>
      </w:r>
      <w:r w:rsidR="00B127EB" w:rsidRPr="00B127EB">
        <w:rPr>
          <w:lang w:val="es"/>
        </w:rPr>
        <w:t>(</w:t>
      </w:r>
      <w:r w:rsidR="00B127EB" w:rsidRPr="00A36CE3">
        <w:rPr>
          <w:lang w:val="es-ES"/>
        </w:rPr>
        <w:t xml:space="preserve">ICH NGO </w:t>
      </w:r>
      <w:proofErr w:type="spellStart"/>
      <w:r w:rsidR="00B127EB" w:rsidRPr="00A36CE3">
        <w:rPr>
          <w:lang w:val="es-ES"/>
        </w:rPr>
        <w:t>Forum</w:t>
      </w:r>
      <w:proofErr w:type="spellEnd"/>
      <w:r w:rsidR="00B127EB" w:rsidRPr="00A36CE3">
        <w:rPr>
          <w:lang w:val="es-ES"/>
        </w:rPr>
        <w:t>)</w:t>
      </w:r>
      <w:r w:rsidRPr="00A36CE3">
        <w:rPr>
          <w:lang w:val="es"/>
        </w:rPr>
        <w:t>.</w:t>
      </w:r>
    </w:p>
    <w:p w14:paraId="7E1125D0" w14:textId="06C12E3D" w:rsidR="002163AB" w:rsidRPr="00025BC9" w:rsidRDefault="00011C3D" w:rsidP="00DD5335">
      <w:pPr>
        <w:pStyle w:val="COMPara"/>
        <w:numPr>
          <w:ilvl w:val="0"/>
          <w:numId w:val="2"/>
        </w:numPr>
        <w:ind w:left="567" w:hanging="567"/>
        <w:jc w:val="both"/>
        <w:rPr>
          <w:lang w:val="es-ES"/>
        </w:rPr>
      </w:pPr>
      <w:r>
        <w:rPr>
          <w:lang w:val="es"/>
        </w:rPr>
        <w:t>Como primer paso de la reflexión, la Secretaría organizó una consulta electrónica de septiembre a octubre de 2018 sobre la definición de las funciones consultivas que han de desempeñar las ONG acreditadas y sobre las posibles formas de avanzar en el sistema de acreditación. En total, 38 Estados Partes y 68 ONG acreditadas participaron en esta consulta, cuyos resultados preliminares se presentaron al Comité en su decimotercera reunión, celebrada en 2018 (</w:t>
      </w:r>
      <w:hyperlink r:id="rId15" w:history="1">
        <w:r>
          <w:rPr>
            <w:rStyle w:val="Lienhypertexte"/>
            <w:lang w:val="es"/>
          </w:rPr>
          <w:t>documento ITH/18/13.COM/13</w:t>
        </w:r>
      </w:hyperlink>
      <w:r>
        <w:rPr>
          <w:lang w:val="es"/>
        </w:rPr>
        <w:t>). Al tiempo que tomó nota del proceso de consulta, el Comité pidió a la Secretaría que prosiguiera la reflexión y presentara los resultados y propuestas de revisión del sistema de acreditación en su decimocuarta reunión (</w:t>
      </w:r>
      <w:hyperlink r:id="rId16" w:history="1">
        <w:r w:rsidR="009A3376">
          <w:rPr>
            <w:rStyle w:val="Lienhypertexte"/>
            <w:lang w:val="es"/>
          </w:rPr>
          <w:t>d</w:t>
        </w:r>
        <w:r>
          <w:rPr>
            <w:rStyle w:val="Lienhypertexte"/>
            <w:lang w:val="es"/>
          </w:rPr>
          <w:t>ecisión 13.COM 13</w:t>
        </w:r>
      </w:hyperlink>
      <w:r>
        <w:rPr>
          <w:lang w:val="es"/>
        </w:rPr>
        <w:t xml:space="preserve">). A la consulta electrónica le siguió una reunión de consulta </w:t>
      </w:r>
      <w:r w:rsidR="00D16F23">
        <w:rPr>
          <w:lang w:val="es"/>
        </w:rPr>
        <w:t xml:space="preserve">presencial </w:t>
      </w:r>
      <w:r>
        <w:rPr>
          <w:lang w:val="es"/>
        </w:rPr>
        <w:t xml:space="preserve">organizada el 18 de abril de 2019 en la sede de la UNESCO. El </w:t>
      </w:r>
      <w:hyperlink r:id="rId17" w:history="1">
        <w:r>
          <w:rPr>
            <w:rStyle w:val="Lienhypertexte"/>
            <w:lang w:val="es"/>
          </w:rPr>
          <w:t>informe de la reunión de</w:t>
        </w:r>
        <w:r w:rsidR="001479B5">
          <w:rPr>
            <w:rStyle w:val="Lienhypertexte"/>
            <w:lang w:val="es"/>
          </w:rPr>
          <w:t> </w:t>
        </w:r>
        <w:r>
          <w:rPr>
            <w:rStyle w:val="Lienhypertexte"/>
            <w:lang w:val="es"/>
          </w:rPr>
          <w:t>consulta</w:t>
        </w:r>
      </w:hyperlink>
      <w:r>
        <w:rPr>
          <w:lang w:val="es"/>
        </w:rPr>
        <w:t xml:space="preserve"> fue revisado por el Comité Directivo del Foro de ONG dedicadas al PCI, antes de ser compartido con los Estados Partes y las ONG acreditadas en agosto de 2019. Los resultados de la reflexión se presentaron en la decimocuarta reunión del Comité, celebrada en diciembre de 2019 (véase la sección II</w:t>
      </w:r>
      <w:r w:rsidR="00D16F23">
        <w:rPr>
          <w:lang w:val="es"/>
        </w:rPr>
        <w:t xml:space="preserve"> a continuación</w:t>
      </w:r>
      <w:r>
        <w:rPr>
          <w:lang w:val="es"/>
        </w:rPr>
        <w:t>).</w:t>
      </w:r>
      <w:bookmarkStart w:id="0" w:name="_GoBack"/>
      <w:bookmarkEnd w:id="0"/>
    </w:p>
    <w:p w14:paraId="5B73C402" w14:textId="58D6F2A2" w:rsidR="002163AB" w:rsidRPr="00025BC9" w:rsidRDefault="002163AB" w:rsidP="00DD5335">
      <w:pPr>
        <w:pStyle w:val="COMPara"/>
        <w:numPr>
          <w:ilvl w:val="0"/>
          <w:numId w:val="2"/>
        </w:numPr>
        <w:ind w:left="567" w:hanging="567"/>
        <w:jc w:val="both"/>
        <w:rPr>
          <w:lang w:val="es-ES"/>
        </w:rPr>
      </w:pPr>
      <w:r>
        <w:rPr>
          <w:lang w:val="es"/>
        </w:rPr>
        <w:t xml:space="preserve">En total, 76 Estados y 99 ONG acreditadas participaron en al menos una etapa del proceso de reflexión organizado por la Secretaría. Si bien no todas las ONG acreditadas y los Estados Partes contribuyeron a la consulta electrónica, fue posible reunir una muestra representativa de opiniones (el 56 % de las ONG acreditadas y el 43 % de los Estados Partes). Paralelamente, y como parte de su mandato, el grupo de trabajo informal </w:t>
      </w:r>
      <w:r w:rsidRPr="00A36CE3">
        <w:rPr>
          <w:i/>
          <w:iCs/>
          <w:lang w:val="es"/>
        </w:rPr>
        <w:t>ad hoc</w:t>
      </w:r>
      <w:r>
        <w:rPr>
          <w:i/>
          <w:iCs/>
          <w:lang w:val="es"/>
        </w:rPr>
        <w:t xml:space="preserve"> </w:t>
      </w:r>
      <w:r>
        <w:rPr>
          <w:lang w:val="es"/>
        </w:rPr>
        <w:t xml:space="preserve">de composición abierta (establecido por el Comité en su decimoprimera reunión en 2016 y </w:t>
      </w:r>
      <w:r>
        <w:rPr>
          <w:lang w:val="es"/>
        </w:rPr>
        <w:lastRenderedPageBreak/>
        <w:t xml:space="preserve">prorrogado en 2017 por la </w:t>
      </w:r>
      <w:hyperlink r:id="rId18" w:history="1">
        <w:r w:rsidR="009A3376">
          <w:rPr>
            <w:rStyle w:val="Lienhypertexte"/>
            <w:lang w:val="es"/>
          </w:rPr>
          <w:t>d</w:t>
        </w:r>
        <w:r>
          <w:rPr>
            <w:rStyle w:val="Lienhypertexte"/>
            <w:lang w:val="es"/>
          </w:rPr>
          <w:t>ecisión 12.COM 13</w:t>
        </w:r>
      </w:hyperlink>
      <w:r>
        <w:rPr>
          <w:lang w:val="es"/>
        </w:rPr>
        <w:t xml:space="preserve"> y en 2018 por la </w:t>
      </w:r>
      <w:hyperlink r:id="rId19" w:history="1">
        <w:r w:rsidR="009A3376">
          <w:rPr>
            <w:rStyle w:val="Lienhypertexte"/>
            <w:lang w:val="es"/>
          </w:rPr>
          <w:t>d</w:t>
        </w:r>
        <w:r>
          <w:rPr>
            <w:rStyle w:val="Lienhypertexte"/>
            <w:lang w:val="es"/>
          </w:rPr>
          <w:t>ecisión 13.COM 16</w:t>
        </w:r>
      </w:hyperlink>
      <w:r>
        <w:rPr>
          <w:lang w:val="es"/>
        </w:rPr>
        <w:t>) emprendió debates que dieron lugar a un conjunto de recomendaciones con respecto a la participación de las ONG que están en consonancia con los principales resultados que se exponen a continuación (</w:t>
      </w:r>
      <w:hyperlink r:id="rId20" w:history="1">
        <w:r w:rsidR="009A3376" w:rsidRPr="009A3376">
          <w:rPr>
            <w:rStyle w:val="Lienhypertexte"/>
            <w:lang w:val="es-ES"/>
          </w:rPr>
          <w:t>d</w:t>
        </w:r>
        <w:proofErr w:type="spellStart"/>
        <w:r>
          <w:rPr>
            <w:rStyle w:val="Lienhypertexte"/>
            <w:lang w:val="es"/>
          </w:rPr>
          <w:t>ecisión</w:t>
        </w:r>
        <w:proofErr w:type="spellEnd"/>
        <w:r>
          <w:rPr>
            <w:rStyle w:val="Lienhypertexte"/>
            <w:lang w:val="es"/>
          </w:rPr>
          <w:t xml:space="preserve"> 14.COM 16</w:t>
        </w:r>
      </w:hyperlink>
      <w:r>
        <w:rPr>
          <w:lang w:val="es"/>
        </w:rPr>
        <w:t xml:space="preserve"> y </w:t>
      </w:r>
      <w:hyperlink r:id="rId21" w:history="1">
        <w:r>
          <w:rPr>
            <w:rStyle w:val="Lienhypertexte"/>
            <w:lang w:val="es"/>
          </w:rPr>
          <w:t>documento LHE/19/14.COM/16</w:t>
        </w:r>
      </w:hyperlink>
      <w:r>
        <w:rPr>
          <w:rStyle w:val="Lienhypertexte"/>
          <w:color w:val="auto"/>
          <w:lang w:val="es"/>
        </w:rPr>
        <w:t>)</w:t>
      </w:r>
      <w:r>
        <w:rPr>
          <w:lang w:val="es"/>
        </w:rPr>
        <w:t>.</w:t>
      </w:r>
    </w:p>
    <w:p w14:paraId="1224C3DE" w14:textId="38E2E529" w:rsidR="00B16BF6" w:rsidRDefault="00320D43" w:rsidP="00DD5335">
      <w:pPr>
        <w:pStyle w:val="Titre4"/>
        <w:spacing w:before="240"/>
        <w:ind w:left="567" w:hanging="425"/>
      </w:pPr>
      <w:r>
        <w:rPr>
          <w:lang w:val="es"/>
        </w:rPr>
        <w:t>Principales resultados de la reflexión</w:t>
      </w:r>
    </w:p>
    <w:p w14:paraId="3C0D1F4A" w14:textId="5CD5125C" w:rsidR="00775E5C" w:rsidRPr="00025BC9" w:rsidRDefault="00502926" w:rsidP="00DD5335">
      <w:pPr>
        <w:pStyle w:val="COMPara"/>
        <w:numPr>
          <w:ilvl w:val="0"/>
          <w:numId w:val="2"/>
        </w:numPr>
        <w:ind w:left="567" w:hanging="567"/>
        <w:jc w:val="both"/>
        <w:rPr>
          <w:bCs/>
          <w:lang w:val="es-ES"/>
        </w:rPr>
      </w:pPr>
      <w:r>
        <w:rPr>
          <w:lang w:val="es"/>
        </w:rPr>
        <w:t xml:space="preserve">Si bien el </w:t>
      </w:r>
      <w:r w:rsidR="00A80BDC">
        <w:rPr>
          <w:lang w:val="es"/>
        </w:rPr>
        <w:t xml:space="preserve">análisis detallado de los resultados de la reflexión </w:t>
      </w:r>
      <w:r>
        <w:rPr>
          <w:lang w:val="es"/>
        </w:rPr>
        <w:t xml:space="preserve">fue presentado al Comité en su decimocuarta reunión </w:t>
      </w:r>
      <w:r w:rsidR="00A80BDC">
        <w:rPr>
          <w:lang w:val="es"/>
        </w:rPr>
        <w:t>(</w:t>
      </w:r>
      <w:hyperlink r:id="rId22" w:history="1">
        <w:r w:rsidR="00A80BDC">
          <w:rPr>
            <w:rStyle w:val="Lienhypertexte"/>
            <w:lang w:val="es"/>
          </w:rPr>
          <w:t>documento LHE/19/14.COM 15</w:t>
        </w:r>
      </w:hyperlink>
      <w:r w:rsidR="00A80BDC">
        <w:rPr>
          <w:lang w:val="es"/>
        </w:rPr>
        <w:t>), los principales resultados pueden resumirse de la siguiente manera:</w:t>
      </w:r>
    </w:p>
    <w:p w14:paraId="4B89D588" w14:textId="5839162A" w:rsidR="00775E5C" w:rsidRPr="00025BC9" w:rsidRDefault="00775E5C" w:rsidP="00DD5335">
      <w:pPr>
        <w:pStyle w:val="GAPara"/>
        <w:numPr>
          <w:ilvl w:val="0"/>
          <w:numId w:val="5"/>
        </w:numPr>
        <w:jc w:val="both"/>
        <w:rPr>
          <w:bCs/>
          <w:lang w:val="es-ES"/>
        </w:rPr>
      </w:pPr>
      <w:r>
        <w:rPr>
          <w:lang w:val="es"/>
        </w:rPr>
        <w:t xml:space="preserve">En lo que respecta a la </w:t>
      </w:r>
      <w:r>
        <w:rPr>
          <w:u w:val="single"/>
          <w:lang w:val="es"/>
        </w:rPr>
        <w:t>finalidad del sistema de acreditación</w:t>
      </w:r>
      <w:r>
        <w:rPr>
          <w:lang w:val="es"/>
        </w:rPr>
        <w:t xml:space="preserve"> dos visiones</w:t>
      </w:r>
      <w:r w:rsidR="0084535D">
        <w:rPr>
          <w:lang w:val="es"/>
        </w:rPr>
        <w:t xml:space="preserve"> existen</w:t>
      </w:r>
      <w:r>
        <w:rPr>
          <w:lang w:val="es"/>
        </w:rPr>
        <w:t xml:space="preserve">: por un lado, se entiende la acreditación </w:t>
      </w:r>
      <w:r w:rsidR="00E302A3">
        <w:rPr>
          <w:lang w:val="es"/>
        </w:rPr>
        <w:t xml:space="preserve">como una manera de </w:t>
      </w:r>
      <w:r w:rsidR="000A3C0D">
        <w:rPr>
          <w:lang w:val="es"/>
        </w:rPr>
        <w:t>beneficiarse</w:t>
      </w:r>
      <w:r w:rsidR="00E302A3">
        <w:rPr>
          <w:lang w:val="es"/>
        </w:rPr>
        <w:t xml:space="preserve"> </w:t>
      </w:r>
      <w:r w:rsidR="000A3C0D">
        <w:rPr>
          <w:lang w:val="es"/>
        </w:rPr>
        <w:t>de</w:t>
      </w:r>
      <w:r>
        <w:rPr>
          <w:lang w:val="es"/>
        </w:rPr>
        <w:t xml:space="preserve"> los conocimientos especializados y experiencia</w:t>
      </w:r>
      <w:r w:rsidR="00E302A3">
        <w:rPr>
          <w:lang w:val="es"/>
        </w:rPr>
        <w:t>s</w:t>
      </w:r>
      <w:r>
        <w:rPr>
          <w:lang w:val="es"/>
        </w:rPr>
        <w:t xml:space="preserve"> de las ONG</w:t>
      </w:r>
      <w:r w:rsidR="00E302A3">
        <w:rPr>
          <w:lang w:val="es"/>
        </w:rPr>
        <w:t>,</w:t>
      </w:r>
      <w:r>
        <w:rPr>
          <w:lang w:val="es"/>
        </w:rPr>
        <w:t xml:space="preserve"> en el sentido del Artículo 9.1 de la Convención y el párrafo 96 de las Directrices Operativas; </w:t>
      </w:r>
      <w:r w:rsidR="00E302A3">
        <w:rPr>
          <w:lang w:val="es"/>
        </w:rPr>
        <w:t>por otro lado</w:t>
      </w:r>
      <w:r>
        <w:rPr>
          <w:lang w:val="es"/>
        </w:rPr>
        <w:t>,</w:t>
      </w:r>
      <w:r w:rsidR="00E302A3">
        <w:rPr>
          <w:lang w:val="es"/>
        </w:rPr>
        <w:t xml:space="preserve"> la </w:t>
      </w:r>
      <w:r>
        <w:rPr>
          <w:lang w:val="es"/>
        </w:rPr>
        <w:t xml:space="preserve">acreditación </w:t>
      </w:r>
      <w:r w:rsidR="00E302A3">
        <w:rPr>
          <w:lang w:val="es"/>
        </w:rPr>
        <w:t xml:space="preserve">también es entendida como </w:t>
      </w:r>
      <w:r>
        <w:rPr>
          <w:lang w:val="es"/>
        </w:rPr>
        <w:t>un sistema de afiliación, a través del cual las ONG pueden ser identificadas y beneficiarse de</w:t>
      </w:r>
      <w:r w:rsidR="00E302A3">
        <w:rPr>
          <w:lang w:val="es"/>
        </w:rPr>
        <w:t xml:space="preserve"> un</w:t>
      </w:r>
      <w:r>
        <w:rPr>
          <w:lang w:val="es"/>
        </w:rPr>
        <w:t xml:space="preserve"> reconocimiento internacional.</w:t>
      </w:r>
    </w:p>
    <w:p w14:paraId="09286319" w14:textId="20DD565B" w:rsidR="00775E5C" w:rsidRPr="00025BC9" w:rsidRDefault="00C518F0" w:rsidP="00DD5335">
      <w:pPr>
        <w:pStyle w:val="GAPara"/>
        <w:numPr>
          <w:ilvl w:val="0"/>
          <w:numId w:val="5"/>
        </w:numPr>
        <w:jc w:val="both"/>
        <w:rPr>
          <w:bCs/>
          <w:lang w:val="es-ES"/>
        </w:rPr>
      </w:pPr>
      <w:r>
        <w:rPr>
          <w:lang w:val="es"/>
        </w:rPr>
        <w:t xml:space="preserve">En cuanto a la </w:t>
      </w:r>
      <w:r>
        <w:rPr>
          <w:u w:val="single"/>
          <w:lang w:val="es"/>
        </w:rPr>
        <w:t>definición de las funciones consultivas</w:t>
      </w:r>
      <w:r>
        <w:rPr>
          <w:lang w:val="es"/>
        </w:rPr>
        <w:t xml:space="preserve"> que deben cumplir las ONG, surgieron dos categorías principales que corresponden a las dos visiones del sistema de acreditación descritas anteriormente: </w:t>
      </w:r>
      <w:r w:rsidR="000A3C0D">
        <w:rPr>
          <w:lang w:val="es"/>
        </w:rPr>
        <w:t>l</w:t>
      </w:r>
      <w:r>
        <w:rPr>
          <w:lang w:val="es"/>
        </w:rPr>
        <w:t xml:space="preserve">as ONG </w:t>
      </w:r>
      <w:r w:rsidR="000A3C0D">
        <w:rPr>
          <w:lang w:val="es"/>
        </w:rPr>
        <w:t>son reconocidas</w:t>
      </w:r>
      <w:r>
        <w:rPr>
          <w:lang w:val="es"/>
        </w:rPr>
        <w:t xml:space="preserve"> a la vez </w:t>
      </w:r>
      <w:r w:rsidR="000A3C0D">
        <w:rPr>
          <w:lang w:val="es"/>
        </w:rPr>
        <w:t xml:space="preserve">como </w:t>
      </w:r>
      <w:r>
        <w:rPr>
          <w:lang w:val="es"/>
        </w:rPr>
        <w:t>organizaciones consultivas del Comité y partes interesadas en la aplicación de la Convención.</w:t>
      </w:r>
    </w:p>
    <w:p w14:paraId="2B92A8D2" w14:textId="035CA56A" w:rsidR="00EC0AFC" w:rsidRPr="00025BC9" w:rsidRDefault="00EC0AFC" w:rsidP="00DD5335">
      <w:pPr>
        <w:pStyle w:val="GAPara"/>
        <w:numPr>
          <w:ilvl w:val="0"/>
          <w:numId w:val="5"/>
        </w:numPr>
        <w:jc w:val="both"/>
        <w:rPr>
          <w:bCs/>
          <w:lang w:val="es-ES"/>
        </w:rPr>
      </w:pPr>
      <w:r>
        <w:rPr>
          <w:u w:val="single"/>
          <w:lang w:val="es"/>
        </w:rPr>
        <w:t>En lo que respecta a los procesos y criterios aplicados para la acreditación y el examen de la acreditación</w:t>
      </w:r>
      <w:r>
        <w:rPr>
          <w:lang w:val="es"/>
        </w:rPr>
        <w:t>, se reconoció ampliamente que el examen de la contribución y el compromiso de las ONG acreditadas (párrafo 94 de las Directrices Operativas) debería evaluarse sobre la base de los mismos criterios utilizados para acreditar a las ONG en primer lugar (párrafo 91 de las Directrices Operativas).</w:t>
      </w:r>
    </w:p>
    <w:p w14:paraId="2BBF5D2A" w14:textId="73CE0828" w:rsidR="00C518F0" w:rsidRPr="00025BC9" w:rsidRDefault="006F2CFC" w:rsidP="00DD5335">
      <w:pPr>
        <w:pStyle w:val="GAPara"/>
        <w:numPr>
          <w:ilvl w:val="0"/>
          <w:numId w:val="5"/>
        </w:numPr>
        <w:jc w:val="both"/>
        <w:rPr>
          <w:bCs/>
          <w:lang w:val="es-ES"/>
        </w:rPr>
      </w:pPr>
      <w:r>
        <w:rPr>
          <w:lang w:val="es"/>
        </w:rPr>
        <w:t>Se consideró la posibilidad de establecer una "</w:t>
      </w:r>
      <w:r>
        <w:rPr>
          <w:u w:val="single"/>
          <w:lang w:val="es"/>
        </w:rPr>
        <w:t>organización coordinadora</w:t>
      </w:r>
      <w:r>
        <w:rPr>
          <w:lang w:val="es"/>
        </w:rPr>
        <w:t xml:space="preserve">", responsable de la acreditación y el examen de la acreditación, y de la coordinación del apoyo consultivo de las ONG. La propuesta no obtuvo consenso, y los Estados y las ONG acreditadas se inclinaron en cambio por la mejora del sistema actual o, alternativamente, por un enfoque híbrido, en el que se mejoraría la acreditación actual </w:t>
      </w:r>
      <w:r w:rsidR="00FD570C">
        <w:rPr>
          <w:lang w:val="es"/>
        </w:rPr>
        <w:t xml:space="preserve">dándole al </w:t>
      </w:r>
      <w:r>
        <w:rPr>
          <w:lang w:val="es"/>
        </w:rPr>
        <w:t xml:space="preserve">Foro de ONG dedicadas al PCI </w:t>
      </w:r>
      <w:r w:rsidR="00FD570C">
        <w:rPr>
          <w:lang w:val="es"/>
        </w:rPr>
        <w:t xml:space="preserve">la oportunidad de </w:t>
      </w:r>
      <w:r>
        <w:rPr>
          <w:lang w:val="es"/>
        </w:rPr>
        <w:t>desempeñar un papel.</w:t>
      </w:r>
    </w:p>
    <w:p w14:paraId="0A5B753B" w14:textId="0BA01DB1" w:rsidR="00833C85" w:rsidRPr="00025BC9" w:rsidRDefault="00703A18" w:rsidP="00DD5335">
      <w:pPr>
        <w:pStyle w:val="GAPar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El</w:t>
      </w:r>
      <w:r w:rsidRPr="00A36CE3">
        <w:rPr>
          <w:lang w:val="es-ES"/>
        </w:rPr>
        <w:t xml:space="preserve"> </w:t>
      </w:r>
      <w:r w:rsidRPr="001479B5">
        <w:rPr>
          <w:u w:val="single"/>
          <w:lang w:val="es-ES"/>
        </w:rPr>
        <w:t>desequilibrio en términos de la representación geográfica</w:t>
      </w:r>
      <w:r w:rsidR="00833C85">
        <w:rPr>
          <w:lang w:val="es"/>
        </w:rPr>
        <w:t xml:space="preserve"> de las ONG acreditadas se esbozó como una de las principales preocupaciones.</w:t>
      </w:r>
      <w:r w:rsidR="00833C85">
        <w:rPr>
          <w:shd w:val="clear" w:color="auto" w:fill="FFFFFF" w:themeFill="background1"/>
          <w:lang w:val="es"/>
        </w:rPr>
        <w:t xml:space="preserve"> En el proceso de reflexión </w:t>
      </w:r>
      <w:r w:rsidR="00833C85">
        <w:rPr>
          <w:lang w:val="es"/>
        </w:rPr>
        <w:t xml:space="preserve">no se acogió </w:t>
      </w:r>
      <w:r w:rsidR="003B4811">
        <w:rPr>
          <w:lang w:val="es"/>
        </w:rPr>
        <w:t xml:space="preserve">positivamente </w:t>
      </w:r>
      <w:r w:rsidR="00833C85">
        <w:rPr>
          <w:lang w:val="es"/>
        </w:rPr>
        <w:t xml:space="preserve">la posibilidad de establecer </w:t>
      </w:r>
      <w:r w:rsidR="00A8560E">
        <w:rPr>
          <w:lang w:val="es"/>
        </w:rPr>
        <w:t xml:space="preserve">para las regiones con mucha representación </w:t>
      </w:r>
      <w:r w:rsidR="00833C85">
        <w:rPr>
          <w:lang w:val="es"/>
        </w:rPr>
        <w:t>un límite máximo de ONG acreditadas</w:t>
      </w:r>
      <w:r w:rsidR="00A8560E">
        <w:rPr>
          <w:lang w:val="es"/>
        </w:rPr>
        <w:t>.</w:t>
      </w:r>
      <w:r w:rsidR="00833C85">
        <w:rPr>
          <w:lang w:val="es"/>
        </w:rPr>
        <w:t xml:space="preserve"> En cambio, </w:t>
      </w:r>
      <w:r w:rsidR="003B4811">
        <w:rPr>
          <w:lang w:val="es"/>
        </w:rPr>
        <w:t xml:space="preserve">recibieron observaciones positivas </w:t>
      </w:r>
      <w:r w:rsidR="00833C85">
        <w:rPr>
          <w:lang w:val="es"/>
        </w:rPr>
        <w:t xml:space="preserve">las iniciativas </w:t>
      </w:r>
      <w:r w:rsidR="003B4811">
        <w:rPr>
          <w:lang w:val="es"/>
        </w:rPr>
        <w:t xml:space="preserve">de </w:t>
      </w:r>
      <w:r w:rsidR="00833C85">
        <w:rPr>
          <w:lang w:val="es"/>
        </w:rPr>
        <w:t>sensibiliza</w:t>
      </w:r>
      <w:r w:rsidR="003B4811">
        <w:rPr>
          <w:lang w:val="es"/>
        </w:rPr>
        <w:t>ción</w:t>
      </w:r>
      <w:r w:rsidR="00833C85">
        <w:rPr>
          <w:lang w:val="es"/>
        </w:rPr>
        <w:t xml:space="preserve"> sobre el sistema de acreditación y </w:t>
      </w:r>
      <w:r w:rsidR="00A8560E">
        <w:rPr>
          <w:lang w:val="es"/>
        </w:rPr>
        <w:t xml:space="preserve">de </w:t>
      </w:r>
      <w:r w:rsidR="00833C85">
        <w:rPr>
          <w:lang w:val="es"/>
        </w:rPr>
        <w:t>foment</w:t>
      </w:r>
      <w:r w:rsidR="003B4811">
        <w:rPr>
          <w:lang w:val="es"/>
        </w:rPr>
        <w:t>o</w:t>
      </w:r>
      <w:r w:rsidR="00833C85">
        <w:rPr>
          <w:lang w:val="es"/>
        </w:rPr>
        <w:t xml:space="preserve"> </w:t>
      </w:r>
      <w:r w:rsidR="003B4811">
        <w:rPr>
          <w:lang w:val="es"/>
        </w:rPr>
        <w:t xml:space="preserve">de </w:t>
      </w:r>
      <w:r w:rsidR="00833C85">
        <w:rPr>
          <w:lang w:val="es"/>
        </w:rPr>
        <w:t xml:space="preserve">las capacidades de las ONG </w:t>
      </w:r>
      <w:r w:rsidR="00EE1C4D">
        <w:rPr>
          <w:lang w:val="es"/>
        </w:rPr>
        <w:t xml:space="preserve">basadas en </w:t>
      </w:r>
      <w:r w:rsidR="00833C85">
        <w:rPr>
          <w:lang w:val="es"/>
        </w:rPr>
        <w:t>las regiones con poca representación.</w:t>
      </w:r>
    </w:p>
    <w:p w14:paraId="02CD9AAA" w14:textId="79465ABA" w:rsidR="00066988" w:rsidRPr="00025BC9" w:rsidRDefault="00D95DB2" w:rsidP="00DD5335">
      <w:pPr>
        <w:pStyle w:val="COMPara"/>
        <w:numPr>
          <w:ilvl w:val="0"/>
          <w:numId w:val="2"/>
        </w:numPr>
        <w:ind w:left="567" w:hanging="567"/>
        <w:jc w:val="both"/>
        <w:rPr>
          <w:lang w:val="es-ES"/>
        </w:rPr>
      </w:pPr>
      <w:r>
        <w:rPr>
          <w:lang w:val="es"/>
        </w:rPr>
        <w:t xml:space="preserve">Durante </w:t>
      </w:r>
      <w:r w:rsidR="00375EC4">
        <w:rPr>
          <w:lang w:val="es"/>
        </w:rPr>
        <w:t>la decimocuarta reunión del Comité, celebrada en 2019, se examinaron detenidamente los resultados de la reflexión (</w:t>
      </w:r>
      <w:hyperlink r:id="rId23" w:history="1">
        <w:r w:rsidR="009A3376">
          <w:rPr>
            <w:rStyle w:val="Lienhypertexte"/>
            <w:lang w:val="es"/>
          </w:rPr>
          <w:t>d</w:t>
        </w:r>
        <w:r w:rsidR="00375EC4">
          <w:rPr>
            <w:rStyle w:val="Lienhypertexte"/>
            <w:lang w:val="es"/>
          </w:rPr>
          <w:t>ecisión 14.COM 15</w:t>
        </w:r>
      </w:hyperlink>
      <w:r w:rsidR="00375EC4">
        <w:rPr>
          <w:lang w:val="es"/>
        </w:rPr>
        <w:t xml:space="preserve">). El Comité reafirmó que las ONG acreditadas en </w:t>
      </w:r>
      <w:r>
        <w:rPr>
          <w:lang w:val="es"/>
        </w:rPr>
        <w:t>el marco de</w:t>
      </w:r>
      <w:r w:rsidR="00375EC4">
        <w:rPr>
          <w:lang w:val="es"/>
        </w:rPr>
        <w:t xml:space="preserve"> la Convención de 2003, independientemente de su tamaño y capacidades, son valiosos </w:t>
      </w:r>
      <w:r w:rsidR="00375EC4" w:rsidRPr="009C0FDE">
        <w:rPr>
          <w:lang w:val="es"/>
        </w:rPr>
        <w:t>custodios</w:t>
      </w:r>
      <w:r w:rsidR="00375EC4">
        <w:rPr>
          <w:lang w:val="es"/>
        </w:rPr>
        <w:t xml:space="preserve"> de la Convención. La reunión también brindó al Comité la oportunidad de conocer los últimos acontecimientos ocurridos en el marco del </w:t>
      </w:r>
      <w:r w:rsidR="00375EC4">
        <w:rPr>
          <w:lang w:val="es"/>
        </w:rPr>
        <w:lastRenderedPageBreak/>
        <w:t>Foro de ONG dedicadas al PCI, que aprobó sus Estatutos</w:t>
      </w:r>
      <w:r w:rsidR="00375EC4">
        <w:rPr>
          <w:rStyle w:val="Appelnotedebasdep"/>
          <w:lang w:val="es"/>
        </w:rPr>
        <w:footnoteReference w:id="2"/>
      </w:r>
      <w:r w:rsidR="00375EC4">
        <w:rPr>
          <w:lang w:val="es"/>
        </w:rPr>
        <w:t xml:space="preserve"> y su Código de conducta, así como sus recientes iniciativas temáticas (en particular en relación con el tema del patrimonio cultural inmaterial en contextos urbanos</w:t>
      </w:r>
      <w:r w:rsidR="00A7390A">
        <w:rPr>
          <w:lang w:val="es"/>
        </w:rPr>
        <w:t>,</w:t>
      </w:r>
      <w:r w:rsidR="00375EC4">
        <w:rPr>
          <w:lang w:val="es"/>
        </w:rPr>
        <w:t xml:space="preserve"> y </w:t>
      </w:r>
      <w:r w:rsidR="00A7390A">
        <w:rPr>
          <w:lang w:val="es"/>
        </w:rPr>
        <w:t>d</w:t>
      </w:r>
      <w:r w:rsidR="00375EC4">
        <w:rPr>
          <w:lang w:val="es"/>
        </w:rPr>
        <w:t xml:space="preserve">el patrimonio cultural inmaterial y el turismo sostenible). En lugar de cambiar radicalmente el sistema de acreditación actualmente en vigor, el Comité ha indicado su preferencia por volver a centrar la acreditación en las ONG </w:t>
      </w:r>
      <w:r w:rsidR="00A7390A">
        <w:rPr>
          <w:lang w:val="es"/>
        </w:rPr>
        <w:t>de probada</w:t>
      </w:r>
      <w:r w:rsidR="00375EC4">
        <w:rPr>
          <w:lang w:val="es"/>
        </w:rPr>
        <w:t xml:space="preserve"> competencia para </w:t>
      </w:r>
      <w:r w:rsidR="00A7390A">
        <w:rPr>
          <w:lang w:val="es"/>
        </w:rPr>
        <w:t xml:space="preserve">ejercer funciones consultivas ante </w:t>
      </w:r>
      <w:r w:rsidR="00375EC4">
        <w:rPr>
          <w:lang w:val="es"/>
        </w:rPr>
        <w:t xml:space="preserve">el Comité. A este respecto, algunas de las funciones que pueden estar abiertas a las ONG acreditadas son </w:t>
      </w:r>
      <w:r w:rsidR="00B10D03">
        <w:rPr>
          <w:lang w:val="es"/>
        </w:rPr>
        <w:t xml:space="preserve">su participación </w:t>
      </w:r>
      <w:r w:rsidR="00375EC4">
        <w:rPr>
          <w:lang w:val="es"/>
        </w:rPr>
        <w:t>e</w:t>
      </w:r>
      <w:r w:rsidR="00B10D03">
        <w:rPr>
          <w:lang w:val="es"/>
        </w:rPr>
        <w:t>n</w:t>
      </w:r>
      <w:r w:rsidR="00375EC4">
        <w:rPr>
          <w:lang w:val="es"/>
        </w:rPr>
        <w:t xml:space="preserve"> </w:t>
      </w:r>
      <w:r w:rsidR="00B10D03">
        <w:rPr>
          <w:lang w:val="es"/>
        </w:rPr>
        <w:t xml:space="preserve">los </w:t>
      </w:r>
      <w:r w:rsidR="00375EC4">
        <w:rPr>
          <w:lang w:val="es"/>
        </w:rPr>
        <w:t>informes periódicos, e</w:t>
      </w:r>
      <w:r w:rsidR="00B10D03">
        <w:rPr>
          <w:lang w:val="es"/>
        </w:rPr>
        <w:t xml:space="preserve">n </w:t>
      </w:r>
      <w:r w:rsidR="00375EC4">
        <w:rPr>
          <w:lang w:val="es"/>
        </w:rPr>
        <w:t>proceso</w:t>
      </w:r>
      <w:r w:rsidR="00B10D03">
        <w:rPr>
          <w:lang w:val="es"/>
        </w:rPr>
        <w:t>s</w:t>
      </w:r>
      <w:r w:rsidR="00375EC4">
        <w:rPr>
          <w:lang w:val="es"/>
        </w:rPr>
        <w:t xml:space="preserve"> de asistencia entre pares antes y después de la</w:t>
      </w:r>
      <w:r w:rsidR="00B10D03">
        <w:rPr>
          <w:lang w:val="es"/>
        </w:rPr>
        <w:t>s</w:t>
      </w:r>
      <w:r w:rsidR="00375EC4">
        <w:rPr>
          <w:lang w:val="es"/>
        </w:rPr>
        <w:t xml:space="preserve"> inscripci</w:t>
      </w:r>
      <w:r w:rsidR="00B10D03">
        <w:rPr>
          <w:lang w:val="es"/>
        </w:rPr>
        <w:t>o</w:t>
      </w:r>
      <w:r w:rsidR="00375EC4">
        <w:rPr>
          <w:lang w:val="es"/>
        </w:rPr>
        <w:t>n</w:t>
      </w:r>
      <w:r w:rsidR="00B10D03">
        <w:rPr>
          <w:lang w:val="es"/>
        </w:rPr>
        <w:t>es</w:t>
      </w:r>
      <w:r w:rsidR="00375EC4">
        <w:rPr>
          <w:lang w:val="es"/>
        </w:rPr>
        <w:t xml:space="preserve">, </w:t>
      </w:r>
      <w:r w:rsidR="00B10D03">
        <w:rPr>
          <w:lang w:val="es"/>
        </w:rPr>
        <w:t xml:space="preserve">el monitoreo </w:t>
      </w:r>
      <w:r w:rsidR="00375EC4">
        <w:rPr>
          <w:lang w:val="es"/>
        </w:rPr>
        <w:t>de los efectos de la</w:t>
      </w:r>
      <w:r w:rsidR="00B10D03">
        <w:rPr>
          <w:lang w:val="es"/>
        </w:rPr>
        <w:t>s</w:t>
      </w:r>
      <w:r w:rsidR="00375EC4">
        <w:rPr>
          <w:lang w:val="es"/>
        </w:rPr>
        <w:t xml:space="preserve"> inscripci</w:t>
      </w:r>
      <w:r w:rsidR="00B10D03">
        <w:rPr>
          <w:lang w:val="es"/>
        </w:rPr>
        <w:t>o</w:t>
      </w:r>
      <w:r w:rsidR="00375EC4">
        <w:rPr>
          <w:lang w:val="es"/>
        </w:rPr>
        <w:t>n</w:t>
      </w:r>
      <w:r w:rsidR="00B10D03">
        <w:rPr>
          <w:lang w:val="es"/>
        </w:rPr>
        <w:t>es</w:t>
      </w:r>
      <w:r w:rsidR="00375EC4">
        <w:rPr>
          <w:lang w:val="es"/>
        </w:rPr>
        <w:t xml:space="preserve">, el seguimiento de elementos inscritos, la difusión de buenas prácticas de salvaguardia, </w:t>
      </w:r>
      <w:r w:rsidR="00B10D03">
        <w:rPr>
          <w:lang w:val="es"/>
        </w:rPr>
        <w:t>el desarrollo de</w:t>
      </w:r>
      <w:r w:rsidR="00375EC4">
        <w:rPr>
          <w:lang w:val="es"/>
        </w:rPr>
        <w:t xml:space="preserve"> estudios y proyectos temáticos (por ejemplo, el patrimonio cultural inmaterial en contextos urbanos, el turismo y la comercialización) y el fortalecimiento de capacidades.</w:t>
      </w:r>
    </w:p>
    <w:p w14:paraId="40096DCB" w14:textId="70A92D63" w:rsidR="00D61041" w:rsidRPr="00025BC9" w:rsidRDefault="00066988" w:rsidP="00DD5335">
      <w:pPr>
        <w:pStyle w:val="COMPara"/>
        <w:numPr>
          <w:ilvl w:val="0"/>
          <w:numId w:val="2"/>
        </w:numPr>
        <w:ind w:left="567" w:hanging="567"/>
        <w:jc w:val="both"/>
        <w:rPr>
          <w:lang w:val="es-ES"/>
        </w:rPr>
      </w:pPr>
      <w:r>
        <w:rPr>
          <w:lang w:val="es"/>
        </w:rPr>
        <w:t>La cuestión de</w:t>
      </w:r>
      <w:r w:rsidR="009C0FDE">
        <w:rPr>
          <w:lang w:val="es"/>
        </w:rPr>
        <w:t>l</w:t>
      </w:r>
      <w:r w:rsidR="009C0FDE" w:rsidRPr="00C11A47">
        <w:rPr>
          <w:lang w:val="es-ES"/>
        </w:rPr>
        <w:t>desequilibrio en términos de</w:t>
      </w:r>
      <w:r w:rsidR="009C0FDE">
        <w:rPr>
          <w:lang w:val="es-ES"/>
        </w:rPr>
        <w:t xml:space="preserve"> la</w:t>
      </w:r>
      <w:r w:rsidR="009C0FDE" w:rsidRPr="00C11A47">
        <w:rPr>
          <w:lang w:val="es-ES"/>
        </w:rPr>
        <w:t xml:space="preserve"> representación geográfica </w:t>
      </w:r>
      <w:r>
        <w:rPr>
          <w:lang w:val="es"/>
        </w:rPr>
        <w:t xml:space="preserve">volvió a considerarse como un </w:t>
      </w:r>
      <w:r w:rsidR="009C0FDE">
        <w:rPr>
          <w:lang w:val="es"/>
        </w:rPr>
        <w:t xml:space="preserve">tema importante </w:t>
      </w:r>
      <w:r>
        <w:rPr>
          <w:lang w:val="es"/>
        </w:rPr>
        <w:t xml:space="preserve">y, por consiguiente, el Comité alentó a las partes interesadas a organizar el fortalecimiento de capacidades de las ONG que pudieran solicitar su acreditación en el futuro, prestando especial atención a </w:t>
      </w:r>
      <w:r w:rsidR="009C0FDE">
        <w:rPr>
          <w:lang w:val="es"/>
        </w:rPr>
        <w:t>aquellas</w:t>
      </w:r>
      <w:r>
        <w:rPr>
          <w:lang w:val="es"/>
        </w:rPr>
        <w:t xml:space="preserve"> con sede en regiones con poca representación. Además, el Comité pidió que se escucharan las voces de las ONG mediante interacciones más significativas y regulares entre el Comité y el Foro de ONG dedicadas al PCI y, por lo tanto, decidió incluir, con carácter experimental, </w:t>
      </w:r>
      <w:r w:rsidR="00BD7D6E">
        <w:rPr>
          <w:lang w:val="es"/>
        </w:rPr>
        <w:t xml:space="preserve">el </w:t>
      </w:r>
      <w:r w:rsidR="009C0FDE">
        <w:rPr>
          <w:lang w:val="es"/>
        </w:rPr>
        <w:t xml:space="preserve">punto </w:t>
      </w:r>
      <w:r>
        <w:rPr>
          <w:lang w:val="es"/>
        </w:rPr>
        <w:t xml:space="preserve">específico sobre el "Informe del Foro de </w:t>
      </w:r>
      <w:r w:rsidR="000F7194">
        <w:rPr>
          <w:lang w:val="es"/>
        </w:rPr>
        <w:t>las Organizaciones no Gubernamentales</w:t>
      </w:r>
      <w:r>
        <w:rPr>
          <w:lang w:val="es"/>
        </w:rPr>
        <w:t xml:space="preserve">" en </w:t>
      </w:r>
      <w:r w:rsidR="000F7194">
        <w:rPr>
          <w:lang w:val="es"/>
        </w:rPr>
        <w:t>el</w:t>
      </w:r>
      <w:r w:rsidR="009C0FDE">
        <w:rPr>
          <w:lang w:val="es"/>
        </w:rPr>
        <w:t xml:space="preserve"> orden del día</w:t>
      </w:r>
      <w:r w:rsidR="00EB7157">
        <w:rPr>
          <w:lang w:val="es"/>
        </w:rPr>
        <w:t xml:space="preserve"> provisional</w:t>
      </w:r>
      <w:r w:rsidR="009C0FDE">
        <w:rPr>
          <w:lang w:val="es"/>
        </w:rPr>
        <w:t xml:space="preserve"> de </w:t>
      </w:r>
      <w:r>
        <w:rPr>
          <w:lang w:val="es"/>
        </w:rPr>
        <w:t xml:space="preserve">su decimoquinta reunión. El Comité decidió también que sería valioso trazar un </w:t>
      </w:r>
      <w:r w:rsidR="009C0FDE">
        <w:rPr>
          <w:lang w:val="es"/>
        </w:rPr>
        <w:t xml:space="preserve">mapeo </w:t>
      </w:r>
      <w:r>
        <w:rPr>
          <w:lang w:val="es"/>
        </w:rPr>
        <w:t>de la red de ONG acreditadas para facilitar su participación en la aplicación de la Convención y en la labor del Comité. A este respecto, se pide a la Secretaría que reúna la información pertinente de las ONG acreditadas con el fin de determinar sus esferas de competencia, teniendo en cuenta sus capacidades.</w:t>
      </w:r>
    </w:p>
    <w:p w14:paraId="6E0CD30F" w14:textId="7F5ABB9C" w:rsidR="008A1ED4" w:rsidRPr="00025BC9" w:rsidRDefault="008A1ED4" w:rsidP="00DD5335">
      <w:pPr>
        <w:pStyle w:val="COMPara"/>
        <w:numPr>
          <w:ilvl w:val="0"/>
          <w:numId w:val="2"/>
        </w:numPr>
        <w:ind w:left="567" w:hanging="567"/>
        <w:jc w:val="both"/>
        <w:rPr>
          <w:rFonts w:eastAsia="SimSun"/>
          <w:lang w:val="es-ES"/>
        </w:rPr>
      </w:pPr>
      <w:r>
        <w:rPr>
          <w:lang w:val="es"/>
        </w:rPr>
        <w:t>La Asamblea General podría aprobar la siguiente resolución:</w:t>
      </w:r>
    </w:p>
    <w:p w14:paraId="7D09DDBB" w14:textId="4AF32541" w:rsidR="008A1ED4" w:rsidRPr="00025BC9" w:rsidRDefault="00F010E0" w:rsidP="008A1ED4">
      <w:pPr>
        <w:pStyle w:val="GATitleResolution"/>
        <w:rPr>
          <w:lang w:val="es-ES"/>
        </w:rPr>
      </w:pPr>
      <w:r>
        <w:rPr>
          <w:bCs/>
          <w:lang w:val="es"/>
        </w:rPr>
        <w:t>PROYECTO DE RESOLUCIÓN 8.GA 12</w:t>
      </w:r>
    </w:p>
    <w:p w14:paraId="7E8C55BA" w14:textId="77777777" w:rsidR="008A1ED4" w:rsidRPr="00025BC9" w:rsidRDefault="008A1ED4" w:rsidP="008A1ED4">
      <w:pPr>
        <w:pStyle w:val="GAPreambulaResolution"/>
        <w:rPr>
          <w:rFonts w:eastAsia="SimSun"/>
          <w:lang w:val="es-ES"/>
        </w:rPr>
      </w:pPr>
      <w:r>
        <w:rPr>
          <w:lang w:val="es"/>
        </w:rPr>
        <w:t>La Asamblea General,</w:t>
      </w:r>
    </w:p>
    <w:p w14:paraId="68C1B814" w14:textId="27E3E1B7" w:rsidR="008A1ED4" w:rsidRPr="00345CB4" w:rsidRDefault="008A1ED4" w:rsidP="00935106">
      <w:pPr>
        <w:pStyle w:val="COMParaDecision"/>
        <w:numPr>
          <w:ilvl w:val="0"/>
          <w:numId w:val="3"/>
        </w:numPr>
        <w:ind w:left="1134" w:hanging="567"/>
        <w:jc w:val="left"/>
      </w:pPr>
      <w:r>
        <w:rPr>
          <w:lang w:val="es"/>
        </w:rPr>
        <w:t>Habiendo examinado</w:t>
      </w:r>
      <w:r>
        <w:rPr>
          <w:u w:val="none"/>
          <w:lang w:val="es"/>
        </w:rPr>
        <w:t xml:space="preserve"> el documento LHE/20/8.GA/12,</w:t>
      </w:r>
    </w:p>
    <w:p w14:paraId="6ABFCCAD" w14:textId="0FB49D8F" w:rsidR="008A1ED4" w:rsidRPr="00025BC9" w:rsidRDefault="008A1ED4" w:rsidP="00DD5335">
      <w:pPr>
        <w:pStyle w:val="COMParaDecision"/>
        <w:numPr>
          <w:ilvl w:val="0"/>
          <w:numId w:val="3"/>
        </w:numPr>
        <w:ind w:left="1134" w:hanging="567"/>
        <w:rPr>
          <w:lang w:val="es-ES"/>
        </w:rPr>
      </w:pPr>
      <w:r>
        <w:rPr>
          <w:lang w:val="es"/>
        </w:rPr>
        <w:t>Recordando</w:t>
      </w:r>
      <w:r>
        <w:rPr>
          <w:u w:val="none"/>
          <w:lang w:val="es"/>
        </w:rPr>
        <w:t xml:space="preserve"> el Artículo 9 de la Convención y el capítulo III.2 de las Directrices Operativas,</w:t>
      </w:r>
    </w:p>
    <w:p w14:paraId="2ED8A579" w14:textId="253F1ADD" w:rsidR="00E50B96" w:rsidRPr="00025BC9" w:rsidRDefault="008A1ED4" w:rsidP="00AD188D">
      <w:pPr>
        <w:pStyle w:val="COMParaDecision"/>
        <w:numPr>
          <w:ilvl w:val="0"/>
          <w:numId w:val="3"/>
        </w:numPr>
        <w:ind w:left="1134" w:hanging="567"/>
        <w:rPr>
          <w:lang w:val="es-ES"/>
        </w:rPr>
      </w:pPr>
      <w:r>
        <w:rPr>
          <w:lang w:val="es"/>
        </w:rPr>
        <w:t>Recordando también la</w:t>
      </w:r>
      <w:r>
        <w:rPr>
          <w:u w:val="none"/>
          <w:lang w:val="es"/>
        </w:rPr>
        <w:t xml:space="preserve"> </w:t>
      </w:r>
      <w:hyperlink r:id="rId24" w:history="1">
        <w:r w:rsidR="009A3376">
          <w:rPr>
            <w:rStyle w:val="Lienhypertexte"/>
            <w:lang w:val="es"/>
          </w:rPr>
          <w:t>d</w:t>
        </w:r>
        <w:r>
          <w:rPr>
            <w:rStyle w:val="Lienhypertexte"/>
            <w:lang w:val="es"/>
          </w:rPr>
          <w:t>ecisión 12.COM 13</w:t>
        </w:r>
      </w:hyperlink>
      <w:r>
        <w:rPr>
          <w:u w:val="none"/>
          <w:lang w:val="es"/>
        </w:rPr>
        <w:t xml:space="preserve">, la </w:t>
      </w:r>
      <w:hyperlink r:id="rId25" w:history="1">
        <w:r w:rsidR="009A3376">
          <w:rPr>
            <w:rStyle w:val="Lienhypertexte"/>
            <w:lang w:val="es"/>
          </w:rPr>
          <w:t>d</w:t>
        </w:r>
        <w:r>
          <w:rPr>
            <w:rStyle w:val="Lienhypertexte"/>
            <w:lang w:val="es"/>
          </w:rPr>
          <w:t>ecisión 12.COM 17</w:t>
        </w:r>
      </w:hyperlink>
      <w:r>
        <w:rPr>
          <w:u w:val="none"/>
          <w:lang w:val="es"/>
        </w:rPr>
        <w:t xml:space="preserve">, la </w:t>
      </w:r>
      <w:hyperlink r:id="rId26" w:history="1">
        <w:r w:rsidR="009A3376">
          <w:rPr>
            <w:rStyle w:val="Lienhypertexte"/>
            <w:lang w:val="es"/>
          </w:rPr>
          <w:t>d</w:t>
        </w:r>
        <w:r>
          <w:rPr>
            <w:rStyle w:val="Lienhypertexte"/>
            <w:lang w:val="es"/>
          </w:rPr>
          <w:t>ecisión</w:t>
        </w:r>
        <w:r w:rsidR="009A3376">
          <w:rPr>
            <w:rStyle w:val="Lienhypertexte"/>
            <w:lang w:val="es"/>
          </w:rPr>
          <w:t> </w:t>
        </w:r>
        <w:r>
          <w:rPr>
            <w:rStyle w:val="Lienhypertexte"/>
            <w:lang w:val="es"/>
          </w:rPr>
          <w:t>13.COM 13</w:t>
        </w:r>
      </w:hyperlink>
      <w:r>
        <w:rPr>
          <w:u w:val="none"/>
          <w:lang w:val="es"/>
        </w:rPr>
        <w:t xml:space="preserve">, la </w:t>
      </w:r>
      <w:hyperlink r:id="rId27" w:history="1">
        <w:r w:rsidR="009A3376">
          <w:rPr>
            <w:rStyle w:val="Lienhypertexte"/>
            <w:lang w:val="es"/>
          </w:rPr>
          <w:t>d</w:t>
        </w:r>
        <w:r>
          <w:rPr>
            <w:rStyle w:val="Lienhypertexte"/>
            <w:lang w:val="es"/>
          </w:rPr>
          <w:t>ecisión 13.COM 16</w:t>
        </w:r>
      </w:hyperlink>
      <w:r>
        <w:rPr>
          <w:u w:val="none"/>
          <w:lang w:val="es"/>
        </w:rPr>
        <w:t xml:space="preserve">, la </w:t>
      </w:r>
      <w:hyperlink r:id="rId28" w:history="1">
        <w:r w:rsidR="009A3376">
          <w:rPr>
            <w:rStyle w:val="Lienhypertexte"/>
            <w:lang w:val="es"/>
          </w:rPr>
          <w:t>d</w:t>
        </w:r>
        <w:r>
          <w:rPr>
            <w:rStyle w:val="Lienhypertexte"/>
            <w:lang w:val="es"/>
          </w:rPr>
          <w:t>ecisión 14.COM 15</w:t>
        </w:r>
      </w:hyperlink>
      <w:r>
        <w:rPr>
          <w:u w:val="none"/>
          <w:lang w:val="es"/>
        </w:rPr>
        <w:t xml:space="preserve"> y la </w:t>
      </w:r>
      <w:hyperlink r:id="rId29" w:history="1">
        <w:r w:rsidR="009A3376">
          <w:rPr>
            <w:rStyle w:val="Lienhypertexte"/>
            <w:lang w:val="es"/>
          </w:rPr>
          <w:t>d</w:t>
        </w:r>
        <w:r>
          <w:rPr>
            <w:rStyle w:val="Lienhypertexte"/>
            <w:lang w:val="es"/>
          </w:rPr>
          <w:t>ecisión</w:t>
        </w:r>
        <w:r w:rsidR="009A3376">
          <w:rPr>
            <w:rStyle w:val="Lienhypertexte"/>
            <w:lang w:val="es"/>
          </w:rPr>
          <w:t> </w:t>
        </w:r>
        <w:r>
          <w:rPr>
            <w:rStyle w:val="Lienhypertexte"/>
            <w:lang w:val="es"/>
          </w:rPr>
          <w:t>14.COM 16</w:t>
        </w:r>
      </w:hyperlink>
      <w:r>
        <w:rPr>
          <w:u w:val="none"/>
          <w:lang w:val="es"/>
        </w:rPr>
        <w:t xml:space="preserve">, así como la </w:t>
      </w:r>
      <w:hyperlink r:id="rId30" w:history="1">
        <w:r w:rsidR="009A3376">
          <w:rPr>
            <w:rStyle w:val="Lienhypertexte"/>
            <w:lang w:val="es"/>
          </w:rPr>
          <w:t>r</w:t>
        </w:r>
        <w:r>
          <w:rPr>
            <w:rStyle w:val="Lienhypertexte"/>
            <w:lang w:val="es"/>
          </w:rPr>
          <w:t>esolución 7.GA 6</w:t>
        </w:r>
      </w:hyperlink>
      <w:r w:rsidR="000F7194">
        <w:rPr>
          <w:rStyle w:val="Lienhypertexte"/>
          <w:lang w:val="es"/>
        </w:rPr>
        <w:t xml:space="preserve"> </w:t>
      </w:r>
      <w:r>
        <w:rPr>
          <w:u w:val="none"/>
          <w:lang w:val="es"/>
        </w:rPr>
        <w:t xml:space="preserve">y la </w:t>
      </w:r>
      <w:hyperlink r:id="rId31" w:history="1">
        <w:r w:rsidR="009A3376">
          <w:rPr>
            <w:rStyle w:val="Lienhypertexte"/>
            <w:lang w:val="es"/>
          </w:rPr>
          <w:t>r</w:t>
        </w:r>
        <w:r>
          <w:rPr>
            <w:rStyle w:val="Lienhypertexte"/>
            <w:lang w:val="es"/>
          </w:rPr>
          <w:t>esolución 7.GA 11</w:t>
        </w:r>
      </w:hyperlink>
      <w:r>
        <w:rPr>
          <w:u w:val="none"/>
          <w:lang w:val="es"/>
        </w:rPr>
        <w:t>,</w:t>
      </w:r>
    </w:p>
    <w:p w14:paraId="255BC5D4" w14:textId="73021565" w:rsidR="00EA70F7" w:rsidRPr="00025BC9" w:rsidRDefault="008A1ED4" w:rsidP="00EA70F7">
      <w:pPr>
        <w:pStyle w:val="GAParaResolution"/>
        <w:ind w:left="1134" w:hanging="567"/>
        <w:rPr>
          <w:u w:val="none"/>
          <w:lang w:val="es-ES"/>
        </w:rPr>
      </w:pPr>
      <w:r>
        <w:rPr>
          <w:lang w:val="es"/>
        </w:rPr>
        <w:t xml:space="preserve">Felicita </w:t>
      </w:r>
      <w:r>
        <w:rPr>
          <w:u w:val="none"/>
          <w:lang w:val="es"/>
        </w:rPr>
        <w:t xml:space="preserve">a la Secretaría, a las organizaciones no gubernamentales acreditadas, al Foro de ONG dedicadas al PCI, al grupo de trabajo informal </w:t>
      </w:r>
      <w:r>
        <w:rPr>
          <w:i/>
          <w:iCs/>
          <w:u w:val="none"/>
          <w:lang w:val="es"/>
        </w:rPr>
        <w:t>ad hoc</w:t>
      </w:r>
      <w:r>
        <w:rPr>
          <w:u w:val="none"/>
          <w:lang w:val="es"/>
        </w:rPr>
        <w:t xml:space="preserve"> de composición abierta y a los Estados Partes por llevar a cabo la reflexión sobre la participación de las organizaciones no gubernamentales en la aplicación de la Convención;</w:t>
      </w:r>
    </w:p>
    <w:p w14:paraId="2C6038C7" w14:textId="05CE3C45" w:rsidR="00137B1A" w:rsidRPr="00025BC9" w:rsidRDefault="00137B1A" w:rsidP="00935106">
      <w:pPr>
        <w:pStyle w:val="COMParaDecision"/>
        <w:numPr>
          <w:ilvl w:val="0"/>
          <w:numId w:val="3"/>
        </w:numPr>
        <w:ind w:left="1134" w:hanging="567"/>
        <w:rPr>
          <w:lang w:val="es-ES"/>
        </w:rPr>
      </w:pPr>
      <w:r>
        <w:rPr>
          <w:lang w:val="es"/>
        </w:rPr>
        <w:t>Reconoce</w:t>
      </w:r>
      <w:r>
        <w:rPr>
          <w:u w:val="none"/>
          <w:lang w:val="es"/>
        </w:rPr>
        <w:t xml:space="preserve"> la importante función y el potencial </w:t>
      </w:r>
      <w:r w:rsidR="00025BC9">
        <w:rPr>
          <w:u w:val="none"/>
          <w:lang w:val="es"/>
        </w:rPr>
        <w:t>in</w:t>
      </w:r>
      <w:r>
        <w:rPr>
          <w:u w:val="none"/>
          <w:lang w:val="es"/>
        </w:rPr>
        <w:t>explota</w:t>
      </w:r>
      <w:r w:rsidR="00025BC9">
        <w:rPr>
          <w:u w:val="none"/>
          <w:lang w:val="es"/>
        </w:rPr>
        <w:t>do</w:t>
      </w:r>
      <w:r>
        <w:rPr>
          <w:u w:val="none"/>
          <w:lang w:val="es"/>
        </w:rPr>
        <w:t xml:space="preserve"> de las organizaciones no gubernamentales acreditadas y </w:t>
      </w:r>
      <w:r w:rsidRPr="000F7194">
        <w:rPr>
          <w:u w:val="none"/>
          <w:lang w:val="es"/>
        </w:rPr>
        <w:t>del Foro de ONG dedicadas al PCI</w:t>
      </w:r>
      <w:r>
        <w:rPr>
          <w:u w:val="none"/>
          <w:lang w:val="es"/>
        </w:rPr>
        <w:t xml:space="preserve"> en la prestación de apoyo para la aplicación de la Convención;</w:t>
      </w:r>
    </w:p>
    <w:p w14:paraId="43B3E149" w14:textId="17306E5A" w:rsidR="006A2083" w:rsidRPr="00025BC9" w:rsidRDefault="003F3FBB" w:rsidP="006A2083">
      <w:pPr>
        <w:pStyle w:val="COMParaDecision"/>
        <w:numPr>
          <w:ilvl w:val="0"/>
          <w:numId w:val="3"/>
        </w:numPr>
        <w:ind w:left="1134" w:hanging="567"/>
        <w:rPr>
          <w:snapToGrid w:val="0"/>
          <w:lang w:val="es-ES"/>
        </w:rPr>
      </w:pPr>
      <w:r>
        <w:rPr>
          <w:lang w:val="es"/>
        </w:rPr>
        <w:lastRenderedPageBreak/>
        <w:t>Acoge con satisfacción</w:t>
      </w:r>
      <w:r>
        <w:rPr>
          <w:u w:val="none"/>
          <w:lang w:val="es"/>
        </w:rPr>
        <w:t xml:space="preserve"> el </w:t>
      </w:r>
      <w:r w:rsidR="000F7194">
        <w:rPr>
          <w:u w:val="none"/>
          <w:lang w:val="es"/>
        </w:rPr>
        <w:t xml:space="preserve">punto </w:t>
      </w:r>
      <w:r>
        <w:rPr>
          <w:u w:val="none"/>
          <w:lang w:val="es"/>
        </w:rPr>
        <w:t xml:space="preserve">específico "Informe del Foro de las Organizaciones no Gubernamentales" que se inscribirá, </w:t>
      </w:r>
      <w:r w:rsidR="000F7194">
        <w:rPr>
          <w:u w:val="none"/>
          <w:lang w:val="es"/>
        </w:rPr>
        <w:t xml:space="preserve">con carácter </w:t>
      </w:r>
      <w:r>
        <w:rPr>
          <w:u w:val="none"/>
          <w:lang w:val="es"/>
        </w:rPr>
        <w:t>experimental, en el orden del día provisional de la decimoquinta reunión del Comité;</w:t>
      </w:r>
    </w:p>
    <w:p w14:paraId="7AA6A769" w14:textId="38062739" w:rsidR="000139DF" w:rsidRPr="00025BC9" w:rsidRDefault="006530B3" w:rsidP="00B523F4">
      <w:pPr>
        <w:pStyle w:val="COMParaDecision"/>
        <w:numPr>
          <w:ilvl w:val="0"/>
          <w:numId w:val="3"/>
        </w:numPr>
        <w:ind w:left="1134" w:hanging="567"/>
        <w:rPr>
          <w:snapToGrid w:val="0"/>
          <w:lang w:val="es-ES"/>
        </w:rPr>
      </w:pPr>
      <w:r>
        <w:rPr>
          <w:lang w:val="es"/>
        </w:rPr>
        <w:t>Toma nota</w:t>
      </w:r>
      <w:r>
        <w:rPr>
          <w:u w:val="none"/>
          <w:lang w:val="es"/>
        </w:rPr>
        <w:t xml:space="preserve"> de los resultados del proceso de reflexión y </w:t>
      </w:r>
      <w:r>
        <w:rPr>
          <w:lang w:val="es"/>
        </w:rPr>
        <w:t>pide</w:t>
      </w:r>
      <w:r>
        <w:rPr>
          <w:u w:val="none"/>
          <w:lang w:val="es"/>
        </w:rPr>
        <w:t xml:space="preserve"> a la Secretaría que aplique, según proceda, las decisiones pertinentes del Comité </w:t>
      </w:r>
      <w:r w:rsidR="006829E9">
        <w:rPr>
          <w:u w:val="none"/>
          <w:lang w:val="es"/>
        </w:rPr>
        <w:t>en consulta</w:t>
      </w:r>
      <w:r>
        <w:rPr>
          <w:u w:val="none"/>
          <w:lang w:val="es"/>
        </w:rPr>
        <w:t xml:space="preserve"> y </w:t>
      </w:r>
      <w:r w:rsidR="00DF612E">
        <w:rPr>
          <w:u w:val="none"/>
          <w:lang w:val="es"/>
        </w:rPr>
        <w:t xml:space="preserve">con la </w:t>
      </w:r>
      <w:r>
        <w:rPr>
          <w:u w:val="none"/>
          <w:lang w:val="es"/>
        </w:rPr>
        <w:t>colaboración del Foro de ONG dedicadas al PCI.</w:t>
      </w:r>
    </w:p>
    <w:sectPr w:rsidR="000139DF" w:rsidRPr="00025BC9" w:rsidSect="00CB13DC">
      <w:headerReference w:type="even" r:id="rId32"/>
      <w:headerReference w:type="default" r:id="rId33"/>
      <w:headerReference w:type="first" r:id="rId34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88524" w14:textId="77777777" w:rsidR="00450078" w:rsidRDefault="00450078" w:rsidP="00655736">
      <w:r>
        <w:separator/>
      </w:r>
    </w:p>
  </w:endnote>
  <w:endnote w:type="continuationSeparator" w:id="0">
    <w:p w14:paraId="7A39032B" w14:textId="77777777" w:rsidR="00450078" w:rsidRDefault="00450078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24F3F" w14:textId="20064DA5" w:rsidR="00450078" w:rsidRDefault="001479B5" w:rsidP="00655736">
      <w:r>
        <w:separator/>
      </w:r>
    </w:p>
  </w:footnote>
  <w:footnote w:type="continuationSeparator" w:id="0">
    <w:p w14:paraId="533BC2B4" w14:textId="77777777" w:rsidR="00450078" w:rsidRDefault="00450078" w:rsidP="00655736">
      <w:r>
        <w:continuationSeparator/>
      </w:r>
    </w:p>
  </w:footnote>
  <w:footnote w:type="continuationNotice" w:id="1">
    <w:p w14:paraId="46AE9186" w14:textId="77777777" w:rsidR="001479B5" w:rsidRDefault="001479B5"/>
  </w:footnote>
  <w:footnote w:id="2">
    <w:p w14:paraId="0110B8FD" w14:textId="4471C98A" w:rsidR="004C0710" w:rsidRPr="00025BC9" w:rsidRDefault="004C0710" w:rsidP="00440D49">
      <w:pPr>
        <w:pStyle w:val="Notedebasdepage"/>
        <w:ind w:left="450" w:hanging="450"/>
        <w:jc w:val="both"/>
        <w:rPr>
          <w:lang w:val="es-ES"/>
        </w:rPr>
      </w:pPr>
      <w:r>
        <w:rPr>
          <w:rStyle w:val="Appelnotedebasdep"/>
          <w:rFonts w:ascii="Arial" w:hAnsi="Arial" w:cs="Arial"/>
          <w:sz w:val="18"/>
          <w:szCs w:val="18"/>
          <w:vertAlign w:val="baseline"/>
          <w:lang w:val="es"/>
        </w:rPr>
        <w:footnoteRef/>
      </w:r>
      <w:r>
        <w:rPr>
          <w:lang w:val="es"/>
        </w:rPr>
        <w:t>.</w:t>
      </w:r>
      <w:r w:rsidR="00440D49">
        <w:rPr>
          <w:lang w:val="es"/>
        </w:rPr>
        <w:tab/>
      </w:r>
      <w:r w:rsidRPr="00440D49">
        <w:rPr>
          <w:rFonts w:ascii="Arial" w:hAnsi="Arial" w:cs="Arial"/>
          <w:sz w:val="18"/>
          <w:szCs w:val="18"/>
          <w:lang w:val="es"/>
        </w:rPr>
        <w:t xml:space="preserve">Se identificaron siete grupos de funciones del Foro de ONG dedicadas al PCI en sus Estatutos (artículo 3), que se resumen a continuación: 1) servir de foro de intercambio de información e ideas para la salvaguardia del PCI; 2) servir de plataforma para el establecimiento de redes y la cooperación entre las ONG dedicadas al PCI; 3) fomentar los principios éticos y la participación de la sociedad civil en la salvaguardia del PCI; 4) proporcionar recursos, informes e información sobre las prácticas de salvaguardia a la UNESCO, Estados Partes, comunidades, profesionales y otras partes interesadas; 5) brindar apoyo a las ONG para que avancen en su cooperación con las entidades gubernamentales e intergubernamentales; 6) contribuir al programa de fortalecimiento de capacidades y al intercambio de experiencias sobre </w:t>
      </w:r>
      <w:r w:rsidR="00DC17D0" w:rsidRPr="00440D49">
        <w:rPr>
          <w:rFonts w:ascii="Arial" w:hAnsi="Arial" w:cs="Arial"/>
          <w:sz w:val="18"/>
          <w:szCs w:val="18"/>
          <w:lang w:val="es"/>
        </w:rPr>
        <w:t xml:space="preserve">las </w:t>
      </w:r>
      <w:r w:rsidRPr="00440D49">
        <w:rPr>
          <w:rFonts w:ascii="Arial" w:hAnsi="Arial" w:cs="Arial"/>
          <w:sz w:val="18"/>
          <w:szCs w:val="18"/>
          <w:lang w:val="es"/>
        </w:rPr>
        <w:t>buenas prácticas de salvaguardia; 7) asesorar al Comité Intergubernamental sobre cuestiones temáticas específicas</w:t>
      </w:r>
      <w:r w:rsidR="009472DF" w:rsidRPr="00440D49">
        <w:rPr>
          <w:rFonts w:ascii="Arial" w:hAnsi="Arial" w:cs="Arial"/>
          <w:sz w:val="18"/>
          <w:szCs w:val="18"/>
          <w:lang w:val="es"/>
        </w:rPr>
        <w:t>,</w:t>
      </w:r>
      <w:r w:rsidRPr="00440D49">
        <w:rPr>
          <w:rFonts w:ascii="Arial" w:hAnsi="Arial" w:cs="Arial"/>
          <w:sz w:val="18"/>
          <w:szCs w:val="18"/>
          <w:lang w:val="es"/>
        </w:rPr>
        <w:t xml:space="preserve"> participar en la presentación de informes y </w:t>
      </w:r>
      <w:r w:rsidR="00DC17D0" w:rsidRPr="00440D49">
        <w:rPr>
          <w:rFonts w:ascii="Arial" w:hAnsi="Arial" w:cs="Arial"/>
          <w:sz w:val="18"/>
          <w:szCs w:val="18"/>
          <w:lang w:val="es"/>
        </w:rPr>
        <w:t xml:space="preserve">en </w:t>
      </w:r>
      <w:r w:rsidRPr="00440D49">
        <w:rPr>
          <w:rFonts w:ascii="Arial" w:hAnsi="Arial" w:cs="Arial"/>
          <w:sz w:val="18"/>
          <w:szCs w:val="18"/>
          <w:lang w:val="es"/>
        </w:rPr>
        <w:t>el seguimiento de elementos inscritos y prácticas de salvaguardia.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61E93" w14:textId="5E345D8E" w:rsidR="00450078" w:rsidRPr="00C23A97" w:rsidRDefault="00450078">
    <w:pPr>
      <w:pStyle w:val="En-tte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s"/>
      </w:rPr>
      <w:t xml:space="preserve">LHE/20/8.GA/12 </w:t>
    </w:r>
    <w:r w:rsidR="001479B5">
      <w:rPr>
        <w:rFonts w:ascii="Arial" w:hAnsi="Arial" w:cs="Arial"/>
        <w:sz w:val="20"/>
        <w:szCs w:val="20"/>
        <w:lang w:val="es"/>
      </w:rPr>
      <w:t>–</w:t>
    </w:r>
    <w:r>
      <w:rPr>
        <w:rFonts w:ascii="Arial" w:hAnsi="Arial" w:cs="Arial"/>
        <w:sz w:val="20"/>
        <w:szCs w:val="20"/>
        <w:lang w:val="es"/>
      </w:rPr>
      <w:t xml:space="preserve"> página</w:t>
    </w:r>
    <w:r w:rsidR="001479B5">
      <w:rPr>
        <w:rFonts w:ascii="Arial" w:hAnsi="Arial" w:cs="Arial"/>
        <w:sz w:val="20"/>
        <w:szCs w:val="20"/>
        <w:lang w:val="es"/>
      </w:rPr>
      <w:t xml:space="preserve"> </w:t>
    </w:r>
    <w:r>
      <w:rPr>
        <w:rStyle w:val="Numrodepage"/>
        <w:rFonts w:ascii="Arial" w:hAnsi="Arial" w:cs="Arial"/>
        <w:sz w:val="20"/>
        <w:szCs w:val="20"/>
        <w:lang w:val="es"/>
      </w:rPr>
      <w:fldChar w:fldCharType="begin"/>
    </w:r>
    <w:r>
      <w:rPr>
        <w:rStyle w:val="Numrodepage"/>
        <w:rFonts w:ascii="Arial" w:hAnsi="Arial" w:cs="Arial"/>
        <w:sz w:val="20"/>
        <w:szCs w:val="20"/>
        <w:lang w:val="es"/>
      </w:rPr>
      <w:instrText xml:space="preserve"> PAGE </w:instrText>
    </w:r>
    <w:r>
      <w:rPr>
        <w:rStyle w:val="Numrodepage"/>
        <w:rFonts w:ascii="Arial" w:hAnsi="Arial" w:cs="Arial"/>
        <w:sz w:val="20"/>
        <w:szCs w:val="20"/>
        <w:lang w:val="es"/>
      </w:rPr>
      <w:fldChar w:fldCharType="separate"/>
    </w:r>
    <w:r w:rsidR="00124520">
      <w:rPr>
        <w:rStyle w:val="Numrodepage"/>
        <w:rFonts w:ascii="Arial" w:hAnsi="Arial" w:cs="Arial"/>
        <w:noProof/>
        <w:sz w:val="20"/>
        <w:szCs w:val="20"/>
        <w:lang w:val="es"/>
      </w:rPr>
      <w:t>4</w:t>
    </w:r>
    <w:r>
      <w:rPr>
        <w:rStyle w:val="Numrodepage"/>
        <w:rFonts w:ascii="Arial" w:hAnsi="Arial" w:cs="Arial"/>
        <w:sz w:val="20"/>
        <w:szCs w:val="20"/>
        <w:lang w:val="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53FF4" w14:textId="72B410E9" w:rsidR="00450078" w:rsidRPr="0063300C" w:rsidRDefault="00470DC8" w:rsidP="0063300C">
    <w:pPr>
      <w:pStyle w:val="En-tte"/>
      <w:jc w:val="right"/>
      <w:rPr>
        <w:rFonts w:ascii="Arial" w:hAnsi="Arial" w:cs="Arial"/>
      </w:rPr>
    </w:pPr>
    <w:r w:rsidRPr="00470DC8">
      <w:rPr>
        <w:rFonts w:ascii="Arial" w:hAnsi="Arial" w:cs="Arial"/>
        <w:sz w:val="20"/>
        <w:szCs w:val="20"/>
        <w:lang w:val="es"/>
      </w:rPr>
      <w:t xml:space="preserve">LHE/20/8.GA/12 </w:t>
    </w:r>
    <w:r w:rsidR="001479B5">
      <w:rPr>
        <w:rFonts w:ascii="Arial" w:hAnsi="Arial" w:cs="Arial"/>
        <w:sz w:val="20"/>
        <w:szCs w:val="20"/>
        <w:lang w:val="es"/>
      </w:rPr>
      <w:t>–</w:t>
    </w:r>
    <w:r w:rsidR="00450078">
      <w:rPr>
        <w:rFonts w:ascii="Arial" w:hAnsi="Arial" w:cs="Arial"/>
        <w:sz w:val="20"/>
        <w:szCs w:val="20"/>
        <w:lang w:val="es"/>
      </w:rPr>
      <w:t xml:space="preserve"> página </w:t>
    </w:r>
    <w:r w:rsidR="00450078">
      <w:rPr>
        <w:rStyle w:val="Numrodepage"/>
        <w:rFonts w:ascii="Arial" w:hAnsi="Arial" w:cs="Arial"/>
        <w:sz w:val="20"/>
        <w:szCs w:val="20"/>
        <w:lang w:val="es"/>
      </w:rPr>
      <w:fldChar w:fldCharType="begin"/>
    </w:r>
    <w:r w:rsidR="00450078">
      <w:rPr>
        <w:rStyle w:val="Numrodepage"/>
        <w:rFonts w:ascii="Arial" w:hAnsi="Arial" w:cs="Arial"/>
        <w:sz w:val="20"/>
        <w:szCs w:val="20"/>
        <w:lang w:val="es"/>
      </w:rPr>
      <w:instrText xml:space="preserve"> PAGE </w:instrText>
    </w:r>
    <w:r w:rsidR="00450078">
      <w:rPr>
        <w:rStyle w:val="Numrodepage"/>
        <w:rFonts w:ascii="Arial" w:hAnsi="Arial" w:cs="Arial"/>
        <w:sz w:val="20"/>
        <w:szCs w:val="20"/>
        <w:lang w:val="es"/>
      </w:rPr>
      <w:fldChar w:fldCharType="separate"/>
    </w:r>
    <w:r w:rsidR="00124520">
      <w:rPr>
        <w:rStyle w:val="Numrodepage"/>
        <w:rFonts w:ascii="Arial" w:hAnsi="Arial" w:cs="Arial"/>
        <w:noProof/>
        <w:sz w:val="20"/>
        <w:szCs w:val="20"/>
        <w:lang w:val="es"/>
      </w:rPr>
      <w:t>5</w:t>
    </w:r>
    <w:r w:rsidR="00450078">
      <w:rPr>
        <w:rStyle w:val="Numrodepage"/>
        <w:rFonts w:ascii="Arial" w:hAnsi="Arial" w:cs="Arial"/>
        <w:sz w:val="20"/>
        <w:szCs w:val="20"/>
        <w:lang w:val="e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43758" w14:textId="3F8FF5C4" w:rsidR="00450078" w:rsidRPr="008724E5" w:rsidRDefault="00A7032E">
    <w:pPr>
      <w:pStyle w:val="En-tte"/>
    </w:pPr>
    <w:r>
      <w:rPr>
        <w:noProof/>
        <w:lang w:eastAsia="ja-JP"/>
      </w:rPr>
      <w:drawing>
        <wp:anchor distT="0" distB="0" distL="114300" distR="114300" simplePos="0" relativeHeight="251656703" behindDoc="1" locked="0" layoutInCell="1" allowOverlap="1" wp14:anchorId="41D16B48" wp14:editId="10D447C2">
          <wp:simplePos x="0" y="0"/>
          <wp:positionH relativeFrom="page">
            <wp:posOffset>285750</wp:posOffset>
          </wp:positionH>
          <wp:positionV relativeFrom="page">
            <wp:posOffset>257175</wp:posOffset>
          </wp:positionV>
          <wp:extent cx="2109600" cy="1422000"/>
          <wp:effectExtent l="0" t="0" r="5080" b="6985"/>
          <wp:wrapNone/>
          <wp:docPr id="6" name="Image 1" descr="unesco_logo_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323"/>
                  <a:stretch>
                    <a:fillRect/>
                  </a:stretch>
                </pic:blipFill>
                <pic:spPr bwMode="auto">
                  <a:xfrm>
                    <a:off x="0" y="0"/>
                    <a:ext cx="2109600" cy="142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2BFAB2" w14:textId="7FD3A2A6" w:rsidR="00450078" w:rsidRPr="00025BC9" w:rsidRDefault="00450078" w:rsidP="00655736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pt-BR"/>
      </w:rPr>
    </w:pPr>
    <w:r w:rsidRPr="00025BC9">
      <w:rPr>
        <w:rFonts w:ascii="Arial" w:hAnsi="Arial" w:cs="Arial"/>
        <w:b/>
        <w:bCs/>
        <w:sz w:val="44"/>
        <w:szCs w:val="44"/>
        <w:lang w:val="pt-BR"/>
      </w:rPr>
      <w:t>8 GA</w:t>
    </w:r>
  </w:p>
  <w:p w14:paraId="3A3D3C55" w14:textId="1735A73E" w:rsidR="00450078" w:rsidRPr="00025BC9" w:rsidRDefault="00931D55" w:rsidP="00655736">
    <w:pPr>
      <w:jc w:val="right"/>
      <w:rPr>
        <w:rFonts w:ascii="Arial" w:hAnsi="Arial" w:cs="Arial"/>
        <w:b/>
        <w:sz w:val="22"/>
        <w:szCs w:val="22"/>
        <w:lang w:val="pt-BR"/>
      </w:rPr>
    </w:pPr>
    <w:r w:rsidRPr="00025BC9">
      <w:rPr>
        <w:rFonts w:ascii="Arial" w:hAnsi="Arial" w:cs="Arial"/>
        <w:b/>
        <w:bCs/>
        <w:sz w:val="22"/>
        <w:szCs w:val="22"/>
        <w:lang w:val="pt-BR"/>
      </w:rPr>
      <w:t>LHE/20/8.GA/12</w:t>
    </w:r>
  </w:p>
  <w:p w14:paraId="5A404F29" w14:textId="619D94BF" w:rsidR="00450078" w:rsidRPr="00025BC9" w:rsidRDefault="00450078" w:rsidP="00655736">
    <w:pPr>
      <w:jc w:val="right"/>
      <w:rPr>
        <w:rFonts w:ascii="Arial" w:hAnsi="Arial" w:cs="Arial"/>
        <w:b/>
        <w:sz w:val="22"/>
        <w:szCs w:val="22"/>
        <w:lang w:val="pt-BR"/>
      </w:rPr>
    </w:pPr>
    <w:proofErr w:type="spellStart"/>
    <w:r w:rsidRPr="009A3376">
      <w:rPr>
        <w:rFonts w:ascii="Arial" w:hAnsi="Arial" w:cs="Arial"/>
        <w:b/>
        <w:bCs/>
        <w:sz w:val="22"/>
        <w:szCs w:val="22"/>
        <w:lang w:val="pt-BR"/>
      </w:rPr>
      <w:t>París</w:t>
    </w:r>
    <w:proofErr w:type="spellEnd"/>
    <w:r w:rsidRPr="009A3376">
      <w:rPr>
        <w:rFonts w:ascii="Arial" w:hAnsi="Arial" w:cs="Arial"/>
        <w:b/>
        <w:bCs/>
        <w:sz w:val="22"/>
        <w:szCs w:val="22"/>
        <w:lang w:val="pt-BR"/>
      </w:rPr>
      <w:t>, 7 de agosto de</w:t>
    </w:r>
    <w:r w:rsidRPr="00025BC9">
      <w:rPr>
        <w:rFonts w:ascii="Arial" w:hAnsi="Arial" w:cs="Arial"/>
        <w:b/>
        <w:bCs/>
        <w:sz w:val="22"/>
        <w:szCs w:val="22"/>
        <w:lang w:val="pt-BR"/>
      </w:rPr>
      <w:t xml:space="preserve"> 2020</w:t>
    </w:r>
  </w:p>
  <w:p w14:paraId="7029C044" w14:textId="4371E493" w:rsidR="00450078" w:rsidRDefault="00450078" w:rsidP="00703FBF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bCs/>
        <w:sz w:val="22"/>
        <w:szCs w:val="22"/>
        <w:lang w:val="es"/>
      </w:rPr>
      <w:t xml:space="preserve">Original: </w:t>
    </w:r>
    <w:r w:rsidR="00A7032E">
      <w:rPr>
        <w:rFonts w:ascii="Arial" w:hAnsi="Arial" w:cs="Arial"/>
        <w:b/>
        <w:bCs/>
        <w:sz w:val="22"/>
        <w:szCs w:val="22"/>
        <w:lang w:val="es"/>
      </w:rPr>
      <w:t>i</w:t>
    </w:r>
    <w:r>
      <w:rPr>
        <w:rFonts w:ascii="Arial" w:hAnsi="Arial" w:cs="Arial"/>
        <w:b/>
        <w:bCs/>
        <w:sz w:val="22"/>
        <w:szCs w:val="22"/>
        <w:lang w:val="es"/>
      </w:rPr>
      <w:t>nglés</w:t>
    </w:r>
  </w:p>
  <w:p w14:paraId="0CC1F1E2" w14:textId="20DF0C7D" w:rsidR="00450078" w:rsidRPr="00C23A97" w:rsidRDefault="00450078" w:rsidP="00540F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2113DAC"/>
    <w:multiLevelType w:val="multilevel"/>
    <w:tmpl w:val="3AA2D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B14D83"/>
    <w:multiLevelType w:val="singleLevel"/>
    <w:tmpl w:val="6BB68568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3" w15:restartNumberingAfterBreak="0">
    <w:nsid w:val="35F07BFE"/>
    <w:multiLevelType w:val="hybridMultilevel"/>
    <w:tmpl w:val="22BAB922"/>
    <w:lvl w:ilvl="0" w:tplc="E636284C">
      <w:start w:val="1"/>
      <w:numFmt w:val="decimal"/>
      <w:pStyle w:val="GAPara"/>
      <w:lvlText w:val="%1."/>
      <w:lvlJc w:val="left"/>
      <w:pPr>
        <w:ind w:left="720" w:hanging="360"/>
      </w:pPr>
      <w:rPr>
        <w:lang w:val="en-GB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C30BD2"/>
    <w:multiLevelType w:val="hybridMultilevel"/>
    <w:tmpl w:val="2F02E984"/>
    <w:lvl w:ilvl="0" w:tplc="DFC65752">
      <w:start w:val="1"/>
      <w:numFmt w:val="upperRoman"/>
      <w:pStyle w:val="Titre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4ECB"/>
    <w:multiLevelType w:val="hybridMultilevel"/>
    <w:tmpl w:val="220A5FB0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lang w:val="en-US"/>
      </w:rPr>
    </w:lvl>
    <w:lvl w:ilvl="1" w:tplc="040C0019">
      <w:start w:val="1"/>
      <w:numFmt w:val="lowerLetter"/>
      <w:lvlText w:val="%2."/>
      <w:lvlJc w:val="left"/>
      <w:pPr>
        <w:ind w:left="1789" w:hanging="360"/>
      </w:pPr>
    </w:lvl>
    <w:lvl w:ilvl="2" w:tplc="040C001B">
      <w:start w:val="1"/>
      <w:numFmt w:val="lowerRoman"/>
      <w:lvlText w:val="%3."/>
      <w:lvlJc w:val="right"/>
      <w:pPr>
        <w:ind w:left="2509" w:hanging="180"/>
      </w:pPr>
    </w:lvl>
    <w:lvl w:ilvl="3" w:tplc="040C000F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B67C65"/>
    <w:multiLevelType w:val="hybridMultilevel"/>
    <w:tmpl w:val="FBD81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B1045"/>
    <w:multiLevelType w:val="hybridMultilevel"/>
    <w:tmpl w:val="42C29F2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  <w:lvlOverride w:ilvl="0">
      <w:startOverride w:val="1"/>
    </w:lvlOverride>
  </w:num>
  <w:num w:numId="15">
    <w:abstractNumId w:val="1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8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2"/>
  </w:num>
  <w:num w:numId="33">
    <w:abstractNumId w:val="3"/>
  </w:num>
  <w:num w:numId="34">
    <w:abstractNumId w:val="3"/>
  </w:num>
  <w:num w:numId="35">
    <w:abstractNumId w:val="3"/>
  </w:num>
  <w:num w:numId="36">
    <w:abstractNumId w:val="5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6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6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6"/>
  <w:hyphenationZone w:val="425"/>
  <w:evenAndOddHeaders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66"/>
    <w:rsid w:val="000017E5"/>
    <w:rsid w:val="000048ED"/>
    <w:rsid w:val="00010F24"/>
    <w:rsid w:val="00011C3D"/>
    <w:rsid w:val="000139DF"/>
    <w:rsid w:val="00025BC9"/>
    <w:rsid w:val="00034E35"/>
    <w:rsid w:val="000407E3"/>
    <w:rsid w:val="00041A66"/>
    <w:rsid w:val="00044DCA"/>
    <w:rsid w:val="00047DCC"/>
    <w:rsid w:val="000506E0"/>
    <w:rsid w:val="0005176E"/>
    <w:rsid w:val="00052A1F"/>
    <w:rsid w:val="00065273"/>
    <w:rsid w:val="00066988"/>
    <w:rsid w:val="000728D7"/>
    <w:rsid w:val="000765F7"/>
    <w:rsid w:val="000767EC"/>
    <w:rsid w:val="00077AB7"/>
    <w:rsid w:val="00081CD8"/>
    <w:rsid w:val="00084204"/>
    <w:rsid w:val="00087346"/>
    <w:rsid w:val="00095F74"/>
    <w:rsid w:val="000A2C46"/>
    <w:rsid w:val="000A3C0D"/>
    <w:rsid w:val="000A3DCF"/>
    <w:rsid w:val="000A4203"/>
    <w:rsid w:val="000A7F0E"/>
    <w:rsid w:val="000B286C"/>
    <w:rsid w:val="000C0D61"/>
    <w:rsid w:val="000C663A"/>
    <w:rsid w:val="000E2D36"/>
    <w:rsid w:val="000E5053"/>
    <w:rsid w:val="000F0233"/>
    <w:rsid w:val="000F0A59"/>
    <w:rsid w:val="000F3A3F"/>
    <w:rsid w:val="000F7194"/>
    <w:rsid w:val="00102557"/>
    <w:rsid w:val="0011106C"/>
    <w:rsid w:val="0011131C"/>
    <w:rsid w:val="00122259"/>
    <w:rsid w:val="00122D69"/>
    <w:rsid w:val="00124520"/>
    <w:rsid w:val="00124FD0"/>
    <w:rsid w:val="001256D7"/>
    <w:rsid w:val="001340FE"/>
    <w:rsid w:val="00137B1A"/>
    <w:rsid w:val="00141A0D"/>
    <w:rsid w:val="00142211"/>
    <w:rsid w:val="001430C2"/>
    <w:rsid w:val="001479B5"/>
    <w:rsid w:val="00154D78"/>
    <w:rsid w:val="00161CF1"/>
    <w:rsid w:val="00162B1C"/>
    <w:rsid w:val="00164D56"/>
    <w:rsid w:val="00166BB2"/>
    <w:rsid w:val="00167B10"/>
    <w:rsid w:val="0017402F"/>
    <w:rsid w:val="00174540"/>
    <w:rsid w:val="00174BEB"/>
    <w:rsid w:val="00176720"/>
    <w:rsid w:val="00176F5F"/>
    <w:rsid w:val="0018216A"/>
    <w:rsid w:val="00183B94"/>
    <w:rsid w:val="0018735F"/>
    <w:rsid w:val="0019052E"/>
    <w:rsid w:val="00191133"/>
    <w:rsid w:val="00196C1B"/>
    <w:rsid w:val="001A4B10"/>
    <w:rsid w:val="001B0F73"/>
    <w:rsid w:val="001B73F4"/>
    <w:rsid w:val="001C0903"/>
    <w:rsid w:val="001C6F0D"/>
    <w:rsid w:val="001D263C"/>
    <w:rsid w:val="001D5C04"/>
    <w:rsid w:val="001D7504"/>
    <w:rsid w:val="001E06A1"/>
    <w:rsid w:val="001F32B8"/>
    <w:rsid w:val="00200732"/>
    <w:rsid w:val="0020111B"/>
    <w:rsid w:val="0020227B"/>
    <w:rsid w:val="00202580"/>
    <w:rsid w:val="00202733"/>
    <w:rsid w:val="002058B7"/>
    <w:rsid w:val="00206635"/>
    <w:rsid w:val="00207534"/>
    <w:rsid w:val="00207548"/>
    <w:rsid w:val="002075CB"/>
    <w:rsid w:val="002115E7"/>
    <w:rsid w:val="002163AB"/>
    <w:rsid w:val="0021691D"/>
    <w:rsid w:val="0022214D"/>
    <w:rsid w:val="0022253F"/>
    <w:rsid w:val="00222A2D"/>
    <w:rsid w:val="00223029"/>
    <w:rsid w:val="00225BE4"/>
    <w:rsid w:val="00226033"/>
    <w:rsid w:val="0022712B"/>
    <w:rsid w:val="00234745"/>
    <w:rsid w:val="002407AF"/>
    <w:rsid w:val="00241009"/>
    <w:rsid w:val="002425E6"/>
    <w:rsid w:val="002505EE"/>
    <w:rsid w:val="002548E2"/>
    <w:rsid w:val="002553B7"/>
    <w:rsid w:val="00257105"/>
    <w:rsid w:val="00265355"/>
    <w:rsid w:val="002740E9"/>
    <w:rsid w:val="00277180"/>
    <w:rsid w:val="00283DFA"/>
    <w:rsid w:val="002923E7"/>
    <w:rsid w:val="00293F69"/>
    <w:rsid w:val="0029582F"/>
    <w:rsid w:val="002A1246"/>
    <w:rsid w:val="002B570F"/>
    <w:rsid w:val="002B616A"/>
    <w:rsid w:val="002C02AB"/>
    <w:rsid w:val="002C09E3"/>
    <w:rsid w:val="002C7953"/>
    <w:rsid w:val="002E14C7"/>
    <w:rsid w:val="002E3497"/>
    <w:rsid w:val="002E56C0"/>
    <w:rsid w:val="002F312A"/>
    <w:rsid w:val="002F4B71"/>
    <w:rsid w:val="0030587F"/>
    <w:rsid w:val="00313AB6"/>
    <w:rsid w:val="00313BD0"/>
    <w:rsid w:val="003144E8"/>
    <w:rsid w:val="00320D43"/>
    <w:rsid w:val="003264D1"/>
    <w:rsid w:val="00333255"/>
    <w:rsid w:val="0033326E"/>
    <w:rsid w:val="003367E9"/>
    <w:rsid w:val="003403D5"/>
    <w:rsid w:val="00341036"/>
    <w:rsid w:val="00345CB4"/>
    <w:rsid w:val="0035086C"/>
    <w:rsid w:val="003549B8"/>
    <w:rsid w:val="003627DE"/>
    <w:rsid w:val="00362A3F"/>
    <w:rsid w:val="003663E5"/>
    <w:rsid w:val="00373A0A"/>
    <w:rsid w:val="00373BCB"/>
    <w:rsid w:val="00375EC4"/>
    <w:rsid w:val="00385E68"/>
    <w:rsid w:val="00393AA9"/>
    <w:rsid w:val="00394C88"/>
    <w:rsid w:val="003A52BC"/>
    <w:rsid w:val="003A697D"/>
    <w:rsid w:val="003B005F"/>
    <w:rsid w:val="003B0ECC"/>
    <w:rsid w:val="003B3BBA"/>
    <w:rsid w:val="003B4811"/>
    <w:rsid w:val="003B48C6"/>
    <w:rsid w:val="003C0A98"/>
    <w:rsid w:val="003C63D6"/>
    <w:rsid w:val="003C7963"/>
    <w:rsid w:val="003D0634"/>
    <w:rsid w:val="003D069C"/>
    <w:rsid w:val="003D7646"/>
    <w:rsid w:val="003E1D56"/>
    <w:rsid w:val="003F113A"/>
    <w:rsid w:val="003F36A8"/>
    <w:rsid w:val="003F3FBB"/>
    <w:rsid w:val="003F4145"/>
    <w:rsid w:val="003F7854"/>
    <w:rsid w:val="0040441B"/>
    <w:rsid w:val="00414643"/>
    <w:rsid w:val="0041682C"/>
    <w:rsid w:val="004269B6"/>
    <w:rsid w:val="0042777D"/>
    <w:rsid w:val="00432813"/>
    <w:rsid w:val="00440D49"/>
    <w:rsid w:val="0044194D"/>
    <w:rsid w:val="004421E5"/>
    <w:rsid w:val="004422D9"/>
    <w:rsid w:val="00450078"/>
    <w:rsid w:val="00451557"/>
    <w:rsid w:val="00452284"/>
    <w:rsid w:val="00454AEE"/>
    <w:rsid w:val="0046567C"/>
    <w:rsid w:val="00467FA1"/>
    <w:rsid w:val="00470DC8"/>
    <w:rsid w:val="00473EA7"/>
    <w:rsid w:val="004856CA"/>
    <w:rsid w:val="004874CC"/>
    <w:rsid w:val="0049444F"/>
    <w:rsid w:val="004962AE"/>
    <w:rsid w:val="0049705E"/>
    <w:rsid w:val="004A2D4A"/>
    <w:rsid w:val="004A34A0"/>
    <w:rsid w:val="004A489F"/>
    <w:rsid w:val="004B2AC3"/>
    <w:rsid w:val="004B3B9B"/>
    <w:rsid w:val="004B42CA"/>
    <w:rsid w:val="004B4AC7"/>
    <w:rsid w:val="004B69E4"/>
    <w:rsid w:val="004C0710"/>
    <w:rsid w:val="004C1831"/>
    <w:rsid w:val="004C4CEE"/>
    <w:rsid w:val="004D7145"/>
    <w:rsid w:val="004E14A4"/>
    <w:rsid w:val="004F361C"/>
    <w:rsid w:val="004F4362"/>
    <w:rsid w:val="004F74CC"/>
    <w:rsid w:val="004F7C7D"/>
    <w:rsid w:val="00502926"/>
    <w:rsid w:val="005060B1"/>
    <w:rsid w:val="005215F8"/>
    <w:rsid w:val="005221C2"/>
    <w:rsid w:val="00523335"/>
    <w:rsid w:val="00524C32"/>
    <w:rsid w:val="00526B7B"/>
    <w:rsid w:val="0052769C"/>
    <w:rsid w:val="005308CE"/>
    <w:rsid w:val="00531279"/>
    <w:rsid w:val="00534367"/>
    <w:rsid w:val="00540FE0"/>
    <w:rsid w:val="00546577"/>
    <w:rsid w:val="00550167"/>
    <w:rsid w:val="00554559"/>
    <w:rsid w:val="0056334C"/>
    <w:rsid w:val="00570083"/>
    <w:rsid w:val="00572791"/>
    <w:rsid w:val="0057439C"/>
    <w:rsid w:val="00575454"/>
    <w:rsid w:val="00580EFA"/>
    <w:rsid w:val="005812A0"/>
    <w:rsid w:val="0058152B"/>
    <w:rsid w:val="00581684"/>
    <w:rsid w:val="00582C2C"/>
    <w:rsid w:val="0058698D"/>
    <w:rsid w:val="005A12D7"/>
    <w:rsid w:val="005A13EE"/>
    <w:rsid w:val="005B0127"/>
    <w:rsid w:val="005B2D73"/>
    <w:rsid w:val="005B7A35"/>
    <w:rsid w:val="005C4B73"/>
    <w:rsid w:val="005C4D5A"/>
    <w:rsid w:val="005C5E80"/>
    <w:rsid w:val="005C6611"/>
    <w:rsid w:val="005D0D00"/>
    <w:rsid w:val="005D4FBE"/>
    <w:rsid w:val="005D7FF1"/>
    <w:rsid w:val="005E1D2B"/>
    <w:rsid w:val="005E2682"/>
    <w:rsid w:val="005F3CD3"/>
    <w:rsid w:val="005F5085"/>
    <w:rsid w:val="005F5C17"/>
    <w:rsid w:val="00600D93"/>
    <w:rsid w:val="00601775"/>
    <w:rsid w:val="0060727F"/>
    <w:rsid w:val="00610AA6"/>
    <w:rsid w:val="00627A71"/>
    <w:rsid w:val="0063300C"/>
    <w:rsid w:val="00634466"/>
    <w:rsid w:val="00634B13"/>
    <w:rsid w:val="00641057"/>
    <w:rsid w:val="00642A95"/>
    <w:rsid w:val="006442E2"/>
    <w:rsid w:val="0064735B"/>
    <w:rsid w:val="006508F1"/>
    <w:rsid w:val="006530B3"/>
    <w:rsid w:val="00655736"/>
    <w:rsid w:val="0065698F"/>
    <w:rsid w:val="00663B8D"/>
    <w:rsid w:val="00667C11"/>
    <w:rsid w:val="00672F49"/>
    <w:rsid w:val="00677786"/>
    <w:rsid w:val="00682322"/>
    <w:rsid w:val="006829E9"/>
    <w:rsid w:val="0068355D"/>
    <w:rsid w:val="006837BD"/>
    <w:rsid w:val="00696C8D"/>
    <w:rsid w:val="006A2083"/>
    <w:rsid w:val="006A2AC2"/>
    <w:rsid w:val="006A3617"/>
    <w:rsid w:val="006A37F9"/>
    <w:rsid w:val="006A442B"/>
    <w:rsid w:val="006A4FE1"/>
    <w:rsid w:val="006A5B9B"/>
    <w:rsid w:val="006A6197"/>
    <w:rsid w:val="006B185F"/>
    <w:rsid w:val="006C4134"/>
    <w:rsid w:val="006C78C1"/>
    <w:rsid w:val="006D45F7"/>
    <w:rsid w:val="006D495F"/>
    <w:rsid w:val="006E46E4"/>
    <w:rsid w:val="006F2CFC"/>
    <w:rsid w:val="006F2ECB"/>
    <w:rsid w:val="006F41B4"/>
    <w:rsid w:val="00700F35"/>
    <w:rsid w:val="00703A18"/>
    <w:rsid w:val="00703AF1"/>
    <w:rsid w:val="00703FBF"/>
    <w:rsid w:val="00706669"/>
    <w:rsid w:val="007134A1"/>
    <w:rsid w:val="00717DA5"/>
    <w:rsid w:val="00725000"/>
    <w:rsid w:val="00725D43"/>
    <w:rsid w:val="00734C06"/>
    <w:rsid w:val="00735D84"/>
    <w:rsid w:val="00743D8C"/>
    <w:rsid w:val="00744484"/>
    <w:rsid w:val="00746FCE"/>
    <w:rsid w:val="00750B8D"/>
    <w:rsid w:val="00752B98"/>
    <w:rsid w:val="007554E2"/>
    <w:rsid w:val="00763A0D"/>
    <w:rsid w:val="007647D1"/>
    <w:rsid w:val="00765F3B"/>
    <w:rsid w:val="00773188"/>
    <w:rsid w:val="00775E5C"/>
    <w:rsid w:val="007773D0"/>
    <w:rsid w:val="00783782"/>
    <w:rsid w:val="00784B8C"/>
    <w:rsid w:val="00793B49"/>
    <w:rsid w:val="00794395"/>
    <w:rsid w:val="007B0833"/>
    <w:rsid w:val="007B28ED"/>
    <w:rsid w:val="007B3DB9"/>
    <w:rsid w:val="007B3E48"/>
    <w:rsid w:val="007C407B"/>
    <w:rsid w:val="007D0E69"/>
    <w:rsid w:val="007E0217"/>
    <w:rsid w:val="007E5E2C"/>
    <w:rsid w:val="007F1AFF"/>
    <w:rsid w:val="007F3C7E"/>
    <w:rsid w:val="007F52FC"/>
    <w:rsid w:val="007F5B8E"/>
    <w:rsid w:val="008159AD"/>
    <w:rsid w:val="00816F75"/>
    <w:rsid w:val="00823A11"/>
    <w:rsid w:val="008242A8"/>
    <w:rsid w:val="00826C79"/>
    <w:rsid w:val="00833C85"/>
    <w:rsid w:val="00836662"/>
    <w:rsid w:val="0084535D"/>
    <w:rsid w:val="00850214"/>
    <w:rsid w:val="00852866"/>
    <w:rsid w:val="0085414A"/>
    <w:rsid w:val="00855BEE"/>
    <w:rsid w:val="00856BF6"/>
    <w:rsid w:val="0086269D"/>
    <w:rsid w:val="0086543A"/>
    <w:rsid w:val="00865A93"/>
    <w:rsid w:val="00872168"/>
    <w:rsid w:val="008724E5"/>
    <w:rsid w:val="00875BFF"/>
    <w:rsid w:val="008777B6"/>
    <w:rsid w:val="00884A9D"/>
    <w:rsid w:val="0088512B"/>
    <w:rsid w:val="00885994"/>
    <w:rsid w:val="008866FC"/>
    <w:rsid w:val="008919B1"/>
    <w:rsid w:val="00893961"/>
    <w:rsid w:val="008948AA"/>
    <w:rsid w:val="00896CA0"/>
    <w:rsid w:val="008A1ED4"/>
    <w:rsid w:val="008A2B2D"/>
    <w:rsid w:val="008A4E1E"/>
    <w:rsid w:val="008B0A8A"/>
    <w:rsid w:val="008B4310"/>
    <w:rsid w:val="008B4486"/>
    <w:rsid w:val="008C296C"/>
    <w:rsid w:val="008C32A4"/>
    <w:rsid w:val="008D4015"/>
    <w:rsid w:val="008D4305"/>
    <w:rsid w:val="008D5142"/>
    <w:rsid w:val="008D65F3"/>
    <w:rsid w:val="008E320A"/>
    <w:rsid w:val="008E69CA"/>
    <w:rsid w:val="008E772A"/>
    <w:rsid w:val="008F1F54"/>
    <w:rsid w:val="008F2C21"/>
    <w:rsid w:val="009163A7"/>
    <w:rsid w:val="009172AE"/>
    <w:rsid w:val="0092276B"/>
    <w:rsid w:val="00931D55"/>
    <w:rsid w:val="00935106"/>
    <w:rsid w:val="00937DDE"/>
    <w:rsid w:val="0094051E"/>
    <w:rsid w:val="00941D5C"/>
    <w:rsid w:val="00946968"/>
    <w:rsid w:val="00946D0B"/>
    <w:rsid w:val="00946D69"/>
    <w:rsid w:val="009472DF"/>
    <w:rsid w:val="00947507"/>
    <w:rsid w:val="00947CB1"/>
    <w:rsid w:val="009527FF"/>
    <w:rsid w:val="009559AC"/>
    <w:rsid w:val="00957870"/>
    <w:rsid w:val="00961D35"/>
    <w:rsid w:val="009714A7"/>
    <w:rsid w:val="00982F08"/>
    <w:rsid w:val="009862CC"/>
    <w:rsid w:val="00994BC0"/>
    <w:rsid w:val="00996FCC"/>
    <w:rsid w:val="009A18CD"/>
    <w:rsid w:val="009A3376"/>
    <w:rsid w:val="009B003B"/>
    <w:rsid w:val="009B62AD"/>
    <w:rsid w:val="009C0FDE"/>
    <w:rsid w:val="009D36A2"/>
    <w:rsid w:val="009E18AD"/>
    <w:rsid w:val="009E291F"/>
    <w:rsid w:val="009E6999"/>
    <w:rsid w:val="009F0924"/>
    <w:rsid w:val="009F52F9"/>
    <w:rsid w:val="009F6C3A"/>
    <w:rsid w:val="00A109D3"/>
    <w:rsid w:val="00A12558"/>
    <w:rsid w:val="00A13903"/>
    <w:rsid w:val="00A13E59"/>
    <w:rsid w:val="00A269F4"/>
    <w:rsid w:val="00A3089C"/>
    <w:rsid w:val="00A32C71"/>
    <w:rsid w:val="00A3353A"/>
    <w:rsid w:val="00A34ED5"/>
    <w:rsid w:val="00A36CE3"/>
    <w:rsid w:val="00A3706D"/>
    <w:rsid w:val="00A428EF"/>
    <w:rsid w:val="00A453EB"/>
    <w:rsid w:val="00A45DBF"/>
    <w:rsid w:val="00A50A21"/>
    <w:rsid w:val="00A52EF5"/>
    <w:rsid w:val="00A53D80"/>
    <w:rsid w:val="00A54183"/>
    <w:rsid w:val="00A645DF"/>
    <w:rsid w:val="00A64651"/>
    <w:rsid w:val="00A65C29"/>
    <w:rsid w:val="00A7032E"/>
    <w:rsid w:val="00A7390A"/>
    <w:rsid w:val="00A74052"/>
    <w:rsid w:val="00A755A2"/>
    <w:rsid w:val="00A80BDC"/>
    <w:rsid w:val="00A82515"/>
    <w:rsid w:val="00A8541A"/>
    <w:rsid w:val="00A8560E"/>
    <w:rsid w:val="00A85F94"/>
    <w:rsid w:val="00AA4FE3"/>
    <w:rsid w:val="00AA6660"/>
    <w:rsid w:val="00AB2C36"/>
    <w:rsid w:val="00AB6812"/>
    <w:rsid w:val="00AB70B6"/>
    <w:rsid w:val="00AC1881"/>
    <w:rsid w:val="00AC30F6"/>
    <w:rsid w:val="00AC607A"/>
    <w:rsid w:val="00AD188D"/>
    <w:rsid w:val="00AD1A86"/>
    <w:rsid w:val="00AD2F9B"/>
    <w:rsid w:val="00AD2F9D"/>
    <w:rsid w:val="00AD4D19"/>
    <w:rsid w:val="00AD57DC"/>
    <w:rsid w:val="00AD5E13"/>
    <w:rsid w:val="00AD7DEA"/>
    <w:rsid w:val="00AE103E"/>
    <w:rsid w:val="00AE1D58"/>
    <w:rsid w:val="00AF0A07"/>
    <w:rsid w:val="00AF1C85"/>
    <w:rsid w:val="00AF2FA4"/>
    <w:rsid w:val="00AF31C1"/>
    <w:rsid w:val="00AF4AEC"/>
    <w:rsid w:val="00AF625E"/>
    <w:rsid w:val="00AF6FD7"/>
    <w:rsid w:val="00B009A4"/>
    <w:rsid w:val="00B020BD"/>
    <w:rsid w:val="00B10A1D"/>
    <w:rsid w:val="00B10D03"/>
    <w:rsid w:val="00B10E8D"/>
    <w:rsid w:val="00B127EB"/>
    <w:rsid w:val="00B16BF6"/>
    <w:rsid w:val="00B303CB"/>
    <w:rsid w:val="00B36A09"/>
    <w:rsid w:val="00B40A54"/>
    <w:rsid w:val="00B44BF7"/>
    <w:rsid w:val="00B457A2"/>
    <w:rsid w:val="00B4730B"/>
    <w:rsid w:val="00B523F4"/>
    <w:rsid w:val="00B65CDE"/>
    <w:rsid w:val="00B705B1"/>
    <w:rsid w:val="00B71FC4"/>
    <w:rsid w:val="00B81E10"/>
    <w:rsid w:val="00B9336B"/>
    <w:rsid w:val="00B94DBB"/>
    <w:rsid w:val="00B96B09"/>
    <w:rsid w:val="00BA085A"/>
    <w:rsid w:val="00BA4928"/>
    <w:rsid w:val="00BB04AF"/>
    <w:rsid w:val="00BB5354"/>
    <w:rsid w:val="00BC6E55"/>
    <w:rsid w:val="00BC74C1"/>
    <w:rsid w:val="00BD52C9"/>
    <w:rsid w:val="00BD7D6E"/>
    <w:rsid w:val="00BE6354"/>
    <w:rsid w:val="00BF0D6D"/>
    <w:rsid w:val="00BF3681"/>
    <w:rsid w:val="00BF4B0C"/>
    <w:rsid w:val="00C0340D"/>
    <w:rsid w:val="00C04DCD"/>
    <w:rsid w:val="00C12934"/>
    <w:rsid w:val="00C23A97"/>
    <w:rsid w:val="00C35564"/>
    <w:rsid w:val="00C40AED"/>
    <w:rsid w:val="00C42C66"/>
    <w:rsid w:val="00C43C1F"/>
    <w:rsid w:val="00C4763D"/>
    <w:rsid w:val="00C518F0"/>
    <w:rsid w:val="00C579E8"/>
    <w:rsid w:val="00C64D4E"/>
    <w:rsid w:val="00C66C6A"/>
    <w:rsid w:val="00C70EA7"/>
    <w:rsid w:val="00C7516E"/>
    <w:rsid w:val="00C75770"/>
    <w:rsid w:val="00C770D0"/>
    <w:rsid w:val="00C80F96"/>
    <w:rsid w:val="00C96736"/>
    <w:rsid w:val="00CA1977"/>
    <w:rsid w:val="00CA7EF0"/>
    <w:rsid w:val="00CB13DC"/>
    <w:rsid w:val="00CB405A"/>
    <w:rsid w:val="00D00B2B"/>
    <w:rsid w:val="00D0431C"/>
    <w:rsid w:val="00D10537"/>
    <w:rsid w:val="00D14343"/>
    <w:rsid w:val="00D15C4F"/>
    <w:rsid w:val="00D16511"/>
    <w:rsid w:val="00D16F23"/>
    <w:rsid w:val="00D17E4E"/>
    <w:rsid w:val="00D24877"/>
    <w:rsid w:val="00D278DB"/>
    <w:rsid w:val="00D3452A"/>
    <w:rsid w:val="00D437C5"/>
    <w:rsid w:val="00D470C0"/>
    <w:rsid w:val="00D53458"/>
    <w:rsid w:val="00D60725"/>
    <w:rsid w:val="00D61041"/>
    <w:rsid w:val="00D64E23"/>
    <w:rsid w:val="00D7038B"/>
    <w:rsid w:val="00D70598"/>
    <w:rsid w:val="00D94461"/>
    <w:rsid w:val="00D95C4C"/>
    <w:rsid w:val="00D95DB2"/>
    <w:rsid w:val="00DA36ED"/>
    <w:rsid w:val="00DA473F"/>
    <w:rsid w:val="00DA6AE0"/>
    <w:rsid w:val="00DB573A"/>
    <w:rsid w:val="00DC06EC"/>
    <w:rsid w:val="00DC17D0"/>
    <w:rsid w:val="00DC1A8C"/>
    <w:rsid w:val="00DC3AE7"/>
    <w:rsid w:val="00DC497C"/>
    <w:rsid w:val="00DD5335"/>
    <w:rsid w:val="00DE34F1"/>
    <w:rsid w:val="00DE6C6E"/>
    <w:rsid w:val="00DF2209"/>
    <w:rsid w:val="00DF4942"/>
    <w:rsid w:val="00DF612E"/>
    <w:rsid w:val="00E0110B"/>
    <w:rsid w:val="00E07175"/>
    <w:rsid w:val="00E10CA3"/>
    <w:rsid w:val="00E21758"/>
    <w:rsid w:val="00E262DD"/>
    <w:rsid w:val="00E302A3"/>
    <w:rsid w:val="00E34145"/>
    <w:rsid w:val="00E41F1B"/>
    <w:rsid w:val="00E50B96"/>
    <w:rsid w:val="00E539DD"/>
    <w:rsid w:val="00E6072C"/>
    <w:rsid w:val="00E627B1"/>
    <w:rsid w:val="00E64E0F"/>
    <w:rsid w:val="00E7146F"/>
    <w:rsid w:val="00E853FA"/>
    <w:rsid w:val="00E9376C"/>
    <w:rsid w:val="00EA335E"/>
    <w:rsid w:val="00EA528C"/>
    <w:rsid w:val="00EA70F7"/>
    <w:rsid w:val="00EA74C9"/>
    <w:rsid w:val="00EB4064"/>
    <w:rsid w:val="00EB53E2"/>
    <w:rsid w:val="00EB5B68"/>
    <w:rsid w:val="00EB7157"/>
    <w:rsid w:val="00EC01C1"/>
    <w:rsid w:val="00EC0776"/>
    <w:rsid w:val="00EC0AFC"/>
    <w:rsid w:val="00EC2633"/>
    <w:rsid w:val="00EE1C4D"/>
    <w:rsid w:val="00EF07AB"/>
    <w:rsid w:val="00EF19A6"/>
    <w:rsid w:val="00EF34E2"/>
    <w:rsid w:val="00EF4DB9"/>
    <w:rsid w:val="00EF4F1F"/>
    <w:rsid w:val="00EF69E3"/>
    <w:rsid w:val="00EF71BE"/>
    <w:rsid w:val="00F01073"/>
    <w:rsid w:val="00F010E0"/>
    <w:rsid w:val="00F01A36"/>
    <w:rsid w:val="00F07A82"/>
    <w:rsid w:val="00F13026"/>
    <w:rsid w:val="00F17B1E"/>
    <w:rsid w:val="00F21403"/>
    <w:rsid w:val="00F23E25"/>
    <w:rsid w:val="00F33065"/>
    <w:rsid w:val="00F34E20"/>
    <w:rsid w:val="00F37CA8"/>
    <w:rsid w:val="00F42FDC"/>
    <w:rsid w:val="00F461BE"/>
    <w:rsid w:val="00F53DE9"/>
    <w:rsid w:val="00F576CB"/>
    <w:rsid w:val="00F665C2"/>
    <w:rsid w:val="00F71A02"/>
    <w:rsid w:val="00F71E3F"/>
    <w:rsid w:val="00F9151B"/>
    <w:rsid w:val="00F915FC"/>
    <w:rsid w:val="00FA145C"/>
    <w:rsid w:val="00FB18FA"/>
    <w:rsid w:val="00FB50B0"/>
    <w:rsid w:val="00FB6630"/>
    <w:rsid w:val="00FC0255"/>
    <w:rsid w:val="00FC1B1B"/>
    <w:rsid w:val="00FC21FE"/>
    <w:rsid w:val="00FC5795"/>
    <w:rsid w:val="00FD062E"/>
    <w:rsid w:val="00FD1226"/>
    <w:rsid w:val="00FD570C"/>
    <w:rsid w:val="00FE3AB2"/>
    <w:rsid w:val="00FE726A"/>
    <w:rsid w:val="00FF4830"/>
    <w:rsid w:val="00FF6CF8"/>
    <w:rsid w:val="0962FE39"/>
    <w:rsid w:val="12FE2DC1"/>
    <w:rsid w:val="45111DCE"/>
    <w:rsid w:val="64B8D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6B089F95"/>
  <w15:docId w15:val="{BD81529E-DDEA-42A5-9988-118CBA6B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0AA6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rsid w:val="00891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GA Heading"/>
    <w:basedOn w:val="Normal"/>
    <w:next w:val="Normal"/>
    <w:link w:val="Titre4Car"/>
    <w:qFormat/>
    <w:rsid w:val="00F71A02"/>
    <w:pPr>
      <w:keepNext/>
      <w:keepLines/>
      <w:numPr>
        <w:numId w:val="4"/>
      </w:numPr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GA Heading Car"/>
    <w:link w:val="Titre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1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2"/>
      </w:numPr>
      <w:spacing w:after="12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3"/>
      </w:numPr>
      <w:autoSpaceDE w:val="0"/>
      <w:autoSpaceDN w:val="0"/>
      <w:adjustRightInd w:val="0"/>
      <w:spacing w:after="120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styleId="Paragraphedeliste">
    <w:name w:val="List Paragraph"/>
    <w:basedOn w:val="Normal"/>
    <w:uiPriority w:val="34"/>
    <w:qFormat/>
    <w:rsid w:val="002F312A"/>
    <w:pPr>
      <w:ind w:left="720"/>
      <w:contextualSpacing/>
    </w:pPr>
  </w:style>
  <w:style w:type="paragraph" w:customStyle="1" w:styleId="COMParaDecision">
    <w:name w:val="COM Para Decision"/>
    <w:basedOn w:val="Normal"/>
    <w:qFormat/>
    <w:rsid w:val="008A1ED4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customStyle="1" w:styleId="COMPara">
    <w:name w:val="COM Para"/>
    <w:qFormat/>
    <w:rsid w:val="00FC21FE"/>
    <w:pPr>
      <w:spacing w:after="120"/>
      <w:ind w:left="720" w:hanging="36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COMTitleDecision">
    <w:name w:val="COM Title Decision"/>
    <w:basedOn w:val="Normal"/>
    <w:qFormat/>
    <w:rsid w:val="00F23E25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Default">
    <w:name w:val="Default"/>
    <w:rsid w:val="00580EFA"/>
    <w:pPr>
      <w:autoSpaceDE w:val="0"/>
      <w:autoSpaceDN w:val="0"/>
      <w:adjustRightInd w:val="0"/>
    </w:pPr>
    <w:rPr>
      <w:rFonts w:ascii="Adobe Garamond Pro" w:hAnsi="Adobe Garamond Pro" w:cs="Adobe Garamond Pro"/>
      <w:color w:val="000000"/>
      <w:sz w:val="24"/>
      <w:szCs w:val="24"/>
      <w:lang w:val="fr-FR"/>
    </w:rPr>
  </w:style>
  <w:style w:type="character" w:styleId="Lienhypertexte">
    <w:name w:val="Hyperlink"/>
    <w:aliases w:val=" Car Car3 Char, Car Car3 Char Char Char Char"/>
    <w:link w:val="CarCar3"/>
    <w:rsid w:val="00F9151B"/>
    <w:rPr>
      <w:color w:val="0000FF"/>
      <w:u w:val="single"/>
    </w:rPr>
  </w:style>
  <w:style w:type="paragraph" w:customStyle="1" w:styleId="CarCar3">
    <w:name w:val="Car Car3"/>
    <w:aliases w:val=" Car Car3 Char Char"/>
    <w:basedOn w:val="Normal"/>
    <w:link w:val="Lienhypertexte"/>
    <w:rsid w:val="00F9151B"/>
    <w:pPr>
      <w:tabs>
        <w:tab w:val="left" w:pos="510"/>
        <w:tab w:val="right" w:pos="9639"/>
      </w:tabs>
      <w:autoSpaceDE w:val="0"/>
      <w:autoSpaceDN w:val="0"/>
      <w:adjustRightInd w:val="0"/>
      <w:spacing w:after="80" w:line="220" w:lineRule="exact"/>
      <w:ind w:left="1020" w:hanging="510"/>
      <w:jc w:val="both"/>
    </w:pPr>
    <w:rPr>
      <w:rFonts w:ascii="Calibri" w:eastAsia="SimSun" w:hAnsi="Calibri"/>
      <w:color w:val="0000FF"/>
      <w:sz w:val="20"/>
      <w:szCs w:val="20"/>
      <w:u w:val="single"/>
      <w:lang w:val="en-GB" w:eastAsia="en-GB"/>
    </w:rPr>
  </w:style>
  <w:style w:type="paragraph" w:styleId="Notedebasdepage">
    <w:name w:val="footnote text"/>
    <w:basedOn w:val="Normal"/>
    <w:link w:val="NotedebasdepageCar"/>
    <w:uiPriority w:val="99"/>
    <w:unhideWhenUsed/>
    <w:rsid w:val="00440D49"/>
    <w:pPr>
      <w:keepLines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40D49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9151B"/>
    <w:rPr>
      <w:vertAlign w:val="superscript"/>
    </w:rPr>
  </w:style>
  <w:style w:type="paragraph" w:customStyle="1" w:styleId="Pa20">
    <w:name w:val="Pa20"/>
    <w:basedOn w:val="Default"/>
    <w:next w:val="Default"/>
    <w:uiPriority w:val="99"/>
    <w:rsid w:val="00F9151B"/>
    <w:pPr>
      <w:spacing w:line="206" w:lineRule="atLeast"/>
    </w:pPr>
    <w:rPr>
      <w:rFonts w:cs="Times New Roman"/>
      <w:color w:val="auto"/>
      <w:lang w:eastAsia="fr-FR"/>
    </w:rPr>
  </w:style>
  <w:style w:type="character" w:customStyle="1" w:styleId="A16">
    <w:name w:val="A16"/>
    <w:uiPriority w:val="99"/>
    <w:rsid w:val="00F9151B"/>
    <w:rPr>
      <w:rFonts w:cs="Adobe Garamond Pro"/>
      <w:color w:val="000000"/>
      <w:sz w:val="12"/>
      <w:szCs w:val="12"/>
    </w:rPr>
  </w:style>
  <w:style w:type="paragraph" w:styleId="Sansinterligne">
    <w:name w:val="No Spacing"/>
    <w:uiPriority w:val="1"/>
    <w:qFormat/>
    <w:rsid w:val="00546577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8919B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F07AB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C18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C18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C1881"/>
    <w:rPr>
      <w:rFonts w:ascii="Times New Roman" w:eastAsia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1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1881"/>
    <w:rPr>
      <w:rFonts w:ascii="Times New Roman" w:eastAsia="Times New Roman" w:hAnsi="Times New Roman"/>
      <w:b/>
      <w:bCs/>
      <w:lang w:val="fr-FR" w:eastAsia="fr-FR"/>
    </w:rPr>
  </w:style>
  <w:style w:type="paragraph" w:styleId="Rvision">
    <w:name w:val="Revision"/>
    <w:hidden/>
    <w:uiPriority w:val="99"/>
    <w:semiHidden/>
    <w:rsid w:val="00BA085A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50078"/>
    <w:rPr>
      <w:rFonts w:ascii="Lucida Grande" w:hAnsi="Lucida Grande" w:cs="Lucida Gran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50078"/>
    <w:rPr>
      <w:rFonts w:ascii="Lucida Grande" w:eastAsia="Times New Roman" w:hAnsi="Lucida Grande" w:cs="Lucida Grande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1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1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6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0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1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7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90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62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1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67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1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6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10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4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80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0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1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86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77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112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34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57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680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94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8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4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06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6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56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73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h.unesco.org/en/Decisions/7.GA/11" TargetMode="External"/><Relationship Id="rId18" Type="http://schemas.openxmlformats.org/officeDocument/2006/relationships/hyperlink" Target="https://ich.unesco.org/en/Decisions/12.COM/13" TargetMode="External"/><Relationship Id="rId26" Type="http://schemas.openxmlformats.org/officeDocument/2006/relationships/hyperlink" Target="https://ich.unesco.org/en/Decisions/13.COM/1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ch.unesco.org/doc/src/LHE-19-14.COM-16-EN.docx" TargetMode="External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ch.unesco.org/en/d%C3%A9cisions/12.COM/17?dec=decisions&amp;ref_decision=12.COM" TargetMode="External"/><Relationship Id="rId17" Type="http://schemas.openxmlformats.org/officeDocument/2006/relationships/hyperlink" Target="https://ich.unesco.org/doc/src/45581-EN.docx" TargetMode="External"/><Relationship Id="rId25" Type="http://schemas.openxmlformats.org/officeDocument/2006/relationships/hyperlink" Target="https://ich.unesco.org/en/Decisions/12.COM/17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ich.unesco.org/en/Decisions/13.COM/13" TargetMode="External"/><Relationship Id="rId20" Type="http://schemas.openxmlformats.org/officeDocument/2006/relationships/hyperlink" Target="https://ich.unesco.org/en/Decisions/14.COM/16" TargetMode="External"/><Relationship Id="rId29" Type="http://schemas.openxmlformats.org/officeDocument/2006/relationships/hyperlink" Target="https://ich.unesco.org/en/Decisions/14.COM/1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h.unesco.org/en/Decisions/12.COM/13" TargetMode="External"/><Relationship Id="rId24" Type="http://schemas.openxmlformats.org/officeDocument/2006/relationships/hyperlink" Target="https://ich.unesco.org/en/Decisions/12.COM/13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ich.unesco.org/doc/src/ITH-18-13.COM-13-EN.docx" TargetMode="External"/><Relationship Id="rId23" Type="http://schemas.openxmlformats.org/officeDocument/2006/relationships/hyperlink" Target="https://ich.unesco.org/en/Decisions/14.COM/15" TargetMode="External"/><Relationship Id="rId28" Type="http://schemas.openxmlformats.org/officeDocument/2006/relationships/hyperlink" Target="https://ich.unesco.org/en/Decisions/14.COM/15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ich.unesco.org/en/Decisions/13.COM/16" TargetMode="External"/><Relationship Id="rId31" Type="http://schemas.openxmlformats.org/officeDocument/2006/relationships/hyperlink" Target="https://ich.unesco.org/en/Decisions/7.GA/1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ch.unesco.org/en/Decisions/14.COM/15" TargetMode="External"/><Relationship Id="rId22" Type="http://schemas.openxmlformats.org/officeDocument/2006/relationships/hyperlink" Target="https://ich.unesco.org/doc/src/LHE-19-14.COM-15-EN.docx" TargetMode="External"/><Relationship Id="rId27" Type="http://schemas.openxmlformats.org/officeDocument/2006/relationships/hyperlink" Target="https://ich.unesco.org/en/Decisions/13.COM/16" TargetMode="External"/><Relationship Id="rId30" Type="http://schemas.openxmlformats.org/officeDocument/2006/relationships/hyperlink" Target="https://ich.unesco.org/en/Resolutions/7.GA/6" TargetMode="External"/><Relationship Id="rId35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13" ma:contentTypeDescription="Create a new document." ma:contentTypeScope="" ma:versionID="1456ecff9f2a98582efd01bc1b750e6f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43b5d121ec1ed15a3b4abd6186a34b65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8ef70f3-4e3d-42be-bd40-fbc1cacc1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80797-9DFC-4A34-B3ED-E1675E1F7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70f3-4e3d-42be-bd40-fbc1cacc1519"/>
    <ds:schemaRef ds:uri="5b799ec2-212c-48b5-b7ff-d14ec6cbc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3B656-657C-42B8-A34E-02F8E4277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13A79-1E96-4769-8B82-6C9A939DCED6}">
  <ds:schemaRefs>
    <ds:schemaRef ds:uri="http://purl.org/dc/terms/"/>
    <ds:schemaRef ds:uri="http://purl.org/dc/elements/1.1/"/>
    <ds:schemaRef ds:uri="http://purl.org/dc/dcmitype/"/>
    <ds:schemaRef ds:uri="f8ef70f3-4e3d-42be-bd40-fbc1cacc1519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5b799ec2-212c-48b5-b7ff-d14ec6cbce2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C017679-2EF6-4857-AAB4-355405CA2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GA_Working document_EN.dotx</Template>
  <TotalTime>290</TotalTime>
  <Pages>5</Pages>
  <Words>2037</Words>
  <Characters>11204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Shin, Eunkyung</dc:creator>
  <cp:keywords/>
  <cp:lastModifiedBy>Ohinata, Fumiko</cp:lastModifiedBy>
  <cp:revision>54</cp:revision>
  <cp:lastPrinted>2020-07-24T09:09:00Z</cp:lastPrinted>
  <dcterms:created xsi:type="dcterms:W3CDTF">2020-07-24T08:54:00Z</dcterms:created>
  <dcterms:modified xsi:type="dcterms:W3CDTF">2020-08-07T13:16:00Z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</Properties>
</file>