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FB721" w14:textId="4F2A56EC"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CONVENTION FOR THE SAFEGUARDING OF THE</w:t>
      </w:r>
      <w:r w:rsidRPr="00414643">
        <w:rPr>
          <w:rFonts w:ascii="Arial" w:hAnsi="Arial" w:cs="Arial"/>
          <w:b/>
          <w:sz w:val="22"/>
          <w:szCs w:val="22"/>
          <w:lang w:val="en-GB"/>
        </w:rPr>
        <w:br/>
        <w:t>INTANGIBLE CULTURAL HERITAGE</w:t>
      </w:r>
    </w:p>
    <w:p w14:paraId="1C61622E"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5F00357B" w14:textId="77777777" w:rsidR="00D95C4C" w:rsidRPr="00FD624F" w:rsidRDefault="006F41B4" w:rsidP="00D95C4C">
      <w:pPr>
        <w:spacing w:before="840"/>
        <w:jc w:val="center"/>
        <w:rPr>
          <w:rFonts w:ascii="Arial" w:hAnsi="Arial" w:cs="Arial"/>
          <w:b/>
          <w:sz w:val="22"/>
          <w:szCs w:val="22"/>
          <w:lang w:val="en-GB"/>
        </w:rPr>
      </w:pPr>
      <w:r>
        <w:rPr>
          <w:rFonts w:ascii="Arial" w:hAnsi="Arial" w:cs="Arial"/>
          <w:b/>
          <w:sz w:val="22"/>
          <w:szCs w:val="22"/>
          <w:lang w:val="en-GB"/>
        </w:rPr>
        <w:t>Eighth</w:t>
      </w:r>
      <w:r w:rsidR="00D95C4C" w:rsidRPr="00FD624F">
        <w:rPr>
          <w:rFonts w:ascii="Arial" w:hAnsi="Arial" w:cs="Arial"/>
          <w:b/>
          <w:sz w:val="22"/>
          <w:szCs w:val="22"/>
          <w:lang w:val="en-GB"/>
        </w:rPr>
        <w:t xml:space="preserve"> session</w:t>
      </w:r>
    </w:p>
    <w:p w14:paraId="2610A76C" w14:textId="77777777"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006F41B4" w:rsidRPr="006F41B4">
        <w:rPr>
          <w:rFonts w:ascii="Arial" w:hAnsi="Arial" w:cs="Arial"/>
          <w:b/>
          <w:sz w:val="22"/>
          <w:szCs w:val="22"/>
          <w:lang w:val="en-GB"/>
        </w:rPr>
        <w:t>I</w:t>
      </w:r>
    </w:p>
    <w:p w14:paraId="67F397C0" w14:textId="77777777" w:rsidR="00655736" w:rsidRPr="00414643" w:rsidRDefault="00B65CDE" w:rsidP="00D95C4C">
      <w:pPr>
        <w:jc w:val="center"/>
        <w:rPr>
          <w:rFonts w:ascii="Arial" w:hAnsi="Arial" w:cs="Arial"/>
          <w:b/>
          <w:sz w:val="22"/>
          <w:szCs w:val="22"/>
          <w:lang w:val="en-GB"/>
        </w:rPr>
      </w:pPr>
      <w:r w:rsidRPr="00DD5335">
        <w:rPr>
          <w:rFonts w:ascii="Arial" w:hAnsi="Arial" w:cs="Arial"/>
          <w:b/>
          <w:sz w:val="22"/>
          <w:szCs w:val="22"/>
          <w:lang w:val="en-GB"/>
        </w:rPr>
        <w:t>8</w:t>
      </w:r>
      <w:r w:rsidR="00763A0D" w:rsidRPr="00DD5335">
        <w:rPr>
          <w:rFonts w:ascii="Arial" w:hAnsi="Arial" w:cs="Arial"/>
          <w:b/>
          <w:sz w:val="22"/>
          <w:szCs w:val="22"/>
          <w:lang w:val="en-GB"/>
        </w:rPr>
        <w:t xml:space="preserve"> </w:t>
      </w:r>
      <w:r w:rsidRPr="00DD5335">
        <w:rPr>
          <w:rFonts w:ascii="Arial" w:hAnsi="Arial" w:cs="Arial"/>
          <w:b/>
          <w:sz w:val="22"/>
          <w:szCs w:val="22"/>
          <w:lang w:val="en-GB"/>
        </w:rPr>
        <w:t>to 10</w:t>
      </w:r>
      <w:r w:rsidR="00D95C4C" w:rsidRPr="00DD5335">
        <w:rPr>
          <w:rFonts w:ascii="Arial" w:hAnsi="Arial" w:cs="Arial"/>
          <w:b/>
          <w:sz w:val="22"/>
          <w:szCs w:val="22"/>
          <w:lang w:val="en-GB"/>
        </w:rPr>
        <w:t xml:space="preserve"> </w:t>
      </w:r>
      <w:r w:rsidRPr="00DD5335">
        <w:rPr>
          <w:rFonts w:ascii="Arial" w:hAnsi="Arial" w:cs="Arial"/>
          <w:b/>
          <w:sz w:val="22"/>
          <w:szCs w:val="22"/>
          <w:lang w:val="en-GB"/>
        </w:rPr>
        <w:t>September</w:t>
      </w:r>
      <w:r w:rsidR="006F41B4">
        <w:rPr>
          <w:rFonts w:ascii="Arial" w:hAnsi="Arial" w:cs="Arial"/>
          <w:b/>
          <w:sz w:val="22"/>
          <w:szCs w:val="22"/>
          <w:lang w:val="en-GB"/>
        </w:rPr>
        <w:t xml:space="preserve"> 2020</w:t>
      </w:r>
    </w:p>
    <w:p w14:paraId="07117F77" w14:textId="0E7064F7"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931D55">
        <w:rPr>
          <w:rFonts w:ascii="Arial" w:hAnsi="Arial" w:cs="Arial"/>
          <w:b/>
          <w:sz w:val="22"/>
          <w:szCs w:val="22"/>
          <w:u w:val="single"/>
          <w:lang w:val="en-GB"/>
        </w:rPr>
        <w:t>12</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45539C1F" w14:textId="4DA8F8E6" w:rsidR="002F312A" w:rsidRPr="00414643" w:rsidRDefault="00931D55" w:rsidP="002F312A">
      <w:pPr>
        <w:pStyle w:val="Sansinterligne2"/>
        <w:spacing w:after="1200"/>
        <w:jc w:val="center"/>
        <w:rPr>
          <w:rFonts w:ascii="Arial" w:hAnsi="Arial" w:cs="Arial"/>
          <w:b/>
          <w:sz w:val="22"/>
          <w:szCs w:val="22"/>
          <w:lang w:val="en-GB"/>
        </w:rPr>
      </w:pPr>
      <w:r>
        <w:rPr>
          <w:rFonts w:ascii="Arial" w:hAnsi="Arial" w:cs="Arial"/>
          <w:b/>
          <w:sz w:val="22"/>
          <w:szCs w:val="22"/>
          <w:lang w:val="en-GB"/>
        </w:rPr>
        <w:t>Update on the r</w:t>
      </w:r>
      <w:r w:rsidR="00D17E4E" w:rsidRPr="00D17E4E">
        <w:rPr>
          <w:rFonts w:ascii="Arial" w:hAnsi="Arial" w:cs="Arial"/>
          <w:b/>
          <w:sz w:val="22"/>
          <w:szCs w:val="22"/>
          <w:lang w:val="en-GB"/>
        </w:rPr>
        <w:t>eflection on the par</w:t>
      </w:r>
      <w:r w:rsidR="00D17E4E">
        <w:rPr>
          <w:rFonts w:ascii="Arial" w:hAnsi="Arial" w:cs="Arial"/>
          <w:b/>
          <w:sz w:val="22"/>
          <w:szCs w:val="22"/>
          <w:lang w:val="en-GB"/>
        </w:rPr>
        <w:t xml:space="preserve">ticipation of non-governmental </w:t>
      </w:r>
      <w:r w:rsidR="00D17E4E" w:rsidRPr="00D17E4E">
        <w:rPr>
          <w:rFonts w:ascii="Arial" w:hAnsi="Arial" w:cs="Arial"/>
          <w:b/>
          <w:sz w:val="22"/>
          <w:szCs w:val="22"/>
          <w:lang w:val="en-GB"/>
        </w:rPr>
        <w:t>organizations</w:t>
      </w:r>
      <w:bookmarkStart w:id="0" w:name="_GoBack"/>
      <w:bookmarkEnd w:id="0"/>
      <w:r w:rsidR="009D36A2">
        <w:rPr>
          <w:rFonts w:ascii="Arial" w:hAnsi="Arial" w:cs="Arial"/>
          <w:b/>
          <w:sz w:val="22"/>
          <w:szCs w:val="22"/>
          <w:lang w:val="en-GB"/>
        </w:rPr>
        <w:br/>
      </w:r>
      <w:r w:rsidR="00D17E4E" w:rsidRPr="00D17E4E">
        <w:rPr>
          <w:rFonts w:ascii="Arial" w:hAnsi="Arial" w:cs="Arial"/>
          <w:b/>
          <w:sz w:val="22"/>
          <w:szCs w:val="22"/>
          <w:lang w:val="en-GB"/>
        </w:rPr>
        <w:t>in the implementation of the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5B2D73" w14:paraId="6322D3F5" w14:textId="77777777" w:rsidTr="002F312A">
        <w:trPr>
          <w:jc w:val="center"/>
        </w:trPr>
        <w:tc>
          <w:tcPr>
            <w:tcW w:w="5670" w:type="dxa"/>
            <w:vAlign w:val="center"/>
          </w:tcPr>
          <w:p w14:paraId="33992B54" w14:textId="6D233607" w:rsidR="0057439C" w:rsidRDefault="0057439C" w:rsidP="005B7A35">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2DF4F8B2" w14:textId="75CB643B" w:rsidR="0065698F" w:rsidRPr="008F2B6E" w:rsidRDefault="0065698F" w:rsidP="0065698F">
            <w:pPr>
              <w:pStyle w:val="Sansinterligne2"/>
              <w:spacing w:before="200" w:after="200"/>
              <w:jc w:val="both"/>
              <w:rPr>
                <w:rFonts w:ascii="Arial" w:hAnsi="Arial" w:cs="Arial"/>
                <w:sz w:val="22"/>
                <w:szCs w:val="22"/>
                <w:lang w:val="en-GB"/>
              </w:rPr>
            </w:pPr>
            <w:r w:rsidRPr="008F2B6E">
              <w:rPr>
                <w:rFonts w:ascii="Arial" w:hAnsi="Arial" w:cs="Arial"/>
                <w:sz w:val="22"/>
                <w:szCs w:val="22"/>
                <w:lang w:val="en-GB"/>
              </w:rPr>
              <w:t>The Committee initiated a reflection</w:t>
            </w:r>
            <w:r w:rsidR="00F21403">
              <w:rPr>
                <w:rFonts w:ascii="Arial" w:hAnsi="Arial" w:cs="Arial"/>
                <w:sz w:val="22"/>
                <w:szCs w:val="22"/>
                <w:lang w:val="en-GB"/>
              </w:rPr>
              <w:t>,</w:t>
            </w:r>
            <w:r w:rsidRPr="008F2B6E">
              <w:rPr>
                <w:rFonts w:ascii="Arial" w:hAnsi="Arial" w:cs="Arial"/>
                <w:sz w:val="22"/>
                <w:szCs w:val="22"/>
                <w:lang w:val="en-GB"/>
              </w:rPr>
              <w:t xml:space="preserve"> </w:t>
            </w:r>
            <w:r w:rsidR="00F21403" w:rsidRPr="008F2B6E">
              <w:rPr>
                <w:rFonts w:ascii="Arial" w:hAnsi="Arial" w:cs="Arial"/>
                <w:sz w:val="22"/>
                <w:szCs w:val="22"/>
                <w:lang w:val="en-GB"/>
              </w:rPr>
              <w:t>at its twelfth session in 2017</w:t>
            </w:r>
            <w:r w:rsidR="00F21403">
              <w:rPr>
                <w:rFonts w:ascii="Arial" w:hAnsi="Arial" w:cs="Arial"/>
                <w:sz w:val="22"/>
                <w:szCs w:val="22"/>
                <w:lang w:val="en-GB"/>
              </w:rPr>
              <w:t xml:space="preserve">, </w:t>
            </w:r>
            <w:r w:rsidRPr="008F2B6E">
              <w:rPr>
                <w:rFonts w:ascii="Arial" w:hAnsi="Arial" w:cs="Arial"/>
                <w:sz w:val="22"/>
                <w:szCs w:val="22"/>
                <w:lang w:val="en-GB"/>
              </w:rPr>
              <w:t xml:space="preserve">on the definition of the advisory functions to be fulfilled by non-governmental organizations </w:t>
            </w:r>
            <w:r w:rsidR="00F21403">
              <w:rPr>
                <w:rFonts w:ascii="Arial" w:hAnsi="Arial" w:cs="Arial"/>
                <w:sz w:val="22"/>
                <w:szCs w:val="22"/>
                <w:lang w:val="en-GB"/>
              </w:rPr>
              <w:t>accredited under the 2003 Convention</w:t>
            </w:r>
            <w:r w:rsidR="00084204">
              <w:rPr>
                <w:rFonts w:ascii="Arial" w:hAnsi="Arial" w:cs="Arial"/>
                <w:sz w:val="22"/>
                <w:szCs w:val="22"/>
                <w:lang w:val="en-GB"/>
              </w:rPr>
              <w:t>.</w:t>
            </w:r>
            <w:r>
              <w:rPr>
                <w:rFonts w:ascii="Arial" w:hAnsi="Arial" w:cs="Arial"/>
                <w:sz w:val="22"/>
                <w:szCs w:val="22"/>
                <w:lang w:val="en-GB"/>
              </w:rPr>
              <w:t xml:space="preserve"> </w:t>
            </w:r>
            <w:r w:rsidR="0020111B">
              <w:rPr>
                <w:rFonts w:ascii="Arial" w:hAnsi="Arial" w:cs="Arial"/>
                <w:sz w:val="22"/>
                <w:szCs w:val="22"/>
                <w:lang w:val="en-GB"/>
              </w:rPr>
              <w:t xml:space="preserve">The reflection </w:t>
            </w:r>
            <w:r>
              <w:rPr>
                <w:rFonts w:ascii="Arial" w:hAnsi="Arial" w:cs="Arial"/>
                <w:sz w:val="22"/>
                <w:szCs w:val="22"/>
                <w:lang w:val="en-GB"/>
              </w:rPr>
              <w:t xml:space="preserve">continued throughout 2018 and 2019. </w:t>
            </w:r>
            <w:r w:rsidR="00F21403">
              <w:rPr>
                <w:rFonts w:ascii="Arial" w:hAnsi="Arial" w:cs="Arial"/>
                <w:sz w:val="22"/>
                <w:szCs w:val="22"/>
                <w:lang w:val="en-GB"/>
              </w:rPr>
              <w:t>This document presents the</w:t>
            </w:r>
            <w:r w:rsidR="006837BD" w:rsidRPr="008F2B6E">
              <w:rPr>
                <w:rFonts w:ascii="Arial" w:hAnsi="Arial" w:cs="Arial"/>
                <w:sz w:val="22"/>
                <w:szCs w:val="22"/>
                <w:lang w:val="en-GB"/>
              </w:rPr>
              <w:t xml:space="preserve"> outcomes of </w:t>
            </w:r>
            <w:r w:rsidR="006837BD">
              <w:rPr>
                <w:rFonts w:ascii="Arial" w:hAnsi="Arial" w:cs="Arial"/>
                <w:sz w:val="22"/>
                <w:szCs w:val="22"/>
                <w:lang w:val="en-GB"/>
              </w:rPr>
              <w:t>this</w:t>
            </w:r>
            <w:r w:rsidR="006837BD" w:rsidRPr="008F2B6E">
              <w:rPr>
                <w:rFonts w:ascii="Arial" w:hAnsi="Arial" w:cs="Arial"/>
                <w:sz w:val="22"/>
                <w:szCs w:val="22"/>
                <w:lang w:val="en-GB"/>
              </w:rPr>
              <w:t xml:space="preserve"> process</w:t>
            </w:r>
            <w:r w:rsidR="006837BD">
              <w:rPr>
                <w:rFonts w:ascii="Arial" w:hAnsi="Arial" w:cs="Arial"/>
                <w:sz w:val="22"/>
                <w:szCs w:val="22"/>
                <w:lang w:val="en-GB"/>
              </w:rPr>
              <w:t xml:space="preserve"> </w:t>
            </w:r>
            <w:r w:rsidR="00F21403">
              <w:rPr>
                <w:rFonts w:ascii="Arial" w:hAnsi="Arial" w:cs="Arial"/>
                <w:sz w:val="22"/>
                <w:szCs w:val="22"/>
                <w:lang w:val="en-GB"/>
              </w:rPr>
              <w:t>following</w:t>
            </w:r>
            <w:r w:rsidR="006837BD">
              <w:rPr>
                <w:rFonts w:ascii="Arial" w:hAnsi="Arial" w:cs="Arial"/>
                <w:sz w:val="22"/>
                <w:szCs w:val="22"/>
                <w:lang w:val="en-GB"/>
              </w:rPr>
              <w:t xml:space="preserve"> the request by t</w:t>
            </w:r>
            <w:r w:rsidR="00122259">
              <w:rPr>
                <w:rFonts w:ascii="Arial" w:hAnsi="Arial" w:cs="Arial"/>
                <w:sz w:val="22"/>
                <w:szCs w:val="22"/>
                <w:lang w:val="en-GB"/>
              </w:rPr>
              <w:t xml:space="preserve">he General Assembly at its seventh session in 2018 and </w:t>
            </w:r>
            <w:r w:rsidR="00F21403">
              <w:rPr>
                <w:rFonts w:ascii="Arial" w:hAnsi="Arial" w:cs="Arial"/>
                <w:sz w:val="22"/>
                <w:szCs w:val="22"/>
                <w:lang w:val="en-GB"/>
              </w:rPr>
              <w:t xml:space="preserve">by </w:t>
            </w:r>
            <w:r w:rsidR="00122259">
              <w:rPr>
                <w:rFonts w:ascii="Arial" w:hAnsi="Arial" w:cs="Arial"/>
                <w:sz w:val="22"/>
                <w:szCs w:val="22"/>
                <w:lang w:val="en-GB"/>
              </w:rPr>
              <w:t>the Committee a</w:t>
            </w:r>
            <w:r w:rsidRPr="008F2B6E">
              <w:rPr>
                <w:rFonts w:ascii="Arial" w:hAnsi="Arial" w:cs="Arial"/>
                <w:sz w:val="22"/>
                <w:szCs w:val="22"/>
                <w:lang w:val="en-GB"/>
              </w:rPr>
              <w:t xml:space="preserve">t its </w:t>
            </w:r>
            <w:r>
              <w:rPr>
                <w:rFonts w:ascii="Arial" w:hAnsi="Arial" w:cs="Arial"/>
                <w:sz w:val="22"/>
                <w:szCs w:val="22"/>
                <w:lang w:val="en-GB"/>
              </w:rPr>
              <w:t>fourteenth session in 2019</w:t>
            </w:r>
            <w:r w:rsidRPr="008F2B6E">
              <w:rPr>
                <w:rFonts w:ascii="Arial" w:hAnsi="Arial" w:cs="Arial"/>
                <w:sz w:val="22"/>
                <w:szCs w:val="22"/>
                <w:lang w:val="en-GB"/>
              </w:rPr>
              <w:t>.</w:t>
            </w:r>
          </w:p>
          <w:p w14:paraId="161FF5BB" w14:textId="0F47F950" w:rsidR="00655736" w:rsidRPr="00414643" w:rsidRDefault="00FB6630" w:rsidP="0018735F">
            <w:pPr>
              <w:pStyle w:val="Sansinterligne2"/>
              <w:spacing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57439C" w:rsidRPr="00414643">
              <w:rPr>
                <w:rFonts w:ascii="Arial" w:hAnsi="Arial" w:cs="Arial"/>
                <w:bCs/>
                <w:sz w:val="22"/>
                <w:szCs w:val="22"/>
                <w:lang w:val="en-GB"/>
              </w:rPr>
              <w:t xml:space="preserve">paragraph </w:t>
            </w:r>
            <w:r w:rsidR="0018735F">
              <w:rPr>
                <w:rFonts w:ascii="Arial" w:hAnsi="Arial" w:cs="Arial"/>
                <w:bCs/>
                <w:sz w:val="22"/>
                <w:szCs w:val="22"/>
                <w:lang w:val="en-GB"/>
              </w:rPr>
              <w:t>9</w:t>
            </w:r>
          </w:p>
        </w:tc>
      </w:tr>
    </w:tbl>
    <w:p w14:paraId="4A2A53B7" w14:textId="77777777" w:rsidR="00176720" w:rsidRDefault="00655736" w:rsidP="00176720">
      <w:pPr>
        <w:pStyle w:val="GAPara"/>
        <w:numPr>
          <w:ilvl w:val="0"/>
          <w:numId w:val="0"/>
        </w:numPr>
        <w:jc w:val="both"/>
      </w:pPr>
      <w:r w:rsidRPr="00414643">
        <w:br w:type="page"/>
      </w:r>
    </w:p>
    <w:p w14:paraId="54DA7B08" w14:textId="77777777" w:rsidR="008D5142" w:rsidRPr="00610AA6" w:rsidRDefault="00F9151B" w:rsidP="00DD5335">
      <w:pPr>
        <w:pStyle w:val="Titre4"/>
        <w:ind w:left="567" w:hanging="425"/>
      </w:pPr>
      <w:r w:rsidRPr="00AC30F6">
        <w:lastRenderedPageBreak/>
        <w:t>Background</w:t>
      </w:r>
    </w:p>
    <w:p w14:paraId="19A5C91B" w14:textId="65497544" w:rsidR="00AA4FE3" w:rsidRPr="00DA26D5" w:rsidRDefault="00E6072C" w:rsidP="00440D23">
      <w:pPr>
        <w:pStyle w:val="Marge"/>
        <w:numPr>
          <w:ilvl w:val="0"/>
          <w:numId w:val="2"/>
        </w:numPr>
        <w:spacing w:after="120"/>
        <w:ind w:left="567" w:hanging="567"/>
        <w:rPr>
          <w:bCs/>
          <w:lang w:val="en-US"/>
        </w:rPr>
      </w:pPr>
      <w:r w:rsidRPr="00DA26D5">
        <w:rPr>
          <w:bCs/>
          <w:lang w:val="en-US"/>
        </w:rPr>
        <w:t xml:space="preserve">Non-governmental </w:t>
      </w:r>
      <w:r w:rsidR="005644C4" w:rsidRPr="00DA26D5">
        <w:rPr>
          <w:bCs/>
          <w:lang w:val="en-US"/>
        </w:rPr>
        <w:t>organizations</w:t>
      </w:r>
      <w:r w:rsidRPr="00DA26D5">
        <w:rPr>
          <w:bCs/>
          <w:lang w:val="en-US"/>
        </w:rPr>
        <w:t xml:space="preserve"> (NGOs) </w:t>
      </w:r>
      <w:r w:rsidR="002505EE" w:rsidRPr="00DA26D5">
        <w:rPr>
          <w:bCs/>
          <w:lang w:val="en-US"/>
        </w:rPr>
        <w:t>are</w:t>
      </w:r>
      <w:r w:rsidRPr="00DA26D5">
        <w:rPr>
          <w:bCs/>
          <w:lang w:val="en-US"/>
        </w:rPr>
        <w:t xml:space="preserve"> recognized as important stakeholders for the </w:t>
      </w:r>
      <w:r w:rsidR="00F42FDC" w:rsidRPr="00DA26D5">
        <w:rPr>
          <w:bCs/>
          <w:lang w:val="en-US"/>
        </w:rPr>
        <w:t>implementation of the 2003 Convention</w:t>
      </w:r>
      <w:r w:rsidR="002505EE" w:rsidRPr="00DA26D5">
        <w:rPr>
          <w:bCs/>
          <w:lang w:val="en-US"/>
        </w:rPr>
        <w:t>.</w:t>
      </w:r>
      <w:r w:rsidR="00947CB1" w:rsidRPr="00DA26D5">
        <w:rPr>
          <w:bCs/>
          <w:lang w:val="en-US"/>
        </w:rPr>
        <w:t xml:space="preserve"> </w:t>
      </w:r>
      <w:r w:rsidR="002425E6" w:rsidRPr="00DA26D5">
        <w:rPr>
          <w:bCs/>
          <w:lang w:val="en-US"/>
        </w:rPr>
        <w:t>The Convention’s A</w:t>
      </w:r>
      <w:r w:rsidR="004269B6" w:rsidRPr="00DA26D5">
        <w:rPr>
          <w:bCs/>
          <w:lang w:val="en-US"/>
        </w:rPr>
        <w:t xml:space="preserve">rticle </w:t>
      </w:r>
      <w:r w:rsidR="008919B1" w:rsidRPr="00DA26D5">
        <w:rPr>
          <w:bCs/>
          <w:lang w:val="en-US"/>
        </w:rPr>
        <w:t xml:space="preserve">9 </w:t>
      </w:r>
      <w:r w:rsidR="002425E6" w:rsidRPr="00DA26D5">
        <w:rPr>
          <w:bCs/>
          <w:lang w:val="en-US"/>
        </w:rPr>
        <w:t xml:space="preserve">stipulates </w:t>
      </w:r>
      <w:r w:rsidR="00F9151B" w:rsidRPr="00DA26D5">
        <w:rPr>
          <w:bCs/>
          <w:lang w:val="en-US"/>
        </w:rPr>
        <w:t>that the Committee</w:t>
      </w:r>
      <w:r w:rsidR="0020227B" w:rsidRPr="00DA26D5">
        <w:rPr>
          <w:bCs/>
          <w:lang w:val="en-US"/>
        </w:rPr>
        <w:t xml:space="preserve"> shall</w:t>
      </w:r>
      <w:r w:rsidR="00F9151B" w:rsidRPr="00DA26D5">
        <w:rPr>
          <w:bCs/>
          <w:lang w:val="en-US"/>
        </w:rPr>
        <w:t xml:space="preserve"> propose to the General Assembly the accreditation of </w:t>
      </w:r>
      <w:r w:rsidR="004269B6" w:rsidRPr="00DA26D5">
        <w:rPr>
          <w:bCs/>
          <w:lang w:val="en-US"/>
        </w:rPr>
        <w:t>NGOs</w:t>
      </w:r>
      <w:r w:rsidR="00F9151B" w:rsidRPr="00DA26D5">
        <w:rPr>
          <w:bCs/>
          <w:lang w:val="en-US"/>
        </w:rPr>
        <w:t xml:space="preserve"> with recognized competence in the </w:t>
      </w:r>
      <w:r w:rsidR="00F9151B" w:rsidRPr="00440D23">
        <w:rPr>
          <w:rFonts w:cs="Arial"/>
          <w:szCs w:val="22"/>
          <w:lang w:val="en-US"/>
        </w:rPr>
        <w:t>field</w:t>
      </w:r>
      <w:r w:rsidR="00F9151B" w:rsidRPr="00DA26D5">
        <w:rPr>
          <w:bCs/>
          <w:lang w:val="en-US"/>
        </w:rPr>
        <w:t xml:space="preserve"> of intangible cultural heritage to act in an advisory capacity to the Committee.</w:t>
      </w:r>
      <w:r w:rsidR="00546577" w:rsidRPr="00DA26D5">
        <w:rPr>
          <w:bCs/>
          <w:lang w:val="en-US"/>
        </w:rPr>
        <w:t xml:space="preserve"> </w:t>
      </w:r>
      <w:r w:rsidR="00A109D3" w:rsidRPr="00DA26D5">
        <w:rPr>
          <w:bCs/>
          <w:lang w:val="en-US"/>
        </w:rPr>
        <w:t>Correspondingly, p</w:t>
      </w:r>
      <w:r w:rsidR="002B616A" w:rsidRPr="00DA26D5">
        <w:rPr>
          <w:bCs/>
          <w:lang w:val="en-US"/>
        </w:rPr>
        <w:t>aragraphs 91</w:t>
      </w:r>
      <w:r w:rsidR="009D36A2" w:rsidRPr="00DA26D5">
        <w:rPr>
          <w:bCs/>
          <w:lang w:val="en-US"/>
        </w:rPr>
        <w:t>–</w:t>
      </w:r>
      <w:r w:rsidR="008F1F54" w:rsidRPr="00DA26D5">
        <w:rPr>
          <w:bCs/>
          <w:lang w:val="en-US"/>
        </w:rPr>
        <w:t>96</w:t>
      </w:r>
      <w:r w:rsidR="00122D69" w:rsidRPr="00DA26D5">
        <w:rPr>
          <w:bCs/>
          <w:lang w:val="en-US"/>
        </w:rPr>
        <w:t xml:space="preserve"> of chapter</w:t>
      </w:r>
      <w:r w:rsidR="009172AE" w:rsidRPr="00DA26D5">
        <w:rPr>
          <w:bCs/>
          <w:lang w:val="en-US"/>
        </w:rPr>
        <w:t xml:space="preserve"> </w:t>
      </w:r>
      <w:r w:rsidR="00122D69" w:rsidRPr="00DA26D5">
        <w:rPr>
          <w:bCs/>
          <w:lang w:val="en-US"/>
        </w:rPr>
        <w:t>III.2</w:t>
      </w:r>
      <w:r w:rsidR="002B616A" w:rsidRPr="00DA26D5">
        <w:rPr>
          <w:bCs/>
          <w:lang w:val="en-US"/>
        </w:rPr>
        <w:t xml:space="preserve">.2 </w:t>
      </w:r>
      <w:r w:rsidR="00122D69" w:rsidRPr="00DA26D5">
        <w:rPr>
          <w:bCs/>
          <w:lang w:val="en-US"/>
        </w:rPr>
        <w:t>of the Operational Directives</w:t>
      </w:r>
      <w:r w:rsidR="008F1F54" w:rsidRPr="00DA26D5">
        <w:rPr>
          <w:bCs/>
          <w:lang w:val="en-US"/>
        </w:rPr>
        <w:t xml:space="preserve"> </w:t>
      </w:r>
      <w:r w:rsidR="00A109D3" w:rsidRPr="00DA26D5">
        <w:rPr>
          <w:bCs/>
          <w:lang w:val="en-US"/>
        </w:rPr>
        <w:t xml:space="preserve">provide </w:t>
      </w:r>
      <w:r w:rsidR="00546577" w:rsidRPr="00DA26D5">
        <w:rPr>
          <w:bCs/>
          <w:lang w:val="en-US"/>
        </w:rPr>
        <w:t xml:space="preserve">the criteria, modalities and review of </w:t>
      </w:r>
      <w:r w:rsidR="002E14C7" w:rsidRPr="00DA26D5">
        <w:rPr>
          <w:bCs/>
          <w:lang w:val="en-US"/>
        </w:rPr>
        <w:t xml:space="preserve">the </w:t>
      </w:r>
      <w:r w:rsidR="00546577" w:rsidRPr="00DA26D5">
        <w:rPr>
          <w:bCs/>
          <w:lang w:val="en-US"/>
        </w:rPr>
        <w:t xml:space="preserve">accreditation </w:t>
      </w:r>
      <w:r w:rsidR="002E14C7" w:rsidRPr="00DA26D5">
        <w:rPr>
          <w:bCs/>
          <w:lang w:val="en-US"/>
        </w:rPr>
        <w:t xml:space="preserve">process </w:t>
      </w:r>
      <w:r w:rsidR="00546577" w:rsidRPr="00DA26D5">
        <w:rPr>
          <w:bCs/>
          <w:lang w:val="en-US"/>
        </w:rPr>
        <w:t>of NGOs, as well as the scope of the advisory functions they may be invited to provide</w:t>
      </w:r>
      <w:r w:rsidR="0020111B" w:rsidRPr="00DA26D5">
        <w:rPr>
          <w:bCs/>
          <w:lang w:val="en-US"/>
        </w:rPr>
        <w:t xml:space="preserve"> to the Committee</w:t>
      </w:r>
      <w:r w:rsidR="00642A95" w:rsidRPr="00DA26D5">
        <w:rPr>
          <w:bCs/>
          <w:lang w:val="en-US"/>
        </w:rPr>
        <w:t xml:space="preserve">. </w:t>
      </w:r>
      <w:r w:rsidR="000407E3" w:rsidRPr="00DA26D5">
        <w:rPr>
          <w:bCs/>
          <w:lang w:val="en-US"/>
        </w:rPr>
        <w:t xml:space="preserve">These </w:t>
      </w:r>
      <w:r w:rsidR="00642A95" w:rsidRPr="00DA26D5">
        <w:rPr>
          <w:bCs/>
          <w:lang w:val="en-US"/>
        </w:rPr>
        <w:t xml:space="preserve">are </w:t>
      </w:r>
      <w:r w:rsidR="00010F24" w:rsidRPr="00DA26D5">
        <w:rPr>
          <w:bCs/>
          <w:lang w:val="en-US"/>
        </w:rPr>
        <w:t xml:space="preserve">defined, </w:t>
      </w:r>
      <w:r w:rsidR="00546577" w:rsidRPr="00DA26D5">
        <w:rPr>
          <w:bCs/>
          <w:i/>
          <w:lang w:val="en-US"/>
        </w:rPr>
        <w:t>inter alia</w:t>
      </w:r>
      <w:r w:rsidR="00F33065" w:rsidRPr="00DA26D5">
        <w:rPr>
          <w:bCs/>
          <w:lang w:val="en-US"/>
        </w:rPr>
        <w:t xml:space="preserve">, </w:t>
      </w:r>
      <w:r w:rsidR="00010F24" w:rsidRPr="00DA26D5">
        <w:rPr>
          <w:bCs/>
          <w:lang w:val="en-US"/>
        </w:rPr>
        <w:t>as the evaluation functions for nominations, proposals and requests.</w:t>
      </w:r>
    </w:p>
    <w:p w14:paraId="4D74C4C2" w14:textId="344220E2" w:rsidR="00743D8C" w:rsidRPr="0033326E" w:rsidRDefault="004B4AC7" w:rsidP="00DD5335">
      <w:pPr>
        <w:pStyle w:val="COMPara"/>
        <w:numPr>
          <w:ilvl w:val="0"/>
          <w:numId w:val="2"/>
        </w:numPr>
        <w:ind w:left="567" w:hanging="567"/>
        <w:jc w:val="both"/>
      </w:pPr>
      <w:r w:rsidRPr="002923E7">
        <w:rPr>
          <w:bCs/>
        </w:rPr>
        <w:t>T</w:t>
      </w:r>
      <w:r w:rsidR="002E14C7" w:rsidRPr="002923E7">
        <w:rPr>
          <w:bCs/>
        </w:rPr>
        <w:t>he</w:t>
      </w:r>
      <w:r w:rsidR="002E14C7">
        <w:t xml:space="preserve"> Committee </w:t>
      </w:r>
      <w:r w:rsidR="0060727F">
        <w:t>launched</w:t>
      </w:r>
      <w:r w:rsidR="002740E9">
        <w:t xml:space="preserve"> </w:t>
      </w:r>
      <w:r w:rsidR="002E14C7">
        <w:t>a</w:t>
      </w:r>
      <w:r w:rsidR="002E14C7" w:rsidRPr="00743D8C">
        <w:rPr>
          <w:bCs/>
        </w:rPr>
        <w:t xml:space="preserve"> reflection process </w:t>
      </w:r>
      <w:r w:rsidR="00432813" w:rsidRPr="00546577">
        <w:t>at its twelfth session in 2017</w:t>
      </w:r>
      <w:r w:rsidR="00432813">
        <w:t xml:space="preserve"> </w:t>
      </w:r>
      <w:r w:rsidR="002E14C7" w:rsidRPr="00743D8C">
        <w:rPr>
          <w:bCs/>
        </w:rPr>
        <w:t>on the advisory role of accredited NGOs</w:t>
      </w:r>
      <w:r w:rsidR="00743D8C" w:rsidRPr="00743D8C">
        <w:rPr>
          <w:bCs/>
        </w:rPr>
        <w:t xml:space="preserve"> </w:t>
      </w:r>
      <w:r w:rsidR="00743D8C">
        <w:t>(</w:t>
      </w:r>
      <w:hyperlink r:id="rId11" w:history="1">
        <w:r w:rsidR="00743D8C" w:rsidRPr="00E539DD">
          <w:rPr>
            <w:rStyle w:val="Lienhypertexte"/>
          </w:rPr>
          <w:t>Decision 12.COM</w:t>
        </w:r>
        <w:r w:rsidR="00743D8C">
          <w:rPr>
            <w:rStyle w:val="Lienhypertexte"/>
          </w:rPr>
          <w:t> </w:t>
        </w:r>
        <w:r w:rsidR="00743D8C" w:rsidRPr="00E539DD">
          <w:rPr>
            <w:rStyle w:val="Lienhypertexte"/>
          </w:rPr>
          <w:t>13</w:t>
        </w:r>
      </w:hyperlink>
      <w:r w:rsidR="00743D8C">
        <w:t xml:space="preserve"> and </w:t>
      </w:r>
      <w:hyperlink r:id="rId12" w:history="1">
        <w:r w:rsidR="00743D8C" w:rsidRPr="00743D8C">
          <w:rPr>
            <w:rStyle w:val="Lienhypertexte"/>
            <w:lang w:val="en-US"/>
          </w:rPr>
          <w:t>Decision 12.COM 17</w:t>
        </w:r>
      </w:hyperlink>
      <w:r w:rsidR="00743D8C" w:rsidRPr="00743D8C">
        <w:rPr>
          <w:lang w:val="en-US"/>
        </w:rPr>
        <w:t>)</w:t>
      </w:r>
      <w:r w:rsidR="002E14C7" w:rsidRPr="00743D8C">
        <w:rPr>
          <w:bCs/>
        </w:rPr>
        <w:t xml:space="preserve">. </w:t>
      </w:r>
      <w:r w:rsidR="00B16BF6">
        <w:t>The initiation of the reflection originated</w:t>
      </w:r>
      <w:r w:rsidR="0060727F">
        <w:t xml:space="preserve"> </w:t>
      </w:r>
      <w:r w:rsidR="00B16BF6">
        <w:t xml:space="preserve">mainly </w:t>
      </w:r>
      <w:r w:rsidR="00AA4FE3" w:rsidRPr="008F2B6E">
        <w:t xml:space="preserve">from the </w:t>
      </w:r>
      <w:r w:rsidR="000139DF">
        <w:t>recognition</w:t>
      </w:r>
      <w:r w:rsidR="000139DF" w:rsidRPr="008F2B6E">
        <w:t xml:space="preserve"> </w:t>
      </w:r>
      <w:r w:rsidR="00AA4FE3" w:rsidRPr="008F2B6E">
        <w:t>that</w:t>
      </w:r>
      <w:r w:rsidR="00B16BF6">
        <w:t xml:space="preserve">, </w:t>
      </w:r>
      <w:r w:rsidR="00AA4FE3" w:rsidRPr="008F2B6E">
        <w:t xml:space="preserve">at any one time, only 6 out of </w:t>
      </w:r>
      <w:r w:rsidR="00AA4FE3">
        <w:t xml:space="preserve">the </w:t>
      </w:r>
      <w:r w:rsidR="002115E7">
        <w:t>164</w:t>
      </w:r>
      <w:r w:rsidR="002115E7" w:rsidRPr="008F2B6E">
        <w:t xml:space="preserve"> </w:t>
      </w:r>
      <w:r w:rsidR="00432813">
        <w:t xml:space="preserve">then </w:t>
      </w:r>
      <w:r w:rsidR="00AA4FE3" w:rsidRPr="008F2B6E">
        <w:t xml:space="preserve">accredited NGOs are members of the Evaluation Body and are therefore in a position to fulfil the advisory functions assigned </w:t>
      </w:r>
      <w:r w:rsidR="00432813" w:rsidRPr="008F2B6E">
        <w:t>in the Operational Directives</w:t>
      </w:r>
      <w:r w:rsidR="00432813">
        <w:t xml:space="preserve"> t</w:t>
      </w:r>
      <w:r w:rsidR="00AA4FE3" w:rsidRPr="008F2B6E">
        <w:t>o accredited NGOs</w:t>
      </w:r>
      <w:r w:rsidR="00432813">
        <w:t>.</w:t>
      </w:r>
      <w:r w:rsidR="00AA4FE3" w:rsidRPr="008F2B6E">
        <w:t xml:space="preserve"> </w:t>
      </w:r>
      <w:r w:rsidR="00AE1D58" w:rsidRPr="00743D8C">
        <w:rPr>
          <w:bCs/>
        </w:rPr>
        <w:t>The Committee</w:t>
      </w:r>
      <w:r w:rsidR="00AE1D58" w:rsidRPr="008F2B6E">
        <w:t xml:space="preserve"> invited the Secretariat and </w:t>
      </w:r>
      <w:r w:rsidR="00AE1D58">
        <w:t>an</w:t>
      </w:r>
      <w:r w:rsidR="00AE1D58" w:rsidRPr="008F2B6E">
        <w:t xml:space="preserve"> informal ad hoc </w:t>
      </w:r>
      <w:r w:rsidR="001C3FDF" w:rsidRPr="002A1246">
        <w:t xml:space="preserve">open-ended </w:t>
      </w:r>
      <w:r w:rsidR="00AE1D58" w:rsidRPr="008F2B6E">
        <w:t>working group ‘to reflect, in consultation with accredited NGOs, on the possible ways in which the participation of NGOs under the 2003 Convention could be further enhanced and how this would be reflected in the accreditation and renewal mechanisms of NGOs</w:t>
      </w:r>
      <w:r w:rsidR="002A321F">
        <w:t>’</w:t>
      </w:r>
      <w:r w:rsidR="00AE1D58" w:rsidRPr="00743D8C">
        <w:rPr>
          <w:lang w:val="en-US"/>
        </w:rPr>
        <w:t>.</w:t>
      </w:r>
      <w:r w:rsidR="00856BF6" w:rsidRPr="00743D8C">
        <w:rPr>
          <w:lang w:val="en-US"/>
        </w:rPr>
        <w:t xml:space="preserve"> </w:t>
      </w:r>
      <w:r w:rsidR="00743D8C" w:rsidRPr="0033326E">
        <w:rPr>
          <w:bCs/>
        </w:rPr>
        <w:t>The present document reports the outcomes of such reflection</w:t>
      </w:r>
      <w:r w:rsidR="002505EE" w:rsidRPr="0033326E">
        <w:rPr>
          <w:bCs/>
        </w:rPr>
        <w:t xml:space="preserve">, </w:t>
      </w:r>
      <w:r w:rsidR="00743D8C" w:rsidRPr="0033326E">
        <w:rPr>
          <w:bCs/>
        </w:rPr>
        <w:t>as requested by the General Assembly at its seventh session in 2018 (</w:t>
      </w:r>
      <w:hyperlink r:id="rId13" w:history="1">
        <w:r w:rsidR="00743D8C" w:rsidRPr="0033326E">
          <w:rPr>
            <w:rStyle w:val="Lienhypertexte"/>
            <w:lang w:val="en-US"/>
          </w:rPr>
          <w:t>Resolution 7.GA 11</w:t>
        </w:r>
      </w:hyperlink>
      <w:r w:rsidR="00743D8C" w:rsidRPr="0033326E">
        <w:rPr>
          <w:bCs/>
        </w:rPr>
        <w:t>) and the Committee at its fourteenth session in 2019</w:t>
      </w:r>
      <w:r w:rsidR="0010089F">
        <w:rPr>
          <w:bCs/>
        </w:rPr>
        <w:t xml:space="preserve"> </w:t>
      </w:r>
      <w:r w:rsidR="00115D83" w:rsidRPr="0033326E">
        <w:rPr>
          <w:bCs/>
        </w:rPr>
        <w:t>(</w:t>
      </w:r>
      <w:hyperlink r:id="rId14" w:history="1">
        <w:r w:rsidR="00115D83" w:rsidRPr="0033326E">
          <w:rPr>
            <w:rStyle w:val="Lienhypertexte"/>
            <w:lang w:val="en-US"/>
          </w:rPr>
          <w:t>Decision</w:t>
        </w:r>
        <w:r w:rsidR="0010089F">
          <w:rPr>
            <w:rStyle w:val="Lienhypertexte"/>
            <w:lang w:val="en-US"/>
          </w:rPr>
          <w:t> </w:t>
        </w:r>
        <w:r w:rsidR="00115D83" w:rsidRPr="0033326E">
          <w:rPr>
            <w:rStyle w:val="Lienhypertexte"/>
            <w:lang w:val="en-US"/>
          </w:rPr>
          <w:t>14.COM 15</w:t>
        </w:r>
      </w:hyperlink>
      <w:r w:rsidR="00115D83" w:rsidRPr="0033326E">
        <w:rPr>
          <w:bCs/>
        </w:rPr>
        <w:t>)</w:t>
      </w:r>
      <w:r w:rsidR="00743D8C" w:rsidRPr="0033326E">
        <w:rPr>
          <w:bCs/>
        </w:rPr>
        <w:t>.</w:t>
      </w:r>
    </w:p>
    <w:p w14:paraId="6668C4C8" w14:textId="1845EBD3" w:rsidR="00AE1D58" w:rsidRPr="008F2B6E" w:rsidRDefault="00AE1D58" w:rsidP="00DD5335">
      <w:pPr>
        <w:pStyle w:val="COMPara"/>
        <w:numPr>
          <w:ilvl w:val="0"/>
          <w:numId w:val="2"/>
        </w:numPr>
        <w:ind w:left="567" w:hanging="567"/>
        <w:jc w:val="both"/>
      </w:pPr>
      <w:r w:rsidRPr="002923E7">
        <w:rPr>
          <w:bCs/>
        </w:rPr>
        <w:t>This</w:t>
      </w:r>
      <w:r>
        <w:t xml:space="preserve"> reflection process aimed at</w:t>
      </w:r>
      <w:r w:rsidRPr="008F2B6E">
        <w:t xml:space="preserve"> gather</w:t>
      </w:r>
      <w:r>
        <w:t>ing</w:t>
      </w:r>
      <w:r w:rsidRPr="008F2B6E">
        <w:t xml:space="preserve"> ideas on:</w:t>
      </w:r>
    </w:p>
    <w:p w14:paraId="08DD812C" w14:textId="5C5C2237" w:rsidR="002E14C7" w:rsidRPr="008F2B6E" w:rsidRDefault="002E14C7" w:rsidP="00935106">
      <w:pPr>
        <w:pStyle w:val="GAPara"/>
        <w:numPr>
          <w:ilvl w:val="0"/>
          <w:numId w:val="5"/>
        </w:numPr>
        <w:jc w:val="both"/>
      </w:pPr>
      <w:r w:rsidRPr="008F2B6E">
        <w:t>potential advisory functions – defined as ‘</w:t>
      </w:r>
      <w:r w:rsidRPr="00A67390">
        <w:rPr>
          <w:i/>
          <w:iCs/>
        </w:rPr>
        <w:t>inter alia</w:t>
      </w:r>
      <w:r w:rsidRPr="008F2B6E">
        <w:t>’ advisory functions in paragraph 96 of the Operational Directives – that accredited NGOs could fulfil for the governing bodies of the Convention;</w:t>
      </w:r>
    </w:p>
    <w:p w14:paraId="34B135F3" w14:textId="3F1DB4CC" w:rsidR="002E14C7" w:rsidRPr="008F2B6E" w:rsidRDefault="002E14C7" w:rsidP="00935106">
      <w:pPr>
        <w:pStyle w:val="GAPara"/>
        <w:numPr>
          <w:ilvl w:val="0"/>
          <w:numId w:val="5"/>
        </w:numPr>
        <w:jc w:val="both"/>
      </w:pPr>
      <w:r w:rsidRPr="008F2B6E">
        <w:t>potential functions that accredited NGOs could fulfil in the implementation of the Convention;</w:t>
      </w:r>
    </w:p>
    <w:p w14:paraId="0D6F7144" w14:textId="77777777" w:rsidR="002E14C7" w:rsidRPr="008F2B6E" w:rsidRDefault="002E14C7" w:rsidP="00935106">
      <w:pPr>
        <w:pStyle w:val="GAPara"/>
        <w:numPr>
          <w:ilvl w:val="0"/>
          <w:numId w:val="5"/>
        </w:numPr>
        <w:jc w:val="both"/>
      </w:pPr>
      <w:r w:rsidRPr="008F2B6E">
        <w:t>the evolution of the accreditation system of NGOs; and</w:t>
      </w:r>
    </w:p>
    <w:p w14:paraId="0758E3D8" w14:textId="77777777" w:rsidR="00F9151B" w:rsidRDefault="002E14C7" w:rsidP="00935106">
      <w:pPr>
        <w:pStyle w:val="GAPara"/>
        <w:numPr>
          <w:ilvl w:val="0"/>
          <w:numId w:val="5"/>
        </w:numPr>
      </w:pPr>
      <w:r w:rsidRPr="008F2B6E">
        <w:t>the role of the ICH NGO Forum.</w:t>
      </w:r>
    </w:p>
    <w:p w14:paraId="7E1125D0" w14:textId="13DE8C4E" w:rsidR="002163AB" w:rsidRDefault="00011C3D" w:rsidP="00DD5335">
      <w:pPr>
        <w:pStyle w:val="COMPara"/>
        <w:numPr>
          <w:ilvl w:val="0"/>
          <w:numId w:val="2"/>
        </w:numPr>
        <w:ind w:left="567" w:hanging="567"/>
        <w:jc w:val="both"/>
      </w:pPr>
      <w:r w:rsidRPr="00E539DD">
        <w:rPr>
          <w:bCs/>
        </w:rPr>
        <w:t xml:space="preserve">As a first step of the reflection, </w:t>
      </w:r>
      <w:r w:rsidRPr="00B16BF6">
        <w:rPr>
          <w:bCs/>
        </w:rPr>
        <w:t>the</w:t>
      </w:r>
      <w:r w:rsidR="0030587F" w:rsidRPr="00B16BF6">
        <w:rPr>
          <w:bCs/>
        </w:rPr>
        <w:t xml:space="preserve"> Secretariat organised</w:t>
      </w:r>
      <w:r w:rsidR="0030587F" w:rsidRPr="00B16BF6" w:rsidDel="0030587F">
        <w:rPr>
          <w:bCs/>
        </w:rPr>
        <w:t xml:space="preserve"> </w:t>
      </w:r>
      <w:r w:rsidR="00EF07AB" w:rsidRPr="00B16BF6">
        <w:rPr>
          <w:bCs/>
        </w:rPr>
        <w:t xml:space="preserve">an electronic consultation </w:t>
      </w:r>
      <w:r w:rsidR="005F3CD3" w:rsidRPr="00B16BF6">
        <w:rPr>
          <w:bCs/>
        </w:rPr>
        <w:t xml:space="preserve">from September to October 2018 </w:t>
      </w:r>
      <w:r w:rsidR="00EF07AB" w:rsidRPr="00B16BF6">
        <w:rPr>
          <w:bCs/>
        </w:rPr>
        <w:t>on the definition of the</w:t>
      </w:r>
      <w:r w:rsidR="00EF07AB" w:rsidRPr="008F2B6E">
        <w:t xml:space="preserve"> advisory functions to be performed by accredited NGOs</w:t>
      </w:r>
      <w:r w:rsidR="00EF07AB">
        <w:t xml:space="preserve"> </w:t>
      </w:r>
      <w:r w:rsidR="00EF07AB" w:rsidRPr="008F2B6E">
        <w:t xml:space="preserve">and </w:t>
      </w:r>
      <w:r w:rsidR="00EF07AB">
        <w:t xml:space="preserve">on the </w:t>
      </w:r>
      <w:r w:rsidR="00EF07AB" w:rsidRPr="008F2B6E">
        <w:t>possible ways forward for the accreditation system</w:t>
      </w:r>
      <w:r w:rsidR="005F3CD3">
        <w:t xml:space="preserve">. </w:t>
      </w:r>
      <w:r w:rsidR="00EF07AB" w:rsidRPr="00581684">
        <w:rPr>
          <w:bCs/>
        </w:rPr>
        <w:t xml:space="preserve">In total, </w:t>
      </w:r>
      <w:r w:rsidR="00A269F4" w:rsidRPr="00581684">
        <w:rPr>
          <w:bCs/>
        </w:rPr>
        <w:t>38</w:t>
      </w:r>
      <w:r w:rsidR="00EF07AB" w:rsidRPr="00E539DD">
        <w:rPr>
          <w:bCs/>
        </w:rPr>
        <w:t xml:space="preserve"> States Parties and </w:t>
      </w:r>
      <w:r w:rsidR="00A269F4" w:rsidRPr="00B16BF6">
        <w:rPr>
          <w:bCs/>
        </w:rPr>
        <w:t>68</w:t>
      </w:r>
      <w:r w:rsidR="00EF07AB" w:rsidRPr="00B16BF6">
        <w:rPr>
          <w:bCs/>
        </w:rPr>
        <w:t> accredited NGOs took part in this consultation, the preliminary results of which were presented to the thirteenth session of the Committee in 2018 (</w:t>
      </w:r>
      <w:hyperlink r:id="rId15" w:history="1">
        <w:r w:rsidR="00EF07AB" w:rsidRPr="00581684">
          <w:rPr>
            <w:rStyle w:val="Lienhypertexte"/>
            <w:bCs/>
          </w:rPr>
          <w:t>document ITH/18/13.COM/13</w:t>
        </w:r>
      </w:hyperlink>
      <w:r w:rsidR="00EF07AB" w:rsidRPr="00581684">
        <w:rPr>
          <w:bCs/>
        </w:rPr>
        <w:t>). While</w:t>
      </w:r>
      <w:r w:rsidR="00EF07AB" w:rsidRPr="008F2B6E">
        <w:t xml:space="preserve"> </w:t>
      </w:r>
      <w:r w:rsidR="00EF07AB">
        <w:t>taking</w:t>
      </w:r>
      <w:r w:rsidR="00EF07AB" w:rsidRPr="008F2B6E">
        <w:t xml:space="preserve"> note of the </w:t>
      </w:r>
      <w:r w:rsidR="00EF07AB">
        <w:t xml:space="preserve">consultation process, the Committee </w:t>
      </w:r>
      <w:r w:rsidR="00EF07AB" w:rsidRPr="008F2B6E">
        <w:t>requested that the Secretariat continue the reflection and present the results and proposals for the revision of the accreditation system at its fourteenth session (</w:t>
      </w:r>
      <w:hyperlink r:id="rId16" w:history="1">
        <w:r w:rsidR="00EF07AB" w:rsidRPr="008F2B6E">
          <w:rPr>
            <w:rStyle w:val="Lienhypertexte"/>
          </w:rPr>
          <w:t>Decision</w:t>
        </w:r>
        <w:r w:rsidR="00010F24">
          <w:rPr>
            <w:rStyle w:val="Lienhypertexte"/>
          </w:rPr>
          <w:t> </w:t>
        </w:r>
        <w:r w:rsidR="00EF07AB" w:rsidRPr="008F2B6E">
          <w:rPr>
            <w:rStyle w:val="Lienhypertexte"/>
          </w:rPr>
          <w:t>13.COM 13</w:t>
        </w:r>
      </w:hyperlink>
      <w:r w:rsidR="00EF07AB" w:rsidRPr="008F2B6E">
        <w:t>).</w:t>
      </w:r>
      <w:r w:rsidR="00B16BF6" w:rsidRPr="00581684" w:rsidDel="00B16BF6">
        <w:rPr>
          <w:bCs/>
        </w:rPr>
        <w:t xml:space="preserve"> </w:t>
      </w:r>
      <w:r w:rsidR="00B16BF6">
        <w:t>T</w:t>
      </w:r>
      <w:r w:rsidR="00856BF6">
        <w:t>he electronic consultation</w:t>
      </w:r>
      <w:r w:rsidR="00B16BF6">
        <w:t xml:space="preserve"> was followed by</w:t>
      </w:r>
      <w:r w:rsidR="00EF07AB" w:rsidRPr="008F2B6E">
        <w:t xml:space="preserve"> a </w:t>
      </w:r>
      <w:r w:rsidR="00856BF6">
        <w:t xml:space="preserve">physical </w:t>
      </w:r>
      <w:r w:rsidR="00EF07AB" w:rsidRPr="008F2B6E">
        <w:t xml:space="preserve">consultation meeting </w:t>
      </w:r>
      <w:r w:rsidR="00EF07AB">
        <w:t>organised on</w:t>
      </w:r>
      <w:r w:rsidR="00EF07AB" w:rsidRPr="008F2B6E">
        <w:t xml:space="preserve"> 18 Apr</w:t>
      </w:r>
      <w:r w:rsidR="00746FCE">
        <w:t>il 2019 at UNESCO Headquarters</w:t>
      </w:r>
      <w:r w:rsidR="00EF07AB" w:rsidRPr="008F2B6E">
        <w:t xml:space="preserve">. The </w:t>
      </w:r>
      <w:hyperlink r:id="rId17" w:history="1">
        <w:r w:rsidR="00EF07AB" w:rsidRPr="008F2B6E">
          <w:rPr>
            <w:rStyle w:val="Lienhypertexte"/>
          </w:rPr>
          <w:t>report of the consultation meeting</w:t>
        </w:r>
      </w:hyperlink>
      <w:r w:rsidR="00EF07AB" w:rsidRPr="008F2B6E">
        <w:t xml:space="preserve"> was reviewed by the Steering Committee of the ICH NGO Forum, before being shared with States Parties and accredited NGOs in August 2019.</w:t>
      </w:r>
      <w:r w:rsidR="00200732">
        <w:t xml:space="preserve"> The results of the reflection were presented to the fourteenth session of the Committee in</w:t>
      </w:r>
      <w:r w:rsidR="00F632D9">
        <w:t xml:space="preserve"> </w:t>
      </w:r>
      <w:r w:rsidR="00200732">
        <w:t>Decembe</w:t>
      </w:r>
      <w:r w:rsidR="00DA26D5">
        <w:t>r 2019 (see section II below).</w:t>
      </w:r>
    </w:p>
    <w:p w14:paraId="5B73C402" w14:textId="7A6971F1" w:rsidR="002163AB" w:rsidRPr="00A453EB" w:rsidRDefault="002163AB" w:rsidP="00DD5335">
      <w:pPr>
        <w:pStyle w:val="COMPara"/>
        <w:numPr>
          <w:ilvl w:val="0"/>
          <w:numId w:val="2"/>
        </w:numPr>
        <w:ind w:left="567" w:hanging="567"/>
        <w:jc w:val="both"/>
      </w:pPr>
      <w:r>
        <w:t>O</w:t>
      </w:r>
      <w:r w:rsidRPr="008F2B6E">
        <w:t xml:space="preserve">verall, </w:t>
      </w:r>
      <w:r>
        <w:t>76</w:t>
      </w:r>
      <w:r w:rsidRPr="008F2B6E">
        <w:t xml:space="preserve"> </w:t>
      </w:r>
      <w:r w:rsidRPr="00F307C4">
        <w:rPr>
          <w:bCs/>
        </w:rPr>
        <w:t>States</w:t>
      </w:r>
      <w:r w:rsidRPr="008F2B6E">
        <w:t xml:space="preserve"> and </w:t>
      </w:r>
      <w:r>
        <w:t>99</w:t>
      </w:r>
      <w:r w:rsidRPr="008F2B6E">
        <w:t xml:space="preserve"> accredited NGOs took part in at least one stage of the reflection process</w:t>
      </w:r>
      <w:r>
        <w:t xml:space="preserve"> organised by the Secretariat</w:t>
      </w:r>
      <w:r w:rsidRPr="008F2B6E">
        <w:t xml:space="preserve">. While not all accredited NGOs and States Parties contributed to the </w:t>
      </w:r>
      <w:r w:rsidRPr="00F307C4">
        <w:t xml:space="preserve">electronic </w:t>
      </w:r>
      <w:r w:rsidRPr="00176F5F">
        <w:t>c</w:t>
      </w:r>
      <w:r w:rsidRPr="008F2B6E">
        <w:t>onsultation, it was possible to gather a representative sample of opinions (56 per cent of accredited NGOs and 43 per cent of States Parties)</w:t>
      </w:r>
      <w:r>
        <w:t>. In parallel and as part of its mandate, t</w:t>
      </w:r>
      <w:r w:rsidRPr="002A1246">
        <w:t>he informal ad hoc open-ended working group</w:t>
      </w:r>
      <w:r w:rsidRPr="002A1246" w:rsidDel="004F0E72">
        <w:t xml:space="preserve"> </w:t>
      </w:r>
      <w:r>
        <w:t>(established by the eleventh session of the Committee in 2016 and extended in 2017</w:t>
      </w:r>
      <w:r w:rsidR="00BB5354">
        <w:t xml:space="preserve"> by </w:t>
      </w:r>
      <w:hyperlink r:id="rId18" w:history="1">
        <w:r w:rsidR="00BB5354" w:rsidRPr="00E539DD">
          <w:rPr>
            <w:rStyle w:val="Lienhypertexte"/>
          </w:rPr>
          <w:t>Decision 12.COM</w:t>
        </w:r>
        <w:r w:rsidR="00BB5354">
          <w:rPr>
            <w:rStyle w:val="Lienhypertexte"/>
          </w:rPr>
          <w:t> </w:t>
        </w:r>
        <w:r w:rsidR="00BB5354" w:rsidRPr="00E539DD">
          <w:rPr>
            <w:rStyle w:val="Lienhypertexte"/>
          </w:rPr>
          <w:t>13</w:t>
        </w:r>
      </w:hyperlink>
      <w:r>
        <w:t xml:space="preserve"> and 2018</w:t>
      </w:r>
      <w:r w:rsidR="00BB5354">
        <w:t xml:space="preserve"> by </w:t>
      </w:r>
      <w:hyperlink r:id="rId19" w:history="1">
        <w:r w:rsidR="00BB5354" w:rsidRPr="00BB5354">
          <w:rPr>
            <w:rStyle w:val="Lienhypertexte"/>
          </w:rPr>
          <w:t>Decision 13.COM 16</w:t>
        </w:r>
      </w:hyperlink>
      <w:r>
        <w:t xml:space="preserve">) </w:t>
      </w:r>
      <w:r w:rsidR="008D4015">
        <w:t xml:space="preserve">undertook discussions </w:t>
      </w:r>
      <w:r w:rsidR="002C02AB">
        <w:t>which led to</w:t>
      </w:r>
      <w:r>
        <w:t xml:space="preserve"> a set of recommendations with regards to the participation of NGOs </w:t>
      </w:r>
      <w:r w:rsidR="002C02AB">
        <w:t xml:space="preserve">that are in line with the main outcomes outlined below </w:t>
      </w:r>
      <w:r>
        <w:t>(</w:t>
      </w:r>
      <w:hyperlink r:id="rId20" w:history="1">
        <w:r w:rsidR="00641057" w:rsidRPr="00BB5354">
          <w:rPr>
            <w:rStyle w:val="Lienhypertexte"/>
          </w:rPr>
          <w:t>Decision 14.COM 16</w:t>
        </w:r>
      </w:hyperlink>
      <w:r w:rsidR="00641057">
        <w:t xml:space="preserve"> and </w:t>
      </w:r>
      <w:hyperlink r:id="rId21" w:history="1">
        <w:r w:rsidRPr="002A1246">
          <w:rPr>
            <w:rStyle w:val="Lienhypertexte"/>
          </w:rPr>
          <w:t>document LHE/19/14.COM/16</w:t>
        </w:r>
      </w:hyperlink>
      <w:r w:rsidRPr="00C770D0">
        <w:rPr>
          <w:rStyle w:val="Lienhypertexte"/>
          <w:color w:val="auto"/>
        </w:rPr>
        <w:t>)</w:t>
      </w:r>
      <w:r>
        <w:t>.</w:t>
      </w:r>
    </w:p>
    <w:p w14:paraId="1224C3DE" w14:textId="38E2E529" w:rsidR="00B16BF6" w:rsidRDefault="00320D43" w:rsidP="00DD5335">
      <w:pPr>
        <w:pStyle w:val="Titre4"/>
        <w:spacing w:before="240"/>
        <w:ind w:left="567" w:hanging="425"/>
      </w:pPr>
      <w:r>
        <w:lastRenderedPageBreak/>
        <w:t>Main outcomes of the reflection</w:t>
      </w:r>
    </w:p>
    <w:p w14:paraId="3C0D1F4A" w14:textId="4F1A6A44" w:rsidR="00775E5C" w:rsidRDefault="00A80BDC" w:rsidP="00DD5335">
      <w:pPr>
        <w:pStyle w:val="COMPara"/>
        <w:numPr>
          <w:ilvl w:val="0"/>
          <w:numId w:val="2"/>
        </w:numPr>
        <w:ind w:left="567" w:hanging="567"/>
        <w:jc w:val="both"/>
        <w:rPr>
          <w:bCs/>
        </w:rPr>
      </w:pPr>
      <w:r w:rsidRPr="00581684">
        <w:rPr>
          <w:bCs/>
        </w:rPr>
        <w:t xml:space="preserve">While </w:t>
      </w:r>
      <w:r w:rsidR="00947507">
        <w:rPr>
          <w:bCs/>
        </w:rPr>
        <w:t>a</w:t>
      </w:r>
      <w:r w:rsidR="00947507" w:rsidRPr="00E539DD">
        <w:rPr>
          <w:bCs/>
        </w:rPr>
        <w:t xml:space="preserve"> </w:t>
      </w:r>
      <w:r w:rsidR="00AF31C1" w:rsidRPr="002923E7">
        <w:t>detailed</w:t>
      </w:r>
      <w:r w:rsidR="00AF31C1" w:rsidRPr="00E539DD">
        <w:rPr>
          <w:bCs/>
        </w:rPr>
        <w:t xml:space="preserve"> analysis </w:t>
      </w:r>
      <w:r w:rsidR="00AF31C1" w:rsidRPr="0033326E">
        <w:rPr>
          <w:bCs/>
        </w:rPr>
        <w:t xml:space="preserve">on the outcomes of </w:t>
      </w:r>
      <w:r w:rsidR="00AF31C1" w:rsidRPr="008E69CA">
        <w:rPr>
          <w:bCs/>
        </w:rPr>
        <w:t>the reflection</w:t>
      </w:r>
      <w:r w:rsidR="00AF31C1" w:rsidRPr="00947507">
        <w:rPr>
          <w:bCs/>
        </w:rPr>
        <w:t xml:space="preserve"> was presented to the fourteenth session</w:t>
      </w:r>
      <w:r w:rsidR="00AF31C1" w:rsidRPr="007F52FC">
        <w:rPr>
          <w:bCs/>
        </w:rPr>
        <w:t xml:space="preserve"> of the Committee</w:t>
      </w:r>
      <w:r w:rsidR="000A3DCF" w:rsidRPr="007F52FC">
        <w:rPr>
          <w:bCs/>
        </w:rPr>
        <w:t xml:space="preserve"> </w:t>
      </w:r>
      <w:r w:rsidR="00AF31C1" w:rsidRPr="007F52FC">
        <w:rPr>
          <w:bCs/>
        </w:rPr>
        <w:t>(</w:t>
      </w:r>
      <w:hyperlink r:id="rId22" w:history="1">
        <w:r w:rsidR="00AF31C1" w:rsidRPr="00581684">
          <w:rPr>
            <w:rStyle w:val="Lienhypertexte"/>
            <w:bCs/>
          </w:rPr>
          <w:t>document</w:t>
        </w:r>
        <w:r w:rsidR="00AF31C1" w:rsidRPr="00E539DD">
          <w:rPr>
            <w:rStyle w:val="Lienhypertexte"/>
            <w:bCs/>
          </w:rPr>
          <w:t> LHE/19/14.COM</w:t>
        </w:r>
        <w:r w:rsidR="00893961">
          <w:rPr>
            <w:rStyle w:val="Lienhypertexte"/>
            <w:bCs/>
          </w:rPr>
          <w:t> </w:t>
        </w:r>
        <w:r w:rsidR="00AF31C1" w:rsidRPr="00E539DD">
          <w:rPr>
            <w:rStyle w:val="Lienhypertexte"/>
            <w:bCs/>
          </w:rPr>
          <w:t>15</w:t>
        </w:r>
      </w:hyperlink>
      <w:r w:rsidR="00AF31C1" w:rsidRPr="00581684">
        <w:rPr>
          <w:bCs/>
        </w:rPr>
        <w:t>)</w:t>
      </w:r>
      <w:r w:rsidRPr="00581684">
        <w:rPr>
          <w:bCs/>
        </w:rPr>
        <w:t>,</w:t>
      </w:r>
      <w:r w:rsidR="00947507">
        <w:rPr>
          <w:bCs/>
        </w:rPr>
        <w:t xml:space="preserve"> the</w:t>
      </w:r>
      <w:r w:rsidR="00162B1C">
        <w:rPr>
          <w:bCs/>
        </w:rPr>
        <w:t xml:space="preserve"> main </w:t>
      </w:r>
      <w:r w:rsidR="005D4FBE">
        <w:rPr>
          <w:bCs/>
        </w:rPr>
        <w:t xml:space="preserve">outcomes </w:t>
      </w:r>
      <w:r w:rsidR="00775E5C">
        <w:rPr>
          <w:bCs/>
        </w:rPr>
        <w:t>c</w:t>
      </w:r>
      <w:r w:rsidR="00F71E3F">
        <w:rPr>
          <w:bCs/>
        </w:rPr>
        <w:t>an</w:t>
      </w:r>
      <w:r w:rsidR="00775E5C">
        <w:rPr>
          <w:bCs/>
        </w:rPr>
        <w:t xml:space="preserve"> be summarised as follows:</w:t>
      </w:r>
    </w:p>
    <w:p w14:paraId="4B89D588" w14:textId="41D6F6C5" w:rsidR="00775E5C" w:rsidRDefault="00775E5C" w:rsidP="00DD5335">
      <w:pPr>
        <w:pStyle w:val="GAPara"/>
        <w:numPr>
          <w:ilvl w:val="0"/>
          <w:numId w:val="5"/>
        </w:numPr>
        <w:jc w:val="both"/>
        <w:rPr>
          <w:bCs/>
        </w:rPr>
      </w:pPr>
      <w:r w:rsidRPr="002923E7">
        <w:t>As</w:t>
      </w:r>
      <w:r>
        <w:rPr>
          <w:bCs/>
        </w:rPr>
        <w:t xml:space="preserve"> regards </w:t>
      </w:r>
      <w:r w:rsidR="00454AEE" w:rsidRPr="00581684">
        <w:rPr>
          <w:bCs/>
        </w:rPr>
        <w:t xml:space="preserve">the </w:t>
      </w:r>
      <w:r w:rsidR="00454AEE" w:rsidRPr="00C770D0">
        <w:rPr>
          <w:bCs/>
          <w:u w:val="single"/>
        </w:rPr>
        <w:t>purpose of the accreditation system</w:t>
      </w:r>
      <w:r>
        <w:rPr>
          <w:bCs/>
        </w:rPr>
        <w:t xml:space="preserve"> two visions exist</w:t>
      </w:r>
      <w:r w:rsidR="00454AEE" w:rsidRPr="00581684">
        <w:rPr>
          <w:bCs/>
        </w:rPr>
        <w:t xml:space="preserve">: </w:t>
      </w:r>
      <w:r w:rsidR="00454AEE" w:rsidRPr="00E539DD">
        <w:rPr>
          <w:bCs/>
        </w:rPr>
        <w:t>on one hand,</w:t>
      </w:r>
      <w:r w:rsidR="00FC0255" w:rsidRPr="00E539DD">
        <w:rPr>
          <w:bCs/>
        </w:rPr>
        <w:t xml:space="preserve"> </w:t>
      </w:r>
      <w:r w:rsidR="00FC0255">
        <w:rPr>
          <w:bCs/>
        </w:rPr>
        <w:t xml:space="preserve">the accreditation is understood </w:t>
      </w:r>
      <w:r w:rsidR="00B705B1">
        <w:rPr>
          <w:bCs/>
        </w:rPr>
        <w:t>to</w:t>
      </w:r>
      <w:r w:rsidR="00FC0255" w:rsidRPr="00E539DD">
        <w:rPr>
          <w:bCs/>
        </w:rPr>
        <w:t xml:space="preserve"> </w:t>
      </w:r>
      <w:r w:rsidR="00A80BDC" w:rsidRPr="00E539DD">
        <w:rPr>
          <w:bCs/>
        </w:rPr>
        <w:t>provid</w:t>
      </w:r>
      <w:r w:rsidR="00B705B1">
        <w:rPr>
          <w:bCs/>
        </w:rPr>
        <w:t>e</w:t>
      </w:r>
      <w:r w:rsidR="00454AEE" w:rsidRPr="00E539DD">
        <w:rPr>
          <w:bCs/>
        </w:rPr>
        <w:t xml:space="preserve"> the expertise and experience of NGOs</w:t>
      </w:r>
      <w:r w:rsidR="00A80BDC" w:rsidRPr="00E539DD">
        <w:rPr>
          <w:bCs/>
        </w:rPr>
        <w:t xml:space="preserve"> in the sense of Article 9.</w:t>
      </w:r>
      <w:r w:rsidR="00A80BDC" w:rsidRPr="007F52FC">
        <w:rPr>
          <w:bCs/>
        </w:rPr>
        <w:t>1 of the Convention and paragraph 96 of the Operational Directives;</w:t>
      </w:r>
      <w:r w:rsidR="00454AEE" w:rsidRPr="007F52FC">
        <w:rPr>
          <w:bCs/>
        </w:rPr>
        <w:t xml:space="preserve"> </w:t>
      </w:r>
      <w:r w:rsidR="00C66C6A">
        <w:rPr>
          <w:bCs/>
        </w:rPr>
        <w:t>yet</w:t>
      </w:r>
      <w:r w:rsidR="007F52FC" w:rsidRPr="007F52FC">
        <w:rPr>
          <w:bCs/>
        </w:rPr>
        <w:t xml:space="preserve"> at the same time </w:t>
      </w:r>
      <w:r w:rsidR="00454AEE" w:rsidRPr="007F52FC">
        <w:rPr>
          <w:bCs/>
        </w:rPr>
        <w:t>the accreditation system is considered as an affiliation system, through which NGOs can be identified and can benefit from international recognition.</w:t>
      </w:r>
    </w:p>
    <w:p w14:paraId="09286319" w14:textId="7E084D30" w:rsidR="00775E5C" w:rsidRPr="003A697D" w:rsidRDefault="00C518F0" w:rsidP="00DD5335">
      <w:pPr>
        <w:pStyle w:val="GAPara"/>
        <w:numPr>
          <w:ilvl w:val="0"/>
          <w:numId w:val="5"/>
        </w:numPr>
        <w:jc w:val="both"/>
        <w:rPr>
          <w:bCs/>
        </w:rPr>
      </w:pPr>
      <w:r w:rsidRPr="002923E7">
        <w:t>Concerning</w:t>
      </w:r>
      <w:r w:rsidR="00775E5C" w:rsidRPr="009123C7">
        <w:rPr>
          <w:bCs/>
        </w:rPr>
        <w:t xml:space="preserve"> the </w:t>
      </w:r>
      <w:r w:rsidR="00775E5C" w:rsidRPr="009123C7">
        <w:rPr>
          <w:bCs/>
          <w:u w:val="single"/>
        </w:rPr>
        <w:t>definition of advisory functions</w:t>
      </w:r>
      <w:r w:rsidR="00775E5C" w:rsidRPr="009123C7">
        <w:rPr>
          <w:bCs/>
        </w:rPr>
        <w:t xml:space="preserve"> to be fulfilled by NGOs, </w:t>
      </w:r>
      <w:r w:rsidR="00775E5C">
        <w:t xml:space="preserve">two main categories emerged </w:t>
      </w:r>
      <w:r>
        <w:t>corresponding to</w:t>
      </w:r>
      <w:r w:rsidR="00775E5C">
        <w:t xml:space="preserve"> the two visions of the accreditation system outlined above: NGOs are considered both as advisory organizations to the Committee and as stakeholders in the implementation of the Convention</w:t>
      </w:r>
      <w:r w:rsidR="00775E5C" w:rsidRPr="008F2B6E">
        <w:rPr>
          <w:bCs/>
        </w:rPr>
        <w:t>.</w:t>
      </w:r>
    </w:p>
    <w:p w14:paraId="2B92A8D2" w14:textId="0B6E698C" w:rsidR="00EC0AFC" w:rsidRPr="0033326E" w:rsidRDefault="00EC0AFC" w:rsidP="00DD5335">
      <w:pPr>
        <w:pStyle w:val="GAPara"/>
        <w:numPr>
          <w:ilvl w:val="0"/>
          <w:numId w:val="5"/>
        </w:numPr>
        <w:jc w:val="both"/>
        <w:rPr>
          <w:bCs/>
        </w:rPr>
      </w:pPr>
      <w:r w:rsidRPr="0033326E">
        <w:rPr>
          <w:u w:val="single"/>
        </w:rPr>
        <w:t xml:space="preserve">As </w:t>
      </w:r>
      <w:r w:rsidR="00B705B1" w:rsidRPr="0033326E">
        <w:rPr>
          <w:u w:val="single"/>
        </w:rPr>
        <w:t>for</w:t>
      </w:r>
      <w:r w:rsidRPr="0033326E">
        <w:rPr>
          <w:u w:val="single"/>
        </w:rPr>
        <w:t xml:space="preserve"> processes and criteria applied for </w:t>
      </w:r>
      <w:r w:rsidR="00B705B1" w:rsidRPr="00DD5335">
        <w:rPr>
          <w:u w:val="single"/>
        </w:rPr>
        <w:t xml:space="preserve">the </w:t>
      </w:r>
      <w:r w:rsidRPr="0033326E">
        <w:rPr>
          <w:u w:val="single"/>
        </w:rPr>
        <w:t>accreditation and review of accreditation</w:t>
      </w:r>
      <w:r w:rsidRPr="0033326E">
        <w:t>, it was widely acknowledged that</w:t>
      </w:r>
      <w:r w:rsidR="0033326E">
        <w:t xml:space="preserve"> during the review of accreditation</w:t>
      </w:r>
      <w:r w:rsidRPr="0033326E">
        <w:t xml:space="preserve"> the contribution and commitment of accredited NGOs (paragraph 94 of the Operational Directives) should be assessed on the same criteria as those used to accredit NGOs in the first place (paragraph 91 of the Operational Directives)</w:t>
      </w:r>
      <w:r w:rsidR="00947507" w:rsidRPr="0033326E">
        <w:t>.</w:t>
      </w:r>
    </w:p>
    <w:p w14:paraId="2BBF5D2A" w14:textId="338A0A3F" w:rsidR="00C518F0" w:rsidRPr="00207548" w:rsidRDefault="006F2CFC" w:rsidP="00DD5335">
      <w:pPr>
        <w:pStyle w:val="GAPara"/>
        <w:numPr>
          <w:ilvl w:val="0"/>
          <w:numId w:val="5"/>
        </w:numPr>
        <w:jc w:val="both"/>
        <w:rPr>
          <w:bCs/>
        </w:rPr>
      </w:pPr>
      <w:r>
        <w:rPr>
          <w:bCs/>
        </w:rPr>
        <w:t>Considerations w</w:t>
      </w:r>
      <w:r w:rsidR="00B705B1">
        <w:rPr>
          <w:bCs/>
        </w:rPr>
        <w:t>ere</w:t>
      </w:r>
      <w:r>
        <w:rPr>
          <w:bCs/>
        </w:rPr>
        <w:t xml:space="preserve"> given to the possible</w:t>
      </w:r>
      <w:r w:rsidR="00C518F0" w:rsidRPr="00207548">
        <w:rPr>
          <w:bCs/>
        </w:rPr>
        <w:t xml:space="preserve"> establishment of </w:t>
      </w:r>
      <w:r w:rsidR="00C518F0" w:rsidRPr="00C770D0">
        <w:rPr>
          <w:bCs/>
        </w:rPr>
        <w:t xml:space="preserve">an </w:t>
      </w:r>
      <w:r w:rsidR="00C518F0" w:rsidRPr="000139DF">
        <w:rPr>
          <w:bCs/>
        </w:rPr>
        <w:t>‘</w:t>
      </w:r>
      <w:r w:rsidR="00C518F0" w:rsidRPr="00A141FE">
        <w:rPr>
          <w:bCs/>
          <w:u w:val="single"/>
        </w:rPr>
        <w:t>umbrella organisation</w:t>
      </w:r>
      <w:r w:rsidR="00C518F0" w:rsidRPr="000139DF">
        <w:rPr>
          <w:bCs/>
        </w:rPr>
        <w:t>’</w:t>
      </w:r>
      <w:r w:rsidR="00C518F0" w:rsidRPr="00207548">
        <w:rPr>
          <w:bCs/>
        </w:rPr>
        <w:t xml:space="preserve">, </w:t>
      </w:r>
      <w:r w:rsidR="00C518F0" w:rsidRPr="00207548">
        <w:t xml:space="preserve">responsible for the accreditation and review of accreditation, and for the coordination of the </w:t>
      </w:r>
      <w:r w:rsidR="00C518F0" w:rsidRPr="00207548">
        <w:rPr>
          <w:bCs/>
        </w:rPr>
        <w:t xml:space="preserve">advisory support by NGOs. The proposal did not </w:t>
      </w:r>
      <w:r>
        <w:rPr>
          <w:bCs/>
        </w:rPr>
        <w:t>gain a consensus</w:t>
      </w:r>
      <w:r w:rsidR="00C518F0" w:rsidRPr="00207548">
        <w:t xml:space="preserve">, and States and accredited NGOs </w:t>
      </w:r>
      <w:r w:rsidR="00C518F0" w:rsidRPr="00207548">
        <w:rPr>
          <w:bCs/>
        </w:rPr>
        <w:t xml:space="preserve">leant instead towards the improvement of the current system or, alternatively, a </w:t>
      </w:r>
      <w:r>
        <w:rPr>
          <w:bCs/>
        </w:rPr>
        <w:t xml:space="preserve">hybrid </w:t>
      </w:r>
      <w:r w:rsidR="00EC0AFC">
        <w:rPr>
          <w:bCs/>
        </w:rPr>
        <w:t>approach</w:t>
      </w:r>
      <w:r w:rsidR="00C518F0" w:rsidRPr="00207548">
        <w:rPr>
          <w:bCs/>
        </w:rPr>
        <w:t xml:space="preserve">, in which the current accreditation would be improved and where </w:t>
      </w:r>
      <w:r w:rsidR="000139DF">
        <w:rPr>
          <w:bCs/>
        </w:rPr>
        <w:t>the ICH NGO Forum</w:t>
      </w:r>
      <w:r w:rsidR="00C518F0" w:rsidRPr="00207548">
        <w:rPr>
          <w:bCs/>
        </w:rPr>
        <w:t xml:space="preserve"> could play a role.</w:t>
      </w:r>
    </w:p>
    <w:p w14:paraId="0A5B753B" w14:textId="5592C0A7" w:rsidR="00833C85" w:rsidRDefault="00833C85" w:rsidP="00DD5335">
      <w:pPr>
        <w:pStyle w:val="GAPara"/>
        <w:numPr>
          <w:ilvl w:val="0"/>
          <w:numId w:val="5"/>
        </w:numPr>
        <w:jc w:val="both"/>
      </w:pPr>
      <w:r w:rsidRPr="00C770D0">
        <w:rPr>
          <w:u w:val="single"/>
        </w:rPr>
        <w:t>Unbalanced geographical distribution</w:t>
      </w:r>
      <w:r w:rsidRPr="00A141FE">
        <w:t xml:space="preserve"> of accredited NGOs</w:t>
      </w:r>
      <w:r w:rsidRPr="00EB53E2">
        <w:t xml:space="preserve"> </w:t>
      </w:r>
      <w:r>
        <w:t>was outlined as</w:t>
      </w:r>
      <w:r w:rsidRPr="00EB53E2">
        <w:t xml:space="preserve"> one of the major concerns</w:t>
      </w:r>
      <w:r>
        <w:t>.</w:t>
      </w:r>
      <w:r w:rsidRPr="00B4730B">
        <w:rPr>
          <w:shd w:val="clear" w:color="auto" w:fill="FFFFFF" w:themeFill="background1"/>
        </w:rPr>
        <w:t xml:space="preserve"> The reflection process has pointed out that</w:t>
      </w:r>
      <w:r w:rsidRPr="00B4730B">
        <w:t xml:space="preserve"> the possibility of</w:t>
      </w:r>
      <w:r w:rsidRPr="00EB53E2">
        <w:t xml:space="preserve"> </w:t>
      </w:r>
      <w:r>
        <w:t>e</w:t>
      </w:r>
      <w:r w:rsidRPr="00EB53E2">
        <w:t xml:space="preserve">stablishing a ceiling of accredited NGOs in over-represented regions was not welcomed. Instead, initiatives to raise awareness about the accreditation system and build capacities of NGOs from under-represented regions </w:t>
      </w:r>
      <w:r>
        <w:t>received positive remarks</w:t>
      </w:r>
      <w:r w:rsidRPr="00EB53E2">
        <w:t>.</w:t>
      </w:r>
    </w:p>
    <w:p w14:paraId="02CD9AAA" w14:textId="0A33B82B" w:rsidR="00066988" w:rsidRPr="00C770D0" w:rsidRDefault="00375EC4" w:rsidP="00DD5335">
      <w:pPr>
        <w:pStyle w:val="COMPara"/>
        <w:numPr>
          <w:ilvl w:val="0"/>
          <w:numId w:val="2"/>
        </w:numPr>
        <w:ind w:left="567" w:hanging="567"/>
        <w:jc w:val="both"/>
        <w:rPr>
          <w:lang w:val="en-US"/>
        </w:rPr>
      </w:pPr>
      <w:r w:rsidRPr="00C770D0">
        <w:rPr>
          <w:lang w:val="en-US"/>
        </w:rPr>
        <w:t xml:space="preserve">The fourteenth session of the Committee </w:t>
      </w:r>
      <w:r w:rsidR="009527FF" w:rsidRPr="00C770D0">
        <w:rPr>
          <w:lang w:val="en-US"/>
        </w:rPr>
        <w:t xml:space="preserve">in 2019 </w:t>
      </w:r>
      <w:r w:rsidRPr="00C770D0">
        <w:rPr>
          <w:lang w:val="en-US"/>
        </w:rPr>
        <w:t>discussed at length the outcomes of the reflection</w:t>
      </w:r>
      <w:r w:rsidR="00393AA9">
        <w:rPr>
          <w:lang w:val="en-US"/>
        </w:rPr>
        <w:t xml:space="preserve"> </w:t>
      </w:r>
      <w:r w:rsidR="00393AA9">
        <w:t>(</w:t>
      </w:r>
      <w:hyperlink r:id="rId23" w:history="1">
        <w:r w:rsidR="00393AA9" w:rsidRPr="00CB405A">
          <w:rPr>
            <w:rStyle w:val="Lienhypertexte"/>
          </w:rPr>
          <w:t>Decision 14.COM 15</w:t>
        </w:r>
      </w:hyperlink>
      <w:r w:rsidR="00393AA9">
        <w:rPr>
          <w:lang w:val="en-US"/>
        </w:rPr>
        <w:t>)</w:t>
      </w:r>
      <w:r w:rsidR="00E539DD" w:rsidRPr="00C770D0">
        <w:rPr>
          <w:lang w:val="en-US"/>
        </w:rPr>
        <w:t>.</w:t>
      </w:r>
      <w:r w:rsidR="00AD57DC" w:rsidRPr="00C770D0">
        <w:rPr>
          <w:lang w:val="en-US"/>
        </w:rPr>
        <w:t xml:space="preserve"> </w:t>
      </w:r>
      <w:r w:rsidR="005A13EE">
        <w:rPr>
          <w:lang w:val="en-US"/>
        </w:rPr>
        <w:t>T</w:t>
      </w:r>
      <w:r w:rsidR="00066988">
        <w:rPr>
          <w:lang w:val="en-US"/>
        </w:rPr>
        <w:t xml:space="preserve">he </w:t>
      </w:r>
      <w:r w:rsidR="00066988" w:rsidRPr="00973355">
        <w:rPr>
          <w:lang w:val="en-US"/>
        </w:rPr>
        <w:t xml:space="preserve">Committee </w:t>
      </w:r>
      <w:r w:rsidR="00066988">
        <w:rPr>
          <w:lang w:val="en-US"/>
        </w:rPr>
        <w:t xml:space="preserve">reaffirmed </w:t>
      </w:r>
      <w:r w:rsidR="00066988" w:rsidRPr="00973355">
        <w:rPr>
          <w:lang w:val="en-US"/>
        </w:rPr>
        <w:t>that</w:t>
      </w:r>
      <w:r w:rsidR="00066988">
        <w:rPr>
          <w:lang w:val="en-US"/>
        </w:rPr>
        <w:t xml:space="preserve"> </w:t>
      </w:r>
      <w:r w:rsidR="00066988" w:rsidRPr="00973355">
        <w:rPr>
          <w:lang w:val="en-US"/>
        </w:rPr>
        <w:t>NGOs</w:t>
      </w:r>
      <w:r w:rsidR="00066988">
        <w:rPr>
          <w:lang w:val="en-US"/>
        </w:rPr>
        <w:t xml:space="preserve"> accredited under the 2003 Convention,</w:t>
      </w:r>
      <w:r w:rsidR="00066988" w:rsidRPr="00973355">
        <w:rPr>
          <w:lang w:val="en-US"/>
        </w:rPr>
        <w:t xml:space="preserve"> irrespective of their size and capacities</w:t>
      </w:r>
      <w:r w:rsidR="00066988">
        <w:rPr>
          <w:lang w:val="en-US"/>
        </w:rPr>
        <w:t>,</w:t>
      </w:r>
      <w:r w:rsidR="00066988" w:rsidRPr="00973355">
        <w:rPr>
          <w:lang w:val="en-US"/>
        </w:rPr>
        <w:t xml:space="preserve"> are valuable custodians of the Convention</w:t>
      </w:r>
      <w:r w:rsidR="00066988">
        <w:rPr>
          <w:lang w:val="en-US"/>
        </w:rPr>
        <w:t xml:space="preserve">. </w:t>
      </w:r>
      <w:r w:rsidR="00B303CB">
        <w:rPr>
          <w:lang w:val="en-US"/>
        </w:rPr>
        <w:t>The session also gave an opportunity for the Committee to learn</w:t>
      </w:r>
      <w:r w:rsidR="0094051E">
        <w:rPr>
          <w:lang w:val="en-US"/>
        </w:rPr>
        <w:t xml:space="preserve"> about</w:t>
      </w:r>
      <w:r w:rsidR="00B303CB">
        <w:rPr>
          <w:lang w:val="en-US"/>
        </w:rPr>
        <w:t xml:space="preserve"> the recent developments under the ICH NGO </w:t>
      </w:r>
      <w:r w:rsidR="0094051E">
        <w:rPr>
          <w:lang w:val="en-US"/>
        </w:rPr>
        <w:t>F</w:t>
      </w:r>
      <w:r w:rsidR="00B303CB">
        <w:rPr>
          <w:lang w:val="en-US"/>
        </w:rPr>
        <w:t>orum which adopted its Bylaws</w:t>
      </w:r>
      <w:r w:rsidR="004C0710" w:rsidRPr="00C770D0">
        <w:rPr>
          <w:rStyle w:val="Appelnotedebasdep"/>
        </w:rPr>
        <w:footnoteReference w:id="1"/>
      </w:r>
      <w:r w:rsidR="00B303CB">
        <w:rPr>
          <w:lang w:val="en-US"/>
        </w:rPr>
        <w:t xml:space="preserve"> and </w:t>
      </w:r>
      <w:r w:rsidR="0094051E">
        <w:rPr>
          <w:lang w:val="en-US"/>
        </w:rPr>
        <w:t>C</w:t>
      </w:r>
      <w:r w:rsidR="00B303CB">
        <w:rPr>
          <w:lang w:val="en-US"/>
        </w:rPr>
        <w:t xml:space="preserve">ode of </w:t>
      </w:r>
      <w:r w:rsidR="0094051E">
        <w:rPr>
          <w:lang w:val="en-US"/>
        </w:rPr>
        <w:t>C</w:t>
      </w:r>
      <w:r w:rsidR="00B303CB">
        <w:rPr>
          <w:lang w:val="en-US"/>
        </w:rPr>
        <w:t>onduct as well as its recent thematic undertakings</w:t>
      </w:r>
      <w:r w:rsidR="004C0710">
        <w:rPr>
          <w:lang w:val="en-US"/>
        </w:rPr>
        <w:t xml:space="preserve"> (</w:t>
      </w:r>
      <w:r w:rsidR="004C0710" w:rsidRPr="00C770D0">
        <w:t>particularly related to the topic of intangible cultural heritage in urban contexts and intangible cultural heritage and sustainable tourism</w:t>
      </w:r>
      <w:r w:rsidR="004C0710">
        <w:rPr>
          <w:lang w:val="en-US"/>
        </w:rPr>
        <w:t>)</w:t>
      </w:r>
      <w:r w:rsidR="00B303CB">
        <w:rPr>
          <w:lang w:val="en-US"/>
        </w:rPr>
        <w:t xml:space="preserve">. </w:t>
      </w:r>
      <w:r w:rsidR="00066988">
        <w:rPr>
          <w:lang w:val="en-US"/>
        </w:rPr>
        <w:t xml:space="preserve">Rather than radically </w:t>
      </w:r>
      <w:r w:rsidR="00066988" w:rsidRPr="00C770D0">
        <w:t>changing</w:t>
      </w:r>
      <w:r w:rsidR="00066988">
        <w:rPr>
          <w:lang w:val="en-US"/>
        </w:rPr>
        <w:t xml:space="preserve"> the accreditation system currently in place, the Committee has </w:t>
      </w:r>
      <w:r w:rsidR="00B303CB">
        <w:rPr>
          <w:lang w:val="en-US"/>
        </w:rPr>
        <w:t xml:space="preserve">indicated its preference </w:t>
      </w:r>
      <w:r w:rsidR="00066988">
        <w:rPr>
          <w:lang w:val="en-US"/>
        </w:rPr>
        <w:t xml:space="preserve">to refocus the accreditation on NGOs with recognized competence to act in an advisory capacity to the Committee. In this regard some of the functions that may be open to accredited NGOs include </w:t>
      </w:r>
      <w:r w:rsidR="006A442B">
        <w:rPr>
          <w:lang w:val="en-US"/>
        </w:rPr>
        <w:t>p</w:t>
      </w:r>
      <w:r w:rsidR="00066988" w:rsidRPr="00973355">
        <w:rPr>
          <w:lang w:val="en-US"/>
        </w:rPr>
        <w:t xml:space="preserve">eriodic </w:t>
      </w:r>
      <w:r w:rsidR="006A442B">
        <w:rPr>
          <w:lang w:val="en-US"/>
        </w:rPr>
        <w:t>r</w:t>
      </w:r>
      <w:r w:rsidR="00066988" w:rsidRPr="00973355">
        <w:rPr>
          <w:lang w:val="en-US"/>
        </w:rPr>
        <w:t>eporting, pre and post inscription peer assistance process, monitor</w:t>
      </w:r>
      <w:r w:rsidR="00066988">
        <w:rPr>
          <w:lang w:val="en-US"/>
        </w:rPr>
        <w:t xml:space="preserve">ing </w:t>
      </w:r>
      <w:r w:rsidR="00066988" w:rsidRPr="00973355">
        <w:rPr>
          <w:lang w:val="en-US"/>
        </w:rPr>
        <w:t xml:space="preserve">the impact of inscription, follow-up on inscribed elements, dissemination of good safeguarding practices, thematic studies and projects (e.g. </w:t>
      </w:r>
      <w:r w:rsidR="005A13EE">
        <w:rPr>
          <w:lang w:val="en-US"/>
        </w:rPr>
        <w:t xml:space="preserve">intangible cultural </w:t>
      </w:r>
      <w:r w:rsidR="0068355D">
        <w:rPr>
          <w:lang w:val="en-US"/>
        </w:rPr>
        <w:t>heritage</w:t>
      </w:r>
      <w:r w:rsidR="007D0E69">
        <w:rPr>
          <w:lang w:val="en-US"/>
        </w:rPr>
        <w:t xml:space="preserve"> </w:t>
      </w:r>
      <w:r w:rsidR="00066988" w:rsidRPr="00C770D0">
        <w:rPr>
          <w:lang w:val="en-US"/>
        </w:rPr>
        <w:t>in urban context</w:t>
      </w:r>
      <w:r w:rsidR="006A442B">
        <w:rPr>
          <w:lang w:val="en-US"/>
        </w:rPr>
        <w:t>s</w:t>
      </w:r>
      <w:r w:rsidR="00066988" w:rsidRPr="00C770D0">
        <w:rPr>
          <w:lang w:val="en-US"/>
        </w:rPr>
        <w:t>, tourism and commercialization) and capacity building.</w:t>
      </w:r>
    </w:p>
    <w:p w14:paraId="40096DCB" w14:textId="4D6038D1" w:rsidR="00D61041" w:rsidRPr="00973355" w:rsidRDefault="00066988" w:rsidP="00DD5335">
      <w:pPr>
        <w:pStyle w:val="COMPara"/>
        <w:numPr>
          <w:ilvl w:val="0"/>
          <w:numId w:val="2"/>
        </w:numPr>
        <w:ind w:left="567" w:hanging="567"/>
        <w:jc w:val="both"/>
        <w:rPr>
          <w:lang w:val="en-US"/>
        </w:rPr>
      </w:pPr>
      <w:r>
        <w:rPr>
          <w:lang w:val="en-US"/>
        </w:rPr>
        <w:lastRenderedPageBreak/>
        <w:t>The</w:t>
      </w:r>
      <w:r w:rsidRPr="002376A8">
        <w:rPr>
          <w:lang w:val="en-US"/>
        </w:rPr>
        <w:t xml:space="preserve"> issue of </w:t>
      </w:r>
      <w:r>
        <w:rPr>
          <w:lang w:val="en-US"/>
        </w:rPr>
        <w:t>under-represented regions was considered again as an issue and the Committee therefore e</w:t>
      </w:r>
      <w:r w:rsidRPr="00973355">
        <w:rPr>
          <w:lang w:val="en-US"/>
        </w:rPr>
        <w:t>ncourage</w:t>
      </w:r>
      <w:r>
        <w:rPr>
          <w:lang w:val="en-US"/>
        </w:rPr>
        <w:t>d</w:t>
      </w:r>
      <w:r w:rsidRPr="00973355">
        <w:rPr>
          <w:lang w:val="en-US"/>
        </w:rPr>
        <w:t xml:space="preserve"> </w:t>
      </w:r>
      <w:r w:rsidR="003B005F">
        <w:rPr>
          <w:lang w:val="en-US"/>
        </w:rPr>
        <w:t>stakeholders</w:t>
      </w:r>
      <w:r w:rsidRPr="00973355">
        <w:rPr>
          <w:lang w:val="en-US"/>
        </w:rPr>
        <w:t xml:space="preserve"> to organize capacity building for </w:t>
      </w:r>
      <w:r>
        <w:rPr>
          <w:lang w:val="en-US"/>
        </w:rPr>
        <w:t xml:space="preserve">NGOs </w:t>
      </w:r>
      <w:r w:rsidRPr="00973355">
        <w:rPr>
          <w:lang w:val="en-US"/>
        </w:rPr>
        <w:t>that may seek accreditation in the future</w:t>
      </w:r>
      <w:r w:rsidR="00393AA9">
        <w:rPr>
          <w:lang w:val="en-US"/>
        </w:rPr>
        <w:t xml:space="preserve"> </w:t>
      </w:r>
      <w:r w:rsidR="00393AA9" w:rsidRPr="005B2D73">
        <w:t>with a particular focus on non-governmental organizations based in under-represented regions</w:t>
      </w:r>
      <w:r w:rsidR="00393AA9">
        <w:rPr>
          <w:lang w:val="en-US"/>
        </w:rPr>
        <w:t>.</w:t>
      </w:r>
      <w:r w:rsidR="003B005F">
        <w:rPr>
          <w:lang w:val="en-US"/>
        </w:rPr>
        <w:t xml:space="preserve"> </w:t>
      </w:r>
      <w:r w:rsidR="00D61041">
        <w:rPr>
          <w:lang w:val="en-US"/>
        </w:rPr>
        <w:t>Furthermore,</w:t>
      </w:r>
      <w:r w:rsidR="00D61041" w:rsidRPr="00973355">
        <w:rPr>
          <w:lang w:val="en-US"/>
        </w:rPr>
        <w:t xml:space="preserve"> the Committee asked </w:t>
      </w:r>
      <w:r w:rsidR="00D61041">
        <w:rPr>
          <w:lang w:val="en-US"/>
        </w:rPr>
        <w:t>to hear</w:t>
      </w:r>
      <w:r w:rsidR="00D61041" w:rsidRPr="00973355">
        <w:rPr>
          <w:lang w:val="en-US"/>
        </w:rPr>
        <w:t xml:space="preserve"> the voices of NGOs through more meaningful and regular interaction</w:t>
      </w:r>
      <w:r w:rsidR="00D61041">
        <w:rPr>
          <w:lang w:val="en-US"/>
        </w:rPr>
        <w:t>s</w:t>
      </w:r>
      <w:r w:rsidR="00D61041" w:rsidRPr="00973355">
        <w:rPr>
          <w:lang w:val="en-US"/>
        </w:rPr>
        <w:t xml:space="preserve"> between </w:t>
      </w:r>
      <w:r w:rsidR="00D61041">
        <w:rPr>
          <w:lang w:val="en-US"/>
        </w:rPr>
        <w:t xml:space="preserve">the Committee and the ICH NGO </w:t>
      </w:r>
      <w:r w:rsidR="006A442B">
        <w:rPr>
          <w:lang w:val="en-US"/>
        </w:rPr>
        <w:t>F</w:t>
      </w:r>
      <w:r w:rsidR="00D61041">
        <w:rPr>
          <w:lang w:val="en-US"/>
        </w:rPr>
        <w:t>orum and therefore decided</w:t>
      </w:r>
      <w:r w:rsidR="00D61041" w:rsidRPr="00973355">
        <w:rPr>
          <w:lang w:val="en-US"/>
        </w:rPr>
        <w:t xml:space="preserve"> to include, on an experimental basis, a </w:t>
      </w:r>
      <w:r w:rsidR="00D61041">
        <w:rPr>
          <w:lang w:val="en-US"/>
        </w:rPr>
        <w:t>specific</w:t>
      </w:r>
      <w:r w:rsidR="00D61041" w:rsidRPr="00973355">
        <w:rPr>
          <w:lang w:val="en-US"/>
        </w:rPr>
        <w:t xml:space="preserve"> item on ‘Report of the Non-Governmental Organizations Forum’ at its fifteenth session.</w:t>
      </w:r>
      <w:r w:rsidR="00D61041">
        <w:rPr>
          <w:lang w:val="en-US"/>
        </w:rPr>
        <w:t xml:space="preserve"> </w:t>
      </w:r>
      <w:r w:rsidR="00D61041" w:rsidRPr="00973355">
        <w:rPr>
          <w:lang w:val="en-US"/>
        </w:rPr>
        <w:t xml:space="preserve">The Committee </w:t>
      </w:r>
      <w:r w:rsidR="00D61041">
        <w:rPr>
          <w:lang w:val="en-US"/>
        </w:rPr>
        <w:t xml:space="preserve">also decided </w:t>
      </w:r>
      <w:r w:rsidR="00D61041" w:rsidRPr="00973355">
        <w:rPr>
          <w:lang w:val="en-US"/>
        </w:rPr>
        <w:t>that mapping</w:t>
      </w:r>
      <w:r w:rsidR="006A442B">
        <w:rPr>
          <w:lang w:val="en-US"/>
        </w:rPr>
        <w:t xml:space="preserve"> the network of</w:t>
      </w:r>
      <w:r w:rsidR="00D61041" w:rsidRPr="00973355">
        <w:rPr>
          <w:lang w:val="en-US"/>
        </w:rPr>
        <w:t xml:space="preserve"> </w:t>
      </w:r>
      <w:r w:rsidR="004B3B9B">
        <w:rPr>
          <w:lang w:val="en-US"/>
        </w:rPr>
        <w:t xml:space="preserve">accredited </w:t>
      </w:r>
      <w:r w:rsidR="00D61041" w:rsidRPr="00973355">
        <w:rPr>
          <w:lang w:val="en-US"/>
        </w:rPr>
        <w:t>NGOs would be valuable</w:t>
      </w:r>
      <w:r w:rsidR="004B3B9B">
        <w:rPr>
          <w:lang w:val="en-US"/>
        </w:rPr>
        <w:t xml:space="preserve"> to facilitate their involvement in the implementation of the Convention and the work of the Committee</w:t>
      </w:r>
      <w:r w:rsidR="00D61041" w:rsidRPr="00973355">
        <w:rPr>
          <w:lang w:val="en-US"/>
        </w:rPr>
        <w:t>. In this regard, the Secretariat</w:t>
      </w:r>
      <w:r w:rsidR="00D61041">
        <w:rPr>
          <w:lang w:val="en-US"/>
        </w:rPr>
        <w:t xml:space="preserve"> is requested to</w:t>
      </w:r>
      <w:r w:rsidR="00D61041" w:rsidRPr="00973355">
        <w:rPr>
          <w:lang w:val="en-US"/>
        </w:rPr>
        <w:t xml:space="preserve"> gather relevant information from accredited non-governmental organizations in order to map their domains of competence, taking into consideration their capacities</w:t>
      </w:r>
      <w:r w:rsidR="00D61041">
        <w:rPr>
          <w:lang w:val="en-US"/>
        </w:rPr>
        <w:t>.</w:t>
      </w:r>
    </w:p>
    <w:p w14:paraId="6E0CD30F" w14:textId="7F5ABB9C" w:rsidR="008A1ED4" w:rsidRPr="005A4A42" w:rsidRDefault="008A1ED4" w:rsidP="00DD5335">
      <w:pPr>
        <w:pStyle w:val="COMPara"/>
        <w:numPr>
          <w:ilvl w:val="0"/>
          <w:numId w:val="2"/>
        </w:numPr>
        <w:ind w:left="567" w:hanging="567"/>
        <w:jc w:val="both"/>
        <w:rPr>
          <w:rFonts w:eastAsia="SimSun"/>
        </w:rPr>
      </w:pPr>
      <w:r w:rsidRPr="005A4A42">
        <w:t>The General Assembly may wish to adopt the following resolution:</w:t>
      </w:r>
    </w:p>
    <w:p w14:paraId="7D09DDBB" w14:textId="4AF32541" w:rsidR="008A1ED4" w:rsidRDefault="00F010E0" w:rsidP="008A1ED4">
      <w:pPr>
        <w:pStyle w:val="GATitleResolution"/>
      </w:pPr>
      <w:r>
        <w:t>DRAFT RESOLUTION 8</w:t>
      </w:r>
      <w:r w:rsidR="008A1ED4">
        <w:t xml:space="preserve">.GA </w:t>
      </w:r>
      <w:r w:rsidR="00931D55">
        <w:t>12</w:t>
      </w:r>
    </w:p>
    <w:p w14:paraId="7E8C55BA" w14:textId="77777777" w:rsidR="008A1ED4" w:rsidRPr="005A4A42" w:rsidRDefault="008A1ED4" w:rsidP="008A1ED4">
      <w:pPr>
        <w:pStyle w:val="GAPreambulaResolution"/>
        <w:rPr>
          <w:rFonts w:eastAsia="SimSun"/>
        </w:rPr>
      </w:pPr>
      <w:r w:rsidRPr="005A4A42">
        <w:t>The General Assembly,</w:t>
      </w:r>
    </w:p>
    <w:p w14:paraId="68C1B814" w14:textId="27E3E1B7" w:rsidR="008A1ED4" w:rsidRPr="00345CB4" w:rsidRDefault="008A1ED4" w:rsidP="00935106">
      <w:pPr>
        <w:pStyle w:val="COMParaDecision"/>
        <w:numPr>
          <w:ilvl w:val="0"/>
          <w:numId w:val="3"/>
        </w:numPr>
        <w:ind w:left="1134" w:hanging="567"/>
        <w:jc w:val="left"/>
      </w:pPr>
      <w:r w:rsidRPr="00345CB4">
        <w:t>Having examined</w:t>
      </w:r>
      <w:r w:rsidRPr="00F32C23">
        <w:rPr>
          <w:u w:val="none"/>
        </w:rPr>
        <w:t xml:space="preserve"> doc</w:t>
      </w:r>
      <w:r w:rsidR="00F010E0">
        <w:rPr>
          <w:u w:val="none"/>
        </w:rPr>
        <w:t>ument LHE/20</w:t>
      </w:r>
      <w:r>
        <w:rPr>
          <w:u w:val="none"/>
        </w:rPr>
        <w:t>/</w:t>
      </w:r>
      <w:r w:rsidR="00F010E0">
        <w:rPr>
          <w:u w:val="none"/>
        </w:rPr>
        <w:t>8</w:t>
      </w:r>
      <w:r>
        <w:rPr>
          <w:u w:val="none"/>
        </w:rPr>
        <w:t>.GA</w:t>
      </w:r>
      <w:r w:rsidRPr="00F32C23">
        <w:rPr>
          <w:u w:val="none"/>
        </w:rPr>
        <w:t>/</w:t>
      </w:r>
      <w:r w:rsidR="00931D55">
        <w:rPr>
          <w:u w:val="none"/>
        </w:rPr>
        <w:t>12</w:t>
      </w:r>
      <w:r w:rsidRPr="00F32C23">
        <w:rPr>
          <w:u w:val="none"/>
        </w:rPr>
        <w:t>,</w:t>
      </w:r>
    </w:p>
    <w:p w14:paraId="6ABFCCAD" w14:textId="0FB49D8F" w:rsidR="008A1ED4" w:rsidRPr="00345CB4" w:rsidRDefault="008A1ED4" w:rsidP="00DD5335">
      <w:pPr>
        <w:pStyle w:val="COMParaDecision"/>
        <w:numPr>
          <w:ilvl w:val="0"/>
          <w:numId w:val="3"/>
        </w:numPr>
        <w:ind w:left="1134" w:hanging="567"/>
      </w:pPr>
      <w:r w:rsidRPr="00345CB4">
        <w:t>Recalling</w:t>
      </w:r>
      <w:r w:rsidRPr="00F32C23">
        <w:rPr>
          <w:u w:val="none"/>
        </w:rPr>
        <w:t xml:space="preserve"> </w:t>
      </w:r>
      <w:r w:rsidR="00473EA7" w:rsidRPr="00E917DD">
        <w:rPr>
          <w:u w:val="none"/>
        </w:rPr>
        <w:t xml:space="preserve">Article 9 of the Convention and </w:t>
      </w:r>
      <w:r w:rsidR="004A2D4A">
        <w:rPr>
          <w:u w:val="none"/>
        </w:rPr>
        <w:t>chapter III.2</w:t>
      </w:r>
      <w:r w:rsidR="00473EA7" w:rsidRPr="00E917DD">
        <w:rPr>
          <w:u w:val="none"/>
        </w:rPr>
        <w:t xml:space="preserve"> of the Operational Directives</w:t>
      </w:r>
      <w:r w:rsidR="00473EA7">
        <w:rPr>
          <w:u w:val="none"/>
        </w:rPr>
        <w:t>,</w:t>
      </w:r>
    </w:p>
    <w:p w14:paraId="2ED8A579" w14:textId="7C808697" w:rsidR="00E50B96" w:rsidRPr="00345CB4" w:rsidRDefault="008A1ED4" w:rsidP="00AD188D">
      <w:pPr>
        <w:pStyle w:val="COMParaDecision"/>
        <w:numPr>
          <w:ilvl w:val="0"/>
          <w:numId w:val="3"/>
        </w:numPr>
        <w:ind w:left="1134" w:hanging="567"/>
      </w:pPr>
      <w:r w:rsidRPr="00345CB4">
        <w:t>Further recalling</w:t>
      </w:r>
      <w:r w:rsidR="00E50B96">
        <w:rPr>
          <w:u w:val="none"/>
        </w:rPr>
        <w:t xml:space="preserve"> </w:t>
      </w:r>
      <w:hyperlink r:id="rId24" w:history="1">
        <w:r w:rsidR="00473EA7" w:rsidRPr="00961D35">
          <w:rPr>
            <w:rStyle w:val="Lienhypertexte"/>
          </w:rPr>
          <w:t>Decision 12.COM </w:t>
        </w:r>
        <w:r w:rsidR="00E50B96" w:rsidRPr="00961D35">
          <w:rPr>
            <w:rStyle w:val="Lienhypertexte"/>
          </w:rPr>
          <w:t>13</w:t>
        </w:r>
      </w:hyperlink>
      <w:r w:rsidR="00E50B96">
        <w:rPr>
          <w:u w:val="none"/>
        </w:rPr>
        <w:t xml:space="preserve">, </w:t>
      </w:r>
      <w:hyperlink r:id="rId25" w:history="1">
        <w:r w:rsidR="00E50B96" w:rsidRPr="00961D35">
          <w:rPr>
            <w:rStyle w:val="Lienhypertexte"/>
          </w:rPr>
          <w:t>Decision 12.COM</w:t>
        </w:r>
        <w:r w:rsidR="00F461BE">
          <w:rPr>
            <w:rStyle w:val="Lienhypertexte"/>
          </w:rPr>
          <w:t> </w:t>
        </w:r>
        <w:r w:rsidR="00473EA7" w:rsidRPr="00961D35">
          <w:rPr>
            <w:rStyle w:val="Lienhypertexte"/>
          </w:rPr>
          <w:t>17</w:t>
        </w:r>
      </w:hyperlink>
      <w:r w:rsidR="00473EA7">
        <w:rPr>
          <w:u w:val="none"/>
        </w:rPr>
        <w:t>,</w:t>
      </w:r>
      <w:r w:rsidR="00E50B96">
        <w:rPr>
          <w:u w:val="none"/>
        </w:rPr>
        <w:t xml:space="preserve"> </w:t>
      </w:r>
      <w:hyperlink r:id="rId26" w:history="1">
        <w:r w:rsidR="00E50B96" w:rsidRPr="00961D35">
          <w:rPr>
            <w:rStyle w:val="Lienhypertexte"/>
          </w:rPr>
          <w:t>Decision</w:t>
        </w:r>
        <w:r w:rsidR="00473EA7" w:rsidRPr="00961D35">
          <w:rPr>
            <w:rStyle w:val="Lienhypertexte"/>
          </w:rPr>
          <w:t xml:space="preserve"> 13.COM</w:t>
        </w:r>
        <w:r w:rsidR="00F461BE">
          <w:rPr>
            <w:rStyle w:val="Lienhypertexte"/>
          </w:rPr>
          <w:t> </w:t>
        </w:r>
        <w:r w:rsidR="00473EA7" w:rsidRPr="00961D35">
          <w:rPr>
            <w:rStyle w:val="Lienhypertexte"/>
          </w:rPr>
          <w:t>13</w:t>
        </w:r>
      </w:hyperlink>
      <w:r w:rsidR="00E50B96">
        <w:rPr>
          <w:u w:val="none"/>
        </w:rPr>
        <w:t xml:space="preserve">, </w:t>
      </w:r>
      <w:hyperlink r:id="rId27" w:history="1">
        <w:r w:rsidR="00E50B96" w:rsidRPr="00961D35">
          <w:rPr>
            <w:rStyle w:val="Lienhypertexte"/>
          </w:rPr>
          <w:t>Decision 13.COM</w:t>
        </w:r>
        <w:r w:rsidR="00F461BE">
          <w:rPr>
            <w:rStyle w:val="Lienhypertexte"/>
          </w:rPr>
          <w:t> </w:t>
        </w:r>
        <w:r w:rsidR="00E50B96" w:rsidRPr="00961D35">
          <w:rPr>
            <w:rStyle w:val="Lienhypertexte"/>
          </w:rPr>
          <w:t>16</w:t>
        </w:r>
      </w:hyperlink>
      <w:r w:rsidR="00E50B96">
        <w:rPr>
          <w:u w:val="none"/>
        </w:rPr>
        <w:t xml:space="preserve">, </w:t>
      </w:r>
      <w:hyperlink r:id="rId28" w:history="1">
        <w:r w:rsidR="00E50B96" w:rsidRPr="00961D35">
          <w:rPr>
            <w:rStyle w:val="Lienhypertexte"/>
          </w:rPr>
          <w:t xml:space="preserve">Decision </w:t>
        </w:r>
        <w:r w:rsidR="00473EA7" w:rsidRPr="00961D35">
          <w:rPr>
            <w:rStyle w:val="Lienhypertexte"/>
          </w:rPr>
          <w:t>14.COM</w:t>
        </w:r>
        <w:r w:rsidR="00F461BE">
          <w:rPr>
            <w:rStyle w:val="Lienhypertexte"/>
          </w:rPr>
          <w:t> </w:t>
        </w:r>
        <w:r w:rsidR="00473EA7" w:rsidRPr="00961D35">
          <w:rPr>
            <w:rStyle w:val="Lienhypertexte"/>
          </w:rPr>
          <w:t>15</w:t>
        </w:r>
      </w:hyperlink>
      <w:r w:rsidR="00473EA7">
        <w:rPr>
          <w:u w:val="none"/>
        </w:rPr>
        <w:t>,</w:t>
      </w:r>
      <w:r w:rsidR="00E50B96">
        <w:rPr>
          <w:u w:val="none"/>
        </w:rPr>
        <w:t xml:space="preserve"> and </w:t>
      </w:r>
      <w:hyperlink r:id="rId29" w:history="1">
        <w:r w:rsidR="00E50B96" w:rsidRPr="00961D35">
          <w:rPr>
            <w:rStyle w:val="Lienhypertexte"/>
          </w:rPr>
          <w:t>Decision</w:t>
        </w:r>
        <w:r w:rsidR="00CB405A">
          <w:rPr>
            <w:rStyle w:val="Lienhypertexte"/>
          </w:rPr>
          <w:t> </w:t>
        </w:r>
        <w:r w:rsidR="00E50B96" w:rsidRPr="00961D35">
          <w:rPr>
            <w:rStyle w:val="Lienhypertexte"/>
          </w:rPr>
          <w:t>14.COM</w:t>
        </w:r>
        <w:r w:rsidR="00CB405A">
          <w:rPr>
            <w:rStyle w:val="Lienhypertexte"/>
          </w:rPr>
          <w:t> </w:t>
        </w:r>
        <w:r w:rsidR="00E50B96" w:rsidRPr="00961D35">
          <w:rPr>
            <w:rStyle w:val="Lienhypertexte"/>
          </w:rPr>
          <w:t>16</w:t>
        </w:r>
      </w:hyperlink>
      <w:r w:rsidR="00E50B96">
        <w:rPr>
          <w:u w:val="none"/>
        </w:rPr>
        <w:t xml:space="preserve"> as well as </w:t>
      </w:r>
      <w:hyperlink r:id="rId30" w:history="1">
        <w:r w:rsidR="00E50B96" w:rsidRPr="00961D35">
          <w:rPr>
            <w:rStyle w:val="Lienhypertexte"/>
          </w:rPr>
          <w:t>Resolution 7.GA</w:t>
        </w:r>
        <w:r w:rsidR="002A321F">
          <w:rPr>
            <w:rStyle w:val="Lienhypertexte"/>
          </w:rPr>
          <w:t> </w:t>
        </w:r>
        <w:r w:rsidR="00E50B96" w:rsidRPr="00961D35">
          <w:rPr>
            <w:rStyle w:val="Lienhypertexte"/>
          </w:rPr>
          <w:t>6</w:t>
        </w:r>
      </w:hyperlink>
      <w:r w:rsidR="00E50B96">
        <w:rPr>
          <w:u w:val="none"/>
        </w:rPr>
        <w:t xml:space="preserve"> and</w:t>
      </w:r>
      <w:r w:rsidR="00961D35">
        <w:rPr>
          <w:u w:val="none"/>
        </w:rPr>
        <w:t xml:space="preserve"> </w:t>
      </w:r>
      <w:hyperlink r:id="rId31" w:history="1">
        <w:r w:rsidR="00961D35" w:rsidRPr="00961D35">
          <w:rPr>
            <w:rStyle w:val="Lienhypertexte"/>
          </w:rPr>
          <w:t>Resolution</w:t>
        </w:r>
        <w:r w:rsidR="00E50B96" w:rsidRPr="00961D35">
          <w:rPr>
            <w:rStyle w:val="Lienhypertexte"/>
          </w:rPr>
          <w:t xml:space="preserve"> 7.GA</w:t>
        </w:r>
        <w:r w:rsidR="002A321F">
          <w:rPr>
            <w:rStyle w:val="Lienhypertexte"/>
          </w:rPr>
          <w:t> </w:t>
        </w:r>
        <w:r w:rsidR="00E50B96" w:rsidRPr="00961D35">
          <w:rPr>
            <w:rStyle w:val="Lienhypertexte"/>
          </w:rPr>
          <w:t>11</w:t>
        </w:r>
      </w:hyperlink>
      <w:r w:rsidR="00E50B96">
        <w:rPr>
          <w:u w:val="none"/>
        </w:rPr>
        <w:t>,</w:t>
      </w:r>
    </w:p>
    <w:p w14:paraId="255BC5D4" w14:textId="73021565" w:rsidR="00EA70F7" w:rsidRPr="00EA70F7" w:rsidRDefault="008A1ED4" w:rsidP="00EA70F7">
      <w:pPr>
        <w:pStyle w:val="GAParaResolution"/>
        <w:ind w:left="1134" w:hanging="567"/>
        <w:rPr>
          <w:u w:val="none"/>
        </w:rPr>
      </w:pPr>
      <w:r w:rsidRPr="00EA70F7">
        <w:t>Commend</w:t>
      </w:r>
      <w:r w:rsidR="005812A0">
        <w:t>s</w:t>
      </w:r>
      <w:r w:rsidRPr="00EA70F7">
        <w:rPr>
          <w:u w:val="none"/>
        </w:rPr>
        <w:t xml:space="preserve"> </w:t>
      </w:r>
      <w:r w:rsidR="005812A0">
        <w:rPr>
          <w:u w:val="none"/>
        </w:rPr>
        <w:t xml:space="preserve">the </w:t>
      </w:r>
      <w:r w:rsidR="005812A0" w:rsidRPr="00EA70F7">
        <w:rPr>
          <w:u w:val="none"/>
        </w:rPr>
        <w:t>Secretariat, accredited non-governmental organizations, the ICH NGO Forum, the informal ad hoc open-ended working group</w:t>
      </w:r>
      <w:r w:rsidR="003B48C6">
        <w:rPr>
          <w:u w:val="none"/>
        </w:rPr>
        <w:t xml:space="preserve"> and States Parties</w:t>
      </w:r>
      <w:r w:rsidR="005812A0" w:rsidRPr="00EA70F7">
        <w:rPr>
          <w:u w:val="none"/>
        </w:rPr>
        <w:t xml:space="preserve"> </w:t>
      </w:r>
      <w:r w:rsidR="005812A0">
        <w:rPr>
          <w:u w:val="none"/>
        </w:rPr>
        <w:t xml:space="preserve">for </w:t>
      </w:r>
      <w:r w:rsidR="00765F3B">
        <w:rPr>
          <w:u w:val="none"/>
        </w:rPr>
        <w:t>carrying out</w:t>
      </w:r>
      <w:r w:rsidR="005812A0">
        <w:rPr>
          <w:u w:val="none"/>
        </w:rPr>
        <w:t xml:space="preserve"> </w:t>
      </w:r>
      <w:r w:rsidR="00CA7EF0" w:rsidRPr="00EA70F7">
        <w:rPr>
          <w:u w:val="none"/>
        </w:rPr>
        <w:t>the</w:t>
      </w:r>
      <w:r w:rsidR="0065698F">
        <w:rPr>
          <w:u w:val="none"/>
        </w:rPr>
        <w:t xml:space="preserve"> </w:t>
      </w:r>
      <w:r w:rsidR="003B48C6">
        <w:rPr>
          <w:u w:val="none"/>
        </w:rPr>
        <w:t xml:space="preserve">reflection </w:t>
      </w:r>
      <w:r w:rsidR="00EA70F7" w:rsidRPr="00EA70F7">
        <w:rPr>
          <w:u w:val="none"/>
        </w:rPr>
        <w:t>on the</w:t>
      </w:r>
      <w:r w:rsidR="003B48C6">
        <w:rPr>
          <w:u w:val="none"/>
        </w:rPr>
        <w:t xml:space="preserve"> participation of non-governmental organizations in the implementation of the Convention</w:t>
      </w:r>
      <w:r w:rsidR="00EA70F7" w:rsidRPr="00EA70F7">
        <w:rPr>
          <w:u w:val="none"/>
        </w:rPr>
        <w:t>;</w:t>
      </w:r>
    </w:p>
    <w:p w14:paraId="2C6038C7" w14:textId="5806C52F" w:rsidR="00137B1A" w:rsidRDefault="00137B1A" w:rsidP="00935106">
      <w:pPr>
        <w:pStyle w:val="COMParaDecision"/>
        <w:numPr>
          <w:ilvl w:val="0"/>
          <w:numId w:val="3"/>
        </w:numPr>
        <w:ind w:left="1134" w:hanging="567"/>
      </w:pPr>
      <w:r w:rsidRPr="00775817">
        <w:t>Acknowledges</w:t>
      </w:r>
      <w:r>
        <w:rPr>
          <w:u w:val="none"/>
        </w:rPr>
        <w:t xml:space="preserve"> the important role and </w:t>
      </w:r>
      <w:r w:rsidRPr="00C362D3">
        <w:rPr>
          <w:u w:val="none"/>
        </w:rPr>
        <w:t xml:space="preserve">untapped potential of accredited </w:t>
      </w:r>
      <w:r>
        <w:rPr>
          <w:u w:val="none"/>
        </w:rPr>
        <w:t>non-governmental organizations</w:t>
      </w:r>
      <w:r w:rsidRPr="00C362D3">
        <w:rPr>
          <w:u w:val="none"/>
        </w:rPr>
        <w:t xml:space="preserve"> </w:t>
      </w:r>
      <w:r w:rsidR="003B48C6">
        <w:rPr>
          <w:u w:val="none"/>
        </w:rPr>
        <w:t xml:space="preserve">and </w:t>
      </w:r>
      <w:r w:rsidR="003B48C6" w:rsidRPr="00C362D3">
        <w:rPr>
          <w:u w:val="none"/>
        </w:rPr>
        <w:t xml:space="preserve">the ICH NGO Forum </w:t>
      </w:r>
      <w:r w:rsidRPr="00C362D3">
        <w:rPr>
          <w:u w:val="none"/>
        </w:rPr>
        <w:t xml:space="preserve">in </w:t>
      </w:r>
      <w:r w:rsidR="001E06A1">
        <w:rPr>
          <w:u w:val="none"/>
        </w:rPr>
        <w:t xml:space="preserve">providing support </w:t>
      </w:r>
      <w:r w:rsidR="00451557">
        <w:rPr>
          <w:u w:val="none"/>
        </w:rPr>
        <w:t>for</w:t>
      </w:r>
      <w:r w:rsidR="001E06A1">
        <w:rPr>
          <w:u w:val="none"/>
        </w:rPr>
        <w:t xml:space="preserve"> </w:t>
      </w:r>
      <w:r w:rsidR="003B48C6">
        <w:rPr>
          <w:u w:val="none"/>
        </w:rPr>
        <w:t xml:space="preserve">the </w:t>
      </w:r>
      <w:r w:rsidRPr="00C362D3">
        <w:rPr>
          <w:u w:val="none"/>
        </w:rPr>
        <w:t>implementation of the Convention</w:t>
      </w:r>
      <w:r w:rsidR="00CB405A" w:rsidRPr="00C770D0">
        <w:rPr>
          <w:u w:val="none"/>
        </w:rPr>
        <w:t>;</w:t>
      </w:r>
    </w:p>
    <w:p w14:paraId="43B3E149" w14:textId="302AAB02" w:rsidR="006A2083" w:rsidRPr="009D36A2" w:rsidRDefault="003F3FBB" w:rsidP="006A2083">
      <w:pPr>
        <w:pStyle w:val="COMParaDecision"/>
        <w:numPr>
          <w:ilvl w:val="0"/>
          <w:numId w:val="3"/>
        </w:numPr>
        <w:ind w:left="1134" w:hanging="567"/>
        <w:rPr>
          <w:snapToGrid w:val="0"/>
          <w:lang w:eastAsia="en-US"/>
        </w:rPr>
      </w:pPr>
      <w:r>
        <w:t>Welcomes</w:t>
      </w:r>
      <w:r w:rsidR="006A2083">
        <w:rPr>
          <w:u w:val="none"/>
        </w:rPr>
        <w:t xml:space="preserve"> </w:t>
      </w:r>
      <w:r w:rsidR="00B009A4">
        <w:rPr>
          <w:u w:val="none"/>
        </w:rPr>
        <w:t>the</w:t>
      </w:r>
      <w:r w:rsidR="006A2083">
        <w:rPr>
          <w:u w:val="none"/>
        </w:rPr>
        <w:t xml:space="preserve"> specific item </w:t>
      </w:r>
      <w:r w:rsidR="006A2083" w:rsidRPr="00875BFF">
        <w:rPr>
          <w:u w:val="none"/>
          <w:lang w:val="en-US"/>
        </w:rPr>
        <w:t xml:space="preserve">‘Report of the Non-Governmental Organizations Forum’ </w:t>
      </w:r>
      <w:r w:rsidR="00B009A4">
        <w:rPr>
          <w:u w:val="none"/>
        </w:rPr>
        <w:t>to</w:t>
      </w:r>
      <w:r w:rsidR="006A2083" w:rsidRPr="00875BFF">
        <w:rPr>
          <w:u w:val="none"/>
        </w:rPr>
        <w:t xml:space="preserve"> be inscribed, </w:t>
      </w:r>
      <w:r w:rsidR="006A2083" w:rsidRPr="00875BFF">
        <w:rPr>
          <w:u w:val="none"/>
          <w:lang w:val="en-US"/>
        </w:rPr>
        <w:t>on an experimental basis,</w:t>
      </w:r>
      <w:r w:rsidR="006A2083">
        <w:rPr>
          <w:u w:val="none"/>
        </w:rPr>
        <w:t xml:space="preserve"> on the provisional agenda of the fifteenth session of the Committee</w:t>
      </w:r>
      <w:r w:rsidR="00B10E8D">
        <w:rPr>
          <w:u w:val="none"/>
        </w:rPr>
        <w:t>;</w:t>
      </w:r>
    </w:p>
    <w:p w14:paraId="7AA6A769" w14:textId="6BE2809F" w:rsidR="000139DF" w:rsidRPr="00B523F4" w:rsidRDefault="006530B3" w:rsidP="00B523F4">
      <w:pPr>
        <w:pStyle w:val="COMParaDecision"/>
        <w:numPr>
          <w:ilvl w:val="0"/>
          <w:numId w:val="3"/>
        </w:numPr>
        <w:ind w:left="1134" w:hanging="567"/>
        <w:rPr>
          <w:snapToGrid w:val="0"/>
          <w:lang w:eastAsia="en-US"/>
        </w:rPr>
      </w:pPr>
      <w:r>
        <w:t xml:space="preserve">Takes </w:t>
      </w:r>
      <w:r w:rsidR="003B48C6">
        <w:t>n</w:t>
      </w:r>
      <w:r>
        <w:t>ote</w:t>
      </w:r>
      <w:r w:rsidR="008A1ED4" w:rsidRPr="00F32C23">
        <w:rPr>
          <w:u w:val="none"/>
        </w:rPr>
        <w:t xml:space="preserve"> </w:t>
      </w:r>
      <w:r w:rsidRPr="00E917DD">
        <w:rPr>
          <w:u w:val="none"/>
        </w:rPr>
        <w:t>of the</w:t>
      </w:r>
      <w:r w:rsidR="001430C2">
        <w:rPr>
          <w:u w:val="none"/>
        </w:rPr>
        <w:t xml:space="preserve"> outcomes of the</w:t>
      </w:r>
      <w:r w:rsidRPr="00E917DD">
        <w:rPr>
          <w:u w:val="none"/>
        </w:rPr>
        <w:t xml:space="preserve"> </w:t>
      </w:r>
      <w:r>
        <w:rPr>
          <w:u w:val="none"/>
        </w:rPr>
        <w:t xml:space="preserve">reflection process </w:t>
      </w:r>
      <w:r w:rsidRPr="0031512B">
        <w:rPr>
          <w:u w:val="none"/>
        </w:rPr>
        <w:t xml:space="preserve">and </w:t>
      </w:r>
      <w:r w:rsidRPr="0031512B">
        <w:t>requests</w:t>
      </w:r>
      <w:r w:rsidRPr="0031512B">
        <w:rPr>
          <w:u w:val="none"/>
        </w:rPr>
        <w:t xml:space="preserve"> </w:t>
      </w:r>
      <w:r w:rsidRPr="00667C11">
        <w:rPr>
          <w:u w:val="none"/>
        </w:rPr>
        <w:t xml:space="preserve">that the Secretariat </w:t>
      </w:r>
      <w:r w:rsidR="001430C2" w:rsidRPr="00667C11">
        <w:rPr>
          <w:u w:val="none"/>
        </w:rPr>
        <w:t xml:space="preserve">implement, as appropriate, the relevant </w:t>
      </w:r>
      <w:r w:rsidR="00CB405A">
        <w:rPr>
          <w:u w:val="none"/>
        </w:rPr>
        <w:t>decisions of the Committee</w:t>
      </w:r>
      <w:r w:rsidR="001430C2" w:rsidRPr="00667C11">
        <w:rPr>
          <w:u w:val="none"/>
        </w:rPr>
        <w:t xml:space="preserve"> </w:t>
      </w:r>
      <w:r w:rsidR="00667C11" w:rsidRPr="00581684">
        <w:rPr>
          <w:u w:val="none"/>
        </w:rPr>
        <w:t xml:space="preserve">in </w:t>
      </w:r>
      <w:r w:rsidR="00667C11" w:rsidRPr="00C770D0">
        <w:rPr>
          <w:u w:val="none"/>
        </w:rPr>
        <w:t>consultation</w:t>
      </w:r>
      <w:r w:rsidR="003B48C6">
        <w:rPr>
          <w:u w:val="none"/>
        </w:rPr>
        <w:t xml:space="preserve"> and collaboration</w:t>
      </w:r>
      <w:r w:rsidR="00667C11" w:rsidRPr="00667C11">
        <w:rPr>
          <w:u w:val="none"/>
        </w:rPr>
        <w:t xml:space="preserve"> with the ICH NGO Forum</w:t>
      </w:r>
      <w:r w:rsidR="00CB405A">
        <w:rPr>
          <w:u w:val="none"/>
        </w:rPr>
        <w:t>.</w:t>
      </w:r>
    </w:p>
    <w:sectPr w:rsidR="000139DF" w:rsidRPr="00B523F4" w:rsidSect="00176720">
      <w:headerReference w:type="even" r:id="rId32"/>
      <w:headerReference w:type="default" r:id="rId33"/>
      <w:headerReference w:type="first" r:id="rId3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8524" w14:textId="77777777" w:rsidR="00450078" w:rsidRDefault="00450078" w:rsidP="00655736">
      <w:r>
        <w:separator/>
      </w:r>
    </w:p>
  </w:endnote>
  <w:endnote w:type="continuationSeparator" w:id="0">
    <w:p w14:paraId="7A39032B" w14:textId="77777777" w:rsidR="00450078" w:rsidRDefault="0045007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24F3F" w14:textId="77777777" w:rsidR="00450078" w:rsidRDefault="00450078" w:rsidP="00655736">
      <w:r>
        <w:separator/>
      </w:r>
    </w:p>
  </w:footnote>
  <w:footnote w:type="continuationSeparator" w:id="0">
    <w:p w14:paraId="533BC2B4" w14:textId="77777777" w:rsidR="00450078" w:rsidRDefault="00450078" w:rsidP="00655736">
      <w:r>
        <w:continuationSeparator/>
      </w:r>
    </w:p>
  </w:footnote>
  <w:footnote w:id="1">
    <w:p w14:paraId="0110B8FD" w14:textId="378EC6B2" w:rsidR="004C0710" w:rsidRPr="00DD5335" w:rsidRDefault="004C0710" w:rsidP="00DD5335">
      <w:pPr>
        <w:pStyle w:val="Notedebasdepage"/>
        <w:ind w:left="475" w:hanging="475"/>
        <w:jc w:val="both"/>
        <w:rPr>
          <w:rFonts w:ascii="Arial" w:hAnsi="Arial" w:cs="Arial"/>
          <w:sz w:val="18"/>
          <w:szCs w:val="18"/>
          <w:lang w:val="en-US"/>
        </w:rPr>
      </w:pPr>
      <w:r w:rsidRPr="00DD5335">
        <w:rPr>
          <w:rStyle w:val="Appelnotedebasdep"/>
          <w:rFonts w:ascii="Arial" w:hAnsi="Arial" w:cs="Arial"/>
          <w:sz w:val="18"/>
          <w:szCs w:val="18"/>
          <w:vertAlign w:val="baseline"/>
        </w:rPr>
        <w:footnoteRef/>
      </w:r>
      <w:r w:rsidR="009D36A2" w:rsidRPr="00DD5335">
        <w:rPr>
          <w:rFonts w:ascii="Arial" w:hAnsi="Arial" w:cs="Arial"/>
          <w:sz w:val="18"/>
          <w:szCs w:val="18"/>
          <w:lang w:val="en-US"/>
        </w:rPr>
        <w:t>.</w:t>
      </w:r>
      <w:r w:rsidRPr="00DD5335">
        <w:rPr>
          <w:rFonts w:ascii="Arial" w:hAnsi="Arial" w:cs="Arial"/>
          <w:sz w:val="18"/>
          <w:szCs w:val="18"/>
          <w:lang w:val="en-US"/>
        </w:rPr>
        <w:tab/>
        <w:t xml:space="preserve">Seven groups of functions of the ICH NGO Forum were identified in its </w:t>
      </w:r>
      <w:r w:rsidR="006A442B">
        <w:rPr>
          <w:rFonts w:ascii="Arial" w:hAnsi="Arial" w:cs="Arial"/>
          <w:sz w:val="18"/>
          <w:szCs w:val="18"/>
          <w:lang w:val="en-US"/>
        </w:rPr>
        <w:t>B</w:t>
      </w:r>
      <w:r w:rsidRPr="00DD5335">
        <w:rPr>
          <w:rFonts w:ascii="Arial" w:hAnsi="Arial" w:cs="Arial"/>
          <w:sz w:val="18"/>
          <w:szCs w:val="18"/>
          <w:lang w:val="en-US"/>
        </w:rPr>
        <w:t>ylaws (Article 3), summarized as follows: (1) serve as a forum of exchange of information and ideas for safeguarding ICH; (2) act as a platform for networking and cooperation among ICH NGOs; (</w:t>
      </w:r>
      <w:r w:rsidR="00700F35" w:rsidRPr="00DD5335">
        <w:rPr>
          <w:rFonts w:ascii="Arial" w:hAnsi="Arial" w:cs="Arial"/>
          <w:sz w:val="18"/>
          <w:szCs w:val="18"/>
          <w:lang w:val="en-US"/>
        </w:rPr>
        <w:t>3</w:t>
      </w:r>
      <w:r w:rsidRPr="00DD5335">
        <w:rPr>
          <w:rFonts w:ascii="Arial" w:hAnsi="Arial" w:cs="Arial"/>
          <w:sz w:val="18"/>
          <w:szCs w:val="18"/>
          <w:lang w:val="en-US"/>
        </w:rPr>
        <w:t>) foster the ethical principles and participation of civil society</w:t>
      </w:r>
      <w:r w:rsidR="00700F35" w:rsidRPr="00DD5335">
        <w:rPr>
          <w:rFonts w:ascii="Arial" w:hAnsi="Arial" w:cs="Arial"/>
          <w:sz w:val="18"/>
          <w:szCs w:val="18"/>
          <w:lang w:val="en-US"/>
        </w:rPr>
        <w:t xml:space="preserve"> in the safeguarding of ICH</w:t>
      </w:r>
      <w:r w:rsidRPr="00DD5335">
        <w:rPr>
          <w:rFonts w:ascii="Arial" w:hAnsi="Arial" w:cs="Arial"/>
          <w:sz w:val="18"/>
          <w:szCs w:val="18"/>
          <w:lang w:val="en-US"/>
        </w:rPr>
        <w:t>; (</w:t>
      </w:r>
      <w:r w:rsidR="00700F35" w:rsidRPr="00DD5335">
        <w:rPr>
          <w:rFonts w:ascii="Arial" w:hAnsi="Arial" w:cs="Arial"/>
          <w:sz w:val="18"/>
          <w:szCs w:val="18"/>
          <w:lang w:val="en-US"/>
        </w:rPr>
        <w:t>4</w:t>
      </w:r>
      <w:r w:rsidRPr="00DD5335">
        <w:rPr>
          <w:rFonts w:ascii="Arial" w:hAnsi="Arial" w:cs="Arial"/>
          <w:sz w:val="18"/>
          <w:szCs w:val="18"/>
          <w:lang w:val="en-US"/>
        </w:rPr>
        <w:t>) provide resources, reports and information about safeguarding practices to UNESCO, States Parties, communities, practitioners and other stakeholders; (</w:t>
      </w:r>
      <w:r w:rsidR="00C4763D" w:rsidRPr="00DD5335">
        <w:rPr>
          <w:rFonts w:ascii="Arial" w:hAnsi="Arial" w:cs="Arial"/>
          <w:sz w:val="18"/>
          <w:szCs w:val="18"/>
          <w:lang w:val="en-US"/>
        </w:rPr>
        <w:t>5</w:t>
      </w:r>
      <w:r w:rsidRPr="00DD5335">
        <w:rPr>
          <w:rFonts w:ascii="Arial" w:hAnsi="Arial" w:cs="Arial"/>
          <w:sz w:val="18"/>
          <w:szCs w:val="18"/>
          <w:lang w:val="en-US"/>
        </w:rPr>
        <w:t>) support NGOs in advancing their cooperation with governmental and intergovernmental entities; (6) contribute to the capacity-building programme and to experience sharing on good safeguarding practices</w:t>
      </w:r>
      <w:r w:rsidR="00115D83">
        <w:rPr>
          <w:rFonts w:ascii="Arial" w:hAnsi="Arial" w:cs="Arial"/>
          <w:sz w:val="18"/>
          <w:szCs w:val="18"/>
          <w:lang w:val="en-US"/>
        </w:rPr>
        <w:t>;</w:t>
      </w:r>
      <w:r w:rsidRPr="00DD5335">
        <w:rPr>
          <w:rFonts w:ascii="Arial" w:hAnsi="Arial" w:cs="Arial"/>
          <w:sz w:val="18"/>
          <w:szCs w:val="18"/>
          <w:lang w:val="en-US"/>
        </w:rPr>
        <w:t xml:space="preserve"> (</w:t>
      </w:r>
      <w:r w:rsidR="006A442B">
        <w:rPr>
          <w:rFonts w:ascii="Arial" w:hAnsi="Arial" w:cs="Arial"/>
          <w:sz w:val="18"/>
          <w:szCs w:val="18"/>
          <w:lang w:val="en-US"/>
        </w:rPr>
        <w:t>7</w:t>
      </w:r>
      <w:r w:rsidRPr="00DD5335">
        <w:rPr>
          <w:rFonts w:ascii="Arial" w:hAnsi="Arial" w:cs="Arial"/>
          <w:sz w:val="18"/>
          <w:szCs w:val="18"/>
          <w:lang w:val="en-US"/>
        </w:rPr>
        <w:t>) advise the Intergovernmental Committee on specific thematic issues</w:t>
      </w:r>
      <w:r w:rsidR="006A442B">
        <w:rPr>
          <w:rFonts w:ascii="Arial" w:hAnsi="Arial" w:cs="Arial"/>
          <w:sz w:val="18"/>
          <w:szCs w:val="18"/>
          <w:lang w:val="en-US"/>
        </w:rPr>
        <w:t xml:space="preserve"> and</w:t>
      </w:r>
      <w:r w:rsidRPr="00DD5335">
        <w:rPr>
          <w:rFonts w:ascii="Arial" w:hAnsi="Arial" w:cs="Arial"/>
          <w:sz w:val="18"/>
          <w:szCs w:val="18"/>
          <w:lang w:val="en-US"/>
        </w:rPr>
        <w:t xml:space="preserve"> participat</w:t>
      </w:r>
      <w:r w:rsidR="006A442B">
        <w:rPr>
          <w:rFonts w:ascii="Arial" w:hAnsi="Arial" w:cs="Arial"/>
          <w:sz w:val="18"/>
          <w:szCs w:val="18"/>
          <w:lang w:val="en-US"/>
        </w:rPr>
        <w:t>e</w:t>
      </w:r>
      <w:r w:rsidRPr="00DD5335">
        <w:rPr>
          <w:rFonts w:ascii="Arial" w:hAnsi="Arial" w:cs="Arial"/>
          <w:sz w:val="18"/>
          <w:szCs w:val="18"/>
          <w:lang w:val="en-US"/>
        </w:rPr>
        <w:t xml:space="preserve"> in</w:t>
      </w:r>
      <w:r w:rsidR="00700F35" w:rsidRPr="00DD5335">
        <w:rPr>
          <w:rFonts w:ascii="Arial" w:hAnsi="Arial" w:cs="Arial"/>
          <w:sz w:val="18"/>
          <w:szCs w:val="18"/>
          <w:lang w:val="en-US"/>
        </w:rPr>
        <w:t xml:space="preserve"> </w:t>
      </w:r>
      <w:r w:rsidRPr="00DD5335">
        <w:rPr>
          <w:rFonts w:ascii="Arial" w:hAnsi="Arial" w:cs="Arial"/>
          <w:sz w:val="18"/>
          <w:szCs w:val="18"/>
          <w:lang w:val="en-US"/>
        </w:rPr>
        <w:t>reporting and monitoring o</w:t>
      </w:r>
      <w:r w:rsidR="006A442B">
        <w:rPr>
          <w:rFonts w:ascii="Arial" w:hAnsi="Arial" w:cs="Arial"/>
          <w:sz w:val="18"/>
          <w:szCs w:val="18"/>
          <w:lang w:val="en-US"/>
        </w:rPr>
        <w:t>n</w:t>
      </w:r>
      <w:r w:rsidRPr="00DD5335">
        <w:rPr>
          <w:rFonts w:ascii="Arial" w:hAnsi="Arial" w:cs="Arial"/>
          <w:sz w:val="18"/>
          <w:szCs w:val="18"/>
          <w:lang w:val="en-US"/>
        </w:rPr>
        <w:t xml:space="preserve"> inscribed elements and safeguarding practices.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1E93" w14:textId="7C4A00AA" w:rsidR="00450078" w:rsidRPr="00C23A97" w:rsidRDefault="00450078">
    <w:pPr>
      <w:pStyle w:val="En-tte"/>
      <w:rPr>
        <w:rFonts w:ascii="Arial" w:hAnsi="Arial" w:cs="Arial"/>
        <w:lang w:val="en-GB"/>
      </w:rPr>
    </w:pPr>
    <w:r>
      <w:rPr>
        <w:rFonts w:ascii="Arial" w:hAnsi="Arial" w:cs="Arial"/>
        <w:sz w:val="20"/>
        <w:szCs w:val="20"/>
        <w:lang w:val="en-GB"/>
      </w:rPr>
      <w:t>LHE/20/8</w:t>
    </w:r>
    <w:r w:rsidRPr="00C23A97">
      <w:rPr>
        <w:rFonts w:ascii="Arial" w:hAnsi="Arial" w:cs="Arial"/>
        <w:sz w:val="20"/>
        <w:szCs w:val="20"/>
        <w:lang w:val="en-GB"/>
      </w:rPr>
      <w:t>.GA/</w:t>
    </w:r>
    <w:r w:rsidR="00931D55">
      <w:rPr>
        <w:rFonts w:ascii="Arial" w:hAnsi="Arial" w:cs="Arial"/>
        <w:sz w:val="20"/>
        <w:szCs w:val="20"/>
        <w:lang w:val="en-GB"/>
      </w:rPr>
      <w:t>12</w:t>
    </w:r>
    <w:r w:rsidRPr="00C23A97">
      <w:rPr>
        <w:rFonts w:ascii="Arial" w:hAnsi="Arial" w:cs="Arial"/>
        <w:sz w:val="20"/>
        <w:szCs w:val="20"/>
        <w:lang w:val="en-GB"/>
      </w:rPr>
      <w:t xml:space="preserve"> – page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sidR="0008411F">
      <w:rPr>
        <w:rStyle w:val="Numrodepage"/>
        <w:rFonts w:ascii="Arial" w:hAnsi="Arial" w:cs="Arial"/>
        <w:noProof/>
        <w:sz w:val="20"/>
        <w:szCs w:val="20"/>
        <w:lang w:val="en-GB"/>
      </w:rPr>
      <w:t>4</w:t>
    </w:r>
    <w:r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3FF4" w14:textId="1A01BCEA" w:rsidR="00450078" w:rsidRPr="0063300C" w:rsidRDefault="00440D23" w:rsidP="0063300C">
    <w:pPr>
      <w:pStyle w:val="En-tte"/>
      <w:jc w:val="right"/>
      <w:rPr>
        <w:rFonts w:ascii="Arial" w:hAnsi="Arial" w:cs="Arial"/>
        <w:lang w:val="en-GB"/>
      </w:rPr>
    </w:pPr>
    <w:r>
      <w:rPr>
        <w:rFonts w:ascii="Arial" w:hAnsi="Arial" w:cs="Arial"/>
        <w:sz w:val="20"/>
        <w:szCs w:val="20"/>
        <w:lang w:val="en-GB"/>
      </w:rPr>
      <w:t>LHE</w:t>
    </w:r>
    <w:r w:rsidR="00450078">
      <w:rPr>
        <w:rFonts w:ascii="Arial" w:hAnsi="Arial" w:cs="Arial"/>
        <w:sz w:val="20"/>
        <w:szCs w:val="20"/>
        <w:lang w:val="en-GB"/>
      </w:rPr>
      <w:t>/</w:t>
    </w:r>
    <w:r>
      <w:rPr>
        <w:rFonts w:ascii="Arial" w:hAnsi="Arial" w:cs="Arial"/>
        <w:sz w:val="20"/>
        <w:szCs w:val="20"/>
        <w:lang w:val="en-GB"/>
      </w:rPr>
      <w:t>20</w:t>
    </w:r>
    <w:r w:rsidR="00450078">
      <w:rPr>
        <w:rFonts w:ascii="Arial" w:hAnsi="Arial" w:cs="Arial"/>
        <w:sz w:val="20"/>
        <w:szCs w:val="20"/>
        <w:lang w:val="en-GB"/>
      </w:rPr>
      <w:t>/</w:t>
    </w:r>
    <w:r>
      <w:rPr>
        <w:rFonts w:ascii="Arial" w:hAnsi="Arial" w:cs="Arial"/>
        <w:sz w:val="20"/>
        <w:szCs w:val="20"/>
        <w:lang w:val="en-GB"/>
      </w:rPr>
      <w:t>8</w:t>
    </w:r>
    <w:r w:rsidR="00450078" w:rsidRPr="0063300C">
      <w:rPr>
        <w:rFonts w:ascii="Arial" w:hAnsi="Arial" w:cs="Arial"/>
        <w:sz w:val="20"/>
        <w:szCs w:val="20"/>
        <w:lang w:val="en-GB"/>
      </w:rPr>
      <w:t>.GA/</w:t>
    </w:r>
    <w:r w:rsidR="00931D55">
      <w:rPr>
        <w:rFonts w:ascii="Arial" w:hAnsi="Arial" w:cs="Arial"/>
        <w:sz w:val="20"/>
        <w:szCs w:val="20"/>
        <w:lang w:val="en-GB"/>
      </w:rPr>
      <w:t>12</w:t>
    </w:r>
    <w:r w:rsidR="00450078" w:rsidRPr="0063300C">
      <w:rPr>
        <w:rFonts w:ascii="Arial" w:hAnsi="Arial" w:cs="Arial"/>
        <w:sz w:val="20"/>
        <w:szCs w:val="20"/>
        <w:lang w:val="en-GB"/>
      </w:rPr>
      <w:t xml:space="preserve"> – page </w:t>
    </w:r>
    <w:r w:rsidR="00450078" w:rsidRPr="0063300C">
      <w:rPr>
        <w:rStyle w:val="Numrodepage"/>
        <w:rFonts w:ascii="Arial" w:hAnsi="Arial" w:cs="Arial"/>
        <w:sz w:val="20"/>
        <w:szCs w:val="20"/>
        <w:lang w:val="en-GB"/>
      </w:rPr>
      <w:fldChar w:fldCharType="begin"/>
    </w:r>
    <w:r w:rsidR="00450078" w:rsidRPr="0063300C">
      <w:rPr>
        <w:rStyle w:val="Numrodepage"/>
        <w:rFonts w:ascii="Arial" w:hAnsi="Arial" w:cs="Arial"/>
        <w:sz w:val="20"/>
        <w:szCs w:val="20"/>
        <w:lang w:val="en-GB"/>
      </w:rPr>
      <w:instrText xml:space="preserve"> PAGE </w:instrText>
    </w:r>
    <w:r w:rsidR="00450078" w:rsidRPr="0063300C">
      <w:rPr>
        <w:rStyle w:val="Numrodepage"/>
        <w:rFonts w:ascii="Arial" w:hAnsi="Arial" w:cs="Arial"/>
        <w:sz w:val="20"/>
        <w:szCs w:val="20"/>
        <w:lang w:val="en-GB"/>
      </w:rPr>
      <w:fldChar w:fldCharType="separate"/>
    </w:r>
    <w:r w:rsidR="0008411F">
      <w:rPr>
        <w:rStyle w:val="Numrodepage"/>
        <w:rFonts w:ascii="Arial" w:hAnsi="Arial" w:cs="Arial"/>
        <w:noProof/>
        <w:sz w:val="20"/>
        <w:szCs w:val="20"/>
        <w:lang w:val="en-GB"/>
      </w:rPr>
      <w:t>3</w:t>
    </w:r>
    <w:r w:rsidR="00450078"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43758" w14:textId="77777777" w:rsidR="00450078" w:rsidRPr="008724E5" w:rsidRDefault="00450078">
    <w:pPr>
      <w:pStyle w:val="En-tte"/>
    </w:pPr>
    <w:r>
      <w:rPr>
        <w:noProof/>
        <w:lang w:eastAsia="ja-JP"/>
      </w:rPr>
      <w:drawing>
        <wp:anchor distT="0" distB="0" distL="114300" distR="114300" simplePos="0" relativeHeight="251657728" behindDoc="0" locked="0" layoutInCell="1" allowOverlap="1" wp14:anchorId="344442C5" wp14:editId="39C243E7">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BFAB2" w14:textId="77777777" w:rsidR="00450078" w:rsidRPr="00B65CDE" w:rsidRDefault="00450078" w:rsidP="00655736">
    <w:pPr>
      <w:pStyle w:val="En-tte"/>
      <w:spacing w:after="520"/>
      <w:jc w:val="right"/>
      <w:rPr>
        <w:rFonts w:ascii="Arial" w:hAnsi="Arial" w:cs="Arial"/>
        <w:b/>
        <w:sz w:val="44"/>
        <w:szCs w:val="44"/>
        <w:lang w:val="pt-BR"/>
      </w:rPr>
    </w:pPr>
    <w:r w:rsidRPr="00B65CDE">
      <w:rPr>
        <w:rFonts w:ascii="Arial" w:hAnsi="Arial" w:cs="Arial"/>
        <w:b/>
        <w:sz w:val="44"/>
        <w:szCs w:val="44"/>
        <w:lang w:val="pt-BR"/>
      </w:rPr>
      <w:t>8 GA</w:t>
    </w:r>
  </w:p>
  <w:p w14:paraId="3A3D3C55" w14:textId="06CF8DBC" w:rsidR="00450078" w:rsidRPr="00B65CDE" w:rsidRDefault="00931D55" w:rsidP="00655736">
    <w:pPr>
      <w:jc w:val="right"/>
      <w:rPr>
        <w:rFonts w:ascii="Arial" w:hAnsi="Arial" w:cs="Arial"/>
        <w:b/>
        <w:sz w:val="22"/>
        <w:szCs w:val="22"/>
        <w:lang w:val="pt-BR"/>
      </w:rPr>
    </w:pPr>
    <w:r>
      <w:rPr>
        <w:rFonts w:ascii="Arial" w:hAnsi="Arial" w:cs="Arial"/>
        <w:b/>
        <w:sz w:val="22"/>
        <w:szCs w:val="22"/>
        <w:lang w:val="pt-BR"/>
      </w:rPr>
      <w:t>LHE/20/8.GA/12</w:t>
    </w:r>
  </w:p>
  <w:p w14:paraId="5A404F29" w14:textId="23B34686" w:rsidR="00450078" w:rsidRPr="00B65CDE" w:rsidRDefault="00450078" w:rsidP="00655736">
    <w:pPr>
      <w:jc w:val="right"/>
      <w:rPr>
        <w:rFonts w:ascii="Arial" w:hAnsi="Arial" w:cs="Arial"/>
        <w:b/>
        <w:sz w:val="22"/>
        <w:szCs w:val="22"/>
        <w:lang w:val="pt-BR"/>
      </w:rPr>
    </w:pPr>
    <w:r w:rsidRPr="00C91779">
      <w:rPr>
        <w:rFonts w:ascii="Arial" w:hAnsi="Arial" w:cs="Arial"/>
        <w:b/>
        <w:sz w:val="22"/>
        <w:szCs w:val="22"/>
        <w:lang w:val="pt-BR"/>
      </w:rPr>
      <w:t xml:space="preserve">Paris, </w:t>
    </w:r>
    <w:r w:rsidR="00700F35" w:rsidRPr="00C91779">
      <w:rPr>
        <w:rFonts w:ascii="Arial" w:hAnsi="Arial" w:cs="Arial"/>
        <w:b/>
        <w:sz w:val="22"/>
        <w:szCs w:val="22"/>
        <w:lang w:val="pt-BR"/>
      </w:rPr>
      <w:t>7 August</w:t>
    </w:r>
    <w:r w:rsidRPr="00C91779">
      <w:rPr>
        <w:rFonts w:ascii="Arial" w:hAnsi="Arial" w:cs="Arial"/>
        <w:b/>
        <w:sz w:val="22"/>
        <w:szCs w:val="22"/>
        <w:lang w:val="pt-BR"/>
      </w:rPr>
      <w:t xml:space="preserve"> 2020</w:t>
    </w:r>
  </w:p>
  <w:p w14:paraId="7029C044" w14:textId="77777777" w:rsidR="00450078" w:rsidRDefault="00450078" w:rsidP="00703FBF">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p w14:paraId="0CC1F1E2" w14:textId="77777777" w:rsidR="00450078" w:rsidRPr="00C23A97" w:rsidRDefault="00450078"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2113DAC"/>
    <w:multiLevelType w:val="multilevel"/>
    <w:tmpl w:val="3AA2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3" w15:restartNumberingAfterBreak="0">
    <w:nsid w:val="35F07BFE"/>
    <w:multiLevelType w:val="hybridMultilevel"/>
    <w:tmpl w:val="22BAB922"/>
    <w:lvl w:ilvl="0" w:tplc="E636284C">
      <w:start w:val="1"/>
      <w:numFmt w:val="decimal"/>
      <w:pStyle w:val="GAPara"/>
      <w:lvlText w:val="%1."/>
      <w:lvlJc w:val="left"/>
      <w:pPr>
        <w:ind w:left="720" w:hanging="360"/>
      </w:pPr>
      <w:rPr>
        <w:lang w:val="en-G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714ECB"/>
    <w:multiLevelType w:val="hybridMultilevel"/>
    <w:tmpl w:val="220A5FB0"/>
    <w:lvl w:ilvl="0" w:tplc="040C0001">
      <w:start w:val="1"/>
      <w:numFmt w:val="bullet"/>
      <w:lvlText w:val=""/>
      <w:lvlJc w:val="left"/>
      <w:pPr>
        <w:ind w:left="1069" w:hanging="360"/>
      </w:pPr>
      <w:rPr>
        <w:rFonts w:ascii="Symbol" w:hAnsi="Symbol" w:hint="default"/>
        <w:lang w:val="en-US"/>
      </w:r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5CB67C65"/>
    <w:multiLevelType w:val="hybridMultilevel"/>
    <w:tmpl w:val="FBD8187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68B1045"/>
    <w:multiLevelType w:val="hybridMultilevel"/>
    <w:tmpl w:val="42C29F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lvlOverride w:ilvl="0">
      <w:startOverride w:val="1"/>
    </w:lvlOverride>
  </w:num>
  <w:num w:numId="15">
    <w:abstractNumId w:val="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8"/>
  </w:num>
  <w:num w:numId="28">
    <w:abstractNumId w:val="3"/>
  </w:num>
  <w:num w:numId="29">
    <w:abstractNumId w:val="3"/>
  </w:num>
  <w:num w:numId="30">
    <w:abstractNumId w:val="3"/>
  </w:num>
  <w:num w:numId="31">
    <w:abstractNumId w:val="3"/>
  </w:num>
  <w:num w:numId="32">
    <w:abstractNumId w:val="2"/>
  </w:num>
  <w:num w:numId="33">
    <w:abstractNumId w:val="3"/>
  </w:num>
  <w:num w:numId="34">
    <w:abstractNumId w:val="3"/>
  </w:num>
  <w:num w:numId="35">
    <w:abstractNumId w:val="3"/>
  </w:num>
  <w:num w:numId="36">
    <w:abstractNumId w:val="5"/>
  </w:num>
  <w:num w:numId="37">
    <w:abstractNumId w:val="3"/>
  </w:num>
  <w:num w:numId="38">
    <w:abstractNumId w:val="3"/>
  </w:num>
  <w:num w:numId="39">
    <w:abstractNumId w:val="3"/>
  </w:num>
  <w:num w:numId="40">
    <w:abstractNumId w:val="3"/>
  </w:num>
  <w:num w:numId="4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17E5"/>
    <w:rsid w:val="000048ED"/>
    <w:rsid w:val="00010F24"/>
    <w:rsid w:val="00011C3D"/>
    <w:rsid w:val="000139DF"/>
    <w:rsid w:val="00034E35"/>
    <w:rsid w:val="000407E3"/>
    <w:rsid w:val="00041A66"/>
    <w:rsid w:val="00044DCA"/>
    <w:rsid w:val="00047DCC"/>
    <w:rsid w:val="000506E0"/>
    <w:rsid w:val="0005176E"/>
    <w:rsid w:val="00052A1F"/>
    <w:rsid w:val="00065273"/>
    <w:rsid w:val="00066988"/>
    <w:rsid w:val="000728D7"/>
    <w:rsid w:val="000765F7"/>
    <w:rsid w:val="000767EC"/>
    <w:rsid w:val="00077AB7"/>
    <w:rsid w:val="00081CD8"/>
    <w:rsid w:val="0008411F"/>
    <w:rsid w:val="00084204"/>
    <w:rsid w:val="00087346"/>
    <w:rsid w:val="00095F74"/>
    <w:rsid w:val="000A2C46"/>
    <w:rsid w:val="000A3DCF"/>
    <w:rsid w:val="000A4203"/>
    <w:rsid w:val="000A7F0E"/>
    <w:rsid w:val="000B286C"/>
    <w:rsid w:val="000C0D61"/>
    <w:rsid w:val="000C663A"/>
    <w:rsid w:val="000E2D36"/>
    <w:rsid w:val="000E3F2A"/>
    <w:rsid w:val="000E5053"/>
    <w:rsid w:val="000F0233"/>
    <w:rsid w:val="000F0A59"/>
    <w:rsid w:val="000F3A3F"/>
    <w:rsid w:val="0010089F"/>
    <w:rsid w:val="00102557"/>
    <w:rsid w:val="0011106C"/>
    <w:rsid w:val="0011131C"/>
    <w:rsid w:val="00115D83"/>
    <w:rsid w:val="00122259"/>
    <w:rsid w:val="00122D69"/>
    <w:rsid w:val="00124FD0"/>
    <w:rsid w:val="001256D7"/>
    <w:rsid w:val="001340FE"/>
    <w:rsid w:val="00137B1A"/>
    <w:rsid w:val="00141A0D"/>
    <w:rsid w:val="00142211"/>
    <w:rsid w:val="001430C2"/>
    <w:rsid w:val="00154D78"/>
    <w:rsid w:val="00161CF1"/>
    <w:rsid w:val="00162B1C"/>
    <w:rsid w:val="00164D56"/>
    <w:rsid w:val="00166BB2"/>
    <w:rsid w:val="00167B10"/>
    <w:rsid w:val="0017402F"/>
    <w:rsid w:val="00174540"/>
    <w:rsid w:val="00174BEB"/>
    <w:rsid w:val="00176720"/>
    <w:rsid w:val="00176F5F"/>
    <w:rsid w:val="00183B94"/>
    <w:rsid w:val="0018735F"/>
    <w:rsid w:val="0019052E"/>
    <w:rsid w:val="00191133"/>
    <w:rsid w:val="00196C1B"/>
    <w:rsid w:val="001A4B10"/>
    <w:rsid w:val="001B0F73"/>
    <w:rsid w:val="001B73F4"/>
    <w:rsid w:val="001C0903"/>
    <w:rsid w:val="001C3FDF"/>
    <w:rsid w:val="001C6F0D"/>
    <w:rsid w:val="001D263C"/>
    <w:rsid w:val="001D5C04"/>
    <w:rsid w:val="001E06A1"/>
    <w:rsid w:val="001F32B8"/>
    <w:rsid w:val="00200732"/>
    <w:rsid w:val="0020111B"/>
    <w:rsid w:val="0020227B"/>
    <w:rsid w:val="00202580"/>
    <w:rsid w:val="00202733"/>
    <w:rsid w:val="002058B7"/>
    <w:rsid w:val="00206635"/>
    <w:rsid w:val="00207534"/>
    <w:rsid w:val="00207548"/>
    <w:rsid w:val="002075CB"/>
    <w:rsid w:val="002115E7"/>
    <w:rsid w:val="002163AB"/>
    <w:rsid w:val="0021691D"/>
    <w:rsid w:val="0022214D"/>
    <w:rsid w:val="0022253F"/>
    <w:rsid w:val="00222A2D"/>
    <w:rsid w:val="00223029"/>
    <w:rsid w:val="00225BE4"/>
    <w:rsid w:val="00226033"/>
    <w:rsid w:val="0022712B"/>
    <w:rsid w:val="00234745"/>
    <w:rsid w:val="002407AF"/>
    <w:rsid w:val="00241009"/>
    <w:rsid w:val="002425E6"/>
    <w:rsid w:val="002505EE"/>
    <w:rsid w:val="002548E2"/>
    <w:rsid w:val="002553B7"/>
    <w:rsid w:val="00257105"/>
    <w:rsid w:val="00265355"/>
    <w:rsid w:val="002740E9"/>
    <w:rsid w:val="00277180"/>
    <w:rsid w:val="00283DFA"/>
    <w:rsid w:val="002923E7"/>
    <w:rsid w:val="0029582F"/>
    <w:rsid w:val="002A1246"/>
    <w:rsid w:val="002A321F"/>
    <w:rsid w:val="002B570F"/>
    <w:rsid w:val="002B616A"/>
    <w:rsid w:val="002C02AB"/>
    <w:rsid w:val="002C09E3"/>
    <w:rsid w:val="002C7953"/>
    <w:rsid w:val="002E14C7"/>
    <w:rsid w:val="002E3497"/>
    <w:rsid w:val="002E56C0"/>
    <w:rsid w:val="002F312A"/>
    <w:rsid w:val="002F4B71"/>
    <w:rsid w:val="0030587F"/>
    <w:rsid w:val="00313AB6"/>
    <w:rsid w:val="003144E8"/>
    <w:rsid w:val="00320D43"/>
    <w:rsid w:val="003264D1"/>
    <w:rsid w:val="00333255"/>
    <w:rsid w:val="0033326E"/>
    <w:rsid w:val="003367E9"/>
    <w:rsid w:val="003403D5"/>
    <w:rsid w:val="00341036"/>
    <w:rsid w:val="00345CB4"/>
    <w:rsid w:val="0035086C"/>
    <w:rsid w:val="003549B8"/>
    <w:rsid w:val="003627DE"/>
    <w:rsid w:val="00362A3F"/>
    <w:rsid w:val="003663E5"/>
    <w:rsid w:val="00373A0A"/>
    <w:rsid w:val="00373BCB"/>
    <w:rsid w:val="00375EC4"/>
    <w:rsid w:val="00385E68"/>
    <w:rsid w:val="00393AA9"/>
    <w:rsid w:val="00394C88"/>
    <w:rsid w:val="003A52BC"/>
    <w:rsid w:val="003A697D"/>
    <w:rsid w:val="003B005F"/>
    <w:rsid w:val="003B0ECC"/>
    <w:rsid w:val="003B3BBA"/>
    <w:rsid w:val="003B48C6"/>
    <w:rsid w:val="003C0A98"/>
    <w:rsid w:val="003C63D6"/>
    <w:rsid w:val="003C7963"/>
    <w:rsid w:val="003D0634"/>
    <w:rsid w:val="003D069C"/>
    <w:rsid w:val="003D7646"/>
    <w:rsid w:val="003E1D56"/>
    <w:rsid w:val="003F113A"/>
    <w:rsid w:val="003F36A8"/>
    <w:rsid w:val="003F3FBB"/>
    <w:rsid w:val="003F4145"/>
    <w:rsid w:val="003F7854"/>
    <w:rsid w:val="0040441B"/>
    <w:rsid w:val="00414643"/>
    <w:rsid w:val="0041682C"/>
    <w:rsid w:val="004269B6"/>
    <w:rsid w:val="0042777D"/>
    <w:rsid w:val="00432813"/>
    <w:rsid w:val="00440D23"/>
    <w:rsid w:val="0044194D"/>
    <w:rsid w:val="004421E5"/>
    <w:rsid w:val="004422D9"/>
    <w:rsid w:val="00450078"/>
    <w:rsid w:val="00451557"/>
    <w:rsid w:val="00452284"/>
    <w:rsid w:val="00454AEE"/>
    <w:rsid w:val="0046567C"/>
    <w:rsid w:val="00467FA1"/>
    <w:rsid w:val="00473EA7"/>
    <w:rsid w:val="004856CA"/>
    <w:rsid w:val="004874CC"/>
    <w:rsid w:val="0049444F"/>
    <w:rsid w:val="004962AE"/>
    <w:rsid w:val="0049705E"/>
    <w:rsid w:val="004A2D4A"/>
    <w:rsid w:val="004A34A0"/>
    <w:rsid w:val="004A489F"/>
    <w:rsid w:val="004B2AC3"/>
    <w:rsid w:val="004B3B9B"/>
    <w:rsid w:val="004B42CA"/>
    <w:rsid w:val="004B4AC7"/>
    <w:rsid w:val="004B69E4"/>
    <w:rsid w:val="004C0710"/>
    <w:rsid w:val="004C1831"/>
    <w:rsid w:val="004C4CEE"/>
    <w:rsid w:val="004D7145"/>
    <w:rsid w:val="004E14A4"/>
    <w:rsid w:val="004F361C"/>
    <w:rsid w:val="004F4362"/>
    <w:rsid w:val="004F74CC"/>
    <w:rsid w:val="004F7C7D"/>
    <w:rsid w:val="005060B1"/>
    <w:rsid w:val="005215F8"/>
    <w:rsid w:val="005221C2"/>
    <w:rsid w:val="00523335"/>
    <w:rsid w:val="00524C32"/>
    <w:rsid w:val="00526B7B"/>
    <w:rsid w:val="0052769C"/>
    <w:rsid w:val="005308CE"/>
    <w:rsid w:val="00531279"/>
    <w:rsid w:val="00534367"/>
    <w:rsid w:val="00540FE0"/>
    <w:rsid w:val="00546577"/>
    <w:rsid w:val="00550167"/>
    <w:rsid w:val="00554559"/>
    <w:rsid w:val="0056334C"/>
    <w:rsid w:val="005644C4"/>
    <w:rsid w:val="00570083"/>
    <w:rsid w:val="0057439C"/>
    <w:rsid w:val="00575454"/>
    <w:rsid w:val="00580EFA"/>
    <w:rsid w:val="005812A0"/>
    <w:rsid w:val="0058152B"/>
    <w:rsid w:val="00581684"/>
    <w:rsid w:val="00582C2C"/>
    <w:rsid w:val="0058698D"/>
    <w:rsid w:val="005A13EE"/>
    <w:rsid w:val="005B0127"/>
    <w:rsid w:val="005B2D73"/>
    <w:rsid w:val="005B7A35"/>
    <w:rsid w:val="005C4B73"/>
    <w:rsid w:val="005C4D5A"/>
    <w:rsid w:val="005C5E80"/>
    <w:rsid w:val="005C6611"/>
    <w:rsid w:val="005D0D00"/>
    <w:rsid w:val="005D4FBE"/>
    <w:rsid w:val="005D7FF1"/>
    <w:rsid w:val="005E1D2B"/>
    <w:rsid w:val="005E2682"/>
    <w:rsid w:val="005F3CD3"/>
    <w:rsid w:val="005F5085"/>
    <w:rsid w:val="005F5C17"/>
    <w:rsid w:val="00600D93"/>
    <w:rsid w:val="00601775"/>
    <w:rsid w:val="0060727F"/>
    <w:rsid w:val="00610AA6"/>
    <w:rsid w:val="00627A71"/>
    <w:rsid w:val="0063300C"/>
    <w:rsid w:val="00634466"/>
    <w:rsid w:val="00634B13"/>
    <w:rsid w:val="00641057"/>
    <w:rsid w:val="00642A95"/>
    <w:rsid w:val="006442E2"/>
    <w:rsid w:val="0064735B"/>
    <w:rsid w:val="006530B3"/>
    <w:rsid w:val="00655736"/>
    <w:rsid w:val="0065698F"/>
    <w:rsid w:val="00663B8D"/>
    <w:rsid w:val="00667C11"/>
    <w:rsid w:val="00672F49"/>
    <w:rsid w:val="0067453A"/>
    <w:rsid w:val="00677786"/>
    <w:rsid w:val="00682322"/>
    <w:rsid w:val="0068355D"/>
    <w:rsid w:val="006837BD"/>
    <w:rsid w:val="00696C8D"/>
    <w:rsid w:val="006A2083"/>
    <w:rsid w:val="006A2AC2"/>
    <w:rsid w:val="006A3617"/>
    <w:rsid w:val="006A442B"/>
    <w:rsid w:val="006A4FE1"/>
    <w:rsid w:val="006A5B9B"/>
    <w:rsid w:val="006A6197"/>
    <w:rsid w:val="006B185F"/>
    <w:rsid w:val="006C4134"/>
    <w:rsid w:val="006C78C1"/>
    <w:rsid w:val="006D45F7"/>
    <w:rsid w:val="006E46E4"/>
    <w:rsid w:val="006F2CFC"/>
    <w:rsid w:val="006F2ECB"/>
    <w:rsid w:val="006F41B4"/>
    <w:rsid w:val="00700F35"/>
    <w:rsid w:val="00703AF1"/>
    <w:rsid w:val="00703FBF"/>
    <w:rsid w:val="00706669"/>
    <w:rsid w:val="007134A1"/>
    <w:rsid w:val="00717DA5"/>
    <w:rsid w:val="00725000"/>
    <w:rsid w:val="00725D43"/>
    <w:rsid w:val="00734C06"/>
    <w:rsid w:val="00735D84"/>
    <w:rsid w:val="00743D8C"/>
    <w:rsid w:val="00744484"/>
    <w:rsid w:val="00746FCE"/>
    <w:rsid w:val="00750B8D"/>
    <w:rsid w:val="00752B98"/>
    <w:rsid w:val="007554E2"/>
    <w:rsid w:val="00763A0D"/>
    <w:rsid w:val="007647D1"/>
    <w:rsid w:val="00765F3B"/>
    <w:rsid w:val="00773188"/>
    <w:rsid w:val="00775E5C"/>
    <w:rsid w:val="007773D0"/>
    <w:rsid w:val="00783782"/>
    <w:rsid w:val="00784B8C"/>
    <w:rsid w:val="00793B49"/>
    <w:rsid w:val="00794395"/>
    <w:rsid w:val="007B28ED"/>
    <w:rsid w:val="007B3DB9"/>
    <w:rsid w:val="007B3E48"/>
    <w:rsid w:val="007C407B"/>
    <w:rsid w:val="007D0E69"/>
    <w:rsid w:val="007E0217"/>
    <w:rsid w:val="007E5E2C"/>
    <w:rsid w:val="007F1AFF"/>
    <w:rsid w:val="007F3C7E"/>
    <w:rsid w:val="007F52FC"/>
    <w:rsid w:val="007F5B8E"/>
    <w:rsid w:val="008159AD"/>
    <w:rsid w:val="00816F75"/>
    <w:rsid w:val="00823A11"/>
    <w:rsid w:val="008242A8"/>
    <w:rsid w:val="00833C85"/>
    <w:rsid w:val="00836662"/>
    <w:rsid w:val="00850214"/>
    <w:rsid w:val="00852866"/>
    <w:rsid w:val="0085414A"/>
    <w:rsid w:val="00855BEE"/>
    <w:rsid w:val="00856BF6"/>
    <w:rsid w:val="0086269D"/>
    <w:rsid w:val="0086543A"/>
    <w:rsid w:val="00865A93"/>
    <w:rsid w:val="00872168"/>
    <w:rsid w:val="008724E5"/>
    <w:rsid w:val="00875BFF"/>
    <w:rsid w:val="008777B6"/>
    <w:rsid w:val="00884A9D"/>
    <w:rsid w:val="0088512B"/>
    <w:rsid w:val="00885994"/>
    <w:rsid w:val="008866FC"/>
    <w:rsid w:val="008919B1"/>
    <w:rsid w:val="00893961"/>
    <w:rsid w:val="008948AA"/>
    <w:rsid w:val="00896CA0"/>
    <w:rsid w:val="008A1ED4"/>
    <w:rsid w:val="008A2B2D"/>
    <w:rsid w:val="008A4E1E"/>
    <w:rsid w:val="008B0A8A"/>
    <w:rsid w:val="008B4310"/>
    <w:rsid w:val="008B4486"/>
    <w:rsid w:val="008C296C"/>
    <w:rsid w:val="008C32A4"/>
    <w:rsid w:val="008D4015"/>
    <w:rsid w:val="008D4305"/>
    <w:rsid w:val="008D5142"/>
    <w:rsid w:val="008D65F3"/>
    <w:rsid w:val="008E320A"/>
    <w:rsid w:val="008E69CA"/>
    <w:rsid w:val="008E772A"/>
    <w:rsid w:val="008F1F54"/>
    <w:rsid w:val="009163A7"/>
    <w:rsid w:val="009172AE"/>
    <w:rsid w:val="0092276B"/>
    <w:rsid w:val="00931D55"/>
    <w:rsid w:val="00935106"/>
    <w:rsid w:val="00937DDE"/>
    <w:rsid w:val="0094051E"/>
    <w:rsid w:val="00941D5C"/>
    <w:rsid w:val="00946968"/>
    <w:rsid w:val="00946D0B"/>
    <w:rsid w:val="00946D69"/>
    <w:rsid w:val="00947507"/>
    <w:rsid w:val="00947CB1"/>
    <w:rsid w:val="009527FF"/>
    <w:rsid w:val="009559AC"/>
    <w:rsid w:val="00957870"/>
    <w:rsid w:val="00961D35"/>
    <w:rsid w:val="009714A7"/>
    <w:rsid w:val="00982F08"/>
    <w:rsid w:val="009862CC"/>
    <w:rsid w:val="00994BC0"/>
    <w:rsid w:val="00996FCC"/>
    <w:rsid w:val="009A18CD"/>
    <w:rsid w:val="009B003B"/>
    <w:rsid w:val="009D36A2"/>
    <w:rsid w:val="009E18AD"/>
    <w:rsid w:val="009E291F"/>
    <w:rsid w:val="009E6999"/>
    <w:rsid w:val="009F0924"/>
    <w:rsid w:val="009F52F9"/>
    <w:rsid w:val="009F6C3A"/>
    <w:rsid w:val="00A109D3"/>
    <w:rsid w:val="00A12558"/>
    <w:rsid w:val="00A13903"/>
    <w:rsid w:val="00A13E59"/>
    <w:rsid w:val="00A269F4"/>
    <w:rsid w:val="00A3089C"/>
    <w:rsid w:val="00A3353A"/>
    <w:rsid w:val="00A34ED5"/>
    <w:rsid w:val="00A3706D"/>
    <w:rsid w:val="00A428EF"/>
    <w:rsid w:val="00A453EB"/>
    <w:rsid w:val="00A45DBF"/>
    <w:rsid w:val="00A50A21"/>
    <w:rsid w:val="00A52EF5"/>
    <w:rsid w:val="00A54183"/>
    <w:rsid w:val="00A645DF"/>
    <w:rsid w:val="00A64651"/>
    <w:rsid w:val="00A65C29"/>
    <w:rsid w:val="00A74052"/>
    <w:rsid w:val="00A755A2"/>
    <w:rsid w:val="00A80BDC"/>
    <w:rsid w:val="00A82515"/>
    <w:rsid w:val="00A8541A"/>
    <w:rsid w:val="00A85F94"/>
    <w:rsid w:val="00AA4FE3"/>
    <w:rsid w:val="00AA6660"/>
    <w:rsid w:val="00AB2C36"/>
    <w:rsid w:val="00AB6812"/>
    <w:rsid w:val="00AB70B6"/>
    <w:rsid w:val="00AC1881"/>
    <w:rsid w:val="00AC30F6"/>
    <w:rsid w:val="00AC607A"/>
    <w:rsid w:val="00AD188D"/>
    <w:rsid w:val="00AD1A86"/>
    <w:rsid w:val="00AD2F9B"/>
    <w:rsid w:val="00AD2F9D"/>
    <w:rsid w:val="00AD4D19"/>
    <w:rsid w:val="00AD57DC"/>
    <w:rsid w:val="00AD5E13"/>
    <w:rsid w:val="00AD7DEA"/>
    <w:rsid w:val="00AE103E"/>
    <w:rsid w:val="00AE1D58"/>
    <w:rsid w:val="00AF0A07"/>
    <w:rsid w:val="00AF1C85"/>
    <w:rsid w:val="00AF2FA4"/>
    <w:rsid w:val="00AF31C1"/>
    <w:rsid w:val="00AF4AEC"/>
    <w:rsid w:val="00AF625E"/>
    <w:rsid w:val="00AF6FD7"/>
    <w:rsid w:val="00B009A4"/>
    <w:rsid w:val="00B020BD"/>
    <w:rsid w:val="00B10A1D"/>
    <w:rsid w:val="00B10E8D"/>
    <w:rsid w:val="00B16BF6"/>
    <w:rsid w:val="00B303CB"/>
    <w:rsid w:val="00B36A09"/>
    <w:rsid w:val="00B40A54"/>
    <w:rsid w:val="00B44BF7"/>
    <w:rsid w:val="00B457A2"/>
    <w:rsid w:val="00B4730B"/>
    <w:rsid w:val="00B523F4"/>
    <w:rsid w:val="00B65CDE"/>
    <w:rsid w:val="00B705B1"/>
    <w:rsid w:val="00B71FC4"/>
    <w:rsid w:val="00B81E10"/>
    <w:rsid w:val="00B94DBB"/>
    <w:rsid w:val="00B96B09"/>
    <w:rsid w:val="00BA085A"/>
    <w:rsid w:val="00BA4928"/>
    <w:rsid w:val="00BB04AF"/>
    <w:rsid w:val="00BB5354"/>
    <w:rsid w:val="00BC6E55"/>
    <w:rsid w:val="00BC74C1"/>
    <w:rsid w:val="00BD52C9"/>
    <w:rsid w:val="00BE6354"/>
    <w:rsid w:val="00BF0D6D"/>
    <w:rsid w:val="00BF3681"/>
    <w:rsid w:val="00BF4B0C"/>
    <w:rsid w:val="00C04DCD"/>
    <w:rsid w:val="00C12934"/>
    <w:rsid w:val="00C23A97"/>
    <w:rsid w:val="00C35564"/>
    <w:rsid w:val="00C40AED"/>
    <w:rsid w:val="00C42C66"/>
    <w:rsid w:val="00C43C1F"/>
    <w:rsid w:val="00C4763D"/>
    <w:rsid w:val="00C518F0"/>
    <w:rsid w:val="00C579E8"/>
    <w:rsid w:val="00C64D4E"/>
    <w:rsid w:val="00C66C6A"/>
    <w:rsid w:val="00C70EA7"/>
    <w:rsid w:val="00C7516E"/>
    <w:rsid w:val="00C75770"/>
    <w:rsid w:val="00C770D0"/>
    <w:rsid w:val="00C91779"/>
    <w:rsid w:val="00C96736"/>
    <w:rsid w:val="00CA1977"/>
    <w:rsid w:val="00CA7EF0"/>
    <w:rsid w:val="00CB405A"/>
    <w:rsid w:val="00D00B2B"/>
    <w:rsid w:val="00D0431C"/>
    <w:rsid w:val="00D10537"/>
    <w:rsid w:val="00D14343"/>
    <w:rsid w:val="00D15C4F"/>
    <w:rsid w:val="00D16511"/>
    <w:rsid w:val="00D17E4E"/>
    <w:rsid w:val="00D24877"/>
    <w:rsid w:val="00D278DB"/>
    <w:rsid w:val="00D3452A"/>
    <w:rsid w:val="00D437C5"/>
    <w:rsid w:val="00D470C0"/>
    <w:rsid w:val="00D53458"/>
    <w:rsid w:val="00D60725"/>
    <w:rsid w:val="00D61041"/>
    <w:rsid w:val="00D64E23"/>
    <w:rsid w:val="00D7038B"/>
    <w:rsid w:val="00D70598"/>
    <w:rsid w:val="00D95C4C"/>
    <w:rsid w:val="00DA26D5"/>
    <w:rsid w:val="00DA36ED"/>
    <w:rsid w:val="00DA473F"/>
    <w:rsid w:val="00DA6AE0"/>
    <w:rsid w:val="00DB573A"/>
    <w:rsid w:val="00DC06EC"/>
    <w:rsid w:val="00DC1A8C"/>
    <w:rsid w:val="00DC3AE7"/>
    <w:rsid w:val="00DC497C"/>
    <w:rsid w:val="00DD5335"/>
    <w:rsid w:val="00DE34F1"/>
    <w:rsid w:val="00DE6C6E"/>
    <w:rsid w:val="00DF2209"/>
    <w:rsid w:val="00DF4942"/>
    <w:rsid w:val="00E0110B"/>
    <w:rsid w:val="00E07175"/>
    <w:rsid w:val="00E10CA3"/>
    <w:rsid w:val="00E21758"/>
    <w:rsid w:val="00E262DD"/>
    <w:rsid w:val="00E34145"/>
    <w:rsid w:val="00E41F1B"/>
    <w:rsid w:val="00E50B96"/>
    <w:rsid w:val="00E539DD"/>
    <w:rsid w:val="00E6072C"/>
    <w:rsid w:val="00E627B1"/>
    <w:rsid w:val="00E64E0F"/>
    <w:rsid w:val="00E7146F"/>
    <w:rsid w:val="00E853FA"/>
    <w:rsid w:val="00E9376C"/>
    <w:rsid w:val="00EA335E"/>
    <w:rsid w:val="00EA528C"/>
    <w:rsid w:val="00EA70F7"/>
    <w:rsid w:val="00EA74C9"/>
    <w:rsid w:val="00EB4064"/>
    <w:rsid w:val="00EB53E2"/>
    <w:rsid w:val="00EB5B68"/>
    <w:rsid w:val="00EB7DA6"/>
    <w:rsid w:val="00EC01C1"/>
    <w:rsid w:val="00EC0776"/>
    <w:rsid w:val="00EC0AFC"/>
    <w:rsid w:val="00EC2633"/>
    <w:rsid w:val="00EF07AB"/>
    <w:rsid w:val="00EF19A6"/>
    <w:rsid w:val="00EF34E2"/>
    <w:rsid w:val="00EF4DB9"/>
    <w:rsid w:val="00EF4F1F"/>
    <w:rsid w:val="00EF69E3"/>
    <w:rsid w:val="00EF71BE"/>
    <w:rsid w:val="00F01073"/>
    <w:rsid w:val="00F010E0"/>
    <w:rsid w:val="00F01A36"/>
    <w:rsid w:val="00F07A82"/>
    <w:rsid w:val="00F13026"/>
    <w:rsid w:val="00F17B1E"/>
    <w:rsid w:val="00F21403"/>
    <w:rsid w:val="00F23E25"/>
    <w:rsid w:val="00F33065"/>
    <w:rsid w:val="00F34E20"/>
    <w:rsid w:val="00F37CA8"/>
    <w:rsid w:val="00F42FDC"/>
    <w:rsid w:val="00F461BE"/>
    <w:rsid w:val="00F53DE9"/>
    <w:rsid w:val="00F576CB"/>
    <w:rsid w:val="00F632D9"/>
    <w:rsid w:val="00F71A02"/>
    <w:rsid w:val="00F71E3F"/>
    <w:rsid w:val="00F9151B"/>
    <w:rsid w:val="00F915FC"/>
    <w:rsid w:val="00FA145C"/>
    <w:rsid w:val="00FB18FA"/>
    <w:rsid w:val="00FB50B0"/>
    <w:rsid w:val="00FB6630"/>
    <w:rsid w:val="00FC0255"/>
    <w:rsid w:val="00FC1B1B"/>
    <w:rsid w:val="00FC21FE"/>
    <w:rsid w:val="00FC5795"/>
    <w:rsid w:val="00FD062E"/>
    <w:rsid w:val="00FD1226"/>
    <w:rsid w:val="00FE3AB2"/>
    <w:rsid w:val="00FE726A"/>
    <w:rsid w:val="00FF4830"/>
    <w:rsid w:val="00FF6CF8"/>
    <w:rsid w:val="0962FE39"/>
    <w:rsid w:val="12FE2DC1"/>
    <w:rsid w:val="45111DCE"/>
    <w:rsid w:val="64B8D319"/>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6B089F95"/>
  <w15:docId w15:val="{BD81529E-DDEA-42A5-9988-118CBA6B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0AA6"/>
    <w:rPr>
      <w:rFonts w:ascii="Times New Roman" w:eastAsia="Times New Roman" w:hAnsi="Times New Roman"/>
      <w:sz w:val="24"/>
      <w:szCs w:val="24"/>
      <w:lang w:val="fr-FR" w:eastAsia="fr-FR"/>
    </w:rPr>
  </w:style>
  <w:style w:type="paragraph" w:styleId="Titre1">
    <w:name w:val="heading 1"/>
    <w:basedOn w:val="Normal"/>
    <w:next w:val="Normal"/>
    <w:link w:val="Titre1Car"/>
    <w:uiPriority w:val="9"/>
    <w:rsid w:val="008919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2"/>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paragraph" w:styleId="Paragraphedeliste">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COMPara">
    <w:name w:val="COM Para"/>
    <w:qFormat/>
    <w:rsid w:val="00FC21FE"/>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F23E25"/>
    <w:pPr>
      <w:keepNext/>
      <w:spacing w:before="240" w:after="120"/>
      <w:ind w:left="567"/>
      <w:jc w:val="both"/>
    </w:pPr>
    <w:rPr>
      <w:rFonts w:ascii="Arial" w:hAnsi="Arial" w:cs="Arial"/>
      <w:b/>
      <w:sz w:val="22"/>
      <w:szCs w:val="22"/>
      <w:lang w:val="en-GB"/>
    </w:rPr>
  </w:style>
  <w:style w:type="paragraph" w:customStyle="1" w:styleId="Default">
    <w:name w:val="Default"/>
    <w:rsid w:val="00580EFA"/>
    <w:pPr>
      <w:autoSpaceDE w:val="0"/>
      <w:autoSpaceDN w:val="0"/>
      <w:adjustRightInd w:val="0"/>
    </w:pPr>
    <w:rPr>
      <w:rFonts w:ascii="Adobe Garamond Pro" w:hAnsi="Adobe Garamond Pro" w:cs="Adobe Garamond Pro"/>
      <w:color w:val="000000"/>
      <w:sz w:val="24"/>
      <w:szCs w:val="24"/>
      <w:lang w:val="fr-FR"/>
    </w:rPr>
  </w:style>
  <w:style w:type="character" w:styleId="Lienhypertexte">
    <w:name w:val="Hyperlink"/>
    <w:aliases w:val=" Car Car3 Char, Car Car3 Char Char Char Char"/>
    <w:link w:val="CarCar3"/>
    <w:rsid w:val="00F9151B"/>
    <w:rPr>
      <w:color w:val="0000FF"/>
      <w:u w:val="single"/>
    </w:rPr>
  </w:style>
  <w:style w:type="paragraph" w:customStyle="1" w:styleId="CarCar3">
    <w:name w:val="Car Car3"/>
    <w:aliases w:val=" Car Car3 Char Char"/>
    <w:basedOn w:val="Normal"/>
    <w:link w:val="Lienhypertexte"/>
    <w:rsid w:val="00F9151B"/>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lang w:val="en-GB" w:eastAsia="en-GB"/>
    </w:rPr>
  </w:style>
  <w:style w:type="paragraph" w:styleId="Notedebasdepage">
    <w:name w:val="footnote text"/>
    <w:basedOn w:val="Normal"/>
    <w:link w:val="NotedebasdepageCar"/>
    <w:uiPriority w:val="99"/>
    <w:unhideWhenUsed/>
    <w:rsid w:val="00F9151B"/>
    <w:rPr>
      <w:sz w:val="20"/>
      <w:szCs w:val="20"/>
    </w:rPr>
  </w:style>
  <w:style w:type="character" w:customStyle="1" w:styleId="NotedebasdepageCar">
    <w:name w:val="Note de bas de page Car"/>
    <w:basedOn w:val="Policepardfaut"/>
    <w:link w:val="Notedebasdepage"/>
    <w:uiPriority w:val="99"/>
    <w:rsid w:val="00F9151B"/>
    <w:rPr>
      <w:rFonts w:ascii="Times New Roman" w:eastAsia="Times New Roman" w:hAnsi="Times New Roman"/>
      <w:lang w:val="fr-FR" w:eastAsia="fr-FR"/>
    </w:rPr>
  </w:style>
  <w:style w:type="character" w:styleId="Appelnotedebasdep">
    <w:name w:val="footnote reference"/>
    <w:basedOn w:val="Policepardfaut"/>
    <w:uiPriority w:val="99"/>
    <w:semiHidden/>
    <w:unhideWhenUsed/>
    <w:rsid w:val="00F9151B"/>
    <w:rPr>
      <w:vertAlign w:val="superscript"/>
    </w:rPr>
  </w:style>
  <w:style w:type="paragraph" w:customStyle="1" w:styleId="Pa20">
    <w:name w:val="Pa20"/>
    <w:basedOn w:val="Default"/>
    <w:next w:val="Default"/>
    <w:uiPriority w:val="99"/>
    <w:rsid w:val="00F9151B"/>
    <w:pPr>
      <w:spacing w:line="206" w:lineRule="atLeast"/>
    </w:pPr>
    <w:rPr>
      <w:rFonts w:cs="Times New Roman"/>
      <w:color w:val="auto"/>
      <w:lang w:eastAsia="fr-FR"/>
    </w:rPr>
  </w:style>
  <w:style w:type="character" w:customStyle="1" w:styleId="A16">
    <w:name w:val="A16"/>
    <w:uiPriority w:val="99"/>
    <w:rsid w:val="00F9151B"/>
    <w:rPr>
      <w:rFonts w:cs="Adobe Garamond Pro"/>
      <w:color w:val="000000"/>
      <w:sz w:val="12"/>
      <w:szCs w:val="12"/>
    </w:rPr>
  </w:style>
  <w:style w:type="paragraph" w:styleId="Sansinterligne">
    <w:name w:val="No Spacing"/>
    <w:uiPriority w:val="1"/>
    <w:qFormat/>
    <w:rsid w:val="00546577"/>
    <w:rPr>
      <w:rFonts w:ascii="Times New Roman" w:eastAsia="Times New Roman" w:hAnsi="Times New Roman"/>
      <w:sz w:val="24"/>
      <w:szCs w:val="24"/>
      <w:lang w:val="fr-FR" w:eastAsia="fr-FR"/>
    </w:rPr>
  </w:style>
  <w:style w:type="character" w:customStyle="1" w:styleId="Titre1Car">
    <w:name w:val="Titre 1 Car"/>
    <w:basedOn w:val="Policepardfaut"/>
    <w:link w:val="Titre1"/>
    <w:uiPriority w:val="9"/>
    <w:rsid w:val="008919B1"/>
    <w:rPr>
      <w:rFonts w:asciiTheme="majorHAnsi" w:eastAsiaTheme="majorEastAsia" w:hAnsiTheme="majorHAnsi" w:cstheme="majorBidi"/>
      <w:color w:val="2E74B5" w:themeColor="accent1" w:themeShade="BF"/>
      <w:sz w:val="32"/>
      <w:szCs w:val="32"/>
      <w:lang w:val="fr-FR" w:eastAsia="fr-FR"/>
    </w:rPr>
  </w:style>
  <w:style w:type="character" w:styleId="Lienhypertextesuivivisit">
    <w:name w:val="FollowedHyperlink"/>
    <w:basedOn w:val="Policepardfaut"/>
    <w:uiPriority w:val="99"/>
    <w:semiHidden/>
    <w:unhideWhenUsed/>
    <w:rsid w:val="00EF07AB"/>
    <w:rPr>
      <w:color w:val="954F72" w:themeColor="followedHyperlink"/>
      <w:u w:val="single"/>
    </w:rPr>
  </w:style>
  <w:style w:type="character" w:styleId="Marquedecommentaire">
    <w:name w:val="annotation reference"/>
    <w:basedOn w:val="Policepardfaut"/>
    <w:uiPriority w:val="99"/>
    <w:semiHidden/>
    <w:unhideWhenUsed/>
    <w:rsid w:val="00AC1881"/>
    <w:rPr>
      <w:sz w:val="16"/>
      <w:szCs w:val="16"/>
    </w:rPr>
  </w:style>
  <w:style w:type="paragraph" w:styleId="Commentaire">
    <w:name w:val="annotation text"/>
    <w:basedOn w:val="Normal"/>
    <w:link w:val="CommentaireCar"/>
    <w:uiPriority w:val="99"/>
    <w:unhideWhenUsed/>
    <w:rsid w:val="00AC1881"/>
    <w:rPr>
      <w:sz w:val="20"/>
      <w:szCs w:val="20"/>
    </w:rPr>
  </w:style>
  <w:style w:type="character" w:customStyle="1" w:styleId="CommentaireCar">
    <w:name w:val="Commentaire Car"/>
    <w:basedOn w:val="Policepardfaut"/>
    <w:link w:val="Commentaire"/>
    <w:uiPriority w:val="99"/>
    <w:rsid w:val="00AC1881"/>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AC1881"/>
    <w:rPr>
      <w:b/>
      <w:bCs/>
    </w:rPr>
  </w:style>
  <w:style w:type="character" w:customStyle="1" w:styleId="ObjetducommentaireCar">
    <w:name w:val="Objet du commentaire Car"/>
    <w:basedOn w:val="CommentaireCar"/>
    <w:link w:val="Objetducommentaire"/>
    <w:uiPriority w:val="99"/>
    <w:semiHidden/>
    <w:rsid w:val="00AC1881"/>
    <w:rPr>
      <w:rFonts w:ascii="Times New Roman" w:eastAsia="Times New Roman" w:hAnsi="Times New Roman"/>
      <w:b/>
      <w:bCs/>
      <w:lang w:val="fr-FR" w:eastAsia="fr-FR"/>
    </w:rPr>
  </w:style>
  <w:style w:type="paragraph" w:styleId="Rvision">
    <w:name w:val="Revision"/>
    <w:hidden/>
    <w:uiPriority w:val="99"/>
    <w:semiHidden/>
    <w:rsid w:val="00BA085A"/>
    <w:rPr>
      <w:rFonts w:ascii="Times New Roman" w:eastAsia="Times New Roman" w:hAnsi="Times New Roman"/>
      <w:sz w:val="24"/>
      <w:szCs w:val="24"/>
      <w:lang w:val="fr-FR" w:eastAsia="fr-FR"/>
    </w:rPr>
  </w:style>
  <w:style w:type="paragraph" w:styleId="Explorateurdedocuments">
    <w:name w:val="Document Map"/>
    <w:basedOn w:val="Normal"/>
    <w:link w:val="ExplorateurdedocumentsCar"/>
    <w:uiPriority w:val="99"/>
    <w:semiHidden/>
    <w:unhideWhenUsed/>
    <w:rsid w:val="00450078"/>
    <w:rPr>
      <w:rFonts w:ascii="Lucida Grande" w:hAnsi="Lucida Grande" w:cs="Lucida Grande"/>
    </w:rPr>
  </w:style>
  <w:style w:type="character" w:customStyle="1" w:styleId="ExplorateurdedocumentsCar">
    <w:name w:val="Explorateur de documents Car"/>
    <w:basedOn w:val="Policepardfaut"/>
    <w:link w:val="Explorateurdedocuments"/>
    <w:uiPriority w:val="99"/>
    <w:semiHidden/>
    <w:rsid w:val="00450078"/>
    <w:rPr>
      <w:rFonts w:ascii="Lucida Grande" w:eastAsia="Times New Roman" w:hAnsi="Lucida Grande" w:cs="Lucida Grande"/>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3784">
      <w:bodyDiv w:val="1"/>
      <w:marLeft w:val="0"/>
      <w:marRight w:val="0"/>
      <w:marTop w:val="0"/>
      <w:marBottom w:val="0"/>
      <w:divBdr>
        <w:top w:val="none" w:sz="0" w:space="0" w:color="auto"/>
        <w:left w:val="none" w:sz="0" w:space="0" w:color="auto"/>
        <w:bottom w:val="none" w:sz="0" w:space="0" w:color="auto"/>
        <w:right w:val="none" w:sz="0" w:space="0" w:color="auto"/>
      </w:divBdr>
      <w:divsChild>
        <w:div w:id="256331221">
          <w:marLeft w:val="720"/>
          <w:marRight w:val="0"/>
          <w:marTop w:val="0"/>
          <w:marBottom w:val="0"/>
          <w:divBdr>
            <w:top w:val="none" w:sz="0" w:space="0" w:color="auto"/>
            <w:left w:val="none" w:sz="0" w:space="0" w:color="auto"/>
            <w:bottom w:val="none" w:sz="0" w:space="0" w:color="auto"/>
            <w:right w:val="none" w:sz="0" w:space="0" w:color="auto"/>
          </w:divBdr>
        </w:div>
      </w:divsChild>
    </w:div>
    <w:div w:id="207686527">
      <w:bodyDiv w:val="1"/>
      <w:marLeft w:val="0"/>
      <w:marRight w:val="0"/>
      <w:marTop w:val="0"/>
      <w:marBottom w:val="0"/>
      <w:divBdr>
        <w:top w:val="none" w:sz="0" w:space="0" w:color="auto"/>
        <w:left w:val="none" w:sz="0" w:space="0" w:color="auto"/>
        <w:bottom w:val="none" w:sz="0" w:space="0" w:color="auto"/>
        <w:right w:val="none" w:sz="0" w:space="0" w:color="auto"/>
      </w:divBdr>
      <w:divsChild>
        <w:div w:id="1900701607">
          <w:marLeft w:val="720"/>
          <w:marRight w:val="0"/>
          <w:marTop w:val="0"/>
          <w:marBottom w:val="0"/>
          <w:divBdr>
            <w:top w:val="none" w:sz="0" w:space="0" w:color="auto"/>
            <w:left w:val="none" w:sz="0" w:space="0" w:color="auto"/>
            <w:bottom w:val="none" w:sz="0" w:space="0" w:color="auto"/>
            <w:right w:val="none" w:sz="0" w:space="0" w:color="auto"/>
          </w:divBdr>
        </w:div>
        <w:div w:id="1816876667">
          <w:marLeft w:val="720"/>
          <w:marRight w:val="0"/>
          <w:marTop w:val="0"/>
          <w:marBottom w:val="0"/>
          <w:divBdr>
            <w:top w:val="none" w:sz="0" w:space="0" w:color="auto"/>
            <w:left w:val="none" w:sz="0" w:space="0" w:color="auto"/>
            <w:bottom w:val="none" w:sz="0" w:space="0" w:color="auto"/>
            <w:right w:val="none" w:sz="0" w:space="0" w:color="auto"/>
          </w:divBdr>
        </w:div>
        <w:div w:id="1598560367">
          <w:marLeft w:val="720"/>
          <w:marRight w:val="0"/>
          <w:marTop w:val="0"/>
          <w:marBottom w:val="0"/>
          <w:divBdr>
            <w:top w:val="none" w:sz="0" w:space="0" w:color="auto"/>
            <w:left w:val="none" w:sz="0" w:space="0" w:color="auto"/>
            <w:bottom w:val="none" w:sz="0" w:space="0" w:color="auto"/>
            <w:right w:val="none" w:sz="0" w:space="0" w:color="auto"/>
          </w:divBdr>
        </w:div>
        <w:div w:id="1308391679">
          <w:marLeft w:val="720"/>
          <w:marRight w:val="0"/>
          <w:marTop w:val="0"/>
          <w:marBottom w:val="0"/>
          <w:divBdr>
            <w:top w:val="none" w:sz="0" w:space="0" w:color="auto"/>
            <w:left w:val="none" w:sz="0" w:space="0" w:color="auto"/>
            <w:bottom w:val="none" w:sz="0" w:space="0" w:color="auto"/>
            <w:right w:val="none" w:sz="0" w:space="0" w:color="auto"/>
          </w:divBdr>
        </w:div>
      </w:divsChild>
    </w:div>
    <w:div w:id="297074721">
      <w:bodyDiv w:val="1"/>
      <w:marLeft w:val="0"/>
      <w:marRight w:val="0"/>
      <w:marTop w:val="0"/>
      <w:marBottom w:val="0"/>
      <w:divBdr>
        <w:top w:val="none" w:sz="0" w:space="0" w:color="auto"/>
        <w:left w:val="none" w:sz="0" w:space="0" w:color="auto"/>
        <w:bottom w:val="none" w:sz="0" w:space="0" w:color="auto"/>
        <w:right w:val="none" w:sz="0" w:space="0" w:color="auto"/>
      </w:divBdr>
    </w:div>
    <w:div w:id="465970473">
      <w:bodyDiv w:val="1"/>
      <w:marLeft w:val="0"/>
      <w:marRight w:val="0"/>
      <w:marTop w:val="0"/>
      <w:marBottom w:val="0"/>
      <w:divBdr>
        <w:top w:val="none" w:sz="0" w:space="0" w:color="auto"/>
        <w:left w:val="none" w:sz="0" w:space="0" w:color="auto"/>
        <w:bottom w:val="none" w:sz="0" w:space="0" w:color="auto"/>
        <w:right w:val="none" w:sz="0" w:space="0" w:color="auto"/>
      </w:divBdr>
      <w:divsChild>
        <w:div w:id="950477382">
          <w:marLeft w:val="547"/>
          <w:marRight w:val="0"/>
          <w:marTop w:val="0"/>
          <w:marBottom w:val="0"/>
          <w:divBdr>
            <w:top w:val="none" w:sz="0" w:space="0" w:color="auto"/>
            <w:left w:val="none" w:sz="0" w:space="0" w:color="auto"/>
            <w:bottom w:val="none" w:sz="0" w:space="0" w:color="auto"/>
            <w:right w:val="none" w:sz="0" w:space="0" w:color="auto"/>
          </w:divBdr>
        </w:div>
        <w:div w:id="1191190474">
          <w:marLeft w:val="547"/>
          <w:marRight w:val="0"/>
          <w:marTop w:val="0"/>
          <w:marBottom w:val="0"/>
          <w:divBdr>
            <w:top w:val="none" w:sz="0" w:space="0" w:color="auto"/>
            <w:left w:val="none" w:sz="0" w:space="0" w:color="auto"/>
            <w:bottom w:val="none" w:sz="0" w:space="0" w:color="auto"/>
            <w:right w:val="none" w:sz="0" w:space="0" w:color="auto"/>
          </w:divBdr>
        </w:div>
      </w:divsChild>
    </w:div>
    <w:div w:id="481123068">
      <w:bodyDiv w:val="1"/>
      <w:marLeft w:val="0"/>
      <w:marRight w:val="0"/>
      <w:marTop w:val="0"/>
      <w:marBottom w:val="0"/>
      <w:divBdr>
        <w:top w:val="none" w:sz="0" w:space="0" w:color="auto"/>
        <w:left w:val="none" w:sz="0" w:space="0" w:color="auto"/>
        <w:bottom w:val="none" w:sz="0" w:space="0" w:color="auto"/>
        <w:right w:val="none" w:sz="0" w:space="0" w:color="auto"/>
      </w:divBdr>
      <w:divsChild>
        <w:div w:id="1307540742">
          <w:marLeft w:val="0"/>
          <w:marRight w:val="0"/>
          <w:marTop w:val="0"/>
          <w:marBottom w:val="0"/>
          <w:divBdr>
            <w:top w:val="none" w:sz="0" w:space="0" w:color="auto"/>
            <w:left w:val="none" w:sz="0" w:space="0" w:color="auto"/>
            <w:bottom w:val="none" w:sz="0" w:space="0" w:color="auto"/>
            <w:right w:val="none" w:sz="0" w:space="0" w:color="auto"/>
          </w:divBdr>
          <w:divsChild>
            <w:div w:id="859006244">
              <w:marLeft w:val="-225"/>
              <w:marRight w:val="-225"/>
              <w:marTop w:val="0"/>
              <w:marBottom w:val="0"/>
              <w:divBdr>
                <w:top w:val="none" w:sz="0" w:space="0" w:color="auto"/>
                <w:left w:val="none" w:sz="0" w:space="0" w:color="auto"/>
                <w:bottom w:val="none" w:sz="0" w:space="0" w:color="auto"/>
                <w:right w:val="none" w:sz="0" w:space="0" w:color="auto"/>
              </w:divBdr>
              <w:divsChild>
                <w:div w:id="1457866051">
                  <w:marLeft w:val="0"/>
                  <w:marRight w:val="0"/>
                  <w:marTop w:val="0"/>
                  <w:marBottom w:val="0"/>
                  <w:divBdr>
                    <w:top w:val="none" w:sz="0" w:space="0" w:color="auto"/>
                    <w:left w:val="none" w:sz="0" w:space="0" w:color="auto"/>
                    <w:bottom w:val="none" w:sz="0" w:space="0" w:color="auto"/>
                    <w:right w:val="none" w:sz="0" w:space="0" w:color="auto"/>
                  </w:divBdr>
                  <w:divsChild>
                    <w:div w:id="9229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0729">
      <w:bodyDiv w:val="1"/>
      <w:marLeft w:val="0"/>
      <w:marRight w:val="0"/>
      <w:marTop w:val="0"/>
      <w:marBottom w:val="0"/>
      <w:divBdr>
        <w:top w:val="none" w:sz="0" w:space="0" w:color="auto"/>
        <w:left w:val="none" w:sz="0" w:space="0" w:color="auto"/>
        <w:bottom w:val="none" w:sz="0" w:space="0" w:color="auto"/>
        <w:right w:val="none" w:sz="0" w:space="0" w:color="auto"/>
      </w:divBdr>
      <w:divsChild>
        <w:div w:id="942611185">
          <w:marLeft w:val="720"/>
          <w:marRight w:val="0"/>
          <w:marTop w:val="0"/>
          <w:marBottom w:val="0"/>
          <w:divBdr>
            <w:top w:val="none" w:sz="0" w:space="0" w:color="auto"/>
            <w:left w:val="none" w:sz="0" w:space="0" w:color="auto"/>
            <w:bottom w:val="none" w:sz="0" w:space="0" w:color="auto"/>
            <w:right w:val="none" w:sz="0" w:space="0" w:color="auto"/>
          </w:divBdr>
        </w:div>
      </w:divsChild>
    </w:div>
    <w:div w:id="721750840">
      <w:bodyDiv w:val="1"/>
      <w:marLeft w:val="0"/>
      <w:marRight w:val="0"/>
      <w:marTop w:val="0"/>
      <w:marBottom w:val="0"/>
      <w:divBdr>
        <w:top w:val="none" w:sz="0" w:space="0" w:color="auto"/>
        <w:left w:val="none" w:sz="0" w:space="0" w:color="auto"/>
        <w:bottom w:val="none" w:sz="0" w:space="0" w:color="auto"/>
        <w:right w:val="none" w:sz="0" w:space="0" w:color="auto"/>
      </w:divBdr>
    </w:div>
    <w:div w:id="770322978">
      <w:bodyDiv w:val="1"/>
      <w:marLeft w:val="0"/>
      <w:marRight w:val="0"/>
      <w:marTop w:val="0"/>
      <w:marBottom w:val="0"/>
      <w:divBdr>
        <w:top w:val="none" w:sz="0" w:space="0" w:color="auto"/>
        <w:left w:val="none" w:sz="0" w:space="0" w:color="auto"/>
        <w:bottom w:val="none" w:sz="0" w:space="0" w:color="auto"/>
        <w:right w:val="none" w:sz="0" w:space="0" w:color="auto"/>
      </w:divBdr>
      <w:divsChild>
        <w:div w:id="1120606740">
          <w:marLeft w:val="547"/>
          <w:marRight w:val="0"/>
          <w:marTop w:val="0"/>
          <w:marBottom w:val="120"/>
          <w:divBdr>
            <w:top w:val="none" w:sz="0" w:space="0" w:color="auto"/>
            <w:left w:val="none" w:sz="0" w:space="0" w:color="auto"/>
            <w:bottom w:val="none" w:sz="0" w:space="0" w:color="auto"/>
            <w:right w:val="none" w:sz="0" w:space="0" w:color="auto"/>
          </w:divBdr>
        </w:div>
        <w:div w:id="313874126">
          <w:marLeft w:val="547"/>
          <w:marRight w:val="0"/>
          <w:marTop w:val="0"/>
          <w:marBottom w:val="12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9662770">
      <w:bodyDiv w:val="1"/>
      <w:marLeft w:val="0"/>
      <w:marRight w:val="0"/>
      <w:marTop w:val="0"/>
      <w:marBottom w:val="0"/>
      <w:divBdr>
        <w:top w:val="none" w:sz="0" w:space="0" w:color="auto"/>
        <w:left w:val="none" w:sz="0" w:space="0" w:color="auto"/>
        <w:bottom w:val="none" w:sz="0" w:space="0" w:color="auto"/>
        <w:right w:val="none" w:sz="0" w:space="0" w:color="auto"/>
      </w:divBdr>
      <w:divsChild>
        <w:div w:id="1907766411">
          <w:marLeft w:val="1267"/>
          <w:marRight w:val="0"/>
          <w:marTop w:val="0"/>
          <w:marBottom w:val="0"/>
          <w:divBdr>
            <w:top w:val="none" w:sz="0" w:space="0" w:color="auto"/>
            <w:left w:val="none" w:sz="0" w:space="0" w:color="auto"/>
            <w:bottom w:val="none" w:sz="0" w:space="0" w:color="auto"/>
            <w:right w:val="none" w:sz="0" w:space="0" w:color="auto"/>
          </w:divBdr>
        </w:div>
        <w:div w:id="2146461030">
          <w:marLeft w:val="1267"/>
          <w:marRight w:val="0"/>
          <w:marTop w:val="0"/>
          <w:marBottom w:val="0"/>
          <w:divBdr>
            <w:top w:val="none" w:sz="0" w:space="0" w:color="auto"/>
            <w:left w:val="none" w:sz="0" w:space="0" w:color="auto"/>
            <w:bottom w:val="none" w:sz="0" w:space="0" w:color="auto"/>
            <w:right w:val="none" w:sz="0" w:space="0" w:color="auto"/>
          </w:divBdr>
        </w:div>
        <w:div w:id="1713186489">
          <w:marLeft w:val="1267"/>
          <w:marRight w:val="0"/>
          <w:marTop w:val="0"/>
          <w:marBottom w:val="0"/>
          <w:divBdr>
            <w:top w:val="none" w:sz="0" w:space="0" w:color="auto"/>
            <w:left w:val="none" w:sz="0" w:space="0" w:color="auto"/>
            <w:bottom w:val="none" w:sz="0" w:space="0" w:color="auto"/>
            <w:right w:val="none" w:sz="0" w:space="0" w:color="auto"/>
          </w:divBdr>
        </w:div>
        <w:div w:id="1791168007">
          <w:marLeft w:val="1267"/>
          <w:marRight w:val="0"/>
          <w:marTop w:val="0"/>
          <w:marBottom w:val="0"/>
          <w:divBdr>
            <w:top w:val="none" w:sz="0" w:space="0" w:color="auto"/>
            <w:left w:val="none" w:sz="0" w:space="0" w:color="auto"/>
            <w:bottom w:val="none" w:sz="0" w:space="0" w:color="auto"/>
            <w:right w:val="none" w:sz="0" w:space="0" w:color="auto"/>
          </w:divBdr>
        </w:div>
      </w:divsChild>
    </w:div>
    <w:div w:id="1030956165">
      <w:bodyDiv w:val="1"/>
      <w:marLeft w:val="0"/>
      <w:marRight w:val="0"/>
      <w:marTop w:val="0"/>
      <w:marBottom w:val="0"/>
      <w:divBdr>
        <w:top w:val="none" w:sz="0" w:space="0" w:color="auto"/>
        <w:left w:val="none" w:sz="0" w:space="0" w:color="auto"/>
        <w:bottom w:val="none" w:sz="0" w:space="0" w:color="auto"/>
        <w:right w:val="none" w:sz="0" w:space="0" w:color="auto"/>
      </w:divBdr>
      <w:divsChild>
        <w:div w:id="1858808002">
          <w:marLeft w:val="1267"/>
          <w:marRight w:val="0"/>
          <w:marTop w:val="0"/>
          <w:marBottom w:val="0"/>
          <w:divBdr>
            <w:top w:val="none" w:sz="0" w:space="0" w:color="auto"/>
            <w:left w:val="none" w:sz="0" w:space="0" w:color="auto"/>
            <w:bottom w:val="none" w:sz="0" w:space="0" w:color="auto"/>
            <w:right w:val="none" w:sz="0" w:space="0" w:color="auto"/>
          </w:divBdr>
        </w:div>
        <w:div w:id="278801139">
          <w:marLeft w:val="1267"/>
          <w:marRight w:val="0"/>
          <w:marTop w:val="0"/>
          <w:marBottom w:val="0"/>
          <w:divBdr>
            <w:top w:val="none" w:sz="0" w:space="0" w:color="auto"/>
            <w:left w:val="none" w:sz="0" w:space="0" w:color="auto"/>
            <w:bottom w:val="none" w:sz="0" w:space="0" w:color="auto"/>
            <w:right w:val="none" w:sz="0" w:space="0" w:color="auto"/>
          </w:divBdr>
        </w:div>
        <w:div w:id="1764835864">
          <w:marLeft w:val="2160"/>
          <w:marRight w:val="0"/>
          <w:marTop w:val="0"/>
          <w:marBottom w:val="0"/>
          <w:divBdr>
            <w:top w:val="none" w:sz="0" w:space="0" w:color="auto"/>
            <w:left w:val="none" w:sz="0" w:space="0" w:color="auto"/>
            <w:bottom w:val="none" w:sz="0" w:space="0" w:color="auto"/>
            <w:right w:val="none" w:sz="0" w:space="0" w:color="auto"/>
          </w:divBdr>
        </w:div>
        <w:div w:id="1940021776">
          <w:marLeft w:val="2160"/>
          <w:marRight w:val="0"/>
          <w:marTop w:val="0"/>
          <w:marBottom w:val="0"/>
          <w:divBdr>
            <w:top w:val="none" w:sz="0" w:space="0" w:color="auto"/>
            <w:left w:val="none" w:sz="0" w:space="0" w:color="auto"/>
            <w:bottom w:val="none" w:sz="0" w:space="0" w:color="auto"/>
            <w:right w:val="none" w:sz="0" w:space="0" w:color="auto"/>
          </w:divBdr>
        </w:div>
        <w:div w:id="690911129">
          <w:marLeft w:val="2160"/>
          <w:marRight w:val="0"/>
          <w:marTop w:val="0"/>
          <w:marBottom w:val="0"/>
          <w:divBdr>
            <w:top w:val="none" w:sz="0" w:space="0" w:color="auto"/>
            <w:left w:val="none" w:sz="0" w:space="0" w:color="auto"/>
            <w:bottom w:val="none" w:sz="0" w:space="0" w:color="auto"/>
            <w:right w:val="none" w:sz="0" w:space="0" w:color="auto"/>
          </w:divBdr>
        </w:div>
        <w:div w:id="630020342">
          <w:marLeft w:val="2160"/>
          <w:marRight w:val="0"/>
          <w:marTop w:val="0"/>
          <w:marBottom w:val="0"/>
          <w:divBdr>
            <w:top w:val="none" w:sz="0" w:space="0" w:color="auto"/>
            <w:left w:val="none" w:sz="0" w:space="0" w:color="auto"/>
            <w:bottom w:val="none" w:sz="0" w:space="0" w:color="auto"/>
            <w:right w:val="none" w:sz="0" w:space="0" w:color="auto"/>
          </w:divBdr>
        </w:div>
        <w:div w:id="937568579">
          <w:marLeft w:val="2160"/>
          <w:marRight w:val="0"/>
          <w:marTop w:val="0"/>
          <w:marBottom w:val="0"/>
          <w:divBdr>
            <w:top w:val="none" w:sz="0" w:space="0" w:color="auto"/>
            <w:left w:val="none" w:sz="0" w:space="0" w:color="auto"/>
            <w:bottom w:val="none" w:sz="0" w:space="0" w:color="auto"/>
            <w:right w:val="none" w:sz="0" w:space="0" w:color="auto"/>
          </w:divBdr>
        </w:div>
        <w:div w:id="1266116805">
          <w:marLeft w:val="2160"/>
          <w:marRight w:val="0"/>
          <w:marTop w:val="0"/>
          <w:marBottom w:val="0"/>
          <w:divBdr>
            <w:top w:val="none" w:sz="0" w:space="0" w:color="auto"/>
            <w:left w:val="none" w:sz="0" w:space="0" w:color="auto"/>
            <w:bottom w:val="none" w:sz="0" w:space="0" w:color="auto"/>
            <w:right w:val="none" w:sz="0" w:space="0" w:color="auto"/>
          </w:divBdr>
        </w:div>
        <w:div w:id="1283994949">
          <w:marLeft w:val="2160"/>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64986402">
      <w:bodyDiv w:val="1"/>
      <w:marLeft w:val="0"/>
      <w:marRight w:val="0"/>
      <w:marTop w:val="0"/>
      <w:marBottom w:val="0"/>
      <w:divBdr>
        <w:top w:val="none" w:sz="0" w:space="0" w:color="auto"/>
        <w:left w:val="none" w:sz="0" w:space="0" w:color="auto"/>
        <w:bottom w:val="none" w:sz="0" w:space="0" w:color="auto"/>
        <w:right w:val="none" w:sz="0" w:space="0" w:color="auto"/>
      </w:divBdr>
      <w:divsChild>
        <w:div w:id="1244218077">
          <w:marLeft w:val="720"/>
          <w:marRight w:val="0"/>
          <w:marTop w:val="0"/>
          <w:marBottom w:val="0"/>
          <w:divBdr>
            <w:top w:val="none" w:sz="0" w:space="0" w:color="auto"/>
            <w:left w:val="none" w:sz="0" w:space="0" w:color="auto"/>
            <w:bottom w:val="none" w:sz="0" w:space="0" w:color="auto"/>
            <w:right w:val="none" w:sz="0" w:space="0" w:color="auto"/>
          </w:divBdr>
        </w:div>
      </w:divsChild>
    </w:div>
    <w:div w:id="1221593028">
      <w:bodyDiv w:val="1"/>
      <w:marLeft w:val="0"/>
      <w:marRight w:val="0"/>
      <w:marTop w:val="0"/>
      <w:marBottom w:val="0"/>
      <w:divBdr>
        <w:top w:val="none" w:sz="0" w:space="0" w:color="auto"/>
        <w:left w:val="none" w:sz="0" w:space="0" w:color="auto"/>
        <w:bottom w:val="none" w:sz="0" w:space="0" w:color="auto"/>
        <w:right w:val="none" w:sz="0" w:space="0" w:color="auto"/>
      </w:divBdr>
    </w:div>
    <w:div w:id="1222063361">
      <w:bodyDiv w:val="1"/>
      <w:marLeft w:val="0"/>
      <w:marRight w:val="0"/>
      <w:marTop w:val="0"/>
      <w:marBottom w:val="0"/>
      <w:divBdr>
        <w:top w:val="none" w:sz="0" w:space="0" w:color="auto"/>
        <w:left w:val="none" w:sz="0" w:space="0" w:color="auto"/>
        <w:bottom w:val="none" w:sz="0" w:space="0" w:color="auto"/>
        <w:right w:val="none" w:sz="0" w:space="0" w:color="auto"/>
      </w:divBdr>
    </w:div>
    <w:div w:id="141455059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77152778">
      <w:bodyDiv w:val="1"/>
      <w:marLeft w:val="0"/>
      <w:marRight w:val="0"/>
      <w:marTop w:val="0"/>
      <w:marBottom w:val="0"/>
      <w:divBdr>
        <w:top w:val="none" w:sz="0" w:space="0" w:color="auto"/>
        <w:left w:val="none" w:sz="0" w:space="0" w:color="auto"/>
        <w:bottom w:val="none" w:sz="0" w:space="0" w:color="auto"/>
        <w:right w:val="none" w:sz="0" w:space="0" w:color="auto"/>
      </w:divBdr>
      <w:divsChild>
        <w:div w:id="163714887">
          <w:marLeft w:val="547"/>
          <w:marRight w:val="0"/>
          <w:marTop w:val="0"/>
          <w:marBottom w:val="0"/>
          <w:divBdr>
            <w:top w:val="none" w:sz="0" w:space="0" w:color="auto"/>
            <w:left w:val="none" w:sz="0" w:space="0" w:color="auto"/>
            <w:bottom w:val="none" w:sz="0" w:space="0" w:color="auto"/>
            <w:right w:val="none" w:sz="0" w:space="0" w:color="auto"/>
          </w:divBdr>
        </w:div>
        <w:div w:id="1234389614">
          <w:marLeft w:val="547"/>
          <w:marRight w:val="0"/>
          <w:marTop w:val="0"/>
          <w:marBottom w:val="0"/>
          <w:divBdr>
            <w:top w:val="none" w:sz="0" w:space="0" w:color="auto"/>
            <w:left w:val="none" w:sz="0" w:space="0" w:color="auto"/>
            <w:bottom w:val="none" w:sz="0" w:space="0" w:color="auto"/>
            <w:right w:val="none" w:sz="0" w:space="0" w:color="auto"/>
          </w:divBdr>
        </w:div>
        <w:div w:id="213783856">
          <w:marLeft w:val="547"/>
          <w:marRight w:val="0"/>
          <w:marTop w:val="0"/>
          <w:marBottom w:val="0"/>
          <w:divBdr>
            <w:top w:val="none" w:sz="0" w:space="0" w:color="auto"/>
            <w:left w:val="none" w:sz="0" w:space="0" w:color="auto"/>
            <w:bottom w:val="none" w:sz="0" w:space="0" w:color="auto"/>
            <w:right w:val="none" w:sz="0" w:space="0" w:color="auto"/>
          </w:divBdr>
        </w:div>
        <w:div w:id="32924537">
          <w:marLeft w:val="547"/>
          <w:marRight w:val="0"/>
          <w:marTop w:val="0"/>
          <w:marBottom w:val="0"/>
          <w:divBdr>
            <w:top w:val="none" w:sz="0" w:space="0" w:color="auto"/>
            <w:left w:val="none" w:sz="0" w:space="0" w:color="auto"/>
            <w:bottom w:val="none" w:sz="0" w:space="0" w:color="auto"/>
            <w:right w:val="none" w:sz="0" w:space="0" w:color="auto"/>
          </w:divBdr>
        </w:div>
        <w:div w:id="940182188">
          <w:marLeft w:val="547"/>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91000741">
      <w:bodyDiv w:val="1"/>
      <w:marLeft w:val="0"/>
      <w:marRight w:val="0"/>
      <w:marTop w:val="0"/>
      <w:marBottom w:val="0"/>
      <w:divBdr>
        <w:top w:val="none" w:sz="0" w:space="0" w:color="auto"/>
        <w:left w:val="none" w:sz="0" w:space="0" w:color="auto"/>
        <w:bottom w:val="none" w:sz="0" w:space="0" w:color="auto"/>
        <w:right w:val="none" w:sz="0" w:space="0" w:color="auto"/>
      </w:divBdr>
      <w:divsChild>
        <w:div w:id="1969240673">
          <w:marLeft w:val="547"/>
          <w:marRight w:val="0"/>
          <w:marTop w:val="0"/>
          <w:marBottom w:val="120"/>
          <w:divBdr>
            <w:top w:val="none" w:sz="0" w:space="0" w:color="auto"/>
            <w:left w:val="none" w:sz="0" w:space="0" w:color="auto"/>
            <w:bottom w:val="none" w:sz="0" w:space="0" w:color="auto"/>
            <w:right w:val="none" w:sz="0" w:space="0" w:color="auto"/>
          </w:divBdr>
        </w:div>
        <w:div w:id="335495613">
          <w:marLeft w:val="547"/>
          <w:marRight w:val="0"/>
          <w:marTop w:val="0"/>
          <w:marBottom w:val="120"/>
          <w:divBdr>
            <w:top w:val="none" w:sz="0" w:space="0" w:color="auto"/>
            <w:left w:val="none" w:sz="0" w:space="0" w:color="auto"/>
            <w:bottom w:val="none" w:sz="0" w:space="0" w:color="auto"/>
            <w:right w:val="none" w:sz="0" w:space="0" w:color="auto"/>
          </w:divBdr>
        </w:div>
        <w:div w:id="44179564">
          <w:marLeft w:val="547"/>
          <w:marRight w:val="0"/>
          <w:marTop w:val="0"/>
          <w:marBottom w:val="120"/>
          <w:divBdr>
            <w:top w:val="none" w:sz="0" w:space="0" w:color="auto"/>
            <w:left w:val="none" w:sz="0" w:space="0" w:color="auto"/>
            <w:bottom w:val="none" w:sz="0" w:space="0" w:color="auto"/>
            <w:right w:val="none" w:sz="0" w:space="0" w:color="auto"/>
          </w:divBdr>
        </w:div>
        <w:div w:id="1563365734">
          <w:marLeft w:val="547"/>
          <w:marRight w:val="0"/>
          <w:marTop w:val="0"/>
          <w:marBottom w:val="120"/>
          <w:divBdr>
            <w:top w:val="none" w:sz="0" w:space="0" w:color="auto"/>
            <w:left w:val="none" w:sz="0" w:space="0" w:color="auto"/>
            <w:bottom w:val="none" w:sz="0" w:space="0" w:color="auto"/>
            <w:right w:val="none" w:sz="0" w:space="0" w:color="auto"/>
          </w:divBdr>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h.unesco.org/en/Decisions/7.GA/11" TargetMode="External"/><Relationship Id="rId18" Type="http://schemas.openxmlformats.org/officeDocument/2006/relationships/hyperlink" Target="https://ich.unesco.org/en/Decisions/12.COM/13" TargetMode="External"/><Relationship Id="rId26" Type="http://schemas.openxmlformats.org/officeDocument/2006/relationships/hyperlink" Target="https://ich.unesco.org/en/Decisions/13.COM/13" TargetMode="External"/><Relationship Id="rId3" Type="http://schemas.openxmlformats.org/officeDocument/2006/relationships/customXml" Target="../customXml/item3.xml"/><Relationship Id="rId21" Type="http://schemas.openxmlformats.org/officeDocument/2006/relationships/hyperlink" Target="https://ich.unesco.org/doc/src/LHE-19-14.COM-16-EN.doc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ich.unesco.org/en/d%C3%A9cisions/12.COM/17?dec=decisions&amp;ref_decision=12.COM" TargetMode="External"/><Relationship Id="rId17" Type="http://schemas.openxmlformats.org/officeDocument/2006/relationships/hyperlink" Target="https://ich.unesco.org/doc/src/45581-EN.docx" TargetMode="External"/><Relationship Id="rId25" Type="http://schemas.openxmlformats.org/officeDocument/2006/relationships/hyperlink" Target="https://ich.unesco.org/en/Decisions/12.COM/17"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ch.unesco.org/en/Decisions/13.COM/13" TargetMode="External"/><Relationship Id="rId20" Type="http://schemas.openxmlformats.org/officeDocument/2006/relationships/hyperlink" Target="https://ich.unesco.org/en/Decisions/14.COM/16" TargetMode="External"/><Relationship Id="rId29" Type="http://schemas.openxmlformats.org/officeDocument/2006/relationships/hyperlink" Target="https://ich.unesco.org/en/Decisions/14.COM/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h.unesco.org/en/Decisions/12.COM/13" TargetMode="External"/><Relationship Id="rId24" Type="http://schemas.openxmlformats.org/officeDocument/2006/relationships/hyperlink" Target="https://ich.unesco.org/en/Decisions/12.COM/13"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h.unesco.org/doc/src/ITH-18-13.COM-13-EN.docx" TargetMode="External"/><Relationship Id="rId23" Type="http://schemas.openxmlformats.org/officeDocument/2006/relationships/hyperlink" Target="https://ich.unesco.org/en/Decisions/14.COM/15" TargetMode="External"/><Relationship Id="rId28" Type="http://schemas.openxmlformats.org/officeDocument/2006/relationships/hyperlink" Target="https://ich.unesco.org/en/Decisions/14.COM/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h.unesco.org/en/Decisions/13.COM/16" TargetMode="External"/><Relationship Id="rId31" Type="http://schemas.openxmlformats.org/officeDocument/2006/relationships/hyperlink" Target="https://ich.unesco.org/en/Decisions/7.GA/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h.unesco.org/en/Decisions/14.COM/15" TargetMode="External"/><Relationship Id="rId22" Type="http://schemas.openxmlformats.org/officeDocument/2006/relationships/hyperlink" Target="https://ich.unesco.org/doc/src/LHE-19-14.COM-15-EN.docx" TargetMode="External"/><Relationship Id="rId27" Type="http://schemas.openxmlformats.org/officeDocument/2006/relationships/hyperlink" Target="https://ich.unesco.org/en/Decisions/13.COM/16" TargetMode="External"/><Relationship Id="rId30" Type="http://schemas.openxmlformats.org/officeDocument/2006/relationships/hyperlink" Target="https://ich.unesco.org/en/Resolutions/7.GA/6" TargetMode="Externa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13" ma:contentTypeDescription="Create a new document." ma:contentTypeScope="" ma:versionID="1456ecff9f2a98582efd01bc1b750e6f">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43b5d121ec1ed15a3b4abd6186a34b65"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8ef70f3-4e3d-42be-bd40-fbc1cacc15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0797-9DFC-4A34-B3ED-E1675E1F7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3B656-657C-42B8-A34E-02F8E42771D9}">
  <ds:schemaRefs>
    <ds:schemaRef ds:uri="http://schemas.microsoft.com/sharepoint/v3/contenttype/forms"/>
  </ds:schemaRefs>
</ds:datastoreItem>
</file>

<file path=customXml/itemProps3.xml><?xml version="1.0" encoding="utf-8"?>
<ds:datastoreItem xmlns:ds="http://schemas.openxmlformats.org/officeDocument/2006/customXml" ds:itemID="{CC913A79-1E96-4769-8B82-6C9A939DCED6}">
  <ds:schemaRefs>
    <ds:schemaRef ds:uri="http://purl.org/dc/terms/"/>
    <ds:schemaRef ds:uri="http://purl.org/dc/elements/1.1/"/>
    <ds:schemaRef ds:uri="http://purl.org/dc/dcmitype/"/>
    <ds:schemaRef ds:uri="f8ef70f3-4e3d-42be-bd40-fbc1cacc1519"/>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5b799ec2-212c-48b5-b7ff-d14ec6cbce2b"/>
    <ds:schemaRef ds:uri="http://schemas.microsoft.com/office/2006/metadata/properties"/>
  </ds:schemaRefs>
</ds:datastoreItem>
</file>

<file path=customXml/itemProps4.xml><?xml version="1.0" encoding="utf-8"?>
<ds:datastoreItem xmlns:ds="http://schemas.openxmlformats.org/officeDocument/2006/customXml" ds:itemID="{3500E5B9-2F57-4ABF-836C-930079B5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67</TotalTime>
  <Pages>4</Pages>
  <Words>1866</Words>
  <Characters>10267</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Ohinata, Fumiko</cp:lastModifiedBy>
  <cp:revision>21</cp:revision>
  <cp:lastPrinted>2020-07-24T09:09:00Z</cp:lastPrinted>
  <dcterms:created xsi:type="dcterms:W3CDTF">2020-07-24T08:54:00Z</dcterms:created>
  <dcterms:modified xsi:type="dcterms:W3CDTF">2020-08-07T13:14:00Z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