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6E2C6" w14:textId="70374513" w:rsidR="0072131B" w:rsidRPr="002402C9" w:rsidRDefault="0072131B" w:rsidP="0072131B">
      <w:pPr>
        <w:spacing w:before="14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lang w:val="ru-RU"/>
        </w:rPr>
        <w:t>КОНВЕНЦИЯ ОБ ОХРАНЕ</w:t>
      </w:r>
      <w:bookmarkStart w:id="0" w:name="_GoBack"/>
      <w:bookmarkEnd w:id="0"/>
      <w:r w:rsidRPr="002402C9">
        <w:rPr>
          <w:lang w:val="ru-RU"/>
        </w:rPr>
        <w:br/>
      </w:r>
      <w:r w:rsidRPr="002402C9">
        <w:rPr>
          <w:rFonts w:ascii="Arial" w:hAnsi="Arial" w:cs="Arial"/>
          <w:b/>
          <w:sz w:val="22"/>
          <w:szCs w:val="22"/>
          <w:lang w:val="ru-RU"/>
        </w:rPr>
        <w:t>НЕМАТЕРИАЛЬНОГО КУЛЬТУРНОГО НАСЛЕДИЯ</w:t>
      </w:r>
    </w:p>
    <w:p w14:paraId="12869090" w14:textId="77777777" w:rsidR="0072131B" w:rsidRPr="002402C9" w:rsidRDefault="0072131B" w:rsidP="0072131B">
      <w:pPr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2402C9">
        <w:rPr>
          <w:rFonts w:ascii="Arial" w:hAnsi="Arial" w:cs="Arial"/>
          <w:b/>
          <w:sz w:val="22"/>
          <w:szCs w:val="22"/>
          <w:lang w:val="ru-RU"/>
        </w:rPr>
        <w:t>ГЕНЕРАЛЬНАЯ АССАМБЛЕЯ ГОСУДАРСТВ – УЧАСТНИКОВ КОНВЕНЦИИ</w:t>
      </w:r>
    </w:p>
    <w:p w14:paraId="4F64947E" w14:textId="77777777" w:rsidR="0072131B" w:rsidRPr="00EA0225" w:rsidRDefault="0072131B" w:rsidP="0072131B">
      <w:pPr>
        <w:spacing w:before="840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EA0225">
        <w:rPr>
          <w:rFonts w:ascii="Arial" w:hAnsi="Arial" w:cs="Arial"/>
          <w:b/>
          <w:sz w:val="22"/>
          <w:szCs w:val="22"/>
          <w:lang w:val="ru-RU"/>
        </w:rPr>
        <w:t>Восьмая сессия</w:t>
      </w:r>
    </w:p>
    <w:p w14:paraId="60A177BE" w14:textId="77777777" w:rsidR="0072131B" w:rsidRPr="00EA0225" w:rsidRDefault="0072131B" w:rsidP="0072131B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EA0225">
        <w:rPr>
          <w:rFonts w:ascii="Arial" w:hAnsi="Arial" w:cs="Arial"/>
          <w:b/>
          <w:sz w:val="22"/>
          <w:szCs w:val="22"/>
          <w:lang w:val="ru-RU"/>
        </w:rPr>
        <w:t>Штаб-квартира ЮНЕСКО, зал I</w:t>
      </w:r>
    </w:p>
    <w:p w14:paraId="23B633C3" w14:textId="158877ED" w:rsidR="00655736" w:rsidRPr="00D304ED" w:rsidRDefault="00B05E9F" w:rsidP="00D95C4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D304ED">
        <w:rPr>
          <w:rFonts w:ascii="Arial" w:hAnsi="Arial" w:cs="Arial"/>
          <w:b/>
          <w:sz w:val="22"/>
          <w:szCs w:val="22"/>
          <w:lang w:val="ru-RU"/>
        </w:rPr>
        <w:t>8</w:t>
      </w:r>
      <w:r w:rsidR="00763A0D" w:rsidRPr="00D304E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D304ED">
        <w:rPr>
          <w:rFonts w:ascii="Arial" w:hAnsi="Arial" w:cs="Arial"/>
          <w:b/>
          <w:sz w:val="22"/>
          <w:szCs w:val="22"/>
          <w:lang w:val="ru-RU"/>
        </w:rPr>
        <w:t>– 10 сентября</w:t>
      </w:r>
      <w:r w:rsidR="006F41B4" w:rsidRPr="00D304ED">
        <w:rPr>
          <w:rFonts w:ascii="Arial" w:hAnsi="Arial" w:cs="Arial"/>
          <w:b/>
          <w:sz w:val="22"/>
          <w:szCs w:val="22"/>
          <w:lang w:val="ru-RU"/>
        </w:rPr>
        <w:t xml:space="preserve"> 2020</w:t>
      </w:r>
      <w:r w:rsidR="00D304ED">
        <w:rPr>
          <w:rFonts w:ascii="Arial" w:hAnsi="Arial" w:cs="Arial"/>
          <w:b/>
          <w:sz w:val="22"/>
          <w:szCs w:val="22"/>
          <w:lang w:val="ru-RU"/>
        </w:rPr>
        <w:t> г.</w:t>
      </w:r>
    </w:p>
    <w:p w14:paraId="1FEC9350" w14:textId="1433643C" w:rsidR="00655736" w:rsidRPr="00C44E09" w:rsidRDefault="00D304ED" w:rsidP="00655736">
      <w:pPr>
        <w:pStyle w:val="Sansinterligne2"/>
        <w:spacing w:before="1200"/>
        <w:jc w:val="center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 xml:space="preserve">Пункт </w:t>
      </w:r>
      <w:r w:rsidR="003C0F85">
        <w:rPr>
          <w:rFonts w:ascii="Arial" w:hAnsi="Arial" w:cs="Arial"/>
          <w:b/>
          <w:sz w:val="22"/>
          <w:szCs w:val="22"/>
          <w:u w:val="single"/>
          <w:lang w:val="ru-RU"/>
        </w:rPr>
        <w:t>10</w:t>
      </w:r>
      <w:r w:rsidR="003C0F85" w:rsidRPr="00C44E09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предварительной повестки дня</w:t>
      </w:r>
      <w:r w:rsidR="00655736" w:rsidRPr="00C44E09">
        <w:rPr>
          <w:rFonts w:ascii="Arial" w:hAnsi="Arial" w:cs="Arial"/>
          <w:b/>
          <w:sz w:val="22"/>
          <w:szCs w:val="22"/>
          <w:u w:val="single"/>
          <w:lang w:val="ru-RU"/>
        </w:rPr>
        <w:t>:</w:t>
      </w:r>
    </w:p>
    <w:p w14:paraId="51DC24E0" w14:textId="18DB9B84" w:rsidR="002F312A" w:rsidRPr="00414643" w:rsidRDefault="00C44E09" w:rsidP="002F312A">
      <w:pPr>
        <w:pStyle w:val="Sansinterligne2"/>
        <w:spacing w:after="1200"/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ru-RU"/>
        </w:rPr>
        <w:t>Пересмотр положений Оперативного руководства по выполнению Конвенции</w:t>
      </w: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655736" w:rsidRPr="006051DD" w14:paraId="284D9D1C" w14:textId="77777777" w:rsidTr="002F312A">
        <w:trPr>
          <w:jc w:val="center"/>
        </w:trPr>
        <w:tc>
          <w:tcPr>
            <w:tcW w:w="5670" w:type="dxa"/>
            <w:vAlign w:val="center"/>
          </w:tcPr>
          <w:p w14:paraId="057F83CA" w14:textId="4F3B32A3" w:rsidR="00CE3C7F" w:rsidRPr="0041645A" w:rsidRDefault="00C44E09" w:rsidP="00CE3C7F">
            <w:pPr>
              <w:pStyle w:val="Sansinterligne1"/>
              <w:spacing w:before="200" w:after="20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Содержание</w:t>
            </w:r>
          </w:p>
          <w:p w14:paraId="07EF8AC4" w14:textId="59500C9C" w:rsidR="00CE3C7F" w:rsidRPr="00C3077D" w:rsidRDefault="00C44E09" w:rsidP="00CE3C7F">
            <w:pPr>
              <w:pStyle w:val="Sansinterligne1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четырнадцатой</w:t>
            </w:r>
            <w:r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сессии</w:t>
            </w:r>
            <w:r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Межправительственн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ого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комитет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а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были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подведены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итоги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предварительного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диалога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инициированного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на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экспериментальной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основе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для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номинационного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цикла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2019</w:t>
            </w:r>
            <w:r w:rsidR="0059554C" w:rsidRPr="0059554C">
              <w:rPr>
                <w:rFonts w:ascii="Arial" w:hAnsi="Arial" w:cs="Arial"/>
                <w:sz w:val="22"/>
                <w:szCs w:val="22"/>
                <w:lang w:val="en-GB"/>
              </w:rPr>
              <w:t> 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.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Комитет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признал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положительный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опыт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привнесенный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этим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механизмом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процесс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оценки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59554C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59554C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включения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списки,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рекомендовал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Генеральной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ассамблее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пересмотреть Оперативное руководство по выполнению Конвенции</w:t>
            </w:r>
            <w:r w:rsidR="00C3077D" w:rsidRP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>для придания процессу диалога официального характера (</w:t>
            </w:r>
            <w:hyperlink r:id="rId8" w:history="1">
              <w:r w:rsidR="00C3077D">
                <w:rPr>
                  <w:rFonts w:asciiTheme="minorBidi" w:hAnsiTheme="minorBidi" w:cstheme="minorBidi"/>
                  <w:color w:val="0000FF"/>
                  <w:sz w:val="22"/>
                  <w:szCs w:val="22"/>
                  <w:u w:val="single"/>
                  <w:lang w:val="ru-RU"/>
                </w:rPr>
                <w:t>решение</w:t>
              </w:r>
              <w:r w:rsidR="008604FA">
                <w:rPr>
                  <w:rFonts w:asciiTheme="minorBidi" w:hAnsiTheme="minorBidi" w:cstheme="minorBidi"/>
                  <w:color w:val="0000FF"/>
                  <w:sz w:val="22"/>
                  <w:szCs w:val="22"/>
                  <w:u w:val="single"/>
                </w:rPr>
                <w:t> </w:t>
              </w:r>
              <w:r w:rsidR="00E923EF" w:rsidRPr="00C3077D">
                <w:rPr>
                  <w:rFonts w:asciiTheme="minorBidi" w:hAnsiTheme="minorBidi" w:cstheme="minorBidi"/>
                  <w:color w:val="0000FF"/>
                  <w:sz w:val="22"/>
                  <w:szCs w:val="22"/>
                  <w:u w:val="single"/>
                  <w:lang w:val="ru-RU"/>
                </w:rPr>
                <w:t>14.</w:t>
              </w:r>
              <w:r w:rsidR="00E923EF" w:rsidRPr="009A7384">
                <w:rPr>
                  <w:rFonts w:asciiTheme="minorBidi" w:hAnsiTheme="minorBidi" w:cstheme="minorBidi"/>
                  <w:color w:val="0000FF"/>
                  <w:sz w:val="22"/>
                  <w:szCs w:val="22"/>
                  <w:u w:val="single"/>
                  <w:lang w:val="en-US"/>
                </w:rPr>
                <w:t>COM </w:t>
              </w:r>
              <w:r w:rsidR="00E923EF" w:rsidRPr="00C3077D">
                <w:rPr>
                  <w:rFonts w:asciiTheme="minorBidi" w:hAnsiTheme="minorBidi" w:cstheme="minorBidi"/>
                  <w:color w:val="0000FF"/>
                  <w:sz w:val="22"/>
                  <w:szCs w:val="22"/>
                  <w:u w:val="single"/>
                  <w:lang w:val="ru-RU"/>
                </w:rPr>
                <w:t>14</w:t>
              </w:r>
            </w:hyperlink>
            <w:r w:rsidR="00CE3C7F" w:rsidRPr="00C3077D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, как </w:t>
            </w:r>
            <w:r w:rsidR="00232013">
              <w:rPr>
                <w:rFonts w:ascii="Arial" w:hAnsi="Arial" w:cs="Arial"/>
                <w:sz w:val="22"/>
                <w:szCs w:val="22"/>
                <w:lang w:val="ru-RU"/>
              </w:rPr>
              <w:t>представлено</w:t>
            </w:r>
            <w:r w:rsidR="00C3077D">
              <w:rPr>
                <w:rFonts w:ascii="Arial" w:hAnsi="Arial" w:cs="Arial"/>
                <w:sz w:val="22"/>
                <w:szCs w:val="22"/>
                <w:lang w:val="ru-RU"/>
              </w:rPr>
              <w:t xml:space="preserve"> в приложении к настоящему документу.</w:t>
            </w:r>
          </w:p>
          <w:p w14:paraId="4491CC0B" w14:textId="5B1C0C70" w:rsidR="00655736" w:rsidRPr="00414643" w:rsidRDefault="0059554C" w:rsidP="0059554C">
            <w:pPr>
              <w:pStyle w:val="Sansinterligne2"/>
              <w:spacing w:before="200"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>Требуемое решение</w:t>
            </w:r>
            <w:r w:rsidR="0057439C" w:rsidRPr="00414643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Pr="0059554C">
              <w:rPr>
                <w:rFonts w:ascii="Arial" w:hAnsi="Arial" w:cs="Arial"/>
                <w:sz w:val="22"/>
                <w:szCs w:val="22"/>
                <w:lang w:val="ru-RU"/>
              </w:rPr>
              <w:t>пункт</w:t>
            </w:r>
            <w:r w:rsidR="0057439C" w:rsidRPr="00722B5F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2C3EFB" w:rsidRPr="00FF5F61">
              <w:rPr>
                <w:rFonts w:ascii="Arial" w:hAnsi="Arial" w:cs="Arial"/>
                <w:bCs/>
                <w:sz w:val="22"/>
                <w:szCs w:val="22"/>
                <w:lang w:val="en-GB"/>
              </w:rPr>
              <w:t>7</w:t>
            </w:r>
          </w:p>
        </w:tc>
      </w:tr>
    </w:tbl>
    <w:p w14:paraId="44911037" w14:textId="77777777" w:rsidR="00176720" w:rsidRDefault="00655736" w:rsidP="00176720">
      <w:pPr>
        <w:pStyle w:val="GAPara"/>
        <w:numPr>
          <w:ilvl w:val="0"/>
          <w:numId w:val="0"/>
        </w:numPr>
        <w:jc w:val="both"/>
      </w:pPr>
      <w:r w:rsidRPr="00414643">
        <w:br w:type="page"/>
      </w:r>
    </w:p>
    <w:p w14:paraId="004F18B6" w14:textId="337B59C7" w:rsidR="007F254F" w:rsidRPr="007F254F" w:rsidRDefault="001C4DDB" w:rsidP="008604FA">
      <w:pPr>
        <w:pStyle w:val="COMPara"/>
        <w:numPr>
          <w:ilvl w:val="0"/>
          <w:numId w:val="19"/>
        </w:numPr>
        <w:ind w:left="540" w:hanging="540"/>
        <w:jc w:val="both"/>
        <w:rPr>
          <w:lang w:val="ru-RU"/>
        </w:rPr>
      </w:pPr>
      <w:r>
        <w:rPr>
          <w:lang w:val="ru-RU"/>
        </w:rPr>
        <w:lastRenderedPageBreak/>
        <w:t>На</w:t>
      </w:r>
      <w:r w:rsidRPr="001C4DDB">
        <w:rPr>
          <w:lang w:val="ru-RU"/>
        </w:rPr>
        <w:t xml:space="preserve"> </w:t>
      </w:r>
      <w:r>
        <w:rPr>
          <w:lang w:val="ru-RU"/>
        </w:rPr>
        <w:t>одиннадцатой</w:t>
      </w:r>
      <w:r w:rsidRPr="001C4DDB">
        <w:rPr>
          <w:lang w:val="ru-RU"/>
        </w:rPr>
        <w:t xml:space="preserve"> </w:t>
      </w:r>
      <w:r>
        <w:rPr>
          <w:lang w:val="ru-RU"/>
        </w:rPr>
        <w:t>сессии</w:t>
      </w:r>
      <w:r w:rsidRPr="001C4DDB">
        <w:rPr>
          <w:lang w:val="ru-RU"/>
        </w:rPr>
        <w:t xml:space="preserve"> </w:t>
      </w:r>
      <w:r>
        <w:rPr>
          <w:lang w:val="ru-RU"/>
        </w:rPr>
        <w:t>Комитета</w:t>
      </w:r>
      <w:r w:rsidRPr="001C4DDB">
        <w:rPr>
          <w:lang w:val="ru-RU"/>
        </w:rPr>
        <w:t xml:space="preserve"> </w:t>
      </w:r>
      <w:r>
        <w:rPr>
          <w:lang w:val="ru-RU"/>
        </w:rPr>
        <w:t>в</w:t>
      </w:r>
      <w:r w:rsidRPr="001C4DDB">
        <w:rPr>
          <w:lang w:val="ru-RU"/>
        </w:rPr>
        <w:t xml:space="preserve"> 2016</w:t>
      </w:r>
      <w:r w:rsidRPr="001C4DDB">
        <w:rPr>
          <w:lang w:val="en-US"/>
        </w:rPr>
        <w:t> </w:t>
      </w:r>
      <w:r>
        <w:rPr>
          <w:lang w:val="ru-RU"/>
        </w:rPr>
        <w:t>г</w:t>
      </w:r>
      <w:r w:rsidRPr="001C4DDB">
        <w:rPr>
          <w:lang w:val="ru-RU"/>
        </w:rPr>
        <w:t xml:space="preserve">. </w:t>
      </w:r>
      <w:r>
        <w:rPr>
          <w:lang w:val="ru-RU"/>
        </w:rPr>
        <w:t>была</w:t>
      </w:r>
      <w:r w:rsidRPr="001C4DDB">
        <w:rPr>
          <w:lang w:val="ru-RU"/>
        </w:rPr>
        <w:t xml:space="preserve"> </w:t>
      </w:r>
      <w:r>
        <w:rPr>
          <w:lang w:val="ru-RU"/>
        </w:rPr>
        <w:t>признана</w:t>
      </w:r>
      <w:r w:rsidRPr="001C4DDB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1C4DDB">
        <w:rPr>
          <w:lang w:val="ru-RU"/>
        </w:rPr>
        <w:t xml:space="preserve"> </w:t>
      </w:r>
      <w:r>
        <w:rPr>
          <w:lang w:val="ru-RU"/>
        </w:rPr>
        <w:t>включения</w:t>
      </w:r>
      <w:r w:rsidRPr="001C4DDB">
        <w:rPr>
          <w:lang w:val="ru-RU"/>
        </w:rPr>
        <w:t xml:space="preserve"> </w:t>
      </w:r>
      <w:r>
        <w:rPr>
          <w:lang w:val="ru-RU"/>
        </w:rPr>
        <w:t>в</w:t>
      </w:r>
      <w:r w:rsidRPr="001C4DDB">
        <w:rPr>
          <w:lang w:val="ru-RU"/>
        </w:rPr>
        <w:t xml:space="preserve"> </w:t>
      </w:r>
      <w:r>
        <w:rPr>
          <w:lang w:val="ru-RU"/>
        </w:rPr>
        <w:t>номинационный</w:t>
      </w:r>
      <w:r w:rsidRPr="001C4DDB">
        <w:rPr>
          <w:lang w:val="ru-RU"/>
        </w:rPr>
        <w:t xml:space="preserve"> </w:t>
      </w:r>
      <w:r>
        <w:rPr>
          <w:lang w:val="ru-RU"/>
        </w:rPr>
        <w:t>цикл</w:t>
      </w:r>
      <w:r w:rsidRPr="001C4DDB">
        <w:rPr>
          <w:lang w:val="ru-RU"/>
        </w:rPr>
        <w:t xml:space="preserve"> </w:t>
      </w:r>
      <w:r>
        <w:rPr>
          <w:lang w:val="ru-RU"/>
        </w:rPr>
        <w:t>дополнительного</w:t>
      </w:r>
      <w:r w:rsidRPr="001C4DDB">
        <w:rPr>
          <w:lang w:val="ru-RU"/>
        </w:rPr>
        <w:t xml:space="preserve"> </w:t>
      </w:r>
      <w:r>
        <w:rPr>
          <w:lang w:val="ru-RU"/>
        </w:rPr>
        <w:t>этапа</w:t>
      </w:r>
      <w:r w:rsidRPr="001C4DDB">
        <w:rPr>
          <w:lang w:val="ru-RU"/>
        </w:rPr>
        <w:t xml:space="preserve">, </w:t>
      </w:r>
      <w:r>
        <w:rPr>
          <w:lang w:val="ru-RU"/>
        </w:rPr>
        <w:t>с</w:t>
      </w:r>
      <w:r w:rsidRPr="001C4DDB">
        <w:rPr>
          <w:lang w:val="ru-RU"/>
        </w:rPr>
        <w:t xml:space="preserve"> </w:t>
      </w:r>
      <w:r>
        <w:rPr>
          <w:lang w:val="ru-RU"/>
        </w:rPr>
        <w:t>тем</w:t>
      </w:r>
      <w:r w:rsidRPr="001C4DDB">
        <w:rPr>
          <w:lang w:val="ru-RU"/>
        </w:rPr>
        <w:t xml:space="preserve">, </w:t>
      </w:r>
      <w:r>
        <w:rPr>
          <w:lang w:val="ru-RU"/>
        </w:rPr>
        <w:t>чтобы</w:t>
      </w:r>
      <w:r w:rsidRPr="001C4DDB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1C4DDB">
        <w:rPr>
          <w:lang w:val="ru-RU"/>
        </w:rPr>
        <w:t xml:space="preserve"> </w:t>
      </w:r>
      <w:r>
        <w:rPr>
          <w:lang w:val="ru-RU"/>
        </w:rPr>
        <w:t>диалог</w:t>
      </w:r>
      <w:r w:rsidRPr="001C4DDB">
        <w:rPr>
          <w:lang w:val="ru-RU"/>
        </w:rPr>
        <w:t xml:space="preserve"> </w:t>
      </w:r>
      <w:r>
        <w:rPr>
          <w:lang w:val="ru-RU"/>
        </w:rPr>
        <w:t>между</w:t>
      </w:r>
      <w:r w:rsidRPr="001C4DDB">
        <w:rPr>
          <w:lang w:val="ru-RU"/>
        </w:rPr>
        <w:t xml:space="preserve"> </w:t>
      </w:r>
      <w:r>
        <w:rPr>
          <w:lang w:val="ru-RU"/>
        </w:rPr>
        <w:t>Оценочным</w:t>
      </w:r>
      <w:r w:rsidRPr="001C4DDB">
        <w:rPr>
          <w:lang w:val="ru-RU"/>
        </w:rPr>
        <w:t xml:space="preserve"> </w:t>
      </w:r>
      <w:r>
        <w:rPr>
          <w:lang w:val="ru-RU"/>
        </w:rPr>
        <w:t>органом</w:t>
      </w:r>
      <w:r w:rsidRPr="001C4DDB">
        <w:rPr>
          <w:lang w:val="ru-RU"/>
        </w:rPr>
        <w:t xml:space="preserve"> </w:t>
      </w:r>
      <w:r>
        <w:rPr>
          <w:lang w:val="ru-RU"/>
        </w:rPr>
        <w:t>и</w:t>
      </w:r>
      <w:r w:rsidRPr="001C4DDB">
        <w:rPr>
          <w:lang w:val="ru-RU"/>
        </w:rPr>
        <w:t xml:space="preserve"> </w:t>
      </w:r>
      <w:r>
        <w:rPr>
          <w:lang w:val="ru-RU"/>
        </w:rPr>
        <w:t>представляющими</w:t>
      </w:r>
      <w:r w:rsidRPr="001C4DDB">
        <w:rPr>
          <w:lang w:val="ru-RU"/>
        </w:rPr>
        <w:t xml:space="preserve"> </w:t>
      </w:r>
      <w:r>
        <w:rPr>
          <w:lang w:val="ru-RU"/>
        </w:rPr>
        <w:t>досье</w:t>
      </w:r>
      <w:r w:rsidRPr="001C4DDB">
        <w:rPr>
          <w:lang w:val="ru-RU"/>
        </w:rPr>
        <w:t xml:space="preserve"> </w:t>
      </w:r>
      <w:r>
        <w:rPr>
          <w:lang w:val="ru-RU"/>
        </w:rPr>
        <w:t>или</w:t>
      </w:r>
      <w:r w:rsidRPr="001C4DDB">
        <w:rPr>
          <w:lang w:val="ru-RU"/>
        </w:rPr>
        <w:t xml:space="preserve"> </w:t>
      </w:r>
      <w:r>
        <w:rPr>
          <w:lang w:val="ru-RU"/>
        </w:rPr>
        <w:t>заявк</w:t>
      </w:r>
      <w:r w:rsidR="00537C97">
        <w:rPr>
          <w:lang w:val="ru-RU"/>
        </w:rPr>
        <w:t>и</w:t>
      </w:r>
      <w:r w:rsidRPr="001C4DDB">
        <w:rPr>
          <w:lang w:val="ru-RU"/>
        </w:rPr>
        <w:t xml:space="preserve"> </w:t>
      </w:r>
      <w:r>
        <w:rPr>
          <w:lang w:val="ru-RU"/>
        </w:rPr>
        <w:t>государствами</w:t>
      </w:r>
      <w:r w:rsidRPr="001C4DDB">
        <w:rPr>
          <w:lang w:val="ru-RU"/>
        </w:rPr>
        <w:t xml:space="preserve">. </w:t>
      </w:r>
      <w:r>
        <w:rPr>
          <w:lang w:val="ru-RU"/>
        </w:rPr>
        <w:t>Комитет</w:t>
      </w:r>
      <w:r w:rsidRPr="00537C97">
        <w:rPr>
          <w:lang w:val="ru-RU"/>
        </w:rPr>
        <w:t xml:space="preserve"> </w:t>
      </w:r>
      <w:r>
        <w:rPr>
          <w:lang w:val="ru-RU"/>
        </w:rPr>
        <w:t>поручил</w:t>
      </w:r>
      <w:r w:rsidRPr="00537C97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537C97">
        <w:rPr>
          <w:lang w:val="ru-RU"/>
        </w:rPr>
        <w:t xml:space="preserve"> </w:t>
      </w:r>
      <w:r>
        <w:rPr>
          <w:lang w:val="ru-RU"/>
        </w:rPr>
        <w:t>предложить</w:t>
      </w:r>
      <w:r w:rsidRPr="00537C97">
        <w:rPr>
          <w:lang w:val="ru-RU"/>
        </w:rPr>
        <w:t xml:space="preserve"> </w:t>
      </w:r>
      <w:r>
        <w:rPr>
          <w:lang w:val="ru-RU"/>
        </w:rPr>
        <w:t>соответствующую</w:t>
      </w:r>
      <w:r w:rsidRPr="00537C97">
        <w:rPr>
          <w:lang w:val="ru-RU"/>
        </w:rPr>
        <w:t xml:space="preserve"> </w:t>
      </w:r>
      <w:r>
        <w:rPr>
          <w:lang w:val="ru-RU"/>
        </w:rPr>
        <w:t>процедуру</w:t>
      </w:r>
      <w:r w:rsidRPr="00537C97">
        <w:rPr>
          <w:lang w:val="ru-RU"/>
        </w:rPr>
        <w:t xml:space="preserve"> </w:t>
      </w:r>
      <w:r>
        <w:rPr>
          <w:lang w:val="ru-RU"/>
        </w:rPr>
        <w:t>в</w:t>
      </w:r>
      <w:r w:rsidRPr="00537C97">
        <w:rPr>
          <w:lang w:val="ru-RU"/>
        </w:rPr>
        <w:t xml:space="preserve"> </w:t>
      </w:r>
      <w:r>
        <w:rPr>
          <w:lang w:val="ru-RU"/>
        </w:rPr>
        <w:t>данной</w:t>
      </w:r>
      <w:r w:rsidRPr="00537C97">
        <w:rPr>
          <w:lang w:val="ru-RU"/>
        </w:rPr>
        <w:t xml:space="preserve"> </w:t>
      </w:r>
      <w:r>
        <w:rPr>
          <w:lang w:val="ru-RU"/>
        </w:rPr>
        <w:t>связи</w:t>
      </w:r>
      <w:r w:rsidRPr="00537C97">
        <w:rPr>
          <w:lang w:val="ru-RU"/>
        </w:rPr>
        <w:t xml:space="preserve"> </w:t>
      </w:r>
      <w:r>
        <w:rPr>
          <w:lang w:val="ru-RU"/>
        </w:rPr>
        <w:t>и</w:t>
      </w:r>
      <w:r w:rsidRPr="00537C97">
        <w:rPr>
          <w:lang w:val="ru-RU"/>
        </w:rPr>
        <w:t xml:space="preserve"> </w:t>
      </w:r>
      <w:r>
        <w:rPr>
          <w:lang w:val="ru-RU"/>
        </w:rPr>
        <w:t>в</w:t>
      </w:r>
      <w:r w:rsidRPr="00537C97">
        <w:rPr>
          <w:lang w:val="ru-RU"/>
        </w:rPr>
        <w:t xml:space="preserve"> </w:t>
      </w:r>
      <w:r>
        <w:rPr>
          <w:lang w:val="ru-RU"/>
        </w:rPr>
        <w:t>то</w:t>
      </w:r>
      <w:r w:rsidRPr="00537C97">
        <w:rPr>
          <w:lang w:val="ru-RU"/>
        </w:rPr>
        <w:t xml:space="preserve"> </w:t>
      </w:r>
      <w:r>
        <w:rPr>
          <w:lang w:val="ru-RU"/>
        </w:rPr>
        <w:t>же</w:t>
      </w:r>
      <w:r w:rsidRPr="00537C97">
        <w:rPr>
          <w:lang w:val="ru-RU"/>
        </w:rPr>
        <w:t xml:space="preserve"> </w:t>
      </w:r>
      <w:r>
        <w:rPr>
          <w:lang w:val="ru-RU"/>
        </w:rPr>
        <w:t>время</w:t>
      </w:r>
      <w:r w:rsidRPr="00537C97">
        <w:rPr>
          <w:lang w:val="ru-RU"/>
        </w:rPr>
        <w:t xml:space="preserve"> </w:t>
      </w:r>
      <w:r>
        <w:rPr>
          <w:lang w:val="ru-RU"/>
        </w:rPr>
        <w:t>учредил</w:t>
      </w:r>
      <w:r w:rsidRPr="00537C97">
        <w:rPr>
          <w:lang w:val="ru-RU"/>
        </w:rPr>
        <w:t xml:space="preserve"> </w:t>
      </w:r>
      <w:r w:rsidR="00537C97">
        <w:rPr>
          <w:lang w:val="ru-RU"/>
        </w:rPr>
        <w:t>неофициальную</w:t>
      </w:r>
      <w:r w:rsidR="00537C97" w:rsidRPr="00537C97">
        <w:rPr>
          <w:lang w:val="ru-RU"/>
        </w:rPr>
        <w:t xml:space="preserve"> </w:t>
      </w:r>
      <w:r w:rsidR="00537C97">
        <w:rPr>
          <w:lang w:val="ru-RU"/>
        </w:rPr>
        <w:t>специальную</w:t>
      </w:r>
      <w:r w:rsidR="00537C97" w:rsidRPr="00537C97">
        <w:rPr>
          <w:lang w:val="ru-RU"/>
        </w:rPr>
        <w:t xml:space="preserve"> </w:t>
      </w:r>
      <w:r w:rsidR="00537C97">
        <w:rPr>
          <w:lang w:val="ru-RU"/>
        </w:rPr>
        <w:t>рабочую</w:t>
      </w:r>
      <w:r w:rsidR="00537C97" w:rsidRPr="00537C97">
        <w:rPr>
          <w:lang w:val="ru-RU"/>
        </w:rPr>
        <w:t xml:space="preserve"> </w:t>
      </w:r>
      <w:r w:rsidR="00537C97">
        <w:rPr>
          <w:lang w:val="ru-RU"/>
        </w:rPr>
        <w:t>группу</w:t>
      </w:r>
      <w:r w:rsidR="00537C97" w:rsidRPr="00537C97">
        <w:rPr>
          <w:lang w:val="ru-RU"/>
        </w:rPr>
        <w:t xml:space="preserve"> </w:t>
      </w:r>
      <w:r w:rsidR="00537C97">
        <w:rPr>
          <w:lang w:val="ru-RU"/>
        </w:rPr>
        <w:t>для</w:t>
      </w:r>
      <w:r w:rsidR="00537C97" w:rsidRPr="00537C97">
        <w:rPr>
          <w:lang w:val="ru-RU"/>
        </w:rPr>
        <w:t xml:space="preserve"> </w:t>
      </w:r>
      <w:r w:rsidR="00537C97">
        <w:rPr>
          <w:lang w:val="ru-RU"/>
        </w:rPr>
        <w:t>обсуждения</w:t>
      </w:r>
      <w:r w:rsidR="00537C97" w:rsidRPr="00537C97">
        <w:rPr>
          <w:lang w:val="ru-RU"/>
        </w:rPr>
        <w:t xml:space="preserve"> </w:t>
      </w:r>
      <w:r w:rsidR="00537C97">
        <w:rPr>
          <w:lang w:val="ru-RU"/>
        </w:rPr>
        <w:t xml:space="preserve">этого вопроса </w:t>
      </w:r>
      <w:r w:rsidR="001151E9" w:rsidRPr="00537C97">
        <w:rPr>
          <w:lang w:val="ru-RU"/>
        </w:rPr>
        <w:t>(</w:t>
      </w:r>
      <w:hyperlink r:id="rId9" w:history="1">
        <w:r w:rsidR="007019E5">
          <w:rPr>
            <w:rStyle w:val="Lienhypertexte"/>
            <w:lang w:val="ru-RU"/>
          </w:rPr>
          <w:t>решение</w:t>
        </w:r>
        <w:r w:rsidR="001151E9" w:rsidRPr="00537C97">
          <w:rPr>
            <w:rStyle w:val="Lienhypertexte"/>
            <w:lang w:val="ru-RU"/>
          </w:rPr>
          <w:t xml:space="preserve"> 11</w:t>
        </w:r>
        <w:r w:rsidR="000132CE" w:rsidRPr="00537C97">
          <w:rPr>
            <w:rStyle w:val="Lienhypertexte"/>
            <w:lang w:val="ru-RU"/>
          </w:rPr>
          <w:t>.</w:t>
        </w:r>
        <w:r w:rsidR="001151E9" w:rsidRPr="001151E9">
          <w:rPr>
            <w:rStyle w:val="Lienhypertexte"/>
          </w:rPr>
          <w:t>COM</w:t>
        </w:r>
        <w:r w:rsidR="001151E9" w:rsidRPr="00537C97">
          <w:rPr>
            <w:rStyle w:val="Lienhypertexte"/>
            <w:lang w:val="ru-RU"/>
          </w:rPr>
          <w:t xml:space="preserve"> 10</w:t>
        </w:r>
      </w:hyperlink>
      <w:r w:rsidR="001151E9" w:rsidRPr="00537C97">
        <w:rPr>
          <w:lang w:val="ru-RU"/>
        </w:rPr>
        <w:t>).</w:t>
      </w:r>
      <w:r w:rsidR="008902C1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Данное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решение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было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принято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на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фоне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беспрецедентно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большого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числа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принятых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Комитетом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решений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>по</w:t>
      </w:r>
      <w:r w:rsidR="00537C97" w:rsidRPr="00537C97">
        <w:rPr>
          <w:rFonts w:eastAsia="Arial"/>
          <w:lang w:val="ru-RU"/>
        </w:rPr>
        <w:t xml:space="preserve"> </w:t>
      </w:r>
      <w:r w:rsidR="00537C97">
        <w:rPr>
          <w:rFonts w:eastAsia="Arial"/>
          <w:lang w:val="ru-RU"/>
        </w:rPr>
        <w:t xml:space="preserve">отмене рекомендаций Оценочного органа в отношении номинационных досье, предложений и </w:t>
      </w:r>
      <w:r w:rsidR="00537C97" w:rsidRPr="00867686">
        <w:rPr>
          <w:color w:val="000000" w:themeColor="text1"/>
          <w:lang w:val="ru-RU"/>
        </w:rPr>
        <w:t>заявок</w:t>
      </w:r>
      <w:r w:rsidR="00537C97">
        <w:rPr>
          <w:rFonts w:eastAsia="Arial"/>
          <w:lang w:val="ru-RU"/>
        </w:rPr>
        <w:t>.</w:t>
      </w:r>
      <w:r w:rsidR="00B55055" w:rsidRPr="009657C7">
        <w:rPr>
          <w:lang w:val="ru-RU"/>
        </w:rPr>
        <w:t xml:space="preserve"> </w:t>
      </w:r>
      <w:r w:rsidR="004A7956">
        <w:rPr>
          <w:lang w:val="ru-RU"/>
        </w:rPr>
        <w:t>Цель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процесса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диалога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состоит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в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том</w:t>
      </w:r>
      <w:r w:rsidR="004A7956" w:rsidRPr="007F254F">
        <w:rPr>
          <w:lang w:val="ru-RU"/>
        </w:rPr>
        <w:t xml:space="preserve">, </w:t>
      </w:r>
      <w:r w:rsidR="004A7956">
        <w:rPr>
          <w:lang w:val="ru-RU"/>
        </w:rPr>
        <w:t>чтобы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предостав</w:t>
      </w:r>
      <w:r w:rsidR="007F254F">
        <w:rPr>
          <w:lang w:val="ru-RU"/>
        </w:rPr>
        <w:t xml:space="preserve">ить </w:t>
      </w:r>
      <w:r w:rsidR="004A7956">
        <w:rPr>
          <w:lang w:val="ru-RU"/>
        </w:rPr>
        <w:t>государствам</w:t>
      </w:r>
      <w:r w:rsidR="004A7956" w:rsidRPr="007F254F">
        <w:rPr>
          <w:lang w:val="ru-RU"/>
        </w:rPr>
        <w:t>-</w:t>
      </w:r>
      <w:r w:rsidR="004A7956">
        <w:rPr>
          <w:lang w:val="ru-RU"/>
        </w:rPr>
        <w:t>участникам</w:t>
      </w:r>
      <w:r w:rsidR="004A7956" w:rsidRPr="007F254F">
        <w:rPr>
          <w:lang w:val="ru-RU"/>
        </w:rPr>
        <w:t xml:space="preserve">, </w:t>
      </w:r>
      <w:r w:rsidR="004A7956">
        <w:rPr>
          <w:lang w:val="ru-RU"/>
        </w:rPr>
        <w:t>чьи</w:t>
      </w:r>
      <w:r w:rsidR="004A7956" w:rsidRPr="007F254F">
        <w:rPr>
          <w:lang w:val="ru-RU"/>
        </w:rPr>
        <w:t xml:space="preserve"> </w:t>
      </w:r>
      <w:r w:rsidR="004A7956">
        <w:rPr>
          <w:lang w:val="ru-RU"/>
        </w:rPr>
        <w:t>досье</w:t>
      </w:r>
      <w:r w:rsidR="004A7956" w:rsidRPr="007F254F">
        <w:rPr>
          <w:lang w:val="ru-RU"/>
        </w:rPr>
        <w:t xml:space="preserve"> </w:t>
      </w:r>
      <w:r w:rsidR="003D416B">
        <w:rPr>
          <w:lang w:val="ru-RU"/>
        </w:rPr>
        <w:t>были</w:t>
      </w:r>
      <w:r w:rsidR="003D416B" w:rsidRPr="007F254F">
        <w:rPr>
          <w:lang w:val="ru-RU"/>
        </w:rPr>
        <w:t xml:space="preserve"> </w:t>
      </w:r>
      <w:r w:rsidR="003D416B">
        <w:rPr>
          <w:lang w:val="ru-RU"/>
        </w:rPr>
        <w:t>препровождены</w:t>
      </w:r>
      <w:r w:rsidR="003D416B" w:rsidRPr="007F254F">
        <w:rPr>
          <w:lang w:val="ru-RU"/>
        </w:rPr>
        <w:t xml:space="preserve"> </w:t>
      </w:r>
      <w:r w:rsidR="003D416B">
        <w:rPr>
          <w:lang w:val="ru-RU"/>
        </w:rPr>
        <w:t>из</w:t>
      </w:r>
      <w:r w:rsidR="003D416B" w:rsidRPr="007F254F">
        <w:rPr>
          <w:lang w:val="ru-RU"/>
        </w:rPr>
        <w:t>-</w:t>
      </w:r>
      <w:r w:rsidR="003D416B">
        <w:rPr>
          <w:lang w:val="ru-RU"/>
        </w:rPr>
        <w:t>за</w:t>
      </w:r>
      <w:r w:rsidR="003D416B" w:rsidRPr="007F254F">
        <w:rPr>
          <w:lang w:val="ru-RU"/>
        </w:rPr>
        <w:t xml:space="preserve"> </w:t>
      </w:r>
      <w:r w:rsidR="003D416B">
        <w:rPr>
          <w:lang w:val="ru-RU"/>
        </w:rPr>
        <w:t>несущественных</w:t>
      </w:r>
      <w:r w:rsidR="003D416B" w:rsidRPr="007F254F">
        <w:rPr>
          <w:lang w:val="ru-RU"/>
        </w:rPr>
        <w:t xml:space="preserve"> </w:t>
      </w:r>
      <w:r w:rsidR="003D416B">
        <w:rPr>
          <w:lang w:val="ru-RU"/>
        </w:rPr>
        <w:t>технических</w:t>
      </w:r>
      <w:r w:rsidR="003D416B" w:rsidRPr="007F254F">
        <w:rPr>
          <w:lang w:val="ru-RU"/>
        </w:rPr>
        <w:t xml:space="preserve"> </w:t>
      </w:r>
      <w:r w:rsidR="003D416B">
        <w:rPr>
          <w:lang w:val="ru-RU"/>
        </w:rPr>
        <w:t>моментов</w:t>
      </w:r>
      <w:r w:rsidR="003D416B" w:rsidRPr="007F254F">
        <w:rPr>
          <w:lang w:val="ru-RU"/>
        </w:rPr>
        <w:t xml:space="preserve">, </w:t>
      </w:r>
      <w:r w:rsidR="003D416B">
        <w:rPr>
          <w:lang w:val="ru-RU"/>
        </w:rPr>
        <w:t>возможность</w:t>
      </w:r>
      <w:r w:rsidR="003D416B" w:rsidRPr="007F254F">
        <w:rPr>
          <w:lang w:val="ru-RU"/>
        </w:rPr>
        <w:t xml:space="preserve"> </w:t>
      </w:r>
      <w:r w:rsidR="007F254F">
        <w:rPr>
          <w:lang w:val="ru-RU"/>
        </w:rPr>
        <w:t>устранить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их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в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течение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номинационного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цикла</w:t>
      </w:r>
      <w:r w:rsidR="007F254F" w:rsidRPr="007F254F">
        <w:rPr>
          <w:lang w:val="ru-RU"/>
        </w:rPr>
        <w:t xml:space="preserve">, </w:t>
      </w:r>
      <w:r w:rsidR="007F254F">
        <w:rPr>
          <w:lang w:val="ru-RU"/>
        </w:rPr>
        <w:t>а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не</w:t>
      </w:r>
      <w:r w:rsidR="007F254F" w:rsidRPr="007F254F">
        <w:rPr>
          <w:lang w:val="ru-RU"/>
        </w:rPr>
        <w:t xml:space="preserve"> </w:t>
      </w:r>
      <w:r w:rsidR="00812541">
        <w:rPr>
          <w:lang w:val="ru-RU"/>
        </w:rPr>
        <w:t>о</w:t>
      </w:r>
      <w:r w:rsidR="007F254F">
        <w:rPr>
          <w:lang w:val="ru-RU"/>
        </w:rPr>
        <w:t>ж</w:t>
      </w:r>
      <w:r w:rsidR="00812541">
        <w:rPr>
          <w:lang w:val="ru-RU"/>
        </w:rPr>
        <w:t>и</w:t>
      </w:r>
      <w:r w:rsidR="007F254F">
        <w:rPr>
          <w:lang w:val="ru-RU"/>
        </w:rPr>
        <w:t>дать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ещ</w:t>
      </w:r>
      <w:r w:rsidR="00812541">
        <w:rPr>
          <w:lang w:val="ru-RU"/>
        </w:rPr>
        <w:t>е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два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года</w:t>
      </w:r>
      <w:r w:rsidR="007F254F" w:rsidRPr="007F254F">
        <w:rPr>
          <w:lang w:val="ru-RU"/>
        </w:rPr>
        <w:t xml:space="preserve">, </w:t>
      </w:r>
      <w:r w:rsidR="007F254F">
        <w:rPr>
          <w:lang w:val="ru-RU"/>
        </w:rPr>
        <w:t>пока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Комитет</w:t>
      </w:r>
      <w:r w:rsidR="007F254F" w:rsidRPr="007F254F">
        <w:rPr>
          <w:lang w:val="ru-RU"/>
        </w:rPr>
        <w:t xml:space="preserve"> </w:t>
      </w:r>
      <w:r w:rsidR="007F254F">
        <w:rPr>
          <w:lang w:val="ru-RU"/>
        </w:rPr>
        <w:t>сможет снова рассмотреть их досье.</w:t>
      </w:r>
    </w:p>
    <w:p w14:paraId="0DADEA6B" w14:textId="58D485DF" w:rsidR="0078250F" w:rsidRPr="004B7AE5" w:rsidRDefault="000E6E39" w:rsidP="008604FA">
      <w:pPr>
        <w:pStyle w:val="COMPara"/>
        <w:numPr>
          <w:ilvl w:val="0"/>
          <w:numId w:val="19"/>
        </w:numPr>
        <w:ind w:left="540" w:hanging="540"/>
        <w:jc w:val="both"/>
        <w:rPr>
          <w:lang w:val="ru-RU"/>
        </w:rPr>
      </w:pPr>
      <w:r>
        <w:rPr>
          <w:rFonts w:eastAsia="SimSun"/>
          <w:lang w:val="ru-RU"/>
        </w:rPr>
        <w:t>Позиция</w:t>
      </w:r>
      <w:r w:rsidRPr="009D7D44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Комитета</w:t>
      </w:r>
      <w:r w:rsidR="00B55055" w:rsidRPr="009D7D44">
        <w:rPr>
          <w:rFonts w:eastAsia="SimSun"/>
          <w:lang w:val="ru-RU"/>
        </w:rPr>
        <w:t xml:space="preserve"> </w:t>
      </w:r>
      <w:r w:rsidR="00C71E58" w:rsidRPr="009D7D44">
        <w:rPr>
          <w:lang w:val="ru-RU"/>
        </w:rPr>
        <w:t>(</w:t>
      </w:r>
      <w:hyperlink r:id="rId10" w:history="1">
        <w:r w:rsidR="007019E5">
          <w:rPr>
            <w:rStyle w:val="Lienhypertexte"/>
            <w:lang w:val="ru-RU"/>
          </w:rPr>
          <w:t>решение</w:t>
        </w:r>
        <w:r w:rsidR="00C71E58" w:rsidRPr="009D7D44">
          <w:rPr>
            <w:rStyle w:val="Lienhypertexte"/>
            <w:lang w:val="ru-RU"/>
          </w:rPr>
          <w:t xml:space="preserve"> 12.</w:t>
        </w:r>
        <w:r w:rsidR="00C71E58" w:rsidRPr="00274E4B">
          <w:rPr>
            <w:rStyle w:val="Lienhypertexte"/>
          </w:rPr>
          <w:t>COM</w:t>
        </w:r>
        <w:r w:rsidR="00C71E58" w:rsidRPr="009D7D44">
          <w:rPr>
            <w:rStyle w:val="Lienhypertexte"/>
            <w:lang w:val="ru-RU"/>
          </w:rPr>
          <w:t xml:space="preserve"> 13</w:t>
        </w:r>
      </w:hyperlink>
      <w:r w:rsidR="00C71E58" w:rsidRPr="009D7D44">
        <w:rPr>
          <w:lang w:val="ru-RU"/>
        </w:rPr>
        <w:t xml:space="preserve">) </w:t>
      </w:r>
      <w:r>
        <w:rPr>
          <w:lang w:val="ru-RU"/>
        </w:rPr>
        <w:t>на</w:t>
      </w:r>
      <w:r w:rsidRPr="009D7D44">
        <w:rPr>
          <w:lang w:val="ru-RU"/>
        </w:rPr>
        <w:t xml:space="preserve"> </w:t>
      </w:r>
      <w:r>
        <w:rPr>
          <w:lang w:val="ru-RU"/>
        </w:rPr>
        <w:t>его</w:t>
      </w:r>
      <w:r w:rsidRPr="009D7D44">
        <w:rPr>
          <w:lang w:val="ru-RU"/>
        </w:rPr>
        <w:t xml:space="preserve"> </w:t>
      </w:r>
      <w:r>
        <w:rPr>
          <w:lang w:val="ru-RU"/>
        </w:rPr>
        <w:t>двенадцатой</w:t>
      </w:r>
      <w:r w:rsidRPr="009D7D44">
        <w:rPr>
          <w:lang w:val="ru-RU"/>
        </w:rPr>
        <w:t xml:space="preserve"> </w:t>
      </w:r>
      <w:r>
        <w:rPr>
          <w:lang w:val="ru-RU"/>
        </w:rPr>
        <w:t>сессии</w:t>
      </w:r>
      <w:r w:rsidRPr="009D7D44">
        <w:rPr>
          <w:lang w:val="ru-RU"/>
        </w:rPr>
        <w:t xml:space="preserve"> </w:t>
      </w:r>
      <w:r>
        <w:rPr>
          <w:lang w:val="ru-RU"/>
        </w:rPr>
        <w:t>в</w:t>
      </w:r>
      <w:r w:rsidRPr="009D7D44">
        <w:rPr>
          <w:lang w:val="ru-RU"/>
        </w:rPr>
        <w:t xml:space="preserve"> 2017</w:t>
      </w:r>
      <w:r w:rsidRPr="000E6E39">
        <w:rPr>
          <w:lang w:val="en-US"/>
        </w:rPr>
        <w:t> </w:t>
      </w:r>
      <w:r>
        <w:rPr>
          <w:lang w:val="ru-RU"/>
        </w:rPr>
        <w:t>г</w:t>
      </w:r>
      <w:r w:rsidRPr="009D7D44">
        <w:rPr>
          <w:lang w:val="ru-RU"/>
        </w:rPr>
        <w:t xml:space="preserve">. </w:t>
      </w:r>
      <w:r>
        <w:rPr>
          <w:lang w:val="ru-RU"/>
        </w:rPr>
        <w:t>состояла</w:t>
      </w:r>
      <w:r w:rsidRPr="009D7D44">
        <w:rPr>
          <w:lang w:val="ru-RU"/>
        </w:rPr>
        <w:t xml:space="preserve"> </w:t>
      </w:r>
      <w:r>
        <w:rPr>
          <w:lang w:val="ru-RU"/>
        </w:rPr>
        <w:t>в</w:t>
      </w:r>
      <w:r w:rsidRPr="009D7D44">
        <w:rPr>
          <w:lang w:val="ru-RU"/>
        </w:rPr>
        <w:t xml:space="preserve"> </w:t>
      </w:r>
      <w:r>
        <w:rPr>
          <w:lang w:val="ru-RU"/>
        </w:rPr>
        <w:t>том</w:t>
      </w:r>
      <w:r w:rsidRPr="009D7D44">
        <w:rPr>
          <w:lang w:val="ru-RU"/>
        </w:rPr>
        <w:t xml:space="preserve">, </w:t>
      </w:r>
      <w:r>
        <w:rPr>
          <w:lang w:val="ru-RU"/>
        </w:rPr>
        <w:t>что</w:t>
      </w:r>
      <w:r w:rsidRPr="009D7D44">
        <w:rPr>
          <w:lang w:val="ru-RU"/>
        </w:rPr>
        <w:t xml:space="preserve"> </w:t>
      </w:r>
      <w:r w:rsidR="003A19DB">
        <w:rPr>
          <w:lang w:val="ru-RU"/>
        </w:rPr>
        <w:t xml:space="preserve">для установления официального процесса </w:t>
      </w:r>
      <w:r w:rsidR="00A234CC">
        <w:rPr>
          <w:lang w:val="ru-RU"/>
        </w:rPr>
        <w:t>«</w:t>
      </w:r>
      <w:r w:rsidR="003A19DB">
        <w:rPr>
          <w:lang w:val="ru-RU"/>
        </w:rPr>
        <w:t xml:space="preserve">диалога» </w:t>
      </w:r>
      <w:r>
        <w:rPr>
          <w:lang w:val="ru-RU"/>
        </w:rPr>
        <w:t>требуется</w:t>
      </w:r>
      <w:r w:rsidRPr="009D7D44">
        <w:rPr>
          <w:lang w:val="ru-RU"/>
        </w:rPr>
        <w:t xml:space="preserve"> </w:t>
      </w:r>
      <w:r>
        <w:rPr>
          <w:lang w:val="ru-RU"/>
        </w:rPr>
        <w:t>больше</w:t>
      </w:r>
      <w:r w:rsidRPr="009D7D44">
        <w:rPr>
          <w:lang w:val="ru-RU"/>
        </w:rPr>
        <w:t xml:space="preserve"> </w:t>
      </w:r>
      <w:r>
        <w:rPr>
          <w:lang w:val="ru-RU"/>
        </w:rPr>
        <w:t>времени</w:t>
      </w:r>
      <w:r w:rsidR="003A19DB">
        <w:rPr>
          <w:lang w:val="ru-RU"/>
        </w:rPr>
        <w:t xml:space="preserve">, с тем, чтобы вступил в силу </w:t>
      </w:r>
      <w:r w:rsidR="00846CFC">
        <w:rPr>
          <w:lang w:val="ru-RU"/>
        </w:rPr>
        <w:t>ряд</w:t>
      </w:r>
      <w:r w:rsidR="00846CFC" w:rsidRPr="009D7D44">
        <w:rPr>
          <w:lang w:val="ru-RU"/>
        </w:rPr>
        <w:t xml:space="preserve"> </w:t>
      </w:r>
      <w:r w:rsidR="00846CFC">
        <w:rPr>
          <w:lang w:val="ru-RU"/>
        </w:rPr>
        <w:t>изменений</w:t>
      </w:r>
      <w:r w:rsidR="00846CFC" w:rsidRPr="009D7D44">
        <w:rPr>
          <w:lang w:val="ru-RU"/>
        </w:rPr>
        <w:t xml:space="preserve">, </w:t>
      </w:r>
      <w:r w:rsidR="00846CFC">
        <w:rPr>
          <w:lang w:val="ru-RU"/>
        </w:rPr>
        <w:t>внесенных</w:t>
      </w:r>
      <w:r w:rsidR="00846CFC" w:rsidRPr="009D7D44">
        <w:rPr>
          <w:lang w:val="ru-RU"/>
        </w:rPr>
        <w:t xml:space="preserve"> </w:t>
      </w:r>
      <w:r w:rsidR="00846CFC">
        <w:rPr>
          <w:lang w:val="ru-RU"/>
        </w:rPr>
        <w:t>в</w:t>
      </w:r>
      <w:r w:rsidR="00846CFC" w:rsidRPr="009D7D44">
        <w:rPr>
          <w:lang w:val="ru-RU"/>
        </w:rPr>
        <w:t xml:space="preserve"> </w:t>
      </w:r>
      <w:r w:rsidR="00CB7511">
        <w:rPr>
          <w:lang w:val="ru-RU"/>
        </w:rPr>
        <w:t>методологию</w:t>
      </w:r>
      <w:r w:rsidR="00CB7511" w:rsidRPr="009D7D44">
        <w:rPr>
          <w:lang w:val="ru-RU"/>
        </w:rPr>
        <w:t xml:space="preserve"> </w:t>
      </w:r>
      <w:r w:rsidR="00CB7511">
        <w:rPr>
          <w:lang w:val="ru-RU"/>
        </w:rPr>
        <w:t>оценки</w:t>
      </w:r>
      <w:r w:rsidR="00CB7511" w:rsidRPr="009D7D44">
        <w:rPr>
          <w:lang w:val="ru-RU"/>
        </w:rPr>
        <w:t xml:space="preserve"> (</w:t>
      </w:r>
      <w:r w:rsidR="00CB7511">
        <w:rPr>
          <w:lang w:val="ru-RU"/>
        </w:rPr>
        <w:t>особенно</w:t>
      </w:r>
      <w:r w:rsidR="003A19DB">
        <w:rPr>
          <w:lang w:val="ru-RU"/>
        </w:rPr>
        <w:t>,</w:t>
      </w:r>
      <w:r w:rsidR="00CB7511" w:rsidRPr="009D7D44">
        <w:rPr>
          <w:lang w:val="ru-RU"/>
        </w:rPr>
        <w:t xml:space="preserve"> </w:t>
      </w:r>
      <w:r w:rsidR="003A19DB">
        <w:rPr>
          <w:lang w:val="ru-RU"/>
        </w:rPr>
        <w:t>что касается</w:t>
      </w:r>
      <w:r w:rsidR="00CB7511" w:rsidRPr="009D7D44">
        <w:rPr>
          <w:lang w:val="ru-RU"/>
        </w:rPr>
        <w:t xml:space="preserve"> </w:t>
      </w:r>
      <w:r w:rsidR="009D7D44">
        <w:rPr>
          <w:lang w:val="ru-RU"/>
        </w:rPr>
        <w:t>основных вопросов для некоторых критериев в номинационных формах)</w:t>
      </w:r>
      <w:r w:rsidR="003A19DB">
        <w:rPr>
          <w:lang w:val="ru-RU"/>
        </w:rPr>
        <w:t>.</w:t>
      </w:r>
      <w:r w:rsidR="009D7D44">
        <w:rPr>
          <w:lang w:val="ru-RU"/>
        </w:rPr>
        <w:t xml:space="preserve"> </w:t>
      </w:r>
      <w:r w:rsidR="003A19DB">
        <w:rPr>
          <w:lang w:val="ru-RU"/>
        </w:rPr>
        <w:t>В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то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же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время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Комитет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постановил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продолжить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работу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неофициальной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специальной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рабочей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группы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до</w:t>
      </w:r>
      <w:r w:rsidR="003A19DB" w:rsidRPr="0041645A">
        <w:rPr>
          <w:lang w:val="ru-RU"/>
        </w:rPr>
        <w:t xml:space="preserve"> 2018</w:t>
      </w:r>
      <w:r w:rsidR="003A19DB" w:rsidRPr="003A19DB">
        <w:rPr>
          <w:lang w:val="en-US"/>
        </w:rPr>
        <w:t> </w:t>
      </w:r>
      <w:r w:rsidR="003A19DB">
        <w:rPr>
          <w:lang w:val="ru-RU"/>
        </w:rPr>
        <w:t>г</w:t>
      </w:r>
      <w:r w:rsidR="003A19DB" w:rsidRPr="0041645A">
        <w:rPr>
          <w:lang w:val="ru-RU"/>
        </w:rPr>
        <w:t xml:space="preserve">., </w:t>
      </w:r>
      <w:r w:rsidR="003A19DB">
        <w:rPr>
          <w:lang w:val="ru-RU"/>
        </w:rPr>
        <w:t>сделав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ее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открытой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для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всех</w:t>
      </w:r>
      <w:r w:rsidR="003A19DB" w:rsidRPr="0041645A">
        <w:rPr>
          <w:lang w:val="ru-RU"/>
        </w:rPr>
        <w:t xml:space="preserve"> </w:t>
      </w:r>
      <w:r w:rsidR="003A19DB">
        <w:rPr>
          <w:lang w:val="ru-RU"/>
        </w:rPr>
        <w:t>государств</w:t>
      </w:r>
      <w:r w:rsidR="003A19DB" w:rsidRPr="0041645A">
        <w:rPr>
          <w:lang w:val="ru-RU"/>
        </w:rPr>
        <w:t>-</w:t>
      </w:r>
      <w:r w:rsidR="003A19DB">
        <w:rPr>
          <w:lang w:val="ru-RU"/>
        </w:rPr>
        <w:t>участников</w:t>
      </w:r>
      <w:r w:rsidR="003A19DB" w:rsidRPr="0041645A">
        <w:rPr>
          <w:lang w:val="ru-RU"/>
        </w:rPr>
        <w:t xml:space="preserve">. </w:t>
      </w:r>
      <w:r w:rsidR="006340DF">
        <w:rPr>
          <w:lang w:val="ru-RU"/>
        </w:rPr>
        <w:t>Группе</w:t>
      </w:r>
      <w:r w:rsidR="006340DF" w:rsidRPr="00FB026B">
        <w:rPr>
          <w:lang w:val="ru-RU"/>
        </w:rPr>
        <w:t xml:space="preserve"> </w:t>
      </w:r>
      <w:r w:rsidR="006340DF">
        <w:rPr>
          <w:lang w:val="ru-RU"/>
        </w:rPr>
        <w:t>было</w:t>
      </w:r>
      <w:r w:rsidR="006340DF" w:rsidRPr="00FB026B">
        <w:rPr>
          <w:lang w:val="ru-RU"/>
        </w:rPr>
        <w:t xml:space="preserve"> </w:t>
      </w:r>
      <w:r w:rsidR="006340DF">
        <w:rPr>
          <w:lang w:val="ru-RU"/>
        </w:rPr>
        <w:t>предложено</w:t>
      </w:r>
      <w:r w:rsidR="006340DF" w:rsidRPr="00FB026B">
        <w:rPr>
          <w:lang w:val="ru-RU"/>
        </w:rPr>
        <w:t xml:space="preserve"> </w:t>
      </w:r>
      <w:r w:rsidR="006340DF">
        <w:rPr>
          <w:lang w:val="ru-RU"/>
        </w:rPr>
        <w:t>далее</w:t>
      </w:r>
      <w:r w:rsidR="006340DF" w:rsidRPr="00FB026B">
        <w:rPr>
          <w:lang w:val="ru-RU"/>
        </w:rPr>
        <w:t xml:space="preserve"> </w:t>
      </w:r>
      <w:r w:rsidR="006340DF">
        <w:rPr>
          <w:lang w:val="ru-RU"/>
        </w:rPr>
        <w:t>изучать</w:t>
      </w:r>
      <w:r w:rsidR="006340DF" w:rsidRPr="00FB026B">
        <w:rPr>
          <w:lang w:val="ru-RU"/>
        </w:rPr>
        <w:t xml:space="preserve"> </w:t>
      </w:r>
      <w:r w:rsidR="006340DF">
        <w:rPr>
          <w:lang w:val="ru-RU"/>
        </w:rPr>
        <w:t>соответствующий</w:t>
      </w:r>
      <w:r w:rsidR="006340DF" w:rsidRPr="00FB026B">
        <w:rPr>
          <w:lang w:val="ru-RU"/>
        </w:rPr>
        <w:t xml:space="preserve"> </w:t>
      </w:r>
      <w:r w:rsidR="006340DF">
        <w:rPr>
          <w:lang w:val="ru-RU"/>
        </w:rPr>
        <w:t>механизм</w:t>
      </w:r>
      <w:r w:rsidR="006340DF" w:rsidRPr="00FB026B">
        <w:rPr>
          <w:lang w:val="ru-RU"/>
        </w:rPr>
        <w:t xml:space="preserve"> «</w:t>
      </w:r>
      <w:r w:rsidR="006340DF">
        <w:rPr>
          <w:lang w:val="ru-RU"/>
        </w:rPr>
        <w:t>диалога</w:t>
      </w:r>
      <w:r w:rsidR="006340DF" w:rsidRPr="00FB026B">
        <w:rPr>
          <w:lang w:val="ru-RU"/>
        </w:rPr>
        <w:t>»</w:t>
      </w:r>
      <w:r w:rsidR="006340DF">
        <w:rPr>
          <w:lang w:val="ru-RU"/>
        </w:rPr>
        <w:t xml:space="preserve"> в</w:t>
      </w:r>
      <w:r w:rsidR="003A19DB" w:rsidRPr="00FB026B">
        <w:rPr>
          <w:lang w:val="ru-RU"/>
        </w:rPr>
        <w:t xml:space="preserve"> </w:t>
      </w:r>
      <w:r w:rsidR="003A19DB">
        <w:rPr>
          <w:lang w:val="ru-RU"/>
        </w:rPr>
        <w:t>рамках</w:t>
      </w:r>
      <w:r w:rsidR="003A19DB" w:rsidRPr="00FB026B">
        <w:rPr>
          <w:lang w:val="ru-RU"/>
        </w:rPr>
        <w:t xml:space="preserve"> </w:t>
      </w:r>
      <w:r w:rsidR="003A19DB">
        <w:rPr>
          <w:lang w:val="ru-RU"/>
        </w:rPr>
        <w:t>своего</w:t>
      </w:r>
      <w:r w:rsidR="003A19DB" w:rsidRPr="00FB026B">
        <w:rPr>
          <w:lang w:val="ru-RU"/>
        </w:rPr>
        <w:t xml:space="preserve"> </w:t>
      </w:r>
      <w:r w:rsidR="003A19DB">
        <w:rPr>
          <w:lang w:val="ru-RU"/>
        </w:rPr>
        <w:t>мандата</w:t>
      </w:r>
      <w:r w:rsidR="003A19DB" w:rsidRPr="00FB026B">
        <w:rPr>
          <w:lang w:val="ru-RU"/>
        </w:rPr>
        <w:t xml:space="preserve"> </w:t>
      </w:r>
      <w:r w:rsidR="00A234CC">
        <w:rPr>
          <w:lang w:val="ru-RU"/>
        </w:rPr>
        <w:t>в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консультации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с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Оценочным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органом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и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с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учетом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соответствующих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резолюций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седьмой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сессии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Генеральной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ассамблеи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в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июне</w:t>
      </w:r>
      <w:r w:rsidR="00A234CC" w:rsidRPr="00FB026B">
        <w:rPr>
          <w:lang w:val="ru-RU"/>
        </w:rPr>
        <w:t xml:space="preserve"> 2018 </w:t>
      </w:r>
      <w:r w:rsidR="00A234CC">
        <w:rPr>
          <w:lang w:val="ru-RU"/>
        </w:rPr>
        <w:t>г</w:t>
      </w:r>
      <w:r w:rsidR="00A234CC" w:rsidRPr="00FB026B">
        <w:rPr>
          <w:lang w:val="ru-RU"/>
        </w:rPr>
        <w:t xml:space="preserve">. </w:t>
      </w:r>
      <w:r w:rsidR="00A234CC">
        <w:rPr>
          <w:lang w:val="ru-RU"/>
        </w:rPr>
        <w:t>На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той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же</w:t>
      </w:r>
      <w:r w:rsidR="00A234CC" w:rsidRPr="00FB026B">
        <w:rPr>
          <w:lang w:val="ru-RU"/>
        </w:rPr>
        <w:t xml:space="preserve"> </w:t>
      </w:r>
      <w:r w:rsidR="00A234CC">
        <w:rPr>
          <w:lang w:val="ru-RU"/>
        </w:rPr>
        <w:t>сессии</w:t>
      </w:r>
      <w:r w:rsidR="00A234CC" w:rsidRPr="00FB026B">
        <w:rPr>
          <w:lang w:val="ru-RU"/>
        </w:rPr>
        <w:t xml:space="preserve"> </w:t>
      </w:r>
      <w:r w:rsidR="00FE3728">
        <w:rPr>
          <w:lang w:val="ru-RU"/>
        </w:rPr>
        <w:t>Генеральная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ассамблея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полностью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признала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важность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диалога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по</w:t>
      </w:r>
      <w:r w:rsidR="00FE3728" w:rsidRPr="00FB026B">
        <w:rPr>
          <w:lang w:val="ru-RU"/>
        </w:rPr>
        <w:t xml:space="preserve"> </w:t>
      </w:r>
      <w:r w:rsidR="00FE3728" w:rsidRPr="00867686">
        <w:rPr>
          <w:color w:val="000000" w:themeColor="text1"/>
          <w:lang w:val="ru-RU"/>
        </w:rPr>
        <w:t>повышению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транспарентности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процесса</w:t>
      </w:r>
      <w:r w:rsidR="00FE3728" w:rsidRPr="00FB026B">
        <w:rPr>
          <w:lang w:val="ru-RU"/>
        </w:rPr>
        <w:t xml:space="preserve"> </w:t>
      </w:r>
      <w:r w:rsidR="00FB026B">
        <w:rPr>
          <w:lang w:val="ru-RU"/>
        </w:rPr>
        <w:t>оценки</w:t>
      </w:r>
      <w:r w:rsidR="00FB026B" w:rsidRPr="00FB026B">
        <w:rPr>
          <w:lang w:val="ru-RU"/>
        </w:rPr>
        <w:t xml:space="preserve"> </w:t>
      </w:r>
      <w:r w:rsidR="00FE3728">
        <w:rPr>
          <w:lang w:val="ru-RU"/>
        </w:rPr>
        <w:t>и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укреплению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доверия</w:t>
      </w:r>
      <w:r w:rsidR="00FE3728" w:rsidRPr="00FB026B">
        <w:rPr>
          <w:lang w:val="ru-RU"/>
        </w:rPr>
        <w:t xml:space="preserve"> </w:t>
      </w:r>
      <w:r w:rsidR="00FE3728">
        <w:rPr>
          <w:lang w:val="ru-RU"/>
        </w:rPr>
        <w:t>к</w:t>
      </w:r>
      <w:r w:rsidR="00FE3728" w:rsidRPr="00FB026B">
        <w:rPr>
          <w:lang w:val="ru-RU"/>
        </w:rPr>
        <w:t xml:space="preserve"> </w:t>
      </w:r>
      <w:r w:rsidR="00FB026B">
        <w:rPr>
          <w:lang w:val="ru-RU"/>
        </w:rPr>
        <w:t>нему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и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просила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рабочую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группу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представить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свои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обсуждения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и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>рекомендации</w:t>
      </w:r>
      <w:r w:rsidR="00FB026B" w:rsidRPr="00FB026B">
        <w:rPr>
          <w:lang w:val="ru-RU"/>
        </w:rPr>
        <w:t xml:space="preserve"> </w:t>
      </w:r>
      <w:r w:rsidR="00FB026B">
        <w:rPr>
          <w:lang w:val="ru-RU"/>
        </w:rPr>
        <w:t xml:space="preserve">на тринадцатой сессии Комитета в ноябре/декабре 2018 г. </w:t>
      </w:r>
      <w:r w:rsidR="003D35E4" w:rsidRPr="004B7AE5">
        <w:rPr>
          <w:color w:val="000000" w:themeColor="text1"/>
          <w:lang w:val="ru-RU"/>
        </w:rPr>
        <w:t>(</w:t>
      </w:r>
      <w:hyperlink r:id="rId11" w:history="1">
        <w:r w:rsidR="007019E5">
          <w:rPr>
            <w:rStyle w:val="Lienhypertexte"/>
            <w:lang w:val="ru-RU"/>
          </w:rPr>
          <w:t>резолюция</w:t>
        </w:r>
        <w:r w:rsidR="003D35E4" w:rsidRPr="004B7AE5">
          <w:rPr>
            <w:rStyle w:val="Lienhypertexte"/>
            <w:lang w:val="ru-RU"/>
          </w:rPr>
          <w:t xml:space="preserve"> 7.</w:t>
        </w:r>
        <w:r w:rsidR="003D35E4" w:rsidRPr="00FF5F61">
          <w:rPr>
            <w:rStyle w:val="Lienhypertexte"/>
          </w:rPr>
          <w:t>GA</w:t>
        </w:r>
        <w:r w:rsidR="003D35E4" w:rsidRPr="004B7AE5">
          <w:rPr>
            <w:rStyle w:val="Lienhypertexte"/>
            <w:lang w:val="ru-RU"/>
          </w:rPr>
          <w:t xml:space="preserve"> 6</w:t>
        </w:r>
      </w:hyperlink>
      <w:r w:rsidR="003D35E4" w:rsidRPr="004B7AE5">
        <w:rPr>
          <w:color w:val="000000" w:themeColor="text1"/>
          <w:lang w:val="ru-RU"/>
        </w:rPr>
        <w:t>)</w:t>
      </w:r>
      <w:r w:rsidR="0078250F" w:rsidRPr="004B7AE5">
        <w:rPr>
          <w:lang w:val="ru-RU"/>
        </w:rPr>
        <w:t>.</w:t>
      </w:r>
    </w:p>
    <w:p w14:paraId="6A838D35" w14:textId="01DCA990" w:rsidR="00F20D64" w:rsidRPr="00072B15" w:rsidRDefault="004B7AE5" w:rsidP="008604FA">
      <w:pPr>
        <w:pStyle w:val="COMPara"/>
        <w:numPr>
          <w:ilvl w:val="0"/>
          <w:numId w:val="19"/>
        </w:numPr>
        <w:ind w:left="540" w:hanging="540"/>
        <w:jc w:val="both"/>
        <w:rPr>
          <w:lang w:val="ru-RU"/>
        </w:rPr>
      </w:pPr>
      <w:r>
        <w:rPr>
          <w:lang w:val="ru-RU"/>
        </w:rPr>
        <w:t>На</w:t>
      </w:r>
      <w:r w:rsidRPr="001D1537">
        <w:rPr>
          <w:lang w:val="ru-RU"/>
        </w:rPr>
        <w:t xml:space="preserve"> </w:t>
      </w:r>
      <w:r>
        <w:rPr>
          <w:lang w:val="ru-RU"/>
        </w:rPr>
        <w:t>своей</w:t>
      </w:r>
      <w:r w:rsidRPr="001D1537">
        <w:rPr>
          <w:lang w:val="ru-RU"/>
        </w:rPr>
        <w:t xml:space="preserve"> </w:t>
      </w:r>
      <w:r>
        <w:rPr>
          <w:lang w:val="ru-RU"/>
        </w:rPr>
        <w:t>тринадцатой</w:t>
      </w:r>
      <w:r w:rsidRPr="001D1537">
        <w:rPr>
          <w:lang w:val="ru-RU"/>
        </w:rPr>
        <w:t xml:space="preserve"> </w:t>
      </w:r>
      <w:r>
        <w:rPr>
          <w:lang w:val="ru-RU"/>
        </w:rPr>
        <w:t>сессии</w:t>
      </w:r>
      <w:r w:rsidRPr="001D1537">
        <w:rPr>
          <w:lang w:val="ru-RU"/>
        </w:rPr>
        <w:t xml:space="preserve">, </w:t>
      </w:r>
      <w:r>
        <w:rPr>
          <w:lang w:val="ru-RU"/>
        </w:rPr>
        <w:t>после</w:t>
      </w:r>
      <w:r w:rsidRPr="001D1537">
        <w:rPr>
          <w:lang w:val="ru-RU"/>
        </w:rPr>
        <w:t xml:space="preserve"> </w:t>
      </w:r>
      <w:r>
        <w:rPr>
          <w:lang w:val="ru-RU"/>
        </w:rPr>
        <w:t>рассмотрения</w:t>
      </w:r>
      <w:r w:rsidRPr="001D1537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1D1537">
        <w:rPr>
          <w:lang w:val="ru-RU"/>
        </w:rPr>
        <w:t xml:space="preserve"> </w:t>
      </w:r>
      <w:r>
        <w:rPr>
          <w:lang w:val="ru-RU"/>
        </w:rPr>
        <w:t>номинаций</w:t>
      </w:r>
      <w:r w:rsidRPr="001D1537">
        <w:rPr>
          <w:lang w:val="ru-RU"/>
        </w:rPr>
        <w:t xml:space="preserve">, </w:t>
      </w:r>
      <w:r>
        <w:rPr>
          <w:lang w:val="ru-RU"/>
        </w:rPr>
        <w:t>препровожденных</w:t>
      </w:r>
      <w:r w:rsidRPr="001D1537">
        <w:rPr>
          <w:lang w:val="ru-RU"/>
        </w:rPr>
        <w:t xml:space="preserve"> </w:t>
      </w:r>
      <w:r>
        <w:rPr>
          <w:lang w:val="ru-RU"/>
        </w:rPr>
        <w:t>после</w:t>
      </w:r>
      <w:r w:rsidRPr="001D1537">
        <w:rPr>
          <w:lang w:val="ru-RU"/>
        </w:rPr>
        <w:t xml:space="preserve"> </w:t>
      </w:r>
      <w:r>
        <w:rPr>
          <w:lang w:val="ru-RU"/>
        </w:rPr>
        <w:t>продолжительных</w:t>
      </w:r>
      <w:r w:rsidRPr="001D1537">
        <w:rPr>
          <w:lang w:val="ru-RU"/>
        </w:rPr>
        <w:t xml:space="preserve"> </w:t>
      </w:r>
      <w:r w:rsidR="00B033BA">
        <w:rPr>
          <w:lang w:val="ru-RU"/>
        </w:rPr>
        <w:t>обсуждений</w:t>
      </w:r>
      <w:r w:rsidR="00B033BA" w:rsidRPr="001D1537">
        <w:rPr>
          <w:lang w:val="ru-RU"/>
        </w:rPr>
        <w:t xml:space="preserve">, </w:t>
      </w:r>
      <w:r w:rsidR="00B033BA">
        <w:rPr>
          <w:lang w:val="ru-RU"/>
        </w:rPr>
        <w:t>Комитет</w:t>
      </w:r>
      <w:r w:rsidR="00B033BA" w:rsidRPr="001D1537">
        <w:rPr>
          <w:lang w:val="ru-RU"/>
        </w:rPr>
        <w:t xml:space="preserve"> </w:t>
      </w:r>
      <w:r w:rsidR="00B033BA">
        <w:rPr>
          <w:lang w:val="ru-RU"/>
        </w:rPr>
        <w:t>вновь</w:t>
      </w:r>
      <w:r w:rsidR="00B033BA" w:rsidRPr="001D1537">
        <w:rPr>
          <w:lang w:val="ru-RU"/>
        </w:rPr>
        <w:t xml:space="preserve"> </w:t>
      </w:r>
      <w:r w:rsidR="00B033BA">
        <w:rPr>
          <w:lang w:val="ru-RU"/>
        </w:rPr>
        <w:t>заявил</w:t>
      </w:r>
      <w:r w:rsidR="00B033BA" w:rsidRPr="001D1537">
        <w:rPr>
          <w:lang w:val="ru-RU"/>
        </w:rPr>
        <w:t xml:space="preserve"> </w:t>
      </w:r>
      <w:r w:rsidR="00B033BA">
        <w:rPr>
          <w:lang w:val="ru-RU"/>
        </w:rPr>
        <w:t>о</w:t>
      </w:r>
      <w:r w:rsidR="00B033BA" w:rsidRPr="001D1537">
        <w:rPr>
          <w:lang w:val="ru-RU"/>
        </w:rPr>
        <w:t xml:space="preserve"> </w:t>
      </w:r>
      <w:r w:rsidR="00B033BA">
        <w:rPr>
          <w:lang w:val="ru-RU"/>
        </w:rPr>
        <w:t>своем</w:t>
      </w:r>
      <w:r w:rsidR="00B033BA" w:rsidRPr="001D1537">
        <w:rPr>
          <w:lang w:val="ru-RU"/>
        </w:rPr>
        <w:t xml:space="preserve"> </w:t>
      </w:r>
      <w:r w:rsidR="00B033BA">
        <w:rPr>
          <w:lang w:val="ru-RU"/>
        </w:rPr>
        <w:t>желании</w:t>
      </w:r>
      <w:r w:rsidR="00B033BA" w:rsidRPr="001D1537">
        <w:rPr>
          <w:lang w:val="ru-RU"/>
        </w:rPr>
        <w:t xml:space="preserve"> </w:t>
      </w:r>
      <w:r w:rsidR="001D1537">
        <w:rPr>
          <w:lang w:val="ru-RU"/>
        </w:rPr>
        <w:t>увидеть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улучшения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в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процедурах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оценки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и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принятия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решений</w:t>
      </w:r>
      <w:r w:rsidR="001D1537" w:rsidRPr="001D1537">
        <w:rPr>
          <w:lang w:val="ru-RU"/>
        </w:rPr>
        <w:t xml:space="preserve">, </w:t>
      </w:r>
      <w:r w:rsidR="001D1537">
        <w:rPr>
          <w:lang w:val="ru-RU"/>
        </w:rPr>
        <w:t>касающихся</w:t>
      </w:r>
      <w:r w:rsidR="001D1537" w:rsidRPr="001D1537">
        <w:rPr>
          <w:lang w:val="ru-RU"/>
        </w:rPr>
        <w:t xml:space="preserve"> </w:t>
      </w:r>
      <w:r w:rsidR="001D1537" w:rsidRPr="00867686">
        <w:rPr>
          <w:color w:val="000000" w:themeColor="text1"/>
          <w:lang w:val="ru-RU"/>
        </w:rPr>
        <w:t>включения</w:t>
      </w:r>
      <w:r w:rsidR="001D1537" w:rsidRPr="001D1537">
        <w:rPr>
          <w:lang w:val="ru-RU"/>
        </w:rPr>
        <w:t xml:space="preserve">, </w:t>
      </w:r>
      <w:r w:rsidR="001D1537">
        <w:rPr>
          <w:lang w:val="ru-RU"/>
        </w:rPr>
        <w:t>отбора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>и</w:t>
      </w:r>
      <w:r w:rsidR="001D1537" w:rsidRPr="001D1537">
        <w:rPr>
          <w:lang w:val="ru-RU"/>
        </w:rPr>
        <w:t xml:space="preserve"> </w:t>
      </w:r>
      <w:r w:rsidR="001D1537">
        <w:rPr>
          <w:lang w:val="ru-RU"/>
        </w:rPr>
        <w:t xml:space="preserve">одобрения </w:t>
      </w:r>
      <w:r w:rsidR="001D1537" w:rsidRPr="003C0F85">
        <w:rPr>
          <w:lang w:val="ru-RU"/>
        </w:rPr>
        <w:t>представляемых досье. С одной</w:t>
      </w:r>
      <w:r w:rsidR="001D1537" w:rsidRPr="007615AE">
        <w:rPr>
          <w:lang w:val="ru-RU"/>
        </w:rPr>
        <w:t xml:space="preserve"> стороны</w:t>
      </w:r>
      <w:r w:rsidR="001D1537" w:rsidRPr="00D961EB">
        <w:rPr>
          <w:lang w:val="ru-RU"/>
        </w:rPr>
        <w:t>, Комитет</w:t>
      </w:r>
      <w:r w:rsidR="000E5671" w:rsidRPr="00D961EB">
        <w:rPr>
          <w:lang w:val="ru-RU"/>
        </w:rPr>
        <w:t xml:space="preserve">, при финансовой поддержке Японии, </w:t>
      </w:r>
      <w:r w:rsidR="001D1537" w:rsidRPr="00D961EB">
        <w:rPr>
          <w:lang w:val="ru-RU"/>
        </w:rPr>
        <w:t xml:space="preserve">решил </w:t>
      </w:r>
      <w:r w:rsidR="000E5671" w:rsidRPr="00D961EB">
        <w:rPr>
          <w:lang w:val="ru-RU"/>
        </w:rPr>
        <w:t>инициировать долгосрочны</w:t>
      </w:r>
      <w:r w:rsidR="00D961EB" w:rsidRPr="00867686">
        <w:rPr>
          <w:lang w:val="ru-RU"/>
        </w:rPr>
        <w:t>е</w:t>
      </w:r>
      <w:r w:rsidR="000E5671" w:rsidRPr="003C0F85">
        <w:rPr>
          <w:lang w:val="ru-RU"/>
        </w:rPr>
        <w:t xml:space="preserve"> глобальны</w:t>
      </w:r>
      <w:r w:rsidR="00D961EB" w:rsidRPr="00867686">
        <w:rPr>
          <w:lang w:val="ru-RU"/>
        </w:rPr>
        <w:t>е</w:t>
      </w:r>
      <w:r w:rsidR="000E5671" w:rsidRPr="003C0F85">
        <w:rPr>
          <w:lang w:val="ru-RU"/>
        </w:rPr>
        <w:t xml:space="preserve"> </w:t>
      </w:r>
      <w:r w:rsidR="00D961EB" w:rsidRPr="00867686">
        <w:rPr>
          <w:lang w:val="ru-RU"/>
        </w:rPr>
        <w:t xml:space="preserve">консультации по поводу </w:t>
      </w:r>
      <w:r w:rsidR="000E5671" w:rsidRPr="003C0F85">
        <w:rPr>
          <w:lang w:val="ru-RU"/>
        </w:rPr>
        <w:t>механизмов внесения</w:t>
      </w:r>
      <w:r w:rsidR="000E5671" w:rsidRPr="007615AE">
        <w:rPr>
          <w:lang w:val="ru-RU"/>
        </w:rPr>
        <w:t xml:space="preserve"> в</w:t>
      </w:r>
      <w:r w:rsidR="000E5671" w:rsidRPr="00D961EB">
        <w:rPr>
          <w:lang w:val="ru-RU"/>
        </w:rPr>
        <w:t xml:space="preserve"> списки, которы</w:t>
      </w:r>
      <w:r w:rsidR="00D961EB" w:rsidRPr="00D961EB">
        <w:rPr>
          <w:lang w:val="ru-RU"/>
        </w:rPr>
        <w:t>е</w:t>
      </w:r>
      <w:r w:rsidR="000E5671" w:rsidRPr="00D961EB">
        <w:rPr>
          <w:lang w:val="ru-RU"/>
        </w:rPr>
        <w:t xml:space="preserve"> продл</w:t>
      </w:r>
      <w:r w:rsidR="00D961EB" w:rsidRPr="00D961EB">
        <w:rPr>
          <w:lang w:val="ru-RU"/>
        </w:rPr>
        <w:t xml:space="preserve">ятся </w:t>
      </w:r>
      <w:r w:rsidR="000E5671" w:rsidRPr="00D961EB">
        <w:rPr>
          <w:lang w:val="ru-RU"/>
        </w:rPr>
        <w:t>до 2022</w:t>
      </w:r>
      <w:r w:rsidR="000E5671" w:rsidRPr="00D961EB">
        <w:rPr>
          <w:lang w:val="en-US"/>
        </w:rPr>
        <w:t> </w:t>
      </w:r>
      <w:r w:rsidR="000E5671" w:rsidRPr="00D961EB">
        <w:rPr>
          <w:lang w:val="ru-RU"/>
        </w:rPr>
        <w:t xml:space="preserve">г. </w:t>
      </w:r>
      <w:r w:rsidR="00C335AD" w:rsidRPr="00D961EB">
        <w:rPr>
          <w:bCs/>
          <w:lang w:val="ru-RU"/>
        </w:rPr>
        <w:t>(</w:t>
      </w:r>
      <w:r w:rsidR="000E5671" w:rsidRPr="00D961EB">
        <w:rPr>
          <w:bCs/>
          <w:lang w:val="ru-RU"/>
        </w:rPr>
        <w:t xml:space="preserve">см. </w:t>
      </w:r>
      <w:hyperlink r:id="rId12" w:history="1">
        <w:r w:rsidR="000E5671" w:rsidRPr="008604FA">
          <w:rPr>
            <w:rStyle w:val="Lienhypertexte"/>
            <w:bCs/>
            <w:lang w:val="ru-RU"/>
          </w:rPr>
          <w:t>документ</w:t>
        </w:r>
        <w:r w:rsidR="00C335AD" w:rsidRPr="008604FA">
          <w:rPr>
            <w:rStyle w:val="Lienhypertexte"/>
            <w:bCs/>
            <w:lang w:val="ru-RU"/>
          </w:rPr>
          <w:t xml:space="preserve"> </w:t>
        </w:r>
        <w:r w:rsidR="00C335AD" w:rsidRPr="008604FA">
          <w:rPr>
            <w:rStyle w:val="Lienhypertexte"/>
            <w:bCs/>
          </w:rPr>
          <w:t>LHE</w:t>
        </w:r>
        <w:r w:rsidR="00C335AD" w:rsidRPr="008604FA">
          <w:rPr>
            <w:rStyle w:val="Lienhypertexte"/>
            <w:bCs/>
            <w:lang w:val="ru-RU"/>
          </w:rPr>
          <w:t>/20/8.</w:t>
        </w:r>
        <w:r w:rsidR="00C335AD" w:rsidRPr="008604FA">
          <w:rPr>
            <w:rStyle w:val="Lienhypertexte"/>
            <w:bCs/>
          </w:rPr>
          <w:t>GA</w:t>
        </w:r>
        <w:r w:rsidR="00C335AD" w:rsidRPr="008604FA">
          <w:rPr>
            <w:rStyle w:val="Lienhypertexte"/>
            <w:bCs/>
            <w:lang w:val="ru-RU"/>
          </w:rPr>
          <w:t>/</w:t>
        </w:r>
        <w:r w:rsidR="008604FA" w:rsidRPr="00A51636">
          <w:rPr>
            <w:rStyle w:val="Lienhypertexte"/>
            <w:bCs/>
            <w:lang w:val="ru-RU"/>
          </w:rPr>
          <w:t>11</w:t>
        </w:r>
      </w:hyperlink>
      <w:r w:rsidR="00C335AD" w:rsidRPr="00D961EB">
        <w:rPr>
          <w:bCs/>
          <w:lang w:val="ru-RU"/>
        </w:rPr>
        <w:t>)</w:t>
      </w:r>
      <w:r w:rsidR="00C335AD" w:rsidRPr="00D961EB">
        <w:rPr>
          <w:lang w:val="ru-RU"/>
        </w:rPr>
        <w:t>.</w:t>
      </w:r>
      <w:r w:rsidR="00C70A64" w:rsidRPr="00D961EB">
        <w:rPr>
          <w:lang w:val="ru-RU"/>
        </w:rPr>
        <w:t xml:space="preserve"> </w:t>
      </w:r>
      <w:r w:rsidR="000E5671" w:rsidRPr="00D961EB">
        <w:rPr>
          <w:lang w:val="ru-RU"/>
        </w:rPr>
        <w:t>С другой</w:t>
      </w:r>
      <w:r w:rsidR="000E5671" w:rsidRPr="00072B15">
        <w:rPr>
          <w:lang w:val="ru-RU"/>
        </w:rPr>
        <w:t xml:space="preserve"> </w:t>
      </w:r>
      <w:r w:rsidR="000E5671">
        <w:rPr>
          <w:lang w:val="ru-RU"/>
        </w:rPr>
        <w:t>стороны</w:t>
      </w:r>
      <w:r w:rsidR="000E5671" w:rsidRPr="00072B15">
        <w:rPr>
          <w:lang w:val="ru-RU"/>
        </w:rPr>
        <w:t xml:space="preserve">, </w:t>
      </w:r>
      <w:r w:rsidR="000E5671">
        <w:rPr>
          <w:lang w:val="ru-RU"/>
        </w:rPr>
        <w:t>Комитет</w:t>
      </w:r>
      <w:r w:rsidR="000E5671" w:rsidRPr="00072B15">
        <w:rPr>
          <w:lang w:val="ru-RU"/>
        </w:rPr>
        <w:t xml:space="preserve"> </w:t>
      </w:r>
      <w:r w:rsidR="000E5671">
        <w:rPr>
          <w:lang w:val="ru-RU"/>
        </w:rPr>
        <w:t>хотел</w:t>
      </w:r>
      <w:r w:rsidR="000E5671" w:rsidRPr="00072B15">
        <w:rPr>
          <w:lang w:val="ru-RU"/>
        </w:rPr>
        <w:t xml:space="preserve"> </w:t>
      </w:r>
      <w:r w:rsidR="000E5671">
        <w:rPr>
          <w:lang w:val="ru-RU"/>
        </w:rPr>
        <w:t>бы</w:t>
      </w:r>
      <w:r w:rsidR="000E5671" w:rsidRPr="00072B15">
        <w:rPr>
          <w:lang w:val="ru-RU"/>
        </w:rPr>
        <w:t xml:space="preserve"> </w:t>
      </w:r>
      <w:r w:rsidR="00BC3181">
        <w:rPr>
          <w:lang w:val="ru-RU"/>
        </w:rPr>
        <w:t>поэкспериментировать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с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возможным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процессом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диалога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в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следующем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цикле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в</w:t>
      </w:r>
      <w:r w:rsidR="00BC3181" w:rsidRPr="00072B15">
        <w:rPr>
          <w:lang w:val="ru-RU"/>
        </w:rPr>
        <w:t xml:space="preserve"> </w:t>
      </w:r>
      <w:r w:rsidR="00BC3181">
        <w:rPr>
          <w:lang w:val="ru-RU"/>
        </w:rPr>
        <w:t>рамках</w:t>
      </w:r>
      <w:r w:rsidR="00BC3181" w:rsidRPr="00072B15">
        <w:rPr>
          <w:lang w:val="ru-RU"/>
        </w:rPr>
        <w:t xml:space="preserve"> </w:t>
      </w:r>
      <w:r w:rsidR="00602F22">
        <w:rPr>
          <w:lang w:val="ru-RU"/>
        </w:rPr>
        <w:t>пакета</w:t>
      </w:r>
      <w:r w:rsidR="00602F22" w:rsidRPr="00072B15">
        <w:rPr>
          <w:lang w:val="ru-RU"/>
        </w:rPr>
        <w:t xml:space="preserve"> </w:t>
      </w:r>
      <w:r w:rsidR="00602F22">
        <w:rPr>
          <w:lang w:val="ru-RU"/>
        </w:rPr>
        <w:t>мер</w:t>
      </w:r>
      <w:r w:rsidR="00602F22" w:rsidRPr="00072B15">
        <w:rPr>
          <w:lang w:val="ru-RU"/>
        </w:rPr>
        <w:t xml:space="preserve">, </w:t>
      </w:r>
      <w:r w:rsidR="00602F22">
        <w:rPr>
          <w:lang w:val="ru-RU"/>
        </w:rPr>
        <w:t>позволяющих</w:t>
      </w:r>
      <w:r w:rsidR="00602F22" w:rsidRPr="00072B15">
        <w:rPr>
          <w:lang w:val="ru-RU"/>
        </w:rPr>
        <w:t xml:space="preserve"> </w:t>
      </w:r>
      <w:r w:rsidR="00602F22">
        <w:rPr>
          <w:lang w:val="ru-RU"/>
        </w:rPr>
        <w:t>получить</w:t>
      </w:r>
      <w:r w:rsidR="00602F22" w:rsidRPr="00072B15">
        <w:rPr>
          <w:lang w:val="ru-RU"/>
        </w:rPr>
        <w:t xml:space="preserve"> </w:t>
      </w:r>
      <w:r w:rsidR="00602F22">
        <w:rPr>
          <w:lang w:val="ru-RU"/>
        </w:rPr>
        <w:t>быстрый</w:t>
      </w:r>
      <w:r w:rsidR="00602F22" w:rsidRPr="00072B15">
        <w:rPr>
          <w:lang w:val="ru-RU"/>
        </w:rPr>
        <w:t xml:space="preserve"> </w:t>
      </w:r>
      <w:r w:rsidR="00602F22">
        <w:rPr>
          <w:lang w:val="ru-RU"/>
        </w:rPr>
        <w:t>результат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глобальн</w:t>
      </w:r>
      <w:r w:rsidR="00D961EB">
        <w:rPr>
          <w:lang w:val="ru-RU"/>
        </w:rPr>
        <w:t>ых консультаций</w:t>
      </w:r>
      <w:r w:rsidR="00072B15" w:rsidRPr="00072B15">
        <w:rPr>
          <w:lang w:val="ru-RU"/>
        </w:rPr>
        <w:t xml:space="preserve">, </w:t>
      </w:r>
      <w:r w:rsidR="00072B15">
        <w:rPr>
          <w:lang w:val="ru-RU"/>
        </w:rPr>
        <w:t>что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может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быть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отражено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в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поправках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в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Оперативное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руководство</w:t>
      </w:r>
      <w:r w:rsidR="00072B15" w:rsidRPr="00072B15">
        <w:rPr>
          <w:lang w:val="ru-RU"/>
        </w:rPr>
        <w:t xml:space="preserve">, </w:t>
      </w:r>
      <w:r w:rsidR="00072B15">
        <w:rPr>
          <w:lang w:val="ru-RU"/>
        </w:rPr>
        <w:t xml:space="preserve">которые предлагаются восьмой сессии Генеральной ассамблеи </w:t>
      </w:r>
      <w:r w:rsidR="008F4F99" w:rsidRPr="00072B15">
        <w:rPr>
          <w:bCs/>
          <w:lang w:val="ru-RU"/>
        </w:rPr>
        <w:t>(</w:t>
      </w:r>
      <w:hyperlink r:id="rId13" w:history="1">
        <w:r w:rsidR="00E53E09">
          <w:rPr>
            <w:rStyle w:val="Lienhypertexte"/>
            <w:bCs/>
            <w:lang w:val="ru-RU"/>
          </w:rPr>
          <w:t>решение</w:t>
        </w:r>
        <w:r w:rsidR="008F4F99" w:rsidRPr="00072B15">
          <w:rPr>
            <w:rStyle w:val="Lienhypertexte"/>
            <w:bCs/>
            <w:lang w:val="ru-RU"/>
          </w:rPr>
          <w:t xml:space="preserve"> 13.</w:t>
        </w:r>
        <w:r w:rsidR="008F4F99" w:rsidRPr="00781F19">
          <w:rPr>
            <w:rStyle w:val="Lienhypertexte"/>
            <w:bCs/>
          </w:rPr>
          <w:t>COM</w:t>
        </w:r>
        <w:r w:rsidR="008F4F99" w:rsidRPr="00072B15">
          <w:rPr>
            <w:rStyle w:val="Lienhypertexte"/>
            <w:bCs/>
            <w:lang w:val="ru-RU"/>
          </w:rPr>
          <w:t xml:space="preserve"> 10</w:t>
        </w:r>
      </w:hyperlink>
      <w:r w:rsidR="008F4F99" w:rsidRPr="00072B15">
        <w:rPr>
          <w:bCs/>
          <w:lang w:val="ru-RU"/>
        </w:rPr>
        <w:t xml:space="preserve">: </w:t>
      </w:r>
      <w:r w:rsidR="00072B15">
        <w:rPr>
          <w:bCs/>
          <w:lang w:val="ru-RU"/>
        </w:rPr>
        <w:t>пункты</w:t>
      </w:r>
      <w:r w:rsidR="008F4F99" w:rsidRPr="00072B15">
        <w:rPr>
          <w:bCs/>
          <w:lang w:val="ru-RU"/>
        </w:rPr>
        <w:t xml:space="preserve"> 14</w:t>
      </w:r>
      <w:r w:rsidR="00072B15">
        <w:rPr>
          <w:bCs/>
          <w:lang w:val="ru-RU"/>
        </w:rPr>
        <w:t xml:space="preserve"> – 18</w:t>
      </w:r>
      <w:r w:rsidR="008F4F99" w:rsidRPr="00072B15">
        <w:rPr>
          <w:bCs/>
          <w:lang w:val="ru-RU"/>
        </w:rPr>
        <w:t>)</w:t>
      </w:r>
      <w:r w:rsidR="00C70A64" w:rsidRPr="00072B15">
        <w:rPr>
          <w:bCs/>
          <w:lang w:val="ru-RU"/>
        </w:rPr>
        <w:t>.</w:t>
      </w:r>
      <w:r w:rsidR="00080C4C" w:rsidRPr="00072B15">
        <w:rPr>
          <w:lang w:val="ru-RU"/>
        </w:rPr>
        <w:t xml:space="preserve"> </w:t>
      </w:r>
      <w:r w:rsidR="00072B15">
        <w:rPr>
          <w:lang w:val="ru-RU"/>
        </w:rPr>
        <w:t>В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то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же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время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мандат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неофициальной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специальной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рабочей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группы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открытого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состава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вновь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был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продлен</w:t>
      </w:r>
      <w:r w:rsidR="00072B15" w:rsidRPr="00072B15">
        <w:rPr>
          <w:lang w:val="ru-RU"/>
        </w:rPr>
        <w:t xml:space="preserve"> </w:t>
      </w:r>
      <w:r w:rsidR="00072B15">
        <w:rPr>
          <w:lang w:val="ru-RU"/>
        </w:rPr>
        <w:t>до</w:t>
      </w:r>
      <w:r w:rsidR="00072B15" w:rsidRPr="00072B15">
        <w:rPr>
          <w:lang w:val="ru-RU"/>
        </w:rPr>
        <w:t xml:space="preserve"> 2019</w:t>
      </w:r>
      <w:r w:rsidR="00072B15" w:rsidRPr="00072B15">
        <w:rPr>
          <w:lang w:val="en-US"/>
        </w:rPr>
        <w:t> </w:t>
      </w:r>
      <w:r w:rsidR="00072B15">
        <w:rPr>
          <w:lang w:val="ru-RU"/>
        </w:rPr>
        <w:t>г</w:t>
      </w:r>
      <w:r w:rsidR="00110439">
        <w:rPr>
          <w:lang w:val="ru-RU"/>
        </w:rPr>
        <w:t>ода</w:t>
      </w:r>
      <w:r w:rsidR="00072B15" w:rsidRPr="00072B15">
        <w:rPr>
          <w:lang w:val="ru-RU"/>
        </w:rPr>
        <w:t>,</w:t>
      </w:r>
      <w:r w:rsidR="00072B15">
        <w:rPr>
          <w:lang w:val="ru-RU"/>
        </w:rPr>
        <w:t xml:space="preserve"> чтобы также «обменяться мнениями с Секретариатом и Оценочным органом по вопросам </w:t>
      </w:r>
      <w:r w:rsidR="00D961EB">
        <w:rPr>
          <w:lang w:val="ru-RU"/>
        </w:rPr>
        <w:t xml:space="preserve">осуществления </w:t>
      </w:r>
      <w:r w:rsidR="00072B15">
        <w:rPr>
          <w:lang w:val="ru-RU"/>
        </w:rPr>
        <w:t xml:space="preserve">экспериментального механизма диалога» </w:t>
      </w:r>
      <w:r w:rsidR="00080C4C" w:rsidRPr="00072B15">
        <w:rPr>
          <w:lang w:val="ru-RU"/>
        </w:rPr>
        <w:t>(</w:t>
      </w:r>
      <w:hyperlink r:id="rId14" w:history="1">
        <w:r w:rsidR="00E53E09">
          <w:rPr>
            <w:rStyle w:val="Lienhypertexte"/>
            <w:lang w:val="ru-RU"/>
          </w:rPr>
          <w:t>решение</w:t>
        </w:r>
        <w:r w:rsidR="00080C4C" w:rsidRPr="00072B15">
          <w:rPr>
            <w:rStyle w:val="Lienhypertexte"/>
            <w:lang w:val="ru-RU"/>
          </w:rPr>
          <w:t xml:space="preserve"> 13.</w:t>
        </w:r>
        <w:r w:rsidR="00080C4C" w:rsidRPr="007568E2">
          <w:rPr>
            <w:rStyle w:val="Lienhypertexte"/>
            <w:lang w:val="en-US"/>
          </w:rPr>
          <w:t>COM</w:t>
        </w:r>
        <w:r w:rsidR="00080C4C" w:rsidRPr="00072B15">
          <w:rPr>
            <w:rStyle w:val="Lienhypertexte"/>
            <w:lang w:val="ru-RU"/>
          </w:rPr>
          <w:t xml:space="preserve"> 16</w:t>
        </w:r>
      </w:hyperlink>
      <w:r w:rsidR="00080C4C" w:rsidRPr="00072B15">
        <w:rPr>
          <w:lang w:val="ru-RU"/>
        </w:rPr>
        <w:t>).</w:t>
      </w:r>
    </w:p>
    <w:p w14:paraId="01093AC5" w14:textId="1B22B763" w:rsidR="00B55055" w:rsidRPr="00832897" w:rsidRDefault="00000B17" w:rsidP="008604FA">
      <w:pPr>
        <w:pStyle w:val="COMPara"/>
        <w:numPr>
          <w:ilvl w:val="0"/>
          <w:numId w:val="19"/>
        </w:numPr>
        <w:ind w:left="540" w:hanging="540"/>
        <w:jc w:val="both"/>
        <w:rPr>
          <w:lang w:val="ru-RU"/>
        </w:rPr>
      </w:pPr>
      <w:r>
        <w:rPr>
          <w:bCs/>
          <w:lang w:val="ru-RU"/>
        </w:rPr>
        <w:t>Конкретно</w:t>
      </w:r>
      <w:r w:rsidRPr="00110439">
        <w:rPr>
          <w:bCs/>
          <w:lang w:val="ru-RU"/>
        </w:rPr>
        <w:t xml:space="preserve">, </w:t>
      </w:r>
      <w:r>
        <w:rPr>
          <w:bCs/>
          <w:lang w:val="ru-RU"/>
        </w:rPr>
        <w:t>Оценочный</w:t>
      </w:r>
      <w:r w:rsidRPr="00110439">
        <w:rPr>
          <w:bCs/>
          <w:lang w:val="ru-RU"/>
        </w:rPr>
        <w:t xml:space="preserve"> </w:t>
      </w:r>
      <w:r>
        <w:rPr>
          <w:bCs/>
          <w:lang w:val="ru-RU"/>
        </w:rPr>
        <w:t>орган</w:t>
      </w:r>
      <w:r w:rsidRPr="00110439">
        <w:rPr>
          <w:bCs/>
          <w:lang w:val="ru-RU"/>
        </w:rPr>
        <w:t xml:space="preserve"> </w:t>
      </w:r>
      <w:r>
        <w:rPr>
          <w:bCs/>
          <w:lang w:val="ru-RU"/>
        </w:rPr>
        <w:t>получил</w:t>
      </w:r>
      <w:r w:rsidRPr="00110439">
        <w:rPr>
          <w:bCs/>
          <w:lang w:val="ru-RU"/>
        </w:rPr>
        <w:t xml:space="preserve"> </w:t>
      </w:r>
      <w:r>
        <w:rPr>
          <w:bCs/>
          <w:lang w:val="ru-RU"/>
        </w:rPr>
        <w:t>право</w:t>
      </w:r>
      <w:r w:rsidRPr="00110439">
        <w:rPr>
          <w:bCs/>
          <w:lang w:val="ru-RU"/>
        </w:rPr>
        <w:t xml:space="preserve"> </w:t>
      </w:r>
      <w:r>
        <w:rPr>
          <w:bCs/>
          <w:lang w:val="ru-RU"/>
        </w:rPr>
        <w:t>пров</w:t>
      </w:r>
      <w:r w:rsidR="00110439">
        <w:rPr>
          <w:bCs/>
          <w:lang w:val="ru-RU"/>
        </w:rPr>
        <w:t>едения</w:t>
      </w:r>
      <w:r w:rsidRPr="00110439">
        <w:rPr>
          <w:bCs/>
          <w:lang w:val="ru-RU"/>
        </w:rPr>
        <w:t xml:space="preserve"> </w:t>
      </w:r>
      <w:r w:rsidR="002D6249">
        <w:rPr>
          <w:bCs/>
          <w:lang w:val="ru-RU"/>
        </w:rPr>
        <w:t>предварительн</w:t>
      </w:r>
      <w:r w:rsidR="00110439">
        <w:rPr>
          <w:bCs/>
          <w:lang w:val="ru-RU"/>
        </w:rPr>
        <w:t>ого</w:t>
      </w:r>
      <w:r w:rsidR="002D6249">
        <w:rPr>
          <w:bCs/>
          <w:lang w:val="ru-RU"/>
        </w:rPr>
        <w:t xml:space="preserve"> диалог</w:t>
      </w:r>
      <w:r w:rsidR="00110439">
        <w:rPr>
          <w:bCs/>
          <w:lang w:val="ru-RU"/>
        </w:rPr>
        <w:t>а</w:t>
      </w:r>
      <w:r w:rsidR="002D6249">
        <w:rPr>
          <w:bCs/>
          <w:lang w:val="ru-RU"/>
        </w:rPr>
        <w:t xml:space="preserve"> </w:t>
      </w:r>
      <w:r w:rsidR="00334906" w:rsidRPr="00110439">
        <w:rPr>
          <w:lang w:val="ru-RU"/>
        </w:rPr>
        <w:t>(</w:t>
      </w:r>
      <w:hyperlink r:id="rId15" w:history="1">
        <w:r w:rsidR="00E53E09">
          <w:rPr>
            <w:rStyle w:val="Lienhypertexte"/>
            <w:lang w:val="ru-RU"/>
          </w:rPr>
          <w:t>решение</w:t>
        </w:r>
        <w:r w:rsidR="00334906" w:rsidRPr="00110439">
          <w:rPr>
            <w:rStyle w:val="Lienhypertexte"/>
            <w:lang w:val="ru-RU"/>
          </w:rPr>
          <w:t xml:space="preserve"> 13.</w:t>
        </w:r>
        <w:r w:rsidR="00334906" w:rsidRPr="00080C4C">
          <w:rPr>
            <w:rStyle w:val="Lienhypertexte"/>
          </w:rPr>
          <w:t>COM</w:t>
        </w:r>
        <w:r w:rsidR="00334906" w:rsidRPr="00110439">
          <w:rPr>
            <w:rStyle w:val="Lienhypertexte"/>
            <w:lang w:val="ru-RU"/>
          </w:rPr>
          <w:t xml:space="preserve"> 14</w:t>
        </w:r>
      </w:hyperlink>
      <w:r w:rsidR="00334906" w:rsidRPr="00110439">
        <w:rPr>
          <w:lang w:val="ru-RU"/>
        </w:rPr>
        <w:t xml:space="preserve">; </w:t>
      </w:r>
      <w:r w:rsidR="002D6249">
        <w:rPr>
          <w:lang w:val="ru-RU"/>
        </w:rPr>
        <w:t>пункт 6 приложения</w:t>
      </w:r>
      <w:r w:rsidR="00334906" w:rsidRPr="00110439">
        <w:rPr>
          <w:lang w:val="ru-RU"/>
        </w:rPr>
        <w:t>)</w:t>
      </w:r>
      <w:r w:rsidR="00080C4C" w:rsidRPr="00110439">
        <w:rPr>
          <w:lang w:val="ru-RU"/>
        </w:rPr>
        <w:t xml:space="preserve"> </w:t>
      </w:r>
      <w:r w:rsidR="00110439">
        <w:rPr>
          <w:lang w:val="ru-RU"/>
        </w:rPr>
        <w:t>в рамках оценки досье, представленных в цикле 2019 года.</w:t>
      </w:r>
      <w:r w:rsidR="00334906" w:rsidRPr="00110439">
        <w:rPr>
          <w:lang w:val="ru-RU"/>
        </w:rPr>
        <w:t xml:space="preserve"> </w:t>
      </w:r>
      <w:r w:rsidR="00110439">
        <w:rPr>
          <w:lang w:val="ru-RU"/>
        </w:rPr>
        <w:t>Орган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инициировал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процесс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в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тех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случаях</w:t>
      </w:r>
      <w:r w:rsidR="00110439" w:rsidRPr="00F675D7">
        <w:rPr>
          <w:lang w:val="ru-RU"/>
        </w:rPr>
        <w:t xml:space="preserve">, </w:t>
      </w:r>
      <w:r w:rsidR="00110439">
        <w:rPr>
          <w:lang w:val="ru-RU"/>
        </w:rPr>
        <w:t>когда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считал</w:t>
      </w:r>
      <w:r w:rsidR="00110439" w:rsidRPr="00F675D7">
        <w:rPr>
          <w:lang w:val="ru-RU"/>
        </w:rPr>
        <w:t xml:space="preserve">, </w:t>
      </w:r>
      <w:r w:rsidR="00110439">
        <w:rPr>
          <w:lang w:val="ru-RU"/>
        </w:rPr>
        <w:t>что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хотя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информация</w:t>
      </w:r>
      <w:r w:rsidR="00110439" w:rsidRPr="00F675D7">
        <w:rPr>
          <w:lang w:val="ru-RU"/>
        </w:rPr>
        <w:t xml:space="preserve">, </w:t>
      </w:r>
      <w:r w:rsidR="00110439">
        <w:rPr>
          <w:lang w:val="ru-RU"/>
        </w:rPr>
        <w:t>представленная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в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досье</w:t>
      </w:r>
      <w:r w:rsidR="00110439" w:rsidRPr="00F675D7">
        <w:rPr>
          <w:lang w:val="ru-RU"/>
        </w:rPr>
        <w:t xml:space="preserve">, </w:t>
      </w:r>
      <w:r w:rsidR="00110439">
        <w:rPr>
          <w:lang w:val="ru-RU"/>
        </w:rPr>
        <w:t>недостаточна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для</w:t>
      </w:r>
      <w:r w:rsidR="00110439" w:rsidRPr="00F675D7">
        <w:rPr>
          <w:lang w:val="ru-RU"/>
        </w:rPr>
        <w:t xml:space="preserve"> </w:t>
      </w:r>
      <w:r w:rsidR="00110439">
        <w:rPr>
          <w:lang w:val="ru-RU"/>
        </w:rPr>
        <w:t>оценки</w:t>
      </w:r>
      <w:r w:rsidR="00110439" w:rsidRPr="00F675D7">
        <w:rPr>
          <w:lang w:val="ru-RU"/>
        </w:rPr>
        <w:t xml:space="preserve"> </w:t>
      </w:r>
      <w:r w:rsidR="00F675D7">
        <w:rPr>
          <w:lang w:val="ru-RU"/>
        </w:rPr>
        <w:t>на</w:t>
      </w:r>
      <w:r w:rsidR="00F675D7" w:rsidRPr="00F675D7">
        <w:rPr>
          <w:lang w:val="ru-RU"/>
        </w:rPr>
        <w:t xml:space="preserve"> </w:t>
      </w:r>
      <w:r w:rsidR="0091589B">
        <w:rPr>
          <w:lang w:val="ru-RU"/>
        </w:rPr>
        <w:t>соответс</w:t>
      </w:r>
      <w:r w:rsidR="00850229">
        <w:rPr>
          <w:lang w:val="ru-RU"/>
        </w:rPr>
        <w:t>т</w:t>
      </w:r>
      <w:r w:rsidR="00F675D7">
        <w:rPr>
          <w:lang w:val="ru-RU"/>
        </w:rPr>
        <w:t>вие</w:t>
      </w:r>
      <w:r w:rsidR="00850229" w:rsidRPr="00F675D7">
        <w:rPr>
          <w:lang w:val="ru-RU"/>
        </w:rPr>
        <w:t xml:space="preserve"> </w:t>
      </w:r>
      <w:r w:rsidR="00850229">
        <w:rPr>
          <w:lang w:val="ru-RU"/>
        </w:rPr>
        <w:t>критериям</w:t>
      </w:r>
      <w:r w:rsidR="00850229" w:rsidRPr="00F675D7">
        <w:rPr>
          <w:lang w:val="ru-RU"/>
        </w:rPr>
        <w:t xml:space="preserve"> (</w:t>
      </w:r>
      <w:r w:rsidR="00850229">
        <w:rPr>
          <w:lang w:val="ru-RU"/>
        </w:rPr>
        <w:t>препровождение</w:t>
      </w:r>
      <w:r w:rsidR="0091589B" w:rsidRPr="00F675D7">
        <w:rPr>
          <w:lang w:val="ru-RU"/>
        </w:rPr>
        <w:t>)</w:t>
      </w:r>
      <w:r w:rsidR="00850229" w:rsidRPr="00F675D7">
        <w:rPr>
          <w:lang w:val="ru-RU"/>
        </w:rPr>
        <w:t xml:space="preserve">, </w:t>
      </w:r>
      <w:r w:rsidR="00F675D7">
        <w:rPr>
          <w:lang w:val="ru-RU"/>
        </w:rPr>
        <w:t>обмен краткими вопросами и ответами с представившим досье государством (государствами) может повлиять на результат его оценки.</w:t>
      </w:r>
      <w:r w:rsidR="00275BB0">
        <w:rPr>
          <w:lang w:val="ru-RU"/>
        </w:rPr>
        <w:t xml:space="preserve"> Секретариату</w:t>
      </w:r>
      <w:r w:rsidR="00275BB0" w:rsidRPr="00275BB0">
        <w:rPr>
          <w:lang w:val="ru-RU"/>
        </w:rPr>
        <w:t xml:space="preserve"> </w:t>
      </w:r>
      <w:r w:rsidR="00275BB0">
        <w:rPr>
          <w:lang w:val="ru-RU"/>
        </w:rPr>
        <w:t>была</w:t>
      </w:r>
      <w:r w:rsidR="00275BB0" w:rsidRPr="00275BB0">
        <w:rPr>
          <w:lang w:val="ru-RU"/>
        </w:rPr>
        <w:t xml:space="preserve"> </w:t>
      </w:r>
      <w:r w:rsidR="00275BB0">
        <w:rPr>
          <w:lang w:val="ru-RU"/>
        </w:rPr>
        <w:t xml:space="preserve">поручена передача вопросов Оценочного органа заинтересованным государствам-участникам после второго совещания Оценочного органа в 2019 г. Заинтересованным государствам-участникам было предложено </w:t>
      </w:r>
      <w:r w:rsidR="00275BB0" w:rsidRPr="00867686">
        <w:rPr>
          <w:color w:val="000000" w:themeColor="text1"/>
          <w:lang w:val="ru-RU"/>
        </w:rPr>
        <w:t>представить</w:t>
      </w:r>
      <w:r w:rsidR="00275BB0">
        <w:rPr>
          <w:lang w:val="ru-RU"/>
        </w:rPr>
        <w:t xml:space="preserve"> </w:t>
      </w:r>
      <w:r w:rsidR="005D6A47">
        <w:rPr>
          <w:lang w:val="ru-RU"/>
        </w:rPr>
        <w:t xml:space="preserve">разъяснения до третьего совещания Оценочного органа в 2019 г. </w:t>
      </w:r>
      <w:r w:rsidR="00832897">
        <w:rPr>
          <w:lang w:val="ru-RU"/>
        </w:rPr>
        <w:t xml:space="preserve">Соответственно, Оценочный орган применил процедуру предварительного </w:t>
      </w:r>
      <w:r w:rsidR="0081275B">
        <w:rPr>
          <w:lang w:val="ru-RU"/>
        </w:rPr>
        <w:t>диалога на начальном этапе для шести номинаций в цикле 2019 года.</w:t>
      </w:r>
    </w:p>
    <w:p w14:paraId="403A36D2" w14:textId="0D1B6CB3" w:rsidR="00D028C1" w:rsidRPr="005B7DF5" w:rsidRDefault="0081275B" w:rsidP="008604FA">
      <w:pPr>
        <w:pStyle w:val="COMPara"/>
        <w:numPr>
          <w:ilvl w:val="0"/>
          <w:numId w:val="19"/>
        </w:numPr>
        <w:ind w:left="540" w:hanging="540"/>
        <w:jc w:val="both"/>
        <w:rPr>
          <w:lang w:val="ru-RU"/>
        </w:rPr>
      </w:pPr>
      <w:r>
        <w:rPr>
          <w:lang w:val="ru-RU"/>
        </w:rPr>
        <w:lastRenderedPageBreak/>
        <w:t>Принимая</w:t>
      </w:r>
      <w:r w:rsidRPr="00085BB2">
        <w:rPr>
          <w:lang w:val="ru-RU"/>
        </w:rPr>
        <w:t xml:space="preserve"> </w:t>
      </w:r>
      <w:r>
        <w:rPr>
          <w:lang w:val="ru-RU"/>
        </w:rPr>
        <w:t>во</w:t>
      </w:r>
      <w:r w:rsidRPr="00085BB2">
        <w:rPr>
          <w:lang w:val="ru-RU"/>
        </w:rPr>
        <w:t xml:space="preserve"> </w:t>
      </w:r>
      <w:r>
        <w:rPr>
          <w:lang w:val="ru-RU"/>
        </w:rPr>
        <w:t>внимание</w:t>
      </w:r>
      <w:r w:rsidRPr="00085BB2">
        <w:rPr>
          <w:lang w:val="ru-RU"/>
        </w:rPr>
        <w:t xml:space="preserve"> </w:t>
      </w:r>
      <w:r>
        <w:rPr>
          <w:lang w:val="ru-RU"/>
        </w:rPr>
        <w:t>предварительный</w:t>
      </w:r>
      <w:r w:rsidRPr="00085BB2">
        <w:rPr>
          <w:lang w:val="ru-RU"/>
        </w:rPr>
        <w:t xml:space="preserve"> </w:t>
      </w:r>
      <w:r>
        <w:rPr>
          <w:lang w:val="ru-RU"/>
        </w:rPr>
        <w:t>характер</w:t>
      </w:r>
      <w:r w:rsidRPr="00085BB2">
        <w:rPr>
          <w:lang w:val="ru-RU"/>
        </w:rPr>
        <w:t xml:space="preserve"> </w:t>
      </w:r>
      <w:r>
        <w:rPr>
          <w:lang w:val="ru-RU"/>
        </w:rPr>
        <w:t>диалога</w:t>
      </w:r>
      <w:r w:rsidRPr="00085BB2">
        <w:rPr>
          <w:lang w:val="ru-RU"/>
        </w:rPr>
        <w:t xml:space="preserve"> </w:t>
      </w:r>
      <w:r>
        <w:rPr>
          <w:lang w:val="ru-RU"/>
        </w:rPr>
        <w:t>на</w:t>
      </w:r>
      <w:r w:rsidRPr="00085BB2">
        <w:rPr>
          <w:lang w:val="ru-RU"/>
        </w:rPr>
        <w:t xml:space="preserve"> </w:t>
      </w:r>
      <w:r>
        <w:rPr>
          <w:lang w:val="ru-RU"/>
        </w:rPr>
        <w:t>начальном</w:t>
      </w:r>
      <w:r w:rsidRPr="00085BB2">
        <w:rPr>
          <w:lang w:val="ru-RU"/>
        </w:rPr>
        <w:t xml:space="preserve"> </w:t>
      </w:r>
      <w:r>
        <w:rPr>
          <w:lang w:val="ru-RU"/>
        </w:rPr>
        <w:t>этапе</w:t>
      </w:r>
      <w:r w:rsidRPr="00085BB2">
        <w:rPr>
          <w:lang w:val="ru-RU"/>
        </w:rPr>
        <w:t xml:space="preserve"> </w:t>
      </w:r>
      <w:r>
        <w:rPr>
          <w:lang w:val="ru-RU"/>
        </w:rPr>
        <w:t>и</w:t>
      </w:r>
      <w:r w:rsidRPr="00085BB2">
        <w:rPr>
          <w:lang w:val="ru-RU"/>
        </w:rPr>
        <w:t xml:space="preserve"> </w:t>
      </w:r>
      <w:r>
        <w:rPr>
          <w:lang w:val="ru-RU"/>
        </w:rPr>
        <w:t>для</w:t>
      </w:r>
      <w:r w:rsidRPr="00085BB2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085BB2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085BB2">
        <w:rPr>
          <w:lang w:val="ru-RU"/>
        </w:rPr>
        <w:t xml:space="preserve"> </w:t>
      </w:r>
      <w:r>
        <w:rPr>
          <w:lang w:val="ru-RU"/>
        </w:rPr>
        <w:t>с</w:t>
      </w:r>
      <w:r w:rsidRPr="00085BB2">
        <w:rPr>
          <w:lang w:val="ru-RU"/>
        </w:rPr>
        <w:t xml:space="preserve"> </w:t>
      </w:r>
      <w:r>
        <w:rPr>
          <w:lang w:val="ru-RU"/>
        </w:rPr>
        <w:t>Оперативным</w:t>
      </w:r>
      <w:r w:rsidRPr="00085BB2">
        <w:rPr>
          <w:lang w:val="ru-RU"/>
        </w:rPr>
        <w:t xml:space="preserve"> </w:t>
      </w:r>
      <w:r>
        <w:rPr>
          <w:lang w:val="ru-RU"/>
        </w:rPr>
        <w:t>руководством</w:t>
      </w:r>
      <w:r w:rsidRPr="00085BB2">
        <w:rPr>
          <w:lang w:val="ru-RU"/>
        </w:rPr>
        <w:t xml:space="preserve">, </w:t>
      </w:r>
      <w:r>
        <w:rPr>
          <w:lang w:val="ru-RU"/>
        </w:rPr>
        <w:t>в</w:t>
      </w:r>
      <w:r w:rsidRPr="00085BB2">
        <w:rPr>
          <w:lang w:val="ru-RU"/>
        </w:rPr>
        <w:t xml:space="preserve"> </w:t>
      </w:r>
      <w:r>
        <w:rPr>
          <w:lang w:val="ru-RU"/>
        </w:rPr>
        <w:t>частности</w:t>
      </w:r>
      <w:r w:rsidRPr="00085BB2">
        <w:rPr>
          <w:lang w:val="ru-RU"/>
        </w:rPr>
        <w:t xml:space="preserve">, </w:t>
      </w:r>
      <w:r>
        <w:rPr>
          <w:lang w:val="ru-RU"/>
        </w:rPr>
        <w:t>с</w:t>
      </w:r>
      <w:r w:rsidRPr="00085BB2">
        <w:rPr>
          <w:lang w:val="ru-RU"/>
        </w:rPr>
        <w:t xml:space="preserve"> </w:t>
      </w:r>
      <w:r>
        <w:rPr>
          <w:lang w:val="ru-RU"/>
        </w:rPr>
        <w:t>пунктом</w:t>
      </w:r>
      <w:r w:rsidRPr="00085BB2">
        <w:rPr>
          <w:lang w:val="ru-RU"/>
        </w:rPr>
        <w:t xml:space="preserve"> 55, </w:t>
      </w:r>
      <w:r>
        <w:rPr>
          <w:lang w:val="ru-RU"/>
        </w:rPr>
        <w:t>была</w:t>
      </w:r>
      <w:r w:rsidRPr="00085BB2">
        <w:rPr>
          <w:lang w:val="ru-RU"/>
        </w:rPr>
        <w:t xml:space="preserve"> </w:t>
      </w:r>
      <w:r>
        <w:rPr>
          <w:lang w:val="ru-RU"/>
        </w:rPr>
        <w:t>использована</w:t>
      </w:r>
      <w:r w:rsidRPr="00085BB2">
        <w:rPr>
          <w:lang w:val="ru-RU"/>
        </w:rPr>
        <w:t xml:space="preserve"> </w:t>
      </w:r>
      <w:r>
        <w:rPr>
          <w:lang w:val="ru-RU"/>
        </w:rPr>
        <w:t>специальная</w:t>
      </w:r>
      <w:r w:rsidRPr="00085BB2">
        <w:rPr>
          <w:lang w:val="ru-RU"/>
        </w:rPr>
        <w:t xml:space="preserve"> </w:t>
      </w:r>
      <w:r>
        <w:rPr>
          <w:lang w:val="ru-RU"/>
        </w:rPr>
        <w:t>методология</w:t>
      </w:r>
      <w:r w:rsidRPr="00085BB2">
        <w:rPr>
          <w:lang w:val="ru-RU"/>
        </w:rPr>
        <w:t xml:space="preserve">, </w:t>
      </w:r>
      <w:r>
        <w:rPr>
          <w:lang w:val="ru-RU"/>
        </w:rPr>
        <w:t>представленная</w:t>
      </w:r>
      <w:r w:rsidRPr="00085BB2">
        <w:rPr>
          <w:lang w:val="ru-RU"/>
        </w:rPr>
        <w:t xml:space="preserve"> </w:t>
      </w:r>
      <w:r>
        <w:rPr>
          <w:lang w:val="ru-RU"/>
        </w:rPr>
        <w:t>государствам</w:t>
      </w:r>
      <w:r w:rsidRPr="00085BB2">
        <w:rPr>
          <w:lang w:val="ru-RU"/>
        </w:rPr>
        <w:t>-</w:t>
      </w:r>
      <w:r>
        <w:rPr>
          <w:lang w:val="ru-RU"/>
        </w:rPr>
        <w:t>участникам</w:t>
      </w:r>
      <w:r w:rsidRPr="00085BB2">
        <w:rPr>
          <w:lang w:val="ru-RU"/>
        </w:rPr>
        <w:t xml:space="preserve"> </w:t>
      </w:r>
      <w:r>
        <w:rPr>
          <w:lang w:val="ru-RU"/>
        </w:rPr>
        <w:t>на</w:t>
      </w:r>
      <w:r w:rsidRPr="00085BB2">
        <w:rPr>
          <w:lang w:val="ru-RU"/>
        </w:rPr>
        <w:t xml:space="preserve"> </w:t>
      </w:r>
      <w:r w:rsidR="00085BB2">
        <w:rPr>
          <w:lang w:val="ru-RU"/>
        </w:rPr>
        <w:t xml:space="preserve">совещании по обмену информацией, которое состоялось 1 марта 2019 г. Поскольку заключение второго совещания Органа в июне </w:t>
      </w:r>
      <w:r w:rsidR="0057194D">
        <w:rPr>
          <w:lang w:val="ru-RU"/>
        </w:rPr>
        <w:t xml:space="preserve">считалось окончательным, мнение Оценочного органа 2019 года о случаях диалога было опубликовано </w:t>
      </w:r>
      <w:r w:rsidR="002C069A">
        <w:rPr>
          <w:lang w:val="ru-RU"/>
        </w:rPr>
        <w:t xml:space="preserve">в качестве информационного документа, отдельно от рекомендаций по </w:t>
      </w:r>
      <w:r w:rsidR="006340DF">
        <w:rPr>
          <w:lang w:val="ru-RU"/>
        </w:rPr>
        <w:t>конкретным</w:t>
      </w:r>
      <w:r w:rsidR="002C069A">
        <w:rPr>
          <w:lang w:val="ru-RU"/>
        </w:rPr>
        <w:t xml:space="preserve"> номинациям. Таким</w:t>
      </w:r>
      <w:r w:rsidR="002C069A" w:rsidRPr="002C069A">
        <w:rPr>
          <w:lang w:val="ru-RU"/>
        </w:rPr>
        <w:t xml:space="preserve"> </w:t>
      </w:r>
      <w:r w:rsidR="002C069A" w:rsidRPr="00867686">
        <w:rPr>
          <w:color w:val="000000" w:themeColor="text1"/>
          <w:lang w:val="ru-RU"/>
        </w:rPr>
        <w:t>образом</w:t>
      </w:r>
      <w:r w:rsidR="002C069A" w:rsidRPr="002C069A">
        <w:rPr>
          <w:lang w:val="ru-RU"/>
        </w:rPr>
        <w:t xml:space="preserve">, </w:t>
      </w:r>
      <w:r w:rsidR="002C069A">
        <w:rPr>
          <w:lang w:val="ru-RU"/>
        </w:rPr>
        <w:t>Комитет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смог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извлечь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пользу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из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мнения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Оценочного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органа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о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случаях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диалога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даже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после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того</w:t>
      </w:r>
      <w:r w:rsidR="002C069A" w:rsidRPr="002C069A">
        <w:rPr>
          <w:lang w:val="ru-RU"/>
        </w:rPr>
        <w:t xml:space="preserve">, </w:t>
      </w:r>
      <w:r w:rsidR="002C069A">
        <w:rPr>
          <w:lang w:val="ru-RU"/>
        </w:rPr>
        <w:t>как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>последний</w:t>
      </w:r>
      <w:r w:rsidR="002C069A" w:rsidRPr="002C069A">
        <w:rPr>
          <w:lang w:val="ru-RU"/>
        </w:rPr>
        <w:t xml:space="preserve"> </w:t>
      </w:r>
      <w:r w:rsidR="002C069A">
        <w:rPr>
          <w:lang w:val="ru-RU"/>
        </w:rPr>
        <w:t xml:space="preserve">завершил свою оценку в июне 2019 г. Оценочный орган посчитал, что </w:t>
      </w:r>
      <w:r w:rsidR="00DE1FAF">
        <w:rPr>
          <w:lang w:val="ru-RU"/>
        </w:rPr>
        <w:t>процесс диалога повысил его уверенность в своих решениях. В</w:t>
      </w:r>
      <w:r w:rsidR="00DE1FAF" w:rsidRPr="00543A3F">
        <w:rPr>
          <w:lang w:val="ru-RU"/>
        </w:rPr>
        <w:t xml:space="preserve"> </w:t>
      </w:r>
      <w:r w:rsidR="00DE1FAF">
        <w:rPr>
          <w:lang w:val="ru-RU"/>
        </w:rPr>
        <w:t>свою</w:t>
      </w:r>
      <w:r w:rsidR="00DE1FAF" w:rsidRPr="00543A3F">
        <w:rPr>
          <w:lang w:val="ru-RU"/>
        </w:rPr>
        <w:t xml:space="preserve"> </w:t>
      </w:r>
      <w:r w:rsidR="00DE1FAF">
        <w:rPr>
          <w:lang w:val="ru-RU"/>
        </w:rPr>
        <w:t>очередь</w:t>
      </w:r>
      <w:r w:rsidR="00DE1FAF" w:rsidRPr="00543A3F">
        <w:rPr>
          <w:lang w:val="ru-RU"/>
        </w:rPr>
        <w:t xml:space="preserve">, </w:t>
      </w:r>
      <w:r w:rsidR="00DE1FAF">
        <w:rPr>
          <w:lang w:val="ru-RU"/>
        </w:rPr>
        <w:t>Комитет</w:t>
      </w:r>
      <w:r w:rsidR="00DE1FAF" w:rsidRPr="00543A3F">
        <w:rPr>
          <w:lang w:val="ru-RU"/>
        </w:rPr>
        <w:t xml:space="preserve"> </w:t>
      </w:r>
      <w:r w:rsidR="00DE1FAF">
        <w:rPr>
          <w:lang w:val="ru-RU"/>
        </w:rPr>
        <w:t>заверил</w:t>
      </w:r>
      <w:r w:rsidR="00DE1FAF" w:rsidRPr="00543A3F">
        <w:rPr>
          <w:lang w:val="ru-RU"/>
        </w:rPr>
        <w:t xml:space="preserve">, </w:t>
      </w:r>
      <w:r w:rsidR="00DE1FAF">
        <w:rPr>
          <w:lang w:val="ru-RU"/>
        </w:rPr>
        <w:t>что</w:t>
      </w:r>
      <w:r w:rsidR="00DE1FAF" w:rsidRPr="00543A3F">
        <w:rPr>
          <w:lang w:val="ru-RU"/>
        </w:rPr>
        <w:t xml:space="preserve"> </w:t>
      </w:r>
      <w:r w:rsidR="00DE1FAF">
        <w:rPr>
          <w:lang w:val="ru-RU"/>
        </w:rPr>
        <w:t>номинации</w:t>
      </w:r>
      <w:r w:rsidR="00DE1FAF" w:rsidRPr="00543A3F">
        <w:rPr>
          <w:lang w:val="ru-RU"/>
        </w:rPr>
        <w:t xml:space="preserve">, </w:t>
      </w:r>
      <w:r w:rsidR="00543A3F">
        <w:rPr>
          <w:lang w:val="ru-RU"/>
        </w:rPr>
        <w:t>воспользовавшиеся</w:t>
      </w:r>
      <w:r w:rsidR="00543A3F" w:rsidRPr="00543A3F">
        <w:rPr>
          <w:lang w:val="ru-RU"/>
        </w:rPr>
        <w:t xml:space="preserve"> </w:t>
      </w:r>
      <w:r w:rsidR="00543A3F">
        <w:rPr>
          <w:lang w:val="ru-RU"/>
        </w:rPr>
        <w:t>процессом</w:t>
      </w:r>
      <w:r w:rsidR="00543A3F" w:rsidRPr="00543A3F">
        <w:rPr>
          <w:lang w:val="ru-RU"/>
        </w:rPr>
        <w:t xml:space="preserve"> </w:t>
      </w:r>
      <w:r w:rsidR="00543A3F">
        <w:rPr>
          <w:lang w:val="ru-RU"/>
        </w:rPr>
        <w:t>диалога</w:t>
      </w:r>
      <w:r w:rsidR="00543A3F" w:rsidRPr="00543A3F">
        <w:rPr>
          <w:lang w:val="ru-RU"/>
        </w:rPr>
        <w:t xml:space="preserve">, </w:t>
      </w:r>
      <w:r w:rsidR="00543A3F">
        <w:rPr>
          <w:lang w:val="ru-RU"/>
        </w:rPr>
        <w:t>не</w:t>
      </w:r>
      <w:r w:rsidR="00543A3F" w:rsidRPr="00543A3F">
        <w:rPr>
          <w:lang w:val="ru-RU"/>
        </w:rPr>
        <w:t xml:space="preserve"> </w:t>
      </w:r>
      <w:r w:rsidR="00543A3F">
        <w:rPr>
          <w:lang w:val="ru-RU"/>
        </w:rPr>
        <w:t>обязательно</w:t>
      </w:r>
      <w:r w:rsidR="00543A3F" w:rsidRPr="00543A3F">
        <w:rPr>
          <w:lang w:val="ru-RU"/>
        </w:rPr>
        <w:t xml:space="preserve"> </w:t>
      </w:r>
      <w:r w:rsidR="00543A3F">
        <w:rPr>
          <w:lang w:val="ru-RU"/>
        </w:rPr>
        <w:t>должны</w:t>
      </w:r>
      <w:r w:rsidR="00543A3F" w:rsidRPr="00543A3F">
        <w:rPr>
          <w:lang w:val="ru-RU"/>
        </w:rPr>
        <w:t xml:space="preserve"> </w:t>
      </w:r>
      <w:r w:rsidR="00543A3F">
        <w:rPr>
          <w:lang w:val="ru-RU"/>
        </w:rPr>
        <w:t>ждать</w:t>
      </w:r>
      <w:r w:rsidR="00543A3F" w:rsidRPr="00543A3F">
        <w:rPr>
          <w:lang w:val="ru-RU"/>
        </w:rPr>
        <w:t xml:space="preserve"> </w:t>
      </w:r>
      <w:r w:rsidR="00543A3F">
        <w:rPr>
          <w:lang w:val="ru-RU"/>
        </w:rPr>
        <w:t>дополнительного двухлетнего периода для повторной оценки.</w:t>
      </w:r>
    </w:p>
    <w:p w14:paraId="27B2A42D" w14:textId="00AAF991" w:rsidR="007B47CD" w:rsidRPr="00EF51F1" w:rsidRDefault="005B7DF5" w:rsidP="008604FA">
      <w:pPr>
        <w:pStyle w:val="COMPara"/>
        <w:numPr>
          <w:ilvl w:val="0"/>
          <w:numId w:val="19"/>
        </w:numPr>
        <w:ind w:left="540" w:hanging="540"/>
        <w:jc w:val="both"/>
        <w:rPr>
          <w:color w:val="000000" w:themeColor="text1"/>
          <w:lang w:val="ru-RU"/>
        </w:rPr>
      </w:pPr>
      <w:r>
        <w:rPr>
          <w:lang w:val="ru-RU"/>
        </w:rPr>
        <w:t>Исходя</w:t>
      </w:r>
      <w:r w:rsidRPr="005153C6">
        <w:rPr>
          <w:lang w:val="ru-RU"/>
        </w:rPr>
        <w:t xml:space="preserve"> </w:t>
      </w:r>
      <w:r>
        <w:rPr>
          <w:lang w:val="ru-RU"/>
        </w:rPr>
        <w:t>из</w:t>
      </w:r>
      <w:r w:rsidRPr="005153C6">
        <w:rPr>
          <w:lang w:val="ru-RU"/>
        </w:rPr>
        <w:t xml:space="preserve"> </w:t>
      </w:r>
      <w:r>
        <w:rPr>
          <w:lang w:val="ru-RU"/>
        </w:rPr>
        <w:t>позитивного</w:t>
      </w:r>
      <w:r w:rsidRPr="005153C6">
        <w:rPr>
          <w:lang w:val="ru-RU"/>
        </w:rPr>
        <w:t xml:space="preserve"> </w:t>
      </w:r>
      <w:r>
        <w:rPr>
          <w:lang w:val="ru-RU"/>
        </w:rPr>
        <w:t>опыта</w:t>
      </w:r>
      <w:r w:rsidRPr="005153C6">
        <w:rPr>
          <w:lang w:val="ru-RU"/>
        </w:rPr>
        <w:t xml:space="preserve"> </w:t>
      </w:r>
      <w:r>
        <w:rPr>
          <w:lang w:val="ru-RU"/>
        </w:rPr>
        <w:t>цикла</w:t>
      </w:r>
      <w:r w:rsidRPr="005153C6">
        <w:rPr>
          <w:lang w:val="ru-RU"/>
        </w:rPr>
        <w:t xml:space="preserve"> 2019 </w:t>
      </w:r>
      <w:r>
        <w:rPr>
          <w:lang w:val="ru-RU"/>
        </w:rPr>
        <w:t>года</w:t>
      </w:r>
      <w:r w:rsidR="00F64DF8">
        <w:rPr>
          <w:lang w:val="ru-RU"/>
        </w:rPr>
        <w:t xml:space="preserve"> относительно</w:t>
      </w:r>
      <w:r w:rsidRPr="005153C6">
        <w:rPr>
          <w:lang w:val="ru-RU"/>
        </w:rPr>
        <w:t xml:space="preserve"> </w:t>
      </w:r>
      <w:r>
        <w:rPr>
          <w:lang w:val="ru-RU"/>
        </w:rPr>
        <w:t>процесса</w:t>
      </w:r>
      <w:r w:rsidRPr="005153C6">
        <w:rPr>
          <w:lang w:val="ru-RU"/>
        </w:rPr>
        <w:t xml:space="preserve"> </w:t>
      </w:r>
      <w:r>
        <w:rPr>
          <w:lang w:val="ru-RU"/>
        </w:rPr>
        <w:t>диалога</w:t>
      </w:r>
      <w:r w:rsidRPr="005153C6">
        <w:rPr>
          <w:lang w:val="ru-RU"/>
        </w:rPr>
        <w:t xml:space="preserve">, </w:t>
      </w:r>
      <w:r w:rsidR="005153C6">
        <w:rPr>
          <w:lang w:val="ru-RU"/>
        </w:rPr>
        <w:t>Комитет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на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своей</w:t>
      </w:r>
      <w:r w:rsidR="005153C6" w:rsidRPr="005153C6">
        <w:rPr>
          <w:lang w:val="ru-RU"/>
        </w:rPr>
        <w:t xml:space="preserve"> </w:t>
      </w:r>
      <w:r>
        <w:rPr>
          <w:lang w:val="ru-RU"/>
        </w:rPr>
        <w:t>четырнадцатой</w:t>
      </w:r>
      <w:r w:rsidRPr="005153C6">
        <w:rPr>
          <w:lang w:val="ru-RU"/>
        </w:rPr>
        <w:t xml:space="preserve"> </w:t>
      </w:r>
      <w:r>
        <w:rPr>
          <w:lang w:val="ru-RU"/>
        </w:rPr>
        <w:t>сессии</w:t>
      </w:r>
      <w:r w:rsidRPr="005153C6">
        <w:rPr>
          <w:lang w:val="ru-RU"/>
        </w:rPr>
        <w:t xml:space="preserve"> </w:t>
      </w:r>
      <w:r w:rsidR="005153C6">
        <w:rPr>
          <w:lang w:val="ru-RU"/>
        </w:rPr>
        <w:t>постановил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предложить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восьмой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сессии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Генеральной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ассамблеи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>ряд</w:t>
      </w:r>
      <w:r w:rsidR="005153C6" w:rsidRPr="005153C6">
        <w:rPr>
          <w:lang w:val="ru-RU"/>
        </w:rPr>
        <w:t xml:space="preserve"> </w:t>
      </w:r>
      <w:r w:rsidR="005153C6">
        <w:rPr>
          <w:lang w:val="ru-RU"/>
        </w:rPr>
        <w:t xml:space="preserve">поправок к главе </w:t>
      </w:r>
      <w:r w:rsidR="007B47CD" w:rsidRPr="001561BA">
        <w:rPr>
          <w:color w:val="000000" w:themeColor="text1"/>
        </w:rPr>
        <w:t>I</w:t>
      </w:r>
      <w:r w:rsidR="007B47CD" w:rsidRPr="005153C6">
        <w:rPr>
          <w:color w:val="000000" w:themeColor="text1"/>
          <w:lang w:val="ru-RU"/>
        </w:rPr>
        <w:t xml:space="preserve">.15 </w:t>
      </w:r>
      <w:r w:rsidR="005153C6">
        <w:rPr>
          <w:color w:val="000000" w:themeColor="text1"/>
          <w:lang w:val="ru-RU"/>
        </w:rPr>
        <w:t xml:space="preserve">Оперативного руководства, представленных в приложении к проекту резолюции </w:t>
      </w:r>
      <w:r w:rsidR="00E25E00" w:rsidRPr="005153C6">
        <w:rPr>
          <w:color w:val="000000" w:themeColor="text1"/>
          <w:lang w:val="ru-RU"/>
        </w:rPr>
        <w:t>(</w:t>
      </w:r>
      <w:hyperlink r:id="rId16" w:history="1">
        <w:r w:rsidR="007019E5">
          <w:rPr>
            <w:rStyle w:val="Lienhypertexte"/>
            <w:lang w:val="ru-RU"/>
          </w:rPr>
          <w:t>решение</w:t>
        </w:r>
        <w:r w:rsidR="00E25E00" w:rsidRPr="005153C6">
          <w:rPr>
            <w:rStyle w:val="Lienhypertexte"/>
            <w:lang w:val="ru-RU"/>
          </w:rPr>
          <w:t xml:space="preserve"> 14.</w:t>
        </w:r>
        <w:r w:rsidR="00E25E00" w:rsidRPr="00FF5F61">
          <w:rPr>
            <w:rStyle w:val="Lienhypertexte"/>
          </w:rPr>
          <w:t>COM</w:t>
        </w:r>
        <w:r w:rsidR="00E25E00" w:rsidRPr="005153C6">
          <w:rPr>
            <w:rStyle w:val="Lienhypertexte"/>
            <w:lang w:val="ru-RU"/>
          </w:rPr>
          <w:t xml:space="preserve"> 14</w:t>
        </w:r>
      </w:hyperlink>
      <w:r w:rsidR="00E25E00" w:rsidRPr="005153C6">
        <w:rPr>
          <w:color w:val="000000" w:themeColor="text1"/>
          <w:lang w:val="ru-RU"/>
        </w:rPr>
        <w:t xml:space="preserve"> </w:t>
      </w:r>
      <w:r w:rsidR="007019E5">
        <w:rPr>
          <w:color w:val="000000" w:themeColor="text1"/>
          <w:lang w:val="ru-RU"/>
        </w:rPr>
        <w:t>и</w:t>
      </w:r>
      <w:r w:rsidR="00E25E00" w:rsidRPr="005153C6">
        <w:rPr>
          <w:color w:val="000000" w:themeColor="text1"/>
          <w:lang w:val="ru-RU"/>
        </w:rPr>
        <w:t xml:space="preserve"> </w:t>
      </w:r>
      <w:hyperlink r:id="rId17" w:history="1">
        <w:r w:rsidR="007019E5">
          <w:rPr>
            <w:rStyle w:val="Lienhypertexte"/>
            <w:lang w:val="ru-RU"/>
          </w:rPr>
          <w:t>решение</w:t>
        </w:r>
        <w:r w:rsidR="008604FA">
          <w:rPr>
            <w:rStyle w:val="Lienhypertexte"/>
            <w:lang w:val="fr-FR"/>
          </w:rPr>
          <w:t> </w:t>
        </w:r>
        <w:r w:rsidR="00E25E00" w:rsidRPr="005153C6">
          <w:rPr>
            <w:rStyle w:val="Lienhypertexte"/>
            <w:lang w:val="ru-RU"/>
          </w:rPr>
          <w:t>14</w:t>
        </w:r>
        <w:r w:rsidR="000E2023" w:rsidRPr="005153C6">
          <w:rPr>
            <w:rStyle w:val="Lienhypertexte"/>
            <w:lang w:val="ru-RU"/>
          </w:rPr>
          <w:t>.</w:t>
        </w:r>
        <w:r w:rsidR="00E25E00" w:rsidRPr="00FF5F61">
          <w:rPr>
            <w:rStyle w:val="Lienhypertexte"/>
          </w:rPr>
          <w:t>COM</w:t>
        </w:r>
        <w:r w:rsidR="00E25E00" w:rsidRPr="005153C6">
          <w:rPr>
            <w:rStyle w:val="Lienhypertexte"/>
            <w:lang w:val="ru-RU"/>
          </w:rPr>
          <w:t xml:space="preserve"> 16</w:t>
        </w:r>
      </w:hyperlink>
      <w:r w:rsidR="00E25E00" w:rsidRPr="005153C6">
        <w:rPr>
          <w:color w:val="000000" w:themeColor="text1"/>
          <w:lang w:val="ru-RU"/>
        </w:rPr>
        <w:t>)</w:t>
      </w:r>
      <w:r w:rsidR="002A41FD" w:rsidRPr="005153C6">
        <w:rPr>
          <w:color w:val="000000" w:themeColor="text1"/>
          <w:lang w:val="ru-RU"/>
        </w:rPr>
        <w:t>.</w:t>
      </w:r>
      <w:r w:rsidR="007B47CD" w:rsidRPr="005153C6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Включение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этого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промежуточного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этапа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в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цикл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оценки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позволит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Оценочному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органу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изменять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и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дорабатывать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свои</w:t>
      </w:r>
      <w:r w:rsidR="0067742E" w:rsidRPr="00937188">
        <w:rPr>
          <w:color w:val="000000" w:themeColor="text1"/>
          <w:lang w:val="ru-RU"/>
        </w:rPr>
        <w:t xml:space="preserve"> </w:t>
      </w:r>
      <w:r w:rsidR="0067742E">
        <w:rPr>
          <w:color w:val="000000" w:themeColor="text1"/>
          <w:lang w:val="ru-RU"/>
        </w:rPr>
        <w:t>рекомендации</w:t>
      </w:r>
      <w:r w:rsidR="0067742E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по</w:t>
      </w:r>
      <w:r w:rsidR="0067742E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досье</w:t>
      </w:r>
      <w:r w:rsidR="00937188" w:rsidRPr="00937188">
        <w:rPr>
          <w:color w:val="000000" w:themeColor="text1"/>
          <w:lang w:val="ru-RU"/>
        </w:rPr>
        <w:t xml:space="preserve">, </w:t>
      </w:r>
      <w:r w:rsidR="00937188">
        <w:rPr>
          <w:color w:val="000000" w:themeColor="text1"/>
          <w:lang w:val="ru-RU"/>
        </w:rPr>
        <w:t>участвующим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в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процессе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диалога</w:t>
      </w:r>
      <w:r w:rsidR="00937188" w:rsidRPr="00937188">
        <w:rPr>
          <w:color w:val="000000" w:themeColor="text1"/>
          <w:lang w:val="ru-RU"/>
        </w:rPr>
        <w:t xml:space="preserve">, </w:t>
      </w:r>
      <w:r w:rsidR="00937188">
        <w:rPr>
          <w:color w:val="000000" w:themeColor="text1"/>
          <w:lang w:val="ru-RU"/>
        </w:rPr>
        <w:t>во время своего третьего и последнего совещания. Однако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в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отношении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досье</w:t>
      </w:r>
      <w:r w:rsidR="00937188" w:rsidRPr="00937188">
        <w:rPr>
          <w:color w:val="000000" w:themeColor="text1"/>
          <w:lang w:val="ru-RU"/>
        </w:rPr>
        <w:t xml:space="preserve">, </w:t>
      </w:r>
      <w:r w:rsidR="00937188">
        <w:rPr>
          <w:color w:val="000000" w:themeColor="text1"/>
          <w:lang w:val="ru-RU"/>
        </w:rPr>
        <w:t>не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 w:rsidRPr="00867686">
        <w:rPr>
          <w:color w:val="000000" w:themeColor="text1"/>
          <w:lang w:val="ru-RU"/>
        </w:rPr>
        <w:t>участвующих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в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процессе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диалога</w:t>
      </w:r>
      <w:r w:rsidR="00937188" w:rsidRPr="00937188">
        <w:rPr>
          <w:color w:val="000000" w:themeColor="text1"/>
          <w:lang w:val="ru-RU"/>
        </w:rPr>
        <w:t xml:space="preserve">, </w:t>
      </w:r>
      <w:r w:rsidR="00937188">
        <w:rPr>
          <w:color w:val="000000" w:themeColor="text1"/>
          <w:lang w:val="ru-RU"/>
        </w:rPr>
        <w:t>Оценочный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орган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будет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продолжать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следовать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существующим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процедуре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и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графику</w:t>
      </w:r>
      <w:r w:rsidR="00937188" w:rsidRPr="00937188">
        <w:rPr>
          <w:color w:val="000000" w:themeColor="text1"/>
          <w:lang w:val="ru-RU"/>
        </w:rPr>
        <w:t xml:space="preserve"> </w:t>
      </w:r>
      <w:r w:rsidR="00937188">
        <w:rPr>
          <w:color w:val="000000" w:themeColor="text1"/>
          <w:lang w:val="ru-RU"/>
        </w:rPr>
        <w:t>оценки, завершая оценку на своем втором совещании</w:t>
      </w:r>
      <w:r w:rsidR="007B47CD" w:rsidRPr="00EF51F1">
        <w:rPr>
          <w:color w:val="000000" w:themeColor="text1"/>
          <w:lang w:val="ru-RU"/>
        </w:rPr>
        <w:t>.</w:t>
      </w:r>
    </w:p>
    <w:p w14:paraId="42C2EE80" w14:textId="50452A4F" w:rsidR="007B47CD" w:rsidRPr="006E51B5" w:rsidRDefault="00B86050" w:rsidP="007B47CD">
      <w:pPr>
        <w:pStyle w:val="GAPara"/>
        <w:numPr>
          <w:ilvl w:val="0"/>
          <w:numId w:val="19"/>
        </w:numPr>
        <w:ind w:left="567" w:hanging="567"/>
        <w:jc w:val="both"/>
        <w:rPr>
          <w:lang w:val="ru-RU"/>
        </w:rPr>
      </w:pPr>
      <w:r>
        <w:rPr>
          <w:lang w:val="ru-RU"/>
        </w:rPr>
        <w:t>Генеральной ассамблее предлагается принять резолюцию следующего содержания</w:t>
      </w:r>
      <w:r w:rsidR="007B47CD" w:rsidRPr="006E51B5">
        <w:rPr>
          <w:lang w:val="ru-RU"/>
        </w:rPr>
        <w:t>:</w:t>
      </w:r>
    </w:p>
    <w:p w14:paraId="59DFC4B9" w14:textId="09619FE7" w:rsidR="008A1ED4" w:rsidRPr="00B86050" w:rsidRDefault="00B86050" w:rsidP="008A1ED4">
      <w:pPr>
        <w:pStyle w:val="GATitleResolution"/>
        <w:rPr>
          <w:lang w:val="ru-RU"/>
        </w:rPr>
      </w:pPr>
      <w:r>
        <w:rPr>
          <w:lang w:val="ru-RU"/>
        </w:rPr>
        <w:t>ПРОЕКТ РЕЗОЛЮЦИИ</w:t>
      </w:r>
      <w:r w:rsidR="00F010E0" w:rsidRPr="00B86050">
        <w:rPr>
          <w:lang w:val="ru-RU"/>
        </w:rPr>
        <w:t xml:space="preserve"> 8</w:t>
      </w:r>
      <w:r w:rsidR="008A1ED4" w:rsidRPr="00B86050">
        <w:rPr>
          <w:lang w:val="ru-RU"/>
        </w:rPr>
        <w:t>.</w:t>
      </w:r>
      <w:r w:rsidR="008A1ED4">
        <w:t>GA</w:t>
      </w:r>
      <w:r w:rsidR="008A1ED4" w:rsidRPr="00B86050">
        <w:rPr>
          <w:lang w:val="ru-RU"/>
        </w:rPr>
        <w:t xml:space="preserve"> </w:t>
      </w:r>
      <w:r w:rsidR="003C0F85">
        <w:rPr>
          <w:lang w:val="ru-RU"/>
        </w:rPr>
        <w:t>10</w:t>
      </w:r>
    </w:p>
    <w:p w14:paraId="788AE34A" w14:textId="38F4BE7E" w:rsidR="008A1ED4" w:rsidRPr="00B86050" w:rsidRDefault="00B86050" w:rsidP="008A1ED4">
      <w:pPr>
        <w:pStyle w:val="GAPreambulaResolution"/>
        <w:rPr>
          <w:rFonts w:eastAsia="SimSun"/>
          <w:lang w:val="ru-RU"/>
        </w:rPr>
      </w:pPr>
      <w:r>
        <w:rPr>
          <w:lang w:val="ru-RU"/>
        </w:rPr>
        <w:t>Генеральная ассамблея</w:t>
      </w:r>
      <w:r w:rsidR="008A1ED4" w:rsidRPr="00B86050">
        <w:rPr>
          <w:lang w:val="ru-RU"/>
        </w:rPr>
        <w:t>,</w:t>
      </w:r>
    </w:p>
    <w:p w14:paraId="033E9848" w14:textId="157D4B47" w:rsidR="008A1ED4" w:rsidRPr="001561BA" w:rsidRDefault="00B86050" w:rsidP="008A1ED4">
      <w:pPr>
        <w:pStyle w:val="COMParaDecision"/>
        <w:numPr>
          <w:ilvl w:val="0"/>
          <w:numId w:val="10"/>
        </w:numPr>
        <w:ind w:left="1134" w:hanging="567"/>
        <w:jc w:val="left"/>
        <w:rPr>
          <w:color w:val="000000" w:themeColor="text1"/>
        </w:rPr>
      </w:pPr>
      <w:r>
        <w:rPr>
          <w:color w:val="000000" w:themeColor="text1"/>
          <w:lang w:val="ru-RU"/>
        </w:rPr>
        <w:t>Рассмотрев</w:t>
      </w:r>
      <w:r w:rsidR="008A1ED4" w:rsidRPr="001561BA">
        <w:rPr>
          <w:color w:val="000000" w:themeColor="text1"/>
          <w:u w:val="none"/>
        </w:rPr>
        <w:t xml:space="preserve"> </w:t>
      </w:r>
      <w:r>
        <w:rPr>
          <w:color w:val="000000" w:themeColor="text1"/>
          <w:u w:val="none"/>
          <w:lang w:val="ru-RU"/>
        </w:rPr>
        <w:t>документ</w:t>
      </w:r>
      <w:r w:rsidR="00F010E0" w:rsidRPr="001561BA">
        <w:rPr>
          <w:color w:val="000000" w:themeColor="text1"/>
          <w:u w:val="none"/>
        </w:rPr>
        <w:t xml:space="preserve"> LHE/20</w:t>
      </w:r>
      <w:r w:rsidR="008A1ED4" w:rsidRPr="001561BA">
        <w:rPr>
          <w:color w:val="000000" w:themeColor="text1"/>
          <w:u w:val="none"/>
        </w:rPr>
        <w:t>/</w:t>
      </w:r>
      <w:r w:rsidR="00F010E0" w:rsidRPr="001561BA">
        <w:rPr>
          <w:color w:val="000000" w:themeColor="text1"/>
          <w:u w:val="none"/>
        </w:rPr>
        <w:t>8</w:t>
      </w:r>
      <w:r w:rsidR="008A1ED4" w:rsidRPr="001561BA">
        <w:rPr>
          <w:color w:val="000000" w:themeColor="text1"/>
          <w:u w:val="none"/>
        </w:rPr>
        <w:t>.GA/</w:t>
      </w:r>
      <w:r w:rsidR="003C0F85">
        <w:rPr>
          <w:color w:val="000000" w:themeColor="text1"/>
          <w:u w:val="none"/>
          <w:lang w:val="ru-RU"/>
        </w:rPr>
        <w:t>10</w:t>
      </w:r>
      <w:r w:rsidR="00B26DB9" w:rsidRPr="001561BA">
        <w:rPr>
          <w:color w:val="000000" w:themeColor="text1"/>
          <w:u w:val="none"/>
        </w:rPr>
        <w:t>,</w:t>
      </w:r>
    </w:p>
    <w:p w14:paraId="0FD7AA6C" w14:textId="02CDA838" w:rsidR="00B26DB9" w:rsidRPr="00232013" w:rsidRDefault="004D2F9A" w:rsidP="00E5318D">
      <w:pPr>
        <w:pStyle w:val="COMParaDecision"/>
        <w:numPr>
          <w:ilvl w:val="0"/>
          <w:numId w:val="10"/>
        </w:numPr>
        <w:ind w:left="1134" w:hanging="567"/>
        <w:rPr>
          <w:color w:val="000000" w:themeColor="text1"/>
          <w:u w:val="none"/>
          <w:lang w:val="ru-RU"/>
        </w:rPr>
      </w:pPr>
      <w:r>
        <w:rPr>
          <w:color w:val="000000" w:themeColor="text1"/>
          <w:lang w:val="ru-RU"/>
        </w:rPr>
        <w:t>Признаёт</w:t>
      </w:r>
      <w:r w:rsidR="00CE6410" w:rsidRPr="00232013">
        <w:rPr>
          <w:color w:val="000000" w:themeColor="text1"/>
          <w:u w:val="none"/>
          <w:lang w:val="ru-RU"/>
        </w:rPr>
        <w:t xml:space="preserve"> </w:t>
      </w:r>
      <w:r>
        <w:rPr>
          <w:color w:val="000000" w:themeColor="text1"/>
          <w:u w:val="none"/>
          <w:lang w:val="ru-RU"/>
        </w:rPr>
        <w:t>положительный</w:t>
      </w:r>
      <w:r w:rsidRPr="00232013">
        <w:rPr>
          <w:color w:val="000000" w:themeColor="text1"/>
          <w:u w:val="none"/>
          <w:lang w:val="ru-RU"/>
        </w:rPr>
        <w:t xml:space="preserve"> </w:t>
      </w:r>
      <w:r>
        <w:rPr>
          <w:color w:val="000000" w:themeColor="text1"/>
          <w:u w:val="none"/>
          <w:lang w:val="ru-RU"/>
        </w:rPr>
        <w:t>опыт</w:t>
      </w:r>
      <w:r w:rsidRPr="00232013">
        <w:rPr>
          <w:color w:val="000000" w:themeColor="text1"/>
          <w:u w:val="none"/>
          <w:lang w:val="ru-RU"/>
        </w:rPr>
        <w:t xml:space="preserve">, </w:t>
      </w:r>
      <w:r>
        <w:rPr>
          <w:color w:val="000000" w:themeColor="text1"/>
          <w:u w:val="none"/>
          <w:lang w:val="ru-RU"/>
        </w:rPr>
        <w:t>который</w:t>
      </w:r>
      <w:r w:rsidRPr="00232013">
        <w:rPr>
          <w:color w:val="000000" w:themeColor="text1"/>
          <w:u w:val="none"/>
          <w:lang w:val="ru-RU"/>
        </w:rPr>
        <w:t xml:space="preserve"> </w:t>
      </w:r>
      <w:r w:rsidR="00EF51F1">
        <w:rPr>
          <w:color w:val="000000" w:themeColor="text1"/>
          <w:u w:val="none"/>
          <w:lang w:val="ru-RU"/>
        </w:rPr>
        <w:t>процесс</w:t>
      </w:r>
      <w:r w:rsidR="00EF51F1" w:rsidRPr="00232013">
        <w:rPr>
          <w:color w:val="000000" w:themeColor="text1"/>
          <w:u w:val="none"/>
          <w:lang w:val="ru-RU"/>
        </w:rPr>
        <w:t xml:space="preserve"> «</w:t>
      </w:r>
      <w:r w:rsidR="00EF51F1">
        <w:rPr>
          <w:color w:val="000000" w:themeColor="text1"/>
          <w:u w:val="none"/>
          <w:lang w:val="ru-RU"/>
        </w:rPr>
        <w:t>предварительного</w:t>
      </w:r>
      <w:r w:rsidR="00EF51F1" w:rsidRPr="00232013">
        <w:rPr>
          <w:color w:val="000000" w:themeColor="text1"/>
          <w:u w:val="none"/>
          <w:lang w:val="ru-RU"/>
        </w:rPr>
        <w:t xml:space="preserve"> </w:t>
      </w:r>
      <w:r w:rsidR="00EF51F1">
        <w:rPr>
          <w:color w:val="000000" w:themeColor="text1"/>
          <w:u w:val="none"/>
          <w:lang w:val="ru-RU"/>
        </w:rPr>
        <w:t>диалога</w:t>
      </w:r>
      <w:r w:rsidR="00EF51F1" w:rsidRPr="00232013">
        <w:rPr>
          <w:color w:val="000000" w:themeColor="text1"/>
          <w:u w:val="none"/>
          <w:lang w:val="ru-RU"/>
        </w:rPr>
        <w:t xml:space="preserve"> </w:t>
      </w:r>
      <w:r w:rsidR="00EF51F1">
        <w:rPr>
          <w:color w:val="000000" w:themeColor="text1"/>
          <w:u w:val="none"/>
          <w:lang w:val="ru-RU"/>
        </w:rPr>
        <w:t>на</w:t>
      </w:r>
      <w:r w:rsidR="00EF51F1" w:rsidRPr="00232013">
        <w:rPr>
          <w:color w:val="000000" w:themeColor="text1"/>
          <w:u w:val="none"/>
          <w:lang w:val="ru-RU"/>
        </w:rPr>
        <w:t xml:space="preserve"> </w:t>
      </w:r>
      <w:r w:rsidR="00EF51F1">
        <w:rPr>
          <w:color w:val="000000" w:themeColor="text1"/>
          <w:u w:val="none"/>
          <w:lang w:val="ru-RU"/>
        </w:rPr>
        <w:t>начальном</w:t>
      </w:r>
      <w:r w:rsidR="00EF51F1" w:rsidRPr="00232013">
        <w:rPr>
          <w:color w:val="000000" w:themeColor="text1"/>
          <w:u w:val="none"/>
          <w:lang w:val="ru-RU"/>
        </w:rPr>
        <w:t xml:space="preserve"> </w:t>
      </w:r>
      <w:r w:rsidR="00EF51F1">
        <w:rPr>
          <w:color w:val="000000" w:themeColor="text1"/>
          <w:u w:val="none"/>
          <w:lang w:val="ru-RU"/>
        </w:rPr>
        <w:t>этапе</w:t>
      </w:r>
      <w:r w:rsidR="00EF51F1" w:rsidRPr="00232013">
        <w:rPr>
          <w:color w:val="000000" w:themeColor="text1"/>
          <w:u w:val="none"/>
          <w:lang w:val="ru-RU"/>
        </w:rPr>
        <w:t xml:space="preserve">» </w:t>
      </w:r>
      <w:r w:rsidR="00D05124">
        <w:rPr>
          <w:color w:val="000000" w:themeColor="text1"/>
          <w:u w:val="none"/>
          <w:lang w:val="ru-RU"/>
        </w:rPr>
        <w:t>цикла</w:t>
      </w:r>
      <w:r w:rsidR="00D05124" w:rsidRPr="00232013">
        <w:rPr>
          <w:color w:val="000000" w:themeColor="text1"/>
          <w:u w:val="none"/>
          <w:lang w:val="ru-RU"/>
        </w:rPr>
        <w:t xml:space="preserve"> 2019 </w:t>
      </w:r>
      <w:r w:rsidR="00D05124">
        <w:rPr>
          <w:color w:val="000000" w:themeColor="text1"/>
          <w:u w:val="none"/>
          <w:lang w:val="ru-RU"/>
        </w:rPr>
        <w:t>года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привнес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в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процесс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оценки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и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включения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и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 w:rsidRPr="00742A89">
        <w:rPr>
          <w:color w:val="000000" w:themeColor="text1"/>
          <w:lang w:val="ru-RU"/>
        </w:rPr>
        <w:t>одобряет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предложение</w:t>
      </w:r>
      <w:r w:rsidR="00D05124" w:rsidRPr="00232013">
        <w:rPr>
          <w:color w:val="000000" w:themeColor="text1"/>
          <w:u w:val="none"/>
          <w:lang w:val="ru-RU"/>
        </w:rPr>
        <w:t xml:space="preserve"> </w:t>
      </w:r>
      <w:r w:rsidR="00F15DE6">
        <w:rPr>
          <w:color w:val="000000" w:themeColor="text1"/>
          <w:u w:val="none"/>
          <w:lang w:val="ru-RU"/>
        </w:rPr>
        <w:t>о</w:t>
      </w:r>
      <w:r w:rsidR="00F15DE6" w:rsidRPr="00232013">
        <w:rPr>
          <w:color w:val="000000" w:themeColor="text1"/>
          <w:u w:val="none"/>
          <w:lang w:val="ru-RU"/>
        </w:rPr>
        <w:t xml:space="preserve"> </w:t>
      </w:r>
      <w:r w:rsidR="00D05124">
        <w:rPr>
          <w:color w:val="000000" w:themeColor="text1"/>
          <w:u w:val="none"/>
          <w:lang w:val="ru-RU"/>
        </w:rPr>
        <w:t>включ</w:t>
      </w:r>
      <w:r w:rsidR="00F15DE6">
        <w:rPr>
          <w:color w:val="000000" w:themeColor="text1"/>
          <w:u w:val="none"/>
          <w:lang w:val="ru-RU"/>
        </w:rPr>
        <w:t>ении</w:t>
      </w:r>
      <w:r w:rsidR="00F15DE6" w:rsidRPr="00232013">
        <w:rPr>
          <w:color w:val="000000" w:themeColor="text1"/>
          <w:u w:val="none"/>
          <w:lang w:val="ru-RU"/>
        </w:rPr>
        <w:t xml:space="preserve"> </w:t>
      </w:r>
      <w:r w:rsidR="00F15DE6">
        <w:rPr>
          <w:color w:val="000000" w:themeColor="text1"/>
          <w:u w:val="none"/>
          <w:lang w:val="ru-RU"/>
        </w:rPr>
        <w:t>процесса</w:t>
      </w:r>
      <w:r w:rsidR="00F15DE6" w:rsidRPr="00232013">
        <w:rPr>
          <w:color w:val="000000" w:themeColor="text1"/>
          <w:u w:val="none"/>
          <w:lang w:val="ru-RU"/>
        </w:rPr>
        <w:t xml:space="preserve"> </w:t>
      </w:r>
      <w:r w:rsidR="00F15DE6">
        <w:rPr>
          <w:color w:val="000000" w:themeColor="text1"/>
          <w:u w:val="none"/>
          <w:lang w:val="ru-RU"/>
        </w:rPr>
        <w:t>дополнительного</w:t>
      </w:r>
      <w:r w:rsidR="00F15DE6" w:rsidRPr="00232013">
        <w:rPr>
          <w:color w:val="000000" w:themeColor="text1"/>
          <w:u w:val="none"/>
          <w:lang w:val="ru-RU"/>
        </w:rPr>
        <w:t xml:space="preserve"> </w:t>
      </w:r>
      <w:r w:rsidR="00F15DE6">
        <w:rPr>
          <w:color w:val="000000" w:themeColor="text1"/>
          <w:u w:val="none"/>
          <w:lang w:val="ru-RU"/>
        </w:rPr>
        <w:t>промежуточного</w:t>
      </w:r>
      <w:r w:rsidR="00F15DE6" w:rsidRPr="00232013">
        <w:rPr>
          <w:color w:val="000000" w:themeColor="text1"/>
          <w:u w:val="none"/>
          <w:lang w:val="ru-RU"/>
        </w:rPr>
        <w:t xml:space="preserve"> </w:t>
      </w:r>
      <w:r w:rsidR="00F15DE6">
        <w:rPr>
          <w:color w:val="000000" w:themeColor="text1"/>
          <w:u w:val="none"/>
          <w:lang w:val="ru-RU"/>
        </w:rPr>
        <w:t>диалога</w:t>
      </w:r>
      <w:r w:rsidR="00F15DE6" w:rsidRPr="00232013">
        <w:rPr>
          <w:color w:val="000000" w:themeColor="text1"/>
          <w:u w:val="none"/>
          <w:lang w:val="ru-RU"/>
        </w:rPr>
        <w:t xml:space="preserve"> </w:t>
      </w:r>
      <w:r w:rsidR="00F15DE6">
        <w:rPr>
          <w:color w:val="000000" w:themeColor="text1"/>
          <w:u w:val="none"/>
          <w:lang w:val="ru-RU"/>
        </w:rPr>
        <w:t>в номинационный цикл</w:t>
      </w:r>
      <w:r w:rsidR="00B26DB9" w:rsidRPr="00232013">
        <w:rPr>
          <w:color w:val="000000" w:themeColor="text1"/>
          <w:u w:val="none"/>
          <w:lang w:val="ru-RU"/>
        </w:rPr>
        <w:t>;</w:t>
      </w:r>
    </w:p>
    <w:p w14:paraId="784EE453" w14:textId="1B04D573" w:rsidR="008A1ED4" w:rsidRPr="007019E5" w:rsidRDefault="006E51B5" w:rsidP="006E51B5">
      <w:pPr>
        <w:pStyle w:val="COMParaDecision"/>
        <w:numPr>
          <w:ilvl w:val="0"/>
          <w:numId w:val="10"/>
        </w:numPr>
        <w:ind w:left="1134" w:hanging="56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Утверждает</w:t>
      </w:r>
      <w:r w:rsidR="00A85654" w:rsidRPr="007019E5">
        <w:rPr>
          <w:color w:val="000000" w:themeColor="text1"/>
          <w:u w:val="none"/>
          <w:lang w:val="ru-RU"/>
        </w:rPr>
        <w:t xml:space="preserve"> </w:t>
      </w:r>
      <w:r>
        <w:rPr>
          <w:color w:val="000000" w:themeColor="text1"/>
          <w:u w:val="none"/>
          <w:lang w:val="ru-RU"/>
        </w:rPr>
        <w:t>поправки</w:t>
      </w:r>
      <w:r w:rsidRPr="007019E5">
        <w:rPr>
          <w:color w:val="000000" w:themeColor="text1"/>
          <w:u w:val="none"/>
          <w:lang w:val="ru-RU"/>
        </w:rPr>
        <w:t xml:space="preserve"> </w:t>
      </w:r>
      <w:r>
        <w:rPr>
          <w:color w:val="000000" w:themeColor="text1"/>
          <w:u w:val="none"/>
          <w:lang w:val="ru-RU"/>
        </w:rPr>
        <w:t>к</w:t>
      </w:r>
      <w:r w:rsidRPr="007019E5">
        <w:rPr>
          <w:color w:val="000000" w:themeColor="text1"/>
          <w:u w:val="none"/>
          <w:lang w:val="ru-RU"/>
        </w:rPr>
        <w:t xml:space="preserve"> </w:t>
      </w:r>
      <w:r>
        <w:rPr>
          <w:color w:val="000000" w:themeColor="text1"/>
          <w:u w:val="none"/>
          <w:lang w:val="ru-RU"/>
        </w:rPr>
        <w:t>Оперативному</w:t>
      </w:r>
      <w:r w:rsidRPr="007019E5">
        <w:rPr>
          <w:color w:val="000000" w:themeColor="text1"/>
          <w:u w:val="none"/>
          <w:lang w:val="ru-RU"/>
        </w:rPr>
        <w:t xml:space="preserve"> </w:t>
      </w:r>
      <w:r>
        <w:rPr>
          <w:color w:val="000000" w:themeColor="text1"/>
          <w:u w:val="none"/>
          <w:lang w:val="ru-RU"/>
        </w:rPr>
        <w:t>руководству, прилагаемые к настоящей резолюции</w:t>
      </w:r>
      <w:r w:rsidR="00A85654" w:rsidRPr="007019E5">
        <w:rPr>
          <w:color w:val="000000" w:themeColor="text1"/>
          <w:u w:val="none"/>
          <w:lang w:val="ru-RU"/>
        </w:rPr>
        <w:t>.</w:t>
      </w:r>
    </w:p>
    <w:p w14:paraId="0635372A" w14:textId="77777777" w:rsidR="008A1ED4" w:rsidRPr="007019E5" w:rsidRDefault="008A1ED4" w:rsidP="008A1ED4">
      <w:pPr>
        <w:spacing w:after="120"/>
        <w:jc w:val="both"/>
        <w:rPr>
          <w:rFonts w:ascii="Arial" w:hAnsi="Arial" w:cs="Arial"/>
          <w:snapToGrid w:val="0"/>
          <w:sz w:val="22"/>
          <w:szCs w:val="22"/>
          <w:lang w:val="ru-RU" w:eastAsia="en-US"/>
        </w:rPr>
      </w:pPr>
    </w:p>
    <w:p w14:paraId="4291E893" w14:textId="77777777" w:rsidR="00510637" w:rsidRPr="007019E5" w:rsidRDefault="00510637" w:rsidP="008A1ED4">
      <w:pPr>
        <w:spacing w:after="120"/>
        <w:jc w:val="both"/>
        <w:rPr>
          <w:rFonts w:ascii="Arial" w:hAnsi="Arial" w:cs="Arial"/>
          <w:snapToGrid w:val="0"/>
          <w:sz w:val="22"/>
          <w:szCs w:val="22"/>
          <w:lang w:val="ru-RU" w:eastAsia="en-US"/>
        </w:rPr>
        <w:sectPr w:rsidR="00510637" w:rsidRPr="007019E5" w:rsidSect="0041353C">
          <w:headerReference w:type="even" r:id="rId18"/>
          <w:headerReference w:type="default" r:id="rId19"/>
          <w:headerReference w:type="first" r:id="rId20"/>
          <w:pgSz w:w="11906" w:h="16838" w:code="9"/>
          <w:pgMar w:top="1620" w:right="1134" w:bottom="1134" w:left="1134" w:header="397" w:footer="284" w:gutter="0"/>
          <w:cols w:space="708"/>
          <w:titlePg/>
          <w:docGrid w:linePitch="360"/>
        </w:sectPr>
      </w:pPr>
    </w:p>
    <w:p w14:paraId="72943095" w14:textId="77777777" w:rsidR="00510637" w:rsidRPr="007019E5" w:rsidRDefault="00510637" w:rsidP="008A1ED4">
      <w:pPr>
        <w:spacing w:after="120"/>
        <w:jc w:val="both"/>
        <w:rPr>
          <w:rFonts w:ascii="Arial" w:hAnsi="Arial" w:cs="Arial"/>
          <w:snapToGrid w:val="0"/>
          <w:sz w:val="22"/>
          <w:szCs w:val="22"/>
          <w:lang w:val="ru-RU" w:eastAsia="en-US"/>
        </w:rPr>
      </w:pPr>
    </w:p>
    <w:p w14:paraId="7C9B2DAE" w14:textId="307395CA" w:rsidR="00510637" w:rsidRPr="00510637" w:rsidRDefault="007019E5" w:rsidP="00FF5F61">
      <w:pPr>
        <w:pStyle w:val="Marge"/>
        <w:jc w:val="center"/>
        <w:rPr>
          <w:rFonts w:cs="Arial"/>
          <w:iCs/>
          <w:szCs w:val="22"/>
          <w:lang w:val="en-US"/>
        </w:rPr>
      </w:pPr>
      <w:r>
        <w:rPr>
          <w:b/>
          <w:bCs/>
          <w:lang w:val="ru-RU"/>
        </w:rPr>
        <w:t>ПРИЛОЖЕНИЕ</w:t>
      </w:r>
      <w:r w:rsidR="00F70F3C" w:rsidRPr="007019E5">
        <w:rPr>
          <w:lang w:val="ru-RU"/>
        </w:rPr>
        <w:br/>
      </w:r>
      <w:r>
        <w:rPr>
          <w:rFonts w:cs="Arial"/>
          <w:iCs/>
          <w:szCs w:val="22"/>
          <w:lang w:val="ru-RU"/>
        </w:rPr>
        <w:t>Предлагаемые поправки к Оперативному руководству по выполнению Конвенции</w:t>
      </w:r>
    </w:p>
    <w:p w14:paraId="68345E79" w14:textId="77777777" w:rsidR="00510637" w:rsidRPr="00510637" w:rsidRDefault="00510637" w:rsidP="00510637">
      <w:pPr>
        <w:spacing w:after="120"/>
        <w:jc w:val="both"/>
        <w:rPr>
          <w:rFonts w:ascii="Arial" w:hAnsi="Arial" w:cs="Arial"/>
          <w:snapToGrid w:val="0"/>
          <w:sz w:val="22"/>
          <w:szCs w:val="22"/>
          <w:u w:val="single"/>
          <w:lang w:val="en-GB" w:eastAsia="en-US"/>
        </w:rPr>
      </w:pPr>
    </w:p>
    <w:tbl>
      <w:tblPr>
        <w:tblStyle w:val="Grilledutableau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990"/>
        <w:gridCol w:w="4585"/>
        <w:gridCol w:w="597"/>
        <w:gridCol w:w="2113"/>
        <w:gridCol w:w="4357"/>
      </w:tblGrid>
      <w:tr w:rsidR="00510637" w:rsidRPr="00510637" w14:paraId="5BE265E8" w14:textId="77777777" w:rsidTr="008C5F63">
        <w:tc>
          <w:tcPr>
            <w:tcW w:w="222" w:type="pct"/>
            <w:shd w:val="clear" w:color="auto" w:fill="BFBFBF" w:themeFill="background1" w:themeFillShade="BF"/>
          </w:tcPr>
          <w:p w14:paraId="3C19484F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2303" w:type="pct"/>
            <w:gridSpan w:val="2"/>
            <w:shd w:val="clear" w:color="auto" w:fill="BFBFBF" w:themeFill="background1" w:themeFillShade="BF"/>
          </w:tcPr>
          <w:p w14:paraId="30F7DE4F" w14:textId="0E52DA6E" w:rsidR="00510637" w:rsidRPr="00510637" w:rsidRDefault="004B439C" w:rsidP="004B439C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Оперативное руководство</w:t>
            </w:r>
          </w:p>
        </w:tc>
        <w:tc>
          <w:tcPr>
            <w:tcW w:w="209" w:type="pct"/>
            <w:shd w:val="clear" w:color="auto" w:fill="BFBFBF" w:themeFill="background1" w:themeFillShade="BF"/>
          </w:tcPr>
          <w:p w14:paraId="30184DD9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2266" w:type="pct"/>
            <w:gridSpan w:val="2"/>
            <w:shd w:val="clear" w:color="auto" w:fill="BFBFBF" w:themeFill="background1" w:themeFillShade="BF"/>
          </w:tcPr>
          <w:p w14:paraId="2F6F4CCF" w14:textId="56C7597E" w:rsidR="00510637" w:rsidRPr="00510637" w:rsidRDefault="007019E5" w:rsidP="007019E5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Предлагаемые поправки</w:t>
            </w:r>
          </w:p>
        </w:tc>
      </w:tr>
      <w:tr w:rsidR="00510637" w:rsidRPr="00510637" w14:paraId="2A8981A6" w14:textId="77777777" w:rsidTr="008C5F63">
        <w:tc>
          <w:tcPr>
            <w:tcW w:w="222" w:type="pct"/>
          </w:tcPr>
          <w:p w14:paraId="176C64C7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I.15</w:t>
            </w:r>
          </w:p>
        </w:tc>
        <w:tc>
          <w:tcPr>
            <w:tcW w:w="2303" w:type="pct"/>
            <w:gridSpan w:val="2"/>
          </w:tcPr>
          <w:p w14:paraId="3462E48F" w14:textId="1E27B69D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График</w:t>
            </w:r>
            <w:r w:rsidR="00510637" w:rsidRPr="00510637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>обзор процедур</w:t>
            </w:r>
          </w:p>
        </w:tc>
        <w:tc>
          <w:tcPr>
            <w:tcW w:w="209" w:type="pct"/>
          </w:tcPr>
          <w:p w14:paraId="50E7199D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b/>
                <w:snapToGrid w:val="0"/>
                <w:sz w:val="22"/>
                <w:szCs w:val="22"/>
                <w:lang w:val="en-GB" w:eastAsia="en-US"/>
              </w:rPr>
              <w:t>I.15</w:t>
            </w:r>
          </w:p>
        </w:tc>
        <w:tc>
          <w:tcPr>
            <w:tcW w:w="2266" w:type="pct"/>
            <w:gridSpan w:val="2"/>
          </w:tcPr>
          <w:p w14:paraId="4CCE89CE" w14:textId="4BBAB3E0" w:rsidR="00510637" w:rsidRPr="00510637" w:rsidRDefault="00510637" w:rsidP="007019E5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[</w:t>
            </w:r>
            <w:r w:rsidR="007019E5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Без изменений</w:t>
            </w: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.]</w:t>
            </w:r>
          </w:p>
        </w:tc>
      </w:tr>
      <w:tr w:rsidR="00510637" w:rsidRPr="00510637" w14:paraId="448D2F0B" w14:textId="77777777" w:rsidTr="008C5F63">
        <w:tc>
          <w:tcPr>
            <w:tcW w:w="222" w:type="pct"/>
          </w:tcPr>
          <w:p w14:paraId="783F80AA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697" w:type="pct"/>
          </w:tcPr>
          <w:p w14:paraId="3737DEE9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606" w:type="pct"/>
          </w:tcPr>
          <w:p w14:paraId="756F72DF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209" w:type="pct"/>
          </w:tcPr>
          <w:p w14:paraId="4F96DA3C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54.</w:t>
            </w:r>
          </w:p>
        </w:tc>
        <w:tc>
          <w:tcPr>
            <w:tcW w:w="740" w:type="pct"/>
          </w:tcPr>
          <w:p w14:paraId="693F0823" w14:textId="235F0139" w:rsidR="00510637" w:rsidRPr="00510637" w:rsidRDefault="00510637" w:rsidP="007019E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[</w:t>
            </w:r>
            <w:r w:rsidR="007019E5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Без изменений</w:t>
            </w: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.]</w:t>
            </w:r>
          </w:p>
        </w:tc>
        <w:tc>
          <w:tcPr>
            <w:tcW w:w="1526" w:type="pct"/>
          </w:tcPr>
          <w:p w14:paraId="32280679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</w:tr>
      <w:tr w:rsidR="00510637" w:rsidRPr="00510637" w14:paraId="28578F13" w14:textId="77777777" w:rsidTr="008C5F63">
        <w:tc>
          <w:tcPr>
            <w:tcW w:w="222" w:type="pct"/>
          </w:tcPr>
          <w:p w14:paraId="77527FBA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55.</w:t>
            </w:r>
          </w:p>
        </w:tc>
        <w:tc>
          <w:tcPr>
            <w:tcW w:w="697" w:type="pct"/>
          </w:tcPr>
          <w:p w14:paraId="32FAEE65" w14:textId="4083AB05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Фаза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2:</w:t>
            </w:r>
          </w:p>
        </w:tc>
        <w:tc>
          <w:tcPr>
            <w:tcW w:w="1606" w:type="pct"/>
          </w:tcPr>
          <w:p w14:paraId="5F985ADA" w14:textId="0E96F72D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Оценка</w:t>
            </w:r>
          </w:p>
        </w:tc>
        <w:tc>
          <w:tcPr>
            <w:tcW w:w="209" w:type="pct"/>
          </w:tcPr>
          <w:p w14:paraId="72E245F1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55.</w:t>
            </w:r>
          </w:p>
        </w:tc>
        <w:tc>
          <w:tcPr>
            <w:tcW w:w="740" w:type="pct"/>
          </w:tcPr>
          <w:p w14:paraId="6DA22C34" w14:textId="7986B063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Фаза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2:</w:t>
            </w:r>
          </w:p>
        </w:tc>
        <w:tc>
          <w:tcPr>
            <w:tcW w:w="1526" w:type="pct"/>
          </w:tcPr>
          <w:p w14:paraId="0186B843" w14:textId="3EA051BD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Оценка</w:t>
            </w:r>
          </w:p>
        </w:tc>
      </w:tr>
      <w:tr w:rsidR="00510637" w:rsidRPr="00CC041D" w14:paraId="1AF9B55F" w14:textId="77777777" w:rsidTr="008C5F63">
        <w:tc>
          <w:tcPr>
            <w:tcW w:w="222" w:type="pct"/>
          </w:tcPr>
          <w:p w14:paraId="4218903D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697" w:type="pct"/>
          </w:tcPr>
          <w:p w14:paraId="43624C50" w14:textId="6F552599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Декабрь года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1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– май года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 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1606" w:type="pct"/>
          </w:tcPr>
          <w:p w14:paraId="2D167A9F" w14:textId="7991AA82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Оценка досье Оценочным органом</w:t>
            </w:r>
          </w:p>
        </w:tc>
        <w:tc>
          <w:tcPr>
            <w:tcW w:w="209" w:type="pct"/>
          </w:tcPr>
          <w:p w14:paraId="526AEC45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40" w:type="pct"/>
          </w:tcPr>
          <w:p w14:paraId="6AF6E9FB" w14:textId="5A39195D" w:rsidR="00510637" w:rsidRPr="00510637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Декабрь года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1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– май года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US" w:eastAsia="en-US"/>
              </w:rPr>
              <w:t> 2</w:t>
            </w:r>
          </w:p>
        </w:tc>
        <w:tc>
          <w:tcPr>
            <w:tcW w:w="1526" w:type="pct"/>
          </w:tcPr>
          <w:p w14:paraId="1D7B3700" w14:textId="3DEDF3D4" w:rsidR="00510637" w:rsidRPr="000A526A" w:rsidRDefault="000A526A" w:rsidP="000A526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Индивидуальная</w:t>
            </w:r>
            <w:r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оценка досье </w:t>
            </w:r>
            <w:r w:rsidRPr="000A526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членами</w:t>
            </w:r>
            <w:r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Оценочного органа.</w:t>
            </w:r>
          </w:p>
        </w:tc>
      </w:tr>
      <w:tr w:rsidR="00510637" w:rsidRPr="00CC041D" w14:paraId="76C1B158" w14:textId="77777777" w:rsidTr="00987DC1">
        <w:trPr>
          <w:trHeight w:val="5824"/>
        </w:trPr>
        <w:tc>
          <w:tcPr>
            <w:tcW w:w="222" w:type="pct"/>
          </w:tcPr>
          <w:p w14:paraId="78AFC417" w14:textId="77777777" w:rsidR="00510637" w:rsidRPr="000A526A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97" w:type="pct"/>
          </w:tcPr>
          <w:p w14:paraId="0A02AA9C" w14:textId="7C242C06" w:rsidR="00510637" w:rsidRPr="000A526A" w:rsidRDefault="004D2F9A" w:rsidP="004D2F9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Апрель</w:t>
            </w:r>
            <w:r w:rsidR="00510637"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–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Июнь года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</w:t>
            </w:r>
            <w:r w:rsidR="00510637"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606" w:type="pct"/>
          </w:tcPr>
          <w:p w14:paraId="2357C6B7" w14:textId="188F79D8" w:rsidR="00510637" w:rsidRPr="000A526A" w:rsidRDefault="000A526A" w:rsidP="000A526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Проведение</w:t>
            </w:r>
            <w:r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совещаний</w:t>
            </w:r>
            <w:r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для заключительной оценки Оценочным органом</w:t>
            </w:r>
            <w:r w:rsidR="00510637" w:rsidRPr="000A526A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209" w:type="pct"/>
          </w:tcPr>
          <w:p w14:paraId="796F1C1D" w14:textId="77777777" w:rsidR="00510637" w:rsidRPr="000A526A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0" w:type="pct"/>
          </w:tcPr>
          <w:p w14:paraId="3696893C" w14:textId="0A026855" w:rsidR="00510637" w:rsidRPr="00510637" w:rsidRDefault="000A526A" w:rsidP="000A526A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Июнь года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 2</w:t>
            </w:r>
          </w:p>
        </w:tc>
        <w:tc>
          <w:tcPr>
            <w:tcW w:w="1526" w:type="pct"/>
          </w:tcPr>
          <w:p w14:paraId="481B90A6" w14:textId="213FE0BC" w:rsidR="00510637" w:rsidRPr="00D1297A" w:rsidRDefault="000A526A" w:rsidP="005106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Проведение</w:t>
            </w:r>
            <w:r w:rsidRPr="007D0C8C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3C0F85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совещания</w:t>
            </w:r>
            <w:r w:rsidRPr="007D0C8C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,</w:t>
            </w:r>
            <w:r w:rsidR="007D0C8C" w:rsidRPr="007D0C8C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>для</w:t>
            </w:r>
            <w:r w:rsidR="007D0C8C" w:rsidRP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>заключительной</w:t>
            </w:r>
            <w:r w:rsidR="007D0C8C" w:rsidRP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>оценки</w:t>
            </w:r>
            <w:r w:rsidR="007D0C8C" w:rsidRP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>Оценочным</w:t>
            </w:r>
            <w:r w:rsidR="007D0C8C" w:rsidRP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strike/>
                <w:snapToGrid w:val="0"/>
                <w:sz w:val="22"/>
                <w:szCs w:val="22"/>
                <w:lang w:val="ru-RU" w:eastAsia="en-US"/>
              </w:rPr>
              <w:t>органом</w:t>
            </w:r>
            <w:r w:rsidR="00510637" w:rsidRPr="007D0C8C"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на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3C0F85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котором</w:t>
            </w:r>
            <w:r w:rsidR="003C0F85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Оценочный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орган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совместно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завершает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свою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оценку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досье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и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принимает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решение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какие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из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досье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будут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включены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процесс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диалога</w:t>
            </w:r>
            <w:r w:rsidR="007D0C8C" w:rsidRP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.</w:t>
            </w:r>
            <w:r w:rsidR="007D0C8C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D1297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 финального заседания Оценочного органа будет продолжаться оценка только тех досье, которые включены в процесс диалога.</w:t>
            </w:r>
          </w:p>
          <w:p w14:paraId="6488FF94" w14:textId="7E4CBE42" w:rsidR="00510637" w:rsidRPr="00987DC1" w:rsidRDefault="00D1297A" w:rsidP="00987DC1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Процесс</w:t>
            </w:r>
            <w:r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диалога</w:t>
            </w:r>
            <w:r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инициируется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тогда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когда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Оценочный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орган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считает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что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процесс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обмена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короткими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вопросами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и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ответами с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представившим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досье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государством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(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государствами</w:t>
            </w:r>
            <w:r w:rsidR="00EB40AA" w:rsidRP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)</w:t>
            </w:r>
            <w:r w:rsidR="00EB40A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осуществляемый в письменной форме через Секретариат, </w:t>
            </w:r>
            <w:r w:rsid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может повлиять на результат его оценки.</w:t>
            </w:r>
          </w:p>
        </w:tc>
      </w:tr>
      <w:tr w:rsidR="00510637" w:rsidRPr="00CC041D" w14:paraId="42AC5739" w14:textId="77777777" w:rsidTr="008C5F63">
        <w:tc>
          <w:tcPr>
            <w:tcW w:w="222" w:type="pct"/>
          </w:tcPr>
          <w:p w14:paraId="7FBD8256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97" w:type="pct"/>
          </w:tcPr>
          <w:p w14:paraId="243E29BC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06" w:type="pct"/>
          </w:tcPr>
          <w:p w14:paraId="7FD3DAF3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09" w:type="pct"/>
          </w:tcPr>
          <w:p w14:paraId="7D838B51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0" w:type="pct"/>
          </w:tcPr>
          <w:p w14:paraId="3A84AA1F" w14:textId="7F821F35" w:rsidR="00510637" w:rsidRPr="00987DC1" w:rsidRDefault="00987DC1" w:rsidP="00987DC1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Две недели после июньского совещания года</w:t>
            </w:r>
            <w:r w:rsidR="00510637" w:rsidRPr="0051063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en-GB" w:eastAsia="en-US"/>
              </w:rPr>
              <w:t> </w:t>
            </w:r>
            <w:r w:rsidR="00510637"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2</w:t>
            </w:r>
          </w:p>
        </w:tc>
        <w:tc>
          <w:tcPr>
            <w:tcW w:w="1526" w:type="pct"/>
          </w:tcPr>
          <w:p w14:paraId="0E7F3F4E" w14:textId="7B4AC99F" w:rsidR="00510637" w:rsidRPr="00987DC1" w:rsidRDefault="00987DC1" w:rsidP="0041645A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Крайний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срок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которому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Оценочный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орган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передает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через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Секретариат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свои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вопросы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участвующим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процессе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диалога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государствам</w:t>
            </w:r>
            <w:r w:rsidRPr="00987DC1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-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участникам на одном из двух рабочих языков </w:t>
            </w:r>
            <w:r w:rsid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Конвенции.</w:t>
            </w:r>
          </w:p>
        </w:tc>
      </w:tr>
      <w:tr w:rsidR="00510637" w:rsidRPr="00CC041D" w14:paraId="6A551AA0" w14:textId="77777777" w:rsidTr="008C5F63">
        <w:tc>
          <w:tcPr>
            <w:tcW w:w="222" w:type="pct"/>
          </w:tcPr>
          <w:p w14:paraId="689AEEE9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97" w:type="pct"/>
          </w:tcPr>
          <w:p w14:paraId="1ACC4C3F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06" w:type="pct"/>
          </w:tcPr>
          <w:p w14:paraId="2A95BA12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09" w:type="pct"/>
          </w:tcPr>
          <w:p w14:paraId="4D100C52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0" w:type="pct"/>
          </w:tcPr>
          <w:p w14:paraId="7BB58013" w14:textId="77777777" w:rsidR="00510637" w:rsidRPr="00987DC1" w:rsidRDefault="00510637" w:rsidP="005106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</w:pPr>
          </w:p>
        </w:tc>
        <w:tc>
          <w:tcPr>
            <w:tcW w:w="1526" w:type="pct"/>
          </w:tcPr>
          <w:p w14:paraId="7CFF5461" w14:textId="63B4B1BA" w:rsidR="00510637" w:rsidRPr="0041645A" w:rsidRDefault="0041645A" w:rsidP="005E5F37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Государства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-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участники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отвечают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на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5E5F3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во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просы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Оценочного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органа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через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Секретариат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течение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четырех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недель</w:t>
            </w:r>
            <w:r w:rsidRPr="0041645A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после получения письма на одном из двух рабочих языков Конвенции.</w:t>
            </w:r>
          </w:p>
        </w:tc>
      </w:tr>
      <w:tr w:rsidR="00510637" w:rsidRPr="00CC041D" w14:paraId="396BC94C" w14:textId="77777777" w:rsidTr="008C5F63">
        <w:tc>
          <w:tcPr>
            <w:tcW w:w="222" w:type="pct"/>
          </w:tcPr>
          <w:p w14:paraId="5DEB6309" w14:textId="77777777" w:rsidR="00510637" w:rsidRPr="0041645A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97" w:type="pct"/>
          </w:tcPr>
          <w:p w14:paraId="2A43343A" w14:textId="77777777" w:rsidR="00510637" w:rsidRPr="0041645A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606" w:type="pct"/>
          </w:tcPr>
          <w:p w14:paraId="6F375462" w14:textId="77777777" w:rsidR="00510637" w:rsidRPr="0041645A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09" w:type="pct"/>
          </w:tcPr>
          <w:p w14:paraId="38AD2019" w14:textId="77777777" w:rsidR="00510637" w:rsidRPr="0041645A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0" w:type="pct"/>
          </w:tcPr>
          <w:p w14:paraId="64B53985" w14:textId="6ABD74F8" w:rsidR="00510637" w:rsidRPr="00510637" w:rsidRDefault="0041645A" w:rsidP="0041645A">
            <w:pPr>
              <w:spacing w:after="120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en-GB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Не позднее сентября года </w:t>
            </w:r>
            <w:r w:rsidR="00510637" w:rsidRPr="00510637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en-GB" w:eastAsia="en-US"/>
              </w:rPr>
              <w:t>2</w:t>
            </w:r>
          </w:p>
        </w:tc>
        <w:tc>
          <w:tcPr>
            <w:tcW w:w="1526" w:type="pct"/>
          </w:tcPr>
          <w:p w14:paraId="176C8660" w14:textId="04772FDA" w:rsidR="00510637" w:rsidRPr="00C13FB4" w:rsidRDefault="0041645A" w:rsidP="00C13FB4">
            <w:pPr>
              <w:spacing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Совещание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на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котором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Оценочный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орган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завершает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оценку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досье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участвовавших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процессе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диалога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,</w:t>
            </w:r>
            <w:r w:rsidR="00C13FB4"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и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доклад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об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оценке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всех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досье</w:t>
            </w:r>
            <w:r w:rsidRPr="00C13FB4">
              <w:rPr>
                <w:rFonts w:ascii="Arial" w:hAnsi="Arial" w:cs="Arial"/>
                <w:b/>
                <w:snapToGrid w:val="0"/>
                <w:sz w:val="22"/>
                <w:szCs w:val="22"/>
                <w:u w:val="single"/>
                <w:lang w:val="ru-RU" w:eastAsia="en-US"/>
              </w:rPr>
              <w:t>.</w:t>
            </w:r>
          </w:p>
        </w:tc>
      </w:tr>
      <w:tr w:rsidR="00510637" w:rsidRPr="00CC041D" w14:paraId="490A7B15" w14:textId="77777777" w:rsidTr="008C5F63">
        <w:tc>
          <w:tcPr>
            <w:tcW w:w="222" w:type="pct"/>
          </w:tcPr>
          <w:p w14:paraId="771639D4" w14:textId="77777777" w:rsidR="00510637" w:rsidRPr="00C13FB4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697" w:type="pct"/>
          </w:tcPr>
          <w:p w14:paraId="2AB57653" w14:textId="705A2603" w:rsidR="00510637" w:rsidRPr="00C13FB4" w:rsidRDefault="00C13FB4" w:rsidP="00C13FB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 четыре недели до сессии Комитета</w:t>
            </w:r>
          </w:p>
        </w:tc>
        <w:tc>
          <w:tcPr>
            <w:tcW w:w="1606" w:type="pct"/>
          </w:tcPr>
          <w:p w14:paraId="0E890ED2" w14:textId="7F25B149" w:rsidR="00510637" w:rsidRPr="00C13FB4" w:rsidRDefault="00C13FB4" w:rsidP="00C13FB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Секретариат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направляет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членам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Комитета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доклады об оценке и размещает их на сайте для ознакомления.</w:t>
            </w:r>
          </w:p>
        </w:tc>
        <w:tc>
          <w:tcPr>
            <w:tcW w:w="209" w:type="pct"/>
          </w:tcPr>
          <w:p w14:paraId="3B0A3866" w14:textId="77777777" w:rsidR="00510637" w:rsidRPr="00C13FB4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</w:p>
        </w:tc>
        <w:tc>
          <w:tcPr>
            <w:tcW w:w="740" w:type="pct"/>
          </w:tcPr>
          <w:p w14:paraId="12227E0B" w14:textId="12589310" w:rsidR="00510637" w:rsidRPr="00C13FB4" w:rsidRDefault="00C13FB4" w:rsidP="00C13FB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За четыре недели до сессии Комитета</w:t>
            </w:r>
          </w:p>
        </w:tc>
        <w:tc>
          <w:tcPr>
            <w:tcW w:w="1526" w:type="pct"/>
          </w:tcPr>
          <w:p w14:paraId="504A2F6E" w14:textId="5587325A" w:rsidR="00510637" w:rsidRPr="00C13FB4" w:rsidRDefault="00C13FB4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Секретариат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направляет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членам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Комитета</w:t>
            </w:r>
            <w:r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доклады об оценке и размещает их на сайте для ознакомления</w:t>
            </w:r>
            <w:r w:rsidR="00510637" w:rsidRPr="00C13FB4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.</w:t>
            </w:r>
          </w:p>
        </w:tc>
      </w:tr>
      <w:tr w:rsidR="00510637" w:rsidRPr="00510637" w14:paraId="54989A33" w14:textId="77777777" w:rsidTr="008C5F63">
        <w:tc>
          <w:tcPr>
            <w:tcW w:w="222" w:type="pct"/>
          </w:tcPr>
          <w:p w14:paraId="3220B297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56.</w:t>
            </w:r>
          </w:p>
        </w:tc>
        <w:tc>
          <w:tcPr>
            <w:tcW w:w="697" w:type="pct"/>
          </w:tcPr>
          <w:p w14:paraId="2B701C27" w14:textId="1439E9AB" w:rsidR="00510637" w:rsidRPr="00510637" w:rsidRDefault="00C13FB4" w:rsidP="00C13FB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Фаза</w:t>
            </w:r>
            <w:r w:rsidR="00510637"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3:</w:t>
            </w:r>
          </w:p>
        </w:tc>
        <w:tc>
          <w:tcPr>
            <w:tcW w:w="1606" w:type="pct"/>
          </w:tcPr>
          <w:p w14:paraId="06F4E115" w14:textId="181DDE61" w:rsidR="00510637" w:rsidRPr="00510637" w:rsidRDefault="00C13FB4" w:rsidP="00C13FB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Рассмотрение</w:t>
            </w:r>
          </w:p>
        </w:tc>
        <w:tc>
          <w:tcPr>
            <w:tcW w:w="209" w:type="pct"/>
          </w:tcPr>
          <w:p w14:paraId="7B6B9F18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56.</w:t>
            </w:r>
          </w:p>
        </w:tc>
        <w:tc>
          <w:tcPr>
            <w:tcW w:w="740" w:type="pct"/>
          </w:tcPr>
          <w:p w14:paraId="6AC34BF6" w14:textId="581FE216" w:rsidR="00510637" w:rsidRPr="00510637" w:rsidRDefault="00510637" w:rsidP="007019E5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[</w:t>
            </w:r>
            <w:r w:rsidR="007019E5">
              <w:rPr>
                <w:rFonts w:ascii="Arial" w:hAnsi="Arial" w:cs="Arial"/>
                <w:snapToGrid w:val="0"/>
                <w:sz w:val="22"/>
                <w:szCs w:val="22"/>
                <w:lang w:val="ru-RU" w:eastAsia="en-US"/>
              </w:rPr>
              <w:t>Без изменений</w:t>
            </w:r>
            <w:r w:rsidRPr="00510637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.]</w:t>
            </w:r>
          </w:p>
        </w:tc>
        <w:tc>
          <w:tcPr>
            <w:tcW w:w="1526" w:type="pct"/>
          </w:tcPr>
          <w:p w14:paraId="6145FA1A" w14:textId="77777777" w:rsidR="00510637" w:rsidRPr="00510637" w:rsidRDefault="00510637" w:rsidP="00510637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u w:val="single"/>
                <w:lang w:val="en-GB" w:eastAsia="en-US"/>
              </w:rPr>
            </w:pPr>
          </w:p>
        </w:tc>
      </w:tr>
    </w:tbl>
    <w:p w14:paraId="7A13BD2D" w14:textId="7F2AA6C1" w:rsidR="00510637" w:rsidRPr="008A1ED4" w:rsidRDefault="00510637" w:rsidP="008A1ED4">
      <w:pPr>
        <w:spacing w:after="120"/>
        <w:jc w:val="both"/>
        <w:rPr>
          <w:rFonts w:ascii="Arial" w:hAnsi="Arial" w:cs="Arial"/>
          <w:snapToGrid w:val="0"/>
          <w:sz w:val="22"/>
          <w:szCs w:val="22"/>
          <w:lang w:val="en-GB" w:eastAsia="en-US"/>
        </w:rPr>
      </w:pPr>
    </w:p>
    <w:sectPr w:rsidR="00510637" w:rsidRPr="008A1ED4" w:rsidSect="003F76A9">
      <w:headerReference w:type="first" r:id="rId21"/>
      <w:pgSz w:w="16838" w:h="11906" w:orient="landscape" w:code="9"/>
      <w:pgMar w:top="1134" w:right="1418" w:bottom="1134" w:left="1134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C0B9D" w14:textId="77777777" w:rsidR="00075644" w:rsidRDefault="00075644" w:rsidP="00655736">
      <w:r>
        <w:separator/>
      </w:r>
    </w:p>
  </w:endnote>
  <w:endnote w:type="continuationSeparator" w:id="0">
    <w:p w14:paraId="76895C46" w14:textId="77777777" w:rsidR="00075644" w:rsidRDefault="00075644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2FF96" w14:textId="77777777" w:rsidR="00075644" w:rsidRDefault="00075644" w:rsidP="00655736">
      <w:r>
        <w:separator/>
      </w:r>
    </w:p>
  </w:footnote>
  <w:footnote w:type="continuationSeparator" w:id="0">
    <w:p w14:paraId="0155BA71" w14:textId="77777777" w:rsidR="00075644" w:rsidRDefault="00075644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1918" w14:textId="643FD4F1" w:rsidR="000E5671" w:rsidRPr="00C23A97" w:rsidRDefault="000E5671">
    <w:pPr>
      <w:pStyle w:val="En-tte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LHE/20/8</w:t>
    </w:r>
    <w:r w:rsidRPr="00C23A97">
      <w:rPr>
        <w:rFonts w:ascii="Arial" w:hAnsi="Arial" w:cs="Arial"/>
        <w:sz w:val="20"/>
        <w:szCs w:val="20"/>
        <w:lang w:val="en-GB"/>
      </w:rPr>
      <w:t>.GA/</w:t>
    </w:r>
    <w:r w:rsidR="003C0F85">
      <w:rPr>
        <w:rFonts w:ascii="Arial" w:hAnsi="Arial" w:cs="Arial"/>
        <w:sz w:val="20"/>
        <w:szCs w:val="20"/>
        <w:lang w:val="ru-RU"/>
      </w:rPr>
      <w:t>10</w:t>
    </w:r>
    <w:r w:rsidRPr="00C23A97">
      <w:rPr>
        <w:rFonts w:ascii="Arial" w:hAnsi="Arial" w:cs="Arial"/>
        <w:sz w:val="20"/>
        <w:szCs w:val="20"/>
        <w:lang w:val="en-GB"/>
      </w:rPr>
      <w:t xml:space="preserve">– </w:t>
    </w:r>
    <w:r>
      <w:rPr>
        <w:rFonts w:ascii="Arial" w:hAnsi="Arial" w:cs="Arial"/>
        <w:sz w:val="20"/>
        <w:szCs w:val="20"/>
        <w:lang w:val="ru-RU"/>
      </w:rPr>
      <w:t>страница</w:t>
    </w:r>
    <w:r w:rsidRPr="00C23A97">
      <w:rPr>
        <w:rFonts w:ascii="Arial" w:hAnsi="Arial" w:cs="Arial"/>
        <w:sz w:val="20"/>
        <w:szCs w:val="20"/>
        <w:lang w:val="en-GB"/>
      </w:rPr>
      <w:t xml:space="preserve"> </w: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Pr="00C23A97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CC041D">
      <w:rPr>
        <w:rStyle w:val="Numrodepage"/>
        <w:rFonts w:ascii="Arial" w:hAnsi="Arial" w:cs="Arial"/>
        <w:noProof/>
        <w:sz w:val="20"/>
        <w:szCs w:val="20"/>
        <w:lang w:val="en-GB"/>
      </w:rPr>
      <w:t>4</w:t>
    </w:r>
    <w:r w:rsidRPr="00C23A97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53EE" w14:textId="2007A0C4" w:rsidR="000E5671" w:rsidRPr="0063300C" w:rsidRDefault="000E5671" w:rsidP="0063300C">
    <w:pPr>
      <w:pStyle w:val="En-tte"/>
      <w:jc w:val="right"/>
      <w:rPr>
        <w:rFonts w:ascii="Arial" w:hAnsi="Arial" w:cs="Arial"/>
        <w:lang w:val="en-GB"/>
      </w:rPr>
    </w:pPr>
    <w:r>
      <w:rPr>
        <w:rFonts w:ascii="Arial" w:hAnsi="Arial" w:cs="Arial"/>
        <w:sz w:val="20"/>
        <w:szCs w:val="20"/>
        <w:lang w:val="en-GB"/>
      </w:rPr>
      <w:t>LHE/20/8</w:t>
    </w:r>
    <w:r w:rsidRPr="0063300C">
      <w:rPr>
        <w:rFonts w:ascii="Arial" w:hAnsi="Arial" w:cs="Arial"/>
        <w:sz w:val="20"/>
        <w:szCs w:val="20"/>
        <w:lang w:val="en-GB"/>
      </w:rPr>
      <w:t>.GA/</w:t>
    </w:r>
    <w:r w:rsidR="003C0F85">
      <w:rPr>
        <w:rFonts w:ascii="Arial" w:hAnsi="Arial" w:cs="Arial"/>
        <w:sz w:val="20"/>
        <w:szCs w:val="20"/>
        <w:lang w:val="ru-RU"/>
      </w:rPr>
      <w:t>10</w:t>
    </w:r>
    <w:r w:rsidR="003C0F85" w:rsidRPr="0063300C">
      <w:rPr>
        <w:rFonts w:ascii="Arial" w:hAnsi="Arial" w:cs="Arial"/>
        <w:sz w:val="20"/>
        <w:szCs w:val="20"/>
        <w:lang w:val="en-GB"/>
      </w:rPr>
      <w:t xml:space="preserve"> </w:t>
    </w:r>
    <w:r w:rsidRPr="0063300C">
      <w:rPr>
        <w:rFonts w:ascii="Arial" w:hAnsi="Arial" w:cs="Arial"/>
        <w:sz w:val="20"/>
        <w:szCs w:val="20"/>
        <w:lang w:val="en-GB"/>
      </w:rPr>
      <w:t xml:space="preserve">– </w:t>
    </w:r>
    <w:r>
      <w:rPr>
        <w:rFonts w:ascii="Arial" w:hAnsi="Arial" w:cs="Arial"/>
        <w:sz w:val="20"/>
        <w:szCs w:val="20"/>
        <w:lang w:val="ru-RU"/>
      </w:rPr>
      <w:t>страница</w:t>
    </w:r>
    <w:r w:rsidRPr="0063300C">
      <w:rPr>
        <w:rFonts w:ascii="Arial" w:hAnsi="Arial" w:cs="Arial"/>
        <w:sz w:val="20"/>
        <w:szCs w:val="20"/>
        <w:lang w:val="en-GB"/>
      </w:rPr>
      <w:t xml:space="preserve"> </w:t>
    </w:r>
    <w:r w:rsidRPr="0063300C">
      <w:rPr>
        <w:rStyle w:val="Numrodepage"/>
        <w:rFonts w:ascii="Arial" w:hAnsi="Arial" w:cs="Arial"/>
        <w:sz w:val="20"/>
        <w:szCs w:val="20"/>
        <w:lang w:val="en-GB"/>
      </w:rPr>
      <w:fldChar w:fldCharType="begin"/>
    </w:r>
    <w:r w:rsidRPr="0063300C">
      <w:rPr>
        <w:rStyle w:val="Numrodepage"/>
        <w:rFonts w:ascii="Arial" w:hAnsi="Arial" w:cs="Arial"/>
        <w:sz w:val="20"/>
        <w:szCs w:val="20"/>
        <w:lang w:val="en-GB"/>
      </w:rPr>
      <w:instrText xml:space="preserve"> PAGE </w:instrText>
    </w:r>
    <w:r w:rsidRPr="0063300C">
      <w:rPr>
        <w:rStyle w:val="Numrodepage"/>
        <w:rFonts w:ascii="Arial" w:hAnsi="Arial" w:cs="Arial"/>
        <w:sz w:val="20"/>
        <w:szCs w:val="20"/>
        <w:lang w:val="en-GB"/>
      </w:rPr>
      <w:fldChar w:fldCharType="separate"/>
    </w:r>
    <w:r w:rsidR="00CC041D">
      <w:rPr>
        <w:rStyle w:val="Numrodepage"/>
        <w:rFonts w:ascii="Arial" w:hAnsi="Arial" w:cs="Arial"/>
        <w:noProof/>
        <w:sz w:val="20"/>
        <w:szCs w:val="20"/>
        <w:lang w:val="en-GB"/>
      </w:rPr>
      <w:t>3</w:t>
    </w:r>
    <w:r w:rsidRPr="0063300C">
      <w:rPr>
        <w:rStyle w:val="Numrodepage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0ACC" w14:textId="4BE5B1E2" w:rsidR="000E5671" w:rsidRPr="008724E5" w:rsidRDefault="00232013">
    <w:pPr>
      <w:pStyle w:val="En-tte"/>
    </w:pPr>
    <w:r>
      <w:rPr>
        <w:noProof/>
        <w:lang w:eastAsia="ja-JP"/>
      </w:rPr>
      <w:drawing>
        <wp:anchor distT="0" distB="0" distL="114300" distR="114300" simplePos="0" relativeHeight="251661824" behindDoc="0" locked="0" layoutInCell="1" allowOverlap="1" wp14:anchorId="45E5F7E7" wp14:editId="371B4DCF">
          <wp:simplePos x="0" y="0"/>
          <wp:positionH relativeFrom="column">
            <wp:posOffset>-622935</wp:posOffset>
          </wp:positionH>
          <wp:positionV relativeFrom="paragraph">
            <wp:posOffset>8890</wp:posOffset>
          </wp:positionV>
          <wp:extent cx="2479675" cy="1415415"/>
          <wp:effectExtent l="0" t="0" r="0" b="0"/>
          <wp:wrapNone/>
          <wp:docPr id="2" name="Рисунок 2" descr="unesco_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sco_logo_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675" cy="1415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EF0E0" w14:textId="77777777" w:rsidR="000E5671" w:rsidRPr="008604FA" w:rsidRDefault="000E5671" w:rsidP="0065573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ru-RU"/>
      </w:rPr>
    </w:pPr>
    <w:r w:rsidRPr="008604FA">
      <w:rPr>
        <w:rFonts w:ascii="Arial" w:hAnsi="Arial" w:cs="Arial"/>
        <w:b/>
        <w:sz w:val="44"/>
        <w:szCs w:val="44"/>
        <w:lang w:val="ru-RU"/>
      </w:rPr>
      <w:t xml:space="preserve">8 </w:t>
    </w:r>
    <w:r w:rsidRPr="006051DD">
      <w:rPr>
        <w:rFonts w:ascii="Arial" w:hAnsi="Arial" w:cs="Arial"/>
        <w:b/>
        <w:sz w:val="44"/>
        <w:szCs w:val="44"/>
        <w:lang w:val="pt-PT"/>
      </w:rPr>
      <w:t>GA</w:t>
    </w:r>
  </w:p>
  <w:p w14:paraId="0EEBA722" w14:textId="1062E9BE" w:rsidR="000E5671" w:rsidRPr="00867686" w:rsidRDefault="000E5671" w:rsidP="00655736">
    <w:pPr>
      <w:jc w:val="right"/>
      <w:rPr>
        <w:rFonts w:ascii="Arial" w:hAnsi="Arial" w:cs="Arial"/>
        <w:b/>
        <w:sz w:val="22"/>
        <w:szCs w:val="22"/>
        <w:lang w:val="ru-RU"/>
      </w:rPr>
    </w:pPr>
    <w:r w:rsidRPr="006051DD">
      <w:rPr>
        <w:rFonts w:ascii="Arial" w:hAnsi="Arial" w:cs="Arial"/>
        <w:b/>
        <w:sz w:val="22"/>
        <w:szCs w:val="22"/>
        <w:lang w:val="pt-PT"/>
      </w:rPr>
      <w:t>LHE</w:t>
    </w:r>
    <w:r w:rsidRPr="008604FA">
      <w:rPr>
        <w:rFonts w:ascii="Arial" w:hAnsi="Arial" w:cs="Arial"/>
        <w:b/>
        <w:sz w:val="22"/>
        <w:szCs w:val="22"/>
        <w:lang w:val="ru-RU"/>
      </w:rPr>
      <w:t>/20/8.</w:t>
    </w:r>
    <w:r w:rsidRPr="006051DD">
      <w:rPr>
        <w:rFonts w:ascii="Arial" w:hAnsi="Arial" w:cs="Arial"/>
        <w:b/>
        <w:sz w:val="22"/>
        <w:szCs w:val="22"/>
        <w:lang w:val="pt-PT"/>
      </w:rPr>
      <w:t>GA</w:t>
    </w:r>
    <w:r w:rsidRPr="008604FA">
      <w:rPr>
        <w:rFonts w:ascii="Arial" w:hAnsi="Arial" w:cs="Arial"/>
        <w:b/>
        <w:sz w:val="22"/>
        <w:szCs w:val="22"/>
        <w:lang w:val="ru-RU"/>
      </w:rPr>
      <w:t>/</w:t>
    </w:r>
    <w:r w:rsidR="003C0F85">
      <w:rPr>
        <w:rFonts w:ascii="Arial" w:hAnsi="Arial" w:cs="Arial"/>
        <w:b/>
        <w:sz w:val="22"/>
        <w:szCs w:val="22"/>
        <w:lang w:val="ru-RU"/>
      </w:rPr>
      <w:t>10</w:t>
    </w:r>
  </w:p>
  <w:p w14:paraId="01776A18" w14:textId="11F9E83B" w:rsidR="000E5671" w:rsidRPr="00D304ED" w:rsidRDefault="000E5671" w:rsidP="00655736">
    <w:pPr>
      <w:jc w:val="right"/>
      <w:rPr>
        <w:rFonts w:ascii="Arial" w:hAnsi="Arial" w:cs="Arial"/>
        <w:b/>
        <w:sz w:val="22"/>
        <w:szCs w:val="22"/>
        <w:lang w:val="ru-RU"/>
      </w:rPr>
    </w:pPr>
    <w:r w:rsidRPr="00D74B60">
      <w:rPr>
        <w:rFonts w:ascii="Arial" w:hAnsi="Arial" w:cs="Arial"/>
        <w:b/>
        <w:sz w:val="22"/>
        <w:szCs w:val="22"/>
        <w:lang w:val="ru-RU"/>
      </w:rPr>
      <w:t>Париж</w:t>
    </w:r>
    <w:r w:rsidRPr="008604FA">
      <w:rPr>
        <w:rFonts w:ascii="Arial" w:hAnsi="Arial" w:cs="Arial"/>
        <w:b/>
        <w:sz w:val="22"/>
        <w:szCs w:val="22"/>
        <w:lang w:val="ru-RU"/>
      </w:rPr>
      <w:t xml:space="preserve">, </w:t>
    </w:r>
    <w:r w:rsidRPr="00867686">
      <w:rPr>
        <w:rFonts w:ascii="Arial" w:hAnsi="Arial" w:cs="Arial"/>
        <w:b/>
        <w:sz w:val="22"/>
        <w:szCs w:val="22"/>
        <w:lang w:val="ru-RU"/>
      </w:rPr>
      <w:t>7 августа</w:t>
    </w:r>
    <w:r w:rsidRPr="008604FA">
      <w:rPr>
        <w:rFonts w:ascii="Arial" w:hAnsi="Arial" w:cs="Arial"/>
        <w:b/>
        <w:sz w:val="22"/>
        <w:szCs w:val="22"/>
        <w:lang w:val="ru-RU"/>
      </w:rPr>
      <w:t xml:space="preserve"> 2020</w:t>
    </w:r>
    <w:r>
      <w:rPr>
        <w:rFonts w:ascii="Arial" w:hAnsi="Arial" w:cs="Arial"/>
        <w:b/>
        <w:sz w:val="22"/>
        <w:szCs w:val="22"/>
        <w:lang w:val="ru-RU"/>
      </w:rPr>
      <w:t> г.</w:t>
    </w:r>
  </w:p>
  <w:p w14:paraId="5D2DCAAC" w14:textId="345B8858" w:rsidR="000E5671" w:rsidRDefault="000E5671" w:rsidP="00703FBF">
    <w:pPr>
      <w:jc w:val="right"/>
      <w:rPr>
        <w:rFonts w:ascii="Arial" w:hAnsi="Arial" w:cs="Arial"/>
        <w:b/>
        <w:sz w:val="22"/>
        <w:szCs w:val="22"/>
        <w:lang w:val="en-GB"/>
      </w:rPr>
    </w:pPr>
    <w:r>
      <w:rPr>
        <w:rFonts w:ascii="Arial" w:hAnsi="Arial" w:cs="Arial"/>
        <w:b/>
        <w:sz w:val="22"/>
        <w:szCs w:val="22"/>
        <w:lang w:val="ru-RU"/>
      </w:rPr>
      <w:t>Оригинал</w:t>
    </w:r>
    <w:r w:rsidRPr="00C23A97">
      <w:rPr>
        <w:rFonts w:ascii="Arial" w:hAnsi="Arial" w:cs="Arial"/>
        <w:b/>
        <w:sz w:val="22"/>
        <w:szCs w:val="22"/>
        <w:lang w:val="en-GB"/>
      </w:rPr>
      <w:t xml:space="preserve">: </w:t>
    </w:r>
    <w:r>
      <w:rPr>
        <w:rFonts w:ascii="Arial" w:hAnsi="Arial" w:cs="Arial"/>
        <w:b/>
        <w:sz w:val="22"/>
        <w:szCs w:val="22"/>
        <w:lang w:val="ru-RU"/>
      </w:rPr>
      <w:t>английский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B046" w14:textId="77777777" w:rsidR="000E5671" w:rsidRPr="008724E5" w:rsidRDefault="000E5671">
    <w:pPr>
      <w:pStyle w:val="En-tte"/>
    </w:pPr>
    <w:r>
      <w:rPr>
        <w:noProof/>
        <w:lang w:eastAsia="ja-JP"/>
      </w:rPr>
      <w:drawing>
        <wp:anchor distT="0" distB="0" distL="114300" distR="114300" simplePos="0" relativeHeight="251659776" behindDoc="0" locked="0" layoutInCell="1" allowOverlap="1" wp14:anchorId="05C8BE2D" wp14:editId="013476A1">
          <wp:simplePos x="0" y="0"/>
          <wp:positionH relativeFrom="column">
            <wp:posOffset>-567690</wp:posOffset>
          </wp:positionH>
          <wp:positionV relativeFrom="paragraph">
            <wp:posOffset>3810</wp:posOffset>
          </wp:positionV>
          <wp:extent cx="2228215" cy="1367790"/>
          <wp:effectExtent l="0" t="0" r="635" b="3810"/>
          <wp:wrapNone/>
          <wp:docPr id="1" name="Picture 2" descr="unesco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nesco_logo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36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F3776" w14:textId="77777777" w:rsidR="000E5671" w:rsidRPr="006051DD" w:rsidRDefault="000E5671" w:rsidP="00655736">
    <w:pPr>
      <w:pStyle w:val="En-tte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 w:rsidRPr="006051DD">
      <w:rPr>
        <w:rFonts w:ascii="Arial" w:hAnsi="Arial" w:cs="Arial"/>
        <w:b/>
        <w:sz w:val="44"/>
        <w:szCs w:val="44"/>
        <w:lang w:val="pt-PT"/>
      </w:rPr>
      <w:t>8 GA</w:t>
    </w:r>
  </w:p>
  <w:p w14:paraId="6A8F6F06" w14:textId="77777777" w:rsidR="000E5671" w:rsidRPr="006051DD" w:rsidRDefault="000E5671" w:rsidP="00655736">
    <w:pPr>
      <w:jc w:val="right"/>
      <w:rPr>
        <w:rFonts w:ascii="Arial" w:hAnsi="Arial" w:cs="Arial"/>
        <w:b/>
        <w:sz w:val="22"/>
        <w:szCs w:val="22"/>
        <w:lang w:val="pt-PT"/>
      </w:rPr>
    </w:pPr>
    <w:r w:rsidRPr="006051DD">
      <w:rPr>
        <w:rFonts w:ascii="Arial" w:hAnsi="Arial" w:cs="Arial"/>
        <w:b/>
        <w:sz w:val="22"/>
        <w:szCs w:val="22"/>
        <w:lang w:val="pt-PT"/>
      </w:rPr>
      <w:t>LHE/20/8.GA/</w:t>
    </w:r>
    <w:r>
      <w:rPr>
        <w:rFonts w:ascii="Arial" w:hAnsi="Arial" w:cs="Arial"/>
        <w:b/>
        <w:sz w:val="22"/>
        <w:szCs w:val="22"/>
        <w:lang w:val="pt-PT"/>
      </w:rPr>
      <w:t>11</w:t>
    </w:r>
  </w:p>
  <w:p w14:paraId="1BA32C1F" w14:textId="77777777" w:rsidR="000E5671" w:rsidRPr="006051DD" w:rsidRDefault="000E5671" w:rsidP="00655736">
    <w:pPr>
      <w:jc w:val="right"/>
      <w:rPr>
        <w:rFonts w:ascii="Arial" w:hAnsi="Arial" w:cs="Arial"/>
        <w:b/>
        <w:sz w:val="22"/>
        <w:szCs w:val="22"/>
        <w:lang w:val="pt-PT"/>
      </w:rPr>
    </w:pPr>
    <w:r w:rsidRPr="006051DD">
      <w:rPr>
        <w:rFonts w:ascii="Arial" w:hAnsi="Arial" w:cs="Arial"/>
        <w:b/>
        <w:sz w:val="22"/>
        <w:szCs w:val="22"/>
        <w:lang w:val="pt-PT"/>
      </w:rPr>
      <w:t xml:space="preserve">Paris, </w:t>
    </w:r>
    <w:r w:rsidRPr="006051DD">
      <w:rPr>
        <w:rFonts w:ascii="Arial" w:hAnsi="Arial" w:cs="Arial"/>
        <w:b/>
        <w:sz w:val="22"/>
        <w:szCs w:val="22"/>
        <w:highlight w:val="yellow"/>
        <w:lang w:val="pt-PT"/>
      </w:rPr>
      <w:t xml:space="preserve">xx </w:t>
    </w:r>
    <w:r>
      <w:rPr>
        <w:rFonts w:ascii="Arial" w:hAnsi="Arial" w:cs="Arial"/>
        <w:b/>
        <w:sz w:val="22"/>
        <w:szCs w:val="22"/>
        <w:lang w:val="pt-PT"/>
      </w:rPr>
      <w:t>May</w:t>
    </w:r>
    <w:r w:rsidRPr="006051DD">
      <w:rPr>
        <w:rFonts w:ascii="Arial" w:hAnsi="Arial" w:cs="Arial"/>
        <w:b/>
        <w:sz w:val="22"/>
        <w:szCs w:val="22"/>
        <w:lang w:val="pt-PT"/>
      </w:rPr>
      <w:t xml:space="preserve"> 2020</w:t>
    </w:r>
  </w:p>
  <w:p w14:paraId="5DE06D2A" w14:textId="77777777" w:rsidR="000E5671" w:rsidRDefault="000E5671" w:rsidP="00703FBF">
    <w:pPr>
      <w:jc w:val="right"/>
      <w:rPr>
        <w:rFonts w:ascii="Arial" w:hAnsi="Arial" w:cs="Arial"/>
        <w:b/>
        <w:sz w:val="22"/>
        <w:szCs w:val="22"/>
        <w:lang w:val="en-GB"/>
      </w:rPr>
    </w:pPr>
    <w:r w:rsidRPr="00C23A97">
      <w:rPr>
        <w:rFonts w:ascii="Arial" w:hAnsi="Arial" w:cs="Arial"/>
        <w:b/>
        <w:sz w:val="22"/>
        <w:szCs w:val="22"/>
        <w:lang w:val="en-GB"/>
      </w:rPr>
      <w:t xml:space="preserve">Original: </w:t>
    </w:r>
    <w:r>
      <w:rPr>
        <w:rFonts w:ascii="Arial" w:hAnsi="Arial" w:cs="Arial"/>
        <w:b/>
        <w:sz w:val="22"/>
        <w:szCs w:val="22"/>
        <w:lang w:val="en-GB"/>
      </w:rPr>
      <w:t>French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7A4"/>
    <w:multiLevelType w:val="hybridMultilevel"/>
    <w:tmpl w:val="54025282"/>
    <w:lvl w:ilvl="0" w:tplc="AE986C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5853736"/>
    <w:multiLevelType w:val="multilevel"/>
    <w:tmpl w:val="8EF86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0369C7"/>
    <w:multiLevelType w:val="hybridMultilevel"/>
    <w:tmpl w:val="68366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68BA7C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7BFE"/>
    <w:multiLevelType w:val="hybridMultilevel"/>
    <w:tmpl w:val="E24AD55A"/>
    <w:lvl w:ilvl="0" w:tplc="76CAC304">
      <w:start w:val="1"/>
      <w:numFmt w:val="decimal"/>
      <w:pStyle w:val="GA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23271"/>
    <w:multiLevelType w:val="hybridMultilevel"/>
    <w:tmpl w:val="706A0242"/>
    <w:lvl w:ilvl="0" w:tplc="624C6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97A4DB1"/>
    <w:multiLevelType w:val="hybridMultilevel"/>
    <w:tmpl w:val="1F36D964"/>
    <w:lvl w:ilvl="0" w:tplc="918ACE6A">
      <w:start w:val="1"/>
      <w:numFmt w:val="decimal"/>
      <w:pStyle w:val="GAParaResolut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C30BD2"/>
    <w:multiLevelType w:val="hybridMultilevel"/>
    <w:tmpl w:val="2F02E984"/>
    <w:lvl w:ilvl="0" w:tplc="DFC65752">
      <w:start w:val="1"/>
      <w:numFmt w:val="upperRoman"/>
      <w:pStyle w:val="Titre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CAB7CDD"/>
    <w:multiLevelType w:val="multilevel"/>
    <w:tmpl w:val="BEE0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SimSu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155AE9"/>
    <w:multiLevelType w:val="hybridMultilevel"/>
    <w:tmpl w:val="DFE29FF2"/>
    <w:lvl w:ilvl="0" w:tplc="8798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E7254"/>
    <w:multiLevelType w:val="hybridMultilevel"/>
    <w:tmpl w:val="49909E62"/>
    <w:lvl w:ilvl="0" w:tplc="5FF6C1A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790D25"/>
    <w:multiLevelType w:val="hybridMultilevel"/>
    <w:tmpl w:val="C8842060"/>
    <w:lvl w:ilvl="0" w:tplc="BFCC9782">
      <w:start w:val="1"/>
      <w:numFmt w:val="decimal"/>
      <w:lvlText w:val="%1."/>
      <w:lvlJc w:val="left"/>
      <w:pPr>
        <w:ind w:left="567" w:hanging="567"/>
      </w:pPr>
    </w:lvl>
    <w:lvl w:ilvl="1" w:tplc="4B1A83FE">
      <w:start w:val="1"/>
      <w:numFmt w:val="lowerRoman"/>
      <w:lvlText w:val="%2."/>
      <w:lvlJc w:val="left"/>
      <w:pPr>
        <w:ind w:left="1440" w:hanging="360"/>
      </w:pPr>
      <w:rPr>
        <w:u w:color="000000" w:themeColor="text1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27D1B3E"/>
    <w:multiLevelType w:val="hybridMultilevel"/>
    <w:tmpl w:val="A6FA64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C32CF8"/>
    <w:multiLevelType w:val="hybridMultilevel"/>
    <w:tmpl w:val="59B86C74"/>
    <w:lvl w:ilvl="0" w:tplc="C1882B86">
      <w:start w:val="1"/>
      <w:numFmt w:val="upperLetter"/>
      <w:lvlText w:val="%1.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13AA4"/>
    <w:multiLevelType w:val="hybridMultilevel"/>
    <w:tmpl w:val="49D01B22"/>
    <w:lvl w:ilvl="0" w:tplc="054C76D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82F79"/>
    <w:multiLevelType w:val="hybridMultilevel"/>
    <w:tmpl w:val="EE7243B4"/>
    <w:lvl w:ilvl="0" w:tplc="4F7CBCD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3"/>
  </w:num>
  <w:num w:numId="5">
    <w:abstractNumId w:val="20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22"/>
  </w:num>
  <w:num w:numId="14">
    <w:abstractNumId w:val="14"/>
  </w:num>
  <w:num w:numId="15">
    <w:abstractNumId w:val="15"/>
  </w:num>
  <w:num w:numId="16">
    <w:abstractNumId w:val="9"/>
  </w:num>
  <w:num w:numId="17">
    <w:abstractNumId w:val="9"/>
  </w:num>
  <w:num w:numId="18">
    <w:abstractNumId w:val="9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8"/>
  </w:num>
  <w:num w:numId="27">
    <w:abstractNumId w:val="7"/>
  </w:num>
  <w:num w:numId="28">
    <w:abstractNumId w:val="6"/>
    <w:lvlOverride w:ilvl="0">
      <w:startOverride w:val="1"/>
    </w:lvlOverride>
  </w:num>
  <w:num w:numId="29">
    <w:abstractNumId w:val="1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66"/>
    <w:rsid w:val="00000B17"/>
    <w:rsid w:val="000033CB"/>
    <w:rsid w:val="000048ED"/>
    <w:rsid w:val="00005F8C"/>
    <w:rsid w:val="000064E2"/>
    <w:rsid w:val="000132CE"/>
    <w:rsid w:val="000148EB"/>
    <w:rsid w:val="000240C1"/>
    <w:rsid w:val="0003210F"/>
    <w:rsid w:val="00037360"/>
    <w:rsid w:val="00041A66"/>
    <w:rsid w:val="00045960"/>
    <w:rsid w:val="0005176E"/>
    <w:rsid w:val="00070AD0"/>
    <w:rsid w:val="0007272E"/>
    <w:rsid w:val="00072B15"/>
    <w:rsid w:val="00075644"/>
    <w:rsid w:val="000765F7"/>
    <w:rsid w:val="00077AB7"/>
    <w:rsid w:val="00080C4C"/>
    <w:rsid w:val="00081CD8"/>
    <w:rsid w:val="00082FD9"/>
    <w:rsid w:val="00083F03"/>
    <w:rsid w:val="00084866"/>
    <w:rsid w:val="00085BB2"/>
    <w:rsid w:val="00087E9B"/>
    <w:rsid w:val="00091532"/>
    <w:rsid w:val="00092E27"/>
    <w:rsid w:val="00095540"/>
    <w:rsid w:val="000A0163"/>
    <w:rsid w:val="000A1AC2"/>
    <w:rsid w:val="000A2CDF"/>
    <w:rsid w:val="000A526A"/>
    <w:rsid w:val="000A7F0E"/>
    <w:rsid w:val="000C0D61"/>
    <w:rsid w:val="000C46EB"/>
    <w:rsid w:val="000C6B09"/>
    <w:rsid w:val="000D09FF"/>
    <w:rsid w:val="000D24C6"/>
    <w:rsid w:val="000E1611"/>
    <w:rsid w:val="000E2023"/>
    <w:rsid w:val="000E5671"/>
    <w:rsid w:val="000E6E39"/>
    <w:rsid w:val="000E78AC"/>
    <w:rsid w:val="000F3A3F"/>
    <w:rsid w:val="000F73EB"/>
    <w:rsid w:val="00102557"/>
    <w:rsid w:val="0010482B"/>
    <w:rsid w:val="00110439"/>
    <w:rsid w:val="001151E9"/>
    <w:rsid w:val="00123A66"/>
    <w:rsid w:val="00141262"/>
    <w:rsid w:val="00146859"/>
    <w:rsid w:val="001550E1"/>
    <w:rsid w:val="001561BA"/>
    <w:rsid w:val="0016208F"/>
    <w:rsid w:val="0016494C"/>
    <w:rsid w:val="00164D56"/>
    <w:rsid w:val="00167B10"/>
    <w:rsid w:val="0017402F"/>
    <w:rsid w:val="00176720"/>
    <w:rsid w:val="00181A48"/>
    <w:rsid w:val="00185A18"/>
    <w:rsid w:val="00196C1B"/>
    <w:rsid w:val="001B0F73"/>
    <w:rsid w:val="001C4DDB"/>
    <w:rsid w:val="001D1537"/>
    <w:rsid w:val="001D369A"/>
    <w:rsid w:val="001D5C04"/>
    <w:rsid w:val="001E090A"/>
    <w:rsid w:val="001E1C51"/>
    <w:rsid w:val="001F3271"/>
    <w:rsid w:val="001F32F0"/>
    <w:rsid w:val="001F46C3"/>
    <w:rsid w:val="001F64F0"/>
    <w:rsid w:val="0020320D"/>
    <w:rsid w:val="00207F3A"/>
    <w:rsid w:val="00217734"/>
    <w:rsid w:val="00220D80"/>
    <w:rsid w:val="00221F99"/>
    <w:rsid w:val="00222A2D"/>
    <w:rsid w:val="00223029"/>
    <w:rsid w:val="002265A5"/>
    <w:rsid w:val="00232013"/>
    <w:rsid w:val="00234745"/>
    <w:rsid w:val="00240049"/>
    <w:rsid w:val="002407AF"/>
    <w:rsid w:val="0025556E"/>
    <w:rsid w:val="00272207"/>
    <w:rsid w:val="00274E4B"/>
    <w:rsid w:val="00275BB0"/>
    <w:rsid w:val="00280FDB"/>
    <w:rsid w:val="00286D3D"/>
    <w:rsid w:val="00293026"/>
    <w:rsid w:val="002A41FD"/>
    <w:rsid w:val="002A4A46"/>
    <w:rsid w:val="002A535C"/>
    <w:rsid w:val="002B1E56"/>
    <w:rsid w:val="002B5184"/>
    <w:rsid w:val="002C069A"/>
    <w:rsid w:val="002C09E3"/>
    <w:rsid w:val="002C2474"/>
    <w:rsid w:val="002C3EFB"/>
    <w:rsid w:val="002D39A6"/>
    <w:rsid w:val="002D6249"/>
    <w:rsid w:val="002E2897"/>
    <w:rsid w:val="002E2EA4"/>
    <w:rsid w:val="002E4EBE"/>
    <w:rsid w:val="002E68F9"/>
    <w:rsid w:val="002F15D5"/>
    <w:rsid w:val="002F312A"/>
    <w:rsid w:val="002F3A0C"/>
    <w:rsid w:val="002F6A15"/>
    <w:rsid w:val="00300F5D"/>
    <w:rsid w:val="00310857"/>
    <w:rsid w:val="00314B87"/>
    <w:rsid w:val="00317452"/>
    <w:rsid w:val="00327EA5"/>
    <w:rsid w:val="003338A0"/>
    <w:rsid w:val="00334906"/>
    <w:rsid w:val="003416E6"/>
    <w:rsid w:val="00341C92"/>
    <w:rsid w:val="00345CB4"/>
    <w:rsid w:val="0035306D"/>
    <w:rsid w:val="00353F1E"/>
    <w:rsid w:val="003549B8"/>
    <w:rsid w:val="0039148A"/>
    <w:rsid w:val="0039224A"/>
    <w:rsid w:val="003A19DB"/>
    <w:rsid w:val="003A44FC"/>
    <w:rsid w:val="003A59C5"/>
    <w:rsid w:val="003B1E7C"/>
    <w:rsid w:val="003C072B"/>
    <w:rsid w:val="003C0F85"/>
    <w:rsid w:val="003C3C6B"/>
    <w:rsid w:val="003C6C8B"/>
    <w:rsid w:val="003D069C"/>
    <w:rsid w:val="003D35E4"/>
    <w:rsid w:val="003D416B"/>
    <w:rsid w:val="003D7646"/>
    <w:rsid w:val="003D7B04"/>
    <w:rsid w:val="003E6DD4"/>
    <w:rsid w:val="003F113A"/>
    <w:rsid w:val="003F472B"/>
    <w:rsid w:val="003F76A9"/>
    <w:rsid w:val="0040187A"/>
    <w:rsid w:val="0041353C"/>
    <w:rsid w:val="00414643"/>
    <w:rsid w:val="00415422"/>
    <w:rsid w:val="0041645A"/>
    <w:rsid w:val="00423929"/>
    <w:rsid w:val="004421E5"/>
    <w:rsid w:val="00444E85"/>
    <w:rsid w:val="00452284"/>
    <w:rsid w:val="0047167A"/>
    <w:rsid w:val="004716C1"/>
    <w:rsid w:val="004847FC"/>
    <w:rsid w:val="004856CA"/>
    <w:rsid w:val="0049705E"/>
    <w:rsid w:val="004A033C"/>
    <w:rsid w:val="004A0760"/>
    <w:rsid w:val="004A34A0"/>
    <w:rsid w:val="004A368B"/>
    <w:rsid w:val="004A70BA"/>
    <w:rsid w:val="004A7956"/>
    <w:rsid w:val="004B3164"/>
    <w:rsid w:val="004B439C"/>
    <w:rsid w:val="004B6F28"/>
    <w:rsid w:val="004B7AE5"/>
    <w:rsid w:val="004C3909"/>
    <w:rsid w:val="004D03DE"/>
    <w:rsid w:val="004D2F9A"/>
    <w:rsid w:val="004E6C94"/>
    <w:rsid w:val="004F374F"/>
    <w:rsid w:val="005056C0"/>
    <w:rsid w:val="00510637"/>
    <w:rsid w:val="00511604"/>
    <w:rsid w:val="00513723"/>
    <w:rsid w:val="005153C6"/>
    <w:rsid w:val="00526B7B"/>
    <w:rsid w:val="00526EFF"/>
    <w:rsid w:val="005308CE"/>
    <w:rsid w:val="00537C97"/>
    <w:rsid w:val="00540FE0"/>
    <w:rsid w:val="00543A3F"/>
    <w:rsid w:val="005441AB"/>
    <w:rsid w:val="00544F58"/>
    <w:rsid w:val="0054724E"/>
    <w:rsid w:val="0055369C"/>
    <w:rsid w:val="00557307"/>
    <w:rsid w:val="00557B21"/>
    <w:rsid w:val="0056633F"/>
    <w:rsid w:val="0057194D"/>
    <w:rsid w:val="0057439C"/>
    <w:rsid w:val="0059554C"/>
    <w:rsid w:val="005A7F45"/>
    <w:rsid w:val="005B0127"/>
    <w:rsid w:val="005B0B46"/>
    <w:rsid w:val="005B35B0"/>
    <w:rsid w:val="005B7A35"/>
    <w:rsid w:val="005B7DF5"/>
    <w:rsid w:val="005C0160"/>
    <w:rsid w:val="005C4B73"/>
    <w:rsid w:val="005D6A47"/>
    <w:rsid w:val="005E1D2B"/>
    <w:rsid w:val="005E5F37"/>
    <w:rsid w:val="00600D93"/>
    <w:rsid w:val="00602F22"/>
    <w:rsid w:val="006051DD"/>
    <w:rsid w:val="006134D5"/>
    <w:rsid w:val="00621572"/>
    <w:rsid w:val="00627A48"/>
    <w:rsid w:val="0063300C"/>
    <w:rsid w:val="006340DF"/>
    <w:rsid w:val="00655736"/>
    <w:rsid w:val="0066013E"/>
    <w:rsid w:val="00663B8D"/>
    <w:rsid w:val="00667DE5"/>
    <w:rsid w:val="0067742E"/>
    <w:rsid w:val="00680D01"/>
    <w:rsid w:val="00696C8D"/>
    <w:rsid w:val="006A2AC2"/>
    <w:rsid w:val="006A2C53"/>
    <w:rsid w:val="006A3617"/>
    <w:rsid w:val="006A73F0"/>
    <w:rsid w:val="006B7D3C"/>
    <w:rsid w:val="006C461D"/>
    <w:rsid w:val="006E46E4"/>
    <w:rsid w:val="006E51B5"/>
    <w:rsid w:val="006E69BE"/>
    <w:rsid w:val="006F41B4"/>
    <w:rsid w:val="006F4AC2"/>
    <w:rsid w:val="00700DD8"/>
    <w:rsid w:val="007019E5"/>
    <w:rsid w:val="00703FBF"/>
    <w:rsid w:val="007075AD"/>
    <w:rsid w:val="00717DA5"/>
    <w:rsid w:val="0072131B"/>
    <w:rsid w:val="00722B5F"/>
    <w:rsid w:val="0072613B"/>
    <w:rsid w:val="00741D4A"/>
    <w:rsid w:val="00742A89"/>
    <w:rsid w:val="007434CC"/>
    <w:rsid w:val="00744484"/>
    <w:rsid w:val="0075153F"/>
    <w:rsid w:val="00757724"/>
    <w:rsid w:val="007615AE"/>
    <w:rsid w:val="00763A0D"/>
    <w:rsid w:val="00764295"/>
    <w:rsid w:val="00765692"/>
    <w:rsid w:val="00773188"/>
    <w:rsid w:val="00775A58"/>
    <w:rsid w:val="00781F19"/>
    <w:rsid w:val="0078250F"/>
    <w:rsid w:val="00783782"/>
    <w:rsid w:val="00784B8C"/>
    <w:rsid w:val="00793E63"/>
    <w:rsid w:val="007A2184"/>
    <w:rsid w:val="007A71D3"/>
    <w:rsid w:val="007B47CD"/>
    <w:rsid w:val="007B4B5E"/>
    <w:rsid w:val="007C7AA1"/>
    <w:rsid w:val="007D07D6"/>
    <w:rsid w:val="007D0C8C"/>
    <w:rsid w:val="007D0E61"/>
    <w:rsid w:val="007F254F"/>
    <w:rsid w:val="007F2A55"/>
    <w:rsid w:val="007F6962"/>
    <w:rsid w:val="00801E0C"/>
    <w:rsid w:val="00801F0C"/>
    <w:rsid w:val="00806FAD"/>
    <w:rsid w:val="00812541"/>
    <w:rsid w:val="0081275B"/>
    <w:rsid w:val="008136A3"/>
    <w:rsid w:val="00814506"/>
    <w:rsid w:val="008169F2"/>
    <w:rsid w:val="00823A11"/>
    <w:rsid w:val="00832897"/>
    <w:rsid w:val="00837AAB"/>
    <w:rsid w:val="0084015B"/>
    <w:rsid w:val="008457B4"/>
    <w:rsid w:val="00846CFC"/>
    <w:rsid w:val="00846F7B"/>
    <w:rsid w:val="00850229"/>
    <w:rsid w:val="00852866"/>
    <w:rsid w:val="0085414A"/>
    <w:rsid w:val="0085545C"/>
    <w:rsid w:val="00855DB2"/>
    <w:rsid w:val="00856A9C"/>
    <w:rsid w:val="008604FA"/>
    <w:rsid w:val="0086269D"/>
    <w:rsid w:val="008643E0"/>
    <w:rsid w:val="0086543A"/>
    <w:rsid w:val="008656FA"/>
    <w:rsid w:val="00867686"/>
    <w:rsid w:val="00872450"/>
    <w:rsid w:val="008724E5"/>
    <w:rsid w:val="00873E2D"/>
    <w:rsid w:val="008740D1"/>
    <w:rsid w:val="0087578B"/>
    <w:rsid w:val="00876E9E"/>
    <w:rsid w:val="0088265D"/>
    <w:rsid w:val="00884A9D"/>
    <w:rsid w:val="0088512B"/>
    <w:rsid w:val="008902C1"/>
    <w:rsid w:val="00891110"/>
    <w:rsid w:val="00894765"/>
    <w:rsid w:val="008948AA"/>
    <w:rsid w:val="008951A0"/>
    <w:rsid w:val="008A1ED4"/>
    <w:rsid w:val="008A2B2D"/>
    <w:rsid w:val="008A4E1E"/>
    <w:rsid w:val="008A70F9"/>
    <w:rsid w:val="008A7FD2"/>
    <w:rsid w:val="008B4E5C"/>
    <w:rsid w:val="008C296C"/>
    <w:rsid w:val="008C5F63"/>
    <w:rsid w:val="008D4305"/>
    <w:rsid w:val="008F4F99"/>
    <w:rsid w:val="009001C7"/>
    <w:rsid w:val="00900C06"/>
    <w:rsid w:val="00905C14"/>
    <w:rsid w:val="0090601F"/>
    <w:rsid w:val="009068DE"/>
    <w:rsid w:val="0091009D"/>
    <w:rsid w:val="0091124E"/>
    <w:rsid w:val="0091589B"/>
    <w:rsid w:val="009163A7"/>
    <w:rsid w:val="009177C5"/>
    <w:rsid w:val="00917D72"/>
    <w:rsid w:val="00921F31"/>
    <w:rsid w:val="00923FC6"/>
    <w:rsid w:val="009243AF"/>
    <w:rsid w:val="00933318"/>
    <w:rsid w:val="00935320"/>
    <w:rsid w:val="00935DA5"/>
    <w:rsid w:val="00935E67"/>
    <w:rsid w:val="00937188"/>
    <w:rsid w:val="00946D0B"/>
    <w:rsid w:val="009551EC"/>
    <w:rsid w:val="00955DDC"/>
    <w:rsid w:val="00956A8A"/>
    <w:rsid w:val="009657C7"/>
    <w:rsid w:val="0097101E"/>
    <w:rsid w:val="00972086"/>
    <w:rsid w:val="0097331A"/>
    <w:rsid w:val="009817F7"/>
    <w:rsid w:val="00987DC1"/>
    <w:rsid w:val="00993531"/>
    <w:rsid w:val="009A18CD"/>
    <w:rsid w:val="009A43B8"/>
    <w:rsid w:val="009A7384"/>
    <w:rsid w:val="009D548B"/>
    <w:rsid w:val="009D7D44"/>
    <w:rsid w:val="009E16DF"/>
    <w:rsid w:val="00A1214C"/>
    <w:rsid w:val="00A12558"/>
    <w:rsid w:val="00A13903"/>
    <w:rsid w:val="00A234CC"/>
    <w:rsid w:val="00A30CBD"/>
    <w:rsid w:val="00A34ED5"/>
    <w:rsid w:val="00A45DBF"/>
    <w:rsid w:val="00A472E0"/>
    <w:rsid w:val="00A474F4"/>
    <w:rsid w:val="00A51636"/>
    <w:rsid w:val="00A551C1"/>
    <w:rsid w:val="00A63537"/>
    <w:rsid w:val="00A645DF"/>
    <w:rsid w:val="00A64F94"/>
    <w:rsid w:val="00A65775"/>
    <w:rsid w:val="00A65C29"/>
    <w:rsid w:val="00A74394"/>
    <w:rsid w:val="00A755A2"/>
    <w:rsid w:val="00A76522"/>
    <w:rsid w:val="00A80945"/>
    <w:rsid w:val="00A84093"/>
    <w:rsid w:val="00A85654"/>
    <w:rsid w:val="00A85D54"/>
    <w:rsid w:val="00A8657F"/>
    <w:rsid w:val="00AA6660"/>
    <w:rsid w:val="00AB2C36"/>
    <w:rsid w:val="00AB70B6"/>
    <w:rsid w:val="00AC1396"/>
    <w:rsid w:val="00AC3A7F"/>
    <w:rsid w:val="00AC4B3C"/>
    <w:rsid w:val="00AC5A7D"/>
    <w:rsid w:val="00AD1A86"/>
    <w:rsid w:val="00AD5E36"/>
    <w:rsid w:val="00AD62F6"/>
    <w:rsid w:val="00AE103E"/>
    <w:rsid w:val="00AE1FC4"/>
    <w:rsid w:val="00AF0A07"/>
    <w:rsid w:val="00AF4AEC"/>
    <w:rsid w:val="00AF5308"/>
    <w:rsid w:val="00AF625E"/>
    <w:rsid w:val="00B033BA"/>
    <w:rsid w:val="00B05E9F"/>
    <w:rsid w:val="00B15B76"/>
    <w:rsid w:val="00B2177D"/>
    <w:rsid w:val="00B2181F"/>
    <w:rsid w:val="00B21A9D"/>
    <w:rsid w:val="00B26DB9"/>
    <w:rsid w:val="00B3014F"/>
    <w:rsid w:val="00B3435F"/>
    <w:rsid w:val="00B35559"/>
    <w:rsid w:val="00B363F4"/>
    <w:rsid w:val="00B51385"/>
    <w:rsid w:val="00B519C7"/>
    <w:rsid w:val="00B55055"/>
    <w:rsid w:val="00B60F8B"/>
    <w:rsid w:val="00B6215D"/>
    <w:rsid w:val="00B669D5"/>
    <w:rsid w:val="00B66D23"/>
    <w:rsid w:val="00B67FA3"/>
    <w:rsid w:val="00B75DCD"/>
    <w:rsid w:val="00B76771"/>
    <w:rsid w:val="00B76CD0"/>
    <w:rsid w:val="00B80F46"/>
    <w:rsid w:val="00B84B3A"/>
    <w:rsid w:val="00B86050"/>
    <w:rsid w:val="00B949DF"/>
    <w:rsid w:val="00B96B09"/>
    <w:rsid w:val="00BB04AF"/>
    <w:rsid w:val="00BB6956"/>
    <w:rsid w:val="00BC26F3"/>
    <w:rsid w:val="00BC3181"/>
    <w:rsid w:val="00BD0E68"/>
    <w:rsid w:val="00BD52C9"/>
    <w:rsid w:val="00BE6354"/>
    <w:rsid w:val="00C02434"/>
    <w:rsid w:val="00C03D24"/>
    <w:rsid w:val="00C04B18"/>
    <w:rsid w:val="00C13938"/>
    <w:rsid w:val="00C13FB4"/>
    <w:rsid w:val="00C16967"/>
    <w:rsid w:val="00C23A97"/>
    <w:rsid w:val="00C25495"/>
    <w:rsid w:val="00C3077D"/>
    <w:rsid w:val="00C307C0"/>
    <w:rsid w:val="00C334CC"/>
    <w:rsid w:val="00C335AD"/>
    <w:rsid w:val="00C34452"/>
    <w:rsid w:val="00C418B1"/>
    <w:rsid w:val="00C41C48"/>
    <w:rsid w:val="00C42C66"/>
    <w:rsid w:val="00C44E09"/>
    <w:rsid w:val="00C64C71"/>
    <w:rsid w:val="00C67F34"/>
    <w:rsid w:val="00C70A64"/>
    <w:rsid w:val="00C70EA7"/>
    <w:rsid w:val="00C71E58"/>
    <w:rsid w:val="00C7516E"/>
    <w:rsid w:val="00C75770"/>
    <w:rsid w:val="00C820A2"/>
    <w:rsid w:val="00C83ECF"/>
    <w:rsid w:val="00C90788"/>
    <w:rsid w:val="00C933CE"/>
    <w:rsid w:val="00CB5C7B"/>
    <w:rsid w:val="00CB7511"/>
    <w:rsid w:val="00CC041D"/>
    <w:rsid w:val="00CC1DBC"/>
    <w:rsid w:val="00CC7E40"/>
    <w:rsid w:val="00CD16A7"/>
    <w:rsid w:val="00CD78B8"/>
    <w:rsid w:val="00CE30FA"/>
    <w:rsid w:val="00CE3C7F"/>
    <w:rsid w:val="00CE6410"/>
    <w:rsid w:val="00CF1F75"/>
    <w:rsid w:val="00CF50B9"/>
    <w:rsid w:val="00D00B2B"/>
    <w:rsid w:val="00D028C1"/>
    <w:rsid w:val="00D05124"/>
    <w:rsid w:val="00D1297A"/>
    <w:rsid w:val="00D1575E"/>
    <w:rsid w:val="00D1659C"/>
    <w:rsid w:val="00D16AC0"/>
    <w:rsid w:val="00D24877"/>
    <w:rsid w:val="00D27A09"/>
    <w:rsid w:val="00D304ED"/>
    <w:rsid w:val="00D34160"/>
    <w:rsid w:val="00D416E3"/>
    <w:rsid w:val="00D54F9F"/>
    <w:rsid w:val="00D67A8D"/>
    <w:rsid w:val="00D67D46"/>
    <w:rsid w:val="00D74B60"/>
    <w:rsid w:val="00D95C4C"/>
    <w:rsid w:val="00D961EB"/>
    <w:rsid w:val="00D9656E"/>
    <w:rsid w:val="00DA36ED"/>
    <w:rsid w:val="00DB1110"/>
    <w:rsid w:val="00DB1732"/>
    <w:rsid w:val="00DB39E3"/>
    <w:rsid w:val="00DB5492"/>
    <w:rsid w:val="00DC4DD3"/>
    <w:rsid w:val="00DD3257"/>
    <w:rsid w:val="00DD49FE"/>
    <w:rsid w:val="00DD4BA0"/>
    <w:rsid w:val="00DD6FF7"/>
    <w:rsid w:val="00DD7A84"/>
    <w:rsid w:val="00DE1FAF"/>
    <w:rsid w:val="00DE34F1"/>
    <w:rsid w:val="00DE3F89"/>
    <w:rsid w:val="00DF11BE"/>
    <w:rsid w:val="00DF4942"/>
    <w:rsid w:val="00E021B4"/>
    <w:rsid w:val="00E04C70"/>
    <w:rsid w:val="00E13D85"/>
    <w:rsid w:val="00E20C68"/>
    <w:rsid w:val="00E24A08"/>
    <w:rsid w:val="00E25E00"/>
    <w:rsid w:val="00E30F5C"/>
    <w:rsid w:val="00E4433F"/>
    <w:rsid w:val="00E5318D"/>
    <w:rsid w:val="00E53E09"/>
    <w:rsid w:val="00E60B07"/>
    <w:rsid w:val="00E627B1"/>
    <w:rsid w:val="00E75101"/>
    <w:rsid w:val="00E82CB7"/>
    <w:rsid w:val="00E923EF"/>
    <w:rsid w:val="00E9376C"/>
    <w:rsid w:val="00E940A7"/>
    <w:rsid w:val="00E96188"/>
    <w:rsid w:val="00EA1941"/>
    <w:rsid w:val="00EA335E"/>
    <w:rsid w:val="00EA4684"/>
    <w:rsid w:val="00EA528C"/>
    <w:rsid w:val="00EB40AA"/>
    <w:rsid w:val="00EB4F27"/>
    <w:rsid w:val="00EB659C"/>
    <w:rsid w:val="00EC0B62"/>
    <w:rsid w:val="00EC1B0A"/>
    <w:rsid w:val="00ED11F2"/>
    <w:rsid w:val="00ED5ADA"/>
    <w:rsid w:val="00ED603C"/>
    <w:rsid w:val="00ED79EA"/>
    <w:rsid w:val="00EF19A6"/>
    <w:rsid w:val="00EF34E2"/>
    <w:rsid w:val="00EF4DB2"/>
    <w:rsid w:val="00EF4F1F"/>
    <w:rsid w:val="00EF51F1"/>
    <w:rsid w:val="00EF69E3"/>
    <w:rsid w:val="00EF76AB"/>
    <w:rsid w:val="00F010E0"/>
    <w:rsid w:val="00F03296"/>
    <w:rsid w:val="00F040B9"/>
    <w:rsid w:val="00F06FE0"/>
    <w:rsid w:val="00F141E5"/>
    <w:rsid w:val="00F15DE6"/>
    <w:rsid w:val="00F20D64"/>
    <w:rsid w:val="00F20E20"/>
    <w:rsid w:val="00F25299"/>
    <w:rsid w:val="00F53DE9"/>
    <w:rsid w:val="00F55A09"/>
    <w:rsid w:val="00F576CB"/>
    <w:rsid w:val="00F57C25"/>
    <w:rsid w:val="00F61211"/>
    <w:rsid w:val="00F64DF8"/>
    <w:rsid w:val="00F675D7"/>
    <w:rsid w:val="00F70F3C"/>
    <w:rsid w:val="00F70FB7"/>
    <w:rsid w:val="00F71A02"/>
    <w:rsid w:val="00F826E0"/>
    <w:rsid w:val="00F86884"/>
    <w:rsid w:val="00F91440"/>
    <w:rsid w:val="00F94C34"/>
    <w:rsid w:val="00FA1124"/>
    <w:rsid w:val="00FA1898"/>
    <w:rsid w:val="00FA53C0"/>
    <w:rsid w:val="00FA5EA0"/>
    <w:rsid w:val="00FB026B"/>
    <w:rsid w:val="00FB2302"/>
    <w:rsid w:val="00FB6630"/>
    <w:rsid w:val="00FC5CB1"/>
    <w:rsid w:val="00FD10DB"/>
    <w:rsid w:val="00FD1226"/>
    <w:rsid w:val="00FD6A5E"/>
    <w:rsid w:val="00FE2314"/>
    <w:rsid w:val="00FE3728"/>
    <w:rsid w:val="00FE5769"/>
    <w:rsid w:val="00FF2A43"/>
    <w:rsid w:val="00FF4830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56C40A"/>
  <w15:docId w15:val="{55B1899D-5EEB-43D0-8F3E-4B34346C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5CB4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aliases w:val="GA Heading"/>
    <w:basedOn w:val="Normal"/>
    <w:next w:val="Normal"/>
    <w:link w:val="Titre4C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8724E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724E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24E5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odepage">
    <w:name w:val="page number"/>
    <w:basedOn w:val="Policepardfaut"/>
    <w:semiHidden/>
    <w:rsid w:val="00EF563B"/>
  </w:style>
  <w:style w:type="character" w:customStyle="1" w:styleId="Titre4Car">
    <w:name w:val="Titre 4 Car"/>
    <w:aliases w:val="GA Heading Car"/>
    <w:link w:val="Titre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Policepardfaut"/>
    <w:rsid w:val="00564DDB"/>
  </w:style>
  <w:style w:type="character" w:customStyle="1" w:styleId="apple-converted-space">
    <w:name w:val="apple-converted-space"/>
    <w:basedOn w:val="Policepardfau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GAPara">
    <w:name w:val="GA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customStyle="1" w:styleId="GATitleResolution">
    <w:name w:val="GA Title Resolut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GAPreambulaResolution">
    <w:name w:val="GA Preambula Resolution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GAParaResolution">
    <w:name w:val="GA Para Resolut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paragraph" w:styleId="Paragraphedeliste">
    <w:name w:val="List Paragraph"/>
    <w:basedOn w:val="Normal"/>
    <w:uiPriority w:val="34"/>
    <w:qFormat/>
    <w:rsid w:val="002F312A"/>
    <w:pPr>
      <w:ind w:left="720"/>
      <w:contextualSpacing/>
    </w:pPr>
  </w:style>
  <w:style w:type="paragraph" w:customStyle="1" w:styleId="COMParaDecision">
    <w:name w:val="COM Para Decision"/>
    <w:basedOn w:val="Normal"/>
    <w:qFormat/>
    <w:rsid w:val="008A1ED4"/>
    <w:p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paragraph" w:customStyle="1" w:styleId="COMPara">
    <w:name w:val="COM Para"/>
    <w:qFormat/>
    <w:rsid w:val="006051DD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6051DD"/>
    <w:rPr>
      <w:color w:val="0563C1" w:themeColor="hyperlink"/>
      <w:u w:val="single"/>
    </w:rPr>
  </w:style>
  <w:style w:type="character" w:customStyle="1" w:styleId="Mencinsinresolver1">
    <w:name w:val="Mención sin resolver1"/>
    <w:basedOn w:val="Policepardfaut"/>
    <w:uiPriority w:val="99"/>
    <w:semiHidden/>
    <w:unhideWhenUsed/>
    <w:rsid w:val="00B519C7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4F9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4F94"/>
    <w:rPr>
      <w:rFonts w:ascii="Times New Roman" w:eastAsia="Times New Roman" w:hAnsi="Times New Roman"/>
      <w:lang w:val="fr-FR" w:eastAsia="fr-FR"/>
    </w:rPr>
  </w:style>
  <w:style w:type="character" w:styleId="Appelnotedebasdep">
    <w:name w:val="footnote reference"/>
    <w:basedOn w:val="Policepardfaut"/>
    <w:uiPriority w:val="99"/>
    <w:unhideWhenUsed/>
    <w:rsid w:val="00A64F94"/>
    <w:rPr>
      <w:vertAlign w:val="superscript"/>
    </w:rPr>
  </w:style>
  <w:style w:type="paragraph" w:customStyle="1" w:styleId="1GAPara">
    <w:name w:val="1. GA Para"/>
    <w:qFormat/>
    <w:rsid w:val="00510637"/>
    <w:pPr>
      <w:spacing w:after="120"/>
      <w:ind w:left="720" w:hanging="360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10637"/>
    <w:rPr>
      <w:rFonts w:eastAsiaTheme="minorHAnsi"/>
    </w:rPr>
  </w:style>
  <w:style w:type="paragraph" w:customStyle="1" w:styleId="1gapara0">
    <w:name w:val="1gapara"/>
    <w:basedOn w:val="Normal"/>
    <w:uiPriority w:val="99"/>
    <w:semiHidden/>
    <w:rsid w:val="00510637"/>
    <w:rPr>
      <w:rFonts w:eastAsiaTheme="minorHAnsi"/>
    </w:rPr>
  </w:style>
  <w:style w:type="paragraph" w:customStyle="1" w:styleId="COMTitleDecision">
    <w:name w:val="COM Title Decision"/>
    <w:basedOn w:val="Normal"/>
    <w:qFormat/>
    <w:rsid w:val="00A85654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A85654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B301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1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14F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1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14F"/>
    <w:rPr>
      <w:rFonts w:ascii="Times New Roman" w:eastAsia="Times New Roman" w:hAnsi="Times New Roman"/>
      <w:b/>
      <w:bCs/>
      <w:lang w:val="fr-FR" w:eastAsia="fr-FR"/>
    </w:rPr>
  </w:style>
  <w:style w:type="paragraph" w:styleId="Rvision">
    <w:name w:val="Revision"/>
    <w:hidden/>
    <w:uiPriority w:val="99"/>
    <w:semiHidden/>
    <w:rsid w:val="00B3014F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7167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86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en/Decisions/14.COM/14" TargetMode="External"/><Relationship Id="rId13" Type="http://schemas.openxmlformats.org/officeDocument/2006/relationships/hyperlink" Target="https://ich.unesco.org/en/Decisions/13.COM/1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ich.unesco.org/doc/src/LHE-20-8.GA-11-RU.docx" TargetMode="External"/><Relationship Id="rId17" Type="http://schemas.openxmlformats.org/officeDocument/2006/relationships/hyperlink" Target="https://ich.unesco.org/en/Decisions/14.COM/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ch.unesco.org/en/Decisions/14.COM/14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h.unesco.org/doc/src/ITH-18-7.GA-Resolutions-RU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h.unesco.org/en/Decisions/13.COM/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ch.unesco.org/en/Decisions/12.COM/1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Decisions/11.COM/10" TargetMode="External"/><Relationship Id="rId14" Type="http://schemas.openxmlformats.org/officeDocument/2006/relationships/hyperlink" Target="https://ich.unesco.org/en/Decisions/13.COM/16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FF1A-46C1-4FE2-B41D-8E67A970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1464</Words>
  <Characters>8054</Characters>
  <Application>Microsoft Office Word</Application>
  <DocSecurity>0</DocSecurity>
  <Lines>67</Lines>
  <Paragraphs>18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UNESCO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Eunkyung</dc:creator>
  <cp:keywords/>
  <cp:lastModifiedBy>Ohinata, Fumiko</cp:lastModifiedBy>
  <cp:revision>12</cp:revision>
  <cp:lastPrinted>2020-07-09T07:56:00Z</cp:lastPrinted>
  <dcterms:created xsi:type="dcterms:W3CDTF">2020-07-31T16:54:00Z</dcterms:created>
  <dcterms:modified xsi:type="dcterms:W3CDTF">2020-08-07T09:39:00Z</dcterms:modified>
</cp:coreProperties>
</file>