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8DEB" w14:textId="688EDD14" w:rsidR="00655736" w:rsidRPr="00414643" w:rsidRDefault="00655736" w:rsidP="0041353C">
      <w:pPr>
        <w:spacing w:before="1440"/>
        <w:jc w:val="center"/>
        <w:rPr>
          <w:rFonts w:ascii="Arial" w:hAnsi="Arial" w:cs="Arial"/>
          <w:b/>
          <w:sz w:val="22"/>
          <w:szCs w:val="22"/>
        </w:rPr>
      </w:pPr>
      <w:r w:rsidRPr="00AC123C">
        <w:rPr>
          <w:rFonts w:ascii="Arial" w:hAnsi="Arial" w:cs="Arial"/>
          <w:b/>
          <w:sz w:val="22"/>
          <w:szCs w:val="22"/>
        </w:rPr>
        <w:t xml:space="preserve">CONVENTION POUR LA </w:t>
      </w:r>
      <w:r w:rsidR="0020790A" w:rsidRPr="00AC123C">
        <w:rPr>
          <w:rFonts w:ascii="Arial" w:hAnsi="Arial" w:cs="Arial"/>
          <w:b/>
          <w:sz w:val="22"/>
          <w:szCs w:val="22"/>
        </w:rPr>
        <w:t>SAUVEGARDE</w:t>
      </w:r>
      <w:r w:rsidR="0099780A">
        <w:rPr>
          <w:rFonts w:ascii="Arial" w:hAnsi="Arial" w:cs="Arial"/>
          <w:b/>
          <w:sz w:val="22"/>
          <w:szCs w:val="22"/>
        </w:rPr>
        <w:br/>
      </w:r>
      <w:r w:rsidRPr="00AC123C">
        <w:rPr>
          <w:rFonts w:ascii="Arial" w:hAnsi="Arial" w:cs="Arial"/>
          <w:b/>
          <w:sz w:val="22"/>
          <w:szCs w:val="22"/>
        </w:rPr>
        <w:t>DU</w:t>
      </w:r>
      <w:r w:rsidR="0099780A">
        <w:rPr>
          <w:rFonts w:ascii="Arial" w:hAnsi="Arial" w:cs="Arial"/>
          <w:b/>
          <w:sz w:val="22"/>
          <w:szCs w:val="22"/>
        </w:rPr>
        <w:t xml:space="preserve"> </w:t>
      </w:r>
      <w:r w:rsidRPr="00AC123C">
        <w:rPr>
          <w:rFonts w:ascii="Arial" w:hAnsi="Arial" w:cs="Arial"/>
          <w:b/>
          <w:sz w:val="22"/>
          <w:szCs w:val="22"/>
        </w:rPr>
        <w:t>PATRIMOINE CULTUREL</w:t>
      </w:r>
      <w:r>
        <w:rPr>
          <w:rFonts w:ascii="Arial" w:hAnsi="Arial"/>
          <w:b/>
          <w:sz w:val="22"/>
          <w:szCs w:val="22"/>
        </w:rPr>
        <w:t xml:space="preserve"> IMMATÉRIEL</w:t>
      </w:r>
    </w:p>
    <w:p w14:paraId="5DE657EC" w14:textId="77777777" w:rsidR="00655736" w:rsidRPr="00414643" w:rsidRDefault="00D95C4C" w:rsidP="00655736">
      <w:pPr>
        <w:spacing w:before="1200"/>
        <w:jc w:val="center"/>
        <w:rPr>
          <w:rFonts w:ascii="Arial" w:hAnsi="Arial" w:cs="Arial"/>
          <w:b/>
          <w:sz w:val="22"/>
          <w:szCs w:val="22"/>
        </w:rPr>
      </w:pPr>
      <w:r>
        <w:rPr>
          <w:rFonts w:ascii="Arial" w:hAnsi="Arial"/>
          <w:b/>
          <w:sz w:val="22"/>
          <w:szCs w:val="22"/>
        </w:rPr>
        <w:t>ASSEMBLÉE GÉNÉRALE DES ÉTATS PARTIES À LA CONVENTION</w:t>
      </w:r>
    </w:p>
    <w:p w14:paraId="68C7D39F" w14:textId="77777777" w:rsidR="00D95C4C" w:rsidRPr="00FD624F" w:rsidRDefault="006F41B4" w:rsidP="00D95C4C">
      <w:pPr>
        <w:spacing w:before="840"/>
        <w:jc w:val="center"/>
        <w:rPr>
          <w:rFonts w:ascii="Arial" w:hAnsi="Arial" w:cs="Arial"/>
          <w:b/>
          <w:sz w:val="22"/>
          <w:szCs w:val="22"/>
        </w:rPr>
      </w:pPr>
      <w:r>
        <w:rPr>
          <w:rFonts w:ascii="Arial" w:hAnsi="Arial"/>
          <w:b/>
          <w:sz w:val="22"/>
          <w:szCs w:val="22"/>
        </w:rPr>
        <w:t>Huitième session</w:t>
      </w:r>
    </w:p>
    <w:p w14:paraId="550E6143" w14:textId="79FF85F5" w:rsidR="00D95C4C" w:rsidRPr="009817F7" w:rsidRDefault="00D95C4C" w:rsidP="00D95C4C">
      <w:pPr>
        <w:jc w:val="center"/>
        <w:rPr>
          <w:rFonts w:ascii="Arial" w:hAnsi="Arial" w:cs="Arial"/>
          <w:b/>
          <w:sz w:val="22"/>
          <w:szCs w:val="22"/>
        </w:rPr>
      </w:pPr>
      <w:r>
        <w:rPr>
          <w:rFonts w:ascii="Arial" w:hAnsi="Arial"/>
          <w:b/>
          <w:sz w:val="22"/>
          <w:szCs w:val="22"/>
        </w:rPr>
        <w:t xml:space="preserve">Siège de l’UNESCO, </w:t>
      </w:r>
      <w:r w:rsidR="009614D4">
        <w:rPr>
          <w:rFonts w:ascii="Arial" w:hAnsi="Arial"/>
          <w:b/>
          <w:sz w:val="22"/>
          <w:szCs w:val="22"/>
        </w:rPr>
        <w:t>salle </w:t>
      </w:r>
      <w:r>
        <w:rPr>
          <w:rFonts w:ascii="Arial" w:hAnsi="Arial"/>
          <w:b/>
          <w:sz w:val="22"/>
          <w:szCs w:val="22"/>
        </w:rPr>
        <w:t>I</w:t>
      </w:r>
    </w:p>
    <w:p w14:paraId="23B633C3" w14:textId="55E28E15" w:rsidR="00655736" w:rsidRPr="00414643" w:rsidRDefault="00B05E9F" w:rsidP="00D95C4C">
      <w:pPr>
        <w:jc w:val="center"/>
        <w:rPr>
          <w:rFonts w:ascii="Arial" w:hAnsi="Arial" w:cs="Arial"/>
          <w:b/>
          <w:sz w:val="22"/>
          <w:szCs w:val="22"/>
        </w:rPr>
      </w:pPr>
      <w:r>
        <w:rPr>
          <w:rFonts w:ascii="Arial" w:hAnsi="Arial"/>
          <w:b/>
          <w:sz w:val="22"/>
          <w:szCs w:val="22"/>
        </w:rPr>
        <w:t>8 – 10 septembre 2020</w:t>
      </w:r>
    </w:p>
    <w:p w14:paraId="1FEC9350" w14:textId="5F57094E" w:rsidR="00655736" w:rsidRPr="00414643" w:rsidRDefault="00655736" w:rsidP="00655736">
      <w:pPr>
        <w:pStyle w:val="Sansinterligne2"/>
        <w:spacing w:before="1200"/>
        <w:jc w:val="center"/>
        <w:rPr>
          <w:rFonts w:ascii="Arial" w:hAnsi="Arial" w:cs="Arial"/>
          <w:b/>
          <w:sz w:val="22"/>
          <w:szCs w:val="22"/>
        </w:rPr>
      </w:pPr>
      <w:r>
        <w:rPr>
          <w:rFonts w:ascii="Arial" w:hAnsi="Arial"/>
          <w:b/>
          <w:sz w:val="22"/>
          <w:szCs w:val="22"/>
          <w:u w:val="single"/>
        </w:rPr>
        <w:t>Point 10 de l’ordre du jour provisoire</w:t>
      </w:r>
      <w:r w:rsidRPr="000E3DCE">
        <w:rPr>
          <w:rFonts w:ascii="Arial" w:hAnsi="Arial"/>
          <w:b/>
          <w:sz w:val="22"/>
          <w:szCs w:val="22"/>
        </w:rPr>
        <w:t> :</w:t>
      </w:r>
    </w:p>
    <w:p w14:paraId="51DC24E0" w14:textId="04D43B54" w:rsidR="002F312A" w:rsidRPr="00414643" w:rsidRDefault="00A85654" w:rsidP="002F312A">
      <w:pPr>
        <w:pStyle w:val="Sansinterligne2"/>
        <w:spacing w:after="1200"/>
        <w:jc w:val="center"/>
        <w:rPr>
          <w:rFonts w:ascii="Arial" w:hAnsi="Arial" w:cs="Arial"/>
          <w:b/>
          <w:sz w:val="22"/>
          <w:szCs w:val="22"/>
        </w:rPr>
      </w:pPr>
      <w:r>
        <w:rPr>
          <w:rFonts w:ascii="Arial" w:hAnsi="Arial"/>
          <w:b/>
          <w:sz w:val="22"/>
          <w:szCs w:val="22"/>
        </w:rPr>
        <w:t>Révisions des Directives opérationnelles pour la mise en œuvre de la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6051DD" w14:paraId="284D9D1C" w14:textId="77777777" w:rsidTr="002F312A">
        <w:trPr>
          <w:jc w:val="center"/>
        </w:trPr>
        <w:tc>
          <w:tcPr>
            <w:tcW w:w="5670" w:type="dxa"/>
            <w:vAlign w:val="center"/>
          </w:tcPr>
          <w:p w14:paraId="057F83CA" w14:textId="77777777" w:rsidR="00CE3C7F" w:rsidRPr="00293C60" w:rsidRDefault="00CE3C7F" w:rsidP="00CE3C7F">
            <w:pPr>
              <w:pStyle w:val="Sansinterligne1"/>
              <w:spacing w:before="200" w:after="200"/>
              <w:jc w:val="center"/>
              <w:rPr>
                <w:rFonts w:ascii="Arial" w:hAnsi="Arial" w:cs="Arial"/>
                <w:b/>
                <w:sz w:val="22"/>
                <w:szCs w:val="22"/>
              </w:rPr>
            </w:pPr>
            <w:r>
              <w:rPr>
                <w:rFonts w:ascii="Arial" w:hAnsi="Arial"/>
                <w:b/>
                <w:sz w:val="22"/>
                <w:szCs w:val="22"/>
              </w:rPr>
              <w:t>Résumé</w:t>
            </w:r>
          </w:p>
          <w:p w14:paraId="07EF8AC4" w14:textId="03749131" w:rsidR="00CE3C7F" w:rsidRPr="00293C60" w:rsidRDefault="00CE3C7F" w:rsidP="00CE3C7F">
            <w:pPr>
              <w:pStyle w:val="Sansinterligne1"/>
              <w:jc w:val="both"/>
              <w:rPr>
                <w:rFonts w:ascii="Arial" w:hAnsi="Arial" w:cs="Arial"/>
                <w:bCs/>
                <w:sz w:val="22"/>
                <w:szCs w:val="22"/>
              </w:rPr>
            </w:pPr>
            <w:r>
              <w:rPr>
                <w:rFonts w:ascii="Arial" w:hAnsi="Arial"/>
                <w:sz w:val="22"/>
                <w:szCs w:val="22"/>
              </w:rPr>
              <w:t xml:space="preserve">Lors de sa </w:t>
            </w:r>
            <w:r w:rsidR="002B3DF0">
              <w:rPr>
                <w:rFonts w:ascii="Arial" w:hAnsi="Arial"/>
                <w:sz w:val="22"/>
                <w:szCs w:val="22"/>
              </w:rPr>
              <w:t xml:space="preserve">quatorzième </w:t>
            </w:r>
            <w:r>
              <w:rPr>
                <w:rFonts w:ascii="Arial" w:hAnsi="Arial"/>
                <w:sz w:val="22"/>
                <w:szCs w:val="22"/>
              </w:rPr>
              <w:t>session, le Comité intergouvernemental a fait le point sur le processus de dialogue provisoire engagé à titre expérimental pour le cycle 2019</w:t>
            </w:r>
            <w:r w:rsidR="00FB4F32">
              <w:rPr>
                <w:rFonts w:ascii="Arial" w:hAnsi="Arial"/>
                <w:sz w:val="22"/>
                <w:szCs w:val="22"/>
              </w:rPr>
              <w:t xml:space="preserve"> de candidatures</w:t>
            </w:r>
            <w:r>
              <w:rPr>
                <w:rFonts w:ascii="Arial" w:hAnsi="Arial"/>
                <w:sz w:val="22"/>
                <w:szCs w:val="22"/>
              </w:rPr>
              <w:t xml:space="preserve">. Le Comité a reconnu </w:t>
            </w:r>
            <w:r w:rsidR="00A754DD">
              <w:rPr>
                <w:rFonts w:ascii="Arial" w:hAnsi="Arial"/>
                <w:sz w:val="22"/>
                <w:szCs w:val="22"/>
              </w:rPr>
              <w:t>l’expérience positive</w:t>
            </w:r>
            <w:r w:rsidRPr="00A754DD">
              <w:rPr>
                <w:rFonts w:ascii="Arial" w:hAnsi="Arial"/>
                <w:sz w:val="22"/>
                <w:szCs w:val="22"/>
              </w:rPr>
              <w:t xml:space="preserve"> de ce mécanisme </w:t>
            </w:r>
            <w:r w:rsidR="00A754DD">
              <w:rPr>
                <w:rFonts w:ascii="Arial" w:hAnsi="Arial"/>
                <w:sz w:val="22"/>
                <w:szCs w:val="22"/>
              </w:rPr>
              <w:t>dans</w:t>
            </w:r>
            <w:r w:rsidR="00A754DD" w:rsidRPr="00A754DD">
              <w:rPr>
                <w:rFonts w:ascii="Arial" w:hAnsi="Arial"/>
                <w:sz w:val="22"/>
                <w:szCs w:val="22"/>
              </w:rPr>
              <w:t xml:space="preserve"> </w:t>
            </w:r>
            <w:r w:rsidRPr="00A754DD">
              <w:rPr>
                <w:rFonts w:ascii="Arial" w:hAnsi="Arial"/>
                <w:sz w:val="22"/>
                <w:szCs w:val="22"/>
              </w:rPr>
              <w:t>le process</w:t>
            </w:r>
            <w:r>
              <w:rPr>
                <w:rFonts w:ascii="Arial" w:hAnsi="Arial"/>
                <w:sz w:val="22"/>
                <w:szCs w:val="22"/>
              </w:rPr>
              <w:t>us d’évaluation et d’inscription, et a recommandé à l’Assemblée générale de réviser les Directives opérationnelles pour la mise en œuvre de la Convention afin de formaliser le processus de dialogue (</w:t>
            </w:r>
            <w:hyperlink r:id="rId8" w:history="1">
              <w:r w:rsidRPr="00A754DD">
                <w:rPr>
                  <w:rFonts w:asciiTheme="minorBidi" w:hAnsiTheme="minorBidi"/>
                  <w:color w:val="0000FF"/>
                  <w:sz w:val="22"/>
                  <w:szCs w:val="22"/>
                  <w:u w:val="single"/>
                </w:rPr>
                <w:t>décision 14.COM 14</w:t>
              </w:r>
            </w:hyperlink>
            <w:r>
              <w:rPr>
                <w:rFonts w:ascii="Arial" w:hAnsi="Arial"/>
                <w:sz w:val="22"/>
                <w:szCs w:val="22"/>
              </w:rPr>
              <w:t>) tel qu’annex</w:t>
            </w:r>
            <w:r w:rsidR="002B3DF0">
              <w:rPr>
                <w:rFonts w:ascii="Arial" w:hAnsi="Arial"/>
                <w:sz w:val="22"/>
                <w:szCs w:val="22"/>
              </w:rPr>
              <w:t>é</w:t>
            </w:r>
            <w:r>
              <w:rPr>
                <w:rFonts w:ascii="Arial" w:hAnsi="Arial"/>
                <w:sz w:val="22"/>
                <w:szCs w:val="22"/>
              </w:rPr>
              <w:t xml:space="preserve"> au présent document.</w:t>
            </w:r>
          </w:p>
          <w:p w14:paraId="4491CC0B" w14:textId="44ED006D" w:rsidR="00655736" w:rsidRPr="00414643" w:rsidRDefault="00FB6630" w:rsidP="003B1E7C">
            <w:pPr>
              <w:pStyle w:val="Sansinterligne2"/>
              <w:spacing w:before="200" w:after="12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paragraphe 7</w:t>
            </w:r>
          </w:p>
        </w:tc>
      </w:tr>
    </w:tbl>
    <w:p w14:paraId="44911037" w14:textId="77777777" w:rsidR="00176720" w:rsidRDefault="00655736" w:rsidP="00176720">
      <w:pPr>
        <w:pStyle w:val="GAPara"/>
        <w:numPr>
          <w:ilvl w:val="0"/>
          <w:numId w:val="0"/>
        </w:numPr>
        <w:jc w:val="both"/>
      </w:pPr>
      <w:r>
        <w:br w:type="page"/>
      </w:r>
    </w:p>
    <w:p w14:paraId="6871D7B3" w14:textId="142B4C9A" w:rsidR="00B05E9F" w:rsidRPr="00781F19" w:rsidRDefault="00B3014F" w:rsidP="00AC123C">
      <w:pPr>
        <w:pStyle w:val="COMPara"/>
        <w:numPr>
          <w:ilvl w:val="0"/>
          <w:numId w:val="19"/>
        </w:numPr>
        <w:ind w:left="540" w:hanging="540"/>
        <w:jc w:val="both"/>
      </w:pPr>
      <w:r>
        <w:lastRenderedPageBreak/>
        <w:t xml:space="preserve">Lors de sa onzième session en 2016, le Comité a reconnu la nécessité d’inclure une étape supplémentaire dans le cycle de </w:t>
      </w:r>
      <w:r w:rsidR="002B3DF0">
        <w:t>candidature</w:t>
      </w:r>
      <w:r>
        <w:t xml:space="preserve"> afin de permettre un dialogue entre l’Organe d’évaluation et les États soumissionnaires. Le Comité a </w:t>
      </w:r>
      <w:r w:rsidR="002B3DF0">
        <w:t>demandé au</w:t>
      </w:r>
      <w:r w:rsidR="0020790A">
        <w:t xml:space="preserve"> </w:t>
      </w:r>
      <w:r>
        <w:t xml:space="preserve">Secrétariat </w:t>
      </w:r>
      <w:r w:rsidR="002B3DF0">
        <w:t xml:space="preserve">de </w:t>
      </w:r>
      <w:r>
        <w:t>propose</w:t>
      </w:r>
      <w:r w:rsidR="0020790A">
        <w:t>r une procédure appropriée à ce</w:t>
      </w:r>
      <w:r>
        <w:t xml:space="preserve"> propos et a parallèlement établi un groupe de travail informel ad hoc pour discuter de la question (</w:t>
      </w:r>
      <w:hyperlink r:id="rId9" w:history="1">
        <w:r>
          <w:rPr>
            <w:rStyle w:val="Hyperlink"/>
          </w:rPr>
          <w:t>décision 11.COM 10</w:t>
        </w:r>
      </w:hyperlink>
      <w:r>
        <w:t xml:space="preserve">). Cette décision a été prise compte tenu du nombre sans précédent de décisions prises par le Comité pour </w:t>
      </w:r>
      <w:r w:rsidR="00373A78">
        <w:t>renverser</w:t>
      </w:r>
      <w:r>
        <w:t xml:space="preserve"> les recommandations de l’Organe d’évaluation </w:t>
      </w:r>
      <w:r w:rsidR="004D58F1">
        <w:t xml:space="preserve">relatives aux </w:t>
      </w:r>
      <w:r>
        <w:t xml:space="preserve">candidatures, </w:t>
      </w:r>
      <w:r w:rsidR="004D58F1">
        <w:t>aux</w:t>
      </w:r>
      <w:r>
        <w:t xml:space="preserve"> propositions et </w:t>
      </w:r>
      <w:r w:rsidR="004D58F1">
        <w:t xml:space="preserve">aux </w:t>
      </w:r>
      <w:r>
        <w:t xml:space="preserve">demandes. </w:t>
      </w:r>
      <w:r w:rsidR="00373A78">
        <w:t>L’intention sous-jacente au</w:t>
      </w:r>
      <w:r>
        <w:t xml:space="preserve"> processus de dialogue est de donner aux États parties dont les dossiers auraient été renvoyés en raison </w:t>
      </w:r>
      <w:r w:rsidR="00373A78">
        <w:t>d’aspects</w:t>
      </w:r>
      <w:r>
        <w:t xml:space="preserve"> techniques mineurs </w:t>
      </w:r>
      <w:r w:rsidR="00373A78">
        <w:t xml:space="preserve">l’opportunité </w:t>
      </w:r>
      <w:r>
        <w:t xml:space="preserve">de les </w:t>
      </w:r>
      <w:r w:rsidRPr="00373A78">
        <w:t>gérer</w:t>
      </w:r>
      <w:r>
        <w:t xml:space="preserve"> pendant le cycle de </w:t>
      </w:r>
      <w:r w:rsidR="002B3DF0">
        <w:t>candidature</w:t>
      </w:r>
      <w:r>
        <w:t xml:space="preserve">, plutôt que de devoir attendre deux </w:t>
      </w:r>
      <w:r w:rsidR="009B5695">
        <w:t xml:space="preserve">autres </w:t>
      </w:r>
      <w:r>
        <w:t>années avant que le Comité puisse examiner à nouveau leurs dossiers.</w:t>
      </w:r>
    </w:p>
    <w:p w14:paraId="0DADEA6B" w14:textId="47E55DD6" w:rsidR="0078250F" w:rsidRDefault="00B55055" w:rsidP="00AC123C">
      <w:pPr>
        <w:pStyle w:val="COMPara"/>
        <w:numPr>
          <w:ilvl w:val="0"/>
          <w:numId w:val="19"/>
        </w:numPr>
        <w:ind w:left="540" w:hanging="540"/>
        <w:jc w:val="both"/>
      </w:pPr>
      <w:r>
        <w:t>À sa douzième session en 2017, la position du Comité (</w:t>
      </w:r>
      <w:hyperlink r:id="rId10" w:history="1">
        <w:r>
          <w:rPr>
            <w:rStyle w:val="Hyperlink"/>
          </w:rPr>
          <w:t>décision 12.COM 13</w:t>
        </w:r>
      </w:hyperlink>
      <w:r>
        <w:t xml:space="preserve">) était de prendre plus de temps pour que certains ajustements introduits dans </w:t>
      </w:r>
      <w:r w:rsidR="002B3DF0">
        <w:t>méthodologie</w:t>
      </w:r>
      <w:r>
        <w:t xml:space="preserve"> d’évaluation prennent effet (notamment en termes de questions directrices pour certains critères mentionnés dans les formulaires de candidature) avant d’établir un processus formel de « dialogue ». </w:t>
      </w:r>
      <w:r w:rsidR="002B3DF0">
        <w:t>Dans cette même décision, l</w:t>
      </w:r>
      <w:r>
        <w:t xml:space="preserve">e Comité a </w:t>
      </w:r>
      <w:r w:rsidR="0020790A">
        <w:t xml:space="preserve">parallèlement </w:t>
      </w:r>
      <w:r>
        <w:t xml:space="preserve">décidé de maintenir le </w:t>
      </w:r>
      <w:r w:rsidRPr="00A754DD">
        <w:t xml:space="preserve">groupe de travail </w:t>
      </w:r>
      <w:r w:rsidR="00A754DD" w:rsidRPr="00A754DD">
        <w:t xml:space="preserve">informel </w:t>
      </w:r>
      <w:r w:rsidRPr="00A754DD">
        <w:t xml:space="preserve">ad hoc </w:t>
      </w:r>
      <w:r>
        <w:t xml:space="preserve">jusqu’en 2018, en </w:t>
      </w:r>
      <w:r w:rsidR="002B3DF0">
        <w:t>l’</w:t>
      </w:r>
      <w:r>
        <w:t xml:space="preserve">ouvrant à tous les États parties. Dans le cadre de son mandat, le groupe a été invité à poursuivre la réflexion sur un mécanisme de « dialogue » approprié en consultation avec l’Organe d’évaluation et en tenant compte des résolutions respectives de la septième session de l’Assemblée générale de juin 2018. Lors de cette même session, l’Assemblée générale a pleinement reconnu l’importance du dialogue pour renforcer la transparence et la crédibilité du processus d’évaluation et a invité le groupe de travail à présenter ses délibérations et recommandations à la treizième session du Comité en novembre/décembre 2018 </w:t>
      </w:r>
      <w:r>
        <w:rPr>
          <w:color w:val="000000" w:themeColor="text1"/>
        </w:rPr>
        <w:t>(</w:t>
      </w:r>
      <w:hyperlink r:id="rId11" w:history="1">
        <w:r>
          <w:rPr>
            <w:rStyle w:val="Hyperlink"/>
          </w:rPr>
          <w:t>résolution 7.GA 6</w:t>
        </w:r>
      </w:hyperlink>
      <w:r>
        <w:rPr>
          <w:color w:val="000000" w:themeColor="text1"/>
        </w:rPr>
        <w:t>)</w:t>
      </w:r>
      <w:r>
        <w:t>.</w:t>
      </w:r>
    </w:p>
    <w:p w14:paraId="6A838D35" w14:textId="54E98B37" w:rsidR="00F20D64" w:rsidRPr="003B1E7C" w:rsidRDefault="0020790A" w:rsidP="00AC123C">
      <w:pPr>
        <w:pStyle w:val="COMPara"/>
        <w:numPr>
          <w:ilvl w:val="0"/>
          <w:numId w:val="19"/>
        </w:numPr>
        <w:ind w:left="540" w:hanging="540"/>
        <w:jc w:val="both"/>
      </w:pPr>
      <w:r>
        <w:t xml:space="preserve">À </w:t>
      </w:r>
      <w:r w:rsidR="00921F31">
        <w:t xml:space="preserve">sa treizième session, après l’examen de plusieurs candidatures qui ont été renvoyées après de longues délibérations, le Comité a réitéré son souhait de voir des améliorations dans les procédures d’évaluation et de prise de décision relatives à l’inscription, </w:t>
      </w:r>
      <w:r>
        <w:t xml:space="preserve">à </w:t>
      </w:r>
      <w:r w:rsidR="00921F31">
        <w:t xml:space="preserve">la sélection et </w:t>
      </w:r>
      <w:r>
        <w:t xml:space="preserve">à </w:t>
      </w:r>
      <w:r w:rsidR="00921F31">
        <w:t xml:space="preserve">l’approbation des dossiers soumis. D’une part, le Comité a décidé d’engager une réflexion globale à long terme – qui s’étendra au moins jusqu’en 2022 – sur les mécanismes d’inscription, avec le soutien financier du Japon (voir le </w:t>
      </w:r>
      <w:hyperlink r:id="rId12" w:history="1">
        <w:r w:rsidR="00921F31" w:rsidRPr="0099780A">
          <w:rPr>
            <w:rStyle w:val="Hyperlink"/>
          </w:rPr>
          <w:t>document LHE/20/8.GA/11</w:t>
        </w:r>
      </w:hyperlink>
      <w:r w:rsidR="00921F31" w:rsidRPr="0099780A">
        <w:t>)</w:t>
      </w:r>
      <w:r w:rsidR="00921F31">
        <w:t>. D’autre part, le Comité a souhaité mettre à l’essai un éventuel processus de dialogue pour le cycle suivant dans le cadre d’une formule de « récolte précoce » pour la r</w:t>
      </w:r>
      <w:r w:rsidR="00DE0BD6">
        <w:t xml:space="preserve">éflexion globale, qui pourrait </w:t>
      </w:r>
      <w:r w:rsidR="0066059C">
        <w:t>être reflété dans</w:t>
      </w:r>
      <w:r w:rsidR="00DE0BD6">
        <w:t xml:space="preserve"> un </w:t>
      </w:r>
      <w:r w:rsidR="00921F31">
        <w:t xml:space="preserve">amendement </w:t>
      </w:r>
      <w:r w:rsidR="00A754DD">
        <w:t xml:space="preserve">aux </w:t>
      </w:r>
      <w:r w:rsidR="00921F31">
        <w:t>Directives opérationnelles pour adoption par l’Assemblée générale à sa huitième session (</w:t>
      </w:r>
      <w:hyperlink r:id="rId13" w:history="1">
        <w:r w:rsidR="00921F31">
          <w:rPr>
            <w:rStyle w:val="Hyperlink"/>
            <w:bCs/>
          </w:rPr>
          <w:t>décision 13.</w:t>
        </w:r>
        <w:r w:rsidR="0066059C">
          <w:rPr>
            <w:rStyle w:val="Hyperlink"/>
            <w:bCs/>
          </w:rPr>
          <w:t>COM </w:t>
        </w:r>
        <w:r w:rsidR="00921F31">
          <w:rPr>
            <w:rStyle w:val="Hyperlink"/>
            <w:bCs/>
          </w:rPr>
          <w:t>10</w:t>
        </w:r>
      </w:hyperlink>
      <w:r>
        <w:t> </w:t>
      </w:r>
      <w:r w:rsidR="00BD665C">
        <w:t xml:space="preserve"> ; </w:t>
      </w:r>
      <w:r>
        <w:t>paragraphe</w:t>
      </w:r>
      <w:r w:rsidR="0066059C">
        <w:t>s</w:t>
      </w:r>
      <w:r>
        <w:t> </w:t>
      </w:r>
      <w:r w:rsidR="00921F31">
        <w:t xml:space="preserve">14 à 18). Dans le même temps, le mandat du groupe de travail </w:t>
      </w:r>
      <w:r w:rsidR="00095134">
        <w:t xml:space="preserve">informel </w:t>
      </w:r>
      <w:r w:rsidR="00921F31">
        <w:t xml:space="preserve">ad hoc à composition non limitée a de nouveau été étendu jusqu’en 2019 pour également </w:t>
      </w:r>
      <w:r w:rsidR="0066059C">
        <w:t>« </w:t>
      </w:r>
      <w:r w:rsidR="00921F31">
        <w:t>échange</w:t>
      </w:r>
      <w:r w:rsidR="0066059C">
        <w:t>r</w:t>
      </w:r>
      <w:r w:rsidR="00921F31">
        <w:t xml:space="preserve"> avec le Secrétariat et l’Organe d’évaluation sur la mise en œuvre du mécanisme de dialogue expérimental</w:t>
      </w:r>
      <w:r w:rsidR="0066059C">
        <w:t> »</w:t>
      </w:r>
      <w:r w:rsidR="00921F31">
        <w:t xml:space="preserve"> (</w:t>
      </w:r>
      <w:hyperlink r:id="rId14" w:history="1">
        <w:r w:rsidR="00921F31">
          <w:rPr>
            <w:rStyle w:val="Hyperlink"/>
          </w:rPr>
          <w:t>décision 13.COM 16</w:t>
        </w:r>
      </w:hyperlink>
      <w:r w:rsidR="00921F31">
        <w:t>).</w:t>
      </w:r>
    </w:p>
    <w:p w14:paraId="01093AC5" w14:textId="5F7C051D" w:rsidR="00B55055" w:rsidRDefault="00DE0BD6" w:rsidP="00AC123C">
      <w:pPr>
        <w:pStyle w:val="COMPara"/>
        <w:numPr>
          <w:ilvl w:val="0"/>
          <w:numId w:val="19"/>
        </w:numPr>
        <w:ind w:left="540" w:hanging="540"/>
        <w:jc w:val="both"/>
      </w:pPr>
      <w:r>
        <w:t>De façon concrète</w:t>
      </w:r>
      <w:r w:rsidR="00C71E58">
        <w:t>, l’Organe d’évaluation a été chargé de mener un dialogue provisoire (</w:t>
      </w:r>
      <w:hyperlink r:id="rId15" w:history="1">
        <w:r w:rsidR="00C71E58">
          <w:rPr>
            <w:rStyle w:val="Hyperlink"/>
          </w:rPr>
          <w:t>décision 13.COM 14</w:t>
        </w:r>
      </w:hyperlink>
      <w:r w:rsidR="00C71E58">
        <w:t xml:space="preserve"> ; annexe, paragraphe 6) pendant le processus d’évaluation des dossiers soumis pour le cycle 2019. L’Organe d’évaluation a lancé le processus chaque fois qu’il </w:t>
      </w:r>
      <w:r w:rsidR="0056552F">
        <w:t xml:space="preserve">a </w:t>
      </w:r>
      <w:r w:rsidR="00C71E58">
        <w:t>estim</w:t>
      </w:r>
      <w:r w:rsidR="0056552F">
        <w:t xml:space="preserve">é </w:t>
      </w:r>
      <w:r w:rsidR="00C71E58">
        <w:t xml:space="preserve">qu’en dépit du fait que les informations contenues dans un dossier ne permettent pas de déterminer si un critère a été satisfait (renvoi), un bref processus de questions-réponses avec le ou les États soumissionnaires pourrait influencer le résultat de son évaluation. Le Secrétariat a été prié de transmettre les questions de l’Organe d’évaluation aux États parties concernés après la deuxième réunion de l’Organe d’évaluation en 2019. Les États parties concernés ont été invités à fournir des </w:t>
      </w:r>
      <w:r w:rsidR="007B070B">
        <w:t xml:space="preserve">clarifications </w:t>
      </w:r>
      <w:r w:rsidR="00C71E58">
        <w:t xml:space="preserve">avant la troisième réunion de l’Organe d’évaluation en 2019. </w:t>
      </w:r>
      <w:r w:rsidR="00C71E58">
        <w:rPr>
          <w:color w:val="000000" w:themeColor="text1"/>
        </w:rPr>
        <w:t>En conséquence</w:t>
      </w:r>
      <w:r w:rsidR="00C71E58">
        <w:rPr>
          <w:rStyle w:val="Hyperlink"/>
          <w:color w:val="000000" w:themeColor="text1"/>
          <w:u w:val="none"/>
        </w:rPr>
        <w:t>, l’Organe d’évaluation a appliqué</w:t>
      </w:r>
      <w:r w:rsidR="00C71E58">
        <w:rPr>
          <w:color w:val="000000" w:themeColor="text1"/>
        </w:rPr>
        <w:t xml:space="preserve"> la procédure de dialogue provisoire en amont pour six candidatures au cours du cycle 2019.</w:t>
      </w:r>
    </w:p>
    <w:p w14:paraId="403A36D2" w14:textId="33DD1B5A" w:rsidR="00D028C1" w:rsidRDefault="001E1C51" w:rsidP="00AC123C">
      <w:pPr>
        <w:pStyle w:val="COMPara"/>
        <w:numPr>
          <w:ilvl w:val="0"/>
          <w:numId w:val="19"/>
        </w:numPr>
        <w:ind w:left="540" w:hanging="540"/>
        <w:jc w:val="both"/>
      </w:pPr>
      <w:r>
        <w:t>Compte tenu du caractère provisoire du dialogue en amont et pour assurer le respect des Directives opérationnelles, plus particulièrement son paragraphe 55, une méthodologie spécifique (qui a été présentée aux États parties lors d’une session d’information et d’échange qui a eu lieu le 1</w:t>
      </w:r>
      <w:r>
        <w:rPr>
          <w:vertAlign w:val="superscript"/>
        </w:rPr>
        <w:t>er</w:t>
      </w:r>
      <w:r>
        <w:t xml:space="preserve"> mars 2019) a été utilisée. La conclusion de la deuxième réunion de l’Organe </w:t>
      </w:r>
      <w:r w:rsidR="00DE0BD6">
        <w:lastRenderedPageBreak/>
        <w:t xml:space="preserve">tenue </w:t>
      </w:r>
      <w:r>
        <w:t xml:space="preserve">en juin ayant été considérée comme définitive, </w:t>
      </w:r>
      <w:r w:rsidR="00DE0BD6">
        <w:t>l’avis de l’Organe d’évaluation </w:t>
      </w:r>
      <w:r>
        <w:t>2019 sur les cas de dialogue a été publié sous forme de document d’information, séparément des recommandations sur les candidatures individuelles.</w:t>
      </w:r>
      <w:r>
        <w:rPr>
          <w:color w:val="000000" w:themeColor="text1"/>
        </w:rPr>
        <w:t xml:space="preserve"> De cette manière, le Comité a pu bénéficier de l’avis de l’Organe d’évaluation sur les cas de dialogue même après la finalisation </w:t>
      </w:r>
      <w:r w:rsidR="007B070B">
        <w:rPr>
          <w:color w:val="000000" w:themeColor="text1"/>
        </w:rPr>
        <w:t>de l’</w:t>
      </w:r>
      <w:r>
        <w:rPr>
          <w:color w:val="000000" w:themeColor="text1"/>
        </w:rPr>
        <w:t xml:space="preserve">évaluation par l’Organe en juin 2019. </w:t>
      </w:r>
      <w:r>
        <w:t>L’Organe d’évaluation a estimé que le processus de dialogue l’avait rendu plus confiant dans ses décisions. Le Comité a pour sa part été rassuré de savoir que les candidatures qui ont bénéficié du processus de dialogue n’ont pas nécessairement dû attendre une période supplémentaire de deux ans pour être réévaluées.</w:t>
      </w:r>
    </w:p>
    <w:p w14:paraId="27B2A42D" w14:textId="69F96DEA" w:rsidR="007B47CD" w:rsidRPr="001561BA" w:rsidRDefault="007B47CD" w:rsidP="00AC123C">
      <w:pPr>
        <w:pStyle w:val="COMPara"/>
        <w:numPr>
          <w:ilvl w:val="0"/>
          <w:numId w:val="19"/>
        </w:numPr>
        <w:ind w:left="540" w:hanging="540"/>
        <w:jc w:val="both"/>
        <w:rPr>
          <w:color w:val="000000" w:themeColor="text1"/>
        </w:rPr>
      </w:pPr>
      <w:r>
        <w:t xml:space="preserve">Sur la base </w:t>
      </w:r>
      <w:r w:rsidR="00A754DD">
        <w:t>de l’expérience positive</w:t>
      </w:r>
      <w:r>
        <w:t xml:space="preserve"> </w:t>
      </w:r>
      <w:r w:rsidR="00A754DD">
        <w:t xml:space="preserve">avec le processus de dialogue </w:t>
      </w:r>
      <w:r>
        <w:t>au cours du cycle 2019, le Comité a décidé, lors de sa quatorzième session, de proposer à la huitième session de l’Assemblée générale une série d’amendements au chapitre I.15 des Directives opérationnelles annexés au projet de résolution</w:t>
      </w:r>
      <w:r>
        <w:rPr>
          <w:color w:val="000000" w:themeColor="text1"/>
        </w:rPr>
        <w:t xml:space="preserve"> (</w:t>
      </w:r>
      <w:hyperlink r:id="rId16" w:history="1">
        <w:r>
          <w:rPr>
            <w:rStyle w:val="Hyperlink"/>
          </w:rPr>
          <w:t>décision 14.COM</w:t>
        </w:r>
        <w:r w:rsidR="009614D4">
          <w:rPr>
            <w:rStyle w:val="Hyperlink"/>
          </w:rPr>
          <w:t> </w:t>
        </w:r>
        <w:r>
          <w:rPr>
            <w:rStyle w:val="Hyperlink"/>
          </w:rPr>
          <w:t>14</w:t>
        </w:r>
      </w:hyperlink>
      <w:r>
        <w:rPr>
          <w:color w:val="000000" w:themeColor="text1"/>
        </w:rPr>
        <w:t xml:space="preserve"> et </w:t>
      </w:r>
      <w:hyperlink r:id="rId17" w:history="1">
        <w:r>
          <w:rPr>
            <w:rStyle w:val="Hyperlink"/>
          </w:rPr>
          <w:t>décision 14.COM</w:t>
        </w:r>
        <w:r w:rsidR="00AC123C">
          <w:rPr>
            <w:rStyle w:val="Hyperlink"/>
          </w:rPr>
          <w:t> </w:t>
        </w:r>
        <w:r>
          <w:rPr>
            <w:rStyle w:val="Hyperlink"/>
          </w:rPr>
          <w:t>16</w:t>
        </w:r>
      </w:hyperlink>
      <w:r>
        <w:rPr>
          <w:color w:val="000000" w:themeColor="text1"/>
        </w:rPr>
        <w:t xml:space="preserve">). L’inclusion de cette étape intermédiaire dans le cycle d’évaluation permettra à l’Organe d’évaluation de modifier et de finaliser ses recommandations relatives aux dossiers concernés par le processus de dialogue lors de sa troisième et dernière réunion. Toutefois, </w:t>
      </w:r>
      <w:r w:rsidRPr="009614D4">
        <w:rPr>
          <w:color w:val="000000" w:themeColor="text1"/>
        </w:rPr>
        <w:t>pour</w:t>
      </w:r>
      <w:r>
        <w:rPr>
          <w:color w:val="000000" w:themeColor="text1"/>
        </w:rPr>
        <w:t xml:space="preserve"> les dossiers non concernés par le processus de dialogue, l’Organe d’évaluation continuera à suivre la procédure et le calendrier d’évaluation existants et finalisera son évaluation lors de sa deuxième réunion.</w:t>
      </w:r>
    </w:p>
    <w:p w14:paraId="42C2EE80" w14:textId="77777777" w:rsidR="007B47CD" w:rsidRPr="0025556E" w:rsidRDefault="007B47CD" w:rsidP="00AC123C">
      <w:pPr>
        <w:pStyle w:val="COMPara"/>
        <w:numPr>
          <w:ilvl w:val="0"/>
          <w:numId w:val="19"/>
        </w:numPr>
        <w:ind w:left="540" w:hanging="540"/>
        <w:jc w:val="both"/>
      </w:pPr>
      <w:r w:rsidRPr="00AC123C">
        <w:rPr>
          <w:color w:val="000000" w:themeColor="text1"/>
        </w:rPr>
        <w:t>L’Assemblée</w:t>
      </w:r>
      <w:r>
        <w:t xml:space="preserve"> générale souhaitera peut-être adopter la résolution suivante :</w:t>
      </w:r>
    </w:p>
    <w:p w14:paraId="59DFC4B9" w14:textId="6D9F8A0F" w:rsidR="008A1ED4" w:rsidRDefault="00F010E0" w:rsidP="008A1ED4">
      <w:pPr>
        <w:pStyle w:val="GATitleResolution"/>
      </w:pPr>
      <w:r>
        <w:t>PROJET DE RÉSOLUTION 8.GA 10</w:t>
      </w:r>
    </w:p>
    <w:p w14:paraId="788AE34A" w14:textId="77777777" w:rsidR="008A1ED4" w:rsidRPr="005A4A42" w:rsidRDefault="008A1ED4" w:rsidP="008A1ED4">
      <w:pPr>
        <w:pStyle w:val="GAPreambulaResolution"/>
        <w:rPr>
          <w:rFonts w:eastAsia="SimSun"/>
        </w:rPr>
      </w:pPr>
      <w:r>
        <w:t>L’Assemblée générale,</w:t>
      </w:r>
    </w:p>
    <w:p w14:paraId="033E9848" w14:textId="7FE7E6C2" w:rsidR="008A1ED4" w:rsidRPr="001561BA" w:rsidRDefault="008A1ED4" w:rsidP="008A1ED4">
      <w:pPr>
        <w:pStyle w:val="COMParaDecision"/>
        <w:numPr>
          <w:ilvl w:val="0"/>
          <w:numId w:val="10"/>
        </w:numPr>
        <w:ind w:left="1134" w:hanging="567"/>
        <w:jc w:val="left"/>
        <w:rPr>
          <w:color w:val="000000" w:themeColor="text1"/>
        </w:rPr>
      </w:pPr>
      <w:r>
        <w:rPr>
          <w:color w:val="000000" w:themeColor="text1"/>
        </w:rPr>
        <w:t>Ayant examiné</w:t>
      </w:r>
      <w:r>
        <w:rPr>
          <w:color w:val="000000" w:themeColor="text1"/>
          <w:u w:val="none"/>
        </w:rPr>
        <w:t xml:space="preserve"> le document LHE/20/8.GA/10,</w:t>
      </w:r>
    </w:p>
    <w:p w14:paraId="0FD7AA6C" w14:textId="7435EF74" w:rsidR="00B26DB9" w:rsidRPr="0075153F" w:rsidRDefault="00CE6410" w:rsidP="00E5318D">
      <w:pPr>
        <w:pStyle w:val="COMParaDecision"/>
        <w:numPr>
          <w:ilvl w:val="0"/>
          <w:numId w:val="10"/>
        </w:numPr>
        <w:ind w:left="1134" w:hanging="567"/>
        <w:rPr>
          <w:color w:val="000000" w:themeColor="text1"/>
          <w:u w:val="none"/>
        </w:rPr>
      </w:pPr>
      <w:r>
        <w:rPr>
          <w:color w:val="000000" w:themeColor="text1"/>
        </w:rPr>
        <w:t>Reconnaît</w:t>
      </w:r>
      <w:r>
        <w:rPr>
          <w:color w:val="000000" w:themeColor="text1"/>
          <w:u w:val="none"/>
        </w:rPr>
        <w:t xml:space="preserve"> </w:t>
      </w:r>
      <w:r w:rsidR="00A754DD">
        <w:rPr>
          <w:color w:val="000000" w:themeColor="text1"/>
          <w:u w:val="none"/>
        </w:rPr>
        <w:t xml:space="preserve">l’expérience positive </w:t>
      </w:r>
      <w:r w:rsidR="00095134">
        <w:rPr>
          <w:color w:val="000000" w:themeColor="text1"/>
          <w:u w:val="none"/>
        </w:rPr>
        <w:t>que</w:t>
      </w:r>
      <w:r>
        <w:rPr>
          <w:color w:val="000000" w:themeColor="text1"/>
          <w:u w:val="none"/>
        </w:rPr>
        <w:t xml:space="preserve"> le </w:t>
      </w:r>
      <w:r w:rsidR="0056552F">
        <w:rPr>
          <w:color w:val="000000" w:themeColor="text1"/>
          <w:u w:val="none"/>
        </w:rPr>
        <w:t>mécanisme</w:t>
      </w:r>
      <w:r>
        <w:rPr>
          <w:color w:val="000000" w:themeColor="text1"/>
          <w:u w:val="none"/>
        </w:rPr>
        <w:t xml:space="preserve"> de « dialogue provisoire en amont » du cycle 2019 a apporté</w:t>
      </w:r>
      <w:r w:rsidR="00095134">
        <w:rPr>
          <w:color w:val="000000" w:themeColor="text1"/>
          <w:u w:val="none"/>
        </w:rPr>
        <w:t>e</w:t>
      </w:r>
      <w:r>
        <w:rPr>
          <w:color w:val="000000" w:themeColor="text1"/>
          <w:u w:val="none"/>
        </w:rPr>
        <w:t xml:space="preserve"> au processus d’évaluation et d’inscription et </w:t>
      </w:r>
      <w:r w:rsidR="00EA221F">
        <w:rPr>
          <w:color w:val="000000" w:themeColor="text1"/>
        </w:rPr>
        <w:t>soutient</w:t>
      </w:r>
      <w:r>
        <w:rPr>
          <w:color w:val="000000" w:themeColor="text1"/>
          <w:u w:val="none"/>
        </w:rPr>
        <w:t xml:space="preserve"> la proposition d’inclusion d’un processus de dialogue intermédiaire supplémentaire dans le cycle de </w:t>
      </w:r>
      <w:r w:rsidR="00FB4F32">
        <w:rPr>
          <w:color w:val="000000" w:themeColor="text1"/>
          <w:u w:val="none"/>
        </w:rPr>
        <w:t>candidature</w:t>
      </w:r>
      <w:r>
        <w:rPr>
          <w:color w:val="000000" w:themeColor="text1"/>
          <w:u w:val="none"/>
        </w:rPr>
        <w:t> ;</w:t>
      </w:r>
      <w:bookmarkStart w:id="0" w:name="_GoBack"/>
      <w:bookmarkEnd w:id="0"/>
    </w:p>
    <w:p w14:paraId="784EE453" w14:textId="35A0FDF2" w:rsidR="008A1ED4" w:rsidRPr="001561BA" w:rsidRDefault="00A85654" w:rsidP="00FB4F32">
      <w:pPr>
        <w:pStyle w:val="COMParaDecision"/>
        <w:numPr>
          <w:ilvl w:val="0"/>
          <w:numId w:val="10"/>
        </w:numPr>
        <w:ind w:left="1134" w:hanging="567"/>
        <w:rPr>
          <w:color w:val="000000" w:themeColor="text1"/>
        </w:rPr>
      </w:pPr>
      <w:r>
        <w:rPr>
          <w:color w:val="000000" w:themeColor="text1"/>
        </w:rPr>
        <w:t>Approuve</w:t>
      </w:r>
      <w:r>
        <w:rPr>
          <w:color w:val="000000" w:themeColor="text1"/>
          <w:u w:val="none"/>
        </w:rPr>
        <w:t xml:space="preserve"> les </w:t>
      </w:r>
      <w:r w:rsidR="007B070B">
        <w:rPr>
          <w:color w:val="000000" w:themeColor="text1"/>
          <w:u w:val="none"/>
        </w:rPr>
        <w:t>amendements aux</w:t>
      </w:r>
      <w:r>
        <w:rPr>
          <w:color w:val="000000" w:themeColor="text1"/>
          <w:u w:val="none"/>
        </w:rPr>
        <w:t xml:space="preserve"> Directives opérationnelles tels qu’annexés à la présente résolution.</w:t>
      </w:r>
    </w:p>
    <w:p w14:paraId="0635372A" w14:textId="77777777" w:rsidR="008A1ED4" w:rsidRPr="0020790A" w:rsidRDefault="008A1ED4" w:rsidP="008A1ED4">
      <w:pPr>
        <w:spacing w:after="120"/>
        <w:jc w:val="both"/>
        <w:rPr>
          <w:rFonts w:ascii="Arial" w:hAnsi="Arial" w:cs="Arial"/>
          <w:snapToGrid w:val="0"/>
          <w:sz w:val="22"/>
          <w:szCs w:val="22"/>
          <w:lang w:eastAsia="en-US"/>
        </w:rPr>
      </w:pPr>
    </w:p>
    <w:p w14:paraId="4291E893" w14:textId="77777777" w:rsidR="00510637" w:rsidRPr="0020790A" w:rsidRDefault="00510637" w:rsidP="008A1ED4">
      <w:pPr>
        <w:spacing w:after="120"/>
        <w:jc w:val="both"/>
        <w:rPr>
          <w:rFonts w:ascii="Arial" w:hAnsi="Arial" w:cs="Arial"/>
          <w:snapToGrid w:val="0"/>
          <w:sz w:val="22"/>
          <w:szCs w:val="22"/>
          <w:lang w:eastAsia="en-US"/>
        </w:rPr>
        <w:sectPr w:rsidR="00510637" w:rsidRPr="0020790A" w:rsidSect="0041353C">
          <w:headerReference w:type="even" r:id="rId18"/>
          <w:headerReference w:type="default" r:id="rId19"/>
          <w:headerReference w:type="first" r:id="rId20"/>
          <w:pgSz w:w="11906" w:h="16838" w:code="9"/>
          <w:pgMar w:top="1620" w:right="1134" w:bottom="1134" w:left="1134" w:header="397" w:footer="284" w:gutter="0"/>
          <w:cols w:space="708"/>
          <w:titlePg/>
          <w:docGrid w:linePitch="360"/>
        </w:sectPr>
      </w:pPr>
    </w:p>
    <w:p w14:paraId="4F09912E" w14:textId="344C3B20" w:rsidR="009614D4" w:rsidRPr="009614D4" w:rsidRDefault="00F70F3C" w:rsidP="004263BB">
      <w:pPr>
        <w:pStyle w:val="Marge"/>
        <w:spacing w:before="480" w:after="480"/>
        <w:jc w:val="center"/>
        <w:rPr>
          <w:rFonts w:eastAsia="Malgun Gothic" w:cs="Arial"/>
          <w:iCs/>
        </w:rPr>
      </w:pPr>
      <w:r w:rsidRPr="009614D4">
        <w:rPr>
          <w:b/>
          <w:bCs/>
        </w:rPr>
        <w:lastRenderedPageBreak/>
        <w:t>ANNEXE</w:t>
      </w:r>
      <w:r w:rsidRPr="009614D4">
        <w:br/>
      </w:r>
      <w:r w:rsidR="009614D4" w:rsidRPr="009614D4">
        <w:t>Propositions</w:t>
      </w:r>
      <w:r w:rsidR="009614D4">
        <w:rPr>
          <w:rFonts w:eastAsia="Malgun Gothic" w:cs="Arial"/>
          <w:iCs/>
        </w:rPr>
        <w:t xml:space="preserve"> d’a</w:t>
      </w:r>
      <w:r w:rsidR="009614D4" w:rsidRPr="009614D4">
        <w:rPr>
          <w:rFonts w:eastAsia="Malgun Gothic" w:cs="Arial"/>
          <w:iCs/>
        </w:rPr>
        <w:t xml:space="preserve">mendements aux Directives opérationnelles </w:t>
      </w:r>
      <w:r w:rsidR="009614D4">
        <w:rPr>
          <w:rFonts w:eastAsia="Malgun Gothic" w:cs="Arial"/>
          <w:iCs/>
        </w:rPr>
        <w:t>pour la mise en œuvre de la Convention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990"/>
        <w:gridCol w:w="4585"/>
        <w:gridCol w:w="597"/>
        <w:gridCol w:w="2113"/>
        <w:gridCol w:w="4357"/>
      </w:tblGrid>
      <w:tr w:rsidR="009614D4" w:rsidRPr="009614D4" w14:paraId="23B07AF1" w14:textId="77777777" w:rsidTr="009614D4">
        <w:tc>
          <w:tcPr>
            <w:tcW w:w="222" w:type="pct"/>
            <w:shd w:val="clear" w:color="auto" w:fill="BFBFBF"/>
          </w:tcPr>
          <w:p w14:paraId="2E7641DC" w14:textId="77777777" w:rsidR="009614D4" w:rsidRPr="009614D4" w:rsidRDefault="009614D4" w:rsidP="009614D4">
            <w:pPr>
              <w:autoSpaceDE w:val="0"/>
              <w:autoSpaceDN w:val="0"/>
              <w:adjustRightInd w:val="0"/>
              <w:spacing w:before="120" w:after="120"/>
              <w:jc w:val="right"/>
              <w:rPr>
                <w:rFonts w:ascii="Arial" w:eastAsia="SimSun" w:hAnsi="Arial" w:cs="Arial"/>
                <w:b/>
                <w:sz w:val="22"/>
                <w:szCs w:val="22"/>
              </w:rPr>
            </w:pPr>
          </w:p>
        </w:tc>
        <w:tc>
          <w:tcPr>
            <w:tcW w:w="2303" w:type="pct"/>
            <w:gridSpan w:val="2"/>
            <w:shd w:val="clear" w:color="auto" w:fill="BFBFBF"/>
          </w:tcPr>
          <w:p w14:paraId="09C96207" w14:textId="77777777" w:rsidR="009614D4" w:rsidRPr="009614D4" w:rsidRDefault="009614D4" w:rsidP="009614D4">
            <w:pPr>
              <w:autoSpaceDE w:val="0"/>
              <w:autoSpaceDN w:val="0"/>
              <w:adjustRightInd w:val="0"/>
              <w:spacing w:before="120" w:after="120"/>
              <w:rPr>
                <w:rFonts w:ascii="Arial" w:eastAsia="SimSun" w:hAnsi="Arial" w:cs="Arial"/>
                <w:b/>
                <w:sz w:val="22"/>
                <w:szCs w:val="22"/>
                <w:lang w:val="en-GB"/>
              </w:rPr>
            </w:pPr>
            <w:r w:rsidRPr="009614D4">
              <w:rPr>
                <w:rFonts w:ascii="Arial" w:eastAsia="SimSun" w:hAnsi="Arial" w:cs="Arial"/>
                <w:b/>
                <w:sz w:val="22"/>
                <w:szCs w:val="22"/>
                <w:u w:val="single"/>
              </w:rPr>
              <w:t>Directives opérationnelles</w:t>
            </w:r>
          </w:p>
        </w:tc>
        <w:tc>
          <w:tcPr>
            <w:tcW w:w="209" w:type="pct"/>
            <w:shd w:val="clear" w:color="auto" w:fill="BFBFBF"/>
          </w:tcPr>
          <w:p w14:paraId="0DC25680" w14:textId="77777777" w:rsidR="009614D4" w:rsidRPr="009614D4" w:rsidRDefault="009614D4" w:rsidP="009614D4">
            <w:pPr>
              <w:autoSpaceDE w:val="0"/>
              <w:autoSpaceDN w:val="0"/>
              <w:adjustRightInd w:val="0"/>
              <w:spacing w:before="120" w:after="120"/>
              <w:jc w:val="right"/>
              <w:rPr>
                <w:rFonts w:ascii="Arial" w:eastAsia="SimSun" w:hAnsi="Arial" w:cs="Arial"/>
                <w:b/>
                <w:sz w:val="22"/>
                <w:szCs w:val="22"/>
                <w:lang w:val="en-GB"/>
              </w:rPr>
            </w:pPr>
          </w:p>
        </w:tc>
        <w:tc>
          <w:tcPr>
            <w:tcW w:w="2266" w:type="pct"/>
            <w:gridSpan w:val="2"/>
            <w:shd w:val="clear" w:color="auto" w:fill="BFBFBF"/>
          </w:tcPr>
          <w:p w14:paraId="737D2990" w14:textId="77777777" w:rsidR="009614D4" w:rsidRPr="009614D4" w:rsidRDefault="009614D4" w:rsidP="009614D4">
            <w:pPr>
              <w:autoSpaceDE w:val="0"/>
              <w:autoSpaceDN w:val="0"/>
              <w:adjustRightInd w:val="0"/>
              <w:spacing w:before="120" w:after="120"/>
              <w:rPr>
                <w:rFonts w:ascii="Arial" w:eastAsia="SimSun" w:hAnsi="Arial" w:cs="Arial"/>
                <w:b/>
                <w:sz w:val="22"/>
                <w:szCs w:val="22"/>
                <w:lang w:val="en-GB"/>
              </w:rPr>
            </w:pPr>
            <w:r w:rsidRPr="009614D4">
              <w:rPr>
                <w:rFonts w:ascii="Arial" w:eastAsia="SimSun" w:hAnsi="Arial" w:cs="Arial"/>
                <w:b/>
                <w:sz w:val="22"/>
                <w:szCs w:val="22"/>
                <w:u w:val="single"/>
              </w:rPr>
              <w:t>Amendements proposés</w:t>
            </w:r>
          </w:p>
        </w:tc>
      </w:tr>
      <w:tr w:rsidR="009614D4" w:rsidRPr="009614D4" w14:paraId="098A0A2C" w14:textId="77777777" w:rsidTr="00CC4DEE">
        <w:tc>
          <w:tcPr>
            <w:tcW w:w="222" w:type="pct"/>
          </w:tcPr>
          <w:p w14:paraId="44692C51" w14:textId="77777777" w:rsidR="009614D4" w:rsidRPr="009614D4" w:rsidRDefault="009614D4" w:rsidP="009614D4">
            <w:pPr>
              <w:autoSpaceDE w:val="0"/>
              <w:autoSpaceDN w:val="0"/>
              <w:adjustRightInd w:val="0"/>
              <w:spacing w:before="120" w:after="120"/>
              <w:jc w:val="right"/>
              <w:rPr>
                <w:rFonts w:ascii="Arial" w:eastAsia="SimSun" w:hAnsi="Arial" w:cs="Arial"/>
                <w:b/>
                <w:sz w:val="22"/>
                <w:szCs w:val="22"/>
                <w:lang w:val="en-GB"/>
              </w:rPr>
            </w:pPr>
            <w:r w:rsidRPr="009614D4">
              <w:rPr>
                <w:rFonts w:ascii="Arial" w:eastAsia="SimSun" w:hAnsi="Arial" w:cs="Arial"/>
                <w:b/>
                <w:sz w:val="22"/>
                <w:szCs w:val="22"/>
              </w:rPr>
              <w:t>I.15</w:t>
            </w:r>
          </w:p>
        </w:tc>
        <w:tc>
          <w:tcPr>
            <w:tcW w:w="2303" w:type="pct"/>
            <w:gridSpan w:val="2"/>
          </w:tcPr>
          <w:p w14:paraId="11D6052E" w14:textId="77777777" w:rsidR="009614D4" w:rsidRPr="009614D4" w:rsidRDefault="009614D4" w:rsidP="009614D4">
            <w:pPr>
              <w:autoSpaceDE w:val="0"/>
              <w:autoSpaceDN w:val="0"/>
              <w:adjustRightInd w:val="0"/>
              <w:spacing w:before="120" w:after="120"/>
              <w:rPr>
                <w:rFonts w:ascii="Arial" w:eastAsia="SimSun" w:hAnsi="Arial" w:cs="Arial"/>
                <w:b/>
                <w:sz w:val="22"/>
                <w:szCs w:val="22"/>
              </w:rPr>
            </w:pPr>
            <w:r w:rsidRPr="009614D4">
              <w:rPr>
                <w:rFonts w:ascii="Arial" w:eastAsia="SimSun" w:hAnsi="Arial" w:cs="Arial"/>
                <w:b/>
                <w:sz w:val="22"/>
                <w:szCs w:val="22"/>
              </w:rPr>
              <w:t>Calendrier – Vue d’ensemble des procédures</w:t>
            </w:r>
          </w:p>
        </w:tc>
        <w:tc>
          <w:tcPr>
            <w:tcW w:w="209" w:type="pct"/>
          </w:tcPr>
          <w:p w14:paraId="5A9182D0" w14:textId="77777777" w:rsidR="009614D4" w:rsidRPr="009614D4" w:rsidRDefault="009614D4" w:rsidP="009614D4">
            <w:pPr>
              <w:autoSpaceDE w:val="0"/>
              <w:autoSpaceDN w:val="0"/>
              <w:adjustRightInd w:val="0"/>
              <w:spacing w:before="120" w:after="120"/>
              <w:jc w:val="right"/>
              <w:rPr>
                <w:rFonts w:ascii="Arial" w:eastAsia="SimSun" w:hAnsi="Arial" w:cs="Arial"/>
                <w:b/>
                <w:sz w:val="22"/>
                <w:szCs w:val="22"/>
                <w:lang w:val="en-GB"/>
              </w:rPr>
            </w:pPr>
            <w:r w:rsidRPr="009614D4">
              <w:rPr>
                <w:rFonts w:ascii="Arial" w:eastAsia="SimSun" w:hAnsi="Arial" w:cs="Arial"/>
                <w:b/>
                <w:sz w:val="22"/>
                <w:szCs w:val="22"/>
              </w:rPr>
              <w:t>I.15</w:t>
            </w:r>
          </w:p>
        </w:tc>
        <w:tc>
          <w:tcPr>
            <w:tcW w:w="2266" w:type="pct"/>
            <w:gridSpan w:val="2"/>
          </w:tcPr>
          <w:p w14:paraId="1B543BE2" w14:textId="77777777" w:rsidR="009614D4" w:rsidRPr="009614D4" w:rsidRDefault="009614D4" w:rsidP="009614D4">
            <w:pPr>
              <w:autoSpaceDE w:val="0"/>
              <w:autoSpaceDN w:val="0"/>
              <w:adjustRightInd w:val="0"/>
              <w:spacing w:before="120" w:after="120"/>
              <w:rPr>
                <w:rFonts w:ascii="Arial" w:eastAsia="SimSun" w:hAnsi="Arial" w:cs="Arial"/>
                <w:b/>
                <w:sz w:val="22"/>
                <w:szCs w:val="22"/>
                <w:u w:val="single"/>
                <w:lang w:val="en-GB"/>
              </w:rPr>
            </w:pPr>
            <w:r w:rsidRPr="009614D4">
              <w:rPr>
                <w:rFonts w:ascii="Arial" w:eastAsia="SimSun" w:hAnsi="Arial" w:cs="Arial"/>
                <w:sz w:val="22"/>
                <w:szCs w:val="22"/>
              </w:rPr>
              <w:t>[Aucun changement.]</w:t>
            </w:r>
          </w:p>
        </w:tc>
      </w:tr>
      <w:tr w:rsidR="009614D4" w:rsidRPr="009614D4" w14:paraId="3E4C1B72" w14:textId="77777777" w:rsidTr="00CC4DEE">
        <w:tc>
          <w:tcPr>
            <w:tcW w:w="222" w:type="pct"/>
          </w:tcPr>
          <w:p w14:paraId="0FB4EEE3"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lang w:val="en-GB"/>
              </w:rPr>
            </w:pPr>
          </w:p>
        </w:tc>
        <w:tc>
          <w:tcPr>
            <w:tcW w:w="697" w:type="pct"/>
          </w:tcPr>
          <w:p w14:paraId="2B3D3715"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lang w:val="en-GB"/>
              </w:rPr>
            </w:pPr>
          </w:p>
        </w:tc>
        <w:tc>
          <w:tcPr>
            <w:tcW w:w="1606" w:type="pct"/>
          </w:tcPr>
          <w:p w14:paraId="6676F871" w14:textId="77777777" w:rsidR="009614D4" w:rsidRPr="009614D4" w:rsidRDefault="009614D4" w:rsidP="009614D4">
            <w:pPr>
              <w:autoSpaceDE w:val="0"/>
              <w:autoSpaceDN w:val="0"/>
              <w:adjustRightInd w:val="0"/>
              <w:spacing w:before="120" w:after="120"/>
              <w:rPr>
                <w:rFonts w:ascii="Arial" w:eastAsia="SimSun" w:hAnsi="Arial" w:cs="Arial"/>
                <w:sz w:val="22"/>
                <w:szCs w:val="22"/>
                <w:lang w:val="en-GB"/>
              </w:rPr>
            </w:pPr>
          </w:p>
        </w:tc>
        <w:tc>
          <w:tcPr>
            <w:tcW w:w="209" w:type="pct"/>
          </w:tcPr>
          <w:p w14:paraId="7D2602C1"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lang w:val="en-GB"/>
              </w:rPr>
            </w:pPr>
            <w:r w:rsidRPr="009614D4">
              <w:rPr>
                <w:rFonts w:ascii="Arial" w:eastAsia="SimSun" w:hAnsi="Arial" w:cs="Arial"/>
                <w:sz w:val="22"/>
                <w:szCs w:val="22"/>
              </w:rPr>
              <w:t>54.</w:t>
            </w:r>
          </w:p>
        </w:tc>
        <w:tc>
          <w:tcPr>
            <w:tcW w:w="740" w:type="pct"/>
          </w:tcPr>
          <w:p w14:paraId="3644A20C" w14:textId="77777777" w:rsidR="009614D4" w:rsidRPr="009614D4" w:rsidRDefault="009614D4" w:rsidP="009614D4">
            <w:pPr>
              <w:autoSpaceDE w:val="0"/>
              <w:autoSpaceDN w:val="0"/>
              <w:adjustRightInd w:val="0"/>
              <w:spacing w:before="120" w:after="120"/>
              <w:rPr>
                <w:rFonts w:ascii="Arial" w:eastAsia="SimSun" w:hAnsi="Arial" w:cs="Arial"/>
                <w:sz w:val="22"/>
                <w:szCs w:val="22"/>
                <w:lang w:val="en-GB"/>
              </w:rPr>
            </w:pPr>
            <w:r w:rsidRPr="009614D4">
              <w:rPr>
                <w:rFonts w:ascii="Arial" w:eastAsia="SimSun" w:hAnsi="Arial" w:cs="Arial"/>
                <w:sz w:val="22"/>
                <w:szCs w:val="22"/>
              </w:rPr>
              <w:t>[Aucun changement.]</w:t>
            </w:r>
          </w:p>
        </w:tc>
        <w:tc>
          <w:tcPr>
            <w:tcW w:w="1526" w:type="pct"/>
          </w:tcPr>
          <w:p w14:paraId="02096AA0" w14:textId="77777777" w:rsidR="009614D4" w:rsidRPr="009614D4" w:rsidRDefault="009614D4" w:rsidP="009614D4">
            <w:pPr>
              <w:autoSpaceDE w:val="0"/>
              <w:autoSpaceDN w:val="0"/>
              <w:adjustRightInd w:val="0"/>
              <w:spacing w:before="120" w:after="120"/>
              <w:rPr>
                <w:rFonts w:ascii="Arial" w:eastAsia="SimSun" w:hAnsi="Arial" w:cs="Arial"/>
                <w:sz w:val="22"/>
                <w:szCs w:val="22"/>
                <w:lang w:val="en-GB"/>
              </w:rPr>
            </w:pPr>
          </w:p>
        </w:tc>
      </w:tr>
      <w:tr w:rsidR="009614D4" w:rsidRPr="009614D4" w14:paraId="630A2300" w14:textId="77777777" w:rsidTr="00CC4DEE">
        <w:tc>
          <w:tcPr>
            <w:tcW w:w="222" w:type="pct"/>
          </w:tcPr>
          <w:p w14:paraId="08C5BB69"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lang w:val="en-GB"/>
              </w:rPr>
            </w:pPr>
            <w:r w:rsidRPr="009614D4">
              <w:rPr>
                <w:rFonts w:ascii="Arial" w:eastAsia="SimSun" w:hAnsi="Arial" w:cs="Arial"/>
                <w:sz w:val="22"/>
                <w:szCs w:val="22"/>
              </w:rPr>
              <w:t>55.</w:t>
            </w:r>
          </w:p>
        </w:tc>
        <w:tc>
          <w:tcPr>
            <w:tcW w:w="697" w:type="pct"/>
          </w:tcPr>
          <w:p w14:paraId="24B37134"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lang w:val="en-GB"/>
              </w:rPr>
            </w:pPr>
            <w:r w:rsidRPr="009614D4">
              <w:rPr>
                <w:rFonts w:ascii="Arial" w:eastAsia="SimSun" w:hAnsi="Arial" w:cs="Arial"/>
                <w:sz w:val="22"/>
                <w:szCs w:val="22"/>
              </w:rPr>
              <w:t>Phase 2 :</w:t>
            </w:r>
          </w:p>
        </w:tc>
        <w:tc>
          <w:tcPr>
            <w:tcW w:w="1606" w:type="pct"/>
          </w:tcPr>
          <w:p w14:paraId="130AAB5D" w14:textId="77777777" w:rsidR="009614D4" w:rsidRPr="009614D4" w:rsidRDefault="009614D4" w:rsidP="009614D4">
            <w:pPr>
              <w:autoSpaceDE w:val="0"/>
              <w:autoSpaceDN w:val="0"/>
              <w:adjustRightInd w:val="0"/>
              <w:spacing w:before="120" w:after="120"/>
              <w:rPr>
                <w:rFonts w:ascii="Arial" w:eastAsia="SimSun" w:hAnsi="Arial" w:cs="Arial"/>
                <w:sz w:val="22"/>
                <w:szCs w:val="22"/>
                <w:lang w:val="en-GB"/>
              </w:rPr>
            </w:pPr>
            <w:r w:rsidRPr="009614D4">
              <w:rPr>
                <w:rFonts w:ascii="Arial" w:eastAsia="SimSun" w:hAnsi="Arial" w:cs="Arial"/>
                <w:sz w:val="22"/>
                <w:szCs w:val="22"/>
              </w:rPr>
              <w:t>Évaluation</w:t>
            </w:r>
          </w:p>
        </w:tc>
        <w:tc>
          <w:tcPr>
            <w:tcW w:w="209" w:type="pct"/>
          </w:tcPr>
          <w:p w14:paraId="1B5CCF9A"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lang w:val="en-GB"/>
              </w:rPr>
            </w:pPr>
            <w:r w:rsidRPr="009614D4">
              <w:rPr>
                <w:rFonts w:ascii="Arial" w:eastAsia="SimSun" w:hAnsi="Arial" w:cs="Arial"/>
                <w:sz w:val="22"/>
                <w:szCs w:val="22"/>
              </w:rPr>
              <w:t>55.</w:t>
            </w:r>
          </w:p>
        </w:tc>
        <w:tc>
          <w:tcPr>
            <w:tcW w:w="740" w:type="pct"/>
          </w:tcPr>
          <w:p w14:paraId="5294FEFE"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lang w:val="en-GB"/>
              </w:rPr>
            </w:pPr>
            <w:r w:rsidRPr="009614D4">
              <w:rPr>
                <w:rFonts w:ascii="Arial" w:eastAsia="SimSun" w:hAnsi="Arial" w:cs="Arial"/>
                <w:sz w:val="22"/>
                <w:szCs w:val="22"/>
              </w:rPr>
              <w:t>Phase 2 :</w:t>
            </w:r>
          </w:p>
        </w:tc>
        <w:tc>
          <w:tcPr>
            <w:tcW w:w="1526" w:type="pct"/>
          </w:tcPr>
          <w:p w14:paraId="39072B05" w14:textId="77777777" w:rsidR="009614D4" w:rsidRPr="009614D4" w:rsidRDefault="009614D4" w:rsidP="009614D4">
            <w:pPr>
              <w:autoSpaceDE w:val="0"/>
              <w:autoSpaceDN w:val="0"/>
              <w:adjustRightInd w:val="0"/>
              <w:spacing w:before="120" w:after="120"/>
              <w:rPr>
                <w:rFonts w:ascii="Arial" w:eastAsia="SimSun" w:hAnsi="Arial" w:cs="Arial"/>
                <w:sz w:val="22"/>
                <w:szCs w:val="22"/>
                <w:lang w:val="en-GB"/>
              </w:rPr>
            </w:pPr>
            <w:r w:rsidRPr="009614D4">
              <w:rPr>
                <w:rFonts w:ascii="Arial" w:eastAsia="SimSun" w:hAnsi="Arial" w:cs="Arial"/>
                <w:sz w:val="22"/>
                <w:szCs w:val="22"/>
              </w:rPr>
              <w:t>Évaluation</w:t>
            </w:r>
          </w:p>
        </w:tc>
      </w:tr>
      <w:tr w:rsidR="009614D4" w:rsidRPr="009614D4" w14:paraId="2090746A" w14:textId="77777777" w:rsidTr="00CC4DEE">
        <w:tc>
          <w:tcPr>
            <w:tcW w:w="222" w:type="pct"/>
          </w:tcPr>
          <w:p w14:paraId="16ED9C15"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lang w:val="en-GB"/>
              </w:rPr>
            </w:pPr>
          </w:p>
        </w:tc>
        <w:tc>
          <w:tcPr>
            <w:tcW w:w="697" w:type="pct"/>
          </w:tcPr>
          <w:p w14:paraId="34898661"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rPr>
            </w:pPr>
            <w:r w:rsidRPr="009614D4">
              <w:rPr>
                <w:rFonts w:ascii="Arial" w:eastAsia="SimSun" w:hAnsi="Arial" w:cs="Arial"/>
                <w:sz w:val="22"/>
                <w:szCs w:val="22"/>
              </w:rPr>
              <w:t>Décembre année 1</w:t>
            </w:r>
            <w:r w:rsidRPr="009614D4">
              <w:rPr>
                <w:rFonts w:ascii="Arial" w:eastAsia="SimSun" w:hAnsi="Arial" w:cs="Arial"/>
                <w:sz w:val="22"/>
                <w:szCs w:val="22"/>
              </w:rPr>
              <w:br/>
              <w:t xml:space="preserve"> à mai année 2</w:t>
            </w:r>
          </w:p>
        </w:tc>
        <w:tc>
          <w:tcPr>
            <w:tcW w:w="1606" w:type="pct"/>
          </w:tcPr>
          <w:p w14:paraId="1AF50C49" w14:textId="77777777" w:rsidR="009614D4" w:rsidRPr="009614D4" w:rsidRDefault="009614D4" w:rsidP="009614D4">
            <w:pPr>
              <w:autoSpaceDE w:val="0"/>
              <w:autoSpaceDN w:val="0"/>
              <w:adjustRightInd w:val="0"/>
              <w:spacing w:before="120" w:after="120"/>
              <w:rPr>
                <w:rFonts w:ascii="Arial" w:eastAsia="SimSun" w:hAnsi="Arial" w:cs="Arial"/>
                <w:sz w:val="22"/>
                <w:szCs w:val="22"/>
              </w:rPr>
            </w:pPr>
            <w:r w:rsidRPr="009614D4">
              <w:rPr>
                <w:rFonts w:ascii="Arial" w:eastAsia="SimSun" w:hAnsi="Arial" w:cs="Arial"/>
                <w:sz w:val="22"/>
                <w:szCs w:val="22"/>
              </w:rPr>
              <w:t>Évaluation des dossiers par l’Organe d’évaluation.</w:t>
            </w:r>
          </w:p>
        </w:tc>
        <w:tc>
          <w:tcPr>
            <w:tcW w:w="209" w:type="pct"/>
          </w:tcPr>
          <w:p w14:paraId="45E50637"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rPr>
            </w:pPr>
          </w:p>
        </w:tc>
        <w:tc>
          <w:tcPr>
            <w:tcW w:w="740" w:type="pct"/>
          </w:tcPr>
          <w:p w14:paraId="7E2C4092"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rPr>
            </w:pPr>
            <w:r w:rsidRPr="009614D4">
              <w:rPr>
                <w:rFonts w:ascii="Arial" w:eastAsia="SimSun" w:hAnsi="Arial" w:cs="Arial"/>
                <w:sz w:val="22"/>
                <w:szCs w:val="22"/>
              </w:rPr>
              <w:t>Décembre année 1</w:t>
            </w:r>
            <w:r w:rsidRPr="009614D4">
              <w:rPr>
                <w:rFonts w:ascii="Arial" w:eastAsia="SimSun" w:hAnsi="Arial" w:cs="Arial"/>
                <w:sz w:val="22"/>
                <w:szCs w:val="22"/>
              </w:rPr>
              <w:br/>
              <w:t xml:space="preserve"> à mai année 2</w:t>
            </w:r>
          </w:p>
        </w:tc>
        <w:tc>
          <w:tcPr>
            <w:tcW w:w="1526" w:type="pct"/>
          </w:tcPr>
          <w:p w14:paraId="02B62405" w14:textId="77777777" w:rsidR="009614D4" w:rsidRPr="009614D4" w:rsidRDefault="009614D4" w:rsidP="009614D4">
            <w:pPr>
              <w:autoSpaceDE w:val="0"/>
              <w:autoSpaceDN w:val="0"/>
              <w:adjustRightInd w:val="0"/>
              <w:spacing w:before="120" w:after="120"/>
              <w:rPr>
                <w:rFonts w:ascii="Arial" w:eastAsia="SimSun" w:hAnsi="Arial" w:cs="Arial"/>
                <w:sz w:val="22"/>
                <w:szCs w:val="22"/>
              </w:rPr>
            </w:pPr>
            <w:r w:rsidRPr="009614D4">
              <w:rPr>
                <w:rFonts w:ascii="Arial" w:eastAsia="SimSun" w:hAnsi="Arial" w:cs="Arial"/>
                <w:sz w:val="22"/>
                <w:szCs w:val="22"/>
              </w:rPr>
              <w:t xml:space="preserve">Évaluation </w:t>
            </w:r>
            <w:r w:rsidRPr="009614D4">
              <w:rPr>
                <w:rFonts w:ascii="Arial" w:eastAsia="SimSun" w:hAnsi="Arial" w:cs="Arial"/>
                <w:b/>
                <w:sz w:val="22"/>
                <w:szCs w:val="22"/>
                <w:u w:val="single"/>
              </w:rPr>
              <w:t>individuelle</w:t>
            </w:r>
            <w:r w:rsidRPr="009614D4">
              <w:rPr>
                <w:rFonts w:ascii="Arial" w:eastAsia="SimSun" w:hAnsi="Arial" w:cs="Arial"/>
                <w:sz w:val="22"/>
                <w:szCs w:val="22"/>
              </w:rPr>
              <w:t xml:space="preserve"> des dossiers par les </w:t>
            </w:r>
            <w:r w:rsidRPr="009614D4">
              <w:rPr>
                <w:rFonts w:ascii="Arial" w:eastAsia="SimSun" w:hAnsi="Arial" w:cs="Arial"/>
                <w:b/>
                <w:sz w:val="22"/>
                <w:szCs w:val="22"/>
                <w:u w:val="single"/>
              </w:rPr>
              <w:t>membres</w:t>
            </w:r>
            <w:r w:rsidRPr="009614D4">
              <w:rPr>
                <w:rFonts w:ascii="Arial" w:eastAsia="SimSun" w:hAnsi="Arial" w:cs="Arial"/>
                <w:sz w:val="22"/>
                <w:szCs w:val="22"/>
              </w:rPr>
              <w:t xml:space="preserve"> de l’Organe d’évaluation.</w:t>
            </w:r>
          </w:p>
        </w:tc>
      </w:tr>
      <w:tr w:rsidR="009614D4" w:rsidRPr="009614D4" w14:paraId="1E3B3454" w14:textId="77777777" w:rsidTr="00CC4DEE">
        <w:tc>
          <w:tcPr>
            <w:tcW w:w="222" w:type="pct"/>
          </w:tcPr>
          <w:p w14:paraId="60CEBA82"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rPr>
            </w:pPr>
          </w:p>
        </w:tc>
        <w:tc>
          <w:tcPr>
            <w:tcW w:w="697" w:type="pct"/>
          </w:tcPr>
          <w:p w14:paraId="75D60050"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lang w:val="en-GB"/>
              </w:rPr>
            </w:pPr>
            <w:r w:rsidRPr="009614D4">
              <w:rPr>
                <w:rFonts w:ascii="Arial" w:eastAsia="SimSun" w:hAnsi="Arial" w:cs="Arial"/>
                <w:sz w:val="22"/>
                <w:szCs w:val="22"/>
              </w:rPr>
              <w:t xml:space="preserve">Avril - juin </w:t>
            </w:r>
            <w:r w:rsidRPr="009614D4">
              <w:rPr>
                <w:rFonts w:ascii="Arial" w:eastAsia="SimSun" w:hAnsi="Arial" w:cs="Arial"/>
                <w:sz w:val="22"/>
                <w:szCs w:val="22"/>
              </w:rPr>
              <w:br/>
              <w:t xml:space="preserve"> année 2</w:t>
            </w:r>
          </w:p>
        </w:tc>
        <w:tc>
          <w:tcPr>
            <w:tcW w:w="1606" w:type="pct"/>
          </w:tcPr>
          <w:p w14:paraId="2DD6FD44" w14:textId="77777777" w:rsidR="009614D4" w:rsidRPr="009614D4" w:rsidRDefault="009614D4" w:rsidP="009614D4">
            <w:pPr>
              <w:autoSpaceDE w:val="0"/>
              <w:autoSpaceDN w:val="0"/>
              <w:adjustRightInd w:val="0"/>
              <w:spacing w:before="120" w:after="120"/>
              <w:rPr>
                <w:rFonts w:ascii="Arial" w:eastAsia="SimSun" w:hAnsi="Arial" w:cs="Arial"/>
                <w:sz w:val="22"/>
                <w:szCs w:val="22"/>
              </w:rPr>
            </w:pPr>
            <w:r w:rsidRPr="009614D4">
              <w:rPr>
                <w:rFonts w:ascii="Arial" w:eastAsia="SimSun" w:hAnsi="Arial" w:cs="Arial"/>
                <w:sz w:val="22"/>
                <w:szCs w:val="22"/>
              </w:rPr>
              <w:t>Réunion d’évaluation finale par l’Organe d’évaluation.</w:t>
            </w:r>
          </w:p>
        </w:tc>
        <w:tc>
          <w:tcPr>
            <w:tcW w:w="209" w:type="pct"/>
          </w:tcPr>
          <w:p w14:paraId="2BBEEB74"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rPr>
            </w:pPr>
          </w:p>
        </w:tc>
        <w:tc>
          <w:tcPr>
            <w:tcW w:w="740" w:type="pct"/>
          </w:tcPr>
          <w:p w14:paraId="565B7B22"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rPr>
            </w:pPr>
            <w:r w:rsidRPr="009614D4">
              <w:rPr>
                <w:rFonts w:ascii="Arial" w:eastAsia="SimSun" w:hAnsi="Arial" w:cs="Arial"/>
                <w:sz w:val="22"/>
                <w:szCs w:val="22"/>
              </w:rPr>
              <w:t xml:space="preserve">Juin </w:t>
            </w:r>
            <w:r w:rsidRPr="009614D4">
              <w:rPr>
                <w:rFonts w:ascii="Arial" w:eastAsia="SimSun" w:hAnsi="Arial" w:cs="Arial"/>
                <w:sz w:val="22"/>
                <w:szCs w:val="22"/>
              </w:rPr>
              <w:br/>
              <w:t>année 2</w:t>
            </w:r>
          </w:p>
        </w:tc>
        <w:tc>
          <w:tcPr>
            <w:tcW w:w="1526" w:type="pct"/>
          </w:tcPr>
          <w:p w14:paraId="0E8FB7D3" w14:textId="77777777" w:rsidR="009614D4" w:rsidRPr="009614D4" w:rsidRDefault="009614D4" w:rsidP="009614D4">
            <w:pPr>
              <w:autoSpaceDE w:val="0"/>
              <w:autoSpaceDN w:val="0"/>
              <w:adjustRightInd w:val="0"/>
              <w:spacing w:before="120" w:after="120"/>
              <w:rPr>
                <w:rFonts w:ascii="Arial" w:eastAsia="SimSun" w:hAnsi="Arial" w:cs="Arial"/>
                <w:b/>
                <w:sz w:val="22"/>
                <w:szCs w:val="22"/>
                <w:u w:val="single"/>
              </w:rPr>
            </w:pPr>
            <w:r w:rsidRPr="009614D4">
              <w:rPr>
                <w:rFonts w:ascii="Arial" w:eastAsia="SimSun" w:hAnsi="Arial" w:cs="Arial"/>
                <w:sz w:val="22"/>
                <w:szCs w:val="22"/>
              </w:rPr>
              <w:t>Réunion</w:t>
            </w:r>
            <w:r w:rsidRPr="009614D4">
              <w:rPr>
                <w:rFonts w:ascii="Arial" w:eastAsia="SimSun" w:hAnsi="Arial" w:cs="Arial"/>
                <w:b/>
                <w:sz w:val="22"/>
                <w:szCs w:val="22"/>
              </w:rPr>
              <w:t xml:space="preserve"> </w:t>
            </w:r>
            <w:r w:rsidRPr="009614D4">
              <w:rPr>
                <w:rFonts w:ascii="Arial" w:eastAsia="SimSun" w:hAnsi="Arial" w:cs="Arial"/>
                <w:strike/>
                <w:sz w:val="22"/>
                <w:szCs w:val="22"/>
              </w:rPr>
              <w:t>d’évaluation finale par l’Organe d’évaluation</w:t>
            </w:r>
            <w:r w:rsidRPr="009614D4">
              <w:rPr>
                <w:rFonts w:ascii="Arial" w:eastAsia="SimSun" w:hAnsi="Arial" w:cs="Arial"/>
                <w:b/>
                <w:sz w:val="22"/>
                <w:szCs w:val="22"/>
                <w:u w:val="single"/>
              </w:rPr>
              <w:t xml:space="preserve"> au cours de laquelle l’Organe d’évaluation achève collectivement l’évaluation des dossiers et décide lesquels seront concernés par le processus de dialogue. Seule l’évaluation des dossiers inclus dans le processus de dialogue restera en attente de validation jusqu’à la réunion finale de l’Organe d’évaluation.</w:t>
            </w:r>
          </w:p>
          <w:p w14:paraId="3A8BBF6B" w14:textId="77777777" w:rsidR="009614D4" w:rsidRPr="009614D4" w:rsidRDefault="009614D4" w:rsidP="009614D4">
            <w:pPr>
              <w:autoSpaceDE w:val="0"/>
              <w:autoSpaceDN w:val="0"/>
              <w:adjustRightInd w:val="0"/>
              <w:spacing w:before="120" w:after="120"/>
              <w:rPr>
                <w:rFonts w:ascii="Arial" w:eastAsia="SimSun" w:hAnsi="Arial" w:cs="Arial"/>
                <w:b/>
                <w:sz w:val="22"/>
                <w:szCs w:val="22"/>
              </w:rPr>
            </w:pPr>
            <w:r w:rsidRPr="009614D4">
              <w:rPr>
                <w:rFonts w:ascii="Arial" w:eastAsia="SimSun" w:hAnsi="Arial" w:cs="Arial"/>
                <w:b/>
                <w:sz w:val="22"/>
                <w:szCs w:val="22"/>
                <w:u w:val="single"/>
              </w:rPr>
              <w:t>Le processus de dialogue est engagé lorsque l’Organe d’évaluation estime qu’un court processus de questions-réponses avec le ou les États soumissionnaires, mené par écrit par l’intermédiaire du Secrétariat, pourrait influencer le résultat de son évaluation.</w:t>
            </w:r>
          </w:p>
        </w:tc>
      </w:tr>
      <w:tr w:rsidR="009614D4" w:rsidRPr="009614D4" w14:paraId="1A1B592E" w14:textId="77777777" w:rsidTr="00CC4DEE">
        <w:tc>
          <w:tcPr>
            <w:tcW w:w="222" w:type="pct"/>
          </w:tcPr>
          <w:p w14:paraId="605346CA"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rPr>
            </w:pPr>
          </w:p>
        </w:tc>
        <w:tc>
          <w:tcPr>
            <w:tcW w:w="697" w:type="pct"/>
          </w:tcPr>
          <w:p w14:paraId="75CFB023"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rPr>
            </w:pPr>
          </w:p>
        </w:tc>
        <w:tc>
          <w:tcPr>
            <w:tcW w:w="1606" w:type="pct"/>
          </w:tcPr>
          <w:p w14:paraId="3BA5191D" w14:textId="77777777" w:rsidR="009614D4" w:rsidRPr="009614D4" w:rsidRDefault="009614D4" w:rsidP="009614D4">
            <w:pPr>
              <w:autoSpaceDE w:val="0"/>
              <w:autoSpaceDN w:val="0"/>
              <w:adjustRightInd w:val="0"/>
              <w:spacing w:before="120" w:after="120"/>
              <w:rPr>
                <w:rFonts w:ascii="Arial" w:eastAsia="SimSun" w:hAnsi="Arial" w:cs="Arial"/>
                <w:sz w:val="22"/>
                <w:szCs w:val="22"/>
              </w:rPr>
            </w:pPr>
          </w:p>
        </w:tc>
        <w:tc>
          <w:tcPr>
            <w:tcW w:w="209" w:type="pct"/>
          </w:tcPr>
          <w:p w14:paraId="47C144AD"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rPr>
            </w:pPr>
          </w:p>
        </w:tc>
        <w:tc>
          <w:tcPr>
            <w:tcW w:w="740" w:type="pct"/>
          </w:tcPr>
          <w:p w14:paraId="5C748433" w14:textId="77777777" w:rsidR="009614D4" w:rsidRPr="009614D4" w:rsidRDefault="009614D4" w:rsidP="009614D4">
            <w:pPr>
              <w:autoSpaceDE w:val="0"/>
              <w:autoSpaceDN w:val="0"/>
              <w:adjustRightInd w:val="0"/>
              <w:spacing w:before="120" w:after="120"/>
              <w:jc w:val="right"/>
              <w:rPr>
                <w:rFonts w:ascii="Arial" w:eastAsia="SimSun" w:hAnsi="Arial" w:cs="Arial"/>
                <w:b/>
                <w:sz w:val="22"/>
                <w:szCs w:val="22"/>
                <w:u w:val="single"/>
              </w:rPr>
            </w:pPr>
            <w:r w:rsidRPr="009614D4">
              <w:rPr>
                <w:rFonts w:ascii="Arial" w:eastAsia="SimSun" w:hAnsi="Arial" w:cs="Arial"/>
                <w:b/>
                <w:sz w:val="22"/>
                <w:szCs w:val="22"/>
                <w:u w:val="single"/>
              </w:rPr>
              <w:t xml:space="preserve">Deux semaines après la réunion de juin </w:t>
            </w:r>
            <w:r w:rsidRPr="009614D4">
              <w:rPr>
                <w:rFonts w:ascii="Arial" w:eastAsia="SimSun" w:hAnsi="Arial" w:cs="Arial"/>
                <w:b/>
                <w:sz w:val="22"/>
                <w:szCs w:val="22"/>
                <w:u w:val="single"/>
              </w:rPr>
              <w:br/>
              <w:t>Année 2</w:t>
            </w:r>
          </w:p>
        </w:tc>
        <w:tc>
          <w:tcPr>
            <w:tcW w:w="1526" w:type="pct"/>
          </w:tcPr>
          <w:p w14:paraId="7D00932E" w14:textId="77777777" w:rsidR="009614D4" w:rsidRPr="009614D4" w:rsidRDefault="009614D4" w:rsidP="009614D4">
            <w:pPr>
              <w:autoSpaceDE w:val="0"/>
              <w:autoSpaceDN w:val="0"/>
              <w:adjustRightInd w:val="0"/>
              <w:spacing w:before="120" w:after="120"/>
              <w:rPr>
                <w:rFonts w:ascii="Arial" w:eastAsia="SimSun" w:hAnsi="Arial" w:cs="Arial"/>
                <w:b/>
                <w:sz w:val="22"/>
                <w:szCs w:val="22"/>
                <w:u w:val="single"/>
              </w:rPr>
            </w:pPr>
            <w:r w:rsidRPr="009614D4">
              <w:rPr>
                <w:rFonts w:ascii="Arial" w:eastAsia="SimSun" w:hAnsi="Arial" w:cs="Arial"/>
                <w:b/>
                <w:sz w:val="22"/>
                <w:szCs w:val="22"/>
                <w:u w:val="single"/>
              </w:rPr>
              <w:t>Date limite à laquelle l’Organe d’évaluation devra transmettre, par l’intermédiaire du Secrétariat, ses questions aux États parties concernés par le processus de dialogue, dans l’une des deux langues de travail de la Convention.</w:t>
            </w:r>
          </w:p>
        </w:tc>
      </w:tr>
      <w:tr w:rsidR="009614D4" w:rsidRPr="009614D4" w14:paraId="3103E716" w14:textId="77777777" w:rsidTr="00CC4DEE">
        <w:tc>
          <w:tcPr>
            <w:tcW w:w="222" w:type="pct"/>
          </w:tcPr>
          <w:p w14:paraId="2638EACA"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rPr>
            </w:pPr>
          </w:p>
        </w:tc>
        <w:tc>
          <w:tcPr>
            <w:tcW w:w="697" w:type="pct"/>
          </w:tcPr>
          <w:p w14:paraId="7094203F"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rPr>
            </w:pPr>
          </w:p>
        </w:tc>
        <w:tc>
          <w:tcPr>
            <w:tcW w:w="1606" w:type="pct"/>
          </w:tcPr>
          <w:p w14:paraId="7DA5FB0F" w14:textId="77777777" w:rsidR="009614D4" w:rsidRPr="009614D4" w:rsidRDefault="009614D4" w:rsidP="009614D4">
            <w:pPr>
              <w:autoSpaceDE w:val="0"/>
              <w:autoSpaceDN w:val="0"/>
              <w:adjustRightInd w:val="0"/>
              <w:spacing w:before="120" w:after="120"/>
              <w:rPr>
                <w:rFonts w:ascii="Arial" w:eastAsia="SimSun" w:hAnsi="Arial" w:cs="Arial"/>
                <w:sz w:val="22"/>
                <w:szCs w:val="22"/>
              </w:rPr>
            </w:pPr>
          </w:p>
        </w:tc>
        <w:tc>
          <w:tcPr>
            <w:tcW w:w="209" w:type="pct"/>
          </w:tcPr>
          <w:p w14:paraId="639D571F"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rPr>
            </w:pPr>
          </w:p>
        </w:tc>
        <w:tc>
          <w:tcPr>
            <w:tcW w:w="740" w:type="pct"/>
          </w:tcPr>
          <w:p w14:paraId="26243706" w14:textId="77777777" w:rsidR="009614D4" w:rsidRPr="009614D4" w:rsidRDefault="009614D4" w:rsidP="009614D4">
            <w:pPr>
              <w:autoSpaceDE w:val="0"/>
              <w:autoSpaceDN w:val="0"/>
              <w:adjustRightInd w:val="0"/>
              <w:spacing w:before="120" w:after="120"/>
              <w:jc w:val="both"/>
              <w:rPr>
                <w:rFonts w:ascii="Arial" w:eastAsia="SimSun" w:hAnsi="Arial" w:cs="Arial"/>
                <w:b/>
                <w:sz w:val="22"/>
                <w:szCs w:val="22"/>
                <w:u w:val="single"/>
              </w:rPr>
            </w:pPr>
          </w:p>
        </w:tc>
        <w:tc>
          <w:tcPr>
            <w:tcW w:w="1526" w:type="pct"/>
          </w:tcPr>
          <w:p w14:paraId="565FB732" w14:textId="77777777" w:rsidR="009614D4" w:rsidRPr="009614D4" w:rsidRDefault="009614D4" w:rsidP="009614D4">
            <w:pPr>
              <w:autoSpaceDE w:val="0"/>
              <w:autoSpaceDN w:val="0"/>
              <w:adjustRightInd w:val="0"/>
              <w:spacing w:before="120" w:after="120"/>
              <w:rPr>
                <w:rFonts w:ascii="Arial" w:eastAsia="SimSun" w:hAnsi="Arial" w:cs="Arial"/>
                <w:b/>
                <w:sz w:val="22"/>
                <w:szCs w:val="22"/>
                <w:u w:val="single"/>
              </w:rPr>
            </w:pPr>
            <w:r w:rsidRPr="009614D4">
              <w:rPr>
                <w:rFonts w:ascii="Arial" w:eastAsia="SimSun" w:hAnsi="Arial" w:cs="Arial"/>
                <w:b/>
                <w:sz w:val="22"/>
                <w:szCs w:val="22"/>
                <w:u w:val="single"/>
              </w:rPr>
              <w:t>Les États parties devront répondre aux demandes de l’Organe d’évaluation, par l’intermédiaire du Secrétariat, dans un délai de quatre semaines à compter de la réception de la lettre, dans les deux langues de travail de la Convention.</w:t>
            </w:r>
          </w:p>
        </w:tc>
      </w:tr>
      <w:tr w:rsidR="009614D4" w:rsidRPr="009614D4" w14:paraId="3F80E485" w14:textId="77777777" w:rsidTr="00CC4DEE">
        <w:tc>
          <w:tcPr>
            <w:tcW w:w="222" w:type="pct"/>
          </w:tcPr>
          <w:p w14:paraId="7DC4FC5F"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rPr>
            </w:pPr>
          </w:p>
        </w:tc>
        <w:tc>
          <w:tcPr>
            <w:tcW w:w="697" w:type="pct"/>
          </w:tcPr>
          <w:p w14:paraId="0912D05C"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rPr>
            </w:pPr>
          </w:p>
        </w:tc>
        <w:tc>
          <w:tcPr>
            <w:tcW w:w="1606" w:type="pct"/>
          </w:tcPr>
          <w:p w14:paraId="31D0190A" w14:textId="77777777" w:rsidR="009614D4" w:rsidRPr="009614D4" w:rsidRDefault="009614D4" w:rsidP="009614D4">
            <w:pPr>
              <w:autoSpaceDE w:val="0"/>
              <w:autoSpaceDN w:val="0"/>
              <w:adjustRightInd w:val="0"/>
              <w:spacing w:before="120" w:after="120"/>
              <w:rPr>
                <w:rFonts w:ascii="Arial" w:eastAsia="SimSun" w:hAnsi="Arial" w:cs="Arial"/>
                <w:sz w:val="22"/>
                <w:szCs w:val="22"/>
              </w:rPr>
            </w:pPr>
          </w:p>
        </w:tc>
        <w:tc>
          <w:tcPr>
            <w:tcW w:w="209" w:type="pct"/>
          </w:tcPr>
          <w:p w14:paraId="175D5047"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rPr>
            </w:pPr>
          </w:p>
        </w:tc>
        <w:tc>
          <w:tcPr>
            <w:tcW w:w="740" w:type="pct"/>
          </w:tcPr>
          <w:p w14:paraId="71DD7DBF" w14:textId="77777777" w:rsidR="009614D4" w:rsidRPr="009614D4" w:rsidRDefault="009614D4" w:rsidP="009614D4">
            <w:pPr>
              <w:autoSpaceDE w:val="0"/>
              <w:autoSpaceDN w:val="0"/>
              <w:adjustRightInd w:val="0"/>
              <w:spacing w:before="120" w:after="120"/>
              <w:jc w:val="right"/>
              <w:rPr>
                <w:rFonts w:ascii="Arial" w:eastAsia="SimSun" w:hAnsi="Arial" w:cs="Arial"/>
                <w:b/>
                <w:sz w:val="22"/>
                <w:szCs w:val="22"/>
                <w:u w:val="single"/>
              </w:rPr>
            </w:pPr>
            <w:r w:rsidRPr="009614D4">
              <w:rPr>
                <w:rFonts w:ascii="Arial" w:eastAsia="SimSun" w:hAnsi="Arial" w:cs="Arial"/>
                <w:b/>
                <w:sz w:val="22"/>
                <w:szCs w:val="22"/>
                <w:u w:val="single"/>
              </w:rPr>
              <w:t xml:space="preserve">Au plus tard en septembre </w:t>
            </w:r>
          </w:p>
          <w:p w14:paraId="592DECF0" w14:textId="77777777" w:rsidR="009614D4" w:rsidRPr="009614D4" w:rsidRDefault="009614D4" w:rsidP="009614D4">
            <w:pPr>
              <w:autoSpaceDE w:val="0"/>
              <w:autoSpaceDN w:val="0"/>
              <w:adjustRightInd w:val="0"/>
              <w:spacing w:before="120" w:after="120"/>
              <w:jc w:val="right"/>
              <w:rPr>
                <w:rFonts w:ascii="Arial" w:eastAsia="SimSun" w:hAnsi="Arial" w:cs="Arial"/>
                <w:b/>
                <w:sz w:val="22"/>
                <w:szCs w:val="22"/>
                <w:u w:val="single"/>
              </w:rPr>
            </w:pPr>
            <w:r w:rsidRPr="009614D4">
              <w:rPr>
                <w:rFonts w:ascii="Arial" w:eastAsia="SimSun" w:hAnsi="Arial" w:cs="Arial"/>
                <w:b/>
                <w:sz w:val="22"/>
                <w:szCs w:val="22"/>
                <w:u w:val="single"/>
              </w:rPr>
              <w:t>Année 2</w:t>
            </w:r>
          </w:p>
        </w:tc>
        <w:tc>
          <w:tcPr>
            <w:tcW w:w="1526" w:type="pct"/>
          </w:tcPr>
          <w:p w14:paraId="51E7AA66" w14:textId="77777777" w:rsidR="009614D4" w:rsidRPr="009614D4" w:rsidRDefault="009614D4" w:rsidP="009614D4">
            <w:pPr>
              <w:autoSpaceDE w:val="0"/>
              <w:autoSpaceDN w:val="0"/>
              <w:adjustRightInd w:val="0"/>
              <w:spacing w:before="120" w:after="120"/>
              <w:rPr>
                <w:rFonts w:ascii="Arial" w:eastAsia="SimSun" w:hAnsi="Arial" w:cs="Arial"/>
                <w:b/>
                <w:sz w:val="22"/>
                <w:szCs w:val="22"/>
                <w:u w:val="single"/>
              </w:rPr>
            </w:pPr>
            <w:r w:rsidRPr="009614D4">
              <w:rPr>
                <w:rFonts w:ascii="Arial" w:eastAsia="SimSun" w:hAnsi="Arial" w:cs="Arial"/>
                <w:b/>
                <w:sz w:val="22"/>
                <w:szCs w:val="22"/>
                <w:u w:val="single"/>
              </w:rPr>
              <w:t>Réunion au cours de laquelle l’Organe d’évaluation achève l’évaluation des dossiers concernés par le processus de dialogue et son rapport de l’examen de tous les dossiers.</w:t>
            </w:r>
          </w:p>
        </w:tc>
      </w:tr>
      <w:tr w:rsidR="009614D4" w:rsidRPr="009614D4" w14:paraId="01A38EC8" w14:textId="77777777" w:rsidTr="00CC4DEE">
        <w:tc>
          <w:tcPr>
            <w:tcW w:w="222" w:type="pct"/>
          </w:tcPr>
          <w:p w14:paraId="4ECB9782"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rPr>
            </w:pPr>
          </w:p>
        </w:tc>
        <w:tc>
          <w:tcPr>
            <w:tcW w:w="697" w:type="pct"/>
          </w:tcPr>
          <w:p w14:paraId="73804438"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rPr>
            </w:pPr>
            <w:r w:rsidRPr="009614D4">
              <w:rPr>
                <w:rFonts w:ascii="Arial" w:eastAsia="SimSun" w:hAnsi="Arial" w:cs="Arial"/>
                <w:sz w:val="22"/>
                <w:szCs w:val="22"/>
              </w:rPr>
              <w:t>Quatre semaines avant la session du Comité</w:t>
            </w:r>
          </w:p>
        </w:tc>
        <w:tc>
          <w:tcPr>
            <w:tcW w:w="1606" w:type="pct"/>
          </w:tcPr>
          <w:p w14:paraId="1AC60B10" w14:textId="77777777" w:rsidR="009614D4" w:rsidRPr="009614D4" w:rsidRDefault="009614D4" w:rsidP="009614D4">
            <w:pPr>
              <w:autoSpaceDE w:val="0"/>
              <w:autoSpaceDN w:val="0"/>
              <w:adjustRightInd w:val="0"/>
              <w:spacing w:before="120" w:after="120"/>
              <w:rPr>
                <w:rFonts w:ascii="Arial" w:eastAsia="SimSun" w:hAnsi="Arial" w:cs="Arial"/>
                <w:sz w:val="22"/>
                <w:szCs w:val="22"/>
              </w:rPr>
            </w:pPr>
            <w:r w:rsidRPr="009614D4">
              <w:rPr>
                <w:rFonts w:ascii="Arial" w:eastAsia="SimSun" w:hAnsi="Arial" w:cs="Arial"/>
                <w:sz w:val="22"/>
                <w:szCs w:val="22"/>
              </w:rPr>
              <w:t>Le Secrétariat transmet aux membres du Comité les rapports d’évaluation et les rend disponibles en ligne à des fins de consultation.</w:t>
            </w:r>
          </w:p>
        </w:tc>
        <w:tc>
          <w:tcPr>
            <w:tcW w:w="209" w:type="pct"/>
          </w:tcPr>
          <w:p w14:paraId="3AA31BE3"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rPr>
            </w:pPr>
          </w:p>
        </w:tc>
        <w:tc>
          <w:tcPr>
            <w:tcW w:w="740" w:type="pct"/>
          </w:tcPr>
          <w:p w14:paraId="1E719A59"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rPr>
            </w:pPr>
            <w:r w:rsidRPr="009614D4">
              <w:rPr>
                <w:rFonts w:ascii="Arial" w:eastAsia="SimSun" w:hAnsi="Arial" w:cs="Arial"/>
                <w:sz w:val="22"/>
                <w:szCs w:val="22"/>
              </w:rPr>
              <w:t>Quatre semaines avant la session du Comité</w:t>
            </w:r>
          </w:p>
        </w:tc>
        <w:tc>
          <w:tcPr>
            <w:tcW w:w="1526" w:type="pct"/>
          </w:tcPr>
          <w:p w14:paraId="073B1BBB" w14:textId="77777777" w:rsidR="009614D4" w:rsidRPr="009614D4" w:rsidRDefault="009614D4" w:rsidP="009614D4">
            <w:pPr>
              <w:autoSpaceDE w:val="0"/>
              <w:autoSpaceDN w:val="0"/>
              <w:adjustRightInd w:val="0"/>
              <w:spacing w:before="120" w:after="120"/>
              <w:rPr>
                <w:rFonts w:ascii="Arial" w:eastAsia="SimSun" w:hAnsi="Arial" w:cs="Arial"/>
                <w:sz w:val="22"/>
                <w:szCs w:val="22"/>
              </w:rPr>
            </w:pPr>
            <w:r w:rsidRPr="009614D4">
              <w:rPr>
                <w:rFonts w:ascii="Arial" w:eastAsia="SimSun" w:hAnsi="Arial" w:cs="Arial"/>
                <w:sz w:val="22"/>
                <w:szCs w:val="22"/>
              </w:rPr>
              <w:t>Le Secrétariat transmet aux membres du Comité les rapports d’évaluation et les rend disponibles en ligne à des fins de consultation.</w:t>
            </w:r>
          </w:p>
        </w:tc>
      </w:tr>
      <w:tr w:rsidR="009614D4" w:rsidRPr="009614D4" w14:paraId="61E8BE4E" w14:textId="77777777" w:rsidTr="00CC4DEE">
        <w:tc>
          <w:tcPr>
            <w:tcW w:w="222" w:type="pct"/>
          </w:tcPr>
          <w:p w14:paraId="7AA94AD2"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lang w:val="en-GB"/>
              </w:rPr>
            </w:pPr>
            <w:r w:rsidRPr="009614D4">
              <w:rPr>
                <w:rFonts w:ascii="Arial" w:eastAsia="SimSun" w:hAnsi="Arial" w:cs="Arial"/>
                <w:sz w:val="22"/>
                <w:szCs w:val="22"/>
              </w:rPr>
              <w:t>56.</w:t>
            </w:r>
          </w:p>
        </w:tc>
        <w:tc>
          <w:tcPr>
            <w:tcW w:w="697" w:type="pct"/>
          </w:tcPr>
          <w:p w14:paraId="4BA85506"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lang w:val="en-GB"/>
              </w:rPr>
            </w:pPr>
            <w:r w:rsidRPr="009614D4">
              <w:rPr>
                <w:rFonts w:ascii="Arial" w:eastAsia="SimSun" w:hAnsi="Arial" w:cs="Arial"/>
                <w:sz w:val="22"/>
                <w:szCs w:val="22"/>
              </w:rPr>
              <w:t>Phase 3 :</w:t>
            </w:r>
          </w:p>
        </w:tc>
        <w:tc>
          <w:tcPr>
            <w:tcW w:w="1606" w:type="pct"/>
          </w:tcPr>
          <w:p w14:paraId="13D29A6E" w14:textId="77777777" w:rsidR="009614D4" w:rsidRPr="009614D4" w:rsidRDefault="009614D4" w:rsidP="009614D4">
            <w:pPr>
              <w:autoSpaceDE w:val="0"/>
              <w:autoSpaceDN w:val="0"/>
              <w:adjustRightInd w:val="0"/>
              <w:spacing w:before="120" w:after="120"/>
              <w:rPr>
                <w:rFonts w:ascii="Arial" w:eastAsia="SimSun" w:hAnsi="Arial" w:cs="Arial"/>
                <w:sz w:val="22"/>
                <w:szCs w:val="22"/>
                <w:lang w:val="en-GB"/>
              </w:rPr>
            </w:pPr>
            <w:r w:rsidRPr="009614D4">
              <w:rPr>
                <w:rFonts w:ascii="Arial" w:eastAsia="SimSun" w:hAnsi="Arial" w:cs="Arial"/>
                <w:sz w:val="22"/>
                <w:szCs w:val="22"/>
              </w:rPr>
              <w:t>Examen</w:t>
            </w:r>
          </w:p>
        </w:tc>
        <w:tc>
          <w:tcPr>
            <w:tcW w:w="209" w:type="pct"/>
          </w:tcPr>
          <w:p w14:paraId="117B19DF" w14:textId="77777777" w:rsidR="009614D4" w:rsidRPr="009614D4" w:rsidRDefault="009614D4" w:rsidP="009614D4">
            <w:pPr>
              <w:autoSpaceDE w:val="0"/>
              <w:autoSpaceDN w:val="0"/>
              <w:adjustRightInd w:val="0"/>
              <w:spacing w:before="120" w:after="120"/>
              <w:jc w:val="right"/>
              <w:rPr>
                <w:rFonts w:ascii="Arial" w:eastAsia="SimSun" w:hAnsi="Arial" w:cs="Arial"/>
                <w:sz w:val="22"/>
                <w:szCs w:val="22"/>
                <w:lang w:val="en-GB"/>
              </w:rPr>
            </w:pPr>
            <w:r w:rsidRPr="009614D4">
              <w:rPr>
                <w:rFonts w:ascii="Arial" w:eastAsia="SimSun" w:hAnsi="Arial" w:cs="Arial"/>
                <w:sz w:val="22"/>
                <w:szCs w:val="22"/>
              </w:rPr>
              <w:t>56.</w:t>
            </w:r>
          </w:p>
        </w:tc>
        <w:tc>
          <w:tcPr>
            <w:tcW w:w="740" w:type="pct"/>
          </w:tcPr>
          <w:p w14:paraId="3A9C446C" w14:textId="77777777" w:rsidR="009614D4" w:rsidRPr="009614D4" w:rsidRDefault="009614D4" w:rsidP="009614D4">
            <w:pPr>
              <w:autoSpaceDE w:val="0"/>
              <w:autoSpaceDN w:val="0"/>
              <w:adjustRightInd w:val="0"/>
              <w:spacing w:before="120" w:after="120"/>
              <w:rPr>
                <w:rFonts w:ascii="Arial" w:eastAsia="SimSun" w:hAnsi="Arial" w:cs="Arial"/>
                <w:sz w:val="22"/>
                <w:szCs w:val="22"/>
                <w:lang w:val="en-GB"/>
              </w:rPr>
            </w:pPr>
            <w:r w:rsidRPr="009614D4">
              <w:rPr>
                <w:rFonts w:ascii="Arial" w:eastAsia="SimSun" w:hAnsi="Arial" w:cs="Arial"/>
                <w:sz w:val="22"/>
                <w:szCs w:val="22"/>
              </w:rPr>
              <w:t>[Aucun changement.]</w:t>
            </w:r>
          </w:p>
        </w:tc>
        <w:tc>
          <w:tcPr>
            <w:tcW w:w="1526" w:type="pct"/>
          </w:tcPr>
          <w:p w14:paraId="17F9B6DB" w14:textId="77777777" w:rsidR="009614D4" w:rsidRPr="009614D4" w:rsidRDefault="009614D4" w:rsidP="009614D4">
            <w:pPr>
              <w:autoSpaceDE w:val="0"/>
              <w:autoSpaceDN w:val="0"/>
              <w:adjustRightInd w:val="0"/>
              <w:spacing w:before="120" w:after="120"/>
              <w:rPr>
                <w:rFonts w:ascii="Arial" w:eastAsia="SimSun" w:hAnsi="Arial" w:cs="Arial"/>
                <w:sz w:val="22"/>
                <w:szCs w:val="22"/>
                <w:u w:val="single"/>
                <w:lang w:val="en-GB"/>
              </w:rPr>
            </w:pPr>
          </w:p>
        </w:tc>
      </w:tr>
    </w:tbl>
    <w:p w14:paraId="38D9B2DE" w14:textId="77777777" w:rsidR="009614D4" w:rsidRPr="009614D4" w:rsidRDefault="009614D4" w:rsidP="009614D4">
      <w:pPr>
        <w:autoSpaceDE w:val="0"/>
        <w:autoSpaceDN w:val="0"/>
        <w:adjustRightInd w:val="0"/>
        <w:spacing w:after="120"/>
        <w:jc w:val="both"/>
        <w:rPr>
          <w:rFonts w:ascii="Arial" w:eastAsia="SimSun" w:hAnsi="Arial" w:cs="Arial"/>
          <w:sz w:val="22"/>
          <w:szCs w:val="22"/>
          <w:u w:val="single"/>
          <w:lang w:val="en-GB"/>
        </w:rPr>
      </w:pPr>
    </w:p>
    <w:sectPr w:rsidR="009614D4" w:rsidRPr="009614D4" w:rsidSect="003F76A9">
      <w:headerReference w:type="first" r:id="rId21"/>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47141" w14:textId="77777777" w:rsidR="003765F0" w:rsidRDefault="003765F0" w:rsidP="00655736">
      <w:r>
        <w:separator/>
      </w:r>
    </w:p>
  </w:endnote>
  <w:endnote w:type="continuationSeparator" w:id="0">
    <w:p w14:paraId="0C303AD4" w14:textId="77777777" w:rsidR="003765F0" w:rsidRDefault="003765F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8D945" w14:textId="77777777" w:rsidR="003765F0" w:rsidRDefault="003765F0" w:rsidP="00655736">
      <w:r>
        <w:separator/>
      </w:r>
    </w:p>
  </w:footnote>
  <w:footnote w:type="continuationSeparator" w:id="0">
    <w:p w14:paraId="2352C98B" w14:textId="77777777" w:rsidR="003765F0" w:rsidRDefault="003765F0"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1918" w14:textId="7ADC7EA3" w:rsidR="00956A8A" w:rsidRPr="00C23A97" w:rsidRDefault="00956A8A">
    <w:pPr>
      <w:pStyle w:val="Header"/>
      <w:rPr>
        <w:rFonts w:ascii="Arial" w:hAnsi="Arial" w:cs="Arial"/>
      </w:rPr>
    </w:pPr>
    <w:r>
      <w:rPr>
        <w:rFonts w:ascii="Arial" w:hAnsi="Arial"/>
        <w:sz w:val="20"/>
        <w:szCs w:val="20"/>
      </w:rPr>
      <w:t>LHE/20/8.GA/10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3C5E5B">
      <w:rPr>
        <w:rStyle w:val="PageNumber"/>
        <w:rFonts w:ascii="Arial" w:hAnsi="Arial" w:cs="Arial"/>
        <w:noProof/>
        <w:sz w:val="20"/>
        <w:szCs w:val="20"/>
      </w:rPr>
      <w:t>4</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53EE" w14:textId="4883FC22" w:rsidR="00956A8A" w:rsidRPr="0063300C" w:rsidRDefault="00956A8A" w:rsidP="0063300C">
    <w:pPr>
      <w:pStyle w:val="Header"/>
      <w:jc w:val="right"/>
      <w:rPr>
        <w:rFonts w:ascii="Arial" w:hAnsi="Arial" w:cs="Arial"/>
      </w:rPr>
    </w:pPr>
    <w:r>
      <w:rPr>
        <w:rFonts w:ascii="Arial" w:hAnsi="Arial"/>
        <w:sz w:val="20"/>
        <w:szCs w:val="20"/>
      </w:rPr>
      <w:t>LHE/20/8.GA/10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3C5E5B">
      <w:rPr>
        <w:rStyle w:val="PageNumber"/>
        <w:rFonts w:ascii="Arial" w:hAnsi="Arial" w:cs="Arial"/>
        <w:noProof/>
        <w:sz w:val="20"/>
        <w:szCs w:val="20"/>
      </w:rPr>
      <w:t>5</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40ACC" w14:textId="6FE06B01" w:rsidR="00956A8A" w:rsidRPr="008724E5" w:rsidRDefault="00AC123C">
    <w:pPr>
      <w:pStyle w:val="Header"/>
    </w:pPr>
    <w:r>
      <w:rPr>
        <w:noProof/>
        <w:lang w:eastAsia="ja-JP"/>
      </w:rPr>
      <w:drawing>
        <wp:anchor distT="0" distB="0" distL="114300" distR="114300" simplePos="0" relativeHeight="251661824" behindDoc="0" locked="0" layoutInCell="1" allowOverlap="1" wp14:anchorId="515703D5" wp14:editId="6A461BF2">
          <wp:simplePos x="0" y="0"/>
          <wp:positionH relativeFrom="column">
            <wp:posOffset>-358775</wp:posOffset>
          </wp:positionH>
          <wp:positionV relativeFrom="paragraph">
            <wp:posOffset>130810</wp:posOffset>
          </wp:positionV>
          <wp:extent cx="2038350" cy="1529080"/>
          <wp:effectExtent l="0" t="0" r="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EF0E0" w14:textId="3D4DE1E9" w:rsidR="00956A8A" w:rsidRPr="000E3DCE" w:rsidRDefault="00956A8A" w:rsidP="00655736">
    <w:pPr>
      <w:pStyle w:val="Header"/>
      <w:spacing w:after="520"/>
      <w:jc w:val="right"/>
      <w:rPr>
        <w:rFonts w:ascii="Arial" w:hAnsi="Arial" w:cs="Arial"/>
        <w:b/>
        <w:sz w:val="44"/>
        <w:szCs w:val="44"/>
        <w:lang w:val="pt-PT"/>
      </w:rPr>
    </w:pPr>
    <w:r w:rsidRPr="000E3DCE">
      <w:rPr>
        <w:rFonts w:ascii="Arial" w:hAnsi="Arial"/>
        <w:b/>
        <w:sz w:val="44"/>
        <w:szCs w:val="44"/>
        <w:lang w:val="pt-PT"/>
      </w:rPr>
      <w:t>8 GA</w:t>
    </w:r>
  </w:p>
  <w:p w14:paraId="0EEBA722" w14:textId="6B43B6AF" w:rsidR="00956A8A" w:rsidRPr="000E3DCE" w:rsidRDefault="00956A8A" w:rsidP="00655736">
    <w:pPr>
      <w:jc w:val="right"/>
      <w:rPr>
        <w:rFonts w:ascii="Arial" w:hAnsi="Arial" w:cs="Arial"/>
        <w:b/>
        <w:sz w:val="22"/>
        <w:szCs w:val="22"/>
        <w:lang w:val="pt-PT"/>
      </w:rPr>
    </w:pPr>
    <w:r w:rsidRPr="000E3DCE">
      <w:rPr>
        <w:rFonts w:ascii="Arial" w:hAnsi="Arial"/>
        <w:b/>
        <w:sz w:val="22"/>
        <w:szCs w:val="22"/>
        <w:lang w:val="pt-PT"/>
      </w:rPr>
      <w:t>LHE/20/8.GA/10</w:t>
    </w:r>
  </w:p>
  <w:p w14:paraId="01776A18" w14:textId="3BC75EEB" w:rsidR="00956A8A" w:rsidRPr="000E3DCE" w:rsidRDefault="00956A8A" w:rsidP="00655736">
    <w:pPr>
      <w:jc w:val="right"/>
      <w:rPr>
        <w:rFonts w:ascii="Arial" w:hAnsi="Arial" w:cs="Arial"/>
        <w:b/>
        <w:sz w:val="22"/>
        <w:szCs w:val="22"/>
        <w:lang w:val="pt-PT"/>
      </w:rPr>
    </w:pPr>
    <w:r w:rsidRPr="000E3DCE">
      <w:rPr>
        <w:rFonts w:ascii="Arial" w:hAnsi="Arial"/>
        <w:b/>
        <w:sz w:val="22"/>
        <w:szCs w:val="22"/>
        <w:lang w:val="pt-PT"/>
      </w:rPr>
      <w:t xml:space="preserve">Paris, </w:t>
    </w:r>
    <w:r w:rsidR="009614D4">
      <w:rPr>
        <w:rFonts w:ascii="Arial" w:hAnsi="Arial"/>
        <w:b/>
        <w:sz w:val="22"/>
        <w:szCs w:val="22"/>
        <w:lang w:val="pt-PT"/>
      </w:rPr>
      <w:t xml:space="preserve">le </w:t>
    </w:r>
    <w:r w:rsidRPr="000E3DCE">
      <w:rPr>
        <w:rFonts w:ascii="Arial" w:hAnsi="Arial"/>
        <w:b/>
        <w:sz w:val="22"/>
        <w:szCs w:val="22"/>
        <w:lang w:val="pt-PT"/>
      </w:rPr>
      <w:t>7 août 2020</w:t>
    </w:r>
  </w:p>
  <w:p w14:paraId="5D2DCAAC" w14:textId="458CD150" w:rsidR="00956A8A" w:rsidRDefault="00956A8A" w:rsidP="00703FBF">
    <w:pPr>
      <w:jc w:val="right"/>
      <w:rPr>
        <w:rFonts w:ascii="Arial" w:hAnsi="Arial" w:cs="Arial"/>
        <w:b/>
        <w:sz w:val="22"/>
        <w:szCs w:val="22"/>
      </w:rPr>
    </w:pPr>
    <w:r>
      <w:rPr>
        <w:rFonts w:ascii="Arial" w:hAnsi="Arial"/>
        <w:b/>
        <w:sz w:val="22"/>
        <w:szCs w:val="22"/>
      </w:rPr>
      <w:t>Original : anglais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B046" w14:textId="77777777" w:rsidR="003F76A9" w:rsidRPr="008724E5" w:rsidRDefault="003F76A9">
    <w:pPr>
      <w:pStyle w:val="Header"/>
    </w:pPr>
    <w:r>
      <w:rPr>
        <w:noProof/>
        <w:lang w:eastAsia="ja-JP"/>
      </w:rPr>
      <w:drawing>
        <wp:anchor distT="0" distB="0" distL="114300" distR="114300" simplePos="0" relativeHeight="251659776" behindDoc="0" locked="0" layoutInCell="1" allowOverlap="1" wp14:anchorId="05C8BE2D" wp14:editId="013476A1">
          <wp:simplePos x="0" y="0"/>
          <wp:positionH relativeFrom="column">
            <wp:posOffset>-567690</wp:posOffset>
          </wp:positionH>
          <wp:positionV relativeFrom="paragraph">
            <wp:posOffset>3810</wp:posOffset>
          </wp:positionV>
          <wp:extent cx="2228215" cy="1367790"/>
          <wp:effectExtent l="0" t="0" r="635" b="3810"/>
          <wp:wrapNone/>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F3776" w14:textId="77777777" w:rsidR="003F76A9" w:rsidRPr="006051DD" w:rsidRDefault="003F76A9" w:rsidP="00655736">
    <w:pPr>
      <w:pStyle w:val="Header"/>
      <w:spacing w:after="520"/>
      <w:jc w:val="right"/>
      <w:rPr>
        <w:rFonts w:ascii="Arial" w:hAnsi="Arial" w:cs="Arial"/>
        <w:b/>
        <w:sz w:val="44"/>
        <w:szCs w:val="44"/>
      </w:rPr>
    </w:pPr>
    <w:r>
      <w:rPr>
        <w:rFonts w:ascii="Arial" w:hAnsi="Arial"/>
        <w:b/>
        <w:sz w:val="44"/>
        <w:szCs w:val="44"/>
      </w:rPr>
      <w:t>8 GA</w:t>
    </w:r>
  </w:p>
  <w:p w14:paraId="6A8F6F06" w14:textId="77777777" w:rsidR="003F76A9" w:rsidRPr="006051DD" w:rsidRDefault="003F76A9" w:rsidP="00655736">
    <w:pPr>
      <w:jc w:val="right"/>
      <w:rPr>
        <w:rFonts w:ascii="Arial" w:hAnsi="Arial" w:cs="Arial"/>
        <w:b/>
        <w:sz w:val="22"/>
        <w:szCs w:val="22"/>
      </w:rPr>
    </w:pPr>
    <w:r>
      <w:rPr>
        <w:rFonts w:ascii="Arial" w:hAnsi="Arial"/>
        <w:b/>
        <w:sz w:val="22"/>
        <w:szCs w:val="22"/>
      </w:rPr>
      <w:t>LHE/20/8.GA/11</w:t>
    </w:r>
  </w:p>
  <w:p w14:paraId="1BA32C1F" w14:textId="77777777" w:rsidR="003F76A9" w:rsidRPr="006051DD" w:rsidRDefault="003F76A9" w:rsidP="00655736">
    <w:pPr>
      <w:jc w:val="right"/>
      <w:rPr>
        <w:rFonts w:ascii="Arial" w:hAnsi="Arial" w:cs="Arial"/>
        <w:b/>
        <w:sz w:val="22"/>
        <w:szCs w:val="22"/>
      </w:rPr>
    </w:pPr>
    <w:r>
      <w:rPr>
        <w:rFonts w:ascii="Arial" w:hAnsi="Arial"/>
        <w:b/>
        <w:sz w:val="22"/>
        <w:szCs w:val="22"/>
      </w:rPr>
      <w:t xml:space="preserve">Paris, </w:t>
    </w:r>
    <w:r>
      <w:rPr>
        <w:rFonts w:ascii="Arial" w:hAnsi="Arial"/>
        <w:b/>
        <w:sz w:val="22"/>
        <w:szCs w:val="22"/>
        <w:highlight w:val="yellow"/>
      </w:rPr>
      <w:t>xx </w:t>
    </w:r>
    <w:r>
      <w:rPr>
        <w:rFonts w:ascii="Arial" w:hAnsi="Arial"/>
        <w:b/>
        <w:sz w:val="22"/>
        <w:szCs w:val="22"/>
      </w:rPr>
      <w:t>mai 2020</w:t>
    </w:r>
  </w:p>
  <w:p w14:paraId="5DE06D2A" w14:textId="77777777" w:rsidR="003F76A9" w:rsidRDefault="003F76A9" w:rsidP="00703FBF">
    <w:pPr>
      <w:jc w:val="right"/>
      <w:rPr>
        <w:rFonts w:ascii="Arial" w:hAnsi="Arial" w:cs="Arial"/>
        <w:b/>
        <w:sz w:val="22"/>
        <w:szCs w:val="22"/>
      </w:rPr>
    </w:pPr>
    <w:r>
      <w:rPr>
        <w:rFonts w:ascii="Arial" w:hAnsi="Arial"/>
        <w:b/>
        <w:sz w:val="22"/>
        <w:szCs w:val="22"/>
      </w:rPr>
      <w:t>Original : Français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7A4"/>
    <w:multiLevelType w:val="hybridMultilevel"/>
    <w:tmpl w:val="54025282"/>
    <w:lvl w:ilvl="0" w:tplc="AE986C5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5853736"/>
    <w:multiLevelType w:val="multilevel"/>
    <w:tmpl w:val="8EF86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0369C7"/>
    <w:multiLevelType w:val="hybridMultilevel"/>
    <w:tmpl w:val="683661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2B68BA7C">
      <w:numFmt w:val="bullet"/>
      <w:lvlText w:val="•"/>
      <w:lvlJc w:val="left"/>
      <w:pPr>
        <w:ind w:left="2340" w:hanging="360"/>
      </w:pPr>
      <w:rPr>
        <w:rFonts w:ascii="Arial" w:eastAsiaTheme="minorHAnsi" w:hAnsi="Arial"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523271"/>
    <w:multiLevelType w:val="hybridMultilevel"/>
    <w:tmpl w:val="706A0242"/>
    <w:lvl w:ilvl="0" w:tplc="624C6F4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4CAB7CDD"/>
    <w:multiLevelType w:val="multilevel"/>
    <w:tmpl w:val="BEE007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SimSu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5A790D25"/>
    <w:multiLevelType w:val="hybridMultilevel"/>
    <w:tmpl w:val="C8842060"/>
    <w:lvl w:ilvl="0" w:tplc="BFCC9782">
      <w:start w:val="1"/>
      <w:numFmt w:val="decimal"/>
      <w:lvlText w:val="%1."/>
      <w:lvlJc w:val="left"/>
      <w:pPr>
        <w:ind w:left="567" w:hanging="567"/>
      </w:pPr>
    </w:lvl>
    <w:lvl w:ilvl="1" w:tplc="4B1A83FE">
      <w:start w:val="1"/>
      <w:numFmt w:val="lowerRoman"/>
      <w:lvlText w:val="%2."/>
      <w:lvlJc w:val="left"/>
      <w:pPr>
        <w:ind w:left="1440" w:hanging="360"/>
      </w:pPr>
      <w:rPr>
        <w:u w:color="000000" w:themeColor="text1"/>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27D1B3E"/>
    <w:multiLevelType w:val="hybridMultilevel"/>
    <w:tmpl w:val="A6FA64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2C32CF8"/>
    <w:multiLevelType w:val="hybridMultilevel"/>
    <w:tmpl w:val="59B86C74"/>
    <w:lvl w:ilvl="0" w:tplc="C1882B86">
      <w:start w:val="1"/>
      <w:numFmt w:val="upperLetter"/>
      <w:lvlText w:val="%1."/>
      <w:lvlJc w:val="left"/>
      <w:pPr>
        <w:ind w:left="720" w:hanging="360"/>
      </w:pPr>
      <w:rPr>
        <w:rFonts w:ascii="Malgun Gothic" w:eastAsia="Malgun Gothic" w:hAnsi="Malgun Gothic" w:cs="Malgun Gothic"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8F13AA4"/>
    <w:multiLevelType w:val="hybridMultilevel"/>
    <w:tmpl w:val="49D01B22"/>
    <w:lvl w:ilvl="0" w:tplc="054C76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8"/>
  </w:num>
  <w:num w:numId="3">
    <w:abstractNumId w:val="3"/>
  </w:num>
  <w:num w:numId="4">
    <w:abstractNumId w:val="23"/>
  </w:num>
  <w:num w:numId="5">
    <w:abstractNumId w:val="20"/>
  </w:num>
  <w:num w:numId="6">
    <w:abstractNumId w:val="1"/>
  </w:num>
  <w:num w:numId="7">
    <w:abstractNumId w:val="4"/>
  </w:num>
  <w:num w:numId="8">
    <w:abstractNumId w:val="12"/>
  </w:num>
  <w:num w:numId="9">
    <w:abstractNumId w:val="6"/>
  </w:num>
  <w:num w:numId="10">
    <w:abstractNumId w:val="9"/>
  </w:num>
  <w:num w:numId="11">
    <w:abstractNumId w:val="11"/>
  </w:num>
  <w:num w:numId="12">
    <w:abstractNumId w:val="10"/>
  </w:num>
  <w:num w:numId="13">
    <w:abstractNumId w:val="22"/>
  </w:num>
  <w:num w:numId="14">
    <w:abstractNumId w:val="14"/>
  </w:num>
  <w:num w:numId="15">
    <w:abstractNumId w:val="15"/>
  </w:num>
  <w:num w:numId="16">
    <w:abstractNumId w:val="9"/>
  </w:num>
  <w:num w:numId="17">
    <w:abstractNumId w:val="9"/>
  </w:num>
  <w:num w:numId="18">
    <w:abstractNumId w:val="9"/>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8"/>
  </w:num>
  <w:num w:numId="27">
    <w:abstractNumId w:val="7"/>
  </w:num>
  <w:num w:numId="28">
    <w:abstractNumId w:val="6"/>
    <w:lvlOverride w:ilvl="0">
      <w:startOverride w:val="1"/>
    </w:lvlOverride>
  </w:num>
  <w:num w:numId="29">
    <w:abstractNumId w:val="1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33CB"/>
    <w:rsid w:val="000048ED"/>
    <w:rsid w:val="00005F8C"/>
    <w:rsid w:val="000064E2"/>
    <w:rsid w:val="000132CE"/>
    <w:rsid w:val="000148EB"/>
    <w:rsid w:val="000240C1"/>
    <w:rsid w:val="0003210F"/>
    <w:rsid w:val="00037360"/>
    <w:rsid w:val="00041A66"/>
    <w:rsid w:val="00045960"/>
    <w:rsid w:val="0005176E"/>
    <w:rsid w:val="00070AD0"/>
    <w:rsid w:val="0007272E"/>
    <w:rsid w:val="000765F7"/>
    <w:rsid w:val="00077AB7"/>
    <w:rsid w:val="00080C4C"/>
    <w:rsid w:val="00081CD8"/>
    <w:rsid w:val="00082FD9"/>
    <w:rsid w:val="00083F03"/>
    <w:rsid w:val="00084866"/>
    <w:rsid w:val="00087E9B"/>
    <w:rsid w:val="00091532"/>
    <w:rsid w:val="00092E27"/>
    <w:rsid w:val="00095134"/>
    <w:rsid w:val="00095540"/>
    <w:rsid w:val="000A0163"/>
    <w:rsid w:val="000A1AC2"/>
    <w:rsid w:val="000A2CDF"/>
    <w:rsid w:val="000A7F0E"/>
    <w:rsid w:val="000C0D61"/>
    <w:rsid w:val="000C46EB"/>
    <w:rsid w:val="000C6B09"/>
    <w:rsid w:val="000D09FF"/>
    <w:rsid w:val="000D24C6"/>
    <w:rsid w:val="000E1611"/>
    <w:rsid w:val="000E2023"/>
    <w:rsid w:val="000E3DCE"/>
    <w:rsid w:val="000E5B0A"/>
    <w:rsid w:val="000E78AC"/>
    <w:rsid w:val="000F3A3F"/>
    <w:rsid w:val="000F73EB"/>
    <w:rsid w:val="00102557"/>
    <w:rsid w:val="0010482B"/>
    <w:rsid w:val="001151E9"/>
    <w:rsid w:val="00123A66"/>
    <w:rsid w:val="00141262"/>
    <w:rsid w:val="00146859"/>
    <w:rsid w:val="001550E1"/>
    <w:rsid w:val="001561BA"/>
    <w:rsid w:val="0016208F"/>
    <w:rsid w:val="0016494C"/>
    <w:rsid w:val="00164D56"/>
    <w:rsid w:val="00167B10"/>
    <w:rsid w:val="0017402F"/>
    <w:rsid w:val="00176720"/>
    <w:rsid w:val="00181A48"/>
    <w:rsid w:val="00185A18"/>
    <w:rsid w:val="00196C1B"/>
    <w:rsid w:val="001B0F73"/>
    <w:rsid w:val="001D369A"/>
    <w:rsid w:val="001D5C04"/>
    <w:rsid w:val="001E090A"/>
    <w:rsid w:val="001E1C51"/>
    <w:rsid w:val="001F3271"/>
    <w:rsid w:val="001F32F0"/>
    <w:rsid w:val="001F46C3"/>
    <w:rsid w:val="001F64F0"/>
    <w:rsid w:val="0020320D"/>
    <w:rsid w:val="0020790A"/>
    <w:rsid w:val="00207F3A"/>
    <w:rsid w:val="00217734"/>
    <w:rsid w:val="00220D80"/>
    <w:rsid w:val="00221F99"/>
    <w:rsid w:val="00222A2D"/>
    <w:rsid w:val="00223029"/>
    <w:rsid w:val="002265A5"/>
    <w:rsid w:val="00234745"/>
    <w:rsid w:val="00240049"/>
    <w:rsid w:val="002407AF"/>
    <w:rsid w:val="0025556E"/>
    <w:rsid w:val="00272207"/>
    <w:rsid w:val="00274E4B"/>
    <w:rsid w:val="00280FDB"/>
    <w:rsid w:val="00286D3D"/>
    <w:rsid w:val="00293026"/>
    <w:rsid w:val="002956CE"/>
    <w:rsid w:val="002A41FD"/>
    <w:rsid w:val="002A4A46"/>
    <w:rsid w:val="002A535C"/>
    <w:rsid w:val="002B3DF0"/>
    <w:rsid w:val="002C09E3"/>
    <w:rsid w:val="002C2474"/>
    <w:rsid w:val="002C3EFB"/>
    <w:rsid w:val="002D39A6"/>
    <w:rsid w:val="002E2897"/>
    <w:rsid w:val="002E2EA4"/>
    <w:rsid w:val="002E4EBE"/>
    <w:rsid w:val="002E68F9"/>
    <w:rsid w:val="002F15D5"/>
    <w:rsid w:val="002F312A"/>
    <w:rsid w:val="002F3A0C"/>
    <w:rsid w:val="002F6A15"/>
    <w:rsid w:val="00300F5D"/>
    <w:rsid w:val="00310857"/>
    <w:rsid w:val="00314B87"/>
    <w:rsid w:val="00317452"/>
    <w:rsid w:val="00327EA5"/>
    <w:rsid w:val="003338A0"/>
    <w:rsid w:val="00334906"/>
    <w:rsid w:val="003416E6"/>
    <w:rsid w:val="00341C92"/>
    <w:rsid w:val="00345CB4"/>
    <w:rsid w:val="0035306D"/>
    <w:rsid w:val="00353F1E"/>
    <w:rsid w:val="003549B8"/>
    <w:rsid w:val="00373A78"/>
    <w:rsid w:val="003765F0"/>
    <w:rsid w:val="0039148A"/>
    <w:rsid w:val="0039224A"/>
    <w:rsid w:val="003A44FC"/>
    <w:rsid w:val="003A59C5"/>
    <w:rsid w:val="003B1E7C"/>
    <w:rsid w:val="003B32B3"/>
    <w:rsid w:val="003C072B"/>
    <w:rsid w:val="003C3C6B"/>
    <w:rsid w:val="003C5E5B"/>
    <w:rsid w:val="003C6C8B"/>
    <w:rsid w:val="003D069C"/>
    <w:rsid w:val="003D35E4"/>
    <w:rsid w:val="003D7646"/>
    <w:rsid w:val="003D7B04"/>
    <w:rsid w:val="003E6DD4"/>
    <w:rsid w:val="003F113A"/>
    <w:rsid w:val="003F472B"/>
    <w:rsid w:val="003F76A9"/>
    <w:rsid w:val="0040187A"/>
    <w:rsid w:val="0041353C"/>
    <w:rsid w:val="00414643"/>
    <w:rsid w:val="00415422"/>
    <w:rsid w:val="00423929"/>
    <w:rsid w:val="004263BB"/>
    <w:rsid w:val="004421E5"/>
    <w:rsid w:val="00444E85"/>
    <w:rsid w:val="00452284"/>
    <w:rsid w:val="0047167A"/>
    <w:rsid w:val="004847FC"/>
    <w:rsid w:val="004856CA"/>
    <w:rsid w:val="0049705E"/>
    <w:rsid w:val="004A033C"/>
    <w:rsid w:val="004A0760"/>
    <w:rsid w:val="004A34A0"/>
    <w:rsid w:val="004A368B"/>
    <w:rsid w:val="004A70BA"/>
    <w:rsid w:val="004B3164"/>
    <w:rsid w:val="004B6F28"/>
    <w:rsid w:val="004C3909"/>
    <w:rsid w:val="004D03DE"/>
    <w:rsid w:val="004D58F1"/>
    <w:rsid w:val="004E6C94"/>
    <w:rsid w:val="004F374F"/>
    <w:rsid w:val="005056C0"/>
    <w:rsid w:val="00510637"/>
    <w:rsid w:val="00511604"/>
    <w:rsid w:val="00513723"/>
    <w:rsid w:val="00526B7B"/>
    <w:rsid w:val="00526EFF"/>
    <w:rsid w:val="005308CE"/>
    <w:rsid w:val="00540FE0"/>
    <w:rsid w:val="005441AB"/>
    <w:rsid w:val="00544F58"/>
    <w:rsid w:val="0054724E"/>
    <w:rsid w:val="0055369C"/>
    <w:rsid w:val="00557307"/>
    <w:rsid w:val="00557B21"/>
    <w:rsid w:val="0056552F"/>
    <w:rsid w:val="0056633F"/>
    <w:rsid w:val="0057439C"/>
    <w:rsid w:val="005A4D5D"/>
    <w:rsid w:val="005A7F45"/>
    <w:rsid w:val="005B0127"/>
    <w:rsid w:val="005B0B46"/>
    <w:rsid w:val="005B7A35"/>
    <w:rsid w:val="005C0160"/>
    <w:rsid w:val="005C4B73"/>
    <w:rsid w:val="005E1D2B"/>
    <w:rsid w:val="00600D93"/>
    <w:rsid w:val="006051DD"/>
    <w:rsid w:val="006134D5"/>
    <w:rsid w:val="00621572"/>
    <w:rsid w:val="00627A48"/>
    <w:rsid w:val="0063300C"/>
    <w:rsid w:val="00655736"/>
    <w:rsid w:val="0066013E"/>
    <w:rsid w:val="0066059C"/>
    <w:rsid w:val="00663B8D"/>
    <w:rsid w:val="00667DE5"/>
    <w:rsid w:val="00680D01"/>
    <w:rsid w:val="00696C8D"/>
    <w:rsid w:val="006A2AC2"/>
    <w:rsid w:val="006A2C53"/>
    <w:rsid w:val="006A3617"/>
    <w:rsid w:val="006A73F0"/>
    <w:rsid w:val="006C461D"/>
    <w:rsid w:val="006E46E4"/>
    <w:rsid w:val="006E69BE"/>
    <w:rsid w:val="006F41B4"/>
    <w:rsid w:val="006F4AC2"/>
    <w:rsid w:val="00700DD8"/>
    <w:rsid w:val="00703FBF"/>
    <w:rsid w:val="007075AD"/>
    <w:rsid w:val="00717DA5"/>
    <w:rsid w:val="00722B5F"/>
    <w:rsid w:val="0072613B"/>
    <w:rsid w:val="00741D4A"/>
    <w:rsid w:val="00744484"/>
    <w:rsid w:val="0075153F"/>
    <w:rsid w:val="00757724"/>
    <w:rsid w:val="00763A0D"/>
    <w:rsid w:val="00764295"/>
    <w:rsid w:val="00765692"/>
    <w:rsid w:val="00773188"/>
    <w:rsid w:val="00775A58"/>
    <w:rsid w:val="00781F19"/>
    <w:rsid w:val="0078250F"/>
    <w:rsid w:val="00783782"/>
    <w:rsid w:val="00784B8C"/>
    <w:rsid w:val="00793E63"/>
    <w:rsid w:val="007A2184"/>
    <w:rsid w:val="007A71D3"/>
    <w:rsid w:val="007B070B"/>
    <w:rsid w:val="007B47CD"/>
    <w:rsid w:val="007B4B5E"/>
    <w:rsid w:val="007C7AA1"/>
    <w:rsid w:val="007D07D6"/>
    <w:rsid w:val="007F2A55"/>
    <w:rsid w:val="007F6962"/>
    <w:rsid w:val="00801E0C"/>
    <w:rsid w:val="00801F0C"/>
    <w:rsid w:val="00806FAD"/>
    <w:rsid w:val="008136A3"/>
    <w:rsid w:val="00814506"/>
    <w:rsid w:val="008169F2"/>
    <w:rsid w:val="00823A11"/>
    <w:rsid w:val="00837AAB"/>
    <w:rsid w:val="0084015B"/>
    <w:rsid w:val="008457B4"/>
    <w:rsid w:val="00846F7B"/>
    <w:rsid w:val="00852866"/>
    <w:rsid w:val="0085414A"/>
    <w:rsid w:val="0085545C"/>
    <w:rsid w:val="00855DB2"/>
    <w:rsid w:val="00856A9C"/>
    <w:rsid w:val="0086269D"/>
    <w:rsid w:val="008643E0"/>
    <w:rsid w:val="0086543A"/>
    <w:rsid w:val="008656FA"/>
    <w:rsid w:val="00872450"/>
    <w:rsid w:val="008724E5"/>
    <w:rsid w:val="00873E2D"/>
    <w:rsid w:val="008740D1"/>
    <w:rsid w:val="0087578B"/>
    <w:rsid w:val="00876E9E"/>
    <w:rsid w:val="0088265D"/>
    <w:rsid w:val="00884A9D"/>
    <w:rsid w:val="0088512B"/>
    <w:rsid w:val="008902C1"/>
    <w:rsid w:val="00891110"/>
    <w:rsid w:val="00894765"/>
    <w:rsid w:val="008948AA"/>
    <w:rsid w:val="008951A0"/>
    <w:rsid w:val="008A1ED4"/>
    <w:rsid w:val="008A2B2D"/>
    <w:rsid w:val="008A4E1E"/>
    <w:rsid w:val="008A70F9"/>
    <w:rsid w:val="008A7FD2"/>
    <w:rsid w:val="008B4E5C"/>
    <w:rsid w:val="008C296C"/>
    <w:rsid w:val="008C5F63"/>
    <w:rsid w:val="008D4305"/>
    <w:rsid w:val="008F4F99"/>
    <w:rsid w:val="009001C7"/>
    <w:rsid w:val="00900C06"/>
    <w:rsid w:val="00905C14"/>
    <w:rsid w:val="0090601F"/>
    <w:rsid w:val="009068DE"/>
    <w:rsid w:val="0091009D"/>
    <w:rsid w:val="0091124E"/>
    <w:rsid w:val="009163A7"/>
    <w:rsid w:val="009177C5"/>
    <w:rsid w:val="00917D72"/>
    <w:rsid w:val="00921F31"/>
    <w:rsid w:val="00923FC6"/>
    <w:rsid w:val="009243AF"/>
    <w:rsid w:val="00933318"/>
    <w:rsid w:val="00935320"/>
    <w:rsid w:val="00935DA5"/>
    <w:rsid w:val="00935E67"/>
    <w:rsid w:val="00946D0B"/>
    <w:rsid w:val="009551EC"/>
    <w:rsid w:val="00955DDC"/>
    <w:rsid w:val="00956A8A"/>
    <w:rsid w:val="009614D4"/>
    <w:rsid w:val="0097101E"/>
    <w:rsid w:val="00972086"/>
    <w:rsid w:val="0097331A"/>
    <w:rsid w:val="009817F7"/>
    <w:rsid w:val="00993531"/>
    <w:rsid w:val="0099780A"/>
    <w:rsid w:val="009A18CD"/>
    <w:rsid w:val="009A43B8"/>
    <w:rsid w:val="009A7384"/>
    <w:rsid w:val="009B5695"/>
    <w:rsid w:val="009D548B"/>
    <w:rsid w:val="009E16DF"/>
    <w:rsid w:val="00A1214C"/>
    <w:rsid w:val="00A12558"/>
    <w:rsid w:val="00A13903"/>
    <w:rsid w:val="00A30CBD"/>
    <w:rsid w:val="00A34ED5"/>
    <w:rsid w:val="00A45DBF"/>
    <w:rsid w:val="00A472E0"/>
    <w:rsid w:val="00A474F4"/>
    <w:rsid w:val="00A551C1"/>
    <w:rsid w:val="00A63537"/>
    <w:rsid w:val="00A645DF"/>
    <w:rsid w:val="00A64F94"/>
    <w:rsid w:val="00A65775"/>
    <w:rsid w:val="00A65C29"/>
    <w:rsid w:val="00A74394"/>
    <w:rsid w:val="00A754DD"/>
    <w:rsid w:val="00A755A2"/>
    <w:rsid w:val="00A76522"/>
    <w:rsid w:val="00A80945"/>
    <w:rsid w:val="00A84093"/>
    <w:rsid w:val="00A85654"/>
    <w:rsid w:val="00A85D54"/>
    <w:rsid w:val="00A8657F"/>
    <w:rsid w:val="00AA6660"/>
    <w:rsid w:val="00AB2C36"/>
    <w:rsid w:val="00AB70B6"/>
    <w:rsid w:val="00AC123C"/>
    <w:rsid w:val="00AC1396"/>
    <w:rsid w:val="00AC3A7F"/>
    <w:rsid w:val="00AC4B3C"/>
    <w:rsid w:val="00AC5A7D"/>
    <w:rsid w:val="00AD1A86"/>
    <w:rsid w:val="00AD5E36"/>
    <w:rsid w:val="00AD62F6"/>
    <w:rsid w:val="00AE103E"/>
    <w:rsid w:val="00AE1FC4"/>
    <w:rsid w:val="00AF0A07"/>
    <w:rsid w:val="00AF4AEC"/>
    <w:rsid w:val="00AF5308"/>
    <w:rsid w:val="00AF625E"/>
    <w:rsid w:val="00B05E9F"/>
    <w:rsid w:val="00B15B76"/>
    <w:rsid w:val="00B2177D"/>
    <w:rsid w:val="00B2181F"/>
    <w:rsid w:val="00B21A9D"/>
    <w:rsid w:val="00B26DB9"/>
    <w:rsid w:val="00B3014F"/>
    <w:rsid w:val="00B3435F"/>
    <w:rsid w:val="00B35559"/>
    <w:rsid w:val="00B363F4"/>
    <w:rsid w:val="00B51385"/>
    <w:rsid w:val="00B519C7"/>
    <w:rsid w:val="00B55055"/>
    <w:rsid w:val="00B60F8B"/>
    <w:rsid w:val="00B6215D"/>
    <w:rsid w:val="00B669D5"/>
    <w:rsid w:val="00B66D23"/>
    <w:rsid w:val="00B67FA3"/>
    <w:rsid w:val="00B75DCD"/>
    <w:rsid w:val="00B76771"/>
    <w:rsid w:val="00B76CD0"/>
    <w:rsid w:val="00B80F46"/>
    <w:rsid w:val="00B84B3A"/>
    <w:rsid w:val="00B949DF"/>
    <w:rsid w:val="00B96B09"/>
    <w:rsid w:val="00BB04AF"/>
    <w:rsid w:val="00BB6956"/>
    <w:rsid w:val="00BC26F3"/>
    <w:rsid w:val="00BD0E68"/>
    <w:rsid w:val="00BD52C9"/>
    <w:rsid w:val="00BD665C"/>
    <w:rsid w:val="00BE6354"/>
    <w:rsid w:val="00C02434"/>
    <w:rsid w:val="00C03D24"/>
    <w:rsid w:val="00C04B18"/>
    <w:rsid w:val="00C13938"/>
    <w:rsid w:val="00C16967"/>
    <w:rsid w:val="00C23A97"/>
    <w:rsid w:val="00C25495"/>
    <w:rsid w:val="00C307C0"/>
    <w:rsid w:val="00C334CC"/>
    <w:rsid w:val="00C335AD"/>
    <w:rsid w:val="00C34452"/>
    <w:rsid w:val="00C418B1"/>
    <w:rsid w:val="00C41C48"/>
    <w:rsid w:val="00C42C66"/>
    <w:rsid w:val="00C64C71"/>
    <w:rsid w:val="00C67F34"/>
    <w:rsid w:val="00C70A64"/>
    <w:rsid w:val="00C70EA7"/>
    <w:rsid w:val="00C71E58"/>
    <w:rsid w:val="00C7516E"/>
    <w:rsid w:val="00C75770"/>
    <w:rsid w:val="00C820A2"/>
    <w:rsid w:val="00C83ECF"/>
    <w:rsid w:val="00C90788"/>
    <w:rsid w:val="00C933CE"/>
    <w:rsid w:val="00CB5C7B"/>
    <w:rsid w:val="00CC1DBC"/>
    <w:rsid w:val="00CC7E40"/>
    <w:rsid w:val="00CD16A7"/>
    <w:rsid w:val="00CD78B8"/>
    <w:rsid w:val="00CE30FA"/>
    <w:rsid w:val="00CE3C7F"/>
    <w:rsid w:val="00CE6410"/>
    <w:rsid w:val="00CF1F75"/>
    <w:rsid w:val="00CF50B9"/>
    <w:rsid w:val="00D00B2B"/>
    <w:rsid w:val="00D028C1"/>
    <w:rsid w:val="00D1575E"/>
    <w:rsid w:val="00D1659C"/>
    <w:rsid w:val="00D16AC0"/>
    <w:rsid w:val="00D24877"/>
    <w:rsid w:val="00D27A09"/>
    <w:rsid w:val="00D416E3"/>
    <w:rsid w:val="00D54F9F"/>
    <w:rsid w:val="00D67A8D"/>
    <w:rsid w:val="00D95C4C"/>
    <w:rsid w:val="00D9656E"/>
    <w:rsid w:val="00DA36ED"/>
    <w:rsid w:val="00DB1110"/>
    <w:rsid w:val="00DB1732"/>
    <w:rsid w:val="00DB39E3"/>
    <w:rsid w:val="00DB5492"/>
    <w:rsid w:val="00DC4DD3"/>
    <w:rsid w:val="00DD3257"/>
    <w:rsid w:val="00DD49FE"/>
    <w:rsid w:val="00DD4BA0"/>
    <w:rsid w:val="00DD6FF7"/>
    <w:rsid w:val="00DD7A84"/>
    <w:rsid w:val="00DE0BD6"/>
    <w:rsid w:val="00DE34F1"/>
    <w:rsid w:val="00DF11BE"/>
    <w:rsid w:val="00DF4942"/>
    <w:rsid w:val="00E021B4"/>
    <w:rsid w:val="00E13D85"/>
    <w:rsid w:val="00E20C68"/>
    <w:rsid w:val="00E24A08"/>
    <w:rsid w:val="00E25E00"/>
    <w:rsid w:val="00E30F5C"/>
    <w:rsid w:val="00E4433F"/>
    <w:rsid w:val="00E5318D"/>
    <w:rsid w:val="00E627B1"/>
    <w:rsid w:val="00E75101"/>
    <w:rsid w:val="00E82CB7"/>
    <w:rsid w:val="00E923EF"/>
    <w:rsid w:val="00E9376C"/>
    <w:rsid w:val="00E940A7"/>
    <w:rsid w:val="00E96188"/>
    <w:rsid w:val="00EA1941"/>
    <w:rsid w:val="00EA221F"/>
    <w:rsid w:val="00EA335E"/>
    <w:rsid w:val="00EA4684"/>
    <w:rsid w:val="00EA528C"/>
    <w:rsid w:val="00EB4F27"/>
    <w:rsid w:val="00EB659C"/>
    <w:rsid w:val="00EC1B0A"/>
    <w:rsid w:val="00EC6B57"/>
    <w:rsid w:val="00ED11F2"/>
    <w:rsid w:val="00ED5ADA"/>
    <w:rsid w:val="00ED603C"/>
    <w:rsid w:val="00ED79EA"/>
    <w:rsid w:val="00EE33BE"/>
    <w:rsid w:val="00EF19A6"/>
    <w:rsid w:val="00EF34E2"/>
    <w:rsid w:val="00EF4DB2"/>
    <w:rsid w:val="00EF4F1F"/>
    <w:rsid w:val="00EF69E3"/>
    <w:rsid w:val="00EF76AB"/>
    <w:rsid w:val="00F010E0"/>
    <w:rsid w:val="00F03296"/>
    <w:rsid w:val="00F040B9"/>
    <w:rsid w:val="00F06FE0"/>
    <w:rsid w:val="00F141E5"/>
    <w:rsid w:val="00F20D64"/>
    <w:rsid w:val="00F20E20"/>
    <w:rsid w:val="00F25299"/>
    <w:rsid w:val="00F53DE9"/>
    <w:rsid w:val="00F55A09"/>
    <w:rsid w:val="00F576CB"/>
    <w:rsid w:val="00F57C25"/>
    <w:rsid w:val="00F61211"/>
    <w:rsid w:val="00F70F3C"/>
    <w:rsid w:val="00F70FB7"/>
    <w:rsid w:val="00F71A02"/>
    <w:rsid w:val="00F826E0"/>
    <w:rsid w:val="00F82E61"/>
    <w:rsid w:val="00F86884"/>
    <w:rsid w:val="00F91440"/>
    <w:rsid w:val="00F94C34"/>
    <w:rsid w:val="00FA1124"/>
    <w:rsid w:val="00FA1898"/>
    <w:rsid w:val="00FA53C0"/>
    <w:rsid w:val="00FA5EA0"/>
    <w:rsid w:val="00FB2302"/>
    <w:rsid w:val="00FB4F32"/>
    <w:rsid w:val="00FB6630"/>
    <w:rsid w:val="00FD10DB"/>
    <w:rsid w:val="00FD1226"/>
    <w:rsid w:val="00FD6A5E"/>
    <w:rsid w:val="00FE0DAA"/>
    <w:rsid w:val="00FE2314"/>
    <w:rsid w:val="00FE5769"/>
    <w:rsid w:val="00FF2A43"/>
    <w:rsid w:val="00FF4830"/>
    <w:rsid w:val="00FF5F61"/>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56C40A"/>
  <w15:docId w15:val="{71296E5D-8BDD-4C42-81E0-A5DB0EDF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en-GB"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45CB4"/>
    <w:rPr>
      <w:rFonts w:ascii="Times New Roman" w:eastAsia="Times New Roman" w:hAnsi="Times New Roman"/>
      <w:sz w:val="24"/>
      <w:szCs w:val="24"/>
      <w:lang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paragraph" w:customStyle="1" w:styleId="COMPara">
    <w:name w:val="COM Para"/>
    <w:qFormat/>
    <w:rsid w:val="006051DD"/>
    <w:pPr>
      <w:spacing w:after="120"/>
      <w:ind w:left="567" w:hanging="567"/>
    </w:pPr>
    <w:rPr>
      <w:rFonts w:ascii="Arial" w:eastAsia="Times New Roman" w:hAnsi="Arial" w:cs="Arial"/>
      <w:snapToGrid w:val="0"/>
      <w:sz w:val="22"/>
      <w:szCs w:val="22"/>
      <w:lang w:eastAsia="en-US"/>
    </w:rPr>
  </w:style>
  <w:style w:type="character" w:styleId="Hyperlink">
    <w:name w:val="Hyperlink"/>
    <w:basedOn w:val="DefaultParagraphFont"/>
    <w:uiPriority w:val="99"/>
    <w:unhideWhenUsed/>
    <w:rsid w:val="006051DD"/>
    <w:rPr>
      <w:color w:val="0563C1" w:themeColor="hyperlink"/>
      <w:u w:val="single"/>
    </w:rPr>
  </w:style>
  <w:style w:type="character" w:customStyle="1" w:styleId="Mencinsinresolver1">
    <w:name w:val="Mención sin resolver1"/>
    <w:basedOn w:val="DefaultParagraphFont"/>
    <w:uiPriority w:val="99"/>
    <w:semiHidden/>
    <w:unhideWhenUsed/>
    <w:rsid w:val="00B519C7"/>
    <w:rPr>
      <w:color w:val="605E5C"/>
      <w:shd w:val="clear" w:color="auto" w:fill="E1DFDD"/>
    </w:rPr>
  </w:style>
  <w:style w:type="paragraph" w:styleId="FootnoteText">
    <w:name w:val="footnote text"/>
    <w:basedOn w:val="Normal"/>
    <w:link w:val="FootnoteTextChar"/>
    <w:uiPriority w:val="99"/>
    <w:semiHidden/>
    <w:unhideWhenUsed/>
    <w:rsid w:val="00A64F94"/>
    <w:rPr>
      <w:sz w:val="20"/>
      <w:szCs w:val="20"/>
    </w:rPr>
  </w:style>
  <w:style w:type="character" w:customStyle="1" w:styleId="FootnoteTextChar">
    <w:name w:val="Footnote Text Char"/>
    <w:basedOn w:val="DefaultParagraphFont"/>
    <w:link w:val="FootnoteText"/>
    <w:uiPriority w:val="99"/>
    <w:semiHidden/>
    <w:rsid w:val="00A64F94"/>
    <w:rPr>
      <w:rFonts w:ascii="Times New Roman" w:eastAsia="Times New Roman" w:hAnsi="Times New Roman"/>
      <w:lang w:val="fr-FR" w:eastAsia="fr-FR"/>
    </w:rPr>
  </w:style>
  <w:style w:type="character" w:styleId="FootnoteReference">
    <w:name w:val="footnote reference"/>
    <w:basedOn w:val="DefaultParagraphFont"/>
    <w:uiPriority w:val="99"/>
    <w:unhideWhenUsed/>
    <w:rsid w:val="00A64F94"/>
    <w:rPr>
      <w:vertAlign w:val="superscript"/>
    </w:rPr>
  </w:style>
  <w:style w:type="paragraph" w:customStyle="1" w:styleId="1GAPara">
    <w:name w:val="1. GA Para"/>
    <w:qFormat/>
    <w:rsid w:val="00510637"/>
    <w:pPr>
      <w:spacing w:after="120"/>
      <w:ind w:left="720" w:hanging="360"/>
    </w:pPr>
    <w:rPr>
      <w:rFonts w:ascii="Arial" w:eastAsia="Times New Roman" w:hAnsi="Arial" w:cs="Arial"/>
      <w:snapToGrid w:val="0"/>
      <w:sz w:val="22"/>
      <w:szCs w:val="22"/>
      <w:lang w:eastAsia="en-US"/>
    </w:rPr>
  </w:style>
  <w:style w:type="paragraph" w:styleId="NormalWeb">
    <w:name w:val="Normal (Web)"/>
    <w:basedOn w:val="Normal"/>
    <w:uiPriority w:val="99"/>
    <w:unhideWhenUsed/>
    <w:rsid w:val="00510637"/>
    <w:rPr>
      <w:rFonts w:eastAsiaTheme="minorHAnsi"/>
    </w:rPr>
  </w:style>
  <w:style w:type="paragraph" w:customStyle="1" w:styleId="1gapara0">
    <w:name w:val="1gapara"/>
    <w:basedOn w:val="Normal"/>
    <w:uiPriority w:val="99"/>
    <w:semiHidden/>
    <w:rsid w:val="00510637"/>
    <w:rPr>
      <w:rFonts w:eastAsiaTheme="minorHAnsi"/>
    </w:rPr>
  </w:style>
  <w:style w:type="paragraph" w:customStyle="1" w:styleId="COMTitleDecision">
    <w:name w:val="COM Title Decision"/>
    <w:basedOn w:val="Normal"/>
    <w:qFormat/>
    <w:rsid w:val="00A85654"/>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A85654"/>
    <w:pPr>
      <w:keepNext/>
      <w:spacing w:after="120"/>
      <w:ind w:left="567"/>
      <w:jc w:val="both"/>
    </w:pPr>
    <w:rPr>
      <w:rFonts w:ascii="Arial" w:hAnsi="Arial" w:cs="Arial"/>
      <w:sz w:val="22"/>
      <w:szCs w:val="22"/>
    </w:rPr>
  </w:style>
  <w:style w:type="character" w:styleId="CommentReference">
    <w:name w:val="annotation reference"/>
    <w:basedOn w:val="DefaultParagraphFont"/>
    <w:uiPriority w:val="99"/>
    <w:semiHidden/>
    <w:unhideWhenUsed/>
    <w:rsid w:val="00B3014F"/>
    <w:rPr>
      <w:sz w:val="16"/>
      <w:szCs w:val="16"/>
    </w:rPr>
  </w:style>
  <w:style w:type="paragraph" w:styleId="CommentText">
    <w:name w:val="annotation text"/>
    <w:basedOn w:val="Normal"/>
    <w:link w:val="CommentTextChar"/>
    <w:uiPriority w:val="99"/>
    <w:semiHidden/>
    <w:unhideWhenUsed/>
    <w:rsid w:val="00B3014F"/>
    <w:rPr>
      <w:sz w:val="20"/>
      <w:szCs w:val="20"/>
    </w:rPr>
  </w:style>
  <w:style w:type="character" w:customStyle="1" w:styleId="CommentTextChar">
    <w:name w:val="Comment Text Char"/>
    <w:basedOn w:val="DefaultParagraphFont"/>
    <w:link w:val="CommentText"/>
    <w:uiPriority w:val="99"/>
    <w:semiHidden/>
    <w:rsid w:val="00B3014F"/>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B3014F"/>
    <w:rPr>
      <w:b/>
      <w:bCs/>
    </w:rPr>
  </w:style>
  <w:style w:type="character" w:customStyle="1" w:styleId="CommentSubjectChar">
    <w:name w:val="Comment Subject Char"/>
    <w:basedOn w:val="CommentTextChar"/>
    <w:link w:val="CommentSubject"/>
    <w:uiPriority w:val="99"/>
    <w:semiHidden/>
    <w:rsid w:val="00B3014F"/>
    <w:rPr>
      <w:rFonts w:ascii="Times New Roman" w:eastAsia="Times New Roman" w:hAnsi="Times New Roman"/>
      <w:b/>
      <w:bCs/>
      <w:lang w:val="fr-FR" w:eastAsia="fr-FR"/>
    </w:rPr>
  </w:style>
  <w:style w:type="paragraph" w:styleId="Revision">
    <w:name w:val="Revision"/>
    <w:hidden/>
    <w:uiPriority w:val="99"/>
    <w:semiHidden/>
    <w:rsid w:val="00B3014F"/>
    <w:rPr>
      <w:rFonts w:ascii="Times New Roman" w:eastAsia="Times New Roman" w:hAnsi="Times New Roman"/>
      <w:sz w:val="24"/>
      <w:szCs w:val="24"/>
      <w:lang w:eastAsia="fr-FR"/>
    </w:rPr>
  </w:style>
  <w:style w:type="character" w:styleId="FollowedHyperlink">
    <w:name w:val="FollowedHyperlink"/>
    <w:basedOn w:val="DefaultParagraphFont"/>
    <w:uiPriority w:val="99"/>
    <w:semiHidden/>
    <w:unhideWhenUsed/>
    <w:rsid w:val="0047167A"/>
    <w:rPr>
      <w:color w:val="954F72" w:themeColor="followedHyperlink"/>
      <w:u w:val="single"/>
    </w:rPr>
  </w:style>
  <w:style w:type="character" w:customStyle="1" w:styleId="UnresolvedMention1">
    <w:name w:val="Unresolved Mention1"/>
    <w:basedOn w:val="DefaultParagraphFont"/>
    <w:uiPriority w:val="99"/>
    <w:semiHidden/>
    <w:unhideWhenUsed/>
    <w:rsid w:val="00AC1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1893">
      <w:bodyDiv w:val="1"/>
      <w:marLeft w:val="0"/>
      <w:marRight w:val="0"/>
      <w:marTop w:val="0"/>
      <w:marBottom w:val="0"/>
      <w:divBdr>
        <w:top w:val="none" w:sz="0" w:space="0" w:color="auto"/>
        <w:left w:val="none" w:sz="0" w:space="0" w:color="auto"/>
        <w:bottom w:val="none" w:sz="0" w:space="0" w:color="auto"/>
        <w:right w:val="none" w:sz="0" w:space="0" w:color="auto"/>
      </w:divBdr>
    </w:div>
    <w:div w:id="427391051">
      <w:bodyDiv w:val="1"/>
      <w:marLeft w:val="0"/>
      <w:marRight w:val="0"/>
      <w:marTop w:val="0"/>
      <w:marBottom w:val="0"/>
      <w:divBdr>
        <w:top w:val="none" w:sz="0" w:space="0" w:color="auto"/>
        <w:left w:val="none" w:sz="0" w:space="0" w:color="auto"/>
        <w:bottom w:val="none" w:sz="0" w:space="0" w:color="auto"/>
        <w:right w:val="none" w:sz="0" w:space="0" w:color="auto"/>
      </w:divBdr>
    </w:div>
    <w:div w:id="468329297">
      <w:bodyDiv w:val="1"/>
      <w:marLeft w:val="0"/>
      <w:marRight w:val="0"/>
      <w:marTop w:val="0"/>
      <w:marBottom w:val="0"/>
      <w:divBdr>
        <w:top w:val="none" w:sz="0" w:space="0" w:color="auto"/>
        <w:left w:val="none" w:sz="0" w:space="0" w:color="auto"/>
        <w:bottom w:val="none" w:sz="0" w:space="0" w:color="auto"/>
        <w:right w:val="none" w:sz="0" w:space="0" w:color="auto"/>
      </w:divBdr>
    </w:div>
    <w:div w:id="554394425">
      <w:bodyDiv w:val="1"/>
      <w:marLeft w:val="0"/>
      <w:marRight w:val="0"/>
      <w:marTop w:val="0"/>
      <w:marBottom w:val="0"/>
      <w:divBdr>
        <w:top w:val="none" w:sz="0" w:space="0" w:color="auto"/>
        <w:left w:val="none" w:sz="0" w:space="0" w:color="auto"/>
        <w:bottom w:val="none" w:sz="0" w:space="0" w:color="auto"/>
        <w:right w:val="none" w:sz="0" w:space="0" w:color="auto"/>
      </w:divBdr>
    </w:div>
    <w:div w:id="558631631">
      <w:bodyDiv w:val="1"/>
      <w:marLeft w:val="0"/>
      <w:marRight w:val="0"/>
      <w:marTop w:val="0"/>
      <w:marBottom w:val="0"/>
      <w:divBdr>
        <w:top w:val="none" w:sz="0" w:space="0" w:color="auto"/>
        <w:left w:val="none" w:sz="0" w:space="0" w:color="auto"/>
        <w:bottom w:val="none" w:sz="0" w:space="0" w:color="auto"/>
        <w:right w:val="none" w:sz="0" w:space="0" w:color="auto"/>
      </w:divBdr>
    </w:div>
    <w:div w:id="566497817">
      <w:bodyDiv w:val="1"/>
      <w:marLeft w:val="0"/>
      <w:marRight w:val="0"/>
      <w:marTop w:val="0"/>
      <w:marBottom w:val="0"/>
      <w:divBdr>
        <w:top w:val="none" w:sz="0" w:space="0" w:color="auto"/>
        <w:left w:val="none" w:sz="0" w:space="0" w:color="auto"/>
        <w:bottom w:val="none" w:sz="0" w:space="0" w:color="auto"/>
        <w:right w:val="none" w:sz="0" w:space="0" w:color="auto"/>
      </w:divBdr>
    </w:div>
    <w:div w:id="691764753">
      <w:bodyDiv w:val="1"/>
      <w:marLeft w:val="0"/>
      <w:marRight w:val="0"/>
      <w:marTop w:val="0"/>
      <w:marBottom w:val="0"/>
      <w:divBdr>
        <w:top w:val="none" w:sz="0" w:space="0" w:color="auto"/>
        <w:left w:val="none" w:sz="0" w:space="0" w:color="auto"/>
        <w:bottom w:val="none" w:sz="0" w:space="0" w:color="auto"/>
        <w:right w:val="none" w:sz="0" w:space="0" w:color="auto"/>
      </w:divBdr>
    </w:div>
    <w:div w:id="695078738">
      <w:bodyDiv w:val="1"/>
      <w:marLeft w:val="0"/>
      <w:marRight w:val="0"/>
      <w:marTop w:val="0"/>
      <w:marBottom w:val="0"/>
      <w:divBdr>
        <w:top w:val="none" w:sz="0" w:space="0" w:color="auto"/>
        <w:left w:val="none" w:sz="0" w:space="0" w:color="auto"/>
        <w:bottom w:val="none" w:sz="0" w:space="0" w:color="auto"/>
        <w:right w:val="none" w:sz="0" w:space="0" w:color="auto"/>
      </w:divBdr>
    </w:div>
    <w:div w:id="734862283">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13791918">
      <w:bodyDiv w:val="1"/>
      <w:marLeft w:val="0"/>
      <w:marRight w:val="0"/>
      <w:marTop w:val="0"/>
      <w:marBottom w:val="0"/>
      <w:divBdr>
        <w:top w:val="none" w:sz="0" w:space="0" w:color="auto"/>
        <w:left w:val="none" w:sz="0" w:space="0" w:color="auto"/>
        <w:bottom w:val="none" w:sz="0" w:space="0" w:color="auto"/>
        <w:right w:val="none" w:sz="0" w:space="0" w:color="auto"/>
      </w:divBdr>
    </w:div>
    <w:div w:id="1490169114">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72436447">
      <w:bodyDiv w:val="1"/>
      <w:marLeft w:val="0"/>
      <w:marRight w:val="0"/>
      <w:marTop w:val="0"/>
      <w:marBottom w:val="0"/>
      <w:divBdr>
        <w:top w:val="none" w:sz="0" w:space="0" w:color="auto"/>
        <w:left w:val="none" w:sz="0" w:space="0" w:color="auto"/>
        <w:bottom w:val="none" w:sz="0" w:space="0" w:color="auto"/>
        <w:right w:val="none" w:sz="0" w:space="0" w:color="auto"/>
      </w:divBdr>
    </w:div>
    <w:div w:id="185113871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76580578">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94598199">
      <w:bodyDiv w:val="1"/>
      <w:marLeft w:val="0"/>
      <w:marRight w:val="0"/>
      <w:marTop w:val="0"/>
      <w:marBottom w:val="0"/>
      <w:divBdr>
        <w:top w:val="none" w:sz="0" w:space="0" w:color="auto"/>
        <w:left w:val="none" w:sz="0" w:space="0" w:color="auto"/>
        <w:bottom w:val="none" w:sz="0" w:space="0" w:color="auto"/>
        <w:right w:val="none" w:sz="0" w:space="0" w:color="auto"/>
      </w:divBdr>
    </w:div>
    <w:div w:id="2116245702">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4.COM/14" TargetMode="External"/><Relationship Id="rId13" Type="http://schemas.openxmlformats.org/officeDocument/2006/relationships/hyperlink" Target="https://ich.unesco.org/fr/decisions/13.COM/1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ich.unesco.org/doc/src/LHE-20-8.GA-11-FR.docx" TargetMode="External"/><Relationship Id="rId17" Type="http://schemas.openxmlformats.org/officeDocument/2006/relationships/hyperlink" Target="https://ich.unesco.org/fr/D%C3%A9cisions/14.COM/16" TargetMode="External"/><Relationship Id="rId2" Type="http://schemas.openxmlformats.org/officeDocument/2006/relationships/numbering" Target="numbering.xml"/><Relationship Id="rId16" Type="http://schemas.openxmlformats.org/officeDocument/2006/relationships/hyperlink" Target="https://ich.unesco.org/fr/decisions/14.COM/1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7.GA/6" TargetMode="External"/><Relationship Id="rId5" Type="http://schemas.openxmlformats.org/officeDocument/2006/relationships/webSettings" Target="webSettings.xml"/><Relationship Id="rId15" Type="http://schemas.openxmlformats.org/officeDocument/2006/relationships/hyperlink" Target="https://ich.unesco.org/fr/D%C3%A9cisions/13.COM/14" TargetMode="External"/><Relationship Id="rId23" Type="http://schemas.openxmlformats.org/officeDocument/2006/relationships/theme" Target="theme/theme1.xml"/><Relationship Id="rId10" Type="http://schemas.openxmlformats.org/officeDocument/2006/relationships/hyperlink" Target="https://ich.unesco.org/fr/decisions/12.COM/1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fr/decisions/11.COM/10" TargetMode="External"/><Relationship Id="rId14" Type="http://schemas.openxmlformats.org/officeDocument/2006/relationships/hyperlink" Target="https://ich.unesco.org/fr/D%C3%A9cisions/13.COM/16"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70F6E-6D19-4D01-B85A-6DB14DA2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1581</Words>
  <Characters>9016</Characters>
  <Application>Microsoft Office Word</Application>
  <DocSecurity>0</DocSecurity>
  <Lines>75</Lines>
  <Paragraphs>21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UNESCO</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Thibault, Alice</cp:lastModifiedBy>
  <cp:revision>13</cp:revision>
  <cp:lastPrinted>2020-07-09T07:56:00Z</cp:lastPrinted>
  <dcterms:created xsi:type="dcterms:W3CDTF">2020-08-04T15:20:00Z</dcterms:created>
  <dcterms:modified xsi:type="dcterms:W3CDTF">2020-08-07T08:15:00Z</dcterms:modified>
</cp:coreProperties>
</file>