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8DEB" w14:textId="61E1AFFD" w:rsidR="00655736" w:rsidRPr="00414643" w:rsidRDefault="00655736" w:rsidP="0041353C">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5DE657EC"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68C7D39F"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550E6143" w14:textId="77777777" w:rsidR="00D95C4C" w:rsidRPr="009817F7"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w:t>
      </w:r>
      <w:r w:rsidRPr="009817F7">
        <w:rPr>
          <w:rFonts w:ascii="Arial" w:hAnsi="Arial" w:cs="Arial"/>
          <w:b/>
          <w:sz w:val="22"/>
          <w:szCs w:val="22"/>
          <w:lang w:val="en-GB"/>
        </w:rPr>
        <w:t xml:space="preserve">m </w:t>
      </w:r>
      <w:r w:rsidR="006F41B4" w:rsidRPr="00FF5F61">
        <w:rPr>
          <w:rFonts w:ascii="Arial" w:hAnsi="Arial" w:cs="Arial"/>
          <w:b/>
          <w:sz w:val="22"/>
          <w:szCs w:val="22"/>
          <w:lang w:val="en-GB"/>
        </w:rPr>
        <w:t>I</w:t>
      </w:r>
    </w:p>
    <w:p w14:paraId="23B633C3" w14:textId="55E28E15" w:rsidR="00655736" w:rsidRPr="00414643" w:rsidRDefault="00B05E9F" w:rsidP="00D95C4C">
      <w:pPr>
        <w:jc w:val="center"/>
        <w:rPr>
          <w:rFonts w:ascii="Arial" w:hAnsi="Arial" w:cs="Arial"/>
          <w:b/>
          <w:sz w:val="22"/>
          <w:szCs w:val="22"/>
          <w:lang w:val="en-GB"/>
        </w:rPr>
      </w:pPr>
      <w:proofErr w:type="gramStart"/>
      <w:r w:rsidRPr="00FF5F61">
        <w:rPr>
          <w:rFonts w:ascii="Arial" w:hAnsi="Arial" w:cs="Arial"/>
          <w:b/>
          <w:sz w:val="22"/>
          <w:szCs w:val="22"/>
          <w:lang w:val="en-GB"/>
        </w:rPr>
        <w:t>8</w:t>
      </w:r>
      <w:proofErr w:type="gramEnd"/>
      <w:r w:rsidR="00763A0D" w:rsidRPr="00FF5F61">
        <w:rPr>
          <w:rFonts w:ascii="Arial" w:hAnsi="Arial" w:cs="Arial"/>
          <w:b/>
          <w:sz w:val="22"/>
          <w:szCs w:val="22"/>
          <w:lang w:val="en-GB"/>
        </w:rPr>
        <w:t xml:space="preserve"> to </w:t>
      </w:r>
      <w:r w:rsidRPr="00FF5F61">
        <w:rPr>
          <w:rFonts w:ascii="Arial" w:hAnsi="Arial" w:cs="Arial"/>
          <w:b/>
          <w:sz w:val="22"/>
          <w:szCs w:val="22"/>
          <w:lang w:val="en-GB"/>
        </w:rPr>
        <w:t>10</w:t>
      </w:r>
      <w:r w:rsidR="00D95C4C" w:rsidRPr="00FF5F61">
        <w:rPr>
          <w:rFonts w:ascii="Arial" w:hAnsi="Arial" w:cs="Arial"/>
          <w:b/>
          <w:sz w:val="22"/>
          <w:szCs w:val="22"/>
          <w:lang w:val="en-GB"/>
        </w:rPr>
        <w:t xml:space="preserve"> </w:t>
      </w:r>
      <w:r w:rsidRPr="00FF5F61">
        <w:rPr>
          <w:rFonts w:ascii="Arial" w:hAnsi="Arial" w:cs="Arial"/>
          <w:b/>
          <w:sz w:val="22"/>
          <w:szCs w:val="22"/>
          <w:lang w:val="en-GB"/>
        </w:rPr>
        <w:t>September</w:t>
      </w:r>
      <w:r w:rsidR="006F41B4" w:rsidRPr="00FF5F61">
        <w:rPr>
          <w:rFonts w:ascii="Arial" w:hAnsi="Arial" w:cs="Arial"/>
          <w:b/>
          <w:sz w:val="22"/>
          <w:szCs w:val="22"/>
          <w:lang w:val="en-GB"/>
        </w:rPr>
        <w:t xml:space="preserve"> 2020</w:t>
      </w:r>
    </w:p>
    <w:p w14:paraId="1FEC9350" w14:textId="5F57094E"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EE33BE">
        <w:rPr>
          <w:rFonts w:ascii="Arial" w:hAnsi="Arial" w:cs="Arial"/>
          <w:b/>
          <w:sz w:val="22"/>
          <w:szCs w:val="22"/>
          <w:u w:val="single"/>
          <w:lang w:val="en-GB"/>
        </w:rPr>
        <w:t>10</w:t>
      </w:r>
      <w:r w:rsidR="00EE33BE" w:rsidRPr="00414643">
        <w:rPr>
          <w:rFonts w:ascii="Arial" w:hAnsi="Arial" w:cs="Arial"/>
          <w:b/>
          <w:sz w:val="22"/>
          <w:szCs w:val="22"/>
          <w:u w:val="single"/>
          <w:lang w:val="en-GB"/>
        </w:rPr>
        <w:t xml:space="preserve"> </w:t>
      </w:r>
      <w:r w:rsidRPr="00414643">
        <w:rPr>
          <w:rFonts w:ascii="Arial" w:hAnsi="Arial" w:cs="Arial"/>
          <w:b/>
          <w:sz w:val="22"/>
          <w:szCs w:val="22"/>
          <w:u w:val="single"/>
          <w:lang w:val="en-GB"/>
        </w:rPr>
        <w:t>of the Provisional Agenda</w:t>
      </w:r>
      <w:r w:rsidRPr="00783782">
        <w:rPr>
          <w:rFonts w:ascii="Arial" w:hAnsi="Arial" w:cs="Arial"/>
          <w:b/>
          <w:sz w:val="22"/>
          <w:szCs w:val="22"/>
          <w:u w:val="single"/>
          <w:lang w:val="en-GB"/>
        </w:rPr>
        <w:t>:</w:t>
      </w:r>
    </w:p>
    <w:p w14:paraId="51DC24E0" w14:textId="04D43B54" w:rsidR="002F312A" w:rsidRPr="00414643" w:rsidRDefault="00A85654"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Revision of the Operational Directives for the 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051DD" w14:paraId="284D9D1C" w14:textId="77777777" w:rsidTr="002F312A">
        <w:trPr>
          <w:jc w:val="center"/>
        </w:trPr>
        <w:tc>
          <w:tcPr>
            <w:tcW w:w="5670" w:type="dxa"/>
            <w:vAlign w:val="center"/>
          </w:tcPr>
          <w:p w14:paraId="057F83CA" w14:textId="77777777" w:rsidR="00CE3C7F" w:rsidRPr="00293C60" w:rsidRDefault="00CE3C7F" w:rsidP="00CE3C7F">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7EF8AC4" w14:textId="1827AB8D" w:rsidR="00CE3C7F" w:rsidRPr="00293C60" w:rsidRDefault="00CE3C7F" w:rsidP="00CE3C7F">
            <w:pPr>
              <w:pStyle w:val="Sansinterligne1"/>
              <w:jc w:val="both"/>
              <w:rPr>
                <w:rFonts w:ascii="Arial" w:hAnsi="Arial" w:cs="Arial"/>
                <w:bCs/>
                <w:sz w:val="22"/>
                <w:szCs w:val="22"/>
                <w:lang w:val="en-GB"/>
              </w:rPr>
            </w:pPr>
            <w:r w:rsidRPr="00605129">
              <w:rPr>
                <w:rFonts w:ascii="Arial" w:hAnsi="Arial" w:cs="Arial"/>
                <w:sz w:val="22"/>
                <w:szCs w:val="22"/>
                <w:lang w:val="en-GB"/>
              </w:rPr>
              <w:t xml:space="preserve">At its </w:t>
            </w:r>
            <w:r w:rsidR="00B3014F">
              <w:rPr>
                <w:rFonts w:ascii="Arial" w:hAnsi="Arial" w:cs="Arial"/>
                <w:sz w:val="22"/>
                <w:szCs w:val="22"/>
                <w:lang w:val="en-GB"/>
              </w:rPr>
              <w:t>fou</w:t>
            </w:r>
            <w:r>
              <w:rPr>
                <w:rFonts w:ascii="Arial" w:hAnsi="Arial" w:cs="Arial"/>
                <w:sz w:val="22"/>
                <w:szCs w:val="22"/>
                <w:lang w:val="en-GB"/>
              </w:rPr>
              <w:t>rteenth session</w:t>
            </w:r>
            <w:r w:rsidRPr="00605129">
              <w:rPr>
                <w:rFonts w:ascii="Arial" w:hAnsi="Arial" w:cs="Arial"/>
                <w:sz w:val="22"/>
                <w:szCs w:val="22"/>
                <w:lang w:val="en-GB"/>
              </w:rPr>
              <w:t xml:space="preserve">, the Intergovernmental Committee </w:t>
            </w:r>
            <w:r>
              <w:rPr>
                <w:rFonts w:ascii="Arial" w:hAnsi="Arial" w:cs="Arial"/>
                <w:sz w:val="22"/>
                <w:szCs w:val="22"/>
                <w:lang w:val="en-GB"/>
              </w:rPr>
              <w:t xml:space="preserve">took stock of the </w:t>
            </w:r>
            <w:r w:rsidRPr="00F57C25">
              <w:rPr>
                <w:rFonts w:ascii="Arial" w:hAnsi="Arial" w:cs="Arial"/>
                <w:sz w:val="22"/>
                <w:szCs w:val="22"/>
                <w:lang w:val="en-GB"/>
              </w:rPr>
              <w:t xml:space="preserve">provisional dialogue process </w:t>
            </w:r>
            <w:r w:rsidR="00FB2302" w:rsidRPr="00891110">
              <w:rPr>
                <w:rFonts w:ascii="Arial" w:hAnsi="Arial" w:cs="Arial"/>
                <w:sz w:val="22"/>
                <w:szCs w:val="22"/>
                <w:lang w:val="en-GB"/>
              </w:rPr>
              <w:t>initiated</w:t>
            </w:r>
            <w:r w:rsidR="00CD16A7" w:rsidRPr="00F57C25">
              <w:rPr>
                <w:rFonts w:ascii="Arial" w:hAnsi="Arial" w:cs="Arial"/>
                <w:sz w:val="22"/>
                <w:szCs w:val="22"/>
                <w:lang w:val="en-GB"/>
              </w:rPr>
              <w:t xml:space="preserve"> </w:t>
            </w:r>
            <w:r w:rsidR="00FE2314">
              <w:rPr>
                <w:rFonts w:ascii="Arial" w:hAnsi="Arial" w:cs="Arial"/>
                <w:sz w:val="22"/>
                <w:szCs w:val="22"/>
                <w:lang w:val="en-GB"/>
              </w:rPr>
              <w:t>for</w:t>
            </w:r>
            <w:r w:rsidR="00FE2314" w:rsidRPr="00F57C25">
              <w:rPr>
                <w:rFonts w:ascii="Arial" w:hAnsi="Arial" w:cs="Arial"/>
                <w:sz w:val="22"/>
                <w:szCs w:val="22"/>
                <w:lang w:val="en-GB"/>
              </w:rPr>
              <w:t xml:space="preserve"> </w:t>
            </w:r>
            <w:r w:rsidR="00CD16A7" w:rsidRPr="00F57C25">
              <w:rPr>
                <w:rFonts w:ascii="Arial" w:hAnsi="Arial" w:cs="Arial"/>
                <w:sz w:val="22"/>
                <w:szCs w:val="22"/>
                <w:lang w:val="en-GB"/>
              </w:rPr>
              <w:t>the 2019</w:t>
            </w:r>
            <w:r w:rsidR="00070AD0">
              <w:rPr>
                <w:rFonts w:ascii="Arial" w:hAnsi="Arial" w:cs="Arial"/>
                <w:sz w:val="22"/>
                <w:szCs w:val="22"/>
                <w:lang w:val="en-GB"/>
              </w:rPr>
              <w:t xml:space="preserve"> nomination</w:t>
            </w:r>
            <w:r w:rsidR="00CD16A7" w:rsidRPr="00F57C25">
              <w:rPr>
                <w:rFonts w:ascii="Arial" w:hAnsi="Arial" w:cs="Arial"/>
                <w:sz w:val="22"/>
                <w:szCs w:val="22"/>
                <w:lang w:val="en-GB"/>
              </w:rPr>
              <w:t xml:space="preserve"> cycle</w:t>
            </w:r>
            <w:r w:rsidR="00C41C48" w:rsidRPr="00F57C25">
              <w:rPr>
                <w:rFonts w:ascii="Arial" w:hAnsi="Arial" w:cs="Arial"/>
                <w:sz w:val="22"/>
                <w:szCs w:val="22"/>
                <w:lang w:val="en-GB"/>
              </w:rPr>
              <w:t xml:space="preserve"> </w:t>
            </w:r>
            <w:r w:rsidR="00C41C48" w:rsidRPr="00891110">
              <w:rPr>
                <w:rFonts w:ascii="Arial" w:hAnsi="Arial" w:cs="Arial"/>
                <w:sz w:val="22"/>
                <w:szCs w:val="22"/>
                <w:lang w:val="en-GB"/>
              </w:rPr>
              <w:t>on an experimental basis</w:t>
            </w:r>
            <w:r w:rsidR="00CD16A7">
              <w:rPr>
                <w:rFonts w:ascii="Arial" w:hAnsi="Arial" w:cs="Arial"/>
                <w:sz w:val="22"/>
                <w:szCs w:val="22"/>
                <w:lang w:val="en-GB"/>
              </w:rPr>
              <w:t>. The Committee acknowledged the positive experience this mechanism</w:t>
            </w:r>
            <w:r w:rsidR="00070AD0">
              <w:rPr>
                <w:rFonts w:ascii="Arial" w:hAnsi="Arial" w:cs="Arial"/>
                <w:sz w:val="22"/>
                <w:szCs w:val="22"/>
                <w:lang w:val="en-GB"/>
              </w:rPr>
              <w:t xml:space="preserve"> brought</w:t>
            </w:r>
            <w:r w:rsidR="00CD16A7">
              <w:rPr>
                <w:rFonts w:ascii="Arial" w:hAnsi="Arial" w:cs="Arial"/>
                <w:sz w:val="22"/>
                <w:szCs w:val="22"/>
                <w:lang w:val="en-GB"/>
              </w:rPr>
              <w:t xml:space="preserve"> to the evaluation and inscription process</w:t>
            </w:r>
            <w:r w:rsidR="00FE2314">
              <w:rPr>
                <w:rFonts w:ascii="Arial" w:hAnsi="Arial" w:cs="Arial"/>
                <w:sz w:val="22"/>
                <w:szCs w:val="22"/>
                <w:lang w:val="en-GB"/>
              </w:rPr>
              <w:t>,</w:t>
            </w:r>
            <w:r w:rsidR="00CD16A7">
              <w:rPr>
                <w:rFonts w:ascii="Arial" w:hAnsi="Arial" w:cs="Arial"/>
                <w:sz w:val="22"/>
                <w:szCs w:val="22"/>
                <w:lang w:val="en-GB"/>
              </w:rPr>
              <w:t xml:space="preserve"> </w:t>
            </w:r>
            <w:r>
              <w:rPr>
                <w:rFonts w:ascii="Arial" w:hAnsi="Arial" w:cs="Arial"/>
                <w:sz w:val="22"/>
                <w:szCs w:val="22"/>
                <w:lang w:val="en-GB"/>
              </w:rPr>
              <w:t xml:space="preserve">and recommended </w:t>
            </w:r>
            <w:r w:rsidRPr="00605129">
              <w:rPr>
                <w:rFonts w:ascii="Arial" w:hAnsi="Arial" w:cs="Arial"/>
                <w:sz w:val="22"/>
                <w:szCs w:val="22"/>
                <w:lang w:val="en-GB"/>
              </w:rPr>
              <w:t xml:space="preserve">that the General Assembly </w:t>
            </w:r>
            <w:r w:rsidR="00B15B76">
              <w:rPr>
                <w:rFonts w:ascii="Arial" w:hAnsi="Arial" w:cs="Arial"/>
                <w:sz w:val="22"/>
                <w:szCs w:val="22"/>
                <w:lang w:val="en-GB"/>
              </w:rPr>
              <w:t>revise</w:t>
            </w:r>
            <w:r w:rsidRPr="00605129">
              <w:rPr>
                <w:rFonts w:ascii="Arial" w:hAnsi="Arial" w:cs="Arial"/>
                <w:sz w:val="22"/>
                <w:szCs w:val="22"/>
                <w:lang w:val="en-GB"/>
              </w:rPr>
              <w:t xml:space="preserve"> the Operational Directives for the </w:t>
            </w:r>
            <w:r w:rsidR="0075153F">
              <w:rPr>
                <w:rFonts w:ascii="Arial" w:hAnsi="Arial" w:cs="Arial"/>
                <w:sz w:val="22"/>
                <w:szCs w:val="22"/>
                <w:lang w:val="en-GB"/>
              </w:rPr>
              <w:t>implementation</w:t>
            </w:r>
            <w:r w:rsidRPr="00605129">
              <w:rPr>
                <w:rFonts w:ascii="Arial" w:hAnsi="Arial" w:cs="Arial"/>
                <w:sz w:val="22"/>
                <w:szCs w:val="22"/>
                <w:lang w:val="en-GB"/>
              </w:rPr>
              <w:t xml:space="preserve"> of the Convention</w:t>
            </w:r>
            <w:r>
              <w:rPr>
                <w:rFonts w:ascii="Arial" w:hAnsi="Arial" w:cs="Arial"/>
                <w:sz w:val="22"/>
                <w:szCs w:val="22"/>
                <w:lang w:val="en-GB"/>
              </w:rPr>
              <w:t xml:space="preserve"> </w:t>
            </w:r>
            <w:r w:rsidR="00FE2314">
              <w:rPr>
                <w:rFonts w:ascii="Arial" w:hAnsi="Arial" w:cs="Arial"/>
                <w:sz w:val="22"/>
                <w:szCs w:val="22"/>
                <w:lang w:val="en-GB"/>
              </w:rPr>
              <w:t xml:space="preserve">to formalize the dialogue process </w:t>
            </w:r>
            <w:r w:rsidRPr="00605129">
              <w:rPr>
                <w:rFonts w:ascii="Arial" w:hAnsi="Arial" w:cs="Arial"/>
                <w:sz w:val="22"/>
                <w:szCs w:val="22"/>
                <w:lang w:val="en-GB"/>
              </w:rPr>
              <w:t>(</w:t>
            </w:r>
            <w:hyperlink r:id="rId8" w:history="1">
              <w:r w:rsidR="00E923EF" w:rsidRPr="009A7384">
                <w:rPr>
                  <w:rFonts w:asciiTheme="minorBidi" w:hAnsiTheme="minorBidi" w:cstheme="minorBidi"/>
                  <w:color w:val="0000FF"/>
                  <w:sz w:val="22"/>
                  <w:szCs w:val="22"/>
                  <w:u w:val="single"/>
                  <w:lang w:val="en-US"/>
                </w:rPr>
                <w:t>Decision 14.COM 14</w:t>
              </w:r>
            </w:hyperlink>
            <w:r w:rsidRPr="00605129">
              <w:rPr>
                <w:rFonts w:ascii="Arial" w:hAnsi="Arial" w:cs="Arial"/>
                <w:sz w:val="22"/>
                <w:szCs w:val="22"/>
                <w:lang w:val="en-GB"/>
              </w:rPr>
              <w:t>)</w:t>
            </w:r>
            <w:r w:rsidR="00B15B76">
              <w:rPr>
                <w:rFonts w:ascii="Arial" w:hAnsi="Arial" w:cs="Arial"/>
                <w:sz w:val="22"/>
                <w:szCs w:val="22"/>
                <w:lang w:val="en-GB"/>
              </w:rPr>
              <w:t xml:space="preserve"> as contained in Annex to the</w:t>
            </w:r>
            <w:r w:rsidRPr="00605129">
              <w:rPr>
                <w:rFonts w:ascii="Arial" w:hAnsi="Arial" w:cs="Arial"/>
                <w:sz w:val="22"/>
                <w:szCs w:val="22"/>
                <w:lang w:val="en-GB"/>
              </w:rPr>
              <w:t xml:space="preserve"> present document.</w:t>
            </w:r>
          </w:p>
          <w:p w14:paraId="4491CC0B" w14:textId="44ED006D" w:rsidR="00655736" w:rsidRPr="00414643" w:rsidRDefault="00FB6630" w:rsidP="003B1E7C">
            <w:pPr>
              <w:pStyle w:val="Sansinterligne2"/>
              <w:spacing w:before="200"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722B5F">
              <w:rPr>
                <w:rFonts w:ascii="Arial" w:hAnsi="Arial" w:cs="Arial"/>
                <w:bCs/>
                <w:sz w:val="22"/>
                <w:szCs w:val="22"/>
                <w:lang w:val="en-GB"/>
              </w:rPr>
              <w:t xml:space="preserve">paragraph </w:t>
            </w:r>
            <w:r w:rsidR="002C3EFB" w:rsidRPr="00FF5F61">
              <w:rPr>
                <w:rFonts w:ascii="Arial" w:hAnsi="Arial" w:cs="Arial"/>
                <w:bCs/>
                <w:sz w:val="22"/>
                <w:szCs w:val="22"/>
                <w:lang w:val="en-GB"/>
              </w:rPr>
              <w:t>7</w:t>
            </w:r>
          </w:p>
        </w:tc>
      </w:tr>
    </w:tbl>
    <w:p w14:paraId="44911037" w14:textId="77777777" w:rsidR="00176720" w:rsidRDefault="00655736" w:rsidP="00176720">
      <w:pPr>
        <w:pStyle w:val="GAPara"/>
        <w:numPr>
          <w:ilvl w:val="0"/>
          <w:numId w:val="0"/>
        </w:numPr>
        <w:jc w:val="both"/>
      </w:pPr>
      <w:r w:rsidRPr="00414643">
        <w:br w:type="page"/>
      </w:r>
    </w:p>
    <w:p w14:paraId="6871D7B3" w14:textId="65F7C3E0" w:rsidR="00B05E9F" w:rsidRPr="00781F19" w:rsidRDefault="00B3014F" w:rsidP="00932101">
      <w:pPr>
        <w:pStyle w:val="COMPara"/>
        <w:numPr>
          <w:ilvl w:val="0"/>
          <w:numId w:val="19"/>
        </w:numPr>
        <w:ind w:left="540" w:hanging="540"/>
        <w:jc w:val="both"/>
      </w:pPr>
      <w:r w:rsidRPr="00B55055">
        <w:rPr>
          <w:lang w:val="en-US"/>
        </w:rPr>
        <w:lastRenderedPageBreak/>
        <w:t>The Committee recognized, at its eleventh session</w:t>
      </w:r>
      <w:r w:rsidR="00B55055" w:rsidRPr="00B55055">
        <w:rPr>
          <w:lang w:val="en-US"/>
        </w:rPr>
        <w:t xml:space="preserve"> in 2016</w:t>
      </w:r>
      <w:r w:rsidRPr="00B55055">
        <w:rPr>
          <w:lang w:val="en-US"/>
        </w:rPr>
        <w:t xml:space="preserve">, the </w:t>
      </w:r>
      <w:r w:rsidR="00B55055" w:rsidRPr="00B55055">
        <w:rPr>
          <w:lang w:val="en-US"/>
        </w:rPr>
        <w:t xml:space="preserve">need </w:t>
      </w:r>
      <w:r w:rsidR="00B55055">
        <w:t xml:space="preserve">to include an additional step in the nomination cycle to allow for dialogue between the Evaluation Body and submitting States. </w:t>
      </w:r>
      <w:r w:rsidR="008902C1">
        <w:t>T</w:t>
      </w:r>
      <w:r w:rsidR="004F374F">
        <w:t xml:space="preserve">he </w:t>
      </w:r>
      <w:r w:rsidR="001D369A">
        <w:t xml:space="preserve">Committee </w:t>
      </w:r>
      <w:r w:rsidR="00217734">
        <w:t>requested</w:t>
      </w:r>
      <w:r w:rsidR="000132CE">
        <w:t xml:space="preserve"> that</w:t>
      </w:r>
      <w:r w:rsidR="00217734">
        <w:t xml:space="preserve"> the Secretariat propose an appropriate procedure </w:t>
      </w:r>
      <w:r w:rsidR="001151E9">
        <w:t>in this regard and at the same time established an informal ad hoc working group to discuss the matter (</w:t>
      </w:r>
      <w:hyperlink r:id="rId9" w:history="1">
        <w:r w:rsidR="001151E9" w:rsidRPr="001151E9">
          <w:rPr>
            <w:rStyle w:val="Lienhypertexte"/>
          </w:rPr>
          <w:t>Decision 11</w:t>
        </w:r>
        <w:r w:rsidR="000132CE">
          <w:rPr>
            <w:rStyle w:val="Lienhypertexte"/>
          </w:rPr>
          <w:t>.</w:t>
        </w:r>
        <w:r w:rsidR="001151E9" w:rsidRPr="001151E9">
          <w:rPr>
            <w:rStyle w:val="Lienhypertexte"/>
          </w:rPr>
          <w:t>COM 10</w:t>
        </w:r>
      </w:hyperlink>
      <w:r w:rsidR="001151E9">
        <w:t>).</w:t>
      </w:r>
      <w:r w:rsidR="008902C1">
        <w:rPr>
          <w:rFonts w:eastAsia="Arial"/>
        </w:rPr>
        <w:t xml:space="preserve"> </w:t>
      </w:r>
      <w:r w:rsidR="00B55055" w:rsidRPr="00FD10DB">
        <w:t xml:space="preserve">This </w:t>
      </w:r>
      <w:r w:rsidR="00DB39E3" w:rsidRPr="00FD10DB">
        <w:t>decision</w:t>
      </w:r>
      <w:r w:rsidR="00B55055" w:rsidRPr="00FD10DB">
        <w:t xml:space="preserve"> </w:t>
      </w:r>
      <w:proofErr w:type="gramStart"/>
      <w:r w:rsidR="00B55055" w:rsidRPr="00FD10DB">
        <w:t>was made</w:t>
      </w:r>
      <w:proofErr w:type="gramEnd"/>
      <w:r w:rsidR="00B55055" w:rsidRPr="00FD10DB">
        <w:t xml:space="preserve"> against the backdrop of an unprecedented high number of decisions </w:t>
      </w:r>
      <w:r w:rsidR="00FD10DB" w:rsidRPr="00FF5F61">
        <w:t>taken by the</w:t>
      </w:r>
      <w:r w:rsidR="00B55055" w:rsidRPr="00FD10DB">
        <w:t xml:space="preserve"> Committee</w:t>
      </w:r>
      <w:r w:rsidR="00FD10DB" w:rsidRPr="00FF5F61">
        <w:t xml:space="preserve"> to reverse the recommendations of the Evaluation Body</w:t>
      </w:r>
      <w:r w:rsidR="00B55055" w:rsidRPr="00FD10DB">
        <w:t xml:space="preserve"> </w:t>
      </w:r>
      <w:r w:rsidR="00722B5F">
        <w:t>on</w:t>
      </w:r>
      <w:r w:rsidR="00B55055" w:rsidRPr="00FD10DB">
        <w:t xml:space="preserve"> nominations, proposals and requests.</w:t>
      </w:r>
      <w:r w:rsidR="00B55055">
        <w:t xml:space="preserve"> </w:t>
      </w:r>
      <w:r w:rsidR="002A41FD">
        <w:t>T</w:t>
      </w:r>
      <w:r w:rsidR="00B55055">
        <w:t xml:space="preserve">he intention behind the dialogue process is to provide States Parties whose files would have been referred due to minor technical aspects with an opportunity to address </w:t>
      </w:r>
      <w:r w:rsidR="008902C1">
        <w:t>them</w:t>
      </w:r>
      <w:r w:rsidR="00B55055">
        <w:t xml:space="preserve"> during the nomination cycle rather than having to wait an additional two years before the Committee can examine their file</w:t>
      </w:r>
      <w:r w:rsidR="008902C1">
        <w:t>s</w:t>
      </w:r>
      <w:r w:rsidR="00B55055">
        <w:t xml:space="preserve"> again.</w:t>
      </w:r>
    </w:p>
    <w:p w14:paraId="0DADEA6B" w14:textId="2562AC17" w:rsidR="0078250F" w:rsidRDefault="00B55055" w:rsidP="00932101">
      <w:pPr>
        <w:pStyle w:val="COMPara"/>
        <w:numPr>
          <w:ilvl w:val="0"/>
          <w:numId w:val="19"/>
        </w:numPr>
        <w:ind w:left="540" w:hanging="540"/>
        <w:jc w:val="both"/>
      </w:pPr>
      <w:r w:rsidRPr="00274E4B">
        <w:rPr>
          <w:rFonts w:eastAsia="SimSun"/>
        </w:rPr>
        <w:t xml:space="preserve">The position of the Committee </w:t>
      </w:r>
      <w:r w:rsidR="00C71E58" w:rsidRPr="00274E4B">
        <w:t>(</w:t>
      </w:r>
      <w:hyperlink r:id="rId10" w:history="1">
        <w:r w:rsidR="00C71E58" w:rsidRPr="00274E4B">
          <w:rPr>
            <w:rStyle w:val="Lienhypertexte"/>
          </w:rPr>
          <w:t>Decision 12.COM 13</w:t>
        </w:r>
      </w:hyperlink>
      <w:r w:rsidR="00C71E58" w:rsidRPr="00274E4B">
        <w:t xml:space="preserve">) </w:t>
      </w:r>
      <w:r w:rsidRPr="00274E4B">
        <w:rPr>
          <w:rFonts w:eastAsia="SimSun"/>
        </w:rPr>
        <w:t xml:space="preserve">at its twelfth session in 2017 was to </w:t>
      </w:r>
      <w:r w:rsidR="00286D3D" w:rsidRPr="00FF5F61">
        <w:rPr>
          <w:rFonts w:eastAsia="SimSun"/>
        </w:rPr>
        <w:t>take</w:t>
      </w:r>
      <w:r w:rsidR="00FE2314" w:rsidRPr="00274E4B">
        <w:rPr>
          <w:rFonts w:eastAsia="SimSun"/>
        </w:rPr>
        <w:t xml:space="preserve"> </w:t>
      </w:r>
      <w:r w:rsidRPr="00274E4B">
        <w:rPr>
          <w:rFonts w:eastAsia="SimSun"/>
        </w:rPr>
        <w:t xml:space="preserve">more time for a number of adjustments introduced in the evaluation </w:t>
      </w:r>
      <w:r w:rsidR="00FA1898" w:rsidRPr="00286D3D">
        <w:rPr>
          <w:rFonts w:eastAsia="SimSun"/>
        </w:rPr>
        <w:t xml:space="preserve">methodology </w:t>
      </w:r>
      <w:r w:rsidRPr="00286D3D">
        <w:rPr>
          <w:rFonts w:eastAsia="SimSun"/>
        </w:rPr>
        <w:t xml:space="preserve">to </w:t>
      </w:r>
      <w:r w:rsidR="00274E4B">
        <w:rPr>
          <w:rFonts w:eastAsia="SimSun"/>
        </w:rPr>
        <w:t>come into</w:t>
      </w:r>
      <w:r w:rsidRPr="00286D3D">
        <w:rPr>
          <w:rFonts w:eastAsia="SimSun"/>
        </w:rPr>
        <w:t xml:space="preserve"> effect (notably </w:t>
      </w:r>
      <w:r w:rsidR="003338A0" w:rsidRPr="00286D3D">
        <w:rPr>
          <w:rFonts w:eastAsia="SimSun"/>
        </w:rPr>
        <w:t>in terms of guiding questions</w:t>
      </w:r>
      <w:r w:rsidR="00FD10DB" w:rsidRPr="00286D3D">
        <w:rPr>
          <w:rFonts w:eastAsia="SimSun"/>
        </w:rPr>
        <w:t xml:space="preserve"> for some of the criteria</w:t>
      </w:r>
      <w:r w:rsidR="003338A0" w:rsidRPr="00286D3D">
        <w:rPr>
          <w:rFonts w:eastAsia="SimSun"/>
        </w:rPr>
        <w:t xml:space="preserve"> </w:t>
      </w:r>
      <w:r w:rsidR="00FD10DB" w:rsidRPr="00286D3D">
        <w:rPr>
          <w:rFonts w:eastAsia="SimSun"/>
        </w:rPr>
        <w:t>in the</w:t>
      </w:r>
      <w:r w:rsidRPr="00286D3D">
        <w:rPr>
          <w:rFonts w:eastAsia="SimSun"/>
        </w:rPr>
        <w:t xml:space="preserve"> nomination forms), before </w:t>
      </w:r>
      <w:r w:rsidR="00FD10DB" w:rsidRPr="00286D3D">
        <w:rPr>
          <w:rFonts w:eastAsia="SimSun"/>
        </w:rPr>
        <w:t>establishing</w:t>
      </w:r>
      <w:r w:rsidRPr="00286D3D">
        <w:rPr>
          <w:rFonts w:eastAsia="SimSun"/>
        </w:rPr>
        <w:t xml:space="preserve"> a formal ‘dialogue’ process</w:t>
      </w:r>
      <w:r w:rsidRPr="00286D3D">
        <w:t>.</w:t>
      </w:r>
      <w:r>
        <w:t xml:space="preserve"> </w:t>
      </w:r>
      <w:r w:rsidRPr="008D73B8">
        <w:t>On the same occasion, the Committee decided to continue the informal ad hoc working group until 2018</w:t>
      </w:r>
      <w:r w:rsidR="003338A0">
        <w:t>,</w:t>
      </w:r>
      <w:r w:rsidRPr="008D73B8">
        <w:t xml:space="preserve"> making it open to all States Parties. </w:t>
      </w:r>
      <w:r w:rsidR="00667DE5">
        <w:t xml:space="preserve">As part of </w:t>
      </w:r>
      <w:r w:rsidR="00FD10DB">
        <w:t>its</w:t>
      </w:r>
      <w:r w:rsidR="00667DE5">
        <w:t xml:space="preserve"> mandate, th</w:t>
      </w:r>
      <w:r w:rsidR="00FD10DB">
        <w:t>e</w:t>
      </w:r>
      <w:r w:rsidRPr="008D73B8">
        <w:t xml:space="preserve"> group</w:t>
      </w:r>
      <w:r w:rsidR="00955DDC">
        <w:t xml:space="preserve"> </w:t>
      </w:r>
      <w:proofErr w:type="gramStart"/>
      <w:r w:rsidRPr="008D73B8">
        <w:t>was asked</w:t>
      </w:r>
      <w:proofErr w:type="gramEnd"/>
      <w:r w:rsidRPr="008D73B8">
        <w:t xml:space="preserve"> to</w:t>
      </w:r>
      <w:r w:rsidRPr="00955DDC">
        <w:t xml:space="preserve"> </w:t>
      </w:r>
      <w:r w:rsidRPr="008D73B8">
        <w:t>further reflect on an appropriate ‘dialogue’ mechanism in consultation with the Evaluation Body</w:t>
      </w:r>
      <w:r w:rsidR="00FD10DB">
        <w:t xml:space="preserve"> and</w:t>
      </w:r>
      <w:r w:rsidRPr="008D73B8">
        <w:t xml:space="preserve"> taking into account the respective resolutions by the</w:t>
      </w:r>
      <w:r w:rsidR="003C6C8B">
        <w:t xml:space="preserve"> seventh</w:t>
      </w:r>
      <w:r w:rsidR="00955DDC">
        <w:t xml:space="preserve"> session of the</w:t>
      </w:r>
      <w:r w:rsidRPr="008D73B8">
        <w:t xml:space="preserve"> General Assembly</w:t>
      </w:r>
      <w:r w:rsidR="0084015B">
        <w:t xml:space="preserve"> </w:t>
      </w:r>
      <w:r w:rsidR="003C6C8B">
        <w:t>in June 2018</w:t>
      </w:r>
      <w:r w:rsidRPr="008D73B8">
        <w:t>.</w:t>
      </w:r>
      <w:r w:rsidR="00FA1898">
        <w:t xml:space="preserve"> </w:t>
      </w:r>
      <w:r w:rsidR="00FD10DB">
        <w:t>At that same session, t</w:t>
      </w:r>
      <w:r w:rsidR="0078250F" w:rsidRPr="00F03296">
        <w:t xml:space="preserve">he General Assembly </w:t>
      </w:r>
      <w:r w:rsidR="00FA1898">
        <w:t xml:space="preserve">fully </w:t>
      </w:r>
      <w:r w:rsidR="0078250F" w:rsidRPr="00AC4B3C">
        <w:t>r</w:t>
      </w:r>
      <w:r w:rsidR="0078250F" w:rsidRPr="00F03296">
        <w:t>ecognized</w:t>
      </w:r>
      <w:r w:rsidR="0078250F" w:rsidRPr="00933318">
        <w:t xml:space="preserve"> the importance of dialogue to </w:t>
      </w:r>
      <w:r w:rsidR="003338A0">
        <w:t>strengthen</w:t>
      </w:r>
      <w:r w:rsidR="000E2023">
        <w:t xml:space="preserve"> the</w:t>
      </w:r>
      <w:r w:rsidR="00FA1898">
        <w:t xml:space="preserve"> transparency and credibility of</w:t>
      </w:r>
      <w:r w:rsidR="0078250F" w:rsidRPr="00933318">
        <w:t xml:space="preserve"> the evaluation process </w:t>
      </w:r>
      <w:r w:rsidR="003C6C8B">
        <w:t>a</w:t>
      </w:r>
      <w:r w:rsidR="003338A0">
        <w:t xml:space="preserve">nd </w:t>
      </w:r>
      <w:r w:rsidR="003C6C8B">
        <w:t>re</w:t>
      </w:r>
      <w:r w:rsidR="00FA1898" w:rsidRPr="00F03296">
        <w:t>quested</w:t>
      </w:r>
      <w:r w:rsidR="00FA1898" w:rsidRPr="00FA1898">
        <w:rPr>
          <w:lang w:val="en-US"/>
        </w:rPr>
        <w:t xml:space="preserve"> that the working group present its deliberations and recommendations to the thirteenth session of the Committee</w:t>
      </w:r>
      <w:r w:rsidR="00FA1898" w:rsidRPr="00933318" w:rsidDel="00FA1898">
        <w:t xml:space="preserve"> </w:t>
      </w:r>
      <w:r w:rsidR="003C6C8B">
        <w:t xml:space="preserve">in November/December 2018 </w:t>
      </w:r>
      <w:r w:rsidR="003D35E4" w:rsidRPr="00FA1898">
        <w:rPr>
          <w:color w:val="000000" w:themeColor="text1"/>
        </w:rPr>
        <w:t>(</w:t>
      </w:r>
      <w:hyperlink r:id="rId11" w:history="1">
        <w:r w:rsidR="003D35E4" w:rsidRPr="00FF5F61">
          <w:rPr>
            <w:rStyle w:val="Lienhypertexte"/>
          </w:rPr>
          <w:t>Resolution 7.GA 6</w:t>
        </w:r>
      </w:hyperlink>
      <w:r w:rsidR="003D35E4" w:rsidRPr="00FA1898">
        <w:rPr>
          <w:color w:val="000000" w:themeColor="text1"/>
        </w:rPr>
        <w:t>)</w:t>
      </w:r>
      <w:r w:rsidR="0078250F" w:rsidRPr="006F4AC2">
        <w:t>.</w:t>
      </w:r>
    </w:p>
    <w:p w14:paraId="6A838D35" w14:textId="6ED6B376" w:rsidR="00F20D64" w:rsidRPr="003B1E7C" w:rsidRDefault="00921F31" w:rsidP="00932101">
      <w:pPr>
        <w:pStyle w:val="COMPara"/>
        <w:numPr>
          <w:ilvl w:val="0"/>
          <w:numId w:val="19"/>
        </w:numPr>
        <w:ind w:left="540" w:hanging="540"/>
        <w:jc w:val="both"/>
      </w:pPr>
      <w:r>
        <w:t>A</w:t>
      </w:r>
      <w:r w:rsidRPr="00274E4B">
        <w:t xml:space="preserve">t </w:t>
      </w:r>
      <w:r w:rsidRPr="00FF5F61">
        <w:t>its</w:t>
      </w:r>
      <w:r w:rsidRPr="00274E4B">
        <w:t xml:space="preserve"> thirteenth session</w:t>
      </w:r>
      <w:r>
        <w:t>, f</w:t>
      </w:r>
      <w:r w:rsidRPr="00274E4B">
        <w:t xml:space="preserve">ollowing </w:t>
      </w:r>
      <w:r w:rsidR="00B55055" w:rsidRPr="00286D3D">
        <w:rPr>
          <w:rFonts w:eastAsia="SimSun"/>
        </w:rPr>
        <w:t>the</w:t>
      </w:r>
      <w:r w:rsidR="00B55055" w:rsidRPr="00286D3D">
        <w:t xml:space="preserve"> </w:t>
      </w:r>
      <w:r w:rsidR="00D27A09" w:rsidRPr="00286D3D">
        <w:t>examination of</w:t>
      </w:r>
      <w:r w:rsidR="00B55055" w:rsidRPr="00286D3D">
        <w:t xml:space="preserve"> </w:t>
      </w:r>
      <w:r w:rsidR="00A80945" w:rsidRPr="00286D3D">
        <w:t>several</w:t>
      </w:r>
      <w:r w:rsidR="00B55055" w:rsidRPr="00286D3D">
        <w:t xml:space="preserve"> nominations</w:t>
      </w:r>
      <w:r w:rsidR="00D27A09" w:rsidRPr="00286D3D">
        <w:t xml:space="preserve"> that were referred after long deliberations</w:t>
      </w:r>
      <w:r>
        <w:t>,</w:t>
      </w:r>
      <w:r w:rsidRPr="00921F31">
        <w:t xml:space="preserve"> </w:t>
      </w:r>
      <w:r w:rsidRPr="00FF5F61">
        <w:t>the Committee</w:t>
      </w:r>
      <w:r>
        <w:t xml:space="preserve"> reiterated its desire </w:t>
      </w:r>
      <w:r w:rsidRPr="00274E4B">
        <w:t xml:space="preserve">to </w:t>
      </w:r>
      <w:r w:rsidRPr="00274E4B">
        <w:rPr>
          <w:rFonts w:eastAsia="SimSun"/>
        </w:rPr>
        <w:t>see</w:t>
      </w:r>
      <w:r w:rsidRPr="00274E4B">
        <w:t xml:space="preserve"> improvements in the </w:t>
      </w:r>
      <w:r>
        <w:t>evaluation and decision making procedures related to inscription, selection and approval of submitted files</w:t>
      </w:r>
      <w:r w:rsidR="00B55055" w:rsidRPr="00286D3D">
        <w:t>.</w:t>
      </w:r>
      <w:r w:rsidR="00C335AD">
        <w:t xml:space="preserve"> On </w:t>
      </w:r>
      <w:r w:rsidR="00317452">
        <w:t xml:space="preserve">the </w:t>
      </w:r>
      <w:r w:rsidR="00C335AD">
        <w:t>one hand, the Committee decided to initiate a long-term global reflection</w:t>
      </w:r>
      <w:r w:rsidR="00C70A64">
        <w:t xml:space="preserve"> – that </w:t>
      </w:r>
      <w:r w:rsidR="000E2023">
        <w:t>would</w:t>
      </w:r>
      <w:r w:rsidR="00C70A64">
        <w:t xml:space="preserve"> last until at least 2022</w:t>
      </w:r>
      <w:r w:rsidR="00C335AD">
        <w:t xml:space="preserve"> </w:t>
      </w:r>
      <w:r w:rsidR="00C70A64">
        <w:t xml:space="preserve">– </w:t>
      </w:r>
      <w:r w:rsidR="00C335AD">
        <w:t xml:space="preserve">on listing mechanisms with the financial support of Japan </w:t>
      </w:r>
      <w:r w:rsidR="00C335AD">
        <w:rPr>
          <w:bCs/>
        </w:rPr>
        <w:t xml:space="preserve">(see </w:t>
      </w:r>
      <w:hyperlink r:id="rId12" w:history="1">
        <w:r w:rsidR="00717EAE" w:rsidRPr="00E932E2">
          <w:rPr>
            <w:rStyle w:val="Lienhypertexte"/>
            <w:bCs/>
          </w:rPr>
          <w:t>d</w:t>
        </w:r>
        <w:r w:rsidR="00C335AD" w:rsidRPr="00E932E2">
          <w:rPr>
            <w:rStyle w:val="Lienhypertexte"/>
            <w:bCs/>
          </w:rPr>
          <w:t>ocument LHE/20/8.GA/</w:t>
        </w:r>
        <w:r w:rsidR="00F82E61" w:rsidRPr="00E932E2">
          <w:rPr>
            <w:rStyle w:val="Lienhypertexte"/>
            <w:bCs/>
          </w:rPr>
          <w:t>11</w:t>
        </w:r>
      </w:hyperlink>
      <w:r w:rsidR="00C335AD">
        <w:rPr>
          <w:bCs/>
        </w:rPr>
        <w:t>)</w:t>
      </w:r>
      <w:r w:rsidR="00C335AD">
        <w:t>.</w:t>
      </w:r>
      <w:r w:rsidR="00C70A64">
        <w:t xml:space="preserve"> On the other hand,</w:t>
      </w:r>
      <w:r w:rsidR="00C335AD">
        <w:t xml:space="preserve"> </w:t>
      </w:r>
      <w:r w:rsidR="00C70A64">
        <w:t>t</w:t>
      </w:r>
      <w:r w:rsidR="00B55055" w:rsidRPr="00D96924">
        <w:t xml:space="preserve">he Committee </w:t>
      </w:r>
      <w:r w:rsidR="008F4F99">
        <w:t xml:space="preserve">wished to </w:t>
      </w:r>
      <w:r w:rsidR="000E78AC">
        <w:t>experiment</w:t>
      </w:r>
      <w:r w:rsidR="00A30CBD">
        <w:t xml:space="preserve"> with</w:t>
      </w:r>
      <w:r w:rsidR="008F4F99">
        <w:t xml:space="preserve"> a </w:t>
      </w:r>
      <w:r w:rsidR="000E78AC">
        <w:t xml:space="preserve">possible dialogue process for the following cycle </w:t>
      </w:r>
      <w:r w:rsidR="00C70A64">
        <w:t xml:space="preserve">as part of </w:t>
      </w:r>
      <w:r w:rsidR="009D548B">
        <w:t>an</w:t>
      </w:r>
      <w:r w:rsidR="00C70A64">
        <w:t xml:space="preserve"> ‘early harvest</w:t>
      </w:r>
      <w:r w:rsidR="008F4F99">
        <w:t xml:space="preserve"> </w:t>
      </w:r>
      <w:r w:rsidR="00C70A64">
        <w:t>package</w:t>
      </w:r>
      <w:r w:rsidR="000E78AC">
        <w:t xml:space="preserve">’ </w:t>
      </w:r>
      <w:r w:rsidR="009D548B">
        <w:t>for</w:t>
      </w:r>
      <w:r w:rsidR="000E78AC">
        <w:t xml:space="preserve"> the global reflection</w:t>
      </w:r>
      <w:r w:rsidR="00334906">
        <w:t xml:space="preserve">, which </w:t>
      </w:r>
      <w:r w:rsidR="009D548B">
        <w:t>could</w:t>
      </w:r>
      <w:r w:rsidR="00334906">
        <w:t xml:space="preserve"> be reflected </w:t>
      </w:r>
      <w:r w:rsidR="009D548B">
        <w:t>in an</w:t>
      </w:r>
      <w:r w:rsidR="00334906">
        <w:t xml:space="preserve"> amendment to the Operational Directives for adoption by the General Assembly at its eighth session</w:t>
      </w:r>
      <w:r w:rsidR="00C70A64">
        <w:t xml:space="preserve"> </w:t>
      </w:r>
      <w:r w:rsidR="008F4F99">
        <w:rPr>
          <w:bCs/>
        </w:rPr>
        <w:t>(</w:t>
      </w:r>
      <w:hyperlink r:id="rId13" w:history="1">
        <w:r w:rsidR="008F4F99" w:rsidRPr="006A3138">
          <w:rPr>
            <w:rStyle w:val="Lienhypertexte"/>
            <w:bCs/>
          </w:rPr>
          <w:t>Decision 13.COM 10</w:t>
        </w:r>
      </w:hyperlink>
      <w:r w:rsidR="00CE1F68">
        <w:rPr>
          <w:bCs/>
        </w:rPr>
        <w:t>;</w:t>
      </w:r>
      <w:r w:rsidR="008F4F99">
        <w:rPr>
          <w:bCs/>
        </w:rPr>
        <w:t xml:space="preserve"> paragraphs 14 to 18)</w:t>
      </w:r>
      <w:r w:rsidR="00C70A64">
        <w:rPr>
          <w:bCs/>
        </w:rPr>
        <w:t>.</w:t>
      </w:r>
      <w:r w:rsidR="00080C4C" w:rsidRPr="00080C4C">
        <w:t xml:space="preserve"> </w:t>
      </w:r>
      <w:r w:rsidR="00080C4C">
        <w:t>At the same time, t</w:t>
      </w:r>
      <w:r w:rsidR="00080C4C" w:rsidRPr="008D73B8">
        <w:t>he</w:t>
      </w:r>
      <w:r w:rsidR="00080C4C">
        <w:t xml:space="preserve"> </w:t>
      </w:r>
      <w:r w:rsidR="00080C4C" w:rsidRPr="008D73B8">
        <w:t xml:space="preserve">mandate of </w:t>
      </w:r>
      <w:r w:rsidR="00080C4C">
        <w:t xml:space="preserve">the </w:t>
      </w:r>
      <w:r w:rsidR="00080C4C" w:rsidRPr="008D73B8">
        <w:t>informal open-ended ad hoc working</w:t>
      </w:r>
      <w:r w:rsidR="00080C4C">
        <w:t xml:space="preserve"> group</w:t>
      </w:r>
      <w:r w:rsidR="00080C4C" w:rsidRPr="008D73B8">
        <w:t xml:space="preserve"> was extended again</w:t>
      </w:r>
      <w:bookmarkStart w:id="0" w:name="_GoBack"/>
      <w:bookmarkEnd w:id="0"/>
      <w:r w:rsidR="00080C4C" w:rsidRPr="008D73B8">
        <w:t xml:space="preserve"> until 2019 to also ‘exchange with the Secretariat and the Evaluation Body on the implementation of the experimental dialogue mechanism’</w:t>
      </w:r>
      <w:r w:rsidR="00080C4C">
        <w:t xml:space="preserve"> </w:t>
      </w:r>
      <w:r w:rsidR="00080C4C" w:rsidRPr="003D35E4">
        <w:t>(</w:t>
      </w:r>
      <w:hyperlink r:id="rId14" w:history="1">
        <w:r w:rsidR="00080C4C" w:rsidRPr="007568E2">
          <w:rPr>
            <w:rStyle w:val="Lienhypertexte"/>
            <w:lang w:val="en-US"/>
          </w:rPr>
          <w:t>Decision</w:t>
        </w:r>
        <w:r w:rsidR="00107CC6">
          <w:rPr>
            <w:rStyle w:val="Lienhypertexte"/>
            <w:lang w:val="en-US"/>
          </w:rPr>
          <w:t> </w:t>
        </w:r>
        <w:r w:rsidR="00080C4C" w:rsidRPr="007568E2">
          <w:rPr>
            <w:rStyle w:val="Lienhypertexte"/>
            <w:lang w:val="en-US"/>
          </w:rPr>
          <w:t>13.COM 16</w:t>
        </w:r>
      </w:hyperlink>
      <w:r w:rsidR="00080C4C" w:rsidRPr="003D35E4">
        <w:t>).</w:t>
      </w:r>
    </w:p>
    <w:p w14:paraId="01093AC5" w14:textId="4C8FDF03" w:rsidR="00B55055" w:rsidRDefault="00C71E58" w:rsidP="00932101">
      <w:pPr>
        <w:pStyle w:val="COMPara"/>
        <w:numPr>
          <w:ilvl w:val="0"/>
          <w:numId w:val="19"/>
        </w:numPr>
        <w:ind w:left="540" w:hanging="540"/>
        <w:jc w:val="both"/>
      </w:pPr>
      <w:r>
        <w:rPr>
          <w:bCs/>
        </w:rPr>
        <w:t>Concretely</w:t>
      </w:r>
      <w:r w:rsidR="00C70A64">
        <w:rPr>
          <w:bCs/>
        </w:rPr>
        <w:t>,</w:t>
      </w:r>
      <w:r w:rsidR="008F4F99">
        <w:t xml:space="preserve"> </w:t>
      </w:r>
      <w:r w:rsidR="00334906">
        <w:t xml:space="preserve">the Evaluation Body </w:t>
      </w:r>
      <w:proofErr w:type="gramStart"/>
      <w:r w:rsidR="00334906">
        <w:t>was given</w:t>
      </w:r>
      <w:proofErr w:type="gramEnd"/>
      <w:r w:rsidR="00334906">
        <w:t xml:space="preserve"> the mandate to conduct a provisional dialogue (</w:t>
      </w:r>
      <w:hyperlink r:id="rId15" w:history="1">
        <w:r w:rsidR="00334906" w:rsidRPr="00AB5535">
          <w:rPr>
            <w:rStyle w:val="Lienhypertexte"/>
          </w:rPr>
          <w:t>Decision 13.COM 14</w:t>
        </w:r>
      </w:hyperlink>
      <w:r w:rsidR="00334906" w:rsidRPr="00CE1F68">
        <w:t>;</w:t>
      </w:r>
      <w:r w:rsidR="00334906">
        <w:t xml:space="preserve"> </w:t>
      </w:r>
      <w:r w:rsidR="00AB5535">
        <w:t>A</w:t>
      </w:r>
      <w:r w:rsidR="00334906">
        <w:t>nnex</w:t>
      </w:r>
      <w:r w:rsidR="00AB5535">
        <w:t>,</w:t>
      </w:r>
      <w:r w:rsidR="00334906">
        <w:t xml:space="preserve"> paragraph 6)</w:t>
      </w:r>
      <w:r w:rsidR="00080C4C">
        <w:t xml:space="preserve"> through its evaluation of files submitted for the 2019 cycle.</w:t>
      </w:r>
      <w:r w:rsidR="00334906">
        <w:t xml:space="preserve"> </w:t>
      </w:r>
      <w:r w:rsidR="00806FAD">
        <w:t>T</w:t>
      </w:r>
      <w:r w:rsidR="00353F1E">
        <w:t>he Body</w:t>
      </w:r>
      <w:r w:rsidR="00806FAD">
        <w:t xml:space="preserve"> initiated the process whenever it</w:t>
      </w:r>
      <w:r w:rsidR="00353F1E">
        <w:t xml:space="preserve"> considered that although the information included in</w:t>
      </w:r>
      <w:r w:rsidR="00F94C34">
        <w:t xml:space="preserve"> </w:t>
      </w:r>
      <w:r w:rsidR="00353F1E">
        <w:t xml:space="preserve">a file is not sufficient to assess whether a criterion is satisfied (referral), a short question and answer process with the submitting State(s) could influence the result of its evaluation. </w:t>
      </w:r>
      <w:r w:rsidR="00080C4C" w:rsidRPr="00274E4B">
        <w:t>T</w:t>
      </w:r>
      <w:r w:rsidR="00B55055" w:rsidRPr="00274E4B">
        <w:t xml:space="preserve">he Secretariat </w:t>
      </w:r>
      <w:proofErr w:type="gramStart"/>
      <w:r w:rsidR="00C70A64" w:rsidRPr="00A63537">
        <w:t>was requested</w:t>
      </w:r>
      <w:proofErr w:type="gramEnd"/>
      <w:r w:rsidR="00C70A64" w:rsidRPr="00A63537">
        <w:t xml:space="preserve"> to </w:t>
      </w:r>
      <w:r w:rsidR="00B55055" w:rsidRPr="00A63537">
        <w:t>transmit</w:t>
      </w:r>
      <w:r w:rsidR="00274E4B">
        <w:t xml:space="preserve"> the Evaluation Body’s</w:t>
      </w:r>
      <w:r w:rsidR="00B55055" w:rsidRPr="00A63537">
        <w:t xml:space="preserve"> questions to the States Parties concerned after the second meeting of the Evaluation Body in 2019</w:t>
      </w:r>
      <w:r w:rsidR="00080C4C" w:rsidRPr="00A63537">
        <w:t>.</w:t>
      </w:r>
      <w:r w:rsidR="00B55055" w:rsidRPr="00A63537">
        <w:t xml:space="preserve"> </w:t>
      </w:r>
      <w:r w:rsidR="005B0B46" w:rsidRPr="00A63537">
        <w:t xml:space="preserve">The </w:t>
      </w:r>
      <w:r w:rsidR="00B55055" w:rsidRPr="00A63537">
        <w:t xml:space="preserve">States Parties concerned </w:t>
      </w:r>
      <w:proofErr w:type="gramStart"/>
      <w:r w:rsidR="00C70A64" w:rsidRPr="00A63537">
        <w:t>were</w:t>
      </w:r>
      <w:r w:rsidR="005B0B46" w:rsidRPr="00A63537">
        <w:t xml:space="preserve"> </w:t>
      </w:r>
      <w:r w:rsidR="00080C4C" w:rsidRPr="00A63537">
        <w:t>asked</w:t>
      </w:r>
      <w:proofErr w:type="gramEnd"/>
      <w:r w:rsidR="00080C4C" w:rsidRPr="00A63537">
        <w:t xml:space="preserve"> </w:t>
      </w:r>
      <w:r w:rsidR="00B55055" w:rsidRPr="00A63537">
        <w:t xml:space="preserve">to submit clarifications before the third meeting of the Evaluation Body in 2019. </w:t>
      </w:r>
      <w:r w:rsidR="000C46EB" w:rsidRPr="00A63537">
        <w:rPr>
          <w:color w:val="000000" w:themeColor="text1"/>
        </w:rPr>
        <w:t>Accordingly</w:t>
      </w:r>
      <w:r w:rsidR="000C46EB" w:rsidRPr="00A63537">
        <w:rPr>
          <w:rStyle w:val="Lienhypertexte"/>
          <w:color w:val="000000" w:themeColor="text1"/>
          <w:u w:val="none"/>
        </w:rPr>
        <w:t>,</w:t>
      </w:r>
      <w:r w:rsidR="00286D3D" w:rsidRPr="00FF5F61">
        <w:rPr>
          <w:rStyle w:val="Lienhypertexte"/>
          <w:color w:val="000000" w:themeColor="text1"/>
          <w:u w:val="none"/>
        </w:rPr>
        <w:t xml:space="preserve"> the Evaluation Body applied</w:t>
      </w:r>
      <w:r w:rsidR="000C46EB" w:rsidRPr="00274E4B">
        <w:rPr>
          <w:color w:val="000000" w:themeColor="text1"/>
        </w:rPr>
        <w:t xml:space="preserve"> the provisional upstream dialogue procedure for six nominations under the 2019 cycle.</w:t>
      </w:r>
    </w:p>
    <w:p w14:paraId="403A36D2" w14:textId="39BC54EE" w:rsidR="00D028C1" w:rsidRDefault="001E1C51" w:rsidP="00932101">
      <w:pPr>
        <w:pStyle w:val="COMPara"/>
        <w:numPr>
          <w:ilvl w:val="0"/>
          <w:numId w:val="19"/>
        </w:numPr>
        <w:ind w:left="540" w:hanging="540"/>
        <w:jc w:val="both"/>
      </w:pPr>
      <w:r>
        <w:t xml:space="preserve">Bearing in mind the provisional character of the upstream dialogue and to ensure compliance with the </w:t>
      </w:r>
      <w:r w:rsidR="00083F03">
        <w:t xml:space="preserve">Operational Directives, in particular paragraph 55, a specific methodology </w:t>
      </w:r>
      <w:r w:rsidR="00274E4B">
        <w:t xml:space="preserve">that </w:t>
      </w:r>
      <w:proofErr w:type="gramStart"/>
      <w:r w:rsidR="00274E4B">
        <w:t>was</w:t>
      </w:r>
      <w:r w:rsidR="00083F03">
        <w:t xml:space="preserve"> presented</w:t>
      </w:r>
      <w:proofErr w:type="gramEnd"/>
      <w:r w:rsidR="00083F03">
        <w:t xml:space="preserve"> to States Parties at </w:t>
      </w:r>
      <w:r w:rsidR="000E2023">
        <w:t>an</w:t>
      </w:r>
      <w:r w:rsidR="00083F03">
        <w:t xml:space="preserve"> information and exchange session that took place on 1</w:t>
      </w:r>
      <w:r w:rsidR="003B060A">
        <w:t> </w:t>
      </w:r>
      <w:r w:rsidR="00083F03">
        <w:t>March 2019</w:t>
      </w:r>
      <w:r w:rsidR="007F6962">
        <w:t xml:space="preserve"> was used</w:t>
      </w:r>
      <w:r w:rsidR="00083F03">
        <w:t xml:space="preserve">. </w:t>
      </w:r>
      <w:r w:rsidR="00F20D64">
        <w:t xml:space="preserve">Since the conclusion of the </w:t>
      </w:r>
      <w:r w:rsidR="00083F03">
        <w:t xml:space="preserve">Body’s second meeting in </w:t>
      </w:r>
      <w:r w:rsidR="00F20D64">
        <w:t xml:space="preserve">June </w:t>
      </w:r>
      <w:proofErr w:type="gramStart"/>
      <w:r w:rsidR="00F20D64">
        <w:t>was considered</w:t>
      </w:r>
      <w:proofErr w:type="gramEnd"/>
      <w:r w:rsidR="00F20D64">
        <w:t xml:space="preserve"> final, </w:t>
      </w:r>
      <w:r w:rsidR="00D028C1">
        <w:t xml:space="preserve">the opinion of the 2019 Evaluation Body on the dialogue cases </w:t>
      </w:r>
      <w:r w:rsidR="00F20D64">
        <w:t>w</w:t>
      </w:r>
      <w:r w:rsidR="000E2023">
        <w:t>as</w:t>
      </w:r>
      <w:r w:rsidR="00D028C1">
        <w:t xml:space="preserve"> published as</w:t>
      </w:r>
      <w:r w:rsidR="00F20D64">
        <w:t xml:space="preserve"> an</w:t>
      </w:r>
      <w:r w:rsidR="00D028C1">
        <w:t xml:space="preserve"> information document, separately from the recommenda</w:t>
      </w:r>
      <w:r w:rsidR="005A7F45">
        <w:t>tions on individual nominations</w:t>
      </w:r>
      <w:r w:rsidR="00F20D64">
        <w:t>.</w:t>
      </w:r>
      <w:r w:rsidR="00F20D64">
        <w:rPr>
          <w:color w:val="000000" w:themeColor="text1"/>
        </w:rPr>
        <w:t xml:space="preserve"> </w:t>
      </w:r>
      <w:r w:rsidR="00083F03">
        <w:rPr>
          <w:color w:val="000000" w:themeColor="text1"/>
        </w:rPr>
        <w:t>In this way, the Committee could benefit from the opinion of the Evaluation Body on the dialogue cases even after the latter</w:t>
      </w:r>
      <w:r w:rsidR="009817F7">
        <w:rPr>
          <w:color w:val="000000" w:themeColor="text1"/>
        </w:rPr>
        <w:t xml:space="preserve"> had</w:t>
      </w:r>
      <w:r w:rsidR="00083F03">
        <w:rPr>
          <w:color w:val="000000" w:themeColor="text1"/>
        </w:rPr>
        <w:t xml:space="preserve"> finalized its evaluation </w:t>
      </w:r>
      <w:r w:rsidR="009817F7">
        <w:rPr>
          <w:color w:val="000000" w:themeColor="text1"/>
        </w:rPr>
        <w:t>in</w:t>
      </w:r>
      <w:r w:rsidR="00083F03">
        <w:rPr>
          <w:color w:val="000000" w:themeColor="text1"/>
        </w:rPr>
        <w:t xml:space="preserve"> June 2019. </w:t>
      </w:r>
      <w:r w:rsidR="00F20D64">
        <w:t>T</w:t>
      </w:r>
      <w:r w:rsidR="00D028C1">
        <w:t xml:space="preserve">he Evaluation Body </w:t>
      </w:r>
      <w:r w:rsidR="00F20D64">
        <w:t xml:space="preserve">considered </w:t>
      </w:r>
      <w:r w:rsidR="00D028C1">
        <w:t xml:space="preserve">that the </w:t>
      </w:r>
      <w:r w:rsidR="00185A18">
        <w:t>dialogue process had</w:t>
      </w:r>
      <w:r w:rsidR="005A7F45">
        <w:t xml:space="preserve"> </w:t>
      </w:r>
      <w:r w:rsidR="00D028C1">
        <w:t>made it more confident in i</w:t>
      </w:r>
      <w:r w:rsidR="007F6962">
        <w:t>t</w:t>
      </w:r>
      <w:r w:rsidR="00D028C1">
        <w:t xml:space="preserve">s decisions. </w:t>
      </w:r>
      <w:r w:rsidR="00F20D64">
        <w:t>I</w:t>
      </w:r>
      <w:r w:rsidR="00D028C1">
        <w:t xml:space="preserve">n turn, the </w:t>
      </w:r>
      <w:r w:rsidR="00D028C1">
        <w:lastRenderedPageBreak/>
        <w:t>Committee</w:t>
      </w:r>
      <w:r w:rsidR="005A7F45">
        <w:t xml:space="preserve"> was </w:t>
      </w:r>
      <w:r w:rsidR="00F20D64">
        <w:t>re</w:t>
      </w:r>
      <w:r w:rsidR="005A7F45">
        <w:t>assured</w:t>
      </w:r>
      <w:r w:rsidR="00D028C1">
        <w:t xml:space="preserve"> that nominations that benefitted from the dialogue process did not </w:t>
      </w:r>
      <w:r w:rsidR="00921F31">
        <w:t xml:space="preserve">necessarily </w:t>
      </w:r>
      <w:r w:rsidR="00D028C1">
        <w:t xml:space="preserve">need to wait an additional </w:t>
      </w:r>
      <w:r w:rsidR="00341C92">
        <w:t>two-year</w:t>
      </w:r>
      <w:r w:rsidR="00D028C1">
        <w:t xml:space="preserve"> </w:t>
      </w:r>
      <w:r w:rsidR="007F6962">
        <w:t xml:space="preserve">period </w:t>
      </w:r>
      <w:r w:rsidR="00D028C1">
        <w:t>to be re-</w:t>
      </w:r>
      <w:r w:rsidR="00DD3257">
        <w:t>evaluated</w:t>
      </w:r>
      <w:r w:rsidR="00D028C1">
        <w:t>.</w:t>
      </w:r>
    </w:p>
    <w:p w14:paraId="27B2A42D" w14:textId="1658A9C5" w:rsidR="007B47CD" w:rsidRPr="001561BA" w:rsidRDefault="007B47CD" w:rsidP="00932101">
      <w:pPr>
        <w:pStyle w:val="COMPara"/>
        <w:numPr>
          <w:ilvl w:val="0"/>
          <w:numId w:val="19"/>
        </w:numPr>
        <w:ind w:left="540" w:hanging="540"/>
        <w:jc w:val="both"/>
        <w:rPr>
          <w:color w:val="000000" w:themeColor="text1"/>
        </w:rPr>
      </w:pPr>
      <w:r w:rsidRPr="00801F0C">
        <w:t xml:space="preserve">Based on the 2019 cycle’s </w:t>
      </w:r>
      <w:r w:rsidRPr="00ED79EA">
        <w:t>positive experience</w:t>
      </w:r>
      <w:r w:rsidR="00CF1F75">
        <w:t xml:space="preserve"> concerning</w:t>
      </w:r>
      <w:r w:rsidRPr="00ED79EA">
        <w:t xml:space="preserve"> the dialogue </w:t>
      </w:r>
      <w:r w:rsidRPr="00EF76AB">
        <w:t>process</w:t>
      </w:r>
      <w:r w:rsidR="002A41FD">
        <w:t xml:space="preserve">, </w:t>
      </w:r>
      <w:r w:rsidR="009817F7">
        <w:t xml:space="preserve">at its fourteenth session </w:t>
      </w:r>
      <w:r w:rsidR="002A41FD">
        <w:t>the C</w:t>
      </w:r>
      <w:r w:rsidR="00CF1F75">
        <w:t>ommittee</w:t>
      </w:r>
      <w:r w:rsidRPr="00EF76AB">
        <w:t xml:space="preserve"> decided </w:t>
      </w:r>
      <w:r w:rsidRPr="00801F0C">
        <w:t xml:space="preserve">to </w:t>
      </w:r>
      <w:r w:rsidRPr="001561BA">
        <w:rPr>
          <w:color w:val="000000" w:themeColor="text1"/>
        </w:rPr>
        <w:t>propose to the eighth session of the General Assembly</w:t>
      </w:r>
      <w:r w:rsidR="005A7F45">
        <w:rPr>
          <w:color w:val="000000" w:themeColor="text1"/>
        </w:rPr>
        <w:t xml:space="preserve"> </w:t>
      </w:r>
      <w:r w:rsidRPr="001561BA">
        <w:rPr>
          <w:color w:val="000000" w:themeColor="text1"/>
        </w:rPr>
        <w:t>a set of amendments to Chapter I.15 of the Operational Directives</w:t>
      </w:r>
      <w:r w:rsidR="005A7F45">
        <w:rPr>
          <w:color w:val="000000" w:themeColor="text1"/>
        </w:rPr>
        <w:t xml:space="preserve"> </w:t>
      </w:r>
      <w:r w:rsidR="002A41FD" w:rsidRPr="001561BA">
        <w:rPr>
          <w:color w:val="000000" w:themeColor="text1"/>
        </w:rPr>
        <w:t xml:space="preserve">annexed to the </w:t>
      </w:r>
      <w:r w:rsidR="00B26DB9" w:rsidRPr="001561BA">
        <w:rPr>
          <w:color w:val="000000" w:themeColor="text1"/>
        </w:rPr>
        <w:t>draft resolution</w:t>
      </w:r>
      <w:r w:rsidR="00E25E00">
        <w:rPr>
          <w:color w:val="000000" w:themeColor="text1"/>
        </w:rPr>
        <w:t xml:space="preserve"> </w:t>
      </w:r>
      <w:r w:rsidR="00E25E00" w:rsidRPr="00FA5EA0">
        <w:rPr>
          <w:color w:val="000000" w:themeColor="text1"/>
        </w:rPr>
        <w:t>(</w:t>
      </w:r>
      <w:hyperlink r:id="rId16" w:history="1">
        <w:r w:rsidR="00E25E00" w:rsidRPr="00FF5F61">
          <w:rPr>
            <w:rStyle w:val="Lienhypertexte"/>
          </w:rPr>
          <w:t>Decision 14.COM 14</w:t>
        </w:r>
      </w:hyperlink>
      <w:r w:rsidR="00E25E00" w:rsidRPr="00FA5EA0">
        <w:rPr>
          <w:color w:val="000000" w:themeColor="text1"/>
        </w:rPr>
        <w:t xml:space="preserve"> and </w:t>
      </w:r>
      <w:hyperlink r:id="rId17" w:history="1">
        <w:r w:rsidR="00E25E00" w:rsidRPr="00FF5F61">
          <w:rPr>
            <w:rStyle w:val="Lienhypertexte"/>
          </w:rPr>
          <w:t>Decision 14</w:t>
        </w:r>
        <w:r w:rsidR="000E2023">
          <w:rPr>
            <w:rStyle w:val="Lienhypertexte"/>
          </w:rPr>
          <w:t>.</w:t>
        </w:r>
        <w:r w:rsidR="00E25E00" w:rsidRPr="00FF5F61">
          <w:rPr>
            <w:rStyle w:val="Lienhypertexte"/>
          </w:rPr>
          <w:t>COM 16</w:t>
        </w:r>
      </w:hyperlink>
      <w:r w:rsidR="00E25E00" w:rsidRPr="00FA5EA0">
        <w:rPr>
          <w:color w:val="000000" w:themeColor="text1"/>
        </w:rPr>
        <w:t>)</w:t>
      </w:r>
      <w:r w:rsidR="002A41FD" w:rsidRPr="00FA5EA0">
        <w:rPr>
          <w:color w:val="000000" w:themeColor="text1"/>
        </w:rPr>
        <w:t>.</w:t>
      </w:r>
      <w:r w:rsidRPr="001561BA">
        <w:rPr>
          <w:color w:val="000000" w:themeColor="text1"/>
        </w:rPr>
        <w:t xml:space="preserve"> The </w:t>
      </w:r>
      <w:r w:rsidR="001F3271">
        <w:rPr>
          <w:color w:val="000000" w:themeColor="text1"/>
        </w:rPr>
        <w:t>inclusion of this</w:t>
      </w:r>
      <w:r w:rsidRPr="001561BA">
        <w:rPr>
          <w:color w:val="000000" w:themeColor="text1"/>
        </w:rPr>
        <w:t xml:space="preserve"> </w:t>
      </w:r>
      <w:r w:rsidRPr="00932101">
        <w:t>intermediary</w:t>
      </w:r>
      <w:r w:rsidRPr="001561BA">
        <w:rPr>
          <w:color w:val="000000" w:themeColor="text1"/>
        </w:rPr>
        <w:t xml:space="preserve"> step in the evaluation cycle </w:t>
      </w:r>
      <w:r w:rsidR="001F3271">
        <w:rPr>
          <w:color w:val="000000" w:themeColor="text1"/>
        </w:rPr>
        <w:t xml:space="preserve">will make it possible for </w:t>
      </w:r>
      <w:r w:rsidRPr="001561BA">
        <w:rPr>
          <w:color w:val="000000" w:themeColor="text1"/>
        </w:rPr>
        <w:t xml:space="preserve">the </w:t>
      </w:r>
      <w:r w:rsidR="001F3271">
        <w:rPr>
          <w:color w:val="000000" w:themeColor="text1"/>
        </w:rPr>
        <w:t xml:space="preserve">Evaluation </w:t>
      </w:r>
      <w:r w:rsidRPr="001561BA">
        <w:rPr>
          <w:color w:val="000000" w:themeColor="text1"/>
        </w:rPr>
        <w:t>Body to change and finalize its recommendations for files concerned by the dialogue process during its</w:t>
      </w:r>
      <w:r w:rsidR="00C334CC">
        <w:rPr>
          <w:color w:val="000000" w:themeColor="text1"/>
        </w:rPr>
        <w:t xml:space="preserve"> third and</w:t>
      </w:r>
      <w:r w:rsidRPr="001561BA">
        <w:rPr>
          <w:color w:val="000000" w:themeColor="text1"/>
        </w:rPr>
        <w:t xml:space="preserve"> last meeting. For the files not concerned by the dialogue process, however, the Evaluation Body </w:t>
      </w:r>
      <w:r w:rsidR="00A63537">
        <w:rPr>
          <w:color w:val="000000" w:themeColor="text1"/>
        </w:rPr>
        <w:t>will</w:t>
      </w:r>
      <w:r w:rsidR="001F3271">
        <w:rPr>
          <w:color w:val="000000" w:themeColor="text1"/>
        </w:rPr>
        <w:t xml:space="preserve"> </w:t>
      </w:r>
      <w:r w:rsidRPr="001561BA">
        <w:rPr>
          <w:color w:val="000000" w:themeColor="text1"/>
        </w:rPr>
        <w:t xml:space="preserve">continue to follow the existing evaluation procedure and timetable and </w:t>
      </w:r>
      <w:r w:rsidR="00274E4B">
        <w:rPr>
          <w:color w:val="000000" w:themeColor="text1"/>
        </w:rPr>
        <w:t xml:space="preserve">will </w:t>
      </w:r>
      <w:r w:rsidRPr="001561BA">
        <w:rPr>
          <w:color w:val="000000" w:themeColor="text1"/>
        </w:rPr>
        <w:t>finalize its evaluation during its second meeting.</w:t>
      </w:r>
    </w:p>
    <w:p w14:paraId="42C2EE80" w14:textId="77777777" w:rsidR="007B47CD" w:rsidRPr="0025556E" w:rsidRDefault="007B47CD" w:rsidP="00932101">
      <w:pPr>
        <w:pStyle w:val="COMPara"/>
        <w:numPr>
          <w:ilvl w:val="0"/>
          <w:numId w:val="19"/>
        </w:numPr>
        <w:ind w:left="540" w:hanging="540"/>
        <w:jc w:val="both"/>
      </w:pPr>
      <w:r w:rsidRPr="0025556E">
        <w:t>The General Assembly may wish to adopt the following resolution:</w:t>
      </w:r>
    </w:p>
    <w:p w14:paraId="59DFC4B9" w14:textId="6D9F8A0F" w:rsidR="008A1ED4" w:rsidRDefault="00F010E0" w:rsidP="00932101">
      <w:pPr>
        <w:pStyle w:val="GATitleResolution"/>
        <w:tabs>
          <w:tab w:val="left" w:pos="990"/>
        </w:tabs>
        <w:ind w:left="540"/>
      </w:pPr>
      <w:r>
        <w:t>DRAFT RESOLUTION 8</w:t>
      </w:r>
      <w:r w:rsidR="008A1ED4">
        <w:t xml:space="preserve">.GA </w:t>
      </w:r>
      <w:r w:rsidR="00EE33BE">
        <w:t>10</w:t>
      </w:r>
    </w:p>
    <w:p w14:paraId="788AE34A" w14:textId="77777777" w:rsidR="008A1ED4" w:rsidRPr="005A4A42" w:rsidRDefault="008A1ED4" w:rsidP="00932101">
      <w:pPr>
        <w:pStyle w:val="GAPreambulaResolution"/>
        <w:rPr>
          <w:rFonts w:eastAsia="SimSun"/>
        </w:rPr>
      </w:pPr>
      <w:r w:rsidRPr="005A4A42">
        <w:t>The General Assembly,</w:t>
      </w:r>
    </w:p>
    <w:p w14:paraId="033E9848" w14:textId="7FE7E6C2" w:rsidR="008A1ED4" w:rsidRPr="001561BA" w:rsidRDefault="008A1ED4" w:rsidP="00107CC6">
      <w:pPr>
        <w:pStyle w:val="COMParaDecision"/>
        <w:numPr>
          <w:ilvl w:val="0"/>
          <w:numId w:val="10"/>
        </w:numPr>
        <w:ind w:left="1080" w:hanging="540"/>
        <w:rPr>
          <w:color w:val="000000" w:themeColor="text1"/>
        </w:rPr>
      </w:pPr>
      <w:r w:rsidRPr="001561BA">
        <w:rPr>
          <w:color w:val="000000" w:themeColor="text1"/>
        </w:rPr>
        <w:t>Having examined</w:t>
      </w:r>
      <w:r w:rsidRPr="001561BA">
        <w:rPr>
          <w:color w:val="000000" w:themeColor="text1"/>
          <w:u w:val="none"/>
        </w:rPr>
        <w:t xml:space="preserve"> doc</w:t>
      </w:r>
      <w:r w:rsidR="00F010E0" w:rsidRPr="001561BA">
        <w:rPr>
          <w:color w:val="000000" w:themeColor="text1"/>
          <w:u w:val="none"/>
        </w:rPr>
        <w:t>ument LHE/20</w:t>
      </w:r>
      <w:r w:rsidRPr="001561BA">
        <w:rPr>
          <w:color w:val="000000" w:themeColor="text1"/>
          <w:u w:val="none"/>
        </w:rPr>
        <w:t>/</w:t>
      </w:r>
      <w:r w:rsidR="00F010E0" w:rsidRPr="001561BA">
        <w:rPr>
          <w:color w:val="000000" w:themeColor="text1"/>
          <w:u w:val="none"/>
        </w:rPr>
        <w:t>8</w:t>
      </w:r>
      <w:r w:rsidRPr="001561BA">
        <w:rPr>
          <w:color w:val="000000" w:themeColor="text1"/>
          <w:u w:val="none"/>
        </w:rPr>
        <w:t>.GA/</w:t>
      </w:r>
      <w:r w:rsidR="00EE33BE" w:rsidRPr="001561BA">
        <w:rPr>
          <w:color w:val="000000" w:themeColor="text1"/>
          <w:u w:val="none"/>
        </w:rPr>
        <w:t>1</w:t>
      </w:r>
      <w:r w:rsidR="00EE33BE">
        <w:rPr>
          <w:color w:val="000000" w:themeColor="text1"/>
          <w:u w:val="none"/>
        </w:rPr>
        <w:t>0</w:t>
      </w:r>
      <w:r w:rsidR="00B26DB9" w:rsidRPr="001561BA">
        <w:rPr>
          <w:color w:val="000000" w:themeColor="text1"/>
          <w:u w:val="none"/>
        </w:rPr>
        <w:t>,</w:t>
      </w:r>
    </w:p>
    <w:p w14:paraId="0FD7AA6C" w14:textId="590F072F" w:rsidR="00B26DB9" w:rsidRPr="0075153F" w:rsidRDefault="00CE6410" w:rsidP="00107CC6">
      <w:pPr>
        <w:pStyle w:val="COMParaDecision"/>
        <w:numPr>
          <w:ilvl w:val="0"/>
          <w:numId w:val="10"/>
        </w:numPr>
        <w:ind w:left="1080" w:hanging="540"/>
        <w:rPr>
          <w:color w:val="000000" w:themeColor="text1"/>
          <w:u w:val="none"/>
        </w:rPr>
      </w:pPr>
      <w:r w:rsidRPr="001561BA">
        <w:rPr>
          <w:color w:val="000000" w:themeColor="text1"/>
        </w:rPr>
        <w:t>Acknowledges</w:t>
      </w:r>
      <w:r w:rsidRPr="00FF5F61">
        <w:rPr>
          <w:color w:val="000000" w:themeColor="text1"/>
          <w:u w:val="none"/>
        </w:rPr>
        <w:t xml:space="preserve"> the positive experience that the </w:t>
      </w:r>
      <w:r w:rsidR="0075153F">
        <w:rPr>
          <w:color w:val="000000" w:themeColor="text1"/>
          <w:u w:val="none"/>
        </w:rPr>
        <w:t>‘</w:t>
      </w:r>
      <w:r w:rsidRPr="00FF5F61">
        <w:rPr>
          <w:color w:val="000000" w:themeColor="text1"/>
          <w:u w:val="none"/>
        </w:rPr>
        <w:t>provisional upstream dialogue</w:t>
      </w:r>
      <w:r w:rsidR="0075153F">
        <w:rPr>
          <w:color w:val="000000" w:themeColor="text1"/>
          <w:u w:val="none"/>
        </w:rPr>
        <w:t>’</w:t>
      </w:r>
      <w:r w:rsidRPr="00FF5F61">
        <w:rPr>
          <w:color w:val="000000" w:themeColor="text1"/>
          <w:u w:val="none"/>
        </w:rPr>
        <w:t xml:space="preserve"> process</w:t>
      </w:r>
      <w:r w:rsidR="0020320D" w:rsidRPr="00FF5F61">
        <w:rPr>
          <w:color w:val="000000" w:themeColor="text1"/>
          <w:u w:val="none"/>
        </w:rPr>
        <w:t xml:space="preserve"> </w:t>
      </w:r>
      <w:r w:rsidR="0075153F">
        <w:rPr>
          <w:color w:val="000000" w:themeColor="text1"/>
          <w:u w:val="none"/>
        </w:rPr>
        <w:t>of</w:t>
      </w:r>
      <w:r w:rsidR="0020320D" w:rsidRPr="00FF5F61">
        <w:rPr>
          <w:color w:val="000000" w:themeColor="text1"/>
          <w:u w:val="none"/>
        </w:rPr>
        <w:t xml:space="preserve"> the 2019 cycle brought to the evaluation and inscription process</w:t>
      </w:r>
      <w:r w:rsidR="00B26DB9" w:rsidRPr="00FF5F61">
        <w:rPr>
          <w:color w:val="000000" w:themeColor="text1"/>
          <w:u w:val="none"/>
        </w:rPr>
        <w:t xml:space="preserve"> and </w:t>
      </w:r>
      <w:r w:rsidR="00B26DB9" w:rsidRPr="006A3138">
        <w:rPr>
          <w:color w:val="000000" w:themeColor="text1"/>
        </w:rPr>
        <w:t>endorses</w:t>
      </w:r>
      <w:r w:rsidR="00B26DB9" w:rsidRPr="00FF5F61">
        <w:rPr>
          <w:color w:val="000000" w:themeColor="text1"/>
          <w:u w:val="none"/>
        </w:rPr>
        <w:t xml:space="preserve"> the proposal to include </w:t>
      </w:r>
      <w:r w:rsidR="00B26DB9" w:rsidRPr="0075153F">
        <w:rPr>
          <w:color w:val="000000" w:themeColor="text1"/>
          <w:u w:val="none"/>
        </w:rPr>
        <w:t xml:space="preserve">an additional intermediary </w:t>
      </w:r>
      <w:r w:rsidR="00EF4DB2">
        <w:rPr>
          <w:color w:val="000000" w:themeColor="text1"/>
          <w:u w:val="none"/>
        </w:rPr>
        <w:t>dialogue process</w:t>
      </w:r>
      <w:r w:rsidR="00B26DB9" w:rsidRPr="0075153F">
        <w:rPr>
          <w:color w:val="000000" w:themeColor="text1"/>
          <w:u w:val="none"/>
        </w:rPr>
        <w:t xml:space="preserve"> in the nomination cycle</w:t>
      </w:r>
      <w:r w:rsidR="00B26DB9" w:rsidRPr="00FF5F61">
        <w:rPr>
          <w:color w:val="000000" w:themeColor="text1"/>
          <w:u w:val="none"/>
        </w:rPr>
        <w:t>;</w:t>
      </w:r>
    </w:p>
    <w:p w14:paraId="784EE453" w14:textId="3D598803" w:rsidR="008A1ED4" w:rsidRPr="001561BA" w:rsidRDefault="00A85654" w:rsidP="00107CC6">
      <w:pPr>
        <w:pStyle w:val="COMParaDecision"/>
        <w:numPr>
          <w:ilvl w:val="0"/>
          <w:numId w:val="10"/>
        </w:numPr>
        <w:ind w:left="1080" w:hanging="540"/>
        <w:rPr>
          <w:color w:val="000000" w:themeColor="text1"/>
        </w:rPr>
      </w:pPr>
      <w:r w:rsidRPr="001561BA">
        <w:rPr>
          <w:color w:val="000000" w:themeColor="text1"/>
        </w:rPr>
        <w:t>Approves</w:t>
      </w:r>
      <w:r w:rsidRPr="001561BA">
        <w:rPr>
          <w:color w:val="000000" w:themeColor="text1"/>
          <w:u w:val="none"/>
        </w:rPr>
        <w:t xml:space="preserve"> the amendments to the Operational Directives as annexed to </w:t>
      </w:r>
      <w:r w:rsidR="00B26DB9" w:rsidRPr="001561BA">
        <w:rPr>
          <w:color w:val="000000" w:themeColor="text1"/>
          <w:u w:val="none"/>
        </w:rPr>
        <w:t>this</w:t>
      </w:r>
      <w:r w:rsidRPr="001561BA">
        <w:rPr>
          <w:color w:val="000000" w:themeColor="text1"/>
          <w:u w:val="none"/>
        </w:rPr>
        <w:t xml:space="preserve"> </w:t>
      </w:r>
      <w:r w:rsidR="00B26DB9" w:rsidRPr="001561BA">
        <w:rPr>
          <w:color w:val="000000" w:themeColor="text1"/>
          <w:u w:val="none"/>
        </w:rPr>
        <w:t>R</w:t>
      </w:r>
      <w:r w:rsidRPr="001561BA">
        <w:rPr>
          <w:color w:val="000000" w:themeColor="text1"/>
          <w:u w:val="none"/>
        </w:rPr>
        <w:t>esolution.</w:t>
      </w:r>
    </w:p>
    <w:p w14:paraId="0635372A" w14:textId="77777777" w:rsidR="008A1ED4" w:rsidRDefault="008A1ED4" w:rsidP="008A1ED4">
      <w:pPr>
        <w:spacing w:after="120"/>
        <w:jc w:val="both"/>
        <w:rPr>
          <w:rFonts w:ascii="Arial" w:hAnsi="Arial" w:cs="Arial"/>
          <w:snapToGrid w:val="0"/>
          <w:sz w:val="22"/>
          <w:szCs w:val="22"/>
          <w:lang w:val="en-GB" w:eastAsia="en-US"/>
        </w:rPr>
      </w:pPr>
    </w:p>
    <w:p w14:paraId="4291E893" w14:textId="77777777" w:rsidR="00510637" w:rsidRDefault="00510637" w:rsidP="008A1ED4">
      <w:pPr>
        <w:spacing w:after="120"/>
        <w:jc w:val="both"/>
        <w:rPr>
          <w:rFonts w:ascii="Arial" w:hAnsi="Arial" w:cs="Arial"/>
          <w:snapToGrid w:val="0"/>
          <w:sz w:val="22"/>
          <w:szCs w:val="22"/>
          <w:lang w:val="en-GB" w:eastAsia="en-US"/>
        </w:rPr>
        <w:sectPr w:rsidR="00510637" w:rsidSect="0041353C">
          <w:headerReference w:type="even" r:id="rId18"/>
          <w:headerReference w:type="default" r:id="rId19"/>
          <w:headerReference w:type="first" r:id="rId20"/>
          <w:pgSz w:w="11906" w:h="16838" w:code="9"/>
          <w:pgMar w:top="1620" w:right="1134" w:bottom="1134" w:left="1134" w:header="397" w:footer="284" w:gutter="0"/>
          <w:cols w:space="708"/>
          <w:titlePg/>
          <w:docGrid w:linePitch="360"/>
        </w:sectPr>
      </w:pPr>
    </w:p>
    <w:p w14:paraId="7C9B2DAE" w14:textId="370DA2D8" w:rsidR="00510637" w:rsidRPr="00510637" w:rsidRDefault="006B5403" w:rsidP="002C4E8E">
      <w:pPr>
        <w:pStyle w:val="Marge"/>
        <w:spacing w:before="480" w:after="480"/>
        <w:jc w:val="center"/>
        <w:rPr>
          <w:rFonts w:cs="Arial"/>
          <w:iCs/>
          <w:szCs w:val="22"/>
          <w:lang w:val="en-US"/>
        </w:rPr>
      </w:pPr>
      <w:r>
        <w:rPr>
          <w:b/>
          <w:bCs/>
          <w:lang w:val="en-US"/>
        </w:rPr>
        <w:lastRenderedPageBreak/>
        <w:t>ANNEX</w:t>
      </w:r>
      <w:r w:rsidR="00F70F3C" w:rsidRPr="00F03296">
        <w:rPr>
          <w:lang w:val="en-US"/>
        </w:rPr>
        <w:br/>
      </w:r>
      <w:proofErr w:type="gramStart"/>
      <w:r w:rsidR="00510637" w:rsidRPr="00510637">
        <w:rPr>
          <w:rFonts w:cs="Arial"/>
          <w:iCs/>
          <w:szCs w:val="22"/>
          <w:lang w:val="en-US"/>
        </w:rPr>
        <w:t>Proposed</w:t>
      </w:r>
      <w:proofErr w:type="gramEnd"/>
      <w:r w:rsidR="00510637" w:rsidRPr="00510637">
        <w:rPr>
          <w:rFonts w:cs="Arial"/>
          <w:iCs/>
          <w:szCs w:val="22"/>
          <w:lang w:val="en-US"/>
        </w:rPr>
        <w:t xml:space="preserve"> amendments to the Operational Directives</w:t>
      </w:r>
      <w:r w:rsidR="0075153F">
        <w:rPr>
          <w:rFonts w:cs="Arial"/>
          <w:iCs/>
          <w:szCs w:val="22"/>
          <w:lang w:val="en-US"/>
        </w:rPr>
        <w:t xml:space="preserve"> for the implementation of the Convention</w:t>
      </w:r>
    </w:p>
    <w:tbl>
      <w:tblPr>
        <w:tblStyle w:val="Grilledutablea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510637" w:rsidRPr="00510637" w14:paraId="5BE265E8" w14:textId="77777777" w:rsidTr="008C5F63">
        <w:tc>
          <w:tcPr>
            <w:tcW w:w="222" w:type="pct"/>
            <w:shd w:val="clear" w:color="auto" w:fill="BFBFBF" w:themeFill="background1" w:themeFillShade="BF"/>
          </w:tcPr>
          <w:p w14:paraId="3C19484F" w14:textId="77777777" w:rsidR="00510637" w:rsidRPr="00510637" w:rsidRDefault="00510637" w:rsidP="00510637">
            <w:pPr>
              <w:spacing w:after="120"/>
              <w:jc w:val="both"/>
              <w:rPr>
                <w:rFonts w:ascii="Arial" w:hAnsi="Arial" w:cs="Arial"/>
                <w:b/>
                <w:snapToGrid w:val="0"/>
                <w:sz w:val="22"/>
                <w:szCs w:val="22"/>
                <w:lang w:val="en-GB" w:eastAsia="en-US"/>
              </w:rPr>
            </w:pPr>
          </w:p>
        </w:tc>
        <w:tc>
          <w:tcPr>
            <w:tcW w:w="2303" w:type="pct"/>
            <w:gridSpan w:val="2"/>
            <w:shd w:val="clear" w:color="auto" w:fill="BFBFBF" w:themeFill="background1" w:themeFillShade="BF"/>
          </w:tcPr>
          <w:p w14:paraId="30F7DE4F"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u w:val="single"/>
                <w:lang w:val="en-GB" w:eastAsia="en-US"/>
              </w:rPr>
              <w:t>Operational Directives</w:t>
            </w:r>
          </w:p>
        </w:tc>
        <w:tc>
          <w:tcPr>
            <w:tcW w:w="209" w:type="pct"/>
            <w:shd w:val="clear" w:color="auto" w:fill="BFBFBF" w:themeFill="background1" w:themeFillShade="BF"/>
          </w:tcPr>
          <w:p w14:paraId="30184DD9" w14:textId="77777777" w:rsidR="00510637" w:rsidRPr="00510637" w:rsidRDefault="00510637" w:rsidP="00510637">
            <w:pPr>
              <w:spacing w:after="120"/>
              <w:jc w:val="both"/>
              <w:rPr>
                <w:rFonts w:ascii="Arial" w:hAnsi="Arial" w:cs="Arial"/>
                <w:b/>
                <w:snapToGrid w:val="0"/>
                <w:sz w:val="22"/>
                <w:szCs w:val="22"/>
                <w:lang w:val="en-GB" w:eastAsia="en-US"/>
              </w:rPr>
            </w:pPr>
          </w:p>
        </w:tc>
        <w:tc>
          <w:tcPr>
            <w:tcW w:w="2266" w:type="pct"/>
            <w:gridSpan w:val="2"/>
            <w:shd w:val="clear" w:color="auto" w:fill="BFBFBF" w:themeFill="background1" w:themeFillShade="BF"/>
          </w:tcPr>
          <w:p w14:paraId="2F6F4CCF"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u w:val="single"/>
                <w:lang w:val="en-GB" w:eastAsia="en-US"/>
              </w:rPr>
              <w:t>Proposed amendments</w:t>
            </w:r>
          </w:p>
        </w:tc>
      </w:tr>
      <w:tr w:rsidR="00510637" w:rsidRPr="00510637" w14:paraId="2A8981A6" w14:textId="77777777" w:rsidTr="008C5F63">
        <w:tc>
          <w:tcPr>
            <w:tcW w:w="222" w:type="pct"/>
          </w:tcPr>
          <w:p w14:paraId="176C64C7"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lang w:val="en-GB" w:eastAsia="en-US"/>
              </w:rPr>
              <w:t>I.15</w:t>
            </w:r>
          </w:p>
        </w:tc>
        <w:tc>
          <w:tcPr>
            <w:tcW w:w="2303" w:type="pct"/>
            <w:gridSpan w:val="2"/>
          </w:tcPr>
          <w:p w14:paraId="3462E48F"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lang w:val="en-GB" w:eastAsia="en-US"/>
              </w:rPr>
              <w:t>Timetable – Overview of procedures</w:t>
            </w:r>
          </w:p>
        </w:tc>
        <w:tc>
          <w:tcPr>
            <w:tcW w:w="209" w:type="pct"/>
          </w:tcPr>
          <w:p w14:paraId="50E7199D"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lang w:val="en-GB" w:eastAsia="en-US"/>
              </w:rPr>
              <w:t>I.15</w:t>
            </w:r>
          </w:p>
        </w:tc>
        <w:tc>
          <w:tcPr>
            <w:tcW w:w="2266" w:type="pct"/>
            <w:gridSpan w:val="2"/>
          </w:tcPr>
          <w:p w14:paraId="4CCE89CE" w14:textId="77777777" w:rsidR="00510637" w:rsidRPr="00510637" w:rsidRDefault="00510637" w:rsidP="00510637">
            <w:pPr>
              <w:spacing w:after="120"/>
              <w:jc w:val="both"/>
              <w:rPr>
                <w:rFonts w:ascii="Arial" w:hAnsi="Arial" w:cs="Arial"/>
                <w:b/>
                <w:snapToGrid w:val="0"/>
                <w:sz w:val="22"/>
                <w:szCs w:val="22"/>
                <w:u w:val="single"/>
                <w:lang w:val="en-GB" w:eastAsia="en-US"/>
              </w:rPr>
            </w:pPr>
            <w:r w:rsidRPr="00510637">
              <w:rPr>
                <w:rFonts w:ascii="Arial" w:hAnsi="Arial" w:cs="Arial"/>
                <w:snapToGrid w:val="0"/>
                <w:sz w:val="22"/>
                <w:szCs w:val="22"/>
                <w:lang w:val="en-GB" w:eastAsia="en-US"/>
              </w:rPr>
              <w:t>[No change.]</w:t>
            </w:r>
          </w:p>
        </w:tc>
      </w:tr>
      <w:tr w:rsidR="00510637" w:rsidRPr="00510637" w14:paraId="448D2F0B" w14:textId="77777777" w:rsidTr="008C5F63">
        <w:tc>
          <w:tcPr>
            <w:tcW w:w="222" w:type="pct"/>
          </w:tcPr>
          <w:p w14:paraId="783F80AA"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3737DEE9" w14:textId="77777777" w:rsidR="00510637" w:rsidRPr="00510637" w:rsidRDefault="00510637" w:rsidP="00510637">
            <w:pPr>
              <w:spacing w:after="120"/>
              <w:jc w:val="both"/>
              <w:rPr>
                <w:rFonts w:ascii="Arial" w:hAnsi="Arial" w:cs="Arial"/>
                <w:snapToGrid w:val="0"/>
                <w:sz w:val="22"/>
                <w:szCs w:val="22"/>
                <w:lang w:val="en-GB" w:eastAsia="en-US"/>
              </w:rPr>
            </w:pPr>
          </w:p>
        </w:tc>
        <w:tc>
          <w:tcPr>
            <w:tcW w:w="1606" w:type="pct"/>
          </w:tcPr>
          <w:p w14:paraId="756F72DF" w14:textId="77777777" w:rsidR="00510637" w:rsidRPr="00510637" w:rsidRDefault="00510637" w:rsidP="00510637">
            <w:pPr>
              <w:spacing w:after="120"/>
              <w:jc w:val="both"/>
              <w:rPr>
                <w:rFonts w:ascii="Arial" w:hAnsi="Arial" w:cs="Arial"/>
                <w:snapToGrid w:val="0"/>
                <w:sz w:val="22"/>
                <w:szCs w:val="22"/>
                <w:lang w:val="en-GB" w:eastAsia="en-US"/>
              </w:rPr>
            </w:pPr>
          </w:p>
        </w:tc>
        <w:tc>
          <w:tcPr>
            <w:tcW w:w="209" w:type="pct"/>
          </w:tcPr>
          <w:p w14:paraId="4F96DA3C"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54.</w:t>
            </w:r>
          </w:p>
        </w:tc>
        <w:tc>
          <w:tcPr>
            <w:tcW w:w="740" w:type="pct"/>
          </w:tcPr>
          <w:p w14:paraId="693F0823"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[No change.]</w:t>
            </w:r>
          </w:p>
        </w:tc>
        <w:tc>
          <w:tcPr>
            <w:tcW w:w="1526" w:type="pct"/>
          </w:tcPr>
          <w:p w14:paraId="32280679" w14:textId="77777777" w:rsidR="00510637" w:rsidRPr="00510637" w:rsidRDefault="00510637" w:rsidP="00510637">
            <w:pPr>
              <w:spacing w:after="120"/>
              <w:jc w:val="both"/>
              <w:rPr>
                <w:rFonts w:ascii="Arial" w:hAnsi="Arial" w:cs="Arial"/>
                <w:snapToGrid w:val="0"/>
                <w:sz w:val="22"/>
                <w:szCs w:val="22"/>
                <w:lang w:val="en-GB" w:eastAsia="en-US"/>
              </w:rPr>
            </w:pPr>
          </w:p>
        </w:tc>
      </w:tr>
      <w:tr w:rsidR="00510637" w:rsidRPr="00510637" w14:paraId="28578F13" w14:textId="77777777" w:rsidTr="008C5F63">
        <w:tc>
          <w:tcPr>
            <w:tcW w:w="222" w:type="pct"/>
          </w:tcPr>
          <w:p w14:paraId="77527FBA"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55.</w:t>
            </w:r>
          </w:p>
        </w:tc>
        <w:tc>
          <w:tcPr>
            <w:tcW w:w="697" w:type="pct"/>
          </w:tcPr>
          <w:p w14:paraId="32FAEE65"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Phase 2:</w:t>
            </w:r>
          </w:p>
        </w:tc>
        <w:tc>
          <w:tcPr>
            <w:tcW w:w="1606" w:type="pct"/>
          </w:tcPr>
          <w:p w14:paraId="5F985ADA"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Evaluation</w:t>
            </w:r>
          </w:p>
        </w:tc>
        <w:tc>
          <w:tcPr>
            <w:tcW w:w="209" w:type="pct"/>
          </w:tcPr>
          <w:p w14:paraId="72E245F1"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55.</w:t>
            </w:r>
          </w:p>
        </w:tc>
        <w:tc>
          <w:tcPr>
            <w:tcW w:w="740" w:type="pct"/>
          </w:tcPr>
          <w:p w14:paraId="6DA22C34"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Phase 2:</w:t>
            </w:r>
          </w:p>
        </w:tc>
        <w:tc>
          <w:tcPr>
            <w:tcW w:w="1526" w:type="pct"/>
          </w:tcPr>
          <w:p w14:paraId="0186B843"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Evaluation</w:t>
            </w:r>
          </w:p>
        </w:tc>
      </w:tr>
      <w:tr w:rsidR="00510637" w:rsidRPr="002C4E8E" w14:paraId="1AF9B55F" w14:textId="77777777" w:rsidTr="008C5F63">
        <w:tc>
          <w:tcPr>
            <w:tcW w:w="222" w:type="pct"/>
          </w:tcPr>
          <w:p w14:paraId="4218903D"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43624C50"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December Year 1</w:t>
            </w:r>
            <w:r w:rsidRPr="00510637">
              <w:rPr>
                <w:rFonts w:ascii="Arial" w:hAnsi="Arial" w:cs="Arial"/>
                <w:snapToGrid w:val="0"/>
                <w:sz w:val="22"/>
                <w:szCs w:val="22"/>
                <w:lang w:val="en-GB" w:eastAsia="en-US"/>
              </w:rPr>
              <w:br/>
              <w:t>to May Year</w:t>
            </w:r>
            <w:r w:rsidRPr="00510637">
              <w:rPr>
                <w:rFonts w:ascii="Arial" w:hAnsi="Arial" w:cs="Arial"/>
                <w:snapToGrid w:val="0"/>
                <w:sz w:val="22"/>
                <w:szCs w:val="22"/>
                <w:lang w:val="en-US" w:eastAsia="en-US"/>
              </w:rPr>
              <w:t> </w:t>
            </w:r>
            <w:r w:rsidRPr="00510637">
              <w:rPr>
                <w:rFonts w:ascii="Arial" w:hAnsi="Arial" w:cs="Arial"/>
                <w:snapToGrid w:val="0"/>
                <w:sz w:val="22"/>
                <w:szCs w:val="22"/>
                <w:lang w:val="en-GB" w:eastAsia="en-US"/>
              </w:rPr>
              <w:t>2</w:t>
            </w:r>
          </w:p>
        </w:tc>
        <w:tc>
          <w:tcPr>
            <w:tcW w:w="1606" w:type="pct"/>
          </w:tcPr>
          <w:p w14:paraId="2D167A9F"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Evaluation of the files by the Evaluation Body.</w:t>
            </w:r>
          </w:p>
        </w:tc>
        <w:tc>
          <w:tcPr>
            <w:tcW w:w="209" w:type="pct"/>
          </w:tcPr>
          <w:p w14:paraId="526AEC45"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6AF6E9FB" w14:textId="77777777" w:rsidR="00510637" w:rsidRPr="00510637" w:rsidRDefault="00510637" w:rsidP="00510637">
            <w:pPr>
              <w:spacing w:after="120"/>
              <w:jc w:val="both"/>
              <w:rPr>
                <w:rFonts w:ascii="Arial" w:hAnsi="Arial" w:cs="Arial"/>
                <w:snapToGrid w:val="0"/>
                <w:sz w:val="22"/>
                <w:szCs w:val="22"/>
                <w:lang w:val="en-US" w:eastAsia="en-US"/>
              </w:rPr>
            </w:pPr>
            <w:r w:rsidRPr="00510637">
              <w:rPr>
                <w:rFonts w:ascii="Arial" w:hAnsi="Arial" w:cs="Arial"/>
                <w:snapToGrid w:val="0"/>
                <w:sz w:val="22"/>
                <w:szCs w:val="22"/>
                <w:lang w:val="en-GB" w:eastAsia="en-US"/>
              </w:rPr>
              <w:t>December Year 1</w:t>
            </w:r>
            <w:r w:rsidRPr="00510637">
              <w:rPr>
                <w:rFonts w:ascii="Arial" w:hAnsi="Arial" w:cs="Arial"/>
                <w:snapToGrid w:val="0"/>
                <w:sz w:val="22"/>
                <w:szCs w:val="22"/>
                <w:lang w:val="en-US" w:eastAsia="en-US"/>
              </w:rPr>
              <w:br/>
              <w:t>to May Year 2</w:t>
            </w:r>
          </w:p>
        </w:tc>
        <w:tc>
          <w:tcPr>
            <w:tcW w:w="1526" w:type="pct"/>
          </w:tcPr>
          <w:p w14:paraId="1D7B3700" w14:textId="77777777" w:rsidR="00510637" w:rsidRPr="00510637" w:rsidRDefault="00510637" w:rsidP="00510637">
            <w:pPr>
              <w:spacing w:after="120"/>
              <w:jc w:val="both"/>
              <w:rPr>
                <w:rFonts w:ascii="Arial" w:hAnsi="Arial" w:cs="Arial"/>
                <w:snapToGrid w:val="0"/>
                <w:sz w:val="22"/>
                <w:szCs w:val="22"/>
                <w:lang w:val="en-US" w:eastAsia="en-US"/>
              </w:rPr>
            </w:pPr>
            <w:r w:rsidRPr="00510637">
              <w:rPr>
                <w:rFonts w:ascii="Arial" w:hAnsi="Arial" w:cs="Arial"/>
                <w:b/>
                <w:snapToGrid w:val="0"/>
                <w:sz w:val="22"/>
                <w:szCs w:val="22"/>
                <w:u w:val="single"/>
                <w:lang w:val="en-US" w:eastAsia="en-US"/>
              </w:rPr>
              <w:t xml:space="preserve">Individual </w:t>
            </w:r>
            <w:r w:rsidRPr="00510637">
              <w:rPr>
                <w:rFonts w:ascii="Arial" w:hAnsi="Arial" w:cs="Arial"/>
                <w:snapToGrid w:val="0"/>
                <w:sz w:val="22"/>
                <w:szCs w:val="22"/>
                <w:lang w:val="en-US" w:eastAsia="en-US"/>
              </w:rPr>
              <w:t xml:space="preserve">evaluation of the files by the Evaluation Body </w:t>
            </w:r>
            <w:r w:rsidRPr="00510637">
              <w:rPr>
                <w:rFonts w:ascii="Arial" w:hAnsi="Arial" w:cs="Arial"/>
                <w:b/>
                <w:snapToGrid w:val="0"/>
                <w:sz w:val="22"/>
                <w:szCs w:val="22"/>
                <w:u w:val="single"/>
                <w:lang w:val="en-US" w:eastAsia="en-US"/>
              </w:rPr>
              <w:t>members</w:t>
            </w:r>
            <w:r w:rsidRPr="00510637">
              <w:rPr>
                <w:rFonts w:ascii="Arial" w:hAnsi="Arial" w:cs="Arial"/>
                <w:snapToGrid w:val="0"/>
                <w:sz w:val="22"/>
                <w:szCs w:val="22"/>
                <w:lang w:val="en-US" w:eastAsia="en-US"/>
              </w:rPr>
              <w:t>.</w:t>
            </w:r>
          </w:p>
        </w:tc>
      </w:tr>
      <w:tr w:rsidR="00510637" w:rsidRPr="00152DB5" w14:paraId="76C1B158" w14:textId="77777777" w:rsidTr="008C5F63">
        <w:tc>
          <w:tcPr>
            <w:tcW w:w="222" w:type="pct"/>
          </w:tcPr>
          <w:p w14:paraId="78AFC417"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0A02AA9C"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April – June</w:t>
            </w:r>
            <w:r w:rsidRPr="00510637">
              <w:rPr>
                <w:rFonts w:ascii="Arial" w:hAnsi="Arial" w:cs="Arial"/>
                <w:snapToGrid w:val="0"/>
                <w:sz w:val="22"/>
                <w:szCs w:val="22"/>
                <w:lang w:val="en-GB" w:eastAsia="en-US"/>
              </w:rPr>
              <w:br/>
              <w:t>Year 2</w:t>
            </w:r>
          </w:p>
        </w:tc>
        <w:tc>
          <w:tcPr>
            <w:tcW w:w="1606" w:type="pct"/>
          </w:tcPr>
          <w:p w14:paraId="2357C6B7"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Meeting for final evaluation by the Evaluation Body.</w:t>
            </w:r>
          </w:p>
        </w:tc>
        <w:tc>
          <w:tcPr>
            <w:tcW w:w="209" w:type="pct"/>
          </w:tcPr>
          <w:p w14:paraId="796F1C1D"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3696893C"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June</w:t>
            </w:r>
            <w:r w:rsidRPr="00510637">
              <w:rPr>
                <w:rFonts w:ascii="Arial" w:hAnsi="Arial" w:cs="Arial"/>
                <w:snapToGrid w:val="0"/>
                <w:sz w:val="22"/>
                <w:szCs w:val="22"/>
                <w:lang w:val="en-GB" w:eastAsia="en-US"/>
              </w:rPr>
              <w:br/>
              <w:t>Year 2</w:t>
            </w:r>
          </w:p>
        </w:tc>
        <w:tc>
          <w:tcPr>
            <w:tcW w:w="1526" w:type="pct"/>
          </w:tcPr>
          <w:p w14:paraId="481B90A6" w14:textId="77777777" w:rsidR="00510637" w:rsidRPr="00510637" w:rsidRDefault="00510637" w:rsidP="00510637">
            <w:pPr>
              <w:spacing w:after="120"/>
              <w:jc w:val="both"/>
              <w:rPr>
                <w:rFonts w:ascii="Arial" w:hAnsi="Arial" w:cs="Arial"/>
                <w:b/>
                <w:snapToGrid w:val="0"/>
                <w:sz w:val="22"/>
                <w:szCs w:val="22"/>
                <w:u w:val="single"/>
                <w:lang w:val="en-GB" w:eastAsia="en-US"/>
              </w:rPr>
            </w:pPr>
            <w:r w:rsidRPr="00510637">
              <w:rPr>
                <w:rFonts w:ascii="Arial" w:hAnsi="Arial" w:cs="Arial"/>
                <w:snapToGrid w:val="0"/>
                <w:sz w:val="22"/>
                <w:szCs w:val="22"/>
                <w:lang w:val="en-GB" w:eastAsia="en-US"/>
              </w:rPr>
              <w:t>Meeting</w:t>
            </w:r>
            <w:r w:rsidRPr="00510637">
              <w:rPr>
                <w:rFonts w:ascii="Arial" w:hAnsi="Arial" w:cs="Arial"/>
                <w:b/>
                <w:snapToGrid w:val="0"/>
                <w:sz w:val="22"/>
                <w:szCs w:val="22"/>
                <w:lang w:val="en-GB" w:eastAsia="en-US"/>
              </w:rPr>
              <w:t xml:space="preserve"> </w:t>
            </w:r>
            <w:r w:rsidRPr="00FF5F61">
              <w:rPr>
                <w:rFonts w:ascii="Arial" w:hAnsi="Arial" w:cs="Arial"/>
                <w:strike/>
                <w:snapToGrid w:val="0"/>
                <w:sz w:val="22"/>
                <w:szCs w:val="22"/>
                <w:lang w:val="en-GB" w:eastAsia="en-US"/>
              </w:rPr>
              <w:t>for final evaluation by the Evaluation Body</w:t>
            </w:r>
            <w:r w:rsidRPr="00510637">
              <w:rPr>
                <w:rFonts w:ascii="Arial" w:hAnsi="Arial" w:cs="Arial"/>
                <w:b/>
                <w:snapToGrid w:val="0"/>
                <w:sz w:val="22"/>
                <w:szCs w:val="22"/>
                <w:lang w:val="en-GB" w:eastAsia="en-US"/>
              </w:rPr>
              <w:t xml:space="preserve"> </w:t>
            </w:r>
            <w:r w:rsidRPr="00510637">
              <w:rPr>
                <w:rFonts w:ascii="Arial" w:hAnsi="Arial" w:cs="Arial"/>
                <w:b/>
                <w:snapToGrid w:val="0"/>
                <w:sz w:val="22"/>
                <w:szCs w:val="22"/>
                <w:u w:val="single"/>
                <w:lang w:val="en-GB" w:eastAsia="en-US"/>
              </w:rPr>
              <w:t>at which the Evaluation Body collectively finalizes its evaluation of the files and decides which files will be included in the dialogue process. Only the evaluation of those files included in the dialogue process will still be pending until the final meeting of the Evaluation Body.</w:t>
            </w:r>
          </w:p>
          <w:p w14:paraId="6488FF94" w14:textId="77777777" w:rsidR="00510637" w:rsidRPr="00510637" w:rsidRDefault="00510637" w:rsidP="00510637">
            <w:pPr>
              <w:spacing w:after="120"/>
              <w:jc w:val="both"/>
              <w:rPr>
                <w:rFonts w:ascii="Arial" w:hAnsi="Arial" w:cs="Arial"/>
                <w:b/>
                <w:snapToGrid w:val="0"/>
                <w:sz w:val="22"/>
                <w:szCs w:val="22"/>
                <w:lang w:val="en-GB" w:eastAsia="en-US"/>
              </w:rPr>
            </w:pPr>
            <w:r w:rsidRPr="00510637">
              <w:rPr>
                <w:rFonts w:ascii="Arial" w:hAnsi="Arial" w:cs="Arial"/>
                <w:b/>
                <w:snapToGrid w:val="0"/>
                <w:sz w:val="22"/>
                <w:szCs w:val="22"/>
                <w:u w:val="single"/>
                <w:lang w:val="en-US" w:eastAsia="en-US"/>
              </w:rPr>
              <w:t xml:space="preserve">The dialogue process </w:t>
            </w:r>
            <w:proofErr w:type="gramStart"/>
            <w:r w:rsidRPr="00510637">
              <w:rPr>
                <w:rFonts w:ascii="Arial" w:hAnsi="Arial" w:cs="Arial"/>
                <w:b/>
                <w:snapToGrid w:val="0"/>
                <w:sz w:val="22"/>
                <w:szCs w:val="22"/>
                <w:u w:val="single"/>
                <w:lang w:val="en-US" w:eastAsia="en-US"/>
              </w:rPr>
              <w:t>is initiated</w:t>
            </w:r>
            <w:proofErr w:type="gramEnd"/>
            <w:r w:rsidRPr="00510637">
              <w:rPr>
                <w:rFonts w:ascii="Arial" w:hAnsi="Arial" w:cs="Arial"/>
                <w:b/>
                <w:snapToGrid w:val="0"/>
                <w:sz w:val="22"/>
                <w:szCs w:val="22"/>
                <w:u w:val="single"/>
                <w:lang w:val="en-US" w:eastAsia="en-US"/>
              </w:rPr>
              <w:t xml:space="preserve"> when the Evaluation Body considers that a short question and answer process with the submitting State(s), conducted in writing through the Secretariat, could influence the result of its evaluation.</w:t>
            </w:r>
          </w:p>
        </w:tc>
      </w:tr>
      <w:tr w:rsidR="00510637" w:rsidRPr="002C4E8E" w14:paraId="42AC5739" w14:textId="77777777" w:rsidTr="008C5F63">
        <w:tc>
          <w:tcPr>
            <w:tcW w:w="222" w:type="pct"/>
          </w:tcPr>
          <w:p w14:paraId="7FBD8256"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243E29BC" w14:textId="77777777" w:rsidR="00510637" w:rsidRPr="00510637" w:rsidRDefault="00510637" w:rsidP="00510637">
            <w:pPr>
              <w:spacing w:after="120"/>
              <w:jc w:val="both"/>
              <w:rPr>
                <w:rFonts w:ascii="Arial" w:hAnsi="Arial" w:cs="Arial"/>
                <w:snapToGrid w:val="0"/>
                <w:sz w:val="22"/>
                <w:szCs w:val="22"/>
                <w:lang w:val="en-GB" w:eastAsia="en-US"/>
              </w:rPr>
            </w:pPr>
          </w:p>
        </w:tc>
        <w:tc>
          <w:tcPr>
            <w:tcW w:w="1606" w:type="pct"/>
          </w:tcPr>
          <w:p w14:paraId="7FD3DAF3" w14:textId="77777777" w:rsidR="00510637" w:rsidRPr="00510637" w:rsidRDefault="00510637" w:rsidP="00510637">
            <w:pPr>
              <w:spacing w:after="120"/>
              <w:jc w:val="both"/>
              <w:rPr>
                <w:rFonts w:ascii="Arial" w:hAnsi="Arial" w:cs="Arial"/>
                <w:snapToGrid w:val="0"/>
                <w:sz w:val="22"/>
                <w:szCs w:val="22"/>
                <w:lang w:val="en-GB" w:eastAsia="en-US"/>
              </w:rPr>
            </w:pPr>
          </w:p>
        </w:tc>
        <w:tc>
          <w:tcPr>
            <w:tcW w:w="209" w:type="pct"/>
          </w:tcPr>
          <w:p w14:paraId="7D838B51"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3A84AA1F" w14:textId="77777777" w:rsidR="00510637" w:rsidRPr="00510637" w:rsidRDefault="00510637" w:rsidP="00510637">
            <w:pPr>
              <w:spacing w:after="120"/>
              <w:jc w:val="both"/>
              <w:rPr>
                <w:rFonts w:ascii="Arial" w:hAnsi="Arial" w:cs="Arial"/>
                <w:b/>
                <w:snapToGrid w:val="0"/>
                <w:sz w:val="22"/>
                <w:szCs w:val="22"/>
                <w:u w:val="single"/>
                <w:lang w:val="en-GB" w:eastAsia="en-US"/>
              </w:rPr>
            </w:pPr>
            <w:r w:rsidRPr="00510637">
              <w:rPr>
                <w:rFonts w:ascii="Arial" w:hAnsi="Arial" w:cs="Arial"/>
                <w:b/>
                <w:snapToGrid w:val="0"/>
                <w:sz w:val="22"/>
                <w:szCs w:val="22"/>
                <w:u w:val="single"/>
                <w:lang w:val="en-GB" w:eastAsia="en-US"/>
              </w:rPr>
              <w:t xml:space="preserve">Two weeks after the June meeting </w:t>
            </w:r>
            <w:r w:rsidRPr="00510637">
              <w:rPr>
                <w:rFonts w:ascii="Arial" w:hAnsi="Arial" w:cs="Arial"/>
                <w:b/>
                <w:snapToGrid w:val="0"/>
                <w:sz w:val="22"/>
                <w:szCs w:val="22"/>
                <w:u w:val="single"/>
                <w:lang w:val="en-GB" w:eastAsia="en-US"/>
              </w:rPr>
              <w:br/>
              <w:t>Year 2</w:t>
            </w:r>
          </w:p>
        </w:tc>
        <w:tc>
          <w:tcPr>
            <w:tcW w:w="1526" w:type="pct"/>
          </w:tcPr>
          <w:p w14:paraId="0E7F3F4E" w14:textId="77777777" w:rsidR="00510637" w:rsidRPr="00510637" w:rsidRDefault="00510637" w:rsidP="00510637">
            <w:pPr>
              <w:spacing w:after="120"/>
              <w:jc w:val="both"/>
              <w:rPr>
                <w:rFonts w:ascii="Arial" w:hAnsi="Arial" w:cs="Arial"/>
                <w:b/>
                <w:snapToGrid w:val="0"/>
                <w:sz w:val="22"/>
                <w:szCs w:val="22"/>
                <w:u w:val="single"/>
                <w:lang w:val="en-GB" w:eastAsia="en-US"/>
              </w:rPr>
            </w:pPr>
            <w:r w:rsidRPr="00510637">
              <w:rPr>
                <w:rFonts w:ascii="Arial" w:hAnsi="Arial" w:cs="Arial"/>
                <w:b/>
                <w:snapToGrid w:val="0"/>
                <w:sz w:val="22"/>
                <w:szCs w:val="22"/>
                <w:u w:val="single"/>
                <w:lang w:val="en-GB" w:eastAsia="en-US"/>
              </w:rPr>
              <w:t>Deadline by which the Evaluation Body shall transmit, through the Secretariat, its questions to the States Parties concerned by the dialogue process, in one of the two working languages of the Convention.</w:t>
            </w:r>
          </w:p>
        </w:tc>
      </w:tr>
      <w:tr w:rsidR="00510637" w:rsidRPr="002C4E8E" w14:paraId="6A551AA0" w14:textId="77777777" w:rsidTr="008C5F63">
        <w:tc>
          <w:tcPr>
            <w:tcW w:w="222" w:type="pct"/>
          </w:tcPr>
          <w:p w14:paraId="689AEEE9"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1ACC4C3F" w14:textId="77777777" w:rsidR="00510637" w:rsidRPr="00510637" w:rsidRDefault="00510637" w:rsidP="00510637">
            <w:pPr>
              <w:spacing w:after="120"/>
              <w:jc w:val="both"/>
              <w:rPr>
                <w:rFonts w:ascii="Arial" w:hAnsi="Arial" w:cs="Arial"/>
                <w:snapToGrid w:val="0"/>
                <w:sz w:val="22"/>
                <w:szCs w:val="22"/>
                <w:lang w:val="en-GB" w:eastAsia="en-US"/>
              </w:rPr>
            </w:pPr>
          </w:p>
        </w:tc>
        <w:tc>
          <w:tcPr>
            <w:tcW w:w="1606" w:type="pct"/>
          </w:tcPr>
          <w:p w14:paraId="2A95BA12" w14:textId="77777777" w:rsidR="00510637" w:rsidRPr="00510637" w:rsidRDefault="00510637" w:rsidP="00510637">
            <w:pPr>
              <w:spacing w:after="120"/>
              <w:jc w:val="both"/>
              <w:rPr>
                <w:rFonts w:ascii="Arial" w:hAnsi="Arial" w:cs="Arial"/>
                <w:snapToGrid w:val="0"/>
                <w:sz w:val="22"/>
                <w:szCs w:val="22"/>
                <w:lang w:val="en-GB" w:eastAsia="en-US"/>
              </w:rPr>
            </w:pPr>
          </w:p>
        </w:tc>
        <w:tc>
          <w:tcPr>
            <w:tcW w:w="209" w:type="pct"/>
          </w:tcPr>
          <w:p w14:paraId="4D100C52"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7BB58013" w14:textId="77777777" w:rsidR="00510637" w:rsidRPr="00510637" w:rsidRDefault="00510637" w:rsidP="00510637">
            <w:pPr>
              <w:spacing w:after="120"/>
              <w:jc w:val="both"/>
              <w:rPr>
                <w:rFonts w:ascii="Arial" w:hAnsi="Arial" w:cs="Arial"/>
                <w:b/>
                <w:snapToGrid w:val="0"/>
                <w:sz w:val="22"/>
                <w:szCs w:val="22"/>
                <w:u w:val="single"/>
                <w:lang w:val="en-GB" w:eastAsia="en-US"/>
              </w:rPr>
            </w:pPr>
          </w:p>
        </w:tc>
        <w:tc>
          <w:tcPr>
            <w:tcW w:w="1526" w:type="pct"/>
          </w:tcPr>
          <w:p w14:paraId="7CFF5461" w14:textId="77777777" w:rsidR="00510637" w:rsidRPr="00510637" w:rsidRDefault="00510637" w:rsidP="00510637">
            <w:pPr>
              <w:spacing w:after="120"/>
              <w:jc w:val="both"/>
              <w:rPr>
                <w:rFonts w:ascii="Arial" w:hAnsi="Arial" w:cs="Arial"/>
                <w:b/>
                <w:snapToGrid w:val="0"/>
                <w:sz w:val="22"/>
                <w:szCs w:val="22"/>
                <w:u w:val="single"/>
                <w:lang w:val="en-US" w:eastAsia="en-US"/>
              </w:rPr>
            </w:pPr>
            <w:r w:rsidRPr="00510637">
              <w:rPr>
                <w:rFonts w:ascii="Arial" w:hAnsi="Arial" w:cs="Arial"/>
                <w:b/>
                <w:snapToGrid w:val="0"/>
                <w:sz w:val="22"/>
                <w:szCs w:val="22"/>
                <w:u w:val="single"/>
                <w:lang w:val="en-US" w:eastAsia="en-US"/>
              </w:rPr>
              <w:t>States Parties shall respond to the requests of the Evaluation Body, through the Secretariat, within four weeks following the receipt of the letter,</w:t>
            </w:r>
            <w:r w:rsidRPr="00510637">
              <w:rPr>
                <w:rFonts w:ascii="Arial" w:hAnsi="Arial" w:cs="Arial"/>
                <w:b/>
                <w:snapToGrid w:val="0"/>
                <w:sz w:val="22"/>
                <w:szCs w:val="22"/>
                <w:u w:val="single"/>
                <w:lang w:val="en-GB" w:eastAsia="en-US"/>
              </w:rPr>
              <w:t xml:space="preserve"> in the two working languages of the Convention</w:t>
            </w:r>
            <w:r w:rsidRPr="00510637">
              <w:rPr>
                <w:rFonts w:ascii="Arial" w:hAnsi="Arial" w:cs="Arial"/>
                <w:b/>
                <w:snapToGrid w:val="0"/>
                <w:sz w:val="22"/>
                <w:szCs w:val="22"/>
                <w:u w:val="single"/>
                <w:lang w:val="en-US" w:eastAsia="en-US"/>
              </w:rPr>
              <w:t>.</w:t>
            </w:r>
          </w:p>
        </w:tc>
      </w:tr>
      <w:tr w:rsidR="00510637" w:rsidRPr="002C4E8E" w14:paraId="396BC94C" w14:textId="77777777" w:rsidTr="008C5F63">
        <w:tc>
          <w:tcPr>
            <w:tcW w:w="222" w:type="pct"/>
          </w:tcPr>
          <w:p w14:paraId="5DEB6309"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2A43343A" w14:textId="77777777" w:rsidR="00510637" w:rsidRPr="00510637" w:rsidRDefault="00510637" w:rsidP="00510637">
            <w:pPr>
              <w:spacing w:after="120"/>
              <w:jc w:val="both"/>
              <w:rPr>
                <w:rFonts w:ascii="Arial" w:hAnsi="Arial" w:cs="Arial"/>
                <w:snapToGrid w:val="0"/>
                <w:sz w:val="22"/>
                <w:szCs w:val="22"/>
                <w:lang w:val="en-GB" w:eastAsia="en-US"/>
              </w:rPr>
            </w:pPr>
          </w:p>
        </w:tc>
        <w:tc>
          <w:tcPr>
            <w:tcW w:w="1606" w:type="pct"/>
          </w:tcPr>
          <w:p w14:paraId="6F375462" w14:textId="77777777" w:rsidR="00510637" w:rsidRPr="00510637" w:rsidRDefault="00510637" w:rsidP="00510637">
            <w:pPr>
              <w:spacing w:after="120"/>
              <w:jc w:val="both"/>
              <w:rPr>
                <w:rFonts w:ascii="Arial" w:hAnsi="Arial" w:cs="Arial"/>
                <w:snapToGrid w:val="0"/>
                <w:sz w:val="22"/>
                <w:szCs w:val="22"/>
                <w:lang w:val="en-GB" w:eastAsia="en-US"/>
              </w:rPr>
            </w:pPr>
          </w:p>
        </w:tc>
        <w:tc>
          <w:tcPr>
            <w:tcW w:w="209" w:type="pct"/>
          </w:tcPr>
          <w:p w14:paraId="38AD2019"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64B53985" w14:textId="77777777" w:rsidR="00510637" w:rsidRPr="00510637" w:rsidRDefault="00510637" w:rsidP="00FF5F61">
            <w:pPr>
              <w:spacing w:after="120"/>
              <w:rPr>
                <w:rFonts w:ascii="Arial" w:hAnsi="Arial" w:cs="Arial"/>
                <w:b/>
                <w:snapToGrid w:val="0"/>
                <w:sz w:val="22"/>
                <w:szCs w:val="22"/>
                <w:u w:val="single"/>
                <w:lang w:val="en-GB" w:eastAsia="en-US"/>
              </w:rPr>
            </w:pPr>
            <w:r w:rsidRPr="00510637">
              <w:rPr>
                <w:rFonts w:ascii="Arial" w:hAnsi="Arial" w:cs="Arial"/>
                <w:b/>
                <w:snapToGrid w:val="0"/>
                <w:sz w:val="22"/>
                <w:szCs w:val="22"/>
                <w:u w:val="single"/>
                <w:lang w:val="en-GB" w:eastAsia="en-US"/>
              </w:rPr>
              <w:t>Latest by September Year 2</w:t>
            </w:r>
          </w:p>
        </w:tc>
        <w:tc>
          <w:tcPr>
            <w:tcW w:w="1526" w:type="pct"/>
          </w:tcPr>
          <w:p w14:paraId="176C8660" w14:textId="77777777" w:rsidR="00510637" w:rsidRPr="00510637" w:rsidRDefault="00510637" w:rsidP="00510637">
            <w:pPr>
              <w:spacing w:after="120"/>
              <w:jc w:val="both"/>
              <w:rPr>
                <w:rFonts w:ascii="Arial" w:hAnsi="Arial" w:cs="Arial"/>
                <w:b/>
                <w:snapToGrid w:val="0"/>
                <w:sz w:val="22"/>
                <w:szCs w:val="22"/>
                <w:u w:val="single"/>
                <w:lang w:val="en-US" w:eastAsia="en-US"/>
              </w:rPr>
            </w:pPr>
            <w:r w:rsidRPr="00510637">
              <w:rPr>
                <w:rFonts w:ascii="Arial" w:hAnsi="Arial" w:cs="Arial"/>
                <w:b/>
                <w:snapToGrid w:val="0"/>
                <w:sz w:val="22"/>
                <w:szCs w:val="22"/>
                <w:u w:val="single"/>
                <w:lang w:val="en-US" w:eastAsia="en-US"/>
              </w:rPr>
              <w:t>Meeting at which the Evaluation Body finalizes its evaluation of the files concerned by the dialogue process and its report on the evaluation of all files.</w:t>
            </w:r>
          </w:p>
        </w:tc>
      </w:tr>
      <w:tr w:rsidR="00510637" w:rsidRPr="002C4E8E" w14:paraId="490A7B15" w14:textId="77777777" w:rsidTr="008C5F63">
        <w:tc>
          <w:tcPr>
            <w:tcW w:w="222" w:type="pct"/>
          </w:tcPr>
          <w:p w14:paraId="771639D4" w14:textId="77777777" w:rsidR="00510637" w:rsidRPr="00510637" w:rsidRDefault="00510637" w:rsidP="00510637">
            <w:pPr>
              <w:spacing w:after="120"/>
              <w:jc w:val="both"/>
              <w:rPr>
                <w:rFonts w:ascii="Arial" w:hAnsi="Arial" w:cs="Arial"/>
                <w:snapToGrid w:val="0"/>
                <w:sz w:val="22"/>
                <w:szCs w:val="22"/>
                <w:lang w:val="en-GB" w:eastAsia="en-US"/>
              </w:rPr>
            </w:pPr>
          </w:p>
        </w:tc>
        <w:tc>
          <w:tcPr>
            <w:tcW w:w="697" w:type="pct"/>
          </w:tcPr>
          <w:p w14:paraId="2AB57653"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Four weeks prior to the session of the Committee</w:t>
            </w:r>
          </w:p>
        </w:tc>
        <w:tc>
          <w:tcPr>
            <w:tcW w:w="1606" w:type="pct"/>
          </w:tcPr>
          <w:p w14:paraId="0E890ED2" w14:textId="11BCD0F3"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The Secretariat transmits the evaluation reports to the members of the Committee and makes them available on</w:t>
            </w:r>
            <w:r w:rsidR="00FA5EA0">
              <w:rPr>
                <w:rFonts w:ascii="Arial" w:hAnsi="Arial" w:cs="Arial"/>
                <w:snapToGrid w:val="0"/>
                <w:sz w:val="22"/>
                <w:szCs w:val="22"/>
                <w:lang w:val="en-GB" w:eastAsia="en-US"/>
              </w:rPr>
              <w:t>-</w:t>
            </w:r>
            <w:r w:rsidRPr="00510637">
              <w:rPr>
                <w:rFonts w:ascii="Arial" w:hAnsi="Arial" w:cs="Arial"/>
                <w:snapToGrid w:val="0"/>
                <w:sz w:val="22"/>
                <w:szCs w:val="22"/>
                <w:lang w:val="en-GB" w:eastAsia="en-US"/>
              </w:rPr>
              <w:t>line for consultation.</w:t>
            </w:r>
          </w:p>
        </w:tc>
        <w:tc>
          <w:tcPr>
            <w:tcW w:w="209" w:type="pct"/>
          </w:tcPr>
          <w:p w14:paraId="3B0A3866" w14:textId="77777777" w:rsidR="00510637" w:rsidRPr="00510637" w:rsidRDefault="00510637" w:rsidP="00510637">
            <w:pPr>
              <w:spacing w:after="120"/>
              <w:jc w:val="both"/>
              <w:rPr>
                <w:rFonts w:ascii="Arial" w:hAnsi="Arial" w:cs="Arial"/>
                <w:snapToGrid w:val="0"/>
                <w:sz w:val="22"/>
                <w:szCs w:val="22"/>
                <w:lang w:val="en-GB" w:eastAsia="en-US"/>
              </w:rPr>
            </w:pPr>
          </w:p>
        </w:tc>
        <w:tc>
          <w:tcPr>
            <w:tcW w:w="740" w:type="pct"/>
          </w:tcPr>
          <w:p w14:paraId="12227E0B"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Four weeks prior to the session of the Committee</w:t>
            </w:r>
          </w:p>
        </w:tc>
        <w:tc>
          <w:tcPr>
            <w:tcW w:w="1526" w:type="pct"/>
          </w:tcPr>
          <w:p w14:paraId="504A2F6E"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The Secretariat transmits the evaluation reports to the members of the Committee and makes them available online for consultation.</w:t>
            </w:r>
          </w:p>
        </w:tc>
      </w:tr>
      <w:tr w:rsidR="00510637" w:rsidRPr="00510637" w14:paraId="54989A33" w14:textId="77777777" w:rsidTr="008C5F63">
        <w:tc>
          <w:tcPr>
            <w:tcW w:w="222" w:type="pct"/>
          </w:tcPr>
          <w:p w14:paraId="3220B297"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56.</w:t>
            </w:r>
          </w:p>
        </w:tc>
        <w:tc>
          <w:tcPr>
            <w:tcW w:w="697" w:type="pct"/>
          </w:tcPr>
          <w:p w14:paraId="2B701C27"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Phase 3:</w:t>
            </w:r>
          </w:p>
        </w:tc>
        <w:tc>
          <w:tcPr>
            <w:tcW w:w="1606" w:type="pct"/>
          </w:tcPr>
          <w:p w14:paraId="06F4E115"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Examination</w:t>
            </w:r>
          </w:p>
        </w:tc>
        <w:tc>
          <w:tcPr>
            <w:tcW w:w="209" w:type="pct"/>
          </w:tcPr>
          <w:p w14:paraId="7B6B9F18"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56.</w:t>
            </w:r>
          </w:p>
        </w:tc>
        <w:tc>
          <w:tcPr>
            <w:tcW w:w="740" w:type="pct"/>
          </w:tcPr>
          <w:p w14:paraId="6AC34BF6" w14:textId="77777777" w:rsidR="00510637" w:rsidRPr="00510637" w:rsidRDefault="00510637" w:rsidP="00510637">
            <w:pPr>
              <w:spacing w:after="120"/>
              <w:jc w:val="both"/>
              <w:rPr>
                <w:rFonts w:ascii="Arial" w:hAnsi="Arial" w:cs="Arial"/>
                <w:snapToGrid w:val="0"/>
                <w:sz w:val="22"/>
                <w:szCs w:val="22"/>
                <w:lang w:val="en-GB" w:eastAsia="en-US"/>
              </w:rPr>
            </w:pPr>
            <w:r w:rsidRPr="00510637">
              <w:rPr>
                <w:rFonts w:ascii="Arial" w:hAnsi="Arial" w:cs="Arial"/>
                <w:snapToGrid w:val="0"/>
                <w:sz w:val="22"/>
                <w:szCs w:val="22"/>
                <w:lang w:val="en-GB" w:eastAsia="en-US"/>
              </w:rPr>
              <w:t>[No change.]</w:t>
            </w:r>
          </w:p>
        </w:tc>
        <w:tc>
          <w:tcPr>
            <w:tcW w:w="1526" w:type="pct"/>
          </w:tcPr>
          <w:p w14:paraId="6145FA1A" w14:textId="77777777" w:rsidR="00510637" w:rsidRPr="00510637" w:rsidRDefault="00510637" w:rsidP="00510637">
            <w:pPr>
              <w:spacing w:after="120"/>
              <w:jc w:val="both"/>
              <w:rPr>
                <w:rFonts w:ascii="Arial" w:hAnsi="Arial" w:cs="Arial"/>
                <w:snapToGrid w:val="0"/>
                <w:sz w:val="22"/>
                <w:szCs w:val="22"/>
                <w:u w:val="single"/>
                <w:lang w:val="en-GB" w:eastAsia="en-US"/>
              </w:rPr>
            </w:pPr>
          </w:p>
        </w:tc>
      </w:tr>
    </w:tbl>
    <w:p w14:paraId="7A13BD2D" w14:textId="7F2AA6C1" w:rsidR="00510637" w:rsidRPr="008A1ED4" w:rsidRDefault="00510637" w:rsidP="008A1ED4">
      <w:pPr>
        <w:spacing w:after="120"/>
        <w:jc w:val="both"/>
        <w:rPr>
          <w:rFonts w:ascii="Arial" w:hAnsi="Arial" w:cs="Arial"/>
          <w:snapToGrid w:val="0"/>
          <w:sz w:val="22"/>
          <w:szCs w:val="22"/>
          <w:lang w:val="en-GB" w:eastAsia="en-US"/>
        </w:rPr>
      </w:pPr>
    </w:p>
    <w:sectPr w:rsidR="00510637" w:rsidRPr="008A1ED4" w:rsidSect="003F76A9">
      <w:headerReference w:type="first" r:id="rId21"/>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3CC11" w14:textId="77777777" w:rsidR="002F15D5" w:rsidRDefault="002F15D5" w:rsidP="00655736">
      <w:r>
        <w:separator/>
      </w:r>
    </w:p>
  </w:endnote>
  <w:endnote w:type="continuationSeparator" w:id="0">
    <w:p w14:paraId="18F7FF70" w14:textId="77777777" w:rsidR="002F15D5" w:rsidRDefault="002F15D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D279" w14:textId="77777777" w:rsidR="002F15D5" w:rsidRDefault="002F15D5" w:rsidP="00655736">
      <w:r>
        <w:separator/>
      </w:r>
    </w:p>
  </w:footnote>
  <w:footnote w:type="continuationSeparator" w:id="0">
    <w:p w14:paraId="35507E26" w14:textId="77777777" w:rsidR="002F15D5" w:rsidRDefault="002F15D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1918" w14:textId="48AB849F" w:rsidR="00956A8A" w:rsidRPr="00C23A97" w:rsidRDefault="00956A8A">
    <w:pPr>
      <w:pStyle w:val="En-tte"/>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sidR="00EE33BE">
      <w:rPr>
        <w:rFonts w:ascii="Arial" w:hAnsi="Arial" w:cs="Arial"/>
        <w:sz w:val="20"/>
        <w:szCs w:val="20"/>
        <w:lang w:val="en-GB"/>
      </w:rPr>
      <w:t>10</w:t>
    </w:r>
    <w:r w:rsidR="00EE33BE" w:rsidRPr="00C23A97">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B94B0C">
      <w:rPr>
        <w:rStyle w:val="Numrodepage"/>
        <w:rFonts w:ascii="Arial" w:hAnsi="Arial" w:cs="Arial"/>
        <w:noProof/>
        <w:sz w:val="20"/>
        <w:szCs w:val="20"/>
        <w:lang w:val="en-GB"/>
      </w:rPr>
      <w:t>4</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53EE" w14:textId="1299F5C3" w:rsidR="00956A8A" w:rsidRPr="0063300C" w:rsidRDefault="00956A8A" w:rsidP="0063300C">
    <w:pPr>
      <w:pStyle w:val="En-tte"/>
      <w:jc w:val="right"/>
      <w:rPr>
        <w:rFonts w:ascii="Arial" w:hAnsi="Arial" w:cs="Arial"/>
        <w:lang w:val="en-GB"/>
      </w:rPr>
    </w:pPr>
    <w:r>
      <w:rPr>
        <w:rFonts w:ascii="Arial" w:hAnsi="Arial" w:cs="Arial"/>
        <w:sz w:val="20"/>
        <w:szCs w:val="20"/>
        <w:lang w:val="en-GB"/>
      </w:rPr>
      <w:t>LHE/20/8</w:t>
    </w:r>
    <w:r w:rsidRPr="0063300C">
      <w:rPr>
        <w:rFonts w:ascii="Arial" w:hAnsi="Arial" w:cs="Arial"/>
        <w:sz w:val="20"/>
        <w:szCs w:val="20"/>
        <w:lang w:val="en-GB"/>
      </w:rPr>
      <w:t>.GA/</w:t>
    </w:r>
    <w:r w:rsidR="00EE33BE">
      <w:rPr>
        <w:rFonts w:ascii="Arial" w:hAnsi="Arial" w:cs="Arial"/>
        <w:sz w:val="20"/>
        <w:szCs w:val="20"/>
        <w:lang w:val="en-GB"/>
      </w:rPr>
      <w:t>10</w:t>
    </w:r>
    <w:r w:rsidR="00EE33BE"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B94B0C">
      <w:rPr>
        <w:rStyle w:val="Numrodepage"/>
        <w:rFonts w:ascii="Arial" w:hAnsi="Arial" w:cs="Arial"/>
        <w:noProof/>
        <w:sz w:val="20"/>
        <w:szCs w:val="20"/>
        <w:lang w:val="en-GB"/>
      </w:rPr>
      <w:t>5</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0ACC" w14:textId="77777777" w:rsidR="00956A8A" w:rsidRPr="008724E5" w:rsidRDefault="00956A8A">
    <w:pPr>
      <w:pStyle w:val="En-tte"/>
    </w:pPr>
    <w:r>
      <w:rPr>
        <w:noProof/>
        <w:lang w:eastAsia="ja-JP"/>
      </w:rPr>
      <w:drawing>
        <wp:anchor distT="0" distB="0" distL="114300" distR="114300" simplePos="0" relativeHeight="251657728" behindDoc="0" locked="0" layoutInCell="1" allowOverlap="1" wp14:anchorId="7BD3F967" wp14:editId="32B4C73E">
          <wp:simplePos x="0" y="0"/>
          <wp:positionH relativeFrom="column">
            <wp:posOffset>-558165</wp:posOffset>
          </wp:positionH>
          <wp:positionV relativeFrom="paragraph">
            <wp:posOffset>127635</wp:posOffset>
          </wp:positionV>
          <wp:extent cx="2228215" cy="1367790"/>
          <wp:effectExtent l="0" t="0" r="635" b="3810"/>
          <wp:wrapNone/>
          <wp:docPr id="1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EF0E0" w14:textId="77777777" w:rsidR="00956A8A" w:rsidRPr="006051DD" w:rsidRDefault="00956A8A" w:rsidP="00655736">
    <w:pPr>
      <w:pStyle w:val="En-tte"/>
      <w:spacing w:after="520"/>
      <w:jc w:val="right"/>
      <w:rPr>
        <w:rFonts w:ascii="Arial" w:hAnsi="Arial" w:cs="Arial"/>
        <w:b/>
        <w:sz w:val="44"/>
        <w:szCs w:val="44"/>
        <w:lang w:val="pt-PT"/>
      </w:rPr>
    </w:pPr>
    <w:r w:rsidRPr="006051DD">
      <w:rPr>
        <w:rFonts w:ascii="Arial" w:hAnsi="Arial" w:cs="Arial"/>
        <w:b/>
        <w:sz w:val="44"/>
        <w:szCs w:val="44"/>
        <w:lang w:val="pt-PT"/>
      </w:rPr>
      <w:t>8 GA</w:t>
    </w:r>
  </w:p>
  <w:p w14:paraId="0EEBA722" w14:textId="6B43B6AF" w:rsidR="00956A8A" w:rsidRPr="003B060A" w:rsidRDefault="00956A8A" w:rsidP="00655736">
    <w:pPr>
      <w:jc w:val="right"/>
      <w:rPr>
        <w:rFonts w:ascii="Arial" w:hAnsi="Arial" w:cs="Arial"/>
        <w:b/>
        <w:sz w:val="22"/>
        <w:szCs w:val="22"/>
        <w:lang w:val="pt-PT"/>
      </w:rPr>
    </w:pPr>
    <w:r w:rsidRPr="003B060A">
      <w:rPr>
        <w:rFonts w:ascii="Arial" w:hAnsi="Arial" w:cs="Arial"/>
        <w:b/>
        <w:sz w:val="22"/>
        <w:szCs w:val="22"/>
        <w:lang w:val="pt-PT"/>
      </w:rPr>
      <w:t>LHE/20/8.GA/</w:t>
    </w:r>
    <w:r w:rsidR="00EE33BE" w:rsidRPr="003B060A">
      <w:rPr>
        <w:rFonts w:ascii="Arial" w:hAnsi="Arial" w:cs="Arial"/>
        <w:b/>
        <w:sz w:val="22"/>
        <w:szCs w:val="22"/>
        <w:lang w:val="pt-PT"/>
      </w:rPr>
      <w:t>10</w:t>
    </w:r>
  </w:p>
  <w:p w14:paraId="01776A18" w14:textId="16B66880" w:rsidR="00956A8A" w:rsidRPr="006051DD" w:rsidRDefault="00956A8A" w:rsidP="00655736">
    <w:pPr>
      <w:jc w:val="right"/>
      <w:rPr>
        <w:rFonts w:ascii="Arial" w:hAnsi="Arial" w:cs="Arial"/>
        <w:b/>
        <w:sz w:val="22"/>
        <w:szCs w:val="22"/>
        <w:lang w:val="pt-PT"/>
      </w:rPr>
    </w:pPr>
    <w:r w:rsidRPr="003B060A">
      <w:rPr>
        <w:rFonts w:ascii="Arial" w:hAnsi="Arial" w:cs="Arial"/>
        <w:b/>
        <w:sz w:val="22"/>
        <w:szCs w:val="22"/>
        <w:lang w:val="pt-PT"/>
      </w:rPr>
      <w:t xml:space="preserve">Paris, </w:t>
    </w:r>
    <w:r w:rsidR="0041353C" w:rsidRPr="003B060A">
      <w:rPr>
        <w:rFonts w:ascii="Arial" w:hAnsi="Arial" w:cs="Arial"/>
        <w:b/>
        <w:sz w:val="22"/>
        <w:szCs w:val="22"/>
        <w:lang w:val="pt-PT"/>
      </w:rPr>
      <w:t>7</w:t>
    </w:r>
    <w:r w:rsidRPr="003B060A">
      <w:rPr>
        <w:rFonts w:ascii="Arial" w:hAnsi="Arial" w:cs="Arial"/>
        <w:b/>
        <w:sz w:val="22"/>
        <w:szCs w:val="22"/>
        <w:lang w:val="pt-PT"/>
      </w:rPr>
      <w:t xml:space="preserve"> </w:t>
    </w:r>
    <w:r w:rsidR="00722B5F" w:rsidRPr="003B060A">
      <w:rPr>
        <w:rFonts w:ascii="Arial" w:hAnsi="Arial" w:cs="Arial"/>
        <w:b/>
        <w:sz w:val="22"/>
        <w:szCs w:val="22"/>
        <w:lang w:val="pt-PT"/>
      </w:rPr>
      <w:t>August</w:t>
    </w:r>
    <w:r w:rsidRPr="003B060A">
      <w:rPr>
        <w:rFonts w:ascii="Arial" w:hAnsi="Arial" w:cs="Arial"/>
        <w:b/>
        <w:sz w:val="22"/>
        <w:szCs w:val="22"/>
        <w:lang w:val="pt-PT"/>
      </w:rPr>
      <w:t xml:space="preserve"> 2020</w:t>
    </w:r>
  </w:p>
  <w:p w14:paraId="5D2DCAAC" w14:textId="458CD150" w:rsidR="00956A8A" w:rsidRDefault="00956A8A"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B26DB9">
      <w:rPr>
        <w:rFonts w:ascii="Arial" w:hAnsi="Arial" w:cs="Arial"/>
        <w:b/>
        <w:sz w:val="22"/>
        <w:szCs w:val="22"/>
        <w:lang w:val="en-GB"/>
      </w:rPr>
      <w:t>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B046" w14:textId="77777777" w:rsidR="003F76A9" w:rsidRPr="008724E5" w:rsidRDefault="003F76A9">
    <w:pPr>
      <w:pStyle w:val="En-tte"/>
    </w:pPr>
    <w:r>
      <w:rPr>
        <w:noProof/>
        <w:lang w:eastAsia="ja-JP"/>
      </w:rPr>
      <w:drawing>
        <wp:anchor distT="0" distB="0" distL="114300" distR="114300" simplePos="0" relativeHeight="251659776" behindDoc="0" locked="0" layoutInCell="1" allowOverlap="1" wp14:anchorId="05C8BE2D" wp14:editId="013476A1">
          <wp:simplePos x="0" y="0"/>
          <wp:positionH relativeFrom="column">
            <wp:posOffset>-567690</wp:posOffset>
          </wp:positionH>
          <wp:positionV relativeFrom="paragraph">
            <wp:posOffset>3810</wp:posOffset>
          </wp:positionV>
          <wp:extent cx="2228215" cy="1367790"/>
          <wp:effectExtent l="0" t="0" r="635" b="3810"/>
          <wp:wrapNone/>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F3776" w14:textId="77777777" w:rsidR="003F76A9" w:rsidRPr="006051DD" w:rsidRDefault="003F76A9" w:rsidP="00655736">
    <w:pPr>
      <w:pStyle w:val="En-tte"/>
      <w:spacing w:after="520"/>
      <w:jc w:val="right"/>
      <w:rPr>
        <w:rFonts w:ascii="Arial" w:hAnsi="Arial" w:cs="Arial"/>
        <w:b/>
        <w:sz w:val="44"/>
        <w:szCs w:val="44"/>
        <w:lang w:val="pt-PT"/>
      </w:rPr>
    </w:pPr>
    <w:r w:rsidRPr="006051DD">
      <w:rPr>
        <w:rFonts w:ascii="Arial" w:hAnsi="Arial" w:cs="Arial"/>
        <w:b/>
        <w:sz w:val="44"/>
        <w:szCs w:val="44"/>
        <w:lang w:val="pt-PT"/>
      </w:rPr>
      <w:t>8 GA</w:t>
    </w:r>
  </w:p>
  <w:p w14:paraId="6A8F6F06" w14:textId="77777777" w:rsidR="003F76A9" w:rsidRPr="006051DD" w:rsidRDefault="003F76A9" w:rsidP="00655736">
    <w:pPr>
      <w:jc w:val="right"/>
      <w:rPr>
        <w:rFonts w:ascii="Arial" w:hAnsi="Arial" w:cs="Arial"/>
        <w:b/>
        <w:sz w:val="22"/>
        <w:szCs w:val="22"/>
        <w:lang w:val="pt-PT"/>
      </w:rPr>
    </w:pPr>
    <w:r w:rsidRPr="006051DD">
      <w:rPr>
        <w:rFonts w:ascii="Arial" w:hAnsi="Arial" w:cs="Arial"/>
        <w:b/>
        <w:sz w:val="22"/>
        <w:szCs w:val="22"/>
        <w:lang w:val="pt-PT"/>
      </w:rPr>
      <w:t>LHE/20/8.GA/</w:t>
    </w:r>
    <w:r>
      <w:rPr>
        <w:rFonts w:ascii="Arial" w:hAnsi="Arial" w:cs="Arial"/>
        <w:b/>
        <w:sz w:val="22"/>
        <w:szCs w:val="22"/>
        <w:lang w:val="pt-PT"/>
      </w:rPr>
      <w:t>11</w:t>
    </w:r>
  </w:p>
  <w:p w14:paraId="1BA32C1F" w14:textId="77777777" w:rsidR="003F76A9" w:rsidRPr="006051DD" w:rsidRDefault="003F76A9" w:rsidP="00655736">
    <w:pPr>
      <w:jc w:val="right"/>
      <w:rPr>
        <w:rFonts w:ascii="Arial" w:hAnsi="Arial" w:cs="Arial"/>
        <w:b/>
        <w:sz w:val="22"/>
        <w:szCs w:val="22"/>
        <w:lang w:val="pt-PT"/>
      </w:rPr>
    </w:pPr>
    <w:r w:rsidRPr="006051DD">
      <w:rPr>
        <w:rFonts w:ascii="Arial" w:hAnsi="Arial" w:cs="Arial"/>
        <w:b/>
        <w:sz w:val="22"/>
        <w:szCs w:val="22"/>
        <w:lang w:val="pt-PT"/>
      </w:rPr>
      <w:t xml:space="preserve">Paris, </w:t>
    </w:r>
    <w:r w:rsidRPr="006051DD">
      <w:rPr>
        <w:rFonts w:ascii="Arial" w:hAnsi="Arial" w:cs="Arial"/>
        <w:b/>
        <w:sz w:val="22"/>
        <w:szCs w:val="22"/>
        <w:highlight w:val="yellow"/>
        <w:lang w:val="pt-PT"/>
      </w:rPr>
      <w:t xml:space="preserve">xx </w:t>
    </w:r>
    <w:r>
      <w:rPr>
        <w:rFonts w:ascii="Arial" w:hAnsi="Arial" w:cs="Arial"/>
        <w:b/>
        <w:sz w:val="22"/>
        <w:szCs w:val="22"/>
        <w:lang w:val="pt-PT"/>
      </w:rPr>
      <w:t>May</w:t>
    </w:r>
    <w:r w:rsidRPr="006051DD">
      <w:rPr>
        <w:rFonts w:ascii="Arial" w:hAnsi="Arial" w:cs="Arial"/>
        <w:b/>
        <w:sz w:val="22"/>
        <w:szCs w:val="22"/>
        <w:lang w:val="pt-PT"/>
      </w:rPr>
      <w:t xml:space="preserve"> 2020</w:t>
    </w:r>
  </w:p>
  <w:p w14:paraId="5DE06D2A" w14:textId="77777777" w:rsidR="003F76A9" w:rsidRDefault="003F76A9"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54025282"/>
    <w:lvl w:ilvl="0" w:tplc="AE986C5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853736"/>
    <w:multiLevelType w:val="multilevel"/>
    <w:tmpl w:val="8EF8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369C7"/>
    <w:multiLevelType w:val="hybridMultilevel"/>
    <w:tmpl w:val="683661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23271"/>
    <w:multiLevelType w:val="hybridMultilevel"/>
    <w:tmpl w:val="706A0242"/>
    <w:lvl w:ilvl="0" w:tplc="624C6F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A790D25"/>
    <w:multiLevelType w:val="hybridMultilevel"/>
    <w:tmpl w:val="C8842060"/>
    <w:lvl w:ilvl="0" w:tplc="BFCC9782">
      <w:start w:val="1"/>
      <w:numFmt w:val="decimal"/>
      <w:lvlText w:val="%1."/>
      <w:lvlJc w:val="left"/>
      <w:pPr>
        <w:ind w:left="567" w:hanging="567"/>
      </w:pPr>
    </w:lvl>
    <w:lvl w:ilvl="1" w:tplc="4B1A83FE">
      <w:start w:val="1"/>
      <w:numFmt w:val="lowerRoman"/>
      <w:lvlText w:val="%2."/>
      <w:lvlJc w:val="left"/>
      <w:pPr>
        <w:ind w:left="1440" w:hanging="360"/>
      </w:pPr>
      <w:rPr>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F13AA4"/>
    <w:multiLevelType w:val="hybridMultilevel"/>
    <w:tmpl w:val="49D01B22"/>
    <w:lvl w:ilvl="0" w:tplc="054C76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23"/>
  </w:num>
  <w:num w:numId="5">
    <w:abstractNumId w:val="20"/>
  </w:num>
  <w:num w:numId="6">
    <w:abstractNumId w:val="1"/>
  </w:num>
  <w:num w:numId="7">
    <w:abstractNumId w:val="4"/>
  </w:num>
  <w:num w:numId="8">
    <w:abstractNumId w:val="12"/>
  </w:num>
  <w:num w:numId="9">
    <w:abstractNumId w:val="6"/>
  </w:num>
  <w:num w:numId="10">
    <w:abstractNumId w:val="9"/>
  </w:num>
  <w:num w:numId="11">
    <w:abstractNumId w:val="11"/>
  </w:num>
  <w:num w:numId="12">
    <w:abstractNumId w:val="10"/>
  </w:num>
  <w:num w:numId="13">
    <w:abstractNumId w:val="22"/>
  </w:num>
  <w:num w:numId="14">
    <w:abstractNumId w:val="14"/>
  </w:num>
  <w:num w:numId="15">
    <w:abstractNumId w:val="15"/>
  </w:num>
  <w:num w:numId="16">
    <w:abstractNumId w:val="9"/>
  </w:num>
  <w:num w:numId="17">
    <w:abstractNumId w:val="9"/>
  </w:num>
  <w:num w:numId="18">
    <w:abstractNumId w:val="9"/>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7"/>
  </w:num>
  <w:num w:numId="28">
    <w:abstractNumId w:val="6"/>
    <w:lvlOverride w:ilvl="0">
      <w:startOverride w:val="1"/>
    </w:lvlOverride>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33CB"/>
    <w:rsid w:val="000048ED"/>
    <w:rsid w:val="00005F8C"/>
    <w:rsid w:val="000064E2"/>
    <w:rsid w:val="000132CE"/>
    <w:rsid w:val="000148EB"/>
    <w:rsid w:val="000240C1"/>
    <w:rsid w:val="0003210F"/>
    <w:rsid w:val="00037360"/>
    <w:rsid w:val="00041A66"/>
    <w:rsid w:val="00045960"/>
    <w:rsid w:val="0005176E"/>
    <w:rsid w:val="00070AD0"/>
    <w:rsid w:val="0007272E"/>
    <w:rsid w:val="000765F7"/>
    <w:rsid w:val="00077AB7"/>
    <w:rsid w:val="00080C4C"/>
    <w:rsid w:val="00081CD8"/>
    <w:rsid w:val="00082FD9"/>
    <w:rsid w:val="00083F03"/>
    <w:rsid w:val="00084866"/>
    <w:rsid w:val="00087E9B"/>
    <w:rsid w:val="00091532"/>
    <w:rsid w:val="00092E27"/>
    <w:rsid w:val="00095540"/>
    <w:rsid w:val="000A0163"/>
    <w:rsid w:val="000A1AC2"/>
    <w:rsid w:val="000A2CDF"/>
    <w:rsid w:val="000A7F0E"/>
    <w:rsid w:val="000C0D61"/>
    <w:rsid w:val="000C46EB"/>
    <w:rsid w:val="000C6B09"/>
    <w:rsid w:val="000D09FF"/>
    <w:rsid w:val="000D24C6"/>
    <w:rsid w:val="000E1611"/>
    <w:rsid w:val="000E2023"/>
    <w:rsid w:val="000E78AC"/>
    <w:rsid w:val="000F3A3F"/>
    <w:rsid w:val="000F73EB"/>
    <w:rsid w:val="00102557"/>
    <w:rsid w:val="0010482B"/>
    <w:rsid w:val="00107CC6"/>
    <w:rsid w:val="001151E9"/>
    <w:rsid w:val="00123A66"/>
    <w:rsid w:val="00141262"/>
    <w:rsid w:val="00146859"/>
    <w:rsid w:val="00152DB5"/>
    <w:rsid w:val="001550E1"/>
    <w:rsid w:val="001561BA"/>
    <w:rsid w:val="0016208F"/>
    <w:rsid w:val="0016494C"/>
    <w:rsid w:val="00164D56"/>
    <w:rsid w:val="00167B10"/>
    <w:rsid w:val="0017402F"/>
    <w:rsid w:val="00176720"/>
    <w:rsid w:val="00181A48"/>
    <w:rsid w:val="00185A18"/>
    <w:rsid w:val="00196C1B"/>
    <w:rsid w:val="001B0F73"/>
    <w:rsid w:val="001D369A"/>
    <w:rsid w:val="001D5C04"/>
    <w:rsid w:val="001E090A"/>
    <w:rsid w:val="001E1C51"/>
    <w:rsid w:val="001F3271"/>
    <w:rsid w:val="001F32F0"/>
    <w:rsid w:val="001F46C3"/>
    <w:rsid w:val="001F64F0"/>
    <w:rsid w:val="0020320D"/>
    <w:rsid w:val="00207F3A"/>
    <w:rsid w:val="00217734"/>
    <w:rsid w:val="00220D80"/>
    <w:rsid w:val="00221F99"/>
    <w:rsid w:val="00222A2D"/>
    <w:rsid w:val="00223029"/>
    <w:rsid w:val="002265A5"/>
    <w:rsid w:val="00234745"/>
    <w:rsid w:val="00240049"/>
    <w:rsid w:val="002407AF"/>
    <w:rsid w:val="0025556E"/>
    <w:rsid w:val="00272207"/>
    <w:rsid w:val="00274E4B"/>
    <w:rsid w:val="00280FDB"/>
    <w:rsid w:val="00286D3D"/>
    <w:rsid w:val="00293026"/>
    <w:rsid w:val="002956CE"/>
    <w:rsid w:val="002A41FD"/>
    <w:rsid w:val="002A4A46"/>
    <w:rsid w:val="002A535C"/>
    <w:rsid w:val="002C09E3"/>
    <w:rsid w:val="002C2474"/>
    <w:rsid w:val="002C3EFB"/>
    <w:rsid w:val="002C4E8E"/>
    <w:rsid w:val="002D39A6"/>
    <w:rsid w:val="002E2897"/>
    <w:rsid w:val="002E2EA4"/>
    <w:rsid w:val="002E4EBE"/>
    <w:rsid w:val="002E68F9"/>
    <w:rsid w:val="002F15D5"/>
    <w:rsid w:val="002F312A"/>
    <w:rsid w:val="002F3A0C"/>
    <w:rsid w:val="002F6A15"/>
    <w:rsid w:val="00300F5D"/>
    <w:rsid w:val="00310857"/>
    <w:rsid w:val="00314B87"/>
    <w:rsid w:val="00317452"/>
    <w:rsid w:val="00327EA5"/>
    <w:rsid w:val="003338A0"/>
    <w:rsid w:val="00334906"/>
    <w:rsid w:val="003416E6"/>
    <w:rsid w:val="00341C92"/>
    <w:rsid w:val="00345CB4"/>
    <w:rsid w:val="0035306D"/>
    <w:rsid w:val="00353F1E"/>
    <w:rsid w:val="003549B8"/>
    <w:rsid w:val="0039148A"/>
    <w:rsid w:val="0039224A"/>
    <w:rsid w:val="003A44FC"/>
    <w:rsid w:val="003A59C5"/>
    <w:rsid w:val="003B060A"/>
    <w:rsid w:val="003B1E7C"/>
    <w:rsid w:val="003C072B"/>
    <w:rsid w:val="003C3C6B"/>
    <w:rsid w:val="003C6C8B"/>
    <w:rsid w:val="003D069C"/>
    <w:rsid w:val="003D35E4"/>
    <w:rsid w:val="003D7646"/>
    <w:rsid w:val="003D7B04"/>
    <w:rsid w:val="003E6DD4"/>
    <w:rsid w:val="003F113A"/>
    <w:rsid w:val="003F472B"/>
    <w:rsid w:val="003F76A9"/>
    <w:rsid w:val="0040187A"/>
    <w:rsid w:val="0041353C"/>
    <w:rsid w:val="00414643"/>
    <w:rsid w:val="00415422"/>
    <w:rsid w:val="00423929"/>
    <w:rsid w:val="004421E5"/>
    <w:rsid w:val="00444E85"/>
    <w:rsid w:val="00452284"/>
    <w:rsid w:val="0047167A"/>
    <w:rsid w:val="004847FC"/>
    <w:rsid w:val="004856CA"/>
    <w:rsid w:val="0049705E"/>
    <w:rsid w:val="004A033C"/>
    <w:rsid w:val="004A0760"/>
    <w:rsid w:val="004A34A0"/>
    <w:rsid w:val="004A368B"/>
    <w:rsid w:val="004A37FE"/>
    <w:rsid w:val="004A70BA"/>
    <w:rsid w:val="004B3164"/>
    <w:rsid w:val="004B6F28"/>
    <w:rsid w:val="004C3909"/>
    <w:rsid w:val="004D03DE"/>
    <w:rsid w:val="004E6C94"/>
    <w:rsid w:val="004F374F"/>
    <w:rsid w:val="005056C0"/>
    <w:rsid w:val="00510637"/>
    <w:rsid w:val="00511604"/>
    <w:rsid w:val="00513723"/>
    <w:rsid w:val="00526B7B"/>
    <w:rsid w:val="00526EFF"/>
    <w:rsid w:val="005308CE"/>
    <w:rsid w:val="00540FE0"/>
    <w:rsid w:val="005441AB"/>
    <w:rsid w:val="00544F58"/>
    <w:rsid w:val="0054724E"/>
    <w:rsid w:val="0055369C"/>
    <w:rsid w:val="00557307"/>
    <w:rsid w:val="00557B21"/>
    <w:rsid w:val="0056633F"/>
    <w:rsid w:val="0057439C"/>
    <w:rsid w:val="005A7F45"/>
    <w:rsid w:val="005B0127"/>
    <w:rsid w:val="005B0B46"/>
    <w:rsid w:val="005B7A35"/>
    <w:rsid w:val="005C0160"/>
    <w:rsid w:val="005C4B73"/>
    <w:rsid w:val="005E1D2B"/>
    <w:rsid w:val="00600D93"/>
    <w:rsid w:val="006051DD"/>
    <w:rsid w:val="006134D5"/>
    <w:rsid w:val="00621572"/>
    <w:rsid w:val="00627A48"/>
    <w:rsid w:val="0063300C"/>
    <w:rsid w:val="00655736"/>
    <w:rsid w:val="0066013E"/>
    <w:rsid w:val="00663B8D"/>
    <w:rsid w:val="00667DE5"/>
    <w:rsid w:val="00680D01"/>
    <w:rsid w:val="00696C8D"/>
    <w:rsid w:val="006A2AC2"/>
    <w:rsid w:val="006A2C53"/>
    <w:rsid w:val="006A3138"/>
    <w:rsid w:val="006A3617"/>
    <w:rsid w:val="006A73F0"/>
    <w:rsid w:val="006B5403"/>
    <w:rsid w:val="006C461D"/>
    <w:rsid w:val="006E46E4"/>
    <w:rsid w:val="006E69BE"/>
    <w:rsid w:val="006F41B4"/>
    <w:rsid w:val="006F4AC2"/>
    <w:rsid w:val="00700DD8"/>
    <w:rsid w:val="00703FBF"/>
    <w:rsid w:val="007075AD"/>
    <w:rsid w:val="00717DA5"/>
    <w:rsid w:val="00717EAE"/>
    <w:rsid w:val="00722B5F"/>
    <w:rsid w:val="0072613B"/>
    <w:rsid w:val="00741D4A"/>
    <w:rsid w:val="00744484"/>
    <w:rsid w:val="0075153F"/>
    <w:rsid w:val="00751C0A"/>
    <w:rsid w:val="00757724"/>
    <w:rsid w:val="00763A0D"/>
    <w:rsid w:val="00764295"/>
    <w:rsid w:val="00765692"/>
    <w:rsid w:val="00773188"/>
    <w:rsid w:val="00775A58"/>
    <w:rsid w:val="00781F19"/>
    <w:rsid w:val="0078250F"/>
    <w:rsid w:val="00783782"/>
    <w:rsid w:val="00784B8C"/>
    <w:rsid w:val="00793E63"/>
    <w:rsid w:val="007A2184"/>
    <w:rsid w:val="007A71D3"/>
    <w:rsid w:val="007B47CD"/>
    <w:rsid w:val="007B4B5E"/>
    <w:rsid w:val="007C7AA1"/>
    <w:rsid w:val="007D07D6"/>
    <w:rsid w:val="007F2A55"/>
    <w:rsid w:val="007F6962"/>
    <w:rsid w:val="00801E0C"/>
    <w:rsid w:val="00801F0C"/>
    <w:rsid w:val="00806FAD"/>
    <w:rsid w:val="008136A3"/>
    <w:rsid w:val="00814506"/>
    <w:rsid w:val="008169F2"/>
    <w:rsid w:val="00823A11"/>
    <w:rsid w:val="00837AAB"/>
    <w:rsid w:val="0084015B"/>
    <w:rsid w:val="008457B4"/>
    <w:rsid w:val="00846F7B"/>
    <w:rsid w:val="00852866"/>
    <w:rsid w:val="0085414A"/>
    <w:rsid w:val="0085545C"/>
    <w:rsid w:val="00855DB2"/>
    <w:rsid w:val="00856A9C"/>
    <w:rsid w:val="0086269D"/>
    <w:rsid w:val="008643E0"/>
    <w:rsid w:val="0086543A"/>
    <w:rsid w:val="008656FA"/>
    <w:rsid w:val="00872450"/>
    <w:rsid w:val="008724E5"/>
    <w:rsid w:val="00873E2D"/>
    <w:rsid w:val="008740D1"/>
    <w:rsid w:val="0087578B"/>
    <w:rsid w:val="00876E9E"/>
    <w:rsid w:val="0088265D"/>
    <w:rsid w:val="00882BF7"/>
    <w:rsid w:val="00884A9D"/>
    <w:rsid w:val="0088512B"/>
    <w:rsid w:val="008902C1"/>
    <w:rsid w:val="00891110"/>
    <w:rsid w:val="00894765"/>
    <w:rsid w:val="008948AA"/>
    <w:rsid w:val="008951A0"/>
    <w:rsid w:val="008A1ED4"/>
    <w:rsid w:val="008A2B2D"/>
    <w:rsid w:val="008A4E1E"/>
    <w:rsid w:val="008A70F9"/>
    <w:rsid w:val="008A7FD2"/>
    <w:rsid w:val="008B4E5C"/>
    <w:rsid w:val="008C296C"/>
    <w:rsid w:val="008C5F63"/>
    <w:rsid w:val="008D4305"/>
    <w:rsid w:val="008F4F99"/>
    <w:rsid w:val="009001C7"/>
    <w:rsid w:val="00900C06"/>
    <w:rsid w:val="00905C14"/>
    <w:rsid w:val="0090601F"/>
    <w:rsid w:val="009068DE"/>
    <w:rsid w:val="0091009D"/>
    <w:rsid w:val="0091124E"/>
    <w:rsid w:val="009163A7"/>
    <w:rsid w:val="009177C5"/>
    <w:rsid w:val="00917D72"/>
    <w:rsid w:val="00921F31"/>
    <w:rsid w:val="00923FC6"/>
    <w:rsid w:val="009243AF"/>
    <w:rsid w:val="00932101"/>
    <w:rsid w:val="00933318"/>
    <w:rsid w:val="00935320"/>
    <w:rsid w:val="00935DA5"/>
    <w:rsid w:val="00935E67"/>
    <w:rsid w:val="00946D0B"/>
    <w:rsid w:val="009551EC"/>
    <w:rsid w:val="009559B1"/>
    <w:rsid w:val="00955DDC"/>
    <w:rsid w:val="00956A8A"/>
    <w:rsid w:val="0097101E"/>
    <w:rsid w:val="00972086"/>
    <w:rsid w:val="0097331A"/>
    <w:rsid w:val="009817F7"/>
    <w:rsid w:val="009856D4"/>
    <w:rsid w:val="00993531"/>
    <w:rsid w:val="009A18CD"/>
    <w:rsid w:val="009A43B8"/>
    <w:rsid w:val="009A7384"/>
    <w:rsid w:val="009D548B"/>
    <w:rsid w:val="009E16DF"/>
    <w:rsid w:val="00A1214C"/>
    <w:rsid w:val="00A12558"/>
    <w:rsid w:val="00A13903"/>
    <w:rsid w:val="00A30CBD"/>
    <w:rsid w:val="00A34ED5"/>
    <w:rsid w:val="00A45DBF"/>
    <w:rsid w:val="00A472E0"/>
    <w:rsid w:val="00A474F4"/>
    <w:rsid w:val="00A551C1"/>
    <w:rsid w:val="00A63537"/>
    <w:rsid w:val="00A645DF"/>
    <w:rsid w:val="00A64F94"/>
    <w:rsid w:val="00A65775"/>
    <w:rsid w:val="00A65C29"/>
    <w:rsid w:val="00A74394"/>
    <w:rsid w:val="00A755A2"/>
    <w:rsid w:val="00A76522"/>
    <w:rsid w:val="00A80945"/>
    <w:rsid w:val="00A84093"/>
    <w:rsid w:val="00A85654"/>
    <w:rsid w:val="00A85D54"/>
    <w:rsid w:val="00A8657F"/>
    <w:rsid w:val="00AA6660"/>
    <w:rsid w:val="00AB2C36"/>
    <w:rsid w:val="00AB5535"/>
    <w:rsid w:val="00AB70B6"/>
    <w:rsid w:val="00AC1396"/>
    <w:rsid w:val="00AC3A7F"/>
    <w:rsid w:val="00AC4B3C"/>
    <w:rsid w:val="00AC5A7D"/>
    <w:rsid w:val="00AD1A86"/>
    <w:rsid w:val="00AD5E36"/>
    <w:rsid w:val="00AD62F6"/>
    <w:rsid w:val="00AE103E"/>
    <w:rsid w:val="00AE1FC4"/>
    <w:rsid w:val="00AF0A07"/>
    <w:rsid w:val="00AF4AEC"/>
    <w:rsid w:val="00AF5308"/>
    <w:rsid w:val="00AF625E"/>
    <w:rsid w:val="00B05E9F"/>
    <w:rsid w:val="00B15B76"/>
    <w:rsid w:val="00B2177D"/>
    <w:rsid w:val="00B2181F"/>
    <w:rsid w:val="00B21A9D"/>
    <w:rsid w:val="00B26DB9"/>
    <w:rsid w:val="00B3014F"/>
    <w:rsid w:val="00B3435F"/>
    <w:rsid w:val="00B35559"/>
    <w:rsid w:val="00B363F4"/>
    <w:rsid w:val="00B51385"/>
    <w:rsid w:val="00B519C7"/>
    <w:rsid w:val="00B55055"/>
    <w:rsid w:val="00B60F8B"/>
    <w:rsid w:val="00B6215D"/>
    <w:rsid w:val="00B669D5"/>
    <w:rsid w:val="00B66D23"/>
    <w:rsid w:val="00B67FA3"/>
    <w:rsid w:val="00B75DCD"/>
    <w:rsid w:val="00B76771"/>
    <w:rsid w:val="00B76CD0"/>
    <w:rsid w:val="00B80F46"/>
    <w:rsid w:val="00B84B3A"/>
    <w:rsid w:val="00B949DF"/>
    <w:rsid w:val="00B94B0C"/>
    <w:rsid w:val="00B96B09"/>
    <w:rsid w:val="00BB04AF"/>
    <w:rsid w:val="00BB6956"/>
    <w:rsid w:val="00BC26F3"/>
    <w:rsid w:val="00BD0E68"/>
    <w:rsid w:val="00BD52C9"/>
    <w:rsid w:val="00BE6354"/>
    <w:rsid w:val="00BF362B"/>
    <w:rsid w:val="00C02434"/>
    <w:rsid w:val="00C03D24"/>
    <w:rsid w:val="00C04B18"/>
    <w:rsid w:val="00C13938"/>
    <w:rsid w:val="00C1644E"/>
    <w:rsid w:val="00C16967"/>
    <w:rsid w:val="00C23A97"/>
    <w:rsid w:val="00C25495"/>
    <w:rsid w:val="00C307C0"/>
    <w:rsid w:val="00C334CC"/>
    <w:rsid w:val="00C335AD"/>
    <w:rsid w:val="00C34452"/>
    <w:rsid w:val="00C418B1"/>
    <w:rsid w:val="00C41C48"/>
    <w:rsid w:val="00C42C66"/>
    <w:rsid w:val="00C64C71"/>
    <w:rsid w:val="00C67F34"/>
    <w:rsid w:val="00C70A64"/>
    <w:rsid w:val="00C70EA7"/>
    <w:rsid w:val="00C71E58"/>
    <w:rsid w:val="00C7516E"/>
    <w:rsid w:val="00C75770"/>
    <w:rsid w:val="00C820A2"/>
    <w:rsid w:val="00C83ECF"/>
    <w:rsid w:val="00C90788"/>
    <w:rsid w:val="00C933CE"/>
    <w:rsid w:val="00CB5C7B"/>
    <w:rsid w:val="00CC1DBC"/>
    <w:rsid w:val="00CC7E40"/>
    <w:rsid w:val="00CD16A7"/>
    <w:rsid w:val="00CD78B8"/>
    <w:rsid w:val="00CE1F68"/>
    <w:rsid w:val="00CE30FA"/>
    <w:rsid w:val="00CE3C7F"/>
    <w:rsid w:val="00CE6410"/>
    <w:rsid w:val="00CF1F75"/>
    <w:rsid w:val="00CF50B9"/>
    <w:rsid w:val="00D00B2B"/>
    <w:rsid w:val="00D028C1"/>
    <w:rsid w:val="00D1575E"/>
    <w:rsid w:val="00D1659C"/>
    <w:rsid w:val="00D16AC0"/>
    <w:rsid w:val="00D24877"/>
    <w:rsid w:val="00D27A09"/>
    <w:rsid w:val="00D416E3"/>
    <w:rsid w:val="00D54F9F"/>
    <w:rsid w:val="00D67A8D"/>
    <w:rsid w:val="00D95C4C"/>
    <w:rsid w:val="00D9656E"/>
    <w:rsid w:val="00DA36ED"/>
    <w:rsid w:val="00DB1110"/>
    <w:rsid w:val="00DB1732"/>
    <w:rsid w:val="00DB39E3"/>
    <w:rsid w:val="00DB5492"/>
    <w:rsid w:val="00DC4DD3"/>
    <w:rsid w:val="00DD3257"/>
    <w:rsid w:val="00DD49FE"/>
    <w:rsid w:val="00DD4BA0"/>
    <w:rsid w:val="00DD6FF7"/>
    <w:rsid w:val="00DD7A84"/>
    <w:rsid w:val="00DE34F1"/>
    <w:rsid w:val="00DF11BE"/>
    <w:rsid w:val="00DF4942"/>
    <w:rsid w:val="00E021B4"/>
    <w:rsid w:val="00E13D85"/>
    <w:rsid w:val="00E20C68"/>
    <w:rsid w:val="00E24A08"/>
    <w:rsid w:val="00E25E00"/>
    <w:rsid w:val="00E30F5C"/>
    <w:rsid w:val="00E3467E"/>
    <w:rsid w:val="00E4433F"/>
    <w:rsid w:val="00E5318D"/>
    <w:rsid w:val="00E627B1"/>
    <w:rsid w:val="00E75101"/>
    <w:rsid w:val="00E82CB7"/>
    <w:rsid w:val="00E923EF"/>
    <w:rsid w:val="00E932E2"/>
    <w:rsid w:val="00E9376C"/>
    <w:rsid w:val="00E940A7"/>
    <w:rsid w:val="00E96188"/>
    <w:rsid w:val="00EA1941"/>
    <w:rsid w:val="00EA335E"/>
    <w:rsid w:val="00EA4684"/>
    <w:rsid w:val="00EA528C"/>
    <w:rsid w:val="00EB4F27"/>
    <w:rsid w:val="00EB659C"/>
    <w:rsid w:val="00EC1B0A"/>
    <w:rsid w:val="00ED11F2"/>
    <w:rsid w:val="00ED5ADA"/>
    <w:rsid w:val="00ED603C"/>
    <w:rsid w:val="00ED79EA"/>
    <w:rsid w:val="00EE33BE"/>
    <w:rsid w:val="00EF19A6"/>
    <w:rsid w:val="00EF34E2"/>
    <w:rsid w:val="00EF4DB2"/>
    <w:rsid w:val="00EF4F1F"/>
    <w:rsid w:val="00EF69E3"/>
    <w:rsid w:val="00EF76AB"/>
    <w:rsid w:val="00F010E0"/>
    <w:rsid w:val="00F03296"/>
    <w:rsid w:val="00F040B9"/>
    <w:rsid w:val="00F06FE0"/>
    <w:rsid w:val="00F141E5"/>
    <w:rsid w:val="00F20D64"/>
    <w:rsid w:val="00F20E20"/>
    <w:rsid w:val="00F25299"/>
    <w:rsid w:val="00F53DE9"/>
    <w:rsid w:val="00F55A09"/>
    <w:rsid w:val="00F576CB"/>
    <w:rsid w:val="00F57C25"/>
    <w:rsid w:val="00F61211"/>
    <w:rsid w:val="00F70F3C"/>
    <w:rsid w:val="00F70FB7"/>
    <w:rsid w:val="00F71A02"/>
    <w:rsid w:val="00F826E0"/>
    <w:rsid w:val="00F82E61"/>
    <w:rsid w:val="00F86884"/>
    <w:rsid w:val="00F91440"/>
    <w:rsid w:val="00F94C34"/>
    <w:rsid w:val="00FA1124"/>
    <w:rsid w:val="00FA1898"/>
    <w:rsid w:val="00FA53C0"/>
    <w:rsid w:val="00FA5EA0"/>
    <w:rsid w:val="00FB2302"/>
    <w:rsid w:val="00FB6630"/>
    <w:rsid w:val="00FD10DB"/>
    <w:rsid w:val="00FD1226"/>
    <w:rsid w:val="00FD6A5E"/>
    <w:rsid w:val="00FE2314"/>
    <w:rsid w:val="00FE5769"/>
    <w:rsid w:val="00FF2A43"/>
    <w:rsid w:val="00FF4830"/>
    <w:rsid w:val="00FF5F6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C40A"/>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6051DD"/>
    <w:pPr>
      <w:spacing w:after="120"/>
      <w:ind w:left="567" w:hanging="567"/>
    </w:pPr>
    <w:rPr>
      <w:rFonts w:ascii="Arial" w:eastAsia="Times New Roman" w:hAnsi="Arial" w:cs="Arial"/>
      <w:snapToGrid w:val="0"/>
      <w:sz w:val="22"/>
      <w:szCs w:val="22"/>
      <w:lang w:eastAsia="en-US"/>
    </w:rPr>
  </w:style>
  <w:style w:type="character" w:styleId="Lienhypertexte">
    <w:name w:val="Hyperlink"/>
    <w:basedOn w:val="Policepardfaut"/>
    <w:uiPriority w:val="99"/>
    <w:unhideWhenUsed/>
    <w:rsid w:val="006051DD"/>
    <w:rPr>
      <w:color w:val="0563C1" w:themeColor="hyperlink"/>
      <w:u w:val="single"/>
    </w:rPr>
  </w:style>
  <w:style w:type="character" w:customStyle="1" w:styleId="Mencinsinresolver1">
    <w:name w:val="Mención sin resolver1"/>
    <w:basedOn w:val="Policepardfaut"/>
    <w:uiPriority w:val="99"/>
    <w:semiHidden/>
    <w:unhideWhenUsed/>
    <w:rsid w:val="00B519C7"/>
    <w:rPr>
      <w:color w:val="605E5C"/>
      <w:shd w:val="clear" w:color="auto" w:fill="E1DFDD"/>
    </w:rPr>
  </w:style>
  <w:style w:type="paragraph" w:styleId="Notedebasdepage">
    <w:name w:val="footnote text"/>
    <w:basedOn w:val="Normal"/>
    <w:link w:val="NotedebasdepageCar"/>
    <w:uiPriority w:val="99"/>
    <w:semiHidden/>
    <w:unhideWhenUsed/>
    <w:rsid w:val="00A64F94"/>
    <w:rPr>
      <w:sz w:val="20"/>
      <w:szCs w:val="20"/>
    </w:rPr>
  </w:style>
  <w:style w:type="character" w:customStyle="1" w:styleId="NotedebasdepageCar">
    <w:name w:val="Note de bas de page Car"/>
    <w:basedOn w:val="Policepardfaut"/>
    <w:link w:val="Notedebasdepage"/>
    <w:uiPriority w:val="99"/>
    <w:semiHidden/>
    <w:rsid w:val="00A64F94"/>
    <w:rPr>
      <w:rFonts w:ascii="Times New Roman" w:eastAsia="Times New Roman" w:hAnsi="Times New Roman"/>
      <w:lang w:val="fr-FR" w:eastAsia="fr-FR"/>
    </w:rPr>
  </w:style>
  <w:style w:type="character" w:styleId="Appelnotedebasdep">
    <w:name w:val="footnote reference"/>
    <w:basedOn w:val="Policepardfaut"/>
    <w:uiPriority w:val="99"/>
    <w:unhideWhenUsed/>
    <w:rsid w:val="00A64F94"/>
    <w:rPr>
      <w:vertAlign w:val="superscript"/>
    </w:rPr>
  </w:style>
  <w:style w:type="paragraph" w:customStyle="1" w:styleId="1GAPara">
    <w:name w:val="1. GA Para"/>
    <w:qFormat/>
    <w:rsid w:val="00510637"/>
    <w:pPr>
      <w:spacing w:after="120"/>
      <w:ind w:left="720" w:hanging="360"/>
    </w:pPr>
    <w:rPr>
      <w:rFonts w:ascii="Arial" w:eastAsia="Times New Roman" w:hAnsi="Arial" w:cs="Arial"/>
      <w:snapToGrid w:val="0"/>
      <w:sz w:val="22"/>
      <w:szCs w:val="22"/>
      <w:lang w:eastAsia="en-US"/>
    </w:rPr>
  </w:style>
  <w:style w:type="paragraph" w:styleId="NormalWeb">
    <w:name w:val="Normal (Web)"/>
    <w:basedOn w:val="Normal"/>
    <w:uiPriority w:val="99"/>
    <w:unhideWhenUsed/>
    <w:rsid w:val="00510637"/>
    <w:rPr>
      <w:rFonts w:eastAsiaTheme="minorHAnsi"/>
    </w:rPr>
  </w:style>
  <w:style w:type="paragraph" w:customStyle="1" w:styleId="1gapara0">
    <w:name w:val="1gapara"/>
    <w:basedOn w:val="Normal"/>
    <w:uiPriority w:val="99"/>
    <w:semiHidden/>
    <w:rsid w:val="00510637"/>
    <w:rPr>
      <w:rFonts w:eastAsiaTheme="minorHAnsi"/>
    </w:rPr>
  </w:style>
  <w:style w:type="paragraph" w:customStyle="1" w:styleId="COMTitleDecision">
    <w:name w:val="COM Title Decision"/>
    <w:basedOn w:val="Normal"/>
    <w:qFormat/>
    <w:rsid w:val="00A85654"/>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85654"/>
    <w:pPr>
      <w:keepNext/>
      <w:spacing w:after="120"/>
      <w:ind w:left="567"/>
      <w:jc w:val="both"/>
    </w:pPr>
    <w:rPr>
      <w:rFonts w:ascii="Arial" w:hAnsi="Arial" w:cs="Arial"/>
      <w:sz w:val="22"/>
      <w:szCs w:val="22"/>
      <w:lang w:val="en-GB"/>
    </w:rPr>
  </w:style>
  <w:style w:type="character" w:styleId="Marquedecommentaire">
    <w:name w:val="annotation reference"/>
    <w:basedOn w:val="Policepardfaut"/>
    <w:uiPriority w:val="99"/>
    <w:semiHidden/>
    <w:unhideWhenUsed/>
    <w:rsid w:val="00B3014F"/>
    <w:rPr>
      <w:sz w:val="16"/>
      <w:szCs w:val="16"/>
    </w:rPr>
  </w:style>
  <w:style w:type="paragraph" w:styleId="Commentaire">
    <w:name w:val="annotation text"/>
    <w:basedOn w:val="Normal"/>
    <w:link w:val="CommentaireCar"/>
    <w:uiPriority w:val="99"/>
    <w:semiHidden/>
    <w:unhideWhenUsed/>
    <w:rsid w:val="00B3014F"/>
    <w:rPr>
      <w:sz w:val="20"/>
      <w:szCs w:val="20"/>
    </w:rPr>
  </w:style>
  <w:style w:type="character" w:customStyle="1" w:styleId="CommentaireCar">
    <w:name w:val="Commentaire Car"/>
    <w:basedOn w:val="Policepardfaut"/>
    <w:link w:val="Commentaire"/>
    <w:uiPriority w:val="99"/>
    <w:semiHidden/>
    <w:rsid w:val="00B3014F"/>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B3014F"/>
    <w:rPr>
      <w:b/>
      <w:bCs/>
    </w:rPr>
  </w:style>
  <w:style w:type="character" w:customStyle="1" w:styleId="ObjetducommentaireCar">
    <w:name w:val="Objet du commentaire Car"/>
    <w:basedOn w:val="CommentaireCar"/>
    <w:link w:val="Objetducommentaire"/>
    <w:uiPriority w:val="99"/>
    <w:semiHidden/>
    <w:rsid w:val="00B3014F"/>
    <w:rPr>
      <w:rFonts w:ascii="Times New Roman" w:eastAsia="Times New Roman" w:hAnsi="Times New Roman"/>
      <w:b/>
      <w:bCs/>
      <w:lang w:val="fr-FR" w:eastAsia="fr-FR"/>
    </w:rPr>
  </w:style>
  <w:style w:type="paragraph" w:styleId="Rvision">
    <w:name w:val="Revision"/>
    <w:hidden/>
    <w:uiPriority w:val="99"/>
    <w:semiHidden/>
    <w:rsid w:val="00B3014F"/>
    <w:rPr>
      <w:rFonts w:ascii="Times New Roman" w:eastAsia="Times New Roman" w:hAnsi="Times New Roman"/>
      <w:sz w:val="24"/>
      <w:szCs w:val="24"/>
      <w:lang w:val="fr-FR" w:eastAsia="fr-FR"/>
    </w:rPr>
  </w:style>
  <w:style w:type="character" w:styleId="Lienhypertextesuivivisit">
    <w:name w:val="FollowedHyperlink"/>
    <w:basedOn w:val="Policepardfaut"/>
    <w:uiPriority w:val="99"/>
    <w:semiHidden/>
    <w:unhideWhenUsed/>
    <w:rsid w:val="0047167A"/>
    <w:rPr>
      <w:color w:val="954F72" w:themeColor="followedHyperlink"/>
      <w:u w:val="single"/>
    </w:rPr>
  </w:style>
  <w:style w:type="character" w:customStyle="1" w:styleId="UnresolvedMention1">
    <w:name w:val="Unresolved Mention1"/>
    <w:basedOn w:val="Policepardfaut"/>
    <w:uiPriority w:val="99"/>
    <w:semiHidden/>
    <w:unhideWhenUsed/>
    <w:rsid w:val="003B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893">
      <w:bodyDiv w:val="1"/>
      <w:marLeft w:val="0"/>
      <w:marRight w:val="0"/>
      <w:marTop w:val="0"/>
      <w:marBottom w:val="0"/>
      <w:divBdr>
        <w:top w:val="none" w:sz="0" w:space="0" w:color="auto"/>
        <w:left w:val="none" w:sz="0" w:space="0" w:color="auto"/>
        <w:bottom w:val="none" w:sz="0" w:space="0" w:color="auto"/>
        <w:right w:val="none" w:sz="0" w:space="0" w:color="auto"/>
      </w:divBdr>
    </w:div>
    <w:div w:id="427391051">
      <w:bodyDiv w:val="1"/>
      <w:marLeft w:val="0"/>
      <w:marRight w:val="0"/>
      <w:marTop w:val="0"/>
      <w:marBottom w:val="0"/>
      <w:divBdr>
        <w:top w:val="none" w:sz="0" w:space="0" w:color="auto"/>
        <w:left w:val="none" w:sz="0" w:space="0" w:color="auto"/>
        <w:bottom w:val="none" w:sz="0" w:space="0" w:color="auto"/>
        <w:right w:val="none" w:sz="0" w:space="0" w:color="auto"/>
      </w:divBdr>
    </w:div>
    <w:div w:id="468329297">
      <w:bodyDiv w:val="1"/>
      <w:marLeft w:val="0"/>
      <w:marRight w:val="0"/>
      <w:marTop w:val="0"/>
      <w:marBottom w:val="0"/>
      <w:divBdr>
        <w:top w:val="none" w:sz="0" w:space="0" w:color="auto"/>
        <w:left w:val="none" w:sz="0" w:space="0" w:color="auto"/>
        <w:bottom w:val="none" w:sz="0" w:space="0" w:color="auto"/>
        <w:right w:val="none" w:sz="0" w:space="0" w:color="auto"/>
      </w:divBdr>
    </w:div>
    <w:div w:id="554394425">
      <w:bodyDiv w:val="1"/>
      <w:marLeft w:val="0"/>
      <w:marRight w:val="0"/>
      <w:marTop w:val="0"/>
      <w:marBottom w:val="0"/>
      <w:divBdr>
        <w:top w:val="none" w:sz="0" w:space="0" w:color="auto"/>
        <w:left w:val="none" w:sz="0" w:space="0" w:color="auto"/>
        <w:bottom w:val="none" w:sz="0" w:space="0" w:color="auto"/>
        <w:right w:val="none" w:sz="0" w:space="0" w:color="auto"/>
      </w:divBdr>
    </w:div>
    <w:div w:id="558631631">
      <w:bodyDiv w:val="1"/>
      <w:marLeft w:val="0"/>
      <w:marRight w:val="0"/>
      <w:marTop w:val="0"/>
      <w:marBottom w:val="0"/>
      <w:divBdr>
        <w:top w:val="none" w:sz="0" w:space="0" w:color="auto"/>
        <w:left w:val="none" w:sz="0" w:space="0" w:color="auto"/>
        <w:bottom w:val="none" w:sz="0" w:space="0" w:color="auto"/>
        <w:right w:val="none" w:sz="0" w:space="0" w:color="auto"/>
      </w:divBdr>
    </w:div>
    <w:div w:id="566497817">
      <w:bodyDiv w:val="1"/>
      <w:marLeft w:val="0"/>
      <w:marRight w:val="0"/>
      <w:marTop w:val="0"/>
      <w:marBottom w:val="0"/>
      <w:divBdr>
        <w:top w:val="none" w:sz="0" w:space="0" w:color="auto"/>
        <w:left w:val="none" w:sz="0" w:space="0" w:color="auto"/>
        <w:bottom w:val="none" w:sz="0" w:space="0" w:color="auto"/>
        <w:right w:val="none" w:sz="0" w:space="0" w:color="auto"/>
      </w:divBdr>
    </w:div>
    <w:div w:id="691764753">
      <w:bodyDiv w:val="1"/>
      <w:marLeft w:val="0"/>
      <w:marRight w:val="0"/>
      <w:marTop w:val="0"/>
      <w:marBottom w:val="0"/>
      <w:divBdr>
        <w:top w:val="none" w:sz="0" w:space="0" w:color="auto"/>
        <w:left w:val="none" w:sz="0" w:space="0" w:color="auto"/>
        <w:bottom w:val="none" w:sz="0" w:space="0" w:color="auto"/>
        <w:right w:val="none" w:sz="0" w:space="0" w:color="auto"/>
      </w:divBdr>
    </w:div>
    <w:div w:id="695078738">
      <w:bodyDiv w:val="1"/>
      <w:marLeft w:val="0"/>
      <w:marRight w:val="0"/>
      <w:marTop w:val="0"/>
      <w:marBottom w:val="0"/>
      <w:divBdr>
        <w:top w:val="none" w:sz="0" w:space="0" w:color="auto"/>
        <w:left w:val="none" w:sz="0" w:space="0" w:color="auto"/>
        <w:bottom w:val="none" w:sz="0" w:space="0" w:color="auto"/>
        <w:right w:val="none" w:sz="0" w:space="0" w:color="auto"/>
      </w:divBdr>
    </w:div>
    <w:div w:id="7348622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49016911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72436447">
      <w:bodyDiv w:val="1"/>
      <w:marLeft w:val="0"/>
      <w:marRight w:val="0"/>
      <w:marTop w:val="0"/>
      <w:marBottom w:val="0"/>
      <w:divBdr>
        <w:top w:val="none" w:sz="0" w:space="0" w:color="auto"/>
        <w:left w:val="none" w:sz="0" w:space="0" w:color="auto"/>
        <w:bottom w:val="none" w:sz="0" w:space="0" w:color="auto"/>
        <w:right w:val="none" w:sz="0" w:space="0" w:color="auto"/>
      </w:divBdr>
    </w:div>
    <w:div w:id="185113871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658057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4598199">
      <w:bodyDiv w:val="1"/>
      <w:marLeft w:val="0"/>
      <w:marRight w:val="0"/>
      <w:marTop w:val="0"/>
      <w:marBottom w:val="0"/>
      <w:divBdr>
        <w:top w:val="none" w:sz="0" w:space="0" w:color="auto"/>
        <w:left w:val="none" w:sz="0" w:space="0" w:color="auto"/>
        <w:bottom w:val="none" w:sz="0" w:space="0" w:color="auto"/>
        <w:right w:val="none" w:sz="0" w:space="0" w:color="auto"/>
      </w:divBdr>
    </w:div>
    <w:div w:id="211624570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4" TargetMode="External"/><Relationship Id="rId13" Type="http://schemas.openxmlformats.org/officeDocument/2006/relationships/hyperlink" Target="https://ich.unesco.org/en/Decisions/13.COM/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doc/src/LHE-20-8.GA-11-EN.docx" TargetMode="External"/><Relationship Id="rId17" Type="http://schemas.openxmlformats.org/officeDocument/2006/relationships/hyperlink" Target="https://ich.unesco.org/en/Decisions/14.COM/16" TargetMode="External"/><Relationship Id="rId2" Type="http://schemas.openxmlformats.org/officeDocument/2006/relationships/numbering" Target="numbering.xml"/><Relationship Id="rId16" Type="http://schemas.openxmlformats.org/officeDocument/2006/relationships/hyperlink" Target="https://ich.unesco.org/en/Decisions/14.COM/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GA/6" TargetMode="External"/><Relationship Id="rId5" Type="http://schemas.openxmlformats.org/officeDocument/2006/relationships/webSettings" Target="webSettings.xml"/><Relationship Id="rId15" Type="http://schemas.openxmlformats.org/officeDocument/2006/relationships/hyperlink" Target="https://ich.unesco.org/en/Decisions/13.COM/14" TargetMode="External"/><Relationship Id="rId23" Type="http://schemas.openxmlformats.org/officeDocument/2006/relationships/theme" Target="theme/theme1.xml"/><Relationship Id="rId10" Type="http://schemas.openxmlformats.org/officeDocument/2006/relationships/hyperlink" Target="https://ich.unesco.org/en/Decisions/12.COM/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1.COM/10" TargetMode="External"/><Relationship Id="rId14" Type="http://schemas.openxmlformats.org/officeDocument/2006/relationships/hyperlink" Target="https://ich.unesco.org/en/Decisions/13.COM/1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66DE-46DB-4C46-8084-D62E475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1518</Words>
  <Characters>8351</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26</cp:revision>
  <cp:lastPrinted>2020-08-06T19:31:00Z</cp:lastPrinted>
  <dcterms:created xsi:type="dcterms:W3CDTF">2020-07-15T08:17:00Z</dcterms:created>
  <dcterms:modified xsi:type="dcterms:W3CDTF">2020-08-06T19:39:00Z</dcterms:modified>
</cp:coreProperties>
</file>