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F8D" w:rsidRPr="00293C60" w:rsidRDefault="00611408" w:rsidP="00A235B8">
      <w:pPr>
        <w:spacing w:before="1440"/>
        <w:jc w:val="center"/>
        <w:rPr>
          <w:rFonts w:ascii="Arial" w:hAnsi="Arial" w:cs="Arial"/>
          <w:b/>
          <w:sz w:val="22"/>
          <w:szCs w:val="22"/>
        </w:rPr>
      </w:pPr>
      <w:r>
        <w:rPr>
          <w:rFonts w:ascii="Arial" w:hAnsi="Arial" w:cs="Arial"/>
          <w:b/>
          <w:bCs/>
          <w:sz w:val="22"/>
          <w:szCs w:val="22"/>
          <w:lang w:val="fr"/>
        </w:rPr>
        <w:t>CONVENTION POUR LA SAUVEGARDE DU</w:t>
      </w:r>
      <w:r>
        <w:rPr>
          <w:rFonts w:ascii="Arial" w:hAnsi="Arial" w:cs="Arial"/>
          <w:sz w:val="22"/>
          <w:szCs w:val="22"/>
          <w:lang w:val="fr"/>
        </w:rPr>
        <w:br/>
      </w:r>
      <w:r>
        <w:rPr>
          <w:rFonts w:ascii="Arial" w:hAnsi="Arial" w:cs="Arial"/>
          <w:b/>
          <w:bCs/>
          <w:sz w:val="22"/>
          <w:szCs w:val="22"/>
          <w:lang w:val="fr"/>
        </w:rPr>
        <w:t>PATRIMOINE CULTUREL IMMATÉRIEL</w:t>
      </w:r>
    </w:p>
    <w:p w:rsidR="00EC6F8D" w:rsidRPr="00293C60" w:rsidRDefault="00611408" w:rsidP="00EC6F8D">
      <w:pPr>
        <w:spacing w:before="1200"/>
        <w:jc w:val="center"/>
        <w:rPr>
          <w:rFonts w:ascii="Arial" w:hAnsi="Arial" w:cs="Arial"/>
          <w:b/>
          <w:sz w:val="22"/>
          <w:szCs w:val="22"/>
        </w:rPr>
      </w:pPr>
      <w:r>
        <w:rPr>
          <w:rFonts w:ascii="Arial" w:hAnsi="Arial" w:cs="Arial"/>
          <w:b/>
          <w:bCs/>
          <w:sz w:val="22"/>
          <w:szCs w:val="22"/>
          <w:lang w:val="fr"/>
        </w:rPr>
        <w:t>COMITÉ INTERGOUVERNEMENTAL DE</w:t>
      </w:r>
      <w:r>
        <w:rPr>
          <w:rFonts w:ascii="Arial" w:hAnsi="Arial" w:cs="Arial"/>
          <w:sz w:val="22"/>
          <w:szCs w:val="22"/>
          <w:lang w:val="fr"/>
        </w:rPr>
        <w:br/>
      </w:r>
      <w:r>
        <w:rPr>
          <w:rFonts w:ascii="Arial" w:hAnsi="Arial" w:cs="Arial"/>
          <w:b/>
          <w:bCs/>
          <w:sz w:val="22"/>
          <w:szCs w:val="22"/>
          <w:lang w:val="fr"/>
        </w:rPr>
        <w:t>SAUVEGARDE DU PATRIMOINE CULTUREL IMMATÉRIEL</w:t>
      </w:r>
    </w:p>
    <w:p w:rsidR="00EC6F8D" w:rsidRPr="00293C60" w:rsidRDefault="00611408" w:rsidP="001D14FE">
      <w:pPr>
        <w:spacing w:before="840"/>
        <w:jc w:val="center"/>
        <w:rPr>
          <w:rFonts w:ascii="Arial" w:hAnsi="Arial" w:cs="Arial"/>
          <w:b/>
          <w:sz w:val="22"/>
          <w:szCs w:val="22"/>
        </w:rPr>
      </w:pPr>
      <w:r>
        <w:rPr>
          <w:rFonts w:ascii="Arial" w:hAnsi="Arial" w:cs="Arial"/>
          <w:b/>
          <w:bCs/>
          <w:sz w:val="22"/>
          <w:szCs w:val="22"/>
          <w:lang w:val="fr"/>
        </w:rPr>
        <w:t>Quinzième session</w:t>
      </w:r>
    </w:p>
    <w:p w:rsidR="00E2125F" w:rsidRPr="00FD624F" w:rsidRDefault="00611408" w:rsidP="00E2125F">
      <w:pPr>
        <w:jc w:val="center"/>
        <w:rPr>
          <w:rFonts w:ascii="Arial" w:hAnsi="Arial" w:cs="Arial"/>
          <w:b/>
          <w:sz w:val="22"/>
          <w:szCs w:val="22"/>
        </w:rPr>
      </w:pPr>
      <w:r>
        <w:rPr>
          <w:rFonts w:ascii="Arial" w:hAnsi="Arial" w:cs="Arial"/>
          <w:b/>
          <w:bCs/>
          <w:sz w:val="22"/>
          <w:szCs w:val="22"/>
          <w:lang w:val="fr"/>
        </w:rPr>
        <w:t>En ligne</w:t>
      </w:r>
    </w:p>
    <w:p w:rsidR="00EC6F8D" w:rsidRPr="00E2125F" w:rsidRDefault="00611408" w:rsidP="00E2125F">
      <w:pPr>
        <w:jc w:val="center"/>
        <w:rPr>
          <w:rFonts w:ascii="Arial" w:hAnsi="Arial" w:cs="Arial"/>
          <w:b/>
          <w:sz w:val="22"/>
          <w:szCs w:val="22"/>
        </w:rPr>
      </w:pPr>
      <w:r>
        <w:rPr>
          <w:rFonts w:ascii="Arial" w:hAnsi="Arial" w:cs="Arial"/>
          <w:b/>
          <w:bCs/>
          <w:sz w:val="22"/>
          <w:szCs w:val="22"/>
          <w:lang w:val="fr"/>
        </w:rPr>
        <w:t>14 - 19 décembre 2020</w:t>
      </w:r>
    </w:p>
    <w:p w:rsidR="00EC6F8D" w:rsidRPr="00293C60" w:rsidRDefault="00611408" w:rsidP="00EC6F8D">
      <w:pPr>
        <w:pStyle w:val="Sansinterligne2"/>
        <w:spacing w:before="1200"/>
        <w:jc w:val="center"/>
        <w:rPr>
          <w:rFonts w:ascii="Arial" w:hAnsi="Arial" w:cs="Arial"/>
          <w:b/>
          <w:sz w:val="22"/>
          <w:szCs w:val="22"/>
        </w:rPr>
      </w:pPr>
      <w:r>
        <w:rPr>
          <w:rFonts w:ascii="Arial" w:hAnsi="Arial" w:cs="Arial"/>
          <w:b/>
          <w:bCs/>
          <w:sz w:val="22"/>
          <w:szCs w:val="22"/>
          <w:u w:val="single"/>
          <w:lang w:val="fr"/>
        </w:rPr>
        <w:t>Point 9 de l</w:t>
      </w:r>
      <w:r w:rsidR="00FF710D">
        <w:rPr>
          <w:rFonts w:ascii="Arial" w:hAnsi="Arial" w:cs="Arial"/>
          <w:b/>
          <w:bCs/>
          <w:sz w:val="22"/>
          <w:szCs w:val="22"/>
          <w:u w:val="single"/>
          <w:lang w:val="fr"/>
        </w:rPr>
        <w:t>’</w:t>
      </w:r>
      <w:r>
        <w:rPr>
          <w:rFonts w:ascii="Arial" w:hAnsi="Arial" w:cs="Arial"/>
          <w:b/>
          <w:bCs/>
          <w:sz w:val="22"/>
          <w:szCs w:val="22"/>
          <w:u w:val="single"/>
          <w:lang w:val="fr"/>
        </w:rPr>
        <w:t>ordre du jour provisoire </w:t>
      </w:r>
      <w:r>
        <w:rPr>
          <w:rFonts w:ascii="Arial" w:hAnsi="Arial" w:cs="Arial"/>
          <w:b/>
          <w:bCs/>
          <w:sz w:val="22"/>
          <w:szCs w:val="22"/>
          <w:lang w:val="fr"/>
        </w:rPr>
        <w:t>:</w:t>
      </w:r>
    </w:p>
    <w:p w:rsidR="004A2875" w:rsidRPr="00293C60" w:rsidRDefault="00611408" w:rsidP="004A2875">
      <w:pPr>
        <w:pStyle w:val="Sansinterligne2"/>
        <w:spacing w:after="960"/>
        <w:jc w:val="center"/>
        <w:rPr>
          <w:rFonts w:ascii="Arial" w:hAnsi="Arial" w:cs="Arial"/>
          <w:b/>
          <w:sz w:val="22"/>
          <w:szCs w:val="22"/>
        </w:rPr>
      </w:pPr>
      <w:r>
        <w:rPr>
          <w:rFonts w:ascii="Arial" w:hAnsi="Arial" w:cs="Arial"/>
          <w:b/>
          <w:bCs/>
          <w:sz w:val="22"/>
          <w:szCs w:val="22"/>
          <w:lang w:val="fr"/>
        </w:rPr>
        <w:t xml:space="preserve">Nombre de dossiers </w:t>
      </w:r>
      <w:r w:rsidR="00FF710D">
        <w:rPr>
          <w:rFonts w:ascii="Arial" w:hAnsi="Arial" w:cs="Arial"/>
          <w:b/>
          <w:bCs/>
          <w:sz w:val="22"/>
          <w:szCs w:val="22"/>
          <w:lang w:val="fr"/>
        </w:rPr>
        <w:t xml:space="preserve">soumis </w:t>
      </w:r>
      <w:r>
        <w:rPr>
          <w:rFonts w:ascii="Arial" w:hAnsi="Arial" w:cs="Arial"/>
          <w:b/>
          <w:bCs/>
          <w:sz w:val="22"/>
          <w:szCs w:val="22"/>
          <w:lang w:val="fr"/>
        </w:rPr>
        <w:t xml:space="preserve">pour les cycles 2020 et 2021 et </w:t>
      </w:r>
      <w:r>
        <w:rPr>
          <w:rFonts w:ascii="Arial" w:hAnsi="Arial" w:cs="Arial"/>
          <w:sz w:val="22"/>
          <w:szCs w:val="22"/>
          <w:lang w:val="fr"/>
        </w:rPr>
        <w:br/>
      </w:r>
      <w:r>
        <w:rPr>
          <w:rFonts w:ascii="Arial" w:hAnsi="Arial" w:cs="Arial"/>
          <w:b/>
          <w:bCs/>
          <w:sz w:val="22"/>
          <w:szCs w:val="22"/>
          <w:lang w:val="fr"/>
        </w:rPr>
        <w:t xml:space="preserve">nombre de dossiers pouvant être traités </w:t>
      </w:r>
      <w:r w:rsidR="00FF710D">
        <w:rPr>
          <w:rFonts w:ascii="Arial" w:hAnsi="Arial" w:cs="Arial"/>
          <w:b/>
          <w:bCs/>
          <w:sz w:val="22"/>
          <w:szCs w:val="22"/>
          <w:lang w:val="fr"/>
        </w:rPr>
        <w:t>pour les</w:t>
      </w:r>
      <w:r>
        <w:rPr>
          <w:rFonts w:ascii="Arial" w:hAnsi="Arial" w:cs="Arial"/>
          <w:b/>
          <w:bCs/>
          <w:sz w:val="22"/>
          <w:szCs w:val="22"/>
          <w:lang w:val="fr"/>
        </w:rPr>
        <w:t xml:space="preserve"> cycles 2022 et 2023</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4F6C67" w:rsidTr="00EC6F8D">
        <w:trPr>
          <w:jc w:val="center"/>
        </w:trPr>
        <w:tc>
          <w:tcPr>
            <w:tcW w:w="5670" w:type="dxa"/>
            <w:vAlign w:val="center"/>
          </w:tcPr>
          <w:p w:rsidR="00EC6F8D" w:rsidRDefault="00611408" w:rsidP="00CA56BB">
            <w:pPr>
              <w:pStyle w:val="Sansinterligne1"/>
              <w:spacing w:before="200" w:after="200"/>
              <w:jc w:val="center"/>
              <w:rPr>
                <w:rFonts w:ascii="Arial" w:hAnsi="Arial" w:cs="Arial"/>
                <w:b/>
                <w:sz w:val="22"/>
                <w:szCs w:val="22"/>
              </w:rPr>
            </w:pPr>
            <w:r>
              <w:rPr>
                <w:rFonts w:ascii="Arial" w:hAnsi="Arial" w:cs="Arial"/>
                <w:b/>
                <w:bCs/>
                <w:sz w:val="22"/>
                <w:szCs w:val="22"/>
                <w:lang w:val="fr"/>
              </w:rPr>
              <w:t>Résumé</w:t>
            </w:r>
          </w:p>
          <w:p w:rsidR="00031B66" w:rsidRDefault="00611408" w:rsidP="00031B66">
            <w:pPr>
              <w:pStyle w:val="Sansinterligne1"/>
              <w:spacing w:before="200" w:after="200"/>
              <w:jc w:val="both"/>
              <w:rPr>
                <w:rFonts w:ascii="Arial" w:hAnsi="Arial" w:cs="Arial"/>
                <w:sz w:val="22"/>
                <w:szCs w:val="22"/>
              </w:rPr>
            </w:pPr>
            <w:r>
              <w:rPr>
                <w:rFonts w:ascii="Arial" w:hAnsi="Arial" w:cs="Arial"/>
                <w:sz w:val="22"/>
                <w:szCs w:val="22"/>
                <w:lang w:val="fr"/>
              </w:rPr>
              <w:t>Afin de gérer les mécanismes d</w:t>
            </w:r>
            <w:r w:rsidR="00FF710D">
              <w:rPr>
                <w:rFonts w:ascii="Arial" w:hAnsi="Arial" w:cs="Arial"/>
                <w:sz w:val="22"/>
                <w:szCs w:val="22"/>
                <w:lang w:val="fr"/>
              </w:rPr>
              <w:t>’</w:t>
            </w:r>
            <w:r>
              <w:rPr>
                <w:rFonts w:ascii="Arial" w:hAnsi="Arial" w:cs="Arial"/>
                <w:sz w:val="22"/>
                <w:szCs w:val="22"/>
                <w:lang w:val="fr"/>
              </w:rPr>
              <w:t xml:space="preserve">inscription sur les listes de la Convention, le </w:t>
            </w:r>
            <w:r>
              <w:rPr>
                <w:rFonts w:ascii="Arial" w:hAnsi="Arial" w:cs="Arial"/>
                <w:noProof/>
                <w:sz w:val="22"/>
                <w:szCs w:val="22"/>
                <w:lang w:val="fr"/>
              </w:rPr>
              <w:t>Comité</w:t>
            </w:r>
            <w:r>
              <w:rPr>
                <w:rFonts w:ascii="Arial" w:hAnsi="Arial" w:cs="Arial"/>
                <w:sz w:val="22"/>
                <w:szCs w:val="22"/>
                <w:lang w:val="fr"/>
              </w:rPr>
              <w:t xml:space="preserve"> doit déterminer deux ans à l</w:t>
            </w:r>
            <w:r w:rsidR="00FF710D">
              <w:rPr>
                <w:rFonts w:ascii="Arial" w:hAnsi="Arial" w:cs="Arial"/>
                <w:sz w:val="22"/>
                <w:szCs w:val="22"/>
                <w:lang w:val="fr"/>
              </w:rPr>
              <w:t>’</w:t>
            </w:r>
            <w:r>
              <w:rPr>
                <w:rFonts w:ascii="Arial" w:hAnsi="Arial" w:cs="Arial"/>
                <w:sz w:val="22"/>
                <w:szCs w:val="22"/>
                <w:lang w:val="fr"/>
              </w:rPr>
              <w:t xml:space="preserve">avance le nombre de dossiers à traiter au cours des deux cycles suivants. Ce document donne un aperçu des dossiers </w:t>
            </w:r>
            <w:r w:rsidR="00FF710D">
              <w:rPr>
                <w:rFonts w:ascii="Arial" w:hAnsi="Arial" w:cs="Arial"/>
                <w:sz w:val="22"/>
                <w:szCs w:val="22"/>
                <w:lang w:val="fr"/>
              </w:rPr>
              <w:t xml:space="preserve">soumis </w:t>
            </w:r>
            <w:r>
              <w:rPr>
                <w:rFonts w:ascii="Arial" w:hAnsi="Arial" w:cs="Arial"/>
                <w:sz w:val="22"/>
                <w:szCs w:val="22"/>
                <w:lang w:val="fr"/>
              </w:rPr>
              <w:t xml:space="preserve">pour les cycles 2020 et 2021. Il est </w:t>
            </w:r>
            <w:r w:rsidR="00FF710D">
              <w:rPr>
                <w:rFonts w:ascii="Arial" w:hAnsi="Arial" w:cs="Arial"/>
                <w:sz w:val="22"/>
                <w:szCs w:val="22"/>
                <w:lang w:val="fr"/>
              </w:rPr>
              <w:t xml:space="preserve">indiqué </w:t>
            </w:r>
            <w:r>
              <w:rPr>
                <w:rFonts w:ascii="Arial" w:hAnsi="Arial" w:cs="Arial"/>
                <w:sz w:val="22"/>
                <w:szCs w:val="22"/>
                <w:lang w:val="fr"/>
              </w:rPr>
              <w:t>qu</w:t>
            </w:r>
            <w:r w:rsidR="00FF710D">
              <w:rPr>
                <w:rFonts w:ascii="Arial" w:hAnsi="Arial" w:cs="Arial"/>
                <w:sz w:val="22"/>
                <w:szCs w:val="22"/>
                <w:lang w:val="fr"/>
              </w:rPr>
              <w:t>’</w:t>
            </w:r>
            <w:r>
              <w:rPr>
                <w:rFonts w:ascii="Arial" w:hAnsi="Arial" w:cs="Arial"/>
                <w:sz w:val="22"/>
                <w:szCs w:val="22"/>
                <w:lang w:val="fr"/>
              </w:rPr>
              <w:t>un avertissement émis pour le cycle 2019 a été confirmé dans le cadre du cycle 2021 ; un nombre inhabituellement élevé de dossiers nationaux</w:t>
            </w:r>
            <w:r w:rsidR="00E828CE">
              <w:rPr>
                <w:rFonts w:ascii="Arial" w:hAnsi="Arial" w:cs="Arial"/>
                <w:sz w:val="22"/>
                <w:szCs w:val="22"/>
                <w:lang w:val="fr"/>
              </w:rPr>
              <w:t>,</w:t>
            </w:r>
            <w:r>
              <w:rPr>
                <w:rFonts w:ascii="Arial" w:hAnsi="Arial" w:cs="Arial"/>
                <w:sz w:val="22"/>
                <w:szCs w:val="22"/>
                <w:lang w:val="fr"/>
              </w:rPr>
              <w:t xml:space="preserve"> provenant également d</w:t>
            </w:r>
            <w:r w:rsidR="00FF710D">
              <w:rPr>
                <w:rFonts w:ascii="Arial" w:hAnsi="Arial" w:cs="Arial"/>
                <w:sz w:val="22"/>
                <w:szCs w:val="22"/>
                <w:lang w:val="fr"/>
              </w:rPr>
              <w:t>’</w:t>
            </w:r>
            <w:r>
              <w:rPr>
                <w:rFonts w:ascii="Arial" w:hAnsi="Arial" w:cs="Arial"/>
                <w:sz w:val="22"/>
                <w:szCs w:val="22"/>
                <w:lang w:val="fr"/>
              </w:rPr>
              <w:t>un nombre plus élevé que la normale d</w:t>
            </w:r>
            <w:r w:rsidR="00FF710D">
              <w:rPr>
                <w:rFonts w:ascii="Arial" w:hAnsi="Arial" w:cs="Arial"/>
                <w:sz w:val="22"/>
                <w:szCs w:val="22"/>
                <w:lang w:val="fr"/>
              </w:rPr>
              <w:t>’</w:t>
            </w:r>
            <w:r>
              <w:rPr>
                <w:rFonts w:ascii="Arial" w:hAnsi="Arial" w:cs="Arial"/>
                <w:sz w:val="22"/>
                <w:szCs w:val="22"/>
                <w:lang w:val="fr"/>
              </w:rPr>
              <w:t>États soumissionnaires</w:t>
            </w:r>
            <w:r w:rsidR="00E828CE">
              <w:rPr>
                <w:rFonts w:ascii="Arial" w:hAnsi="Arial" w:cs="Arial"/>
                <w:sz w:val="22"/>
                <w:szCs w:val="22"/>
                <w:lang w:val="fr"/>
              </w:rPr>
              <w:t>,</w:t>
            </w:r>
            <w:r>
              <w:rPr>
                <w:rFonts w:ascii="Arial" w:hAnsi="Arial" w:cs="Arial"/>
                <w:sz w:val="22"/>
                <w:szCs w:val="22"/>
                <w:lang w:val="fr"/>
              </w:rPr>
              <w:t xml:space="preserve"> signifie que le système de plafond annuel et de priorités n</w:t>
            </w:r>
            <w:r w:rsidR="00FF710D">
              <w:rPr>
                <w:rFonts w:ascii="Arial" w:hAnsi="Arial" w:cs="Arial"/>
                <w:sz w:val="22"/>
                <w:szCs w:val="22"/>
                <w:lang w:val="fr"/>
              </w:rPr>
              <w:t>’</w:t>
            </w:r>
            <w:r>
              <w:rPr>
                <w:rFonts w:ascii="Arial" w:hAnsi="Arial" w:cs="Arial"/>
                <w:sz w:val="22"/>
                <w:szCs w:val="22"/>
                <w:lang w:val="fr"/>
              </w:rPr>
              <w:t>est plus tenable. Une solution provisoire est proposée pour le nombre de dossiers à traiter pour les cycles 2022 et 2023.</w:t>
            </w:r>
          </w:p>
          <w:p w:rsidR="00EC6F8D" w:rsidRPr="00293C60" w:rsidRDefault="00611408" w:rsidP="00CA56BB">
            <w:pPr>
              <w:pStyle w:val="Sansinterligne2"/>
              <w:spacing w:before="200" w:after="200"/>
              <w:jc w:val="both"/>
              <w:rPr>
                <w:rFonts w:ascii="Arial" w:hAnsi="Arial" w:cs="Arial"/>
                <w:b/>
                <w:sz w:val="22"/>
                <w:szCs w:val="22"/>
              </w:rPr>
            </w:pPr>
            <w:r>
              <w:rPr>
                <w:rFonts w:ascii="Arial" w:hAnsi="Arial" w:cs="Arial"/>
                <w:b/>
                <w:bCs/>
                <w:sz w:val="22"/>
                <w:szCs w:val="22"/>
                <w:lang w:val="fr"/>
              </w:rPr>
              <w:t xml:space="preserve">Décision requise : </w:t>
            </w:r>
            <w:r>
              <w:rPr>
                <w:rFonts w:ascii="Arial" w:hAnsi="Arial" w:cs="Arial"/>
                <w:sz w:val="22"/>
                <w:szCs w:val="22"/>
                <w:lang w:val="fr"/>
              </w:rPr>
              <w:t xml:space="preserve">paragraphe </w:t>
            </w:r>
            <w:r w:rsidRPr="00F3089F">
              <w:rPr>
                <w:rFonts w:ascii="Arial" w:hAnsi="Arial" w:cs="Arial"/>
                <w:sz w:val="22"/>
                <w:szCs w:val="22"/>
                <w:lang w:val="fr"/>
              </w:rPr>
              <w:t>14</w:t>
            </w:r>
          </w:p>
        </w:tc>
      </w:tr>
    </w:tbl>
    <w:p w:rsidR="00480A41" w:rsidRPr="00480A41" w:rsidRDefault="00611408" w:rsidP="00336748">
      <w:pPr>
        <w:pStyle w:val="Heading4"/>
        <w:spacing w:before="240"/>
        <w:ind w:hanging="578"/>
        <w:rPr>
          <w:b w:val="0"/>
        </w:rPr>
      </w:pPr>
      <w:r>
        <w:rPr>
          <w:lang w:val="fr"/>
        </w:rPr>
        <w:lastRenderedPageBreak/>
        <w:t>Contexte</w:t>
      </w:r>
    </w:p>
    <w:p w:rsidR="001B374B" w:rsidRPr="00FF710D" w:rsidRDefault="00526023" w:rsidP="00CD0BEA">
      <w:pPr>
        <w:pStyle w:val="COMPara"/>
        <w:ind w:left="567" w:hanging="567"/>
        <w:jc w:val="both"/>
        <w:rPr>
          <w:lang w:val="fr-FR"/>
        </w:rPr>
      </w:pPr>
      <w:r w:rsidRPr="00F3089F">
        <w:rPr>
          <w:lang w:val="fr-FR"/>
        </w:rPr>
        <w:t>L</w:t>
      </w:r>
      <w:r w:rsidR="00FF710D">
        <w:rPr>
          <w:lang w:val="fr"/>
        </w:rPr>
        <w:t>’</w:t>
      </w:r>
      <w:r w:rsidR="00611408">
        <w:rPr>
          <w:lang w:val="fr"/>
        </w:rPr>
        <w:t xml:space="preserve">une des fonctions du Comité </w:t>
      </w:r>
      <w:r>
        <w:rPr>
          <w:lang w:val="fr"/>
        </w:rPr>
        <w:t>établi</w:t>
      </w:r>
      <w:r w:rsidR="009C0956">
        <w:rPr>
          <w:lang w:val="fr"/>
        </w:rPr>
        <w:t>e</w:t>
      </w:r>
      <w:r>
        <w:rPr>
          <w:lang w:val="fr"/>
        </w:rPr>
        <w:t xml:space="preserve"> par la Convention </w:t>
      </w:r>
      <w:r w:rsidR="00611408">
        <w:rPr>
          <w:lang w:val="fr"/>
        </w:rPr>
        <w:t xml:space="preserve">est de statuer sur les demandes </w:t>
      </w:r>
      <w:r w:rsidR="00611408" w:rsidRPr="00526023">
        <w:rPr>
          <w:lang w:val="fr"/>
        </w:rPr>
        <w:t xml:space="preserve">des États parties </w:t>
      </w:r>
      <w:r w:rsidRPr="00526023">
        <w:rPr>
          <w:lang w:val="fr"/>
        </w:rPr>
        <w:t>concernant</w:t>
      </w:r>
      <w:r>
        <w:rPr>
          <w:lang w:val="fr"/>
        </w:rPr>
        <w:t xml:space="preserve"> l’inscription d’élément</w:t>
      </w:r>
      <w:r w:rsidR="009C0956">
        <w:rPr>
          <w:lang w:val="fr"/>
        </w:rPr>
        <w:t>s</w:t>
      </w:r>
      <w:r>
        <w:rPr>
          <w:lang w:val="fr"/>
        </w:rPr>
        <w:t xml:space="preserve"> sur les</w:t>
      </w:r>
      <w:r w:rsidR="00611408">
        <w:rPr>
          <w:lang w:val="fr"/>
        </w:rPr>
        <w:t xml:space="preserve"> listes. Le système actuel concernant le nombre de dossiers</w:t>
      </w:r>
      <w:r w:rsidR="00611408">
        <w:rPr>
          <w:rStyle w:val="FootnoteReference"/>
          <w:lang w:val="fr"/>
        </w:rPr>
        <w:footnoteReference w:id="1"/>
      </w:r>
      <w:r w:rsidR="00611408">
        <w:rPr>
          <w:lang w:val="fr"/>
        </w:rPr>
        <w:t xml:space="preserve"> qui peuvent être inclus dans un cycle et les priorités de sélection de ces dossiers sont exposés aux paragraphes 33 et 34 des Directives opérationnelles de la Convention.</w:t>
      </w:r>
    </w:p>
    <w:p w:rsidR="004C4561" w:rsidRPr="00FF710D" w:rsidRDefault="00611408" w:rsidP="001B374B">
      <w:pPr>
        <w:pStyle w:val="COMPara"/>
        <w:numPr>
          <w:ilvl w:val="0"/>
          <w:numId w:val="20"/>
        </w:numPr>
        <w:jc w:val="both"/>
        <w:rPr>
          <w:lang w:val="fr-FR"/>
        </w:rPr>
      </w:pPr>
      <w:r>
        <w:rPr>
          <w:lang w:val="fr"/>
        </w:rPr>
        <w:t>Le paragraphe 33 stipule que : « </w:t>
      </w:r>
      <w:r w:rsidR="002F0008">
        <w:rPr>
          <w:lang w:val="fr"/>
        </w:rPr>
        <w:t>l</w:t>
      </w:r>
      <w:r>
        <w:rPr>
          <w:lang w:val="fr"/>
        </w:rPr>
        <w:t>e Comité détermine deux ans à l</w:t>
      </w:r>
      <w:r w:rsidR="00FF710D">
        <w:rPr>
          <w:lang w:val="fr"/>
        </w:rPr>
        <w:t>’</w:t>
      </w:r>
      <w:r>
        <w:rPr>
          <w:lang w:val="fr"/>
        </w:rPr>
        <w:t xml:space="preserve">avance, </w:t>
      </w:r>
      <w:r w:rsidR="00FF710D">
        <w:rPr>
          <w:lang w:val="fr"/>
        </w:rPr>
        <w:t>selon l</w:t>
      </w:r>
      <w:r>
        <w:rPr>
          <w:lang w:val="fr"/>
        </w:rPr>
        <w:t xml:space="preserve">es ressources disponibles et </w:t>
      </w:r>
      <w:r w:rsidR="00FF710D">
        <w:rPr>
          <w:lang w:val="fr"/>
        </w:rPr>
        <w:t>ses</w:t>
      </w:r>
      <w:r>
        <w:rPr>
          <w:lang w:val="fr"/>
        </w:rPr>
        <w:t xml:space="preserve"> capacité</w:t>
      </w:r>
      <w:r w:rsidR="00FF710D">
        <w:rPr>
          <w:lang w:val="fr"/>
        </w:rPr>
        <w:t>s</w:t>
      </w:r>
      <w:r>
        <w:rPr>
          <w:lang w:val="fr"/>
        </w:rPr>
        <w:t xml:space="preserve">, le nombre de dossiers qui </w:t>
      </w:r>
      <w:r w:rsidR="00FF710D">
        <w:rPr>
          <w:lang w:val="fr"/>
        </w:rPr>
        <w:t xml:space="preserve">pourront </w:t>
      </w:r>
      <w:r>
        <w:rPr>
          <w:lang w:val="fr"/>
        </w:rPr>
        <w:t>être traités au cours des deux cycles suivants »</w:t>
      </w:r>
      <w:r w:rsidR="00E828CE">
        <w:rPr>
          <w:lang w:val="fr"/>
        </w:rPr>
        <w:t> ;</w:t>
      </w:r>
      <w:r>
        <w:rPr>
          <w:lang w:val="fr"/>
        </w:rPr>
        <w:t xml:space="preserve"> et</w:t>
      </w:r>
    </w:p>
    <w:p w:rsidR="001B374B" w:rsidRPr="00FF710D" w:rsidRDefault="00611408" w:rsidP="001B374B">
      <w:pPr>
        <w:pStyle w:val="COMPara"/>
        <w:numPr>
          <w:ilvl w:val="0"/>
          <w:numId w:val="20"/>
        </w:numPr>
        <w:jc w:val="both"/>
        <w:rPr>
          <w:lang w:val="fr-FR"/>
        </w:rPr>
      </w:pPr>
      <w:r>
        <w:rPr>
          <w:lang w:val="fr"/>
        </w:rPr>
        <w:t>Le paragraphe 34 établit les priorités de sélection de ces dossiers comme suit :</w:t>
      </w:r>
    </w:p>
    <w:tbl>
      <w:tblPr>
        <w:tblStyle w:val="TableGrid"/>
        <w:tblW w:w="0" w:type="auto"/>
        <w:tblInd w:w="1287" w:type="dxa"/>
        <w:tblLook w:val="04A0" w:firstRow="1" w:lastRow="0" w:firstColumn="1" w:lastColumn="0" w:noHBand="0" w:noVBand="1"/>
      </w:tblPr>
      <w:tblGrid>
        <w:gridCol w:w="8341"/>
      </w:tblGrid>
      <w:tr w:rsidR="004F6C67" w:rsidRPr="00236502" w:rsidTr="001B374B">
        <w:tc>
          <w:tcPr>
            <w:tcW w:w="9628" w:type="dxa"/>
          </w:tcPr>
          <w:p w:rsidR="001B374B" w:rsidRPr="00236502" w:rsidRDefault="00611408" w:rsidP="00A23D36">
            <w:pPr>
              <w:pStyle w:val="COMPara"/>
              <w:numPr>
                <w:ilvl w:val="0"/>
                <w:numId w:val="0"/>
              </w:numPr>
              <w:jc w:val="both"/>
              <w:rPr>
                <w:sz w:val="20"/>
                <w:szCs w:val="20"/>
                <w:lang w:val="fr"/>
              </w:rPr>
            </w:pPr>
            <w:proofErr w:type="gramStart"/>
            <w:r w:rsidRPr="00236502">
              <w:rPr>
                <w:sz w:val="20"/>
                <w:szCs w:val="20"/>
                <w:lang w:val="fr"/>
              </w:rPr>
              <w:t>priorité</w:t>
            </w:r>
            <w:proofErr w:type="gramEnd"/>
            <w:r w:rsidRPr="00236502">
              <w:rPr>
                <w:sz w:val="20"/>
                <w:szCs w:val="20"/>
                <w:lang w:val="fr"/>
              </w:rPr>
              <w:t xml:space="preserve"> (i) </w:t>
            </w:r>
            <w:r w:rsidR="00FF710D" w:rsidRPr="00236502">
              <w:rPr>
                <w:sz w:val="20"/>
                <w:szCs w:val="20"/>
                <w:lang w:val="fr"/>
              </w:rPr>
              <w:t>–</w:t>
            </w:r>
            <w:r w:rsidRPr="00236502">
              <w:rPr>
                <w:sz w:val="20"/>
                <w:szCs w:val="20"/>
                <w:lang w:val="fr"/>
              </w:rPr>
              <w:t xml:space="preserve"> </w:t>
            </w:r>
            <w:r w:rsidR="00FF710D" w:rsidRPr="00236502">
              <w:rPr>
                <w:sz w:val="20"/>
                <w:szCs w:val="20"/>
                <w:lang w:val="fr"/>
              </w:rPr>
              <w:t xml:space="preserve">aux </w:t>
            </w:r>
            <w:r w:rsidRPr="00236502">
              <w:rPr>
                <w:sz w:val="20"/>
                <w:szCs w:val="20"/>
                <w:lang w:val="fr"/>
              </w:rPr>
              <w:t xml:space="preserve">dossiers </w:t>
            </w:r>
            <w:r w:rsidR="00FF710D" w:rsidRPr="00236502">
              <w:rPr>
                <w:sz w:val="20"/>
                <w:szCs w:val="20"/>
                <w:lang w:val="fr"/>
              </w:rPr>
              <w:t>provenant d’</w:t>
            </w:r>
            <w:r w:rsidRPr="00236502">
              <w:rPr>
                <w:sz w:val="20"/>
                <w:szCs w:val="20"/>
                <w:lang w:val="fr"/>
              </w:rPr>
              <w:t xml:space="preserve">États </w:t>
            </w:r>
            <w:r w:rsidR="00FF710D" w:rsidRPr="00236502">
              <w:rPr>
                <w:sz w:val="20"/>
                <w:szCs w:val="20"/>
                <w:lang w:val="fr"/>
              </w:rPr>
              <w:t>n’ayant pas d’</w:t>
            </w:r>
            <w:r w:rsidRPr="00236502">
              <w:rPr>
                <w:sz w:val="20"/>
                <w:szCs w:val="20"/>
                <w:lang w:val="fr"/>
              </w:rPr>
              <w:t>élément</w:t>
            </w:r>
            <w:r w:rsidR="00FF710D" w:rsidRPr="00236502">
              <w:rPr>
                <w:sz w:val="20"/>
                <w:szCs w:val="20"/>
                <w:lang w:val="fr"/>
              </w:rPr>
              <w:t>s</w:t>
            </w:r>
            <w:r w:rsidRPr="00236502">
              <w:rPr>
                <w:sz w:val="20"/>
                <w:szCs w:val="20"/>
                <w:lang w:val="fr"/>
              </w:rPr>
              <w:t xml:space="preserve"> inscrit</w:t>
            </w:r>
            <w:r w:rsidR="00FF710D" w:rsidRPr="00236502">
              <w:rPr>
                <w:sz w:val="20"/>
                <w:szCs w:val="20"/>
                <w:lang w:val="fr"/>
              </w:rPr>
              <w:t xml:space="preserve">s, de meilleures pratiques de sauvegardes sélectionnées </w:t>
            </w:r>
            <w:r w:rsidRPr="00236502">
              <w:rPr>
                <w:sz w:val="20"/>
                <w:szCs w:val="20"/>
                <w:lang w:val="fr"/>
              </w:rPr>
              <w:t xml:space="preserve">ou </w:t>
            </w:r>
            <w:r w:rsidR="00FF710D" w:rsidRPr="00236502">
              <w:rPr>
                <w:sz w:val="20"/>
                <w:szCs w:val="20"/>
                <w:lang w:val="fr"/>
              </w:rPr>
              <w:t xml:space="preserve">de </w:t>
            </w:r>
            <w:r w:rsidRPr="00236502">
              <w:rPr>
                <w:sz w:val="20"/>
                <w:szCs w:val="20"/>
                <w:lang w:val="fr"/>
              </w:rPr>
              <w:t>demandes d</w:t>
            </w:r>
            <w:r w:rsidR="00FF710D" w:rsidRPr="00236502">
              <w:rPr>
                <w:sz w:val="20"/>
                <w:szCs w:val="20"/>
                <w:lang w:val="fr"/>
              </w:rPr>
              <w:t>’</w:t>
            </w:r>
            <w:r w:rsidRPr="00236502">
              <w:rPr>
                <w:sz w:val="20"/>
                <w:szCs w:val="20"/>
                <w:lang w:val="fr"/>
              </w:rPr>
              <w:t xml:space="preserve">assistance internationale </w:t>
            </w:r>
            <w:r w:rsidR="00FF710D" w:rsidRPr="00236502">
              <w:rPr>
                <w:sz w:val="20"/>
                <w:szCs w:val="20"/>
                <w:lang w:val="fr"/>
              </w:rPr>
              <w:t>de plus de</w:t>
            </w:r>
            <w:r w:rsidRPr="00236502">
              <w:rPr>
                <w:sz w:val="20"/>
                <w:szCs w:val="20"/>
                <w:lang w:val="fr"/>
              </w:rPr>
              <w:t xml:space="preserve"> 100</w:t>
            </w:r>
            <w:r w:rsidR="00FF710D" w:rsidRPr="00236502">
              <w:rPr>
                <w:sz w:val="20"/>
                <w:szCs w:val="20"/>
                <w:lang w:val="fr"/>
              </w:rPr>
              <w:t> </w:t>
            </w:r>
            <w:r w:rsidRPr="00236502">
              <w:rPr>
                <w:sz w:val="20"/>
                <w:szCs w:val="20"/>
                <w:lang w:val="fr"/>
              </w:rPr>
              <w:t xml:space="preserve">000 </w:t>
            </w:r>
            <w:r w:rsidR="00FF710D" w:rsidRPr="00236502">
              <w:rPr>
                <w:sz w:val="20"/>
                <w:szCs w:val="20"/>
                <w:lang w:val="fr"/>
              </w:rPr>
              <w:t>dollars des États-Unis accordées, et aux</w:t>
            </w:r>
            <w:r w:rsidRPr="00236502">
              <w:rPr>
                <w:sz w:val="20"/>
                <w:szCs w:val="20"/>
                <w:lang w:val="fr"/>
              </w:rPr>
              <w:t xml:space="preserve"> candidatures à la Liste du patrimoine culturel immatériel nécessitant une sauvegarde urgente ; </w:t>
            </w:r>
          </w:p>
          <w:p w:rsidR="001B374B" w:rsidRPr="00236502" w:rsidRDefault="00611408" w:rsidP="00A23D36">
            <w:pPr>
              <w:pStyle w:val="COMPara"/>
              <w:numPr>
                <w:ilvl w:val="0"/>
                <w:numId w:val="0"/>
              </w:numPr>
              <w:jc w:val="both"/>
              <w:rPr>
                <w:sz w:val="20"/>
                <w:szCs w:val="20"/>
                <w:lang w:val="fr"/>
              </w:rPr>
            </w:pPr>
            <w:proofErr w:type="gramStart"/>
            <w:r w:rsidRPr="00236502">
              <w:rPr>
                <w:sz w:val="20"/>
                <w:szCs w:val="20"/>
                <w:lang w:val="fr"/>
              </w:rPr>
              <w:t>priorité</w:t>
            </w:r>
            <w:proofErr w:type="gramEnd"/>
            <w:r w:rsidRPr="00236502">
              <w:rPr>
                <w:sz w:val="20"/>
                <w:szCs w:val="20"/>
                <w:lang w:val="fr"/>
              </w:rPr>
              <w:t xml:space="preserve"> (ii) </w:t>
            </w:r>
            <w:r w:rsidR="00FF710D" w:rsidRPr="00236502">
              <w:rPr>
                <w:sz w:val="20"/>
                <w:szCs w:val="20"/>
                <w:lang w:val="fr"/>
              </w:rPr>
              <w:t>–</w:t>
            </w:r>
            <w:r w:rsidRPr="00236502">
              <w:rPr>
                <w:sz w:val="20"/>
                <w:szCs w:val="20"/>
                <w:lang w:val="fr"/>
              </w:rPr>
              <w:t xml:space="preserve"> </w:t>
            </w:r>
            <w:r w:rsidR="00FF710D" w:rsidRPr="00236502">
              <w:rPr>
                <w:sz w:val="20"/>
                <w:szCs w:val="20"/>
                <w:lang w:val="fr"/>
              </w:rPr>
              <w:t xml:space="preserve">aux </w:t>
            </w:r>
            <w:r w:rsidRPr="00236502">
              <w:rPr>
                <w:sz w:val="20"/>
                <w:szCs w:val="20"/>
                <w:lang w:val="fr"/>
              </w:rPr>
              <w:t xml:space="preserve">dossiers multinationaux ; </w:t>
            </w:r>
            <w:r w:rsidR="00FF710D" w:rsidRPr="00236502">
              <w:rPr>
                <w:sz w:val="20"/>
                <w:szCs w:val="20"/>
                <w:lang w:val="fr"/>
              </w:rPr>
              <w:t>et</w:t>
            </w:r>
          </w:p>
          <w:p w:rsidR="001B374B" w:rsidRPr="00236502" w:rsidRDefault="00611408" w:rsidP="00F3089F">
            <w:pPr>
              <w:autoSpaceDE w:val="0"/>
              <w:autoSpaceDN w:val="0"/>
              <w:adjustRightInd w:val="0"/>
              <w:rPr>
                <w:sz w:val="20"/>
                <w:szCs w:val="20"/>
                <w:lang w:val="fr"/>
              </w:rPr>
            </w:pPr>
            <w:proofErr w:type="gramStart"/>
            <w:r w:rsidRPr="00236502">
              <w:rPr>
                <w:rFonts w:ascii="Arial" w:hAnsi="Arial" w:cs="Arial"/>
                <w:snapToGrid w:val="0"/>
                <w:sz w:val="20"/>
                <w:szCs w:val="20"/>
                <w:lang w:val="fr" w:eastAsia="en-US"/>
              </w:rPr>
              <w:t>priorité</w:t>
            </w:r>
            <w:proofErr w:type="gramEnd"/>
            <w:r w:rsidRPr="00236502">
              <w:rPr>
                <w:rFonts w:ascii="Arial" w:hAnsi="Arial" w:cs="Arial"/>
                <w:snapToGrid w:val="0"/>
                <w:sz w:val="20"/>
                <w:szCs w:val="20"/>
                <w:lang w:val="fr" w:eastAsia="en-US"/>
              </w:rPr>
              <w:t xml:space="preserve"> (iii) - </w:t>
            </w:r>
            <w:r w:rsidR="00FF710D" w:rsidRPr="00236502">
              <w:rPr>
                <w:rFonts w:ascii="Arial" w:hAnsi="Arial" w:cs="Arial"/>
                <w:snapToGrid w:val="0"/>
                <w:sz w:val="20"/>
                <w:szCs w:val="20"/>
                <w:lang w:val="fr" w:eastAsia="en-US"/>
              </w:rPr>
              <w:t>aux dossiers provenant d’États ayant le moins d’éléments inscrits, de meilleures pratiques de sauvegarde sélectionnées ou de demandes d’assistance international de plus de 100 000 dollars des États-Unis accordées par rapport aux autres États soumissionnaires au cours du même cycle</w:t>
            </w:r>
            <w:r w:rsidRPr="00236502">
              <w:rPr>
                <w:sz w:val="20"/>
                <w:szCs w:val="20"/>
                <w:lang w:val="fr"/>
              </w:rPr>
              <w:t xml:space="preserve"> </w:t>
            </w:r>
          </w:p>
        </w:tc>
      </w:tr>
    </w:tbl>
    <w:p w:rsidR="00CD0BEA" w:rsidRPr="00FF710D" w:rsidRDefault="00611408" w:rsidP="00236502">
      <w:pPr>
        <w:pStyle w:val="COMPara"/>
        <w:spacing w:before="240"/>
        <w:ind w:left="567" w:hanging="567"/>
        <w:jc w:val="both"/>
        <w:rPr>
          <w:lang w:val="fr-FR"/>
        </w:rPr>
      </w:pPr>
      <w:r>
        <w:rPr>
          <w:lang w:val="fr"/>
        </w:rPr>
        <w:t xml:space="preserve">En outre, le Comité a </w:t>
      </w:r>
      <w:r w:rsidR="00E828CE">
        <w:rPr>
          <w:lang w:val="fr"/>
        </w:rPr>
        <w:t xml:space="preserve">régulièrement </w:t>
      </w:r>
      <w:r>
        <w:rPr>
          <w:lang w:val="fr"/>
        </w:rPr>
        <w:t>établi un plafond annuel de dossiers pour un cycle donné tout en demandant qu</w:t>
      </w:r>
      <w:r w:rsidR="00FF710D">
        <w:rPr>
          <w:lang w:val="fr"/>
        </w:rPr>
        <w:t>’</w:t>
      </w:r>
      <w:r>
        <w:rPr>
          <w:lang w:val="fr"/>
        </w:rPr>
        <w:t xml:space="preserve">au moins un dossier par État soumissionnaire soit traité pendant une période de deux ans, dans </w:t>
      </w:r>
      <w:r w:rsidR="00E828CE">
        <w:rPr>
          <w:lang w:val="fr"/>
        </w:rPr>
        <w:t>les limites</w:t>
      </w:r>
      <w:r>
        <w:rPr>
          <w:lang w:val="fr"/>
        </w:rPr>
        <w:t xml:space="preserve"> du plafond convenu</w:t>
      </w:r>
      <w:r w:rsidR="00C355DF">
        <w:rPr>
          <w:lang w:val="fr"/>
        </w:rPr>
        <w:t>.</w:t>
      </w:r>
      <w:r>
        <w:rPr>
          <w:rStyle w:val="FootnoteReference"/>
          <w:lang w:val="fr"/>
        </w:rPr>
        <w:footnoteReference w:id="2"/>
      </w:r>
      <w:r>
        <w:rPr>
          <w:lang w:val="fr"/>
        </w:rPr>
        <w:t xml:space="preserve"> En application des décisions du Comité selon lesquelles au moins un dossier de candidature par État soumissionnaire est traité pendant une période de deux ans, les dossiers des États soumissionnaires n</w:t>
      </w:r>
      <w:r w:rsidR="00FF710D">
        <w:rPr>
          <w:lang w:val="fr"/>
        </w:rPr>
        <w:t>’</w:t>
      </w:r>
      <w:r>
        <w:rPr>
          <w:lang w:val="fr"/>
        </w:rPr>
        <w:t xml:space="preserve">ayant pas de dossiers nationaux inclus dans le cycle précédent sont considérés </w:t>
      </w:r>
      <w:r w:rsidR="002F0008">
        <w:rPr>
          <w:lang w:val="fr"/>
        </w:rPr>
        <w:t xml:space="preserve">comme relevant de la </w:t>
      </w:r>
      <w:r>
        <w:rPr>
          <w:u w:val="single"/>
          <w:lang w:val="fr"/>
        </w:rPr>
        <w:t>priorit</w:t>
      </w:r>
      <w:r w:rsidR="002F0008">
        <w:rPr>
          <w:u w:val="single"/>
          <w:lang w:val="fr"/>
        </w:rPr>
        <w:t>é</w:t>
      </w:r>
      <w:r>
        <w:rPr>
          <w:u w:val="single"/>
          <w:lang w:val="fr"/>
        </w:rPr>
        <w:t xml:space="preserve"> (0)</w:t>
      </w:r>
      <w:r>
        <w:rPr>
          <w:lang w:val="fr"/>
        </w:rPr>
        <w:t>. En outre, afin de garantir l</w:t>
      </w:r>
      <w:r w:rsidR="00FF710D">
        <w:rPr>
          <w:lang w:val="fr"/>
        </w:rPr>
        <w:t>’</w:t>
      </w:r>
      <w:r>
        <w:rPr>
          <w:lang w:val="fr"/>
        </w:rPr>
        <w:t>équité entre les États soumissionnaires ayant la même priorité,</w:t>
      </w:r>
      <w:r>
        <w:rPr>
          <w:snapToGrid/>
          <w:lang w:val="fr"/>
        </w:rPr>
        <w:t xml:space="preserve"> le Comité a également demandé </w:t>
      </w:r>
      <w:r w:rsidR="00E828CE">
        <w:rPr>
          <w:snapToGrid/>
          <w:lang w:val="fr"/>
        </w:rPr>
        <w:t xml:space="preserve">au </w:t>
      </w:r>
      <w:r>
        <w:rPr>
          <w:snapToGrid/>
          <w:lang w:val="fr"/>
        </w:rPr>
        <w:t xml:space="preserve">Secrétariat </w:t>
      </w:r>
      <w:r w:rsidR="00E828CE">
        <w:rPr>
          <w:snapToGrid/>
          <w:lang w:val="fr"/>
        </w:rPr>
        <w:t xml:space="preserve">de faire </w:t>
      </w:r>
      <w:r>
        <w:rPr>
          <w:snapToGrid/>
          <w:lang w:val="fr"/>
        </w:rPr>
        <w:t xml:space="preserve">preuve de </w:t>
      </w:r>
      <w:r w:rsidR="00E828CE">
        <w:rPr>
          <w:snapToGrid/>
          <w:lang w:val="fr"/>
        </w:rPr>
        <w:t xml:space="preserve">souplesse </w:t>
      </w:r>
      <w:r>
        <w:rPr>
          <w:lang w:val="fr"/>
        </w:rPr>
        <w:t>dans les cas où plusieurs États ont le même nombre d</w:t>
      </w:r>
      <w:r w:rsidR="00FF710D">
        <w:rPr>
          <w:lang w:val="fr"/>
        </w:rPr>
        <w:t>’</w:t>
      </w:r>
      <w:r>
        <w:rPr>
          <w:lang w:val="fr"/>
        </w:rPr>
        <w:t>éléments inscrits, même si le nombre total de dossiers dépasse le plafond annuel établi.</w:t>
      </w:r>
    </w:p>
    <w:p w:rsidR="001C21B8" w:rsidRPr="00FF710D" w:rsidRDefault="00611408" w:rsidP="001C21B8">
      <w:pPr>
        <w:pStyle w:val="COMPara"/>
        <w:ind w:left="567" w:hanging="567"/>
        <w:jc w:val="both"/>
        <w:rPr>
          <w:lang w:val="fr-FR"/>
        </w:rPr>
      </w:pPr>
      <w:r>
        <w:rPr>
          <w:lang w:val="fr"/>
        </w:rPr>
        <w:t xml:space="preserve">Le Comité, lors de sa treizième session en 2018, en fixant le nombre de dossiers à </w:t>
      </w:r>
      <w:r w:rsidR="004B30D8">
        <w:rPr>
          <w:lang w:val="fr"/>
        </w:rPr>
        <w:t xml:space="preserve">cinquante </w:t>
      </w:r>
      <w:r>
        <w:rPr>
          <w:lang w:val="fr"/>
        </w:rPr>
        <w:t>pour les cycles 2020 et 2021, a demandé que le Secrétariat lui fasse rapport à sa présente session sur le nombre de dossiers soumis pour ces cycles et sur son expérience dans l</w:t>
      </w:r>
      <w:r w:rsidR="00FF710D">
        <w:rPr>
          <w:lang w:val="fr"/>
        </w:rPr>
        <w:t>’</w:t>
      </w:r>
      <w:r>
        <w:rPr>
          <w:lang w:val="fr"/>
        </w:rPr>
        <w:t xml:space="preserve">application des </w:t>
      </w:r>
      <w:r w:rsidR="00E828CE">
        <w:rPr>
          <w:lang w:val="fr"/>
        </w:rPr>
        <w:t>D</w:t>
      </w:r>
      <w:r>
        <w:rPr>
          <w:lang w:val="fr"/>
        </w:rPr>
        <w:t>irectives opérationnelles et des décisions des sessions précédentes (</w:t>
      </w:r>
      <w:r w:rsidR="009278AA">
        <w:fldChar w:fldCharType="begin"/>
      </w:r>
      <w:r w:rsidR="009278AA" w:rsidRPr="00440FBE">
        <w:rPr>
          <w:lang w:val="fr-FR"/>
        </w:rPr>
        <w:instrText xml:space="preserve"> HYPERLINK "https://ich.unesco.org/fr/Decisions/13.COM/15" </w:instrText>
      </w:r>
      <w:r w:rsidR="009278AA">
        <w:fldChar w:fldCharType="separate"/>
      </w:r>
      <w:r>
        <w:rPr>
          <w:rStyle w:val="Hyperlink"/>
          <w:rFonts w:eastAsia="SimSun"/>
          <w:lang w:val="fr"/>
        </w:rPr>
        <w:t>Décision 13.COM 15</w:t>
      </w:r>
      <w:r w:rsidR="009278AA">
        <w:rPr>
          <w:rStyle w:val="Hyperlink"/>
          <w:rFonts w:eastAsia="SimSun"/>
          <w:lang w:val="fr"/>
        </w:rPr>
        <w:fldChar w:fldCharType="end"/>
      </w:r>
      <w:r>
        <w:rPr>
          <w:lang w:val="fr"/>
        </w:rPr>
        <w:t xml:space="preserve">). En conséquence, le Comité est appelé à prendre note du nombre de dossiers </w:t>
      </w:r>
      <w:r w:rsidR="00E828CE">
        <w:rPr>
          <w:lang w:val="fr"/>
        </w:rPr>
        <w:t xml:space="preserve">soumis </w:t>
      </w:r>
      <w:r>
        <w:rPr>
          <w:lang w:val="fr"/>
        </w:rPr>
        <w:t>pour les cycles 2020 et 2021 avec l</w:t>
      </w:r>
      <w:r w:rsidR="00FF710D">
        <w:rPr>
          <w:lang w:val="fr"/>
        </w:rPr>
        <w:t>’</w:t>
      </w:r>
      <w:r>
        <w:rPr>
          <w:lang w:val="fr"/>
        </w:rPr>
        <w:t>analyse de la situation pour ces deux cycles, et à déterminer le nombre global de dossiers qui peuvent être traités pour les cycles 2022 et 2023.</w:t>
      </w:r>
    </w:p>
    <w:p w:rsidR="0065564C" w:rsidRDefault="00611408" w:rsidP="0065564C">
      <w:pPr>
        <w:pStyle w:val="Heading4"/>
        <w:spacing w:before="240"/>
        <w:ind w:hanging="578"/>
        <w:rPr>
          <w:b w:val="0"/>
        </w:rPr>
      </w:pPr>
      <w:r>
        <w:rPr>
          <w:lang w:val="fr"/>
        </w:rPr>
        <w:t>Rapport sur le cycle 2020</w:t>
      </w:r>
    </w:p>
    <w:p w:rsidR="00F05AB6" w:rsidRPr="00FF710D" w:rsidRDefault="00611408" w:rsidP="00736749">
      <w:pPr>
        <w:pStyle w:val="COMPara"/>
        <w:ind w:left="567" w:hanging="567"/>
        <w:jc w:val="both"/>
        <w:rPr>
          <w:lang w:val="fr-FR"/>
        </w:rPr>
      </w:pPr>
      <w:r>
        <w:rPr>
          <w:lang w:val="fr"/>
        </w:rPr>
        <w:t>Pour le cycle 2020</w:t>
      </w:r>
      <w:r w:rsidR="00C355DF">
        <w:rPr>
          <w:lang w:val="fr"/>
        </w:rPr>
        <w:t>,</w:t>
      </w:r>
      <w:r>
        <w:rPr>
          <w:rStyle w:val="FootnoteReference"/>
          <w:lang w:val="fr"/>
        </w:rPr>
        <w:footnoteReference w:id="3"/>
      </w:r>
      <w:r>
        <w:rPr>
          <w:lang w:val="fr"/>
        </w:rPr>
        <w:t xml:space="preserve"> le Secrétariat a reçu </w:t>
      </w:r>
      <w:r w:rsidR="004B30D8">
        <w:rPr>
          <w:lang w:val="fr"/>
        </w:rPr>
        <w:t>soixante-et-</w:t>
      </w:r>
      <w:proofErr w:type="gramStart"/>
      <w:r w:rsidR="004B30D8">
        <w:rPr>
          <w:lang w:val="fr"/>
        </w:rPr>
        <w:t xml:space="preserve">un </w:t>
      </w:r>
      <w:r>
        <w:rPr>
          <w:lang w:val="fr"/>
        </w:rPr>
        <w:t>nouveaux dossiers</w:t>
      </w:r>
      <w:proofErr w:type="gramEnd"/>
      <w:r>
        <w:rPr>
          <w:lang w:val="fr"/>
        </w:rPr>
        <w:t xml:space="preserve"> de </w:t>
      </w:r>
      <w:proofErr w:type="spellStart"/>
      <w:r w:rsidR="004B30D8">
        <w:rPr>
          <w:lang w:val="fr"/>
        </w:rPr>
        <w:t>cinquante sept</w:t>
      </w:r>
      <w:proofErr w:type="spellEnd"/>
      <w:r w:rsidR="004B30D8">
        <w:rPr>
          <w:lang w:val="fr"/>
        </w:rPr>
        <w:t xml:space="preserve"> </w:t>
      </w:r>
      <w:r>
        <w:rPr>
          <w:lang w:val="fr"/>
        </w:rPr>
        <w:t>États à la date limite du 31 mars 2019. Outre les nouveaux dossiers reçus, il y avait de nombreux dossiers reportés des cycles précédents (</w:t>
      </w:r>
      <w:r w:rsidRPr="00526023">
        <w:rPr>
          <w:lang w:val="fr"/>
        </w:rPr>
        <w:t xml:space="preserve">appelés « dossiers en </w:t>
      </w:r>
      <w:r w:rsidR="00526023" w:rsidRPr="00526023">
        <w:rPr>
          <w:lang w:val="fr"/>
        </w:rPr>
        <w:t>attente</w:t>
      </w:r>
      <w:r w:rsidR="00526023">
        <w:rPr>
          <w:lang w:val="fr"/>
        </w:rPr>
        <w:t> </w:t>
      </w:r>
      <w:r>
        <w:rPr>
          <w:lang w:val="fr"/>
        </w:rPr>
        <w:t>») qui n</w:t>
      </w:r>
      <w:r w:rsidR="00FF710D">
        <w:rPr>
          <w:lang w:val="fr"/>
        </w:rPr>
        <w:t>’</w:t>
      </w:r>
      <w:r>
        <w:rPr>
          <w:lang w:val="fr"/>
        </w:rPr>
        <w:t xml:space="preserve">avaient pas été traités auparavant en raison du plafond fixé. Sur la base des indications </w:t>
      </w:r>
      <w:r>
        <w:rPr>
          <w:lang w:val="fr"/>
        </w:rPr>
        <w:lastRenderedPageBreak/>
        <w:t>données par les États soumissionnaires quant aux dossiers qu</w:t>
      </w:r>
      <w:r w:rsidR="00FF710D">
        <w:rPr>
          <w:lang w:val="fr"/>
        </w:rPr>
        <w:t>’</w:t>
      </w:r>
      <w:r>
        <w:rPr>
          <w:lang w:val="fr"/>
        </w:rPr>
        <w:t xml:space="preserve">ils souhaiteraient voir examiner, </w:t>
      </w:r>
      <w:proofErr w:type="gramStart"/>
      <w:r w:rsidR="004B30D8">
        <w:rPr>
          <w:lang w:val="fr"/>
        </w:rPr>
        <w:t>quatre-vingt</w:t>
      </w:r>
      <w:proofErr w:type="gramEnd"/>
      <w:r w:rsidR="004B30D8">
        <w:rPr>
          <w:lang w:val="fr"/>
        </w:rPr>
        <w:t xml:space="preserve"> </w:t>
      </w:r>
      <w:r w:rsidR="001D3967">
        <w:rPr>
          <w:lang w:val="fr"/>
        </w:rPr>
        <w:t xml:space="preserve">candidatures </w:t>
      </w:r>
      <w:r>
        <w:rPr>
          <w:lang w:val="fr"/>
        </w:rPr>
        <w:t xml:space="preserve">(dont </w:t>
      </w:r>
      <w:r w:rsidR="004B30D8">
        <w:rPr>
          <w:lang w:val="fr"/>
        </w:rPr>
        <w:t>seize</w:t>
      </w:r>
      <w:r w:rsidR="001D3967">
        <w:rPr>
          <w:lang w:val="fr"/>
        </w:rPr>
        <w:t xml:space="preserve"> </w:t>
      </w:r>
      <w:r>
        <w:rPr>
          <w:lang w:val="fr"/>
        </w:rPr>
        <w:t xml:space="preserve">multinationales) </w:t>
      </w:r>
      <w:r w:rsidR="00FA5337">
        <w:rPr>
          <w:lang w:val="fr"/>
        </w:rPr>
        <w:t>pourraient potentiellement être pris</w:t>
      </w:r>
      <w:r>
        <w:rPr>
          <w:lang w:val="fr"/>
        </w:rPr>
        <w:t xml:space="preserve"> en considération pour le cycle 2020. En application de la décision du Comité </w:t>
      </w:r>
      <w:hyperlink r:id="rId8" w:history="1">
        <w:r>
          <w:rPr>
            <w:rStyle w:val="Hyperlink"/>
            <w:lang w:val="fr"/>
          </w:rPr>
          <w:t>Décision</w:t>
        </w:r>
        <w:r w:rsidR="008B1FA5">
          <w:rPr>
            <w:rStyle w:val="Hyperlink"/>
            <w:lang w:val="fr"/>
          </w:rPr>
          <w:t> </w:t>
        </w:r>
        <w:r>
          <w:rPr>
            <w:rStyle w:val="Hyperlink"/>
            <w:lang w:val="fr"/>
          </w:rPr>
          <w:t>13.COM 15</w:t>
        </w:r>
      </w:hyperlink>
      <w:r>
        <w:rPr>
          <w:rStyle w:val="Hyperlink"/>
          <w:lang w:val="fr"/>
        </w:rPr>
        <w:t xml:space="preserve"> </w:t>
      </w:r>
      <w:r>
        <w:rPr>
          <w:lang w:val="fr"/>
        </w:rPr>
        <w:t xml:space="preserve">et les niveaux de priorité définis au paragraphe 34 des </w:t>
      </w:r>
      <w:r w:rsidR="00FA5337">
        <w:rPr>
          <w:lang w:val="fr"/>
        </w:rPr>
        <w:t>D</w:t>
      </w:r>
      <w:r>
        <w:rPr>
          <w:lang w:val="fr"/>
        </w:rPr>
        <w:t xml:space="preserve">irectives opérationnelles, </w:t>
      </w:r>
      <w:r w:rsidR="004B30D8">
        <w:rPr>
          <w:lang w:val="fr"/>
        </w:rPr>
        <w:t xml:space="preserve">cinquante-trois </w:t>
      </w:r>
      <w:r>
        <w:rPr>
          <w:lang w:val="fr"/>
        </w:rPr>
        <w:t xml:space="preserve">dossiers sur ces </w:t>
      </w:r>
      <w:r w:rsidR="004B30D8">
        <w:rPr>
          <w:lang w:val="fr"/>
        </w:rPr>
        <w:t>quatre-</w:t>
      </w:r>
      <w:proofErr w:type="gramStart"/>
      <w:r w:rsidR="004B30D8">
        <w:rPr>
          <w:lang w:val="fr"/>
        </w:rPr>
        <w:t xml:space="preserve">vingt </w:t>
      </w:r>
      <w:r>
        <w:rPr>
          <w:lang w:val="fr"/>
        </w:rPr>
        <w:t xml:space="preserve"> ont</w:t>
      </w:r>
      <w:proofErr w:type="gramEnd"/>
      <w:r>
        <w:rPr>
          <w:lang w:val="fr"/>
        </w:rPr>
        <w:t xml:space="preserve"> été examinés pour le cycle 2020 (</w:t>
      </w:r>
      <w:r w:rsidR="004B30D8">
        <w:rPr>
          <w:lang w:val="fr"/>
        </w:rPr>
        <w:t xml:space="preserve">trente-sept </w:t>
      </w:r>
      <w:r>
        <w:rPr>
          <w:lang w:val="fr"/>
        </w:rPr>
        <w:t xml:space="preserve">dossiers nationaux et </w:t>
      </w:r>
      <w:r w:rsidR="004B30D8">
        <w:rPr>
          <w:lang w:val="fr"/>
        </w:rPr>
        <w:t xml:space="preserve">seize </w:t>
      </w:r>
      <w:r>
        <w:rPr>
          <w:lang w:val="fr"/>
        </w:rPr>
        <w:t xml:space="preserve">dossiers multinationaux). Cela signifie que </w:t>
      </w:r>
      <w:r w:rsidR="004B30D8">
        <w:rPr>
          <w:lang w:val="fr"/>
        </w:rPr>
        <w:t xml:space="preserve">vingt-sept </w:t>
      </w:r>
      <w:r>
        <w:rPr>
          <w:lang w:val="fr"/>
        </w:rPr>
        <w:t>États ayant un ou plusieurs éléments déjà inscrits sur les Listes n</w:t>
      </w:r>
      <w:r w:rsidR="00FF710D">
        <w:rPr>
          <w:lang w:val="fr"/>
        </w:rPr>
        <w:t>’</w:t>
      </w:r>
      <w:r>
        <w:rPr>
          <w:lang w:val="fr"/>
        </w:rPr>
        <w:t>ont pas pu voir leurs dossiers inclus dans le cycle 2020.</w:t>
      </w:r>
    </w:p>
    <w:p w:rsidR="002D26AD" w:rsidRPr="00A17B45" w:rsidRDefault="00611408" w:rsidP="002D26AD">
      <w:pPr>
        <w:pStyle w:val="Heading4"/>
        <w:spacing w:before="240"/>
        <w:ind w:hanging="578"/>
      </w:pPr>
      <w:r>
        <w:rPr>
          <w:lang w:val="fr"/>
        </w:rPr>
        <w:t>Rapport sur le cycle 2021</w:t>
      </w:r>
    </w:p>
    <w:p w:rsidR="005A139E" w:rsidRPr="00FF710D" w:rsidRDefault="00611408" w:rsidP="00D22243">
      <w:pPr>
        <w:pStyle w:val="COMPara"/>
        <w:ind w:left="567" w:hanging="567"/>
        <w:jc w:val="both"/>
        <w:rPr>
          <w:lang w:val="fr-FR"/>
        </w:rPr>
      </w:pPr>
      <w:r>
        <w:rPr>
          <w:lang w:val="fr"/>
        </w:rPr>
        <w:t>Pour le cycle 2021</w:t>
      </w:r>
      <w:r w:rsidR="00C355DF">
        <w:rPr>
          <w:lang w:val="fr"/>
        </w:rPr>
        <w:t>,</w:t>
      </w:r>
      <w:r>
        <w:rPr>
          <w:rStyle w:val="FootnoteReference"/>
          <w:lang w:val="fr"/>
        </w:rPr>
        <w:footnoteReference w:id="4"/>
      </w:r>
      <w:r>
        <w:rPr>
          <w:lang w:val="fr"/>
        </w:rPr>
        <w:t xml:space="preserve"> le Secrétariat a reçu </w:t>
      </w:r>
      <w:r w:rsidR="004B30D8">
        <w:rPr>
          <w:lang w:val="fr"/>
        </w:rPr>
        <w:t xml:space="preserve">soixante-et-onze </w:t>
      </w:r>
      <w:r>
        <w:rPr>
          <w:lang w:val="fr"/>
        </w:rPr>
        <w:t xml:space="preserve">nouveaux dossiers de </w:t>
      </w:r>
      <w:r w:rsidR="004B30D8">
        <w:rPr>
          <w:lang w:val="fr"/>
        </w:rPr>
        <w:t xml:space="preserve">soixante-quatre </w:t>
      </w:r>
      <w:r>
        <w:rPr>
          <w:lang w:val="fr"/>
        </w:rPr>
        <w:t xml:space="preserve">États à la date limite du 31 mars 2020. Avec </w:t>
      </w:r>
      <w:r w:rsidR="00526023">
        <w:rPr>
          <w:lang w:val="fr"/>
        </w:rPr>
        <w:t>les dossier</w:t>
      </w:r>
      <w:r w:rsidR="001D3967">
        <w:rPr>
          <w:lang w:val="fr"/>
        </w:rPr>
        <w:t>s</w:t>
      </w:r>
      <w:r w:rsidR="00526023">
        <w:rPr>
          <w:lang w:val="fr"/>
        </w:rPr>
        <w:t xml:space="preserve"> en attente, </w:t>
      </w:r>
      <w:r>
        <w:rPr>
          <w:lang w:val="fr"/>
        </w:rPr>
        <w:t>le nombre de dossiers recevables pour le cycle 2021 était de 220. Sur la base des indications données par les États soumissionnaires quant aux dossiers qu</w:t>
      </w:r>
      <w:r w:rsidR="00FF710D">
        <w:rPr>
          <w:lang w:val="fr"/>
        </w:rPr>
        <w:t>’</w:t>
      </w:r>
      <w:r>
        <w:rPr>
          <w:lang w:val="fr"/>
        </w:rPr>
        <w:t xml:space="preserve">ils souhaiteraient voir examiner, </w:t>
      </w:r>
      <w:r w:rsidR="004B30D8">
        <w:rPr>
          <w:lang w:val="fr"/>
        </w:rPr>
        <w:t xml:space="preserve">quatre-vingt-douze </w:t>
      </w:r>
      <w:r>
        <w:rPr>
          <w:lang w:val="fr"/>
        </w:rPr>
        <w:t xml:space="preserve">dossiers potentiels (dont </w:t>
      </w:r>
      <w:r w:rsidR="004B30D8">
        <w:rPr>
          <w:lang w:val="fr"/>
        </w:rPr>
        <w:t>seize</w:t>
      </w:r>
      <w:r w:rsidR="00FA5337">
        <w:rPr>
          <w:lang w:val="fr"/>
        </w:rPr>
        <w:t xml:space="preserve"> </w:t>
      </w:r>
      <w:r>
        <w:rPr>
          <w:lang w:val="fr"/>
        </w:rPr>
        <w:t>dossiers multinationaux) ont été examinés pour le cycle 2021.</w:t>
      </w:r>
    </w:p>
    <w:p w:rsidR="00F51B86" w:rsidRPr="00F3089F" w:rsidRDefault="00611408" w:rsidP="0065564C">
      <w:pPr>
        <w:pStyle w:val="COMPara"/>
        <w:ind w:left="567" w:hanging="567"/>
        <w:jc w:val="both"/>
        <w:rPr>
          <w:lang w:val="fr-FR"/>
        </w:rPr>
      </w:pPr>
      <w:r>
        <w:rPr>
          <w:lang w:val="fr"/>
        </w:rPr>
        <w:t xml:space="preserve">La particularité du cycle 2021 est que </w:t>
      </w:r>
      <w:r w:rsidR="004B30D8">
        <w:rPr>
          <w:lang w:val="fr"/>
        </w:rPr>
        <w:t xml:space="preserve">cinquante-trois </w:t>
      </w:r>
      <w:r>
        <w:rPr>
          <w:lang w:val="fr"/>
        </w:rPr>
        <w:t xml:space="preserve">dossiers, sur les </w:t>
      </w:r>
      <w:r w:rsidR="004B30D8">
        <w:rPr>
          <w:lang w:val="fr"/>
        </w:rPr>
        <w:t xml:space="preserve">quatre-vingt-douze </w:t>
      </w:r>
      <w:r w:rsidR="00FA5337">
        <w:rPr>
          <w:lang w:val="fr"/>
        </w:rPr>
        <w:t>soumis</w:t>
      </w:r>
      <w:r>
        <w:rPr>
          <w:lang w:val="fr"/>
        </w:rPr>
        <w:t xml:space="preserve">, </w:t>
      </w:r>
      <w:r w:rsidR="00C04455">
        <w:rPr>
          <w:lang w:val="fr"/>
        </w:rPr>
        <w:t>relèvent de la priorité</w:t>
      </w:r>
      <w:r>
        <w:rPr>
          <w:lang w:val="fr"/>
        </w:rPr>
        <w:t xml:space="preserve"> (0). En d</w:t>
      </w:r>
      <w:r w:rsidR="00FF710D">
        <w:rPr>
          <w:lang w:val="fr"/>
        </w:rPr>
        <w:t>’</w:t>
      </w:r>
      <w:r>
        <w:rPr>
          <w:lang w:val="fr"/>
        </w:rPr>
        <w:t xml:space="preserve">autres termes, et pour la première fois, le nombre de dossiers nationaux </w:t>
      </w:r>
      <w:r w:rsidR="00C04455">
        <w:rPr>
          <w:lang w:val="fr"/>
        </w:rPr>
        <w:t xml:space="preserve">relevant </w:t>
      </w:r>
      <w:r>
        <w:rPr>
          <w:lang w:val="fr"/>
        </w:rPr>
        <w:t xml:space="preserve">de la seule priorité (0) a dépassé le plafond annuel de </w:t>
      </w:r>
      <w:r w:rsidR="004B30D8">
        <w:rPr>
          <w:lang w:val="fr"/>
        </w:rPr>
        <w:t xml:space="preserve">cinquante </w:t>
      </w:r>
      <w:r>
        <w:rPr>
          <w:lang w:val="fr"/>
        </w:rPr>
        <w:t>dossiers et, par conséquent, tous les autres dossiers relevant d</w:t>
      </w:r>
      <w:r w:rsidR="00FF710D">
        <w:rPr>
          <w:lang w:val="fr"/>
        </w:rPr>
        <w:t>’</w:t>
      </w:r>
      <w:r>
        <w:rPr>
          <w:lang w:val="fr"/>
        </w:rPr>
        <w:t xml:space="preserve">autres catégories ne seront pas pris en compte, y compris seize dossiers multinationaux. La treizième session du Comité en 2018 a été alertée sur le nombre croissant de dossiers nationaux </w:t>
      </w:r>
      <w:r w:rsidR="001D3967">
        <w:rPr>
          <w:lang w:val="fr"/>
        </w:rPr>
        <w:t>relevant de la</w:t>
      </w:r>
      <w:r>
        <w:rPr>
          <w:lang w:val="fr"/>
        </w:rPr>
        <w:t xml:space="preserve"> priorité (0), qui concerne </w:t>
      </w:r>
      <w:r w:rsidR="004B30D8">
        <w:rPr>
          <w:lang w:val="fr"/>
        </w:rPr>
        <w:t xml:space="preserve">trente-deux </w:t>
      </w:r>
      <w:r>
        <w:rPr>
          <w:lang w:val="fr"/>
        </w:rPr>
        <w:t xml:space="preserve">dossiers pour les cycles de 2019, soit deux tiers </w:t>
      </w:r>
      <w:r w:rsidRPr="00C04455">
        <w:rPr>
          <w:lang w:val="fr"/>
        </w:rPr>
        <w:t>des dossiers traités</w:t>
      </w:r>
      <w:r w:rsidR="00143F99">
        <w:rPr>
          <w:lang w:val="fr"/>
        </w:rPr>
        <w:t> ;</w:t>
      </w:r>
      <w:r w:rsidRPr="00C04455">
        <w:rPr>
          <w:lang w:val="fr"/>
        </w:rPr>
        <w:t xml:space="preserve"> en conséquence</w:t>
      </w:r>
      <w:r>
        <w:rPr>
          <w:lang w:val="fr"/>
        </w:rPr>
        <w:t xml:space="preserve">, seuls les dossiers </w:t>
      </w:r>
      <w:r w:rsidR="001D3967">
        <w:rPr>
          <w:lang w:val="fr"/>
        </w:rPr>
        <w:t xml:space="preserve">relevant </w:t>
      </w:r>
      <w:r>
        <w:rPr>
          <w:lang w:val="fr"/>
        </w:rPr>
        <w:t xml:space="preserve">des priorités (0), (i) et (ii) ont été inclus dans le cycle de 2019. Une mise en garde a été faite, à savoir que si la tendance se poursuit, la Convention pourrait être confrontée à une situation où les dossiers multinationaux correspondant à la catégorie (ii) ne pourraient pas être traités (document </w:t>
      </w:r>
      <w:r w:rsidR="009278AA">
        <w:fldChar w:fldCharType="begin"/>
      </w:r>
      <w:r w:rsidR="009278AA" w:rsidRPr="00440FBE">
        <w:rPr>
          <w:lang w:val="fr-FR"/>
        </w:rPr>
        <w:instrText xml:space="preserve"> HYPERLINK "https://ich.unesco.org/doc/src/LHE-19-14.COM-15-FR.docx" </w:instrText>
      </w:r>
      <w:r w:rsidR="009278AA">
        <w:fldChar w:fldCharType="separate"/>
      </w:r>
      <w:r>
        <w:rPr>
          <w:rStyle w:val="Hyperlink"/>
          <w:lang w:val="fr"/>
        </w:rPr>
        <w:t>ITH/18/13.COM/15</w:t>
      </w:r>
      <w:r w:rsidR="009278AA">
        <w:rPr>
          <w:rStyle w:val="Hyperlink"/>
          <w:lang w:val="fr"/>
        </w:rPr>
        <w:fldChar w:fldCharType="end"/>
      </w:r>
      <w:r>
        <w:rPr>
          <w:lang w:val="fr"/>
        </w:rPr>
        <w:t xml:space="preserve">). Cette prédiction </w:t>
      </w:r>
      <w:r w:rsidR="00C04455">
        <w:rPr>
          <w:lang w:val="fr"/>
        </w:rPr>
        <w:t>s’est avérée être vraie</w:t>
      </w:r>
      <w:r>
        <w:rPr>
          <w:lang w:val="fr"/>
        </w:rPr>
        <w:t xml:space="preserve"> pour le cycle de 2021.</w:t>
      </w:r>
    </w:p>
    <w:p w:rsidR="0065564C" w:rsidRPr="00FF710D" w:rsidRDefault="00611408" w:rsidP="0065564C">
      <w:pPr>
        <w:pStyle w:val="COMPara"/>
        <w:ind w:left="567" w:hanging="567"/>
        <w:jc w:val="both"/>
        <w:rPr>
          <w:lang w:val="fr-FR"/>
        </w:rPr>
      </w:pPr>
      <w:r>
        <w:rPr>
          <w:lang w:val="fr"/>
        </w:rPr>
        <w:t>Conscient de l</w:t>
      </w:r>
      <w:r w:rsidR="00FF710D">
        <w:rPr>
          <w:lang w:val="fr"/>
        </w:rPr>
        <w:t>’</w:t>
      </w:r>
      <w:r>
        <w:rPr>
          <w:lang w:val="fr"/>
        </w:rPr>
        <w:t>importance des dossiers multinationaux pour la coopération internationale ainsi que de la nécessité de poursuivre les efforts pour améliorer l</w:t>
      </w:r>
      <w:r w:rsidR="00FF710D">
        <w:rPr>
          <w:lang w:val="fr"/>
        </w:rPr>
        <w:t>’</w:t>
      </w:r>
      <w:r>
        <w:rPr>
          <w:lang w:val="fr"/>
        </w:rPr>
        <w:t>équilibre géographique des listes, le Secrétariat a décidé d</w:t>
      </w:r>
      <w:r w:rsidR="00FF710D">
        <w:rPr>
          <w:lang w:val="fr"/>
        </w:rPr>
        <w:t>’</w:t>
      </w:r>
      <w:r>
        <w:rPr>
          <w:lang w:val="fr"/>
        </w:rPr>
        <w:t xml:space="preserve">inclure </w:t>
      </w:r>
      <w:r w:rsidR="004B30D8">
        <w:rPr>
          <w:u w:val="single"/>
          <w:lang w:val="fr"/>
        </w:rPr>
        <w:t xml:space="preserve">soixante </w:t>
      </w:r>
      <w:r>
        <w:rPr>
          <w:u w:val="single"/>
          <w:lang w:val="fr"/>
        </w:rPr>
        <w:t>dossiers dans le cycle 2021</w:t>
      </w:r>
      <w:r>
        <w:rPr>
          <w:lang w:val="fr"/>
        </w:rPr>
        <w:t>. Par conséquent, ce cycle comprend non seulement les dossiers</w:t>
      </w:r>
      <w:r w:rsidR="00A60DC4">
        <w:rPr>
          <w:lang w:val="fr"/>
        </w:rPr>
        <w:t xml:space="preserve"> relevant</w:t>
      </w:r>
      <w:r>
        <w:rPr>
          <w:lang w:val="fr"/>
        </w:rPr>
        <w:t xml:space="preserve"> de la priorité (0), mais aussi les dossiers </w:t>
      </w:r>
      <w:r w:rsidR="00A60DC4">
        <w:rPr>
          <w:lang w:val="fr"/>
        </w:rPr>
        <w:t xml:space="preserve">relevant </w:t>
      </w:r>
      <w:r>
        <w:rPr>
          <w:lang w:val="fr"/>
        </w:rPr>
        <w:t xml:space="preserve">de la priorité (i) ainsi que cinq dossiers multinationaux sur les </w:t>
      </w:r>
      <w:r w:rsidR="004B30D8">
        <w:rPr>
          <w:lang w:val="fr"/>
        </w:rPr>
        <w:t xml:space="preserve">seize </w:t>
      </w:r>
      <w:r>
        <w:rPr>
          <w:lang w:val="fr"/>
        </w:rPr>
        <w:t>dossiers reçus au titre de la priorité (ii). Ces cinq dossiers multinationaux comprenaient au moins un État soumissionnaire qui n</w:t>
      </w:r>
      <w:r w:rsidR="00FF710D">
        <w:rPr>
          <w:lang w:val="fr"/>
        </w:rPr>
        <w:t>’</w:t>
      </w:r>
      <w:r>
        <w:rPr>
          <w:lang w:val="fr"/>
        </w:rPr>
        <w:t>a pas d</w:t>
      </w:r>
      <w:r w:rsidR="00FF710D">
        <w:rPr>
          <w:lang w:val="fr"/>
        </w:rPr>
        <w:t>’</w:t>
      </w:r>
      <w:r>
        <w:rPr>
          <w:lang w:val="fr"/>
        </w:rPr>
        <w:t xml:space="preserve">éléments nationaux inscrits. Les </w:t>
      </w:r>
      <w:r w:rsidR="004B30D8">
        <w:rPr>
          <w:lang w:val="fr"/>
        </w:rPr>
        <w:t>onze</w:t>
      </w:r>
      <w:r w:rsidR="00FA5337">
        <w:rPr>
          <w:lang w:val="fr"/>
        </w:rPr>
        <w:t xml:space="preserve"> </w:t>
      </w:r>
      <w:r>
        <w:rPr>
          <w:lang w:val="fr"/>
        </w:rPr>
        <w:t>dossiers multinationaux restants n</w:t>
      </w:r>
      <w:r w:rsidR="00FF710D">
        <w:rPr>
          <w:lang w:val="fr"/>
        </w:rPr>
        <w:t>’</w:t>
      </w:r>
      <w:r>
        <w:rPr>
          <w:lang w:val="fr"/>
        </w:rPr>
        <w:t xml:space="preserve">ont pas pu être inclus dans ce cycle et </w:t>
      </w:r>
      <w:r w:rsidR="004B30D8">
        <w:rPr>
          <w:lang w:val="fr"/>
        </w:rPr>
        <w:t xml:space="preserve">vingt </w:t>
      </w:r>
      <w:r>
        <w:rPr>
          <w:lang w:val="fr"/>
        </w:rPr>
        <w:t>États ayant un ou plusieurs éléments inscrits n</w:t>
      </w:r>
      <w:r w:rsidR="00FF710D">
        <w:rPr>
          <w:lang w:val="fr"/>
        </w:rPr>
        <w:t>’</w:t>
      </w:r>
      <w:r>
        <w:rPr>
          <w:lang w:val="fr"/>
        </w:rPr>
        <w:t>ont pas pu voir leurs dossiers nationaux sous la priorité (iii) inclus dans le cycle.</w:t>
      </w:r>
    </w:p>
    <w:p w:rsidR="00827114" w:rsidRPr="00FF710D" w:rsidRDefault="00611408" w:rsidP="00827114">
      <w:pPr>
        <w:pStyle w:val="Heading4"/>
        <w:spacing w:before="240"/>
        <w:ind w:hanging="578"/>
        <w:rPr>
          <w:lang w:val="fr-FR"/>
        </w:rPr>
      </w:pPr>
      <w:r>
        <w:rPr>
          <w:lang w:val="fr"/>
        </w:rPr>
        <w:t xml:space="preserve">Défis et </w:t>
      </w:r>
      <w:r w:rsidRPr="00C04455">
        <w:rPr>
          <w:lang w:val="fr"/>
        </w:rPr>
        <w:t>pistes de progrès</w:t>
      </w:r>
      <w:r>
        <w:rPr>
          <w:lang w:val="fr"/>
        </w:rPr>
        <w:t xml:space="preserve"> </w:t>
      </w:r>
    </w:p>
    <w:p w:rsidR="000E4859" w:rsidRPr="00FF710D" w:rsidRDefault="00611408" w:rsidP="000E4859">
      <w:pPr>
        <w:pStyle w:val="COMPara"/>
        <w:ind w:left="567" w:hanging="567"/>
        <w:jc w:val="both"/>
        <w:rPr>
          <w:lang w:val="fr-FR"/>
        </w:rPr>
      </w:pPr>
      <w:r>
        <w:rPr>
          <w:lang w:val="fr"/>
        </w:rPr>
        <w:t>Le problème susmentionné rencontré par le cycle 2021 a été longuement discuté lors de la huitième session de l</w:t>
      </w:r>
      <w:r w:rsidR="00FF710D">
        <w:rPr>
          <w:lang w:val="fr"/>
        </w:rPr>
        <w:t>’</w:t>
      </w:r>
      <w:r>
        <w:rPr>
          <w:lang w:val="fr"/>
        </w:rPr>
        <w:t xml:space="preserve">Assemblée générale en septembre 2020. Tout en saluant la bonne volonté du Secrétariat de porter à </w:t>
      </w:r>
      <w:r w:rsidR="004B30D8">
        <w:rPr>
          <w:lang w:val="fr"/>
        </w:rPr>
        <w:t xml:space="preserve">soixante </w:t>
      </w:r>
      <w:r>
        <w:rPr>
          <w:lang w:val="fr"/>
        </w:rPr>
        <w:t>le nombre de dossiers pour le cycle 2021, l</w:t>
      </w:r>
      <w:r w:rsidR="00FF710D">
        <w:rPr>
          <w:lang w:val="fr"/>
        </w:rPr>
        <w:t>’</w:t>
      </w:r>
      <w:r>
        <w:rPr>
          <w:lang w:val="fr"/>
        </w:rPr>
        <w:t>Assemblée a souligné la nécessité d</w:t>
      </w:r>
      <w:r w:rsidR="00FF710D">
        <w:rPr>
          <w:lang w:val="fr"/>
        </w:rPr>
        <w:t>’</w:t>
      </w:r>
      <w:r>
        <w:rPr>
          <w:lang w:val="fr"/>
        </w:rPr>
        <w:t xml:space="preserve">intensifier les efforts pour atteindre des </w:t>
      </w:r>
      <w:r w:rsidR="00BD0B80">
        <w:rPr>
          <w:lang w:val="fr"/>
        </w:rPr>
        <w:t>l</w:t>
      </w:r>
      <w:r>
        <w:rPr>
          <w:lang w:val="fr"/>
        </w:rPr>
        <w:t>istes géographiquement plus représentatives, équilibrées et culturellement diversifiées. À cette fin, l</w:t>
      </w:r>
      <w:r w:rsidR="00FF710D">
        <w:rPr>
          <w:lang w:val="fr"/>
        </w:rPr>
        <w:t>’</w:t>
      </w:r>
      <w:r>
        <w:rPr>
          <w:lang w:val="fr"/>
        </w:rPr>
        <w:t>Assemblée générale a recommandé que le Comité examine la possibilité d</w:t>
      </w:r>
      <w:r w:rsidR="00FF710D">
        <w:rPr>
          <w:lang w:val="fr"/>
        </w:rPr>
        <w:t>’</w:t>
      </w:r>
      <w:r>
        <w:rPr>
          <w:lang w:val="fr"/>
        </w:rPr>
        <w:t>augmenter le nombre de dossiers afin d</w:t>
      </w:r>
      <w:r w:rsidR="00FF710D">
        <w:rPr>
          <w:lang w:val="fr"/>
        </w:rPr>
        <w:t>’</w:t>
      </w:r>
      <w:r>
        <w:rPr>
          <w:lang w:val="fr"/>
        </w:rPr>
        <w:t>inclure tous les dossiers soumis par les États parties pour les cycles de 2022 et 2023 (</w:t>
      </w:r>
      <w:r w:rsidR="009278AA">
        <w:fldChar w:fldCharType="begin"/>
      </w:r>
      <w:r w:rsidR="009278AA" w:rsidRPr="00440FBE">
        <w:rPr>
          <w:lang w:val="fr-FR"/>
        </w:rPr>
        <w:instrText xml:space="preserve"> HYPERLINK "https://ich.unesco.org/fr/Resolutions/8.GA/11" </w:instrText>
      </w:r>
      <w:r w:rsidR="009278AA">
        <w:fldChar w:fldCharType="separate"/>
      </w:r>
      <w:r w:rsidR="008B1FA5">
        <w:rPr>
          <w:rStyle w:val="Hyperlink"/>
          <w:lang w:val="fr"/>
        </w:rPr>
        <w:t>r</w:t>
      </w:r>
      <w:r>
        <w:rPr>
          <w:rStyle w:val="Hyperlink"/>
          <w:lang w:val="fr"/>
        </w:rPr>
        <w:t>ésolution 8.GA 11</w:t>
      </w:r>
      <w:r w:rsidR="009278AA">
        <w:rPr>
          <w:rStyle w:val="Hyperlink"/>
          <w:lang w:val="fr"/>
        </w:rPr>
        <w:fldChar w:fldCharType="end"/>
      </w:r>
      <w:r>
        <w:rPr>
          <w:lang w:val="fr"/>
        </w:rPr>
        <w:t>).</w:t>
      </w:r>
    </w:p>
    <w:p w:rsidR="00A86136" w:rsidRPr="00FF710D" w:rsidRDefault="00611408" w:rsidP="00A86136">
      <w:pPr>
        <w:pStyle w:val="COMPara"/>
        <w:ind w:left="567" w:hanging="567"/>
        <w:jc w:val="both"/>
        <w:rPr>
          <w:lang w:val="fr-FR"/>
        </w:rPr>
      </w:pPr>
      <w:r>
        <w:rPr>
          <w:lang w:val="fr"/>
        </w:rPr>
        <w:t xml:space="preserve">La question du nombre annuel de dossiers remonte au début des mécanismes </w:t>
      </w:r>
      <w:r w:rsidR="00E27771">
        <w:rPr>
          <w:lang w:val="fr"/>
        </w:rPr>
        <w:t>d’inscription</w:t>
      </w:r>
      <w:r>
        <w:rPr>
          <w:lang w:val="fr"/>
        </w:rPr>
        <w:t xml:space="preserve">. La première série de </w:t>
      </w:r>
      <w:r w:rsidR="00BD0B80">
        <w:rPr>
          <w:lang w:val="fr"/>
        </w:rPr>
        <w:t>D</w:t>
      </w:r>
      <w:r>
        <w:rPr>
          <w:lang w:val="fr"/>
        </w:rPr>
        <w:t xml:space="preserve">irectives opérationnelles (2008) ne comportait aucune limitation ou disposition concernant le nombre de dossiers. Lors du premier cycle de candidatures en 2009, </w:t>
      </w:r>
      <w:r>
        <w:rPr>
          <w:lang w:val="fr"/>
        </w:rPr>
        <w:lastRenderedPageBreak/>
        <w:t xml:space="preserve">le Comité a été invité à examiner pas moins de </w:t>
      </w:r>
      <w:r w:rsidR="00143F99">
        <w:rPr>
          <w:lang w:val="fr"/>
        </w:rPr>
        <w:t>130</w:t>
      </w:r>
      <w:r w:rsidR="004B30D8">
        <w:rPr>
          <w:lang w:val="fr"/>
        </w:rPr>
        <w:t xml:space="preserve"> </w:t>
      </w:r>
      <w:r>
        <w:rPr>
          <w:lang w:val="fr"/>
        </w:rPr>
        <w:t xml:space="preserve">dossiers, dont </w:t>
      </w:r>
      <w:r w:rsidR="00143F99">
        <w:rPr>
          <w:lang w:val="fr"/>
        </w:rPr>
        <w:t>111</w:t>
      </w:r>
      <w:r w:rsidR="004B30D8">
        <w:rPr>
          <w:lang w:val="fr"/>
        </w:rPr>
        <w:t xml:space="preserve"> </w:t>
      </w:r>
      <w:r>
        <w:rPr>
          <w:lang w:val="fr"/>
        </w:rPr>
        <w:t xml:space="preserve">candidatures pour la Liste représentative (pour laquelle 3 États parties ont présenté </w:t>
      </w:r>
      <w:r w:rsidR="004B30D8">
        <w:rPr>
          <w:lang w:val="fr"/>
        </w:rPr>
        <w:t xml:space="preserve">soixante-cinq </w:t>
      </w:r>
      <w:r>
        <w:rPr>
          <w:lang w:val="fr"/>
        </w:rPr>
        <w:t>candidatures au total et plus de la moitié de ces dossiers ont été soumis par le Groupe électoral IV). L</w:t>
      </w:r>
      <w:r w:rsidR="00FF710D">
        <w:rPr>
          <w:lang w:val="fr"/>
        </w:rPr>
        <w:t>’</w:t>
      </w:r>
      <w:r>
        <w:rPr>
          <w:lang w:val="fr"/>
        </w:rPr>
        <w:t>expérience du premier cycle de nomination a suscité, outre la discussion par le Comité lors de sa quatrième session, une réunion d</w:t>
      </w:r>
      <w:r w:rsidR="00FF710D">
        <w:rPr>
          <w:lang w:val="fr"/>
        </w:rPr>
        <w:t>’</w:t>
      </w:r>
      <w:r>
        <w:rPr>
          <w:lang w:val="fr"/>
        </w:rPr>
        <w:t>experts</w:t>
      </w:r>
      <w:r>
        <w:rPr>
          <w:rStyle w:val="FootnoteReference"/>
          <w:lang w:val="fr"/>
        </w:rPr>
        <w:footnoteReference w:id="5"/>
      </w:r>
      <w:r>
        <w:rPr>
          <w:lang w:val="fr"/>
        </w:rPr>
        <w:t xml:space="preserve"> (2010), trois réunions d</w:t>
      </w:r>
      <w:r w:rsidR="00FF710D">
        <w:rPr>
          <w:lang w:val="fr"/>
        </w:rPr>
        <w:t>’</w:t>
      </w:r>
      <w:r>
        <w:rPr>
          <w:lang w:val="fr"/>
        </w:rPr>
        <w:t>un groupe de travail</w:t>
      </w:r>
      <w:r>
        <w:rPr>
          <w:rStyle w:val="FootnoteReference"/>
          <w:lang w:val="fr"/>
        </w:rPr>
        <w:footnoteReference w:id="6"/>
      </w:r>
      <w:r>
        <w:rPr>
          <w:lang w:val="fr"/>
        </w:rPr>
        <w:t xml:space="preserve"> (2010) et une réunion d</w:t>
      </w:r>
      <w:r w:rsidR="00FF710D">
        <w:rPr>
          <w:lang w:val="fr"/>
        </w:rPr>
        <w:t>’</w:t>
      </w:r>
      <w:r>
        <w:rPr>
          <w:lang w:val="fr"/>
        </w:rPr>
        <w:t>un groupe de travail intergouvernemental à composition non limitée</w:t>
      </w:r>
      <w:r>
        <w:rPr>
          <w:rStyle w:val="FootnoteReference"/>
          <w:lang w:val="fr"/>
        </w:rPr>
        <w:footnoteReference w:id="7"/>
      </w:r>
      <w:r>
        <w:rPr>
          <w:lang w:val="fr"/>
        </w:rPr>
        <w:t xml:space="preserve"> (2011) consacrée</w:t>
      </w:r>
      <w:r w:rsidR="00BD0B80">
        <w:rPr>
          <w:lang w:val="fr"/>
        </w:rPr>
        <w:t>s</w:t>
      </w:r>
      <w:r>
        <w:rPr>
          <w:lang w:val="fr"/>
        </w:rPr>
        <w:t xml:space="preserve"> à cette question du nombre annuel de dossiers à traiter</w:t>
      </w:r>
      <w:r w:rsidRPr="00E27771">
        <w:rPr>
          <w:lang w:val="fr"/>
        </w:rPr>
        <w:t xml:space="preserve">. </w:t>
      </w:r>
      <w:proofErr w:type="gramStart"/>
      <w:r w:rsidRPr="00E27771">
        <w:rPr>
          <w:lang w:val="fr"/>
        </w:rPr>
        <w:t>Suite à</w:t>
      </w:r>
      <w:proofErr w:type="gramEnd"/>
      <w:r w:rsidRPr="00E27771">
        <w:rPr>
          <w:lang w:val="fr"/>
        </w:rPr>
        <w:t xml:space="preserve"> ces</w:t>
      </w:r>
      <w:r>
        <w:rPr>
          <w:lang w:val="fr"/>
        </w:rPr>
        <w:t xml:space="preserve"> réflexions, les Directives opérationnelles ont été modifiées en juillet 2012, établissant le système actuel qui permet d</w:t>
      </w:r>
      <w:r w:rsidR="00FF710D">
        <w:rPr>
          <w:lang w:val="fr"/>
        </w:rPr>
        <w:t>’</w:t>
      </w:r>
      <w:r>
        <w:rPr>
          <w:lang w:val="fr"/>
        </w:rPr>
        <w:t xml:space="preserve">ajuster le nombre de dossiers dans un cycle </w:t>
      </w:r>
      <w:r w:rsidR="00BD0B80">
        <w:rPr>
          <w:lang w:val="fr"/>
        </w:rPr>
        <w:t xml:space="preserve">donné </w:t>
      </w:r>
      <w:r w:rsidR="00E27771">
        <w:rPr>
          <w:lang w:val="fr"/>
        </w:rPr>
        <w:t>en fonction du</w:t>
      </w:r>
      <w:r>
        <w:rPr>
          <w:lang w:val="fr"/>
        </w:rPr>
        <w:t xml:space="preserve"> plafond annuel et </w:t>
      </w:r>
      <w:r w:rsidR="00E27771">
        <w:rPr>
          <w:lang w:val="fr"/>
        </w:rPr>
        <w:t xml:space="preserve">de </w:t>
      </w:r>
      <w:r>
        <w:rPr>
          <w:lang w:val="fr"/>
        </w:rPr>
        <w:t>la priorité, tout en reconnaissant la prérogative des États parties de soumettre un nombre quelconque de dossiers pour un cycle donné.</w:t>
      </w:r>
    </w:p>
    <w:p w:rsidR="00366970" w:rsidRPr="00FF710D" w:rsidRDefault="00611408" w:rsidP="00366970">
      <w:pPr>
        <w:pStyle w:val="COMPara"/>
        <w:ind w:left="567" w:hanging="567"/>
        <w:jc w:val="both"/>
        <w:rPr>
          <w:lang w:val="fr-FR"/>
        </w:rPr>
      </w:pPr>
      <w:r>
        <w:rPr>
          <w:lang w:val="fr"/>
        </w:rPr>
        <w:t xml:space="preserve">La mise en </w:t>
      </w:r>
      <w:r w:rsidRPr="00E27771">
        <w:rPr>
          <w:lang w:val="fr"/>
        </w:rPr>
        <w:t>œuvre des mécanismes d</w:t>
      </w:r>
      <w:r w:rsidR="00FF710D" w:rsidRPr="00E27771">
        <w:rPr>
          <w:lang w:val="fr"/>
        </w:rPr>
        <w:t>’</w:t>
      </w:r>
      <w:r w:rsidRPr="00E27771">
        <w:rPr>
          <w:lang w:val="fr"/>
        </w:rPr>
        <w:t>inscription sur les listes a permis d</w:t>
      </w:r>
      <w:r w:rsidR="00FF710D" w:rsidRPr="00E27771">
        <w:rPr>
          <w:lang w:val="fr"/>
        </w:rPr>
        <w:t>’</w:t>
      </w:r>
      <w:r w:rsidRPr="00E27771">
        <w:rPr>
          <w:lang w:val="fr"/>
        </w:rPr>
        <w:t>identifier un ensemble de questions, présentées ci-dessous, qui doivent être</w:t>
      </w:r>
      <w:r>
        <w:rPr>
          <w:lang w:val="fr"/>
        </w:rPr>
        <w:t xml:space="preserve"> prises en compte lors de l</w:t>
      </w:r>
      <w:r w:rsidR="00FF710D">
        <w:rPr>
          <w:lang w:val="fr"/>
        </w:rPr>
        <w:t>’</w:t>
      </w:r>
      <w:r>
        <w:rPr>
          <w:lang w:val="fr"/>
        </w:rPr>
        <w:t>examen des problèmes rencontrés pour le cycle 2021 :</w:t>
      </w:r>
    </w:p>
    <w:p w:rsidR="003B3E2B" w:rsidRPr="00FF710D" w:rsidRDefault="00611408" w:rsidP="00A80DDB">
      <w:pPr>
        <w:pStyle w:val="COMPara"/>
        <w:numPr>
          <w:ilvl w:val="0"/>
          <w:numId w:val="0"/>
        </w:numPr>
        <w:ind w:left="567"/>
        <w:jc w:val="both"/>
        <w:rPr>
          <w:lang w:val="fr-FR"/>
        </w:rPr>
      </w:pPr>
      <w:r>
        <w:rPr>
          <w:b/>
          <w:bCs/>
          <w:lang w:val="fr"/>
        </w:rPr>
        <w:t>a. Esprit d</w:t>
      </w:r>
      <w:r w:rsidR="00FF710D">
        <w:rPr>
          <w:b/>
          <w:bCs/>
          <w:lang w:val="fr"/>
        </w:rPr>
        <w:t>’</w:t>
      </w:r>
      <w:r>
        <w:rPr>
          <w:b/>
          <w:bCs/>
          <w:lang w:val="fr"/>
        </w:rPr>
        <w:t>inclusion </w:t>
      </w:r>
      <w:r>
        <w:rPr>
          <w:lang w:val="fr"/>
        </w:rPr>
        <w:t>: Les mécanismes d</w:t>
      </w:r>
      <w:r w:rsidR="00FF710D">
        <w:rPr>
          <w:lang w:val="fr"/>
        </w:rPr>
        <w:t>’</w:t>
      </w:r>
      <w:r>
        <w:rPr>
          <w:lang w:val="fr"/>
        </w:rPr>
        <w:t>inscription sur la liste sont destinés à promouvoir la coopération internationale et la compréhension mutuelle. La limitation du nombre de dossiers est jugée non conforme à l</w:t>
      </w:r>
      <w:r w:rsidR="00FF710D">
        <w:rPr>
          <w:lang w:val="fr"/>
        </w:rPr>
        <w:t>’</w:t>
      </w:r>
      <w:r>
        <w:rPr>
          <w:lang w:val="fr"/>
        </w:rPr>
        <w:t>objectif de la Convention de reconnaître l</w:t>
      </w:r>
      <w:r w:rsidR="00FF710D">
        <w:rPr>
          <w:lang w:val="fr"/>
        </w:rPr>
        <w:t>’</w:t>
      </w:r>
      <w:r>
        <w:rPr>
          <w:lang w:val="fr"/>
        </w:rPr>
        <w:t>importance et la diversité du patrimoine vivant de toutes les communautés du monde. De nombreux États sont également confrontés à la nécessité de reconnaître le patrimoine vivant des diverses communautés sur leur territoire.</w:t>
      </w:r>
    </w:p>
    <w:p w:rsidR="00A80DDB" w:rsidRPr="00FF710D" w:rsidRDefault="00611408" w:rsidP="00A80DDB">
      <w:pPr>
        <w:pStyle w:val="COMPara"/>
        <w:numPr>
          <w:ilvl w:val="0"/>
          <w:numId w:val="0"/>
        </w:numPr>
        <w:ind w:left="567"/>
        <w:jc w:val="both"/>
        <w:rPr>
          <w:lang w:val="fr-FR"/>
        </w:rPr>
      </w:pPr>
      <w:r>
        <w:rPr>
          <w:b/>
          <w:bCs/>
          <w:lang w:val="fr"/>
        </w:rPr>
        <w:t>b. Listes équilibrées </w:t>
      </w:r>
      <w:r>
        <w:rPr>
          <w:lang w:val="fr"/>
        </w:rPr>
        <w:t>: La question de savoir comment garantir l</w:t>
      </w:r>
      <w:r w:rsidR="00FF710D">
        <w:rPr>
          <w:lang w:val="fr"/>
        </w:rPr>
        <w:t>’</w:t>
      </w:r>
      <w:r>
        <w:rPr>
          <w:lang w:val="fr"/>
        </w:rPr>
        <w:t>équilibre géographique des listes a été une préoccupation du Comité depuis le début. Si certains considèrent que l</w:t>
      </w:r>
      <w:r w:rsidR="00FF710D">
        <w:rPr>
          <w:lang w:val="fr"/>
        </w:rPr>
        <w:t>’</w:t>
      </w:r>
      <w:r>
        <w:rPr>
          <w:lang w:val="fr"/>
        </w:rPr>
        <w:t>augmentation du nombre de dossiers aiderait à atteindre l</w:t>
      </w:r>
      <w:r w:rsidR="00FF710D">
        <w:rPr>
          <w:lang w:val="fr"/>
        </w:rPr>
        <w:t>’</w:t>
      </w:r>
      <w:r>
        <w:rPr>
          <w:lang w:val="fr"/>
        </w:rPr>
        <w:t>équilibre souhaité, d</w:t>
      </w:r>
      <w:r w:rsidR="00FF710D">
        <w:rPr>
          <w:lang w:val="fr"/>
        </w:rPr>
        <w:t>’</w:t>
      </w:r>
      <w:r>
        <w:rPr>
          <w:lang w:val="fr"/>
        </w:rPr>
        <w:t>autres craignent que si un nombre illimité de dossiers pouvait être autorisé, les États parties ayant des capacités développées et des ressources plus importantes pour préparer les candidatures seraient considérablement avantagés.</w:t>
      </w:r>
    </w:p>
    <w:p w:rsidR="00787A6B" w:rsidRPr="00FF710D" w:rsidRDefault="00611408" w:rsidP="004B5BE7">
      <w:pPr>
        <w:pStyle w:val="COMPara"/>
        <w:numPr>
          <w:ilvl w:val="0"/>
          <w:numId w:val="0"/>
        </w:numPr>
        <w:ind w:left="567"/>
        <w:jc w:val="both"/>
        <w:rPr>
          <w:lang w:val="fr-FR"/>
        </w:rPr>
      </w:pPr>
      <w:r>
        <w:rPr>
          <w:b/>
          <w:bCs/>
          <w:lang w:val="fr"/>
        </w:rPr>
        <w:t>c. Crédibilité et charge de travail </w:t>
      </w:r>
      <w:r>
        <w:rPr>
          <w:lang w:val="fr"/>
        </w:rPr>
        <w:t xml:space="preserve">: Pour garantir la crédibilité du système de critères actuel, il est nécessaire </w:t>
      </w:r>
      <w:r w:rsidR="00E27771">
        <w:rPr>
          <w:lang w:val="fr"/>
        </w:rPr>
        <w:t>de procéder à un examen</w:t>
      </w:r>
      <w:r>
        <w:rPr>
          <w:lang w:val="fr"/>
        </w:rPr>
        <w:t xml:space="preserve">, </w:t>
      </w:r>
      <w:r w:rsidR="00E27771">
        <w:rPr>
          <w:lang w:val="fr"/>
        </w:rPr>
        <w:t>une évaluation</w:t>
      </w:r>
      <w:r>
        <w:rPr>
          <w:lang w:val="fr"/>
        </w:rPr>
        <w:t xml:space="preserve"> et </w:t>
      </w:r>
      <w:r w:rsidR="00E27771">
        <w:rPr>
          <w:lang w:val="fr"/>
        </w:rPr>
        <w:t xml:space="preserve">une analyse </w:t>
      </w:r>
      <w:r>
        <w:rPr>
          <w:lang w:val="fr"/>
        </w:rPr>
        <w:t xml:space="preserve">approfondis </w:t>
      </w:r>
      <w:r w:rsidR="00E27771">
        <w:rPr>
          <w:lang w:val="fr"/>
        </w:rPr>
        <w:t>du caractère complet des dossiers</w:t>
      </w:r>
      <w:r>
        <w:rPr>
          <w:lang w:val="fr"/>
        </w:rPr>
        <w:t>, en limitant le nombre de dossiers qui peuvent, de manière réaliste, être examinés par une session donnée du Comité. En conséquence, le système actuel crée une lourde charge de travail pour le Comité, ses organes d</w:t>
      </w:r>
      <w:r w:rsidR="00FF710D">
        <w:rPr>
          <w:lang w:val="fr"/>
        </w:rPr>
        <w:t>’</w:t>
      </w:r>
      <w:r>
        <w:rPr>
          <w:lang w:val="fr"/>
        </w:rPr>
        <w:t>évaluation et le Secrétariat, dont on ne peut attendre qu</w:t>
      </w:r>
      <w:r w:rsidR="00FF710D">
        <w:rPr>
          <w:lang w:val="fr"/>
        </w:rPr>
        <w:t>’</w:t>
      </w:r>
      <w:r>
        <w:rPr>
          <w:lang w:val="fr"/>
        </w:rPr>
        <w:t>ils absorbent un nombre accru de dossiers. Il convient de noter que la charge de travail du Comité et du Secrétariat a considérablement augmenté depuis 2009 en raison du nombre croissant d</w:t>
      </w:r>
      <w:r w:rsidR="00FF710D">
        <w:rPr>
          <w:lang w:val="fr"/>
        </w:rPr>
        <w:t>’</w:t>
      </w:r>
      <w:r>
        <w:rPr>
          <w:lang w:val="fr"/>
        </w:rPr>
        <w:t>États parties, de la mise en œuvre de plusieurs mécanismes internationaux et d</w:t>
      </w:r>
      <w:r w:rsidR="00FF710D">
        <w:rPr>
          <w:lang w:val="fr"/>
        </w:rPr>
        <w:t>’</w:t>
      </w:r>
      <w:r>
        <w:rPr>
          <w:lang w:val="fr"/>
        </w:rPr>
        <w:t>un nombre croissant de nouvelles questions thématiques complexes.</w:t>
      </w:r>
    </w:p>
    <w:p w:rsidR="00145648" w:rsidRPr="00FF710D" w:rsidRDefault="00611408" w:rsidP="00145648">
      <w:pPr>
        <w:pStyle w:val="COMPara"/>
        <w:numPr>
          <w:ilvl w:val="0"/>
          <w:numId w:val="0"/>
        </w:numPr>
        <w:ind w:left="567"/>
        <w:jc w:val="both"/>
        <w:rPr>
          <w:lang w:val="fr-FR"/>
        </w:rPr>
      </w:pPr>
      <w:r>
        <w:rPr>
          <w:b/>
          <w:bCs/>
          <w:lang w:val="fr"/>
        </w:rPr>
        <w:t>d. Organe d</w:t>
      </w:r>
      <w:r w:rsidR="00FF710D">
        <w:rPr>
          <w:b/>
          <w:bCs/>
          <w:lang w:val="fr"/>
        </w:rPr>
        <w:t>’</w:t>
      </w:r>
      <w:r>
        <w:rPr>
          <w:b/>
          <w:bCs/>
          <w:lang w:val="fr"/>
        </w:rPr>
        <w:t>évaluation </w:t>
      </w:r>
      <w:r>
        <w:rPr>
          <w:lang w:val="fr"/>
        </w:rPr>
        <w:t>: Contrairement à ce qui a souvent été suggéré, l</w:t>
      </w:r>
      <w:r w:rsidR="00FF710D">
        <w:rPr>
          <w:lang w:val="fr"/>
        </w:rPr>
        <w:t>’</w:t>
      </w:r>
      <w:r>
        <w:rPr>
          <w:lang w:val="fr"/>
        </w:rPr>
        <w:t>augmentation du nombre de membres de l</w:t>
      </w:r>
      <w:r w:rsidR="00FF710D">
        <w:rPr>
          <w:lang w:val="fr"/>
        </w:rPr>
        <w:t>’</w:t>
      </w:r>
      <w:r>
        <w:rPr>
          <w:lang w:val="fr"/>
        </w:rPr>
        <w:t>Organe d</w:t>
      </w:r>
      <w:r w:rsidR="00FF710D">
        <w:rPr>
          <w:lang w:val="fr"/>
        </w:rPr>
        <w:t>’</w:t>
      </w:r>
      <w:r>
        <w:rPr>
          <w:lang w:val="fr"/>
        </w:rPr>
        <w:t>évaluation ne permettrait pas d</w:t>
      </w:r>
      <w:r w:rsidR="00FF710D">
        <w:rPr>
          <w:lang w:val="fr"/>
        </w:rPr>
        <w:t>’</w:t>
      </w:r>
      <w:r>
        <w:rPr>
          <w:lang w:val="fr"/>
        </w:rPr>
        <w:t>évaluer davantage de dossiers. Selon la procédure établie, chaque membre évalue chaque dossier individuellement avant d</w:t>
      </w:r>
      <w:r w:rsidR="00FF710D">
        <w:rPr>
          <w:lang w:val="fr"/>
        </w:rPr>
        <w:t>’</w:t>
      </w:r>
      <w:r>
        <w:rPr>
          <w:lang w:val="fr"/>
        </w:rPr>
        <w:t>en discuter collégialement pour arriver à un consensus pour chaque critère de chaque dossier. L</w:t>
      </w:r>
      <w:r w:rsidR="00FF710D">
        <w:rPr>
          <w:lang w:val="fr"/>
        </w:rPr>
        <w:t>’</w:t>
      </w:r>
      <w:r>
        <w:rPr>
          <w:lang w:val="fr"/>
        </w:rPr>
        <w:t>augmentation du nombre de membres rendrait le processus de recherche d</w:t>
      </w:r>
      <w:r w:rsidR="00FF710D">
        <w:rPr>
          <w:lang w:val="fr"/>
        </w:rPr>
        <w:t>’</w:t>
      </w:r>
      <w:r>
        <w:rPr>
          <w:lang w:val="fr"/>
        </w:rPr>
        <w:t>un consensus plus complexe. Diviser l</w:t>
      </w:r>
      <w:r w:rsidR="00FF710D">
        <w:rPr>
          <w:lang w:val="fr"/>
        </w:rPr>
        <w:t>’</w:t>
      </w:r>
      <w:r>
        <w:rPr>
          <w:lang w:val="fr"/>
        </w:rPr>
        <w:t>Organe d</w:t>
      </w:r>
      <w:r w:rsidR="00FF710D">
        <w:rPr>
          <w:lang w:val="fr"/>
        </w:rPr>
        <w:t>’</w:t>
      </w:r>
      <w:r>
        <w:rPr>
          <w:lang w:val="fr"/>
        </w:rPr>
        <w:t>évaluation, qu</w:t>
      </w:r>
      <w:r w:rsidR="00FF710D">
        <w:rPr>
          <w:lang w:val="fr"/>
        </w:rPr>
        <w:t>’</w:t>
      </w:r>
      <w:r>
        <w:rPr>
          <w:lang w:val="fr"/>
        </w:rPr>
        <w:t>il compte un nombre accru de membres ou non, en groupes séparés pour traiter un grand nombre de dossiers risquerait de ne pas garantir une évaluation cohérente au sein du cycle.</w:t>
      </w:r>
    </w:p>
    <w:p w:rsidR="00567F02" w:rsidRPr="00FF710D" w:rsidRDefault="00611408" w:rsidP="00567F02">
      <w:pPr>
        <w:pStyle w:val="COMPara"/>
        <w:keepNext/>
        <w:ind w:left="567" w:hanging="567"/>
        <w:jc w:val="both"/>
        <w:rPr>
          <w:lang w:val="fr-FR"/>
        </w:rPr>
      </w:pPr>
      <w:r>
        <w:rPr>
          <w:lang w:val="fr"/>
        </w:rPr>
        <w:t>Compte tenu de ces considérations, il semble qu</w:t>
      </w:r>
      <w:r w:rsidR="00FF710D">
        <w:rPr>
          <w:lang w:val="fr"/>
        </w:rPr>
        <w:t>’</w:t>
      </w:r>
      <w:r>
        <w:rPr>
          <w:lang w:val="fr"/>
        </w:rPr>
        <w:t>il ne serait pas possible, dans le cadre du système actuel, de satisfaire à la recommandation de la huitième session de l</w:t>
      </w:r>
      <w:r w:rsidR="00FF710D">
        <w:rPr>
          <w:lang w:val="fr"/>
        </w:rPr>
        <w:t>’</w:t>
      </w:r>
      <w:r>
        <w:rPr>
          <w:lang w:val="fr"/>
        </w:rPr>
        <w:t>Assemblée générale d</w:t>
      </w:r>
      <w:r w:rsidR="00FF710D">
        <w:rPr>
          <w:lang w:val="fr"/>
        </w:rPr>
        <w:t>’</w:t>
      </w:r>
      <w:r>
        <w:rPr>
          <w:lang w:val="fr"/>
        </w:rPr>
        <w:t xml:space="preserve">inclure tous les dossiers soumis par les États parties aux cycles de 2022 et 2023. </w:t>
      </w:r>
      <w:r>
        <w:rPr>
          <w:lang w:val="fr"/>
        </w:rPr>
        <w:lastRenderedPageBreak/>
        <w:t xml:space="preserve">Surtout, il est très probable que la priorité (0) </w:t>
      </w:r>
      <w:r w:rsidRPr="009F14A9">
        <w:rPr>
          <w:lang w:val="fr"/>
        </w:rPr>
        <w:t>continuerait à dépasser le plafond</w:t>
      </w:r>
      <w:r>
        <w:rPr>
          <w:lang w:val="fr"/>
        </w:rPr>
        <w:t xml:space="preserve"> annuel de </w:t>
      </w:r>
      <w:r w:rsidR="004B30D8">
        <w:rPr>
          <w:lang w:val="fr"/>
        </w:rPr>
        <w:t xml:space="preserve">cinquante </w:t>
      </w:r>
      <w:r w:rsidR="00E27771">
        <w:rPr>
          <w:lang w:val="fr"/>
        </w:rPr>
        <w:t xml:space="preserve">dossiers, voire de </w:t>
      </w:r>
      <w:r w:rsidR="004B30D8">
        <w:rPr>
          <w:lang w:val="fr"/>
        </w:rPr>
        <w:t xml:space="preserve">soixante </w:t>
      </w:r>
      <w:r w:rsidR="00E27771">
        <w:rPr>
          <w:lang w:val="fr"/>
        </w:rPr>
        <w:t>dossiers si elle était fixée à ce nombre,</w:t>
      </w:r>
      <w:r>
        <w:rPr>
          <w:lang w:val="fr"/>
        </w:rPr>
        <w:t xml:space="preserve"> étant donné qu</w:t>
      </w:r>
      <w:r w:rsidR="00FF710D">
        <w:rPr>
          <w:lang w:val="fr"/>
        </w:rPr>
        <w:t>’</w:t>
      </w:r>
      <w:r>
        <w:rPr>
          <w:lang w:val="fr"/>
        </w:rPr>
        <w:t xml:space="preserve">il y a actuellement 180 États parties. En application de la décision du Comité selon laquelle au moins un dossier par État </w:t>
      </w:r>
      <w:r w:rsidR="00F5002E">
        <w:rPr>
          <w:lang w:val="fr"/>
        </w:rPr>
        <w:t xml:space="preserve">soumissionnaire </w:t>
      </w:r>
      <w:r>
        <w:rPr>
          <w:lang w:val="fr"/>
        </w:rPr>
        <w:t>doit être traité pendant une période de deux ans, jusqu</w:t>
      </w:r>
      <w:r w:rsidR="00FF710D">
        <w:rPr>
          <w:lang w:val="fr"/>
        </w:rPr>
        <w:t>’</w:t>
      </w:r>
      <w:r>
        <w:rPr>
          <w:lang w:val="fr"/>
        </w:rPr>
        <w:t xml:space="preserve">à </w:t>
      </w:r>
      <w:r w:rsidR="004B30D8">
        <w:rPr>
          <w:lang w:val="fr"/>
        </w:rPr>
        <w:t xml:space="preserve">quatre-vingt-dix </w:t>
      </w:r>
      <w:r>
        <w:rPr>
          <w:lang w:val="fr"/>
        </w:rPr>
        <w:t xml:space="preserve">dossiers </w:t>
      </w:r>
      <w:r w:rsidR="00E27771">
        <w:rPr>
          <w:lang w:val="fr"/>
        </w:rPr>
        <w:t>relèveraient de la</w:t>
      </w:r>
      <w:r>
        <w:rPr>
          <w:lang w:val="fr"/>
        </w:rPr>
        <w:t xml:space="preserve"> priorité (0). Le nombre cumulé </w:t>
      </w:r>
      <w:r w:rsidRPr="00526023">
        <w:rPr>
          <w:lang w:val="fr"/>
        </w:rPr>
        <w:t xml:space="preserve">de dossiers en </w:t>
      </w:r>
      <w:r w:rsidR="00526023" w:rsidRPr="00526023">
        <w:rPr>
          <w:lang w:val="fr"/>
        </w:rPr>
        <w:t>attente</w:t>
      </w:r>
      <w:r w:rsidR="00526023">
        <w:rPr>
          <w:lang w:val="fr"/>
        </w:rPr>
        <w:t xml:space="preserve"> </w:t>
      </w:r>
      <w:r>
        <w:rPr>
          <w:lang w:val="fr"/>
        </w:rPr>
        <w:t>porterait également à un niveau très élevé le nombre de dossiers susceptibles d</w:t>
      </w:r>
      <w:r w:rsidR="00FF710D">
        <w:rPr>
          <w:lang w:val="fr"/>
        </w:rPr>
        <w:t>’</w:t>
      </w:r>
      <w:r>
        <w:rPr>
          <w:lang w:val="fr"/>
        </w:rPr>
        <w:t>être examinés lors des prochains cycles, comme cela a été le cas pour les cycles de 2020 et 2021. L</w:t>
      </w:r>
      <w:r w:rsidR="00FF710D">
        <w:rPr>
          <w:lang w:val="fr"/>
        </w:rPr>
        <w:t>’</w:t>
      </w:r>
      <w:r>
        <w:rPr>
          <w:lang w:val="fr"/>
        </w:rPr>
        <w:t xml:space="preserve">expérience du premier cycle de candidatures </w:t>
      </w:r>
      <w:r w:rsidR="009F14A9">
        <w:rPr>
          <w:lang w:val="fr"/>
        </w:rPr>
        <w:t xml:space="preserve">et les enseignements tirés </w:t>
      </w:r>
      <w:r>
        <w:rPr>
          <w:lang w:val="fr"/>
        </w:rPr>
        <w:t>des cycles suivants indiquent que même si davantage de ressources financières et humaines étaient consacrées au processus d</w:t>
      </w:r>
      <w:r w:rsidR="00FF710D">
        <w:rPr>
          <w:lang w:val="fr"/>
        </w:rPr>
        <w:t>’</w:t>
      </w:r>
      <w:r>
        <w:rPr>
          <w:lang w:val="fr"/>
        </w:rPr>
        <w:t>évaluation - selon l</w:t>
      </w:r>
      <w:r w:rsidR="00FF710D">
        <w:rPr>
          <w:lang w:val="fr"/>
        </w:rPr>
        <w:t>’</w:t>
      </w:r>
      <w:r>
        <w:rPr>
          <w:lang w:val="fr"/>
        </w:rPr>
        <w:t>approche actuelle - le temps disponible au cours d</w:t>
      </w:r>
      <w:r w:rsidR="00FF710D">
        <w:rPr>
          <w:lang w:val="fr"/>
        </w:rPr>
        <w:t>’</w:t>
      </w:r>
      <w:r>
        <w:rPr>
          <w:lang w:val="fr"/>
        </w:rPr>
        <w:t xml:space="preserve">un cycle est </w:t>
      </w:r>
      <w:r w:rsidR="006B60EB">
        <w:rPr>
          <w:lang w:val="fr"/>
        </w:rPr>
        <w:t xml:space="preserve">tout </w:t>
      </w:r>
      <w:r>
        <w:rPr>
          <w:lang w:val="fr"/>
        </w:rPr>
        <w:t>juste suffisant pour que l</w:t>
      </w:r>
      <w:r w:rsidR="00FF710D">
        <w:rPr>
          <w:lang w:val="fr"/>
        </w:rPr>
        <w:t>’</w:t>
      </w:r>
      <w:r>
        <w:rPr>
          <w:lang w:val="fr"/>
        </w:rPr>
        <w:t>Organe d</w:t>
      </w:r>
      <w:r w:rsidR="00FF710D">
        <w:rPr>
          <w:lang w:val="fr"/>
        </w:rPr>
        <w:t>’</w:t>
      </w:r>
      <w:r>
        <w:rPr>
          <w:lang w:val="fr"/>
        </w:rPr>
        <w:t>évaluation puisse évaluer une cinquantaine de dossiers. En outre, l</w:t>
      </w:r>
      <w:r w:rsidR="00FF710D">
        <w:rPr>
          <w:lang w:val="fr"/>
        </w:rPr>
        <w:t>’</w:t>
      </w:r>
      <w:r>
        <w:rPr>
          <w:lang w:val="fr"/>
        </w:rPr>
        <w:t>évaluation de la charge de travail du Comité et du secrétariat ainsi que de l</w:t>
      </w:r>
      <w:r w:rsidR="00FF710D">
        <w:rPr>
          <w:lang w:val="fr"/>
        </w:rPr>
        <w:t>’</w:t>
      </w:r>
      <w:r w:rsidR="0037645C">
        <w:rPr>
          <w:lang w:val="fr"/>
        </w:rPr>
        <w:t>O</w:t>
      </w:r>
      <w:r>
        <w:rPr>
          <w:lang w:val="fr"/>
        </w:rPr>
        <w:t>rgane d</w:t>
      </w:r>
      <w:r w:rsidR="00FF710D">
        <w:rPr>
          <w:lang w:val="fr"/>
        </w:rPr>
        <w:t>’</w:t>
      </w:r>
      <w:r>
        <w:rPr>
          <w:lang w:val="fr"/>
        </w:rPr>
        <w:t>évaluation présentée à la treizième session du Comité (</w:t>
      </w:r>
      <w:r w:rsidR="009278AA">
        <w:fldChar w:fldCharType="begin"/>
      </w:r>
      <w:r w:rsidR="009278AA" w:rsidRPr="00440FBE">
        <w:rPr>
          <w:lang w:val="fr-FR"/>
        </w:rPr>
        <w:instrText xml:space="preserve"> HYPERLINK "https://ich.unesco.org/doc/src/ITH-18-13.COM-15-FR.docx" </w:instrText>
      </w:r>
      <w:r w:rsidR="009278AA">
        <w:fldChar w:fldCharType="separate"/>
      </w:r>
      <w:r>
        <w:rPr>
          <w:rStyle w:val="Hyperlink"/>
          <w:lang w:val="fr"/>
        </w:rPr>
        <w:t>Document 13.COM 15</w:t>
      </w:r>
      <w:r w:rsidR="009278AA">
        <w:rPr>
          <w:rStyle w:val="Hyperlink"/>
          <w:lang w:val="fr"/>
        </w:rPr>
        <w:fldChar w:fldCharType="end"/>
      </w:r>
      <w:r>
        <w:rPr>
          <w:lang w:val="fr"/>
        </w:rPr>
        <w:t>) reste valable.</w:t>
      </w:r>
    </w:p>
    <w:p w:rsidR="007B5F2A" w:rsidRPr="006B60EB" w:rsidRDefault="00611408" w:rsidP="00DB67E5">
      <w:pPr>
        <w:pStyle w:val="COMPara"/>
        <w:keepNext/>
        <w:ind w:left="567" w:hanging="567"/>
        <w:jc w:val="both"/>
        <w:rPr>
          <w:lang w:val="fr-FR"/>
        </w:rPr>
      </w:pPr>
      <w:r w:rsidRPr="006B60EB">
        <w:rPr>
          <w:lang w:val="fr"/>
        </w:rPr>
        <w:t>Toute réflexion susceptible d</w:t>
      </w:r>
      <w:r w:rsidR="00FF710D" w:rsidRPr="006B60EB">
        <w:rPr>
          <w:lang w:val="fr"/>
        </w:rPr>
        <w:t>’</w:t>
      </w:r>
      <w:r w:rsidRPr="006B60EB">
        <w:rPr>
          <w:lang w:val="fr"/>
        </w:rPr>
        <w:t>entraîner une modification durable du nombre total de dossiers doit être menée avec soin, en liaison avec le processus de réflexion globale sur les mécanismes d</w:t>
      </w:r>
      <w:r w:rsidR="00FF710D" w:rsidRPr="006B60EB">
        <w:rPr>
          <w:lang w:val="fr"/>
        </w:rPr>
        <w:t>’</w:t>
      </w:r>
      <w:r w:rsidRPr="006B60EB">
        <w:rPr>
          <w:lang w:val="fr"/>
        </w:rPr>
        <w:t xml:space="preserve">inscription sur la liste, </w:t>
      </w:r>
      <w:r w:rsidR="006B60EB" w:rsidRPr="006B60EB">
        <w:rPr>
          <w:lang w:val="fr"/>
        </w:rPr>
        <w:t xml:space="preserve">tel qu’il a été </w:t>
      </w:r>
      <w:r w:rsidRPr="006B60EB">
        <w:rPr>
          <w:lang w:val="fr"/>
        </w:rPr>
        <w:t>lancé par la treizième session du Comité et qui durera au moins jusqu</w:t>
      </w:r>
      <w:r w:rsidR="00FF710D" w:rsidRPr="006B60EB">
        <w:rPr>
          <w:lang w:val="fr"/>
        </w:rPr>
        <w:t>’</w:t>
      </w:r>
      <w:r w:rsidRPr="006B60EB">
        <w:rPr>
          <w:lang w:val="fr"/>
        </w:rPr>
        <w:t>en 2022 ; l</w:t>
      </w:r>
      <w:r w:rsidR="00FF710D" w:rsidRPr="006B60EB">
        <w:rPr>
          <w:lang w:val="fr"/>
        </w:rPr>
        <w:t>’</w:t>
      </w:r>
      <w:r w:rsidRPr="006B60EB">
        <w:rPr>
          <w:lang w:val="fr"/>
        </w:rPr>
        <w:t>expérience</w:t>
      </w:r>
      <w:r>
        <w:rPr>
          <w:lang w:val="fr"/>
        </w:rPr>
        <w:t xml:space="preserve"> de l</w:t>
      </w:r>
      <w:r w:rsidR="00FF710D">
        <w:rPr>
          <w:lang w:val="fr"/>
        </w:rPr>
        <w:t>’</w:t>
      </w:r>
      <w:r>
        <w:rPr>
          <w:lang w:val="fr"/>
        </w:rPr>
        <w:t>Organe d</w:t>
      </w:r>
      <w:r w:rsidR="00FF710D">
        <w:rPr>
          <w:lang w:val="fr"/>
        </w:rPr>
        <w:t>’</w:t>
      </w:r>
      <w:r>
        <w:rPr>
          <w:lang w:val="fr"/>
        </w:rPr>
        <w:t>évaluation et du Comité en matière d</w:t>
      </w:r>
      <w:r w:rsidR="00FF710D">
        <w:rPr>
          <w:lang w:val="fr"/>
        </w:rPr>
        <w:t>’</w:t>
      </w:r>
      <w:r>
        <w:rPr>
          <w:lang w:val="fr"/>
        </w:rPr>
        <w:t>évaluation et d</w:t>
      </w:r>
      <w:r w:rsidR="00FF710D">
        <w:rPr>
          <w:lang w:val="fr"/>
        </w:rPr>
        <w:t>’</w:t>
      </w:r>
      <w:r>
        <w:rPr>
          <w:lang w:val="fr"/>
        </w:rPr>
        <w:t xml:space="preserve">examen de </w:t>
      </w:r>
      <w:r w:rsidR="00143F99">
        <w:rPr>
          <w:lang w:val="fr"/>
        </w:rPr>
        <w:t xml:space="preserve">soixante </w:t>
      </w:r>
      <w:r>
        <w:rPr>
          <w:lang w:val="fr"/>
        </w:rPr>
        <w:t>dossiers dans le cadre du cycle 2021 doit également être prise en compte. Si le plafond annuel devait être modifié pour inclure un nombre élevé de dossiers, il serait nécessaire de changer radicalement le système global d</w:t>
      </w:r>
      <w:r w:rsidR="00FF710D">
        <w:rPr>
          <w:lang w:val="fr"/>
        </w:rPr>
        <w:t>’</w:t>
      </w:r>
      <w:r>
        <w:rPr>
          <w:lang w:val="fr"/>
        </w:rPr>
        <w:t xml:space="preserve">inscription, par exemple en passant à une </w:t>
      </w:r>
      <w:r w:rsidR="0037645C">
        <w:rPr>
          <w:lang w:val="fr"/>
        </w:rPr>
        <w:t>L</w:t>
      </w:r>
      <w:r>
        <w:rPr>
          <w:lang w:val="fr"/>
        </w:rPr>
        <w:t xml:space="preserve">iste représentative ouverte et inclusive avec </w:t>
      </w:r>
      <w:r w:rsidR="006B60EB">
        <w:rPr>
          <w:lang w:val="fr"/>
        </w:rPr>
        <w:t>un processus d’</w:t>
      </w:r>
      <w:r>
        <w:rPr>
          <w:lang w:val="fr"/>
        </w:rPr>
        <w:t xml:space="preserve">évaluation minimale, combinée peut-être avec </w:t>
      </w:r>
      <w:r w:rsidRPr="006B60EB">
        <w:rPr>
          <w:lang w:val="fr"/>
        </w:rPr>
        <w:t xml:space="preserve">une </w:t>
      </w:r>
      <w:r w:rsidR="006B60EB">
        <w:rPr>
          <w:lang w:val="fr"/>
        </w:rPr>
        <w:t>« </w:t>
      </w:r>
      <w:r w:rsidRPr="006B60EB">
        <w:rPr>
          <w:lang w:val="fr"/>
        </w:rPr>
        <w:t>clause de temporisation</w:t>
      </w:r>
      <w:r w:rsidR="006B60EB">
        <w:rPr>
          <w:lang w:val="fr"/>
        </w:rPr>
        <w:t> »</w:t>
      </w:r>
      <w:r w:rsidRPr="006B60EB">
        <w:rPr>
          <w:lang w:val="fr"/>
        </w:rPr>
        <w:t xml:space="preserve"> pour</w:t>
      </w:r>
      <w:r>
        <w:rPr>
          <w:lang w:val="fr"/>
        </w:rPr>
        <w:t xml:space="preserve"> contrôler le nombre total d</w:t>
      </w:r>
      <w:r w:rsidR="00FF710D">
        <w:rPr>
          <w:lang w:val="fr"/>
        </w:rPr>
        <w:t>’</w:t>
      </w:r>
      <w:r>
        <w:rPr>
          <w:lang w:val="fr"/>
        </w:rPr>
        <w:t xml:space="preserve">éléments inscrits afin de satisfaire certains États parties qui souhaitent que tous les dossiers soumis soient examinés par le Comité. Par ailleurs, si le Comité devait maintenir le système de plafond annuel, il faudrait trouver </w:t>
      </w:r>
      <w:r w:rsidRPr="006B60EB">
        <w:rPr>
          <w:lang w:val="fr"/>
        </w:rPr>
        <w:t>d</w:t>
      </w:r>
      <w:r w:rsidR="00FF710D" w:rsidRPr="006B60EB">
        <w:rPr>
          <w:lang w:val="fr"/>
        </w:rPr>
        <w:t>’</w:t>
      </w:r>
      <w:r w:rsidRPr="006B60EB">
        <w:rPr>
          <w:lang w:val="fr"/>
        </w:rPr>
        <w:t>autres moyens de gérer la priorité.</w:t>
      </w:r>
    </w:p>
    <w:p w:rsidR="00364B90" w:rsidRPr="00FF710D" w:rsidRDefault="00611408" w:rsidP="00364B90">
      <w:pPr>
        <w:pStyle w:val="Heading4"/>
        <w:spacing w:before="240"/>
        <w:rPr>
          <w:lang w:val="fr-FR"/>
        </w:rPr>
      </w:pPr>
      <w:r>
        <w:rPr>
          <w:lang w:val="fr"/>
        </w:rPr>
        <w:t xml:space="preserve">Nombre de dossiers pour les cycles 2022 et 2023 : solution intermédiaire </w:t>
      </w:r>
    </w:p>
    <w:p w:rsidR="00DB67E5" w:rsidRPr="00FF710D" w:rsidRDefault="00611408" w:rsidP="00A86136">
      <w:pPr>
        <w:pStyle w:val="COMPara"/>
        <w:ind w:left="567" w:hanging="567"/>
        <w:jc w:val="both"/>
        <w:rPr>
          <w:lang w:val="fr-FR"/>
        </w:rPr>
      </w:pPr>
      <w:r>
        <w:rPr>
          <w:lang w:val="fr"/>
        </w:rPr>
        <w:t>En attendant les résultats du processus de réflexion globale sur les mécanismes d</w:t>
      </w:r>
      <w:r w:rsidR="00FF710D">
        <w:rPr>
          <w:lang w:val="fr"/>
        </w:rPr>
        <w:t>’</w:t>
      </w:r>
      <w:r>
        <w:rPr>
          <w:lang w:val="fr"/>
        </w:rPr>
        <w:t>inscription et le retour d</w:t>
      </w:r>
      <w:r w:rsidR="00FF710D">
        <w:rPr>
          <w:lang w:val="fr"/>
        </w:rPr>
        <w:t>’</w:t>
      </w:r>
      <w:r>
        <w:rPr>
          <w:lang w:val="fr"/>
        </w:rPr>
        <w:t>information de l</w:t>
      </w:r>
      <w:r w:rsidR="00FF710D">
        <w:rPr>
          <w:lang w:val="fr"/>
        </w:rPr>
        <w:t>’</w:t>
      </w:r>
      <w:r w:rsidR="0037645C">
        <w:rPr>
          <w:lang w:val="fr"/>
        </w:rPr>
        <w:t>Organe d’</w:t>
      </w:r>
      <w:r>
        <w:rPr>
          <w:lang w:val="fr"/>
        </w:rPr>
        <w:t>évaluation concernant le cycle 2021, une solution intermédiaire doit être recherchée. Le Comité pourrait demander au Secrétariat d</w:t>
      </w:r>
      <w:r w:rsidR="00FF710D">
        <w:rPr>
          <w:lang w:val="fr"/>
        </w:rPr>
        <w:t>’</w:t>
      </w:r>
      <w:r>
        <w:rPr>
          <w:lang w:val="fr"/>
        </w:rPr>
        <w:t xml:space="preserve">inclure au moins </w:t>
      </w:r>
      <w:r w:rsidR="004B30D8">
        <w:rPr>
          <w:lang w:val="fr"/>
        </w:rPr>
        <w:t xml:space="preserve">cinquante </w:t>
      </w:r>
      <w:r>
        <w:rPr>
          <w:lang w:val="fr"/>
        </w:rPr>
        <w:t xml:space="preserve">dossiers pour chacun des cycles 2022 et 2023 tout en veillant à ce que tous les dossiers de priorité (0) soient inclus. Dans le cas où le nombre de dossiers sous la seule priorité (0) dépasse le plafond de </w:t>
      </w:r>
      <w:r w:rsidR="004B30D8">
        <w:rPr>
          <w:lang w:val="fr"/>
        </w:rPr>
        <w:t xml:space="preserve">cinquante </w:t>
      </w:r>
      <w:r>
        <w:rPr>
          <w:lang w:val="fr"/>
        </w:rPr>
        <w:t>dossiers, le Secrétariat peut envisager la possibilité de traiter en plus :</w:t>
      </w:r>
    </w:p>
    <w:p w:rsidR="006B60EB" w:rsidRPr="003F777F" w:rsidRDefault="006B60EB" w:rsidP="006B60EB">
      <w:pPr>
        <w:pStyle w:val="COMPara"/>
        <w:numPr>
          <w:ilvl w:val="0"/>
          <w:numId w:val="33"/>
        </w:numPr>
        <w:jc w:val="both"/>
        <w:rPr>
          <w:lang w:val="fr-FR"/>
        </w:rPr>
      </w:pPr>
      <w:proofErr w:type="gramStart"/>
      <w:r w:rsidRPr="003F777F">
        <w:rPr>
          <w:lang w:val="fr"/>
        </w:rPr>
        <w:t>priorité</w:t>
      </w:r>
      <w:proofErr w:type="gramEnd"/>
      <w:r w:rsidRPr="003F777F">
        <w:rPr>
          <w:lang w:val="fr"/>
        </w:rPr>
        <w:t xml:space="preserve"> (i) les dossiers provenant d’États n’ayant pas d’éléments inscrits, de meilleures pratiques de sauvegardes sélectionnées ou de demandes d’assistance internationale de plus de 100 000 dollars des États-Unis accordées, et </w:t>
      </w:r>
      <w:r w:rsidR="00884893" w:rsidRPr="003F777F">
        <w:rPr>
          <w:lang w:val="fr"/>
        </w:rPr>
        <w:t>les</w:t>
      </w:r>
      <w:r w:rsidRPr="003F777F">
        <w:rPr>
          <w:lang w:val="fr"/>
        </w:rPr>
        <w:t xml:space="preserve"> candidatures à la Liste du patrimoine culturel immatériel nécessitant une sauvegarde urgente ;</w:t>
      </w:r>
    </w:p>
    <w:p w:rsidR="006B60EB" w:rsidRPr="003F777F" w:rsidRDefault="006B60EB" w:rsidP="006B60EB">
      <w:pPr>
        <w:pStyle w:val="COMPara"/>
        <w:numPr>
          <w:ilvl w:val="0"/>
          <w:numId w:val="33"/>
        </w:numPr>
        <w:jc w:val="both"/>
        <w:rPr>
          <w:lang w:val="fr"/>
        </w:rPr>
      </w:pPr>
      <w:proofErr w:type="gramStart"/>
      <w:r w:rsidRPr="003F777F">
        <w:rPr>
          <w:lang w:val="fr"/>
        </w:rPr>
        <w:t>priorité</w:t>
      </w:r>
      <w:proofErr w:type="gramEnd"/>
      <w:r w:rsidRPr="003F777F">
        <w:rPr>
          <w:lang w:val="fr"/>
        </w:rPr>
        <w:t xml:space="preserve"> (ii) les dossiers multinationaux, en donnant la priorité aux dossiers provenant d’États n’ayant pas d’éléments nationaux inscrits.</w:t>
      </w:r>
    </w:p>
    <w:p w:rsidR="00D95C4C" w:rsidRPr="00FF710D" w:rsidRDefault="00611408" w:rsidP="00AD3C02">
      <w:pPr>
        <w:pStyle w:val="COMPara"/>
        <w:ind w:left="567" w:hanging="567"/>
        <w:jc w:val="both"/>
        <w:rPr>
          <w:lang w:val="fr-FR"/>
        </w:rPr>
      </w:pPr>
      <w:r>
        <w:rPr>
          <w:lang w:val="fr"/>
        </w:rPr>
        <w:t>Le Comité souhaitera peut-être adopter la décision suivante :</w:t>
      </w:r>
    </w:p>
    <w:p w:rsidR="00D95C4C" w:rsidRPr="00FF710D" w:rsidRDefault="00611408" w:rsidP="001D14FE">
      <w:pPr>
        <w:pStyle w:val="COMTitleDecision"/>
        <w:rPr>
          <w:rFonts w:eastAsia="SimSun"/>
          <w:lang w:val="fr-FR"/>
        </w:rPr>
      </w:pPr>
      <w:r>
        <w:rPr>
          <w:bCs/>
          <w:lang w:val="fr"/>
        </w:rPr>
        <w:t>PROJET DE DÉCISION 15.COM 9</w:t>
      </w:r>
    </w:p>
    <w:p w:rsidR="00D95C4C" w:rsidRPr="00FF710D" w:rsidRDefault="00611408" w:rsidP="00285BB4">
      <w:pPr>
        <w:pStyle w:val="COMPreambulaDecisions"/>
        <w:rPr>
          <w:rFonts w:eastAsia="SimSun"/>
          <w:lang w:val="fr-FR"/>
        </w:rPr>
      </w:pPr>
      <w:r>
        <w:rPr>
          <w:lang w:val="fr"/>
        </w:rPr>
        <w:t>Le Comité,</w:t>
      </w:r>
    </w:p>
    <w:p w:rsidR="0057439C" w:rsidRPr="00FF710D" w:rsidRDefault="00611408" w:rsidP="004A2875">
      <w:pPr>
        <w:pStyle w:val="COMParaDecision"/>
        <w:rPr>
          <w:lang w:val="fr-FR"/>
        </w:rPr>
      </w:pPr>
      <w:r>
        <w:rPr>
          <w:lang w:val="fr"/>
        </w:rPr>
        <w:t>Ayant examiné</w:t>
      </w:r>
      <w:r>
        <w:rPr>
          <w:u w:val="none"/>
          <w:lang w:val="fr"/>
        </w:rPr>
        <w:t xml:space="preserve"> le document LHE/20/15.COM/9, </w:t>
      </w:r>
    </w:p>
    <w:p w:rsidR="00215F33" w:rsidRPr="00841AA6" w:rsidRDefault="00611408" w:rsidP="00215F33">
      <w:pPr>
        <w:numPr>
          <w:ilvl w:val="0"/>
          <w:numId w:val="3"/>
        </w:numPr>
        <w:autoSpaceDE w:val="0"/>
        <w:autoSpaceDN w:val="0"/>
        <w:adjustRightInd w:val="0"/>
        <w:spacing w:after="120"/>
        <w:ind w:left="1134" w:hanging="567"/>
        <w:jc w:val="both"/>
        <w:rPr>
          <w:rFonts w:ascii="Arial" w:eastAsia="SimSun" w:hAnsi="Arial" w:cs="Arial"/>
          <w:sz w:val="22"/>
          <w:szCs w:val="22"/>
        </w:rPr>
      </w:pPr>
      <w:r>
        <w:rPr>
          <w:rFonts w:ascii="Arial" w:eastAsia="SimSun" w:hAnsi="Arial" w:cs="Arial"/>
          <w:sz w:val="22"/>
          <w:szCs w:val="22"/>
          <w:u w:val="single"/>
          <w:lang w:val="fr"/>
        </w:rPr>
        <w:t>Rappelant</w:t>
      </w:r>
      <w:r>
        <w:rPr>
          <w:rFonts w:ascii="Arial" w:eastAsia="SimSun" w:hAnsi="Arial" w:cs="Arial"/>
          <w:sz w:val="22"/>
          <w:szCs w:val="22"/>
          <w:lang w:val="fr"/>
        </w:rPr>
        <w:t xml:space="preserve"> les paragraphes 33 et 34 des directives opérationnelles, ainsi que ses dé</w:t>
      </w:r>
      <w:r w:rsidRPr="006B60EB">
        <w:rPr>
          <w:rFonts w:ascii="Arial" w:eastAsia="SimSun" w:hAnsi="Arial" w:cs="Arial"/>
          <w:sz w:val="22"/>
          <w:szCs w:val="22"/>
          <w:lang w:val="fr"/>
        </w:rPr>
        <w:t>cision</w:t>
      </w:r>
      <w:r>
        <w:rPr>
          <w:rFonts w:ascii="Arial" w:eastAsia="SimSun" w:hAnsi="Arial" w:cs="Arial"/>
          <w:sz w:val="22"/>
          <w:szCs w:val="22"/>
          <w:lang w:val="fr"/>
        </w:rPr>
        <w:t xml:space="preserve">s </w:t>
      </w:r>
      <w:hyperlink r:id="rId9" w:history="1">
        <w:r>
          <w:rPr>
            <w:rStyle w:val="Hyperlink"/>
            <w:rFonts w:ascii="Arial" w:eastAsia="SimSun" w:hAnsi="Arial" w:cs="Arial"/>
            <w:sz w:val="22"/>
            <w:szCs w:val="22"/>
            <w:lang w:val="fr"/>
          </w:rPr>
          <w:t>10.COM 13</w:t>
        </w:r>
      </w:hyperlink>
      <w:r>
        <w:rPr>
          <w:rFonts w:ascii="Arial" w:eastAsia="SimSun" w:hAnsi="Arial" w:cs="Arial"/>
          <w:color w:val="0000FF"/>
          <w:sz w:val="22"/>
          <w:szCs w:val="22"/>
          <w:lang w:val="fr"/>
        </w:rPr>
        <w:t xml:space="preserve">, </w:t>
      </w:r>
      <w:hyperlink r:id="rId10" w:history="1">
        <w:r>
          <w:rPr>
            <w:rStyle w:val="Hyperlink"/>
            <w:rFonts w:ascii="Arial" w:eastAsia="SimSun" w:hAnsi="Arial" w:cs="Arial"/>
            <w:sz w:val="22"/>
            <w:szCs w:val="22"/>
            <w:lang w:val="fr"/>
          </w:rPr>
          <w:t>11.COM 12</w:t>
        </w:r>
      </w:hyperlink>
      <w:r>
        <w:rPr>
          <w:rFonts w:ascii="Arial" w:eastAsia="SimSun" w:hAnsi="Arial" w:cs="Arial"/>
          <w:sz w:val="22"/>
          <w:szCs w:val="22"/>
          <w:lang w:val="fr"/>
        </w:rPr>
        <w:t xml:space="preserve">, </w:t>
      </w:r>
      <w:hyperlink r:id="rId11" w:history="1">
        <w:r>
          <w:rPr>
            <w:rStyle w:val="Hyperlink"/>
            <w:rFonts w:ascii="Arial" w:eastAsia="SimSun" w:hAnsi="Arial" w:cs="Arial"/>
            <w:sz w:val="22"/>
            <w:szCs w:val="22"/>
            <w:lang w:val="fr"/>
          </w:rPr>
          <w:t>12.COM 13</w:t>
        </w:r>
      </w:hyperlink>
      <w:hyperlink r:id="rId12" w:history="1">
        <w:r>
          <w:rPr>
            <w:rFonts w:ascii="Arial" w:eastAsia="SimSun" w:hAnsi="Arial" w:cs="Arial"/>
            <w:sz w:val="22"/>
            <w:szCs w:val="22"/>
            <w:lang w:val="fr"/>
          </w:rPr>
          <w:t xml:space="preserve">, </w:t>
        </w:r>
        <w:r>
          <w:rPr>
            <w:rStyle w:val="Hyperlink"/>
            <w:rFonts w:ascii="Arial" w:hAnsi="Arial" w:cs="Arial"/>
            <w:sz w:val="22"/>
            <w:szCs w:val="22"/>
            <w:lang w:val="fr"/>
          </w:rPr>
          <w:t>12.COM 14</w:t>
        </w:r>
      </w:hyperlink>
      <w:r>
        <w:rPr>
          <w:rFonts w:ascii="Arial" w:eastAsia="SimSun" w:hAnsi="Arial" w:cs="Arial"/>
          <w:sz w:val="22"/>
          <w:szCs w:val="22"/>
          <w:lang w:val="fr"/>
        </w:rPr>
        <w:t xml:space="preserve">, </w:t>
      </w:r>
      <w:hyperlink r:id="rId13" w:history="1">
        <w:r>
          <w:rPr>
            <w:rStyle w:val="Hyperlink"/>
            <w:rFonts w:ascii="Arial" w:eastAsia="SimSun" w:hAnsi="Arial" w:cs="Arial"/>
            <w:sz w:val="22"/>
            <w:szCs w:val="22"/>
            <w:lang w:val="fr"/>
          </w:rPr>
          <w:t>13.COM 15</w:t>
        </w:r>
      </w:hyperlink>
      <w:r>
        <w:rPr>
          <w:rStyle w:val="Hyperlink"/>
          <w:rFonts w:ascii="Arial" w:eastAsia="SimSun" w:hAnsi="Arial" w:cs="Arial"/>
          <w:sz w:val="22"/>
          <w:szCs w:val="22"/>
          <w:lang w:val="fr"/>
        </w:rPr>
        <w:t xml:space="preserve"> </w:t>
      </w:r>
      <w:r>
        <w:rPr>
          <w:rStyle w:val="Hyperlink"/>
          <w:rFonts w:ascii="Arial" w:eastAsia="SimSun" w:hAnsi="Arial" w:cs="Arial"/>
          <w:color w:val="auto"/>
          <w:sz w:val="22"/>
          <w:szCs w:val="22"/>
          <w:u w:val="none"/>
          <w:lang w:val="fr"/>
        </w:rPr>
        <w:t>et la résolution</w:t>
      </w:r>
      <w:r w:rsidR="003F777F">
        <w:rPr>
          <w:rStyle w:val="Hyperlink"/>
          <w:rFonts w:ascii="Arial" w:eastAsia="SimSun" w:hAnsi="Arial" w:cs="Arial"/>
          <w:color w:val="auto"/>
          <w:sz w:val="22"/>
          <w:szCs w:val="22"/>
          <w:u w:val="none"/>
          <w:lang w:val="fr"/>
        </w:rPr>
        <w:t> </w:t>
      </w:r>
      <w:hyperlink r:id="rId14" w:history="1">
        <w:r>
          <w:rPr>
            <w:rStyle w:val="Hyperlink"/>
            <w:rFonts w:ascii="Arial" w:hAnsi="Arial" w:cs="Arial"/>
            <w:lang w:val="fr"/>
          </w:rPr>
          <w:t>8.</w:t>
        </w:r>
        <w:r w:rsidR="0037645C">
          <w:rPr>
            <w:rStyle w:val="Hyperlink"/>
            <w:rFonts w:ascii="Arial" w:hAnsi="Arial" w:cs="Arial"/>
            <w:lang w:val="fr"/>
          </w:rPr>
          <w:t xml:space="preserve">GA </w:t>
        </w:r>
        <w:r>
          <w:rPr>
            <w:rStyle w:val="Hyperlink"/>
            <w:rFonts w:ascii="Arial" w:hAnsi="Arial" w:cs="Arial"/>
            <w:lang w:val="fr"/>
          </w:rPr>
          <w:t>11</w:t>
        </w:r>
      </w:hyperlink>
      <w:r w:rsidR="00A235B8" w:rsidRPr="00A235B8">
        <w:rPr>
          <w:rStyle w:val="Hyperlink"/>
          <w:rFonts w:ascii="Arial" w:hAnsi="Arial" w:cs="Arial"/>
          <w:color w:val="000000" w:themeColor="text1"/>
          <w:u w:val="none"/>
          <w:lang w:val="fr"/>
        </w:rPr>
        <w:t>,</w:t>
      </w:r>
    </w:p>
    <w:p w:rsidR="00215F33" w:rsidRPr="00DB5AED" w:rsidRDefault="00611408" w:rsidP="00215F33">
      <w:pPr>
        <w:numPr>
          <w:ilvl w:val="0"/>
          <w:numId w:val="3"/>
        </w:numPr>
        <w:autoSpaceDE w:val="0"/>
        <w:autoSpaceDN w:val="0"/>
        <w:adjustRightInd w:val="0"/>
        <w:spacing w:after="120"/>
        <w:ind w:left="1134" w:hanging="567"/>
        <w:jc w:val="both"/>
        <w:rPr>
          <w:rFonts w:ascii="Arial" w:eastAsia="SimSun" w:hAnsi="Arial" w:cs="Arial"/>
          <w:snapToGrid w:val="0"/>
          <w:sz w:val="22"/>
          <w:szCs w:val="22"/>
        </w:rPr>
      </w:pPr>
      <w:r>
        <w:rPr>
          <w:rFonts w:ascii="Arial" w:eastAsia="SimSun" w:hAnsi="Arial" w:cs="Arial"/>
          <w:snapToGrid w:val="0"/>
          <w:sz w:val="22"/>
          <w:szCs w:val="22"/>
          <w:u w:val="single"/>
          <w:lang w:val="fr"/>
        </w:rPr>
        <w:lastRenderedPageBreak/>
        <w:t>Considérant</w:t>
      </w:r>
      <w:r>
        <w:rPr>
          <w:rFonts w:ascii="Arial" w:eastAsia="SimSun" w:hAnsi="Arial" w:cs="Arial"/>
          <w:snapToGrid w:val="0"/>
          <w:sz w:val="22"/>
          <w:szCs w:val="22"/>
          <w:lang w:val="fr"/>
        </w:rPr>
        <w:t xml:space="preserve"> que ses capacités à examiner les dossiers au </w:t>
      </w:r>
      <w:r>
        <w:rPr>
          <w:rFonts w:ascii="Arial" w:eastAsia="SimSun" w:hAnsi="Arial" w:cs="Arial"/>
          <w:sz w:val="22"/>
          <w:szCs w:val="22"/>
          <w:lang w:val="fr"/>
        </w:rPr>
        <w:t>cours</w:t>
      </w:r>
      <w:r>
        <w:rPr>
          <w:rFonts w:ascii="Arial" w:eastAsia="SimSun" w:hAnsi="Arial" w:cs="Arial"/>
          <w:snapToGrid w:val="0"/>
          <w:sz w:val="22"/>
          <w:szCs w:val="22"/>
          <w:lang w:val="fr"/>
        </w:rPr>
        <w:t xml:space="preserve"> d</w:t>
      </w:r>
      <w:r w:rsidR="00FF710D">
        <w:rPr>
          <w:rFonts w:ascii="Arial" w:eastAsia="SimSun" w:hAnsi="Arial" w:cs="Arial"/>
          <w:snapToGrid w:val="0"/>
          <w:sz w:val="22"/>
          <w:szCs w:val="22"/>
          <w:lang w:val="fr"/>
        </w:rPr>
        <w:t>’</w:t>
      </w:r>
      <w:r>
        <w:rPr>
          <w:rFonts w:ascii="Arial" w:eastAsia="SimSun" w:hAnsi="Arial" w:cs="Arial"/>
          <w:snapToGrid w:val="0"/>
          <w:sz w:val="22"/>
          <w:szCs w:val="22"/>
          <w:lang w:val="fr"/>
        </w:rPr>
        <w:t>un cycle sont encore limitées, tout comme les capacités et les ressources humaines du Secrétariat,</w:t>
      </w:r>
    </w:p>
    <w:p w:rsidR="00215F33" w:rsidRPr="00DB5AED" w:rsidRDefault="0037645C" w:rsidP="00215F33">
      <w:pPr>
        <w:numPr>
          <w:ilvl w:val="0"/>
          <w:numId w:val="3"/>
        </w:numPr>
        <w:autoSpaceDE w:val="0"/>
        <w:autoSpaceDN w:val="0"/>
        <w:adjustRightInd w:val="0"/>
        <w:spacing w:after="120"/>
        <w:ind w:left="1134" w:hanging="567"/>
        <w:jc w:val="both"/>
        <w:rPr>
          <w:rFonts w:ascii="Arial" w:eastAsia="SimSun" w:hAnsi="Arial" w:cs="Arial"/>
          <w:snapToGrid w:val="0"/>
          <w:sz w:val="22"/>
          <w:szCs w:val="22"/>
        </w:rPr>
      </w:pPr>
      <w:r>
        <w:rPr>
          <w:rFonts w:ascii="Arial" w:eastAsia="SimSun" w:hAnsi="Arial" w:cs="Arial"/>
          <w:snapToGrid w:val="0"/>
          <w:sz w:val="22"/>
          <w:szCs w:val="22"/>
          <w:u w:val="single"/>
          <w:lang w:val="fr"/>
        </w:rPr>
        <w:t xml:space="preserve">Considérant </w:t>
      </w:r>
      <w:r w:rsidR="00611408">
        <w:rPr>
          <w:rFonts w:ascii="Arial" w:eastAsia="SimSun" w:hAnsi="Arial" w:cs="Arial"/>
          <w:snapToGrid w:val="0"/>
          <w:sz w:val="22"/>
          <w:szCs w:val="22"/>
          <w:u w:val="single"/>
          <w:lang w:val="fr"/>
        </w:rPr>
        <w:t>en outre</w:t>
      </w:r>
      <w:r w:rsidR="00611408">
        <w:rPr>
          <w:rFonts w:ascii="Arial" w:eastAsia="SimSun" w:hAnsi="Arial" w:cs="Arial"/>
          <w:snapToGrid w:val="0"/>
          <w:sz w:val="22"/>
          <w:szCs w:val="22"/>
          <w:lang w:val="fr"/>
        </w:rPr>
        <w:t xml:space="preserve"> que la composition et l</w:t>
      </w:r>
      <w:r w:rsidR="008D0415">
        <w:rPr>
          <w:rFonts w:ascii="Arial" w:eastAsia="SimSun" w:hAnsi="Arial" w:cs="Arial"/>
          <w:snapToGrid w:val="0"/>
          <w:sz w:val="22"/>
          <w:szCs w:val="22"/>
          <w:lang w:val="fr"/>
        </w:rPr>
        <w:t>es</w:t>
      </w:r>
      <w:r w:rsidR="00611408">
        <w:rPr>
          <w:rFonts w:ascii="Arial" w:eastAsia="SimSun" w:hAnsi="Arial" w:cs="Arial"/>
          <w:snapToGrid w:val="0"/>
          <w:sz w:val="22"/>
          <w:szCs w:val="22"/>
          <w:lang w:val="fr"/>
        </w:rPr>
        <w:t xml:space="preserve"> méthode</w:t>
      </w:r>
      <w:r w:rsidR="008D0415">
        <w:rPr>
          <w:rFonts w:ascii="Arial" w:eastAsia="SimSun" w:hAnsi="Arial" w:cs="Arial"/>
          <w:snapToGrid w:val="0"/>
          <w:sz w:val="22"/>
          <w:szCs w:val="22"/>
          <w:lang w:val="fr"/>
        </w:rPr>
        <w:t>s</w:t>
      </w:r>
      <w:r w:rsidR="00611408">
        <w:rPr>
          <w:rFonts w:ascii="Arial" w:eastAsia="SimSun" w:hAnsi="Arial" w:cs="Arial"/>
          <w:snapToGrid w:val="0"/>
          <w:sz w:val="22"/>
          <w:szCs w:val="22"/>
          <w:lang w:val="fr"/>
        </w:rPr>
        <w:t xml:space="preserve"> de travail de l</w:t>
      </w:r>
      <w:r w:rsidR="00FF710D">
        <w:rPr>
          <w:rFonts w:ascii="Arial" w:eastAsia="SimSun" w:hAnsi="Arial" w:cs="Arial"/>
          <w:snapToGrid w:val="0"/>
          <w:sz w:val="22"/>
          <w:szCs w:val="22"/>
          <w:lang w:val="fr"/>
        </w:rPr>
        <w:t>’</w:t>
      </w:r>
      <w:r w:rsidR="00611408">
        <w:rPr>
          <w:rFonts w:ascii="Arial" w:eastAsia="SimSun" w:hAnsi="Arial" w:cs="Arial"/>
          <w:snapToGrid w:val="0"/>
          <w:sz w:val="22"/>
          <w:szCs w:val="22"/>
          <w:lang w:val="fr"/>
        </w:rPr>
        <w:t>Organe d</w:t>
      </w:r>
      <w:r w:rsidR="00FF710D">
        <w:rPr>
          <w:rFonts w:ascii="Arial" w:eastAsia="SimSun" w:hAnsi="Arial" w:cs="Arial"/>
          <w:snapToGrid w:val="0"/>
          <w:sz w:val="22"/>
          <w:szCs w:val="22"/>
          <w:lang w:val="fr"/>
        </w:rPr>
        <w:t>’</w:t>
      </w:r>
      <w:r w:rsidR="00611408">
        <w:rPr>
          <w:rFonts w:ascii="Arial" w:eastAsia="SimSun" w:hAnsi="Arial" w:cs="Arial"/>
          <w:snapToGrid w:val="0"/>
          <w:sz w:val="22"/>
          <w:szCs w:val="22"/>
          <w:lang w:val="fr"/>
        </w:rPr>
        <w:t xml:space="preserve">évaluation sont conçues pour promouvoir à la fois une représentation géographique équitable et une représentation équilibrée des experts et des </w:t>
      </w:r>
      <w:r>
        <w:rPr>
          <w:rFonts w:ascii="Arial" w:eastAsia="SimSun" w:hAnsi="Arial" w:cs="Arial"/>
          <w:snapToGrid w:val="0"/>
          <w:sz w:val="22"/>
          <w:szCs w:val="22"/>
          <w:lang w:val="fr"/>
        </w:rPr>
        <w:t xml:space="preserve">organisations non gouvernementales </w:t>
      </w:r>
      <w:r w:rsidR="00611408">
        <w:rPr>
          <w:rFonts w:ascii="Arial" w:eastAsia="SimSun" w:hAnsi="Arial" w:cs="Arial"/>
          <w:snapToGrid w:val="0"/>
          <w:sz w:val="22"/>
          <w:szCs w:val="22"/>
          <w:lang w:val="fr"/>
        </w:rPr>
        <w:t>dans l</w:t>
      </w:r>
      <w:r w:rsidR="00FF710D">
        <w:rPr>
          <w:rFonts w:ascii="Arial" w:eastAsia="SimSun" w:hAnsi="Arial" w:cs="Arial"/>
          <w:snapToGrid w:val="0"/>
          <w:sz w:val="22"/>
          <w:szCs w:val="22"/>
          <w:lang w:val="fr"/>
        </w:rPr>
        <w:t>’</w:t>
      </w:r>
      <w:r w:rsidR="00611408">
        <w:rPr>
          <w:rFonts w:ascii="Arial" w:eastAsia="SimSun" w:hAnsi="Arial" w:cs="Arial"/>
          <w:snapToGrid w:val="0"/>
          <w:sz w:val="22"/>
          <w:szCs w:val="22"/>
          <w:lang w:val="fr"/>
        </w:rPr>
        <w:t>évaluation de chaque critère de chaque dossier individuel, dont les contraintes de temps limitent sa capacité,</w:t>
      </w:r>
    </w:p>
    <w:p w:rsidR="00197093" w:rsidRPr="00DB5AED" w:rsidRDefault="006B60EB" w:rsidP="00197093">
      <w:pPr>
        <w:numPr>
          <w:ilvl w:val="0"/>
          <w:numId w:val="3"/>
        </w:numPr>
        <w:autoSpaceDE w:val="0"/>
        <w:autoSpaceDN w:val="0"/>
        <w:adjustRightInd w:val="0"/>
        <w:spacing w:after="120"/>
        <w:ind w:left="1134" w:hanging="567"/>
        <w:jc w:val="both"/>
        <w:rPr>
          <w:rFonts w:ascii="Arial" w:eastAsia="SimSun" w:hAnsi="Arial" w:cs="Arial"/>
          <w:snapToGrid w:val="0"/>
          <w:sz w:val="22"/>
          <w:szCs w:val="22"/>
        </w:rPr>
      </w:pPr>
      <w:r>
        <w:rPr>
          <w:rFonts w:ascii="Arial" w:hAnsi="Arial" w:cs="Arial"/>
          <w:snapToGrid w:val="0"/>
          <w:sz w:val="22"/>
          <w:szCs w:val="22"/>
          <w:u w:val="single"/>
          <w:lang w:val="fr"/>
        </w:rPr>
        <w:t>Prend n</w:t>
      </w:r>
      <w:r w:rsidR="00611408">
        <w:rPr>
          <w:rFonts w:ascii="Arial" w:hAnsi="Arial" w:cs="Arial"/>
          <w:snapToGrid w:val="0"/>
          <w:sz w:val="22"/>
          <w:szCs w:val="22"/>
          <w:u w:val="single"/>
          <w:lang w:val="fr"/>
        </w:rPr>
        <w:t>ote</w:t>
      </w:r>
      <w:r w:rsidR="00611408">
        <w:rPr>
          <w:rFonts w:ascii="Arial" w:hAnsi="Arial" w:cs="Arial"/>
          <w:snapToGrid w:val="0"/>
          <w:sz w:val="22"/>
          <w:szCs w:val="22"/>
          <w:lang w:val="fr"/>
        </w:rPr>
        <w:t xml:space="preserve"> </w:t>
      </w:r>
      <w:r w:rsidR="00884893">
        <w:rPr>
          <w:rFonts w:ascii="Arial" w:hAnsi="Arial" w:cs="Arial"/>
          <w:snapToGrid w:val="0"/>
          <w:sz w:val="22"/>
          <w:szCs w:val="22"/>
          <w:lang w:val="fr"/>
        </w:rPr>
        <w:t xml:space="preserve">du fait </w:t>
      </w:r>
      <w:r w:rsidR="00611408">
        <w:rPr>
          <w:rFonts w:ascii="Arial" w:hAnsi="Arial" w:cs="Arial"/>
          <w:snapToGrid w:val="0"/>
          <w:sz w:val="22"/>
          <w:szCs w:val="22"/>
          <w:lang w:val="fr"/>
        </w:rPr>
        <w:t xml:space="preserve">que le nombre de dossiers traités pour le cycle 2021 est de </w:t>
      </w:r>
      <w:r w:rsidR="004B30D8">
        <w:rPr>
          <w:rFonts w:ascii="Arial" w:hAnsi="Arial" w:cs="Arial"/>
          <w:snapToGrid w:val="0"/>
          <w:sz w:val="22"/>
          <w:szCs w:val="22"/>
          <w:lang w:val="fr"/>
        </w:rPr>
        <w:t xml:space="preserve">soixante </w:t>
      </w:r>
      <w:r w:rsidR="00611408">
        <w:rPr>
          <w:rFonts w:ascii="Arial" w:hAnsi="Arial" w:cs="Arial"/>
          <w:sz w:val="22"/>
          <w:szCs w:val="22"/>
          <w:lang w:val="fr"/>
        </w:rPr>
        <w:t>(</w:t>
      </w:r>
      <w:r w:rsidR="004B30D8">
        <w:rPr>
          <w:rFonts w:ascii="Arial" w:hAnsi="Arial" w:cs="Arial"/>
          <w:sz w:val="22"/>
          <w:szCs w:val="22"/>
          <w:lang w:val="fr"/>
        </w:rPr>
        <w:t xml:space="preserve">cinquante-cinq </w:t>
      </w:r>
      <w:r w:rsidR="00611408">
        <w:rPr>
          <w:rFonts w:ascii="Arial" w:hAnsi="Arial" w:cs="Arial"/>
          <w:sz w:val="22"/>
          <w:szCs w:val="22"/>
          <w:lang w:val="fr"/>
        </w:rPr>
        <w:t xml:space="preserve">dossiers nationaux et 5 multinationaux) </w:t>
      </w:r>
      <w:r w:rsidR="00611408">
        <w:rPr>
          <w:rFonts w:ascii="Arial" w:hAnsi="Arial" w:cs="Arial"/>
          <w:snapToGrid w:val="0"/>
          <w:sz w:val="22"/>
          <w:szCs w:val="22"/>
          <w:lang w:val="fr"/>
        </w:rPr>
        <w:t xml:space="preserve">et que pour le cycle 2020, il est de </w:t>
      </w:r>
      <w:r w:rsidR="004B30D8">
        <w:rPr>
          <w:rFonts w:ascii="Arial" w:hAnsi="Arial" w:cs="Arial"/>
          <w:snapToGrid w:val="0"/>
          <w:sz w:val="22"/>
          <w:szCs w:val="22"/>
          <w:lang w:val="fr"/>
        </w:rPr>
        <w:t xml:space="preserve">cinquante-trois </w:t>
      </w:r>
      <w:r w:rsidR="00611408">
        <w:rPr>
          <w:rFonts w:ascii="Arial" w:hAnsi="Arial" w:cs="Arial"/>
          <w:sz w:val="22"/>
          <w:szCs w:val="22"/>
          <w:lang w:val="fr"/>
        </w:rPr>
        <w:t>(</w:t>
      </w:r>
      <w:r w:rsidR="004B30D8">
        <w:rPr>
          <w:rFonts w:ascii="Arial" w:hAnsi="Arial" w:cs="Arial"/>
          <w:sz w:val="22"/>
          <w:szCs w:val="22"/>
          <w:lang w:val="fr"/>
        </w:rPr>
        <w:t xml:space="preserve">trente-sept </w:t>
      </w:r>
      <w:r w:rsidR="00611408">
        <w:rPr>
          <w:rFonts w:ascii="Arial" w:hAnsi="Arial" w:cs="Arial"/>
          <w:sz w:val="22"/>
          <w:szCs w:val="22"/>
          <w:lang w:val="fr"/>
        </w:rPr>
        <w:t xml:space="preserve">dossiers nationaux et </w:t>
      </w:r>
      <w:r w:rsidR="00143F99">
        <w:rPr>
          <w:rFonts w:ascii="Arial" w:hAnsi="Arial" w:cs="Arial"/>
          <w:sz w:val="22"/>
          <w:szCs w:val="22"/>
          <w:lang w:val="fr"/>
        </w:rPr>
        <w:t xml:space="preserve">seize </w:t>
      </w:r>
      <w:r w:rsidR="00611408">
        <w:rPr>
          <w:rFonts w:ascii="Arial" w:hAnsi="Arial" w:cs="Arial"/>
          <w:sz w:val="22"/>
          <w:szCs w:val="22"/>
          <w:lang w:val="fr"/>
        </w:rPr>
        <w:t xml:space="preserve">multinationaux), tout en saluant les efforts du Secrétariat </w:t>
      </w:r>
      <w:r w:rsidR="00884893">
        <w:rPr>
          <w:rFonts w:ascii="Arial" w:hAnsi="Arial" w:cs="Arial"/>
          <w:sz w:val="22"/>
          <w:szCs w:val="22"/>
          <w:lang w:val="fr"/>
        </w:rPr>
        <w:t>d’</w:t>
      </w:r>
      <w:r w:rsidR="00611408">
        <w:rPr>
          <w:rFonts w:ascii="Arial" w:hAnsi="Arial" w:cs="Arial"/>
          <w:sz w:val="22"/>
          <w:szCs w:val="22"/>
          <w:lang w:val="fr"/>
        </w:rPr>
        <w:t xml:space="preserve">avoir augmenté le </w:t>
      </w:r>
      <w:r w:rsidR="00611408" w:rsidRPr="00884893">
        <w:rPr>
          <w:rFonts w:ascii="Arial" w:hAnsi="Arial" w:cs="Arial"/>
          <w:sz w:val="22"/>
          <w:szCs w:val="22"/>
          <w:lang w:val="fr"/>
        </w:rPr>
        <w:t xml:space="preserve">nombre de dossiers de </w:t>
      </w:r>
      <w:r w:rsidR="004B30D8">
        <w:rPr>
          <w:rFonts w:ascii="Arial" w:hAnsi="Arial" w:cs="Arial"/>
          <w:sz w:val="22"/>
          <w:szCs w:val="22"/>
          <w:lang w:val="fr"/>
        </w:rPr>
        <w:t xml:space="preserve">cinquante </w:t>
      </w:r>
      <w:r w:rsidR="0037645C">
        <w:rPr>
          <w:rFonts w:ascii="Arial" w:hAnsi="Arial" w:cs="Arial"/>
          <w:sz w:val="22"/>
          <w:szCs w:val="22"/>
          <w:lang w:val="fr"/>
        </w:rPr>
        <w:t xml:space="preserve">à </w:t>
      </w:r>
      <w:r w:rsidR="004B30D8">
        <w:rPr>
          <w:rFonts w:ascii="Arial" w:hAnsi="Arial" w:cs="Arial"/>
          <w:sz w:val="22"/>
          <w:szCs w:val="22"/>
          <w:lang w:val="fr"/>
        </w:rPr>
        <w:t>soixante</w:t>
      </w:r>
      <w:r w:rsidR="00611408">
        <w:rPr>
          <w:rFonts w:ascii="Arial" w:hAnsi="Arial" w:cs="Arial"/>
          <w:sz w:val="22"/>
          <w:szCs w:val="22"/>
          <w:lang w:val="fr"/>
        </w:rPr>
        <w:t xml:space="preserve"> pour le cycle 2021</w:t>
      </w:r>
      <w:r w:rsidR="00611408">
        <w:rPr>
          <w:rFonts w:ascii="Arial" w:hAnsi="Arial" w:cs="Arial"/>
          <w:snapToGrid w:val="0"/>
          <w:sz w:val="22"/>
          <w:szCs w:val="22"/>
          <w:lang w:val="fr"/>
        </w:rPr>
        <w:t>,</w:t>
      </w:r>
    </w:p>
    <w:p w:rsidR="00215F33" w:rsidRPr="00DB5AED" w:rsidRDefault="00611408" w:rsidP="00215F33">
      <w:pPr>
        <w:numPr>
          <w:ilvl w:val="0"/>
          <w:numId w:val="3"/>
        </w:numPr>
        <w:autoSpaceDE w:val="0"/>
        <w:autoSpaceDN w:val="0"/>
        <w:adjustRightInd w:val="0"/>
        <w:spacing w:after="120"/>
        <w:ind w:left="1134" w:hanging="567"/>
        <w:jc w:val="both"/>
        <w:rPr>
          <w:rFonts w:ascii="Arial" w:eastAsia="SimSun" w:hAnsi="Arial" w:cs="Arial"/>
          <w:sz w:val="22"/>
          <w:szCs w:val="22"/>
        </w:rPr>
      </w:pPr>
      <w:r>
        <w:rPr>
          <w:rFonts w:ascii="Arial" w:eastAsia="SimSun" w:hAnsi="Arial" w:cs="Arial"/>
          <w:sz w:val="22"/>
          <w:szCs w:val="22"/>
          <w:u w:val="single"/>
          <w:lang w:val="fr"/>
        </w:rPr>
        <w:t>Décide</w:t>
      </w:r>
      <w:r>
        <w:rPr>
          <w:rFonts w:ascii="Arial" w:eastAsia="SimSun" w:hAnsi="Arial" w:cs="Arial"/>
          <w:sz w:val="22"/>
          <w:szCs w:val="22"/>
          <w:lang w:val="fr"/>
        </w:rPr>
        <w:t xml:space="preserve"> que, au cours des cycles 2022 et </w:t>
      </w:r>
      <w:r w:rsidR="0037645C">
        <w:rPr>
          <w:rFonts w:ascii="Arial" w:eastAsia="SimSun" w:hAnsi="Arial" w:cs="Arial"/>
          <w:sz w:val="22"/>
          <w:szCs w:val="22"/>
          <w:lang w:val="fr"/>
        </w:rPr>
        <w:t>2023</w:t>
      </w:r>
      <w:r>
        <w:rPr>
          <w:rFonts w:ascii="Arial" w:eastAsia="SimSun" w:hAnsi="Arial" w:cs="Arial"/>
          <w:sz w:val="22"/>
          <w:szCs w:val="22"/>
          <w:lang w:val="fr"/>
        </w:rPr>
        <w:t>, le nombre de candidatures à la Liste du patrimoine culturel immatériel nécessitant une sauvegarde urgente et à la Liste représentative du patrimoine culturel immatériel de l</w:t>
      </w:r>
      <w:r w:rsidR="00FF710D">
        <w:rPr>
          <w:rFonts w:ascii="Arial" w:eastAsia="SimSun" w:hAnsi="Arial" w:cs="Arial"/>
          <w:sz w:val="22"/>
          <w:szCs w:val="22"/>
          <w:lang w:val="fr"/>
        </w:rPr>
        <w:t>’</w:t>
      </w:r>
      <w:r>
        <w:rPr>
          <w:rFonts w:ascii="Arial" w:eastAsia="SimSun" w:hAnsi="Arial" w:cs="Arial"/>
          <w:sz w:val="22"/>
          <w:szCs w:val="22"/>
          <w:lang w:val="fr"/>
        </w:rPr>
        <w:t>humanité, de propositions de programmes, de projets et d</w:t>
      </w:r>
      <w:r w:rsidR="00FF710D">
        <w:rPr>
          <w:rFonts w:ascii="Arial" w:eastAsia="SimSun" w:hAnsi="Arial" w:cs="Arial"/>
          <w:sz w:val="22"/>
          <w:szCs w:val="22"/>
          <w:lang w:val="fr"/>
        </w:rPr>
        <w:t>’</w:t>
      </w:r>
      <w:r>
        <w:rPr>
          <w:rFonts w:ascii="Arial" w:eastAsia="SimSun" w:hAnsi="Arial" w:cs="Arial"/>
          <w:sz w:val="22"/>
          <w:szCs w:val="22"/>
          <w:lang w:val="fr"/>
        </w:rPr>
        <w:t>activités qui reflètent le mieux les principes et les objectifs de la Convention et de demandes d</w:t>
      </w:r>
      <w:r w:rsidR="00FF710D">
        <w:rPr>
          <w:rFonts w:ascii="Arial" w:eastAsia="SimSun" w:hAnsi="Arial" w:cs="Arial"/>
          <w:sz w:val="22"/>
          <w:szCs w:val="22"/>
          <w:lang w:val="fr"/>
        </w:rPr>
        <w:t>’</w:t>
      </w:r>
      <w:r>
        <w:rPr>
          <w:rFonts w:ascii="Arial" w:eastAsia="SimSun" w:hAnsi="Arial" w:cs="Arial"/>
          <w:sz w:val="22"/>
          <w:szCs w:val="22"/>
          <w:lang w:val="fr"/>
        </w:rPr>
        <w:t>assistance internationale supérieures à 100</w:t>
      </w:r>
      <w:r w:rsidR="0037645C">
        <w:rPr>
          <w:rFonts w:ascii="Arial" w:eastAsia="SimSun" w:hAnsi="Arial" w:cs="Arial"/>
          <w:sz w:val="22"/>
          <w:szCs w:val="22"/>
          <w:lang w:val="fr"/>
        </w:rPr>
        <w:t> </w:t>
      </w:r>
      <w:r>
        <w:rPr>
          <w:rFonts w:ascii="Arial" w:eastAsia="SimSun" w:hAnsi="Arial" w:cs="Arial"/>
          <w:sz w:val="22"/>
          <w:szCs w:val="22"/>
          <w:lang w:val="fr"/>
        </w:rPr>
        <w:t xml:space="preserve">000 dollars des États-Unis qui peuvent être traitées est fixé à au moins </w:t>
      </w:r>
      <w:r w:rsidR="004B30D8">
        <w:rPr>
          <w:rFonts w:ascii="Arial" w:eastAsia="SimSun" w:hAnsi="Arial" w:cs="Arial"/>
          <w:sz w:val="22"/>
          <w:szCs w:val="22"/>
          <w:lang w:val="fr"/>
        </w:rPr>
        <w:t xml:space="preserve">cinquante </w:t>
      </w:r>
      <w:r>
        <w:rPr>
          <w:rFonts w:ascii="Arial" w:eastAsia="SimSun" w:hAnsi="Arial" w:cs="Arial"/>
          <w:sz w:val="22"/>
          <w:szCs w:val="22"/>
          <w:lang w:val="fr"/>
        </w:rPr>
        <w:t>par cycle</w:t>
      </w:r>
      <w:r w:rsidR="009F31DB">
        <w:rPr>
          <w:rFonts w:ascii="Arial" w:eastAsia="SimSun" w:hAnsi="Arial" w:cs="Arial"/>
          <w:sz w:val="22"/>
          <w:szCs w:val="22"/>
          <w:lang w:val="fr"/>
        </w:rPr>
        <w:t> </w:t>
      </w:r>
      <w:r>
        <w:rPr>
          <w:rFonts w:ascii="Arial" w:eastAsia="SimSun" w:hAnsi="Arial" w:cs="Arial"/>
          <w:sz w:val="22"/>
          <w:szCs w:val="22"/>
          <w:lang w:val="fr"/>
        </w:rPr>
        <w:t>;</w:t>
      </w:r>
    </w:p>
    <w:p w:rsidR="007F3719" w:rsidRPr="00DB5AED" w:rsidRDefault="00611408" w:rsidP="007F3719">
      <w:pPr>
        <w:numPr>
          <w:ilvl w:val="0"/>
          <w:numId w:val="3"/>
        </w:numPr>
        <w:autoSpaceDE w:val="0"/>
        <w:autoSpaceDN w:val="0"/>
        <w:adjustRightInd w:val="0"/>
        <w:spacing w:after="120"/>
        <w:ind w:left="1134" w:hanging="567"/>
        <w:jc w:val="both"/>
        <w:rPr>
          <w:rFonts w:ascii="Arial" w:eastAsia="SimSun" w:hAnsi="Arial" w:cs="Arial"/>
          <w:sz w:val="22"/>
          <w:szCs w:val="22"/>
        </w:rPr>
      </w:pPr>
      <w:r>
        <w:rPr>
          <w:rFonts w:ascii="Arial" w:eastAsia="SimSun" w:hAnsi="Arial" w:cs="Arial"/>
          <w:sz w:val="22"/>
          <w:szCs w:val="22"/>
          <w:u w:val="single"/>
          <w:lang w:val="fr"/>
        </w:rPr>
        <w:t>Décide en outre</w:t>
      </w:r>
      <w:r>
        <w:rPr>
          <w:rFonts w:ascii="Arial" w:eastAsia="SimSun" w:hAnsi="Arial" w:cs="Arial"/>
          <w:sz w:val="22"/>
          <w:szCs w:val="22"/>
          <w:lang w:val="fr"/>
        </w:rPr>
        <w:t xml:space="preserve"> qu</w:t>
      </w:r>
      <w:r w:rsidR="00FF710D">
        <w:rPr>
          <w:rFonts w:ascii="Arial" w:eastAsia="SimSun" w:hAnsi="Arial" w:cs="Arial"/>
          <w:sz w:val="22"/>
          <w:szCs w:val="22"/>
          <w:lang w:val="fr"/>
        </w:rPr>
        <w:t>’</w:t>
      </w:r>
      <w:r>
        <w:rPr>
          <w:rFonts w:ascii="Arial" w:eastAsia="SimSun" w:hAnsi="Arial" w:cs="Arial"/>
          <w:sz w:val="22"/>
          <w:szCs w:val="22"/>
          <w:lang w:val="fr"/>
        </w:rPr>
        <w:t>au moins un dossier par État soumissionnaire devrait être traité au cours de la période de deux ans 2022-2023, conformément au paragraphe 34 de</w:t>
      </w:r>
      <w:r w:rsidR="008D0415">
        <w:rPr>
          <w:rFonts w:ascii="Arial" w:eastAsia="SimSun" w:hAnsi="Arial" w:cs="Arial"/>
          <w:sz w:val="22"/>
          <w:szCs w:val="22"/>
          <w:lang w:val="fr"/>
        </w:rPr>
        <w:t>s</w:t>
      </w:r>
      <w:r>
        <w:rPr>
          <w:rFonts w:ascii="Arial" w:eastAsia="SimSun" w:hAnsi="Arial" w:cs="Arial"/>
          <w:sz w:val="22"/>
          <w:szCs w:val="22"/>
          <w:lang w:val="fr"/>
        </w:rPr>
        <w:t xml:space="preserve"> Directive</w:t>
      </w:r>
      <w:r w:rsidR="008D0415">
        <w:rPr>
          <w:rFonts w:ascii="Arial" w:eastAsia="SimSun" w:hAnsi="Arial" w:cs="Arial"/>
          <w:sz w:val="22"/>
          <w:szCs w:val="22"/>
          <w:lang w:val="fr"/>
        </w:rPr>
        <w:t>s</w:t>
      </w:r>
      <w:r>
        <w:rPr>
          <w:rFonts w:ascii="Arial" w:eastAsia="SimSun" w:hAnsi="Arial" w:cs="Arial"/>
          <w:sz w:val="22"/>
          <w:szCs w:val="22"/>
          <w:lang w:val="fr"/>
        </w:rPr>
        <w:t xml:space="preserve"> opérationnelle</w:t>
      </w:r>
      <w:r w:rsidR="008D0415">
        <w:rPr>
          <w:rFonts w:ascii="Arial" w:eastAsia="SimSun" w:hAnsi="Arial" w:cs="Arial"/>
          <w:sz w:val="22"/>
          <w:szCs w:val="22"/>
          <w:lang w:val="fr"/>
        </w:rPr>
        <w:t>s</w:t>
      </w:r>
      <w:r>
        <w:rPr>
          <w:rFonts w:ascii="Arial" w:eastAsia="SimSun" w:hAnsi="Arial" w:cs="Arial"/>
          <w:sz w:val="22"/>
          <w:szCs w:val="22"/>
          <w:lang w:val="fr"/>
        </w:rPr>
        <w:t>, et que les États parties qui ont soumis des dossiers qui n</w:t>
      </w:r>
      <w:r w:rsidR="00FF710D">
        <w:rPr>
          <w:rFonts w:ascii="Arial" w:eastAsia="SimSun" w:hAnsi="Arial" w:cs="Arial"/>
          <w:sz w:val="22"/>
          <w:szCs w:val="22"/>
          <w:lang w:val="fr"/>
        </w:rPr>
        <w:t>’</w:t>
      </w:r>
      <w:r>
        <w:rPr>
          <w:rFonts w:ascii="Arial" w:eastAsia="SimSun" w:hAnsi="Arial" w:cs="Arial"/>
          <w:sz w:val="22"/>
          <w:szCs w:val="22"/>
          <w:lang w:val="fr"/>
        </w:rPr>
        <w:t>ont pas pu être traités dans le cycle 2021 verront leurs dossiers traités en priorité dans le cycle 2022, selon le principe d</w:t>
      </w:r>
      <w:r w:rsidR="00FF710D">
        <w:rPr>
          <w:rFonts w:ascii="Arial" w:eastAsia="SimSun" w:hAnsi="Arial" w:cs="Arial"/>
          <w:sz w:val="22"/>
          <w:szCs w:val="22"/>
          <w:lang w:val="fr"/>
        </w:rPr>
        <w:t>’</w:t>
      </w:r>
      <w:r>
        <w:rPr>
          <w:rFonts w:ascii="Arial" w:eastAsia="SimSun" w:hAnsi="Arial" w:cs="Arial"/>
          <w:sz w:val="22"/>
          <w:szCs w:val="22"/>
          <w:lang w:val="fr"/>
        </w:rPr>
        <w:t>un dossier par État soumissionnaire au cours de la période de deux ans</w:t>
      </w:r>
      <w:r w:rsidR="009F31DB">
        <w:rPr>
          <w:rFonts w:ascii="Arial" w:eastAsia="SimSun" w:hAnsi="Arial" w:cs="Arial"/>
          <w:sz w:val="22"/>
          <w:szCs w:val="22"/>
          <w:lang w:val="fr"/>
        </w:rPr>
        <w:t> </w:t>
      </w:r>
      <w:r>
        <w:rPr>
          <w:rFonts w:ascii="Arial" w:eastAsia="SimSun" w:hAnsi="Arial" w:cs="Arial"/>
          <w:sz w:val="22"/>
          <w:szCs w:val="22"/>
          <w:lang w:val="fr"/>
        </w:rPr>
        <w:t>;</w:t>
      </w:r>
    </w:p>
    <w:p w:rsidR="003D4B17" w:rsidRPr="00DB5AED" w:rsidRDefault="00611408" w:rsidP="003D4B17">
      <w:pPr>
        <w:numPr>
          <w:ilvl w:val="0"/>
          <w:numId w:val="3"/>
        </w:numPr>
        <w:autoSpaceDE w:val="0"/>
        <w:autoSpaceDN w:val="0"/>
        <w:adjustRightInd w:val="0"/>
        <w:spacing w:after="120"/>
        <w:ind w:left="1134" w:hanging="567"/>
        <w:jc w:val="both"/>
        <w:rPr>
          <w:rFonts w:ascii="Arial" w:eastAsia="SimSun" w:hAnsi="Arial" w:cs="Arial"/>
          <w:sz w:val="22"/>
          <w:szCs w:val="22"/>
        </w:rPr>
      </w:pPr>
      <w:r>
        <w:rPr>
          <w:rFonts w:ascii="Arial" w:eastAsia="SimSun" w:hAnsi="Arial" w:cs="Arial"/>
          <w:sz w:val="22"/>
          <w:szCs w:val="22"/>
          <w:u w:val="single"/>
          <w:lang w:val="fr"/>
        </w:rPr>
        <w:t>Décide également</w:t>
      </w:r>
      <w:r>
        <w:rPr>
          <w:rFonts w:ascii="Arial" w:eastAsia="SimSun" w:hAnsi="Arial" w:cs="Arial"/>
          <w:sz w:val="22"/>
          <w:szCs w:val="22"/>
          <w:lang w:val="fr"/>
        </w:rPr>
        <w:t xml:space="preserve"> que le Secrétariat peut faire preuve d</w:t>
      </w:r>
      <w:r w:rsidR="00FF710D">
        <w:rPr>
          <w:rFonts w:ascii="Arial" w:eastAsia="SimSun" w:hAnsi="Arial" w:cs="Arial"/>
          <w:sz w:val="22"/>
          <w:szCs w:val="22"/>
          <w:lang w:val="fr"/>
        </w:rPr>
        <w:t>’</w:t>
      </w:r>
      <w:r>
        <w:rPr>
          <w:rFonts w:ascii="Arial" w:eastAsia="SimSun" w:hAnsi="Arial" w:cs="Arial"/>
          <w:sz w:val="22"/>
          <w:szCs w:val="22"/>
          <w:lang w:val="fr"/>
        </w:rPr>
        <w:t xml:space="preserve">une certaine souplesse si cela permet une plus grande équité entre les États soumissionnaires ayant une priorité égale en vertu du paragraphe 34 des </w:t>
      </w:r>
      <w:r w:rsidR="00A73AC3">
        <w:rPr>
          <w:rFonts w:ascii="Arial" w:eastAsia="SimSun" w:hAnsi="Arial" w:cs="Arial"/>
          <w:sz w:val="22"/>
          <w:szCs w:val="22"/>
          <w:lang w:val="fr"/>
        </w:rPr>
        <w:t>D</w:t>
      </w:r>
      <w:r>
        <w:rPr>
          <w:rFonts w:ascii="Arial" w:eastAsia="SimSun" w:hAnsi="Arial" w:cs="Arial"/>
          <w:sz w:val="22"/>
          <w:szCs w:val="22"/>
          <w:lang w:val="fr"/>
        </w:rPr>
        <w:t>irectives opérationnelles</w:t>
      </w:r>
      <w:r w:rsidR="009F31DB">
        <w:rPr>
          <w:rFonts w:ascii="Arial" w:eastAsia="SimSun" w:hAnsi="Arial" w:cs="Arial"/>
          <w:sz w:val="22"/>
          <w:szCs w:val="22"/>
          <w:lang w:val="fr"/>
        </w:rPr>
        <w:t> </w:t>
      </w:r>
      <w:r>
        <w:rPr>
          <w:rFonts w:ascii="Arial" w:eastAsia="SimSun" w:hAnsi="Arial" w:cs="Arial"/>
          <w:sz w:val="22"/>
          <w:szCs w:val="22"/>
          <w:lang w:val="fr"/>
        </w:rPr>
        <w:t>;</w:t>
      </w:r>
    </w:p>
    <w:p w:rsidR="009B5835" w:rsidRPr="009B5835" w:rsidRDefault="00A73AC3" w:rsidP="00215F33">
      <w:pPr>
        <w:numPr>
          <w:ilvl w:val="0"/>
          <w:numId w:val="3"/>
        </w:numPr>
        <w:autoSpaceDE w:val="0"/>
        <w:autoSpaceDN w:val="0"/>
        <w:adjustRightInd w:val="0"/>
        <w:spacing w:after="120"/>
        <w:ind w:left="1134" w:hanging="567"/>
        <w:jc w:val="both"/>
        <w:rPr>
          <w:rFonts w:ascii="Arial" w:eastAsia="SimSun" w:hAnsi="Arial" w:cs="Arial"/>
          <w:sz w:val="22"/>
          <w:szCs w:val="22"/>
          <w:u w:val="single"/>
        </w:rPr>
      </w:pPr>
      <w:r>
        <w:rPr>
          <w:rFonts w:ascii="Arial" w:eastAsia="SimSun" w:hAnsi="Arial" w:cs="Arial"/>
          <w:sz w:val="22"/>
          <w:szCs w:val="22"/>
          <w:u w:val="single"/>
          <w:lang w:val="fr"/>
        </w:rPr>
        <w:t>Demande</w:t>
      </w:r>
      <w:r>
        <w:rPr>
          <w:rFonts w:ascii="Arial" w:eastAsia="SimSun" w:hAnsi="Arial" w:cs="Arial"/>
          <w:sz w:val="22"/>
          <w:szCs w:val="22"/>
          <w:lang w:val="fr"/>
        </w:rPr>
        <w:t xml:space="preserve"> </w:t>
      </w:r>
      <w:r w:rsidR="00884893">
        <w:rPr>
          <w:rFonts w:ascii="Arial" w:eastAsia="SimSun" w:hAnsi="Arial" w:cs="Arial"/>
          <w:sz w:val="22"/>
          <w:szCs w:val="22"/>
          <w:lang w:val="fr"/>
        </w:rPr>
        <w:t xml:space="preserve">que </w:t>
      </w:r>
      <w:r w:rsidR="00611408" w:rsidRPr="00884893">
        <w:rPr>
          <w:rFonts w:ascii="Arial" w:eastAsia="SimSun" w:hAnsi="Arial" w:cs="Arial"/>
          <w:sz w:val="22"/>
          <w:szCs w:val="22"/>
          <w:lang w:val="fr"/>
        </w:rPr>
        <w:t xml:space="preserve">le </w:t>
      </w:r>
      <w:r w:rsidR="00884893" w:rsidRPr="00F3089F">
        <w:rPr>
          <w:rFonts w:ascii="Arial" w:eastAsia="SimSun" w:hAnsi="Arial" w:cs="Arial"/>
          <w:sz w:val="22"/>
          <w:szCs w:val="22"/>
          <w:lang w:val="fr"/>
        </w:rPr>
        <w:t>S</w:t>
      </w:r>
      <w:r w:rsidR="00611408" w:rsidRPr="00884893">
        <w:rPr>
          <w:rFonts w:ascii="Arial" w:eastAsia="SimSun" w:hAnsi="Arial" w:cs="Arial"/>
          <w:sz w:val="22"/>
          <w:szCs w:val="22"/>
          <w:lang w:val="fr"/>
        </w:rPr>
        <w:t>ecrétariat</w:t>
      </w:r>
      <w:r w:rsidR="00611408">
        <w:rPr>
          <w:rFonts w:ascii="Arial" w:eastAsia="SimSun" w:hAnsi="Arial" w:cs="Arial"/>
          <w:sz w:val="22"/>
          <w:szCs w:val="22"/>
          <w:lang w:val="fr"/>
        </w:rPr>
        <w:t xml:space="preserve"> envisage la possibilité de traiter </w:t>
      </w:r>
      <w:r w:rsidR="00884893">
        <w:rPr>
          <w:rFonts w:ascii="Arial" w:eastAsia="SimSun" w:hAnsi="Arial" w:cs="Arial"/>
          <w:sz w:val="22"/>
          <w:szCs w:val="22"/>
          <w:lang w:val="fr"/>
        </w:rPr>
        <w:t>également</w:t>
      </w:r>
      <w:r w:rsidR="00611408">
        <w:rPr>
          <w:rFonts w:ascii="Arial" w:eastAsia="SimSun" w:hAnsi="Arial" w:cs="Arial"/>
          <w:sz w:val="22"/>
          <w:szCs w:val="22"/>
          <w:lang w:val="fr"/>
        </w:rPr>
        <w:t xml:space="preserve">, </w:t>
      </w:r>
      <w:r w:rsidR="00884893">
        <w:rPr>
          <w:rFonts w:ascii="Arial" w:eastAsia="SimSun" w:hAnsi="Arial" w:cs="Arial"/>
          <w:sz w:val="22"/>
          <w:szCs w:val="22"/>
          <w:lang w:val="fr"/>
        </w:rPr>
        <w:t xml:space="preserve">en fonction de </w:t>
      </w:r>
      <w:r w:rsidR="00611408">
        <w:rPr>
          <w:rFonts w:ascii="Arial" w:eastAsia="SimSun" w:hAnsi="Arial" w:cs="Arial"/>
          <w:sz w:val="22"/>
          <w:szCs w:val="22"/>
          <w:lang w:val="fr"/>
        </w:rPr>
        <w:t xml:space="preserve">ses ressources </w:t>
      </w:r>
      <w:r w:rsidR="00884893">
        <w:rPr>
          <w:rFonts w:ascii="Arial" w:eastAsia="SimSun" w:hAnsi="Arial" w:cs="Arial"/>
          <w:sz w:val="22"/>
          <w:szCs w:val="22"/>
          <w:lang w:val="fr"/>
        </w:rPr>
        <w:t xml:space="preserve">et de celles </w:t>
      </w:r>
      <w:r w:rsidR="00611408">
        <w:rPr>
          <w:rFonts w:ascii="Arial" w:eastAsia="SimSun" w:hAnsi="Arial" w:cs="Arial"/>
          <w:sz w:val="22"/>
          <w:szCs w:val="22"/>
          <w:lang w:val="fr"/>
        </w:rPr>
        <w:t>de l</w:t>
      </w:r>
      <w:r w:rsidR="00FF710D">
        <w:rPr>
          <w:rFonts w:ascii="Arial" w:eastAsia="SimSun" w:hAnsi="Arial" w:cs="Arial"/>
          <w:sz w:val="22"/>
          <w:szCs w:val="22"/>
          <w:lang w:val="fr"/>
        </w:rPr>
        <w:t>’</w:t>
      </w:r>
      <w:r w:rsidR="00611408">
        <w:rPr>
          <w:rFonts w:ascii="Arial" w:eastAsia="SimSun" w:hAnsi="Arial" w:cs="Arial"/>
          <w:sz w:val="22"/>
          <w:szCs w:val="22"/>
          <w:lang w:val="fr"/>
        </w:rPr>
        <w:t>Organe d</w:t>
      </w:r>
      <w:r w:rsidR="00FF710D">
        <w:rPr>
          <w:rFonts w:ascii="Arial" w:eastAsia="SimSun" w:hAnsi="Arial" w:cs="Arial"/>
          <w:sz w:val="22"/>
          <w:szCs w:val="22"/>
          <w:lang w:val="fr"/>
        </w:rPr>
        <w:t>’</w:t>
      </w:r>
      <w:r w:rsidR="00611408">
        <w:rPr>
          <w:rFonts w:ascii="Arial" w:eastAsia="SimSun" w:hAnsi="Arial" w:cs="Arial"/>
          <w:sz w:val="22"/>
          <w:szCs w:val="22"/>
          <w:lang w:val="fr"/>
        </w:rPr>
        <w:t>évaluation</w:t>
      </w:r>
      <w:r w:rsidR="009F31DB">
        <w:rPr>
          <w:rFonts w:ascii="Arial" w:eastAsia="SimSun" w:hAnsi="Arial" w:cs="Arial"/>
          <w:sz w:val="22"/>
          <w:szCs w:val="22"/>
          <w:lang w:val="fr"/>
        </w:rPr>
        <w:t> </w:t>
      </w:r>
      <w:r w:rsidR="00611408">
        <w:rPr>
          <w:rFonts w:ascii="Arial" w:eastAsia="SimSun" w:hAnsi="Arial" w:cs="Arial"/>
          <w:sz w:val="22"/>
          <w:szCs w:val="22"/>
          <w:lang w:val="fr"/>
        </w:rPr>
        <w:t>:</w:t>
      </w:r>
    </w:p>
    <w:p w:rsidR="009B5835" w:rsidRDefault="00611408" w:rsidP="009B5835">
      <w:pPr>
        <w:autoSpaceDE w:val="0"/>
        <w:autoSpaceDN w:val="0"/>
        <w:adjustRightInd w:val="0"/>
        <w:spacing w:after="120"/>
        <w:ind w:left="1134"/>
        <w:jc w:val="both"/>
        <w:rPr>
          <w:rFonts w:ascii="Arial" w:eastAsia="SimSun" w:hAnsi="Arial" w:cs="Arial"/>
          <w:sz w:val="22"/>
          <w:szCs w:val="22"/>
          <w:lang w:val="fr"/>
        </w:rPr>
      </w:pPr>
      <w:r>
        <w:rPr>
          <w:rFonts w:ascii="Arial" w:eastAsia="SimSun" w:hAnsi="Arial" w:cs="Arial"/>
          <w:sz w:val="22"/>
          <w:szCs w:val="22"/>
          <w:lang w:val="fr"/>
        </w:rPr>
        <w:t xml:space="preserve">- </w:t>
      </w:r>
      <w:r w:rsidR="00884893">
        <w:rPr>
          <w:rFonts w:ascii="Arial" w:eastAsia="SimSun" w:hAnsi="Arial" w:cs="Arial"/>
          <w:sz w:val="22"/>
          <w:szCs w:val="22"/>
          <w:lang w:val="fr"/>
        </w:rPr>
        <w:t xml:space="preserve">priorité (i) </w:t>
      </w:r>
      <w:r>
        <w:rPr>
          <w:rFonts w:ascii="Arial" w:eastAsia="SimSun" w:hAnsi="Arial" w:cs="Arial"/>
          <w:sz w:val="22"/>
          <w:szCs w:val="22"/>
          <w:lang w:val="fr"/>
        </w:rPr>
        <w:t xml:space="preserve">les </w:t>
      </w:r>
      <w:r w:rsidRPr="00884893">
        <w:rPr>
          <w:rFonts w:ascii="Arial" w:eastAsia="SimSun" w:hAnsi="Arial" w:cs="Arial"/>
          <w:sz w:val="22"/>
          <w:szCs w:val="22"/>
          <w:lang w:val="fr"/>
        </w:rPr>
        <w:t>dossiers nationaux de</w:t>
      </w:r>
      <w:r>
        <w:rPr>
          <w:rFonts w:ascii="Arial" w:eastAsia="SimSun" w:hAnsi="Arial" w:cs="Arial"/>
          <w:sz w:val="22"/>
          <w:szCs w:val="22"/>
          <w:lang w:val="fr"/>
        </w:rPr>
        <w:t xml:space="preserve">s États soumissionnaires </w:t>
      </w:r>
      <w:r w:rsidR="00884893">
        <w:rPr>
          <w:rFonts w:ascii="Arial" w:eastAsia="SimSun" w:hAnsi="Arial" w:cs="Arial"/>
          <w:sz w:val="22"/>
          <w:szCs w:val="22"/>
          <w:lang w:val="fr"/>
        </w:rPr>
        <w:t>n’ayant pas d’</w:t>
      </w:r>
      <w:r>
        <w:rPr>
          <w:rFonts w:ascii="Arial" w:eastAsia="SimSun" w:hAnsi="Arial" w:cs="Arial"/>
          <w:sz w:val="22"/>
          <w:szCs w:val="22"/>
          <w:lang w:val="fr"/>
        </w:rPr>
        <w:t>élément</w:t>
      </w:r>
      <w:r w:rsidR="00884893">
        <w:rPr>
          <w:rFonts w:ascii="Arial" w:eastAsia="SimSun" w:hAnsi="Arial" w:cs="Arial"/>
          <w:sz w:val="22"/>
          <w:szCs w:val="22"/>
          <w:lang w:val="fr"/>
        </w:rPr>
        <w:t>s</w:t>
      </w:r>
      <w:r>
        <w:rPr>
          <w:rFonts w:ascii="Arial" w:eastAsia="SimSun" w:hAnsi="Arial" w:cs="Arial"/>
          <w:sz w:val="22"/>
          <w:szCs w:val="22"/>
          <w:lang w:val="fr"/>
        </w:rPr>
        <w:t xml:space="preserve"> inscrit</w:t>
      </w:r>
      <w:r w:rsidR="00884893">
        <w:rPr>
          <w:rFonts w:ascii="Arial" w:eastAsia="SimSun" w:hAnsi="Arial" w:cs="Arial"/>
          <w:sz w:val="22"/>
          <w:szCs w:val="22"/>
          <w:lang w:val="fr"/>
        </w:rPr>
        <w:t>s</w:t>
      </w:r>
      <w:r>
        <w:rPr>
          <w:rFonts w:ascii="Arial" w:eastAsia="SimSun" w:hAnsi="Arial" w:cs="Arial"/>
          <w:sz w:val="22"/>
          <w:szCs w:val="22"/>
          <w:lang w:val="fr"/>
        </w:rPr>
        <w:t xml:space="preserve"> sur l</w:t>
      </w:r>
      <w:r w:rsidR="00FF710D">
        <w:rPr>
          <w:rFonts w:ascii="Arial" w:eastAsia="SimSun" w:hAnsi="Arial" w:cs="Arial"/>
          <w:sz w:val="22"/>
          <w:szCs w:val="22"/>
          <w:lang w:val="fr"/>
        </w:rPr>
        <w:t>’</w:t>
      </w:r>
      <w:r>
        <w:rPr>
          <w:rFonts w:ascii="Arial" w:eastAsia="SimSun" w:hAnsi="Arial" w:cs="Arial"/>
          <w:sz w:val="22"/>
          <w:szCs w:val="22"/>
          <w:lang w:val="fr"/>
        </w:rPr>
        <w:t xml:space="preserve">une des Listes, </w:t>
      </w:r>
      <w:r w:rsidR="00884893">
        <w:rPr>
          <w:rFonts w:ascii="Arial" w:eastAsia="SimSun" w:hAnsi="Arial" w:cs="Arial"/>
          <w:sz w:val="22"/>
          <w:szCs w:val="22"/>
          <w:lang w:val="fr"/>
        </w:rPr>
        <w:t xml:space="preserve">les </w:t>
      </w:r>
      <w:r>
        <w:rPr>
          <w:rFonts w:ascii="Arial" w:eastAsia="SimSun" w:hAnsi="Arial" w:cs="Arial"/>
          <w:sz w:val="22"/>
          <w:szCs w:val="22"/>
          <w:lang w:val="fr"/>
        </w:rPr>
        <w:t xml:space="preserve">bonnes pratiques de sauvegarde sélectionnées ou </w:t>
      </w:r>
      <w:r w:rsidR="00884893">
        <w:rPr>
          <w:rFonts w:ascii="Arial" w:eastAsia="SimSun" w:hAnsi="Arial" w:cs="Arial"/>
          <w:sz w:val="22"/>
          <w:szCs w:val="22"/>
          <w:lang w:val="fr"/>
        </w:rPr>
        <w:t xml:space="preserve">les </w:t>
      </w:r>
      <w:r>
        <w:rPr>
          <w:rFonts w:ascii="Arial" w:eastAsia="SimSun" w:hAnsi="Arial" w:cs="Arial"/>
          <w:sz w:val="22"/>
          <w:szCs w:val="22"/>
          <w:lang w:val="fr"/>
        </w:rPr>
        <w:t>demandes d</w:t>
      </w:r>
      <w:r w:rsidR="00FF710D">
        <w:rPr>
          <w:rFonts w:ascii="Arial" w:eastAsia="SimSun" w:hAnsi="Arial" w:cs="Arial"/>
          <w:sz w:val="22"/>
          <w:szCs w:val="22"/>
          <w:lang w:val="fr"/>
        </w:rPr>
        <w:t>’</w:t>
      </w:r>
      <w:r>
        <w:rPr>
          <w:rFonts w:ascii="Arial" w:eastAsia="SimSun" w:hAnsi="Arial" w:cs="Arial"/>
          <w:sz w:val="22"/>
          <w:szCs w:val="22"/>
          <w:lang w:val="fr"/>
        </w:rPr>
        <w:t>assistance internationale supérieures à 100</w:t>
      </w:r>
      <w:r w:rsidR="00884893">
        <w:rPr>
          <w:rFonts w:ascii="Arial" w:eastAsia="SimSun" w:hAnsi="Arial" w:cs="Arial"/>
          <w:sz w:val="22"/>
          <w:szCs w:val="22"/>
          <w:lang w:val="fr"/>
        </w:rPr>
        <w:t> </w:t>
      </w:r>
      <w:r>
        <w:rPr>
          <w:rFonts w:ascii="Arial" w:eastAsia="SimSun" w:hAnsi="Arial" w:cs="Arial"/>
          <w:sz w:val="22"/>
          <w:szCs w:val="22"/>
          <w:lang w:val="fr"/>
        </w:rPr>
        <w:t xml:space="preserve">000 </w:t>
      </w:r>
      <w:r w:rsidR="00884893">
        <w:rPr>
          <w:rFonts w:ascii="Arial" w:eastAsia="SimSun" w:hAnsi="Arial" w:cs="Arial"/>
          <w:sz w:val="22"/>
          <w:szCs w:val="22"/>
          <w:lang w:val="fr"/>
        </w:rPr>
        <w:t xml:space="preserve">dollars des États-Unis </w:t>
      </w:r>
      <w:r>
        <w:rPr>
          <w:rFonts w:ascii="Arial" w:eastAsia="SimSun" w:hAnsi="Arial" w:cs="Arial"/>
          <w:sz w:val="22"/>
          <w:szCs w:val="22"/>
          <w:lang w:val="fr"/>
        </w:rPr>
        <w:t xml:space="preserve">approuvées </w:t>
      </w:r>
      <w:r w:rsidR="00884893">
        <w:rPr>
          <w:rFonts w:ascii="Arial" w:eastAsia="SimSun" w:hAnsi="Arial" w:cs="Arial"/>
          <w:sz w:val="22"/>
          <w:szCs w:val="22"/>
          <w:lang w:val="fr"/>
        </w:rPr>
        <w:t>et les</w:t>
      </w:r>
      <w:r>
        <w:rPr>
          <w:rFonts w:ascii="Arial" w:eastAsia="SimSun" w:hAnsi="Arial" w:cs="Arial"/>
          <w:sz w:val="22"/>
          <w:szCs w:val="22"/>
          <w:lang w:val="fr"/>
        </w:rPr>
        <w:t xml:space="preserve"> candidatures à la Liste du patrimoine culturel immatériel nécessitant une sauvegarde urgente,</w:t>
      </w:r>
    </w:p>
    <w:p w:rsidR="007F3719" w:rsidRPr="00DB5AED" w:rsidRDefault="00611408" w:rsidP="009B5835">
      <w:pPr>
        <w:autoSpaceDE w:val="0"/>
        <w:autoSpaceDN w:val="0"/>
        <w:adjustRightInd w:val="0"/>
        <w:spacing w:after="120"/>
        <w:ind w:left="1134"/>
        <w:jc w:val="both"/>
        <w:rPr>
          <w:rFonts w:ascii="Arial" w:eastAsia="SimSun" w:hAnsi="Arial" w:cs="Arial"/>
          <w:sz w:val="22"/>
          <w:szCs w:val="22"/>
          <w:u w:val="single"/>
        </w:rPr>
      </w:pPr>
      <w:r>
        <w:rPr>
          <w:rFonts w:ascii="Arial" w:eastAsia="SimSun" w:hAnsi="Arial" w:cs="Arial"/>
          <w:sz w:val="22"/>
          <w:szCs w:val="22"/>
          <w:lang w:val="fr"/>
        </w:rPr>
        <w:t xml:space="preserve">- </w:t>
      </w:r>
      <w:r w:rsidR="00884893">
        <w:rPr>
          <w:rFonts w:ascii="Arial" w:eastAsia="SimSun" w:hAnsi="Arial" w:cs="Arial"/>
          <w:sz w:val="22"/>
          <w:szCs w:val="22"/>
          <w:lang w:val="fr"/>
        </w:rPr>
        <w:t xml:space="preserve">priorité (ii) </w:t>
      </w:r>
      <w:r>
        <w:rPr>
          <w:rFonts w:ascii="Arial" w:eastAsia="SimSun" w:hAnsi="Arial" w:cs="Arial"/>
          <w:sz w:val="22"/>
          <w:szCs w:val="22"/>
          <w:lang w:val="fr"/>
        </w:rPr>
        <w:t xml:space="preserve">les </w:t>
      </w:r>
      <w:r w:rsidRPr="00884893">
        <w:rPr>
          <w:rFonts w:ascii="Arial" w:eastAsia="SimSun" w:hAnsi="Arial" w:cs="Arial"/>
          <w:sz w:val="22"/>
          <w:szCs w:val="22"/>
          <w:lang w:val="fr"/>
        </w:rPr>
        <w:t>dossiers multinationaux</w:t>
      </w:r>
      <w:r>
        <w:rPr>
          <w:rFonts w:ascii="Arial" w:eastAsia="SimSun" w:hAnsi="Arial" w:cs="Arial"/>
          <w:sz w:val="22"/>
          <w:szCs w:val="22"/>
          <w:lang w:val="fr"/>
        </w:rPr>
        <w:t>, en donnant la priorité aux dossiers provenant d</w:t>
      </w:r>
      <w:r w:rsidR="00FF710D">
        <w:rPr>
          <w:rFonts w:ascii="Arial" w:eastAsia="SimSun" w:hAnsi="Arial" w:cs="Arial"/>
          <w:sz w:val="22"/>
          <w:szCs w:val="22"/>
          <w:lang w:val="fr"/>
        </w:rPr>
        <w:t>’</w:t>
      </w:r>
      <w:r>
        <w:rPr>
          <w:rFonts w:ascii="Arial" w:eastAsia="SimSun" w:hAnsi="Arial" w:cs="Arial"/>
          <w:sz w:val="22"/>
          <w:szCs w:val="22"/>
          <w:lang w:val="fr"/>
        </w:rPr>
        <w:t xml:space="preserve">États </w:t>
      </w:r>
      <w:r w:rsidR="00884893">
        <w:rPr>
          <w:rFonts w:ascii="Arial" w:eastAsia="SimSun" w:hAnsi="Arial" w:cs="Arial"/>
          <w:sz w:val="22"/>
          <w:szCs w:val="22"/>
          <w:lang w:val="fr"/>
        </w:rPr>
        <w:t>n’ayant pas d’</w:t>
      </w:r>
      <w:r>
        <w:rPr>
          <w:rFonts w:ascii="Arial" w:eastAsia="SimSun" w:hAnsi="Arial" w:cs="Arial"/>
          <w:sz w:val="22"/>
          <w:szCs w:val="22"/>
          <w:lang w:val="fr"/>
        </w:rPr>
        <w:t>éléments nationaux inscrits</w:t>
      </w:r>
      <w:r w:rsidR="009F31DB">
        <w:rPr>
          <w:rFonts w:ascii="Arial" w:eastAsia="SimSun" w:hAnsi="Arial" w:cs="Arial"/>
          <w:sz w:val="22"/>
          <w:szCs w:val="22"/>
          <w:lang w:val="fr"/>
        </w:rPr>
        <w:t> </w:t>
      </w:r>
      <w:r>
        <w:rPr>
          <w:rFonts w:ascii="Arial" w:eastAsia="SimSun" w:hAnsi="Arial" w:cs="Arial"/>
          <w:sz w:val="22"/>
          <w:szCs w:val="22"/>
          <w:lang w:val="fr"/>
        </w:rPr>
        <w:t>;</w:t>
      </w:r>
    </w:p>
    <w:p w:rsidR="00215F33" w:rsidRPr="00DB5AED" w:rsidRDefault="00611408" w:rsidP="00215F33">
      <w:pPr>
        <w:numPr>
          <w:ilvl w:val="0"/>
          <w:numId w:val="3"/>
        </w:numPr>
        <w:autoSpaceDE w:val="0"/>
        <w:autoSpaceDN w:val="0"/>
        <w:adjustRightInd w:val="0"/>
        <w:spacing w:after="120"/>
        <w:ind w:left="1134" w:hanging="567"/>
        <w:jc w:val="both"/>
        <w:rPr>
          <w:rFonts w:ascii="Arial" w:hAnsi="Arial" w:cs="Arial"/>
          <w:sz w:val="22"/>
          <w:szCs w:val="22"/>
        </w:rPr>
      </w:pPr>
      <w:r>
        <w:rPr>
          <w:rFonts w:ascii="Arial" w:eastAsia="SimSun" w:hAnsi="Arial" w:cs="Arial"/>
          <w:sz w:val="22"/>
          <w:szCs w:val="22"/>
          <w:u w:val="single"/>
          <w:lang w:val="fr"/>
        </w:rPr>
        <w:t>Invite</w:t>
      </w:r>
      <w:r>
        <w:rPr>
          <w:rFonts w:ascii="Arial" w:eastAsia="SimSun" w:hAnsi="Arial" w:cs="Arial"/>
          <w:sz w:val="22"/>
          <w:szCs w:val="22"/>
          <w:lang w:val="fr"/>
        </w:rPr>
        <w:t xml:space="preserve"> les États parties à tenir compte de la présente décision lorsqu</w:t>
      </w:r>
      <w:r w:rsidR="00FF710D">
        <w:rPr>
          <w:rFonts w:ascii="Arial" w:eastAsia="SimSun" w:hAnsi="Arial" w:cs="Arial"/>
          <w:sz w:val="22"/>
          <w:szCs w:val="22"/>
          <w:lang w:val="fr"/>
        </w:rPr>
        <w:t>’</w:t>
      </w:r>
      <w:r>
        <w:rPr>
          <w:rFonts w:ascii="Arial" w:eastAsia="SimSun" w:hAnsi="Arial" w:cs="Arial"/>
          <w:sz w:val="22"/>
          <w:szCs w:val="22"/>
          <w:lang w:val="fr"/>
        </w:rPr>
        <w:t>ils soumettront des dossiers pour les cycles 2022 et 2023</w:t>
      </w:r>
      <w:r w:rsidR="009F31DB">
        <w:rPr>
          <w:rFonts w:ascii="Arial" w:eastAsia="SimSun" w:hAnsi="Arial" w:cs="Arial"/>
          <w:sz w:val="22"/>
          <w:szCs w:val="22"/>
          <w:lang w:val="fr"/>
        </w:rPr>
        <w:t> </w:t>
      </w:r>
      <w:r>
        <w:rPr>
          <w:rFonts w:ascii="Arial" w:eastAsia="SimSun" w:hAnsi="Arial" w:cs="Arial"/>
          <w:sz w:val="22"/>
          <w:szCs w:val="22"/>
          <w:lang w:val="fr"/>
        </w:rPr>
        <w:t>;</w:t>
      </w:r>
    </w:p>
    <w:p w:rsidR="00190205" w:rsidRPr="00F3089F" w:rsidRDefault="00611408" w:rsidP="00DB5AED">
      <w:pPr>
        <w:numPr>
          <w:ilvl w:val="0"/>
          <w:numId w:val="3"/>
        </w:numPr>
        <w:autoSpaceDE w:val="0"/>
        <w:autoSpaceDN w:val="0"/>
        <w:adjustRightInd w:val="0"/>
        <w:spacing w:after="120"/>
        <w:ind w:left="1134" w:hanging="567"/>
        <w:jc w:val="both"/>
        <w:rPr>
          <w:rFonts w:ascii="Arial" w:eastAsia="SimSun" w:hAnsi="Arial" w:cs="Arial"/>
          <w:sz w:val="22"/>
          <w:szCs w:val="22"/>
          <w:lang w:val="fr"/>
        </w:rPr>
      </w:pPr>
      <w:r w:rsidRPr="008B1FA5">
        <w:rPr>
          <w:rFonts w:ascii="Arial" w:eastAsia="SimSun" w:hAnsi="Arial" w:cs="Arial"/>
          <w:sz w:val="22"/>
          <w:szCs w:val="22"/>
          <w:u w:val="single"/>
          <w:lang w:val="fr"/>
        </w:rPr>
        <w:t xml:space="preserve">Demande </w:t>
      </w:r>
      <w:r w:rsidR="008B1FA5" w:rsidRPr="008B1FA5">
        <w:rPr>
          <w:rFonts w:ascii="Arial" w:eastAsia="SimSun" w:hAnsi="Arial" w:cs="Arial"/>
          <w:sz w:val="22"/>
          <w:szCs w:val="22"/>
          <w:u w:val="single"/>
          <w:lang w:val="fr"/>
        </w:rPr>
        <w:t>en outre</w:t>
      </w:r>
      <w:r w:rsidR="008B1FA5">
        <w:rPr>
          <w:rFonts w:ascii="Arial" w:eastAsia="SimSun" w:hAnsi="Arial" w:cs="Arial"/>
          <w:sz w:val="22"/>
          <w:szCs w:val="22"/>
          <w:lang w:val="fr"/>
        </w:rPr>
        <w:t xml:space="preserve"> </w:t>
      </w:r>
      <w:r>
        <w:rPr>
          <w:rFonts w:ascii="Arial" w:eastAsia="SimSun" w:hAnsi="Arial" w:cs="Arial"/>
          <w:sz w:val="22"/>
          <w:szCs w:val="22"/>
          <w:lang w:val="fr"/>
        </w:rPr>
        <w:t>que le Secrétariat lui fasse rapport sur le nombre de dossiers soumis pour les cycles 2022 et 2023, sur son expérience dans l</w:t>
      </w:r>
      <w:r w:rsidR="00FF710D">
        <w:rPr>
          <w:rFonts w:ascii="Arial" w:eastAsia="SimSun" w:hAnsi="Arial" w:cs="Arial"/>
          <w:sz w:val="22"/>
          <w:szCs w:val="22"/>
          <w:lang w:val="fr"/>
        </w:rPr>
        <w:t>’</w:t>
      </w:r>
      <w:r>
        <w:rPr>
          <w:rFonts w:ascii="Arial" w:eastAsia="SimSun" w:hAnsi="Arial" w:cs="Arial"/>
          <w:sz w:val="22"/>
          <w:szCs w:val="22"/>
          <w:lang w:val="fr"/>
        </w:rPr>
        <w:t>application des Directives opérationnelles et sur la présente décision lors de sa dix-septième session.</w:t>
      </w:r>
    </w:p>
    <w:sectPr w:rsidR="00190205" w:rsidRPr="00F3089F" w:rsidSect="00655736">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023" w:rsidRDefault="00526023">
      <w:r>
        <w:separator/>
      </w:r>
    </w:p>
  </w:endnote>
  <w:endnote w:type="continuationSeparator" w:id="0">
    <w:p w:rsidR="00526023" w:rsidRDefault="005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023" w:rsidRDefault="00526023" w:rsidP="00655736">
      <w:r>
        <w:separator/>
      </w:r>
    </w:p>
  </w:footnote>
  <w:footnote w:type="continuationSeparator" w:id="0">
    <w:p w:rsidR="00526023" w:rsidRDefault="00526023" w:rsidP="00655736">
      <w:r>
        <w:continuationSeparator/>
      </w:r>
    </w:p>
  </w:footnote>
  <w:footnote w:id="1">
    <w:p w:rsidR="00526023" w:rsidRPr="00C355DF" w:rsidRDefault="00526023" w:rsidP="00440FBE">
      <w:pPr>
        <w:pStyle w:val="FootnoteText"/>
        <w:tabs>
          <w:tab w:val="left" w:pos="540"/>
        </w:tabs>
        <w:spacing w:after="120"/>
        <w:ind w:left="544" w:hanging="544"/>
        <w:rPr>
          <w:rFonts w:ascii="Arial" w:hAnsi="Arial" w:cs="Arial"/>
          <w:sz w:val="18"/>
          <w:szCs w:val="18"/>
        </w:rPr>
      </w:pPr>
      <w:r w:rsidRPr="00C355DF">
        <w:rPr>
          <w:rStyle w:val="FootnoteReference"/>
          <w:rFonts w:ascii="Arial" w:hAnsi="Arial" w:cs="Arial"/>
          <w:sz w:val="18"/>
          <w:szCs w:val="18"/>
          <w:vertAlign w:val="baseline"/>
          <w:lang w:val="fr"/>
        </w:rPr>
        <w:footnoteRef/>
      </w:r>
      <w:r w:rsidR="00C355DF" w:rsidRPr="00C355DF">
        <w:rPr>
          <w:rFonts w:ascii="Arial" w:hAnsi="Arial" w:cs="Arial"/>
          <w:sz w:val="18"/>
          <w:szCs w:val="18"/>
          <w:lang w:val="fr"/>
        </w:rPr>
        <w:t>.</w:t>
      </w:r>
      <w:r w:rsidR="00C355DF" w:rsidRPr="00C355DF">
        <w:rPr>
          <w:rFonts w:ascii="Arial" w:hAnsi="Arial" w:cs="Arial"/>
          <w:sz w:val="18"/>
          <w:szCs w:val="18"/>
          <w:lang w:val="fr"/>
        </w:rPr>
        <w:tab/>
      </w:r>
      <w:r w:rsidRPr="00C355DF">
        <w:rPr>
          <w:rFonts w:ascii="Arial" w:hAnsi="Arial" w:cs="Arial"/>
          <w:sz w:val="18"/>
          <w:szCs w:val="18"/>
          <w:lang w:val="fr"/>
        </w:rPr>
        <w:t>Conformément à l’article 7 (g) de la Convention, le Comité examine chaque année : les candidatures d'éléments à inscrire sur la Liste représentative et la Liste de sauvegarde urgente, les propositions de sélection sur le Registre des bonnes pratiques de sauvegarde et les demandes d'assistance internationale supérieures à 100 000 dollars des Etats-Unis.</w:t>
      </w:r>
    </w:p>
  </w:footnote>
  <w:footnote w:id="2">
    <w:p w:rsidR="00526023" w:rsidRPr="008B1FA5" w:rsidRDefault="00526023" w:rsidP="00C355DF">
      <w:pPr>
        <w:pStyle w:val="FootnoteText"/>
        <w:tabs>
          <w:tab w:val="left" w:pos="540"/>
        </w:tabs>
        <w:spacing w:after="120"/>
        <w:rPr>
          <w:rFonts w:asciiTheme="minorBidi" w:hAnsiTheme="minorBidi" w:cstheme="minorBidi"/>
          <w:sz w:val="18"/>
          <w:szCs w:val="18"/>
          <w:lang w:val="pt-PT"/>
        </w:rPr>
      </w:pPr>
      <w:r w:rsidRPr="00C355DF">
        <w:rPr>
          <w:rStyle w:val="FootnoteReference"/>
          <w:rFonts w:asciiTheme="minorBidi" w:hAnsiTheme="minorBidi" w:cstheme="minorBidi"/>
          <w:sz w:val="18"/>
          <w:szCs w:val="18"/>
          <w:vertAlign w:val="baseline"/>
          <w:lang w:val="fr"/>
        </w:rPr>
        <w:footnoteRef/>
      </w:r>
      <w:r w:rsidR="00C355DF" w:rsidRPr="008B1FA5">
        <w:rPr>
          <w:rFonts w:asciiTheme="minorBidi" w:eastAsia="SimSun" w:hAnsiTheme="minorBidi" w:cstheme="minorBidi"/>
          <w:sz w:val="18"/>
          <w:szCs w:val="18"/>
          <w:lang w:val="pt-PT"/>
        </w:rPr>
        <w:t>.</w:t>
      </w:r>
      <w:r w:rsidR="00C355DF" w:rsidRPr="008B1FA5">
        <w:rPr>
          <w:rFonts w:asciiTheme="minorBidi" w:eastAsia="SimSun" w:hAnsiTheme="minorBidi" w:cstheme="minorBidi"/>
          <w:sz w:val="18"/>
          <w:szCs w:val="18"/>
          <w:lang w:val="pt-PT"/>
        </w:rPr>
        <w:tab/>
      </w:r>
      <w:r w:rsidRPr="008B1FA5">
        <w:rPr>
          <w:rFonts w:asciiTheme="minorBidi" w:eastAsia="SimSun" w:hAnsiTheme="minorBidi" w:cstheme="minorBidi"/>
          <w:sz w:val="18"/>
          <w:szCs w:val="18"/>
          <w:lang w:val="pt-PT"/>
        </w:rPr>
        <w:t xml:space="preserve">Décisions </w:t>
      </w:r>
      <w:hyperlink r:id="rId1" w:history="1">
        <w:r w:rsidRPr="008B1FA5">
          <w:rPr>
            <w:rStyle w:val="Hyperlink"/>
            <w:rFonts w:asciiTheme="minorBidi" w:eastAsia="SimSun" w:hAnsiTheme="minorBidi" w:cstheme="minorBidi"/>
            <w:sz w:val="18"/>
            <w:szCs w:val="18"/>
            <w:lang w:val="pt-PT"/>
          </w:rPr>
          <w:t>8.COM 10</w:t>
        </w:r>
      </w:hyperlink>
      <w:r w:rsidRPr="008B1FA5">
        <w:rPr>
          <w:rStyle w:val="Hyperlink"/>
          <w:rFonts w:asciiTheme="minorBidi" w:eastAsia="SimSun" w:hAnsiTheme="minorBidi" w:cstheme="minorBidi"/>
          <w:sz w:val="18"/>
          <w:szCs w:val="18"/>
          <w:lang w:val="pt-PT"/>
        </w:rPr>
        <w:t>,</w:t>
      </w:r>
      <w:r w:rsidRPr="008B1FA5">
        <w:rPr>
          <w:rStyle w:val="Hyperlink"/>
          <w:rFonts w:asciiTheme="minorBidi" w:eastAsia="SimSun" w:hAnsiTheme="minorBidi" w:cstheme="minorBidi"/>
          <w:sz w:val="18"/>
          <w:szCs w:val="18"/>
          <w:u w:val="none"/>
          <w:lang w:val="pt-PT"/>
        </w:rPr>
        <w:t xml:space="preserve"> </w:t>
      </w:r>
      <w:hyperlink r:id="rId2" w:history="1">
        <w:r w:rsidRPr="008B1FA5">
          <w:rPr>
            <w:rStyle w:val="Hyperlink"/>
            <w:rFonts w:asciiTheme="minorBidi" w:eastAsia="SimSun" w:hAnsiTheme="minorBidi" w:cstheme="minorBidi"/>
            <w:sz w:val="18"/>
            <w:szCs w:val="18"/>
            <w:lang w:val="pt-PT"/>
          </w:rPr>
          <w:t>9.COM 12</w:t>
        </w:r>
      </w:hyperlink>
      <w:r w:rsidRPr="008B1FA5">
        <w:rPr>
          <w:rStyle w:val="Hyperlink"/>
          <w:rFonts w:asciiTheme="minorBidi" w:eastAsia="SimSun" w:hAnsiTheme="minorBidi" w:cstheme="minorBidi"/>
          <w:sz w:val="18"/>
          <w:szCs w:val="18"/>
          <w:lang w:val="pt-PT"/>
        </w:rPr>
        <w:t>,</w:t>
      </w:r>
      <w:r w:rsidRPr="008B1FA5">
        <w:rPr>
          <w:rStyle w:val="Hyperlink"/>
          <w:rFonts w:asciiTheme="minorBidi" w:eastAsia="SimSun" w:hAnsiTheme="minorBidi" w:cstheme="minorBidi"/>
          <w:sz w:val="18"/>
          <w:szCs w:val="18"/>
          <w:u w:val="none"/>
          <w:lang w:val="pt-PT"/>
        </w:rPr>
        <w:t xml:space="preserve"> </w:t>
      </w:r>
      <w:hyperlink r:id="rId3" w:history="1">
        <w:r w:rsidRPr="008B1FA5">
          <w:rPr>
            <w:rStyle w:val="Hyperlink"/>
            <w:rFonts w:asciiTheme="minorBidi" w:eastAsia="SimSun" w:hAnsiTheme="minorBidi" w:cstheme="minorBidi"/>
            <w:sz w:val="18"/>
            <w:szCs w:val="18"/>
            <w:lang w:val="pt-PT"/>
          </w:rPr>
          <w:t>10.COM 13</w:t>
        </w:r>
      </w:hyperlink>
      <w:r w:rsidRPr="008B1FA5">
        <w:rPr>
          <w:rFonts w:asciiTheme="minorBidi" w:eastAsia="SimSun" w:hAnsiTheme="minorBidi" w:cstheme="minorBidi"/>
          <w:color w:val="0000FF"/>
          <w:sz w:val="18"/>
          <w:szCs w:val="18"/>
          <w:lang w:val="pt-PT"/>
        </w:rPr>
        <w:t xml:space="preserve">, </w:t>
      </w:r>
      <w:hyperlink r:id="rId4" w:history="1">
        <w:r w:rsidRPr="008B1FA5">
          <w:rPr>
            <w:rStyle w:val="Hyperlink"/>
            <w:rFonts w:asciiTheme="minorBidi" w:eastAsia="SimSun" w:hAnsiTheme="minorBidi" w:cstheme="minorBidi"/>
            <w:sz w:val="18"/>
            <w:szCs w:val="18"/>
            <w:lang w:val="pt-PT"/>
          </w:rPr>
          <w:t>11.COM 12</w:t>
        </w:r>
      </w:hyperlink>
      <w:r w:rsidRPr="008B1FA5">
        <w:rPr>
          <w:rFonts w:asciiTheme="minorBidi" w:eastAsia="SimSun" w:hAnsiTheme="minorBidi" w:cstheme="minorBidi"/>
          <w:sz w:val="18"/>
          <w:szCs w:val="18"/>
          <w:lang w:val="pt-PT"/>
        </w:rPr>
        <w:t xml:space="preserve">, </w:t>
      </w:r>
      <w:hyperlink r:id="rId5" w:history="1">
        <w:r w:rsidRPr="008B1FA5">
          <w:rPr>
            <w:rStyle w:val="Hyperlink"/>
            <w:rFonts w:asciiTheme="minorBidi" w:eastAsia="SimSun" w:hAnsiTheme="minorBidi" w:cstheme="minorBidi"/>
            <w:sz w:val="18"/>
            <w:szCs w:val="18"/>
            <w:lang w:val="pt-PT"/>
          </w:rPr>
          <w:t>12.COM 13</w:t>
        </w:r>
      </w:hyperlink>
      <w:hyperlink r:id="rId6" w:history="1">
        <w:r w:rsidRPr="008B1FA5">
          <w:rPr>
            <w:rFonts w:asciiTheme="minorBidi" w:eastAsia="SimSun" w:hAnsiTheme="minorBidi" w:cstheme="minorBidi"/>
            <w:sz w:val="18"/>
            <w:szCs w:val="18"/>
            <w:lang w:val="pt-PT"/>
          </w:rPr>
          <w:t>,</w:t>
        </w:r>
        <w:r w:rsidRPr="008B1FA5">
          <w:rPr>
            <w:rStyle w:val="Hyperlink"/>
            <w:rFonts w:asciiTheme="minorBidi" w:hAnsiTheme="minorBidi" w:cstheme="minorBidi"/>
            <w:sz w:val="18"/>
            <w:szCs w:val="18"/>
            <w:lang w:val="pt-PT"/>
          </w:rPr>
          <w:t xml:space="preserve"> 12.COM 14</w:t>
        </w:r>
      </w:hyperlink>
      <w:r w:rsidRPr="008B1FA5">
        <w:rPr>
          <w:rStyle w:val="Hyperlink"/>
          <w:rFonts w:asciiTheme="minorBidi" w:hAnsiTheme="minorBidi" w:cstheme="minorBidi"/>
          <w:sz w:val="18"/>
          <w:szCs w:val="18"/>
          <w:lang w:val="pt-PT"/>
        </w:rPr>
        <w:t xml:space="preserve"> </w:t>
      </w:r>
      <w:r w:rsidRPr="008B1FA5">
        <w:rPr>
          <w:rFonts w:asciiTheme="minorBidi" w:eastAsia="SimSun" w:hAnsiTheme="minorBidi" w:cstheme="minorBidi"/>
          <w:sz w:val="18"/>
          <w:szCs w:val="18"/>
          <w:lang w:val="pt-PT"/>
        </w:rPr>
        <w:t xml:space="preserve">et </w:t>
      </w:r>
      <w:hyperlink r:id="rId7" w:history="1">
        <w:r w:rsidRPr="008B1FA5">
          <w:rPr>
            <w:rStyle w:val="Hyperlink"/>
            <w:rFonts w:asciiTheme="minorBidi" w:eastAsia="SimSun" w:hAnsiTheme="minorBidi" w:cstheme="minorBidi"/>
            <w:sz w:val="18"/>
            <w:szCs w:val="18"/>
            <w:lang w:val="pt-PT"/>
          </w:rPr>
          <w:t>13.COM 15</w:t>
        </w:r>
      </w:hyperlink>
    </w:p>
  </w:footnote>
  <w:footnote w:id="3">
    <w:p w:rsidR="00526023" w:rsidRPr="00C355DF" w:rsidRDefault="00526023" w:rsidP="00C355DF">
      <w:pPr>
        <w:pStyle w:val="FootnoteText"/>
        <w:tabs>
          <w:tab w:val="left" w:pos="540"/>
        </w:tabs>
        <w:ind w:left="540" w:hanging="540"/>
        <w:rPr>
          <w:rFonts w:asciiTheme="minorBidi" w:hAnsiTheme="minorBidi" w:cstheme="minorBidi"/>
          <w:sz w:val="18"/>
          <w:szCs w:val="18"/>
        </w:rPr>
      </w:pPr>
      <w:r w:rsidRPr="00C355DF">
        <w:rPr>
          <w:rStyle w:val="FootnoteReference"/>
          <w:rFonts w:asciiTheme="minorBidi" w:hAnsiTheme="minorBidi" w:cstheme="minorBidi"/>
          <w:sz w:val="18"/>
          <w:szCs w:val="18"/>
          <w:vertAlign w:val="baseline"/>
          <w:lang w:val="fr"/>
        </w:rPr>
        <w:footnoteRef/>
      </w:r>
      <w:r w:rsidR="00C355DF" w:rsidRPr="00C355DF">
        <w:rPr>
          <w:rFonts w:asciiTheme="minorBidi" w:hAnsiTheme="minorBidi" w:cstheme="minorBidi"/>
          <w:sz w:val="18"/>
          <w:szCs w:val="18"/>
          <w:lang w:val="fr"/>
        </w:rPr>
        <w:t>.</w:t>
      </w:r>
      <w:r w:rsidR="00C355DF" w:rsidRPr="00C355DF">
        <w:rPr>
          <w:rFonts w:asciiTheme="minorBidi" w:hAnsiTheme="minorBidi" w:cstheme="minorBidi"/>
          <w:sz w:val="18"/>
          <w:szCs w:val="18"/>
          <w:lang w:val="fr"/>
        </w:rPr>
        <w:tab/>
      </w:r>
      <w:r w:rsidRPr="00C355DF">
        <w:rPr>
          <w:rFonts w:asciiTheme="minorBidi" w:hAnsiTheme="minorBidi" w:cstheme="minorBidi"/>
          <w:sz w:val="18"/>
          <w:szCs w:val="18"/>
          <w:lang w:val="fr"/>
        </w:rPr>
        <w:t>L</w:t>
      </w:r>
      <w:r w:rsidR="001551C5">
        <w:rPr>
          <w:rFonts w:asciiTheme="minorBidi" w:hAnsiTheme="minorBidi" w:cstheme="minorBidi"/>
          <w:sz w:val="18"/>
          <w:szCs w:val="18"/>
          <w:lang w:val="fr"/>
        </w:rPr>
        <w:t>a</w:t>
      </w:r>
      <w:r w:rsidRPr="00C355DF">
        <w:rPr>
          <w:rFonts w:asciiTheme="minorBidi" w:hAnsiTheme="minorBidi" w:cstheme="minorBidi"/>
          <w:sz w:val="18"/>
          <w:szCs w:val="18"/>
          <w:lang w:val="fr"/>
        </w:rPr>
        <w:t xml:space="preserve"> liste de</w:t>
      </w:r>
      <w:r w:rsidR="001551C5">
        <w:rPr>
          <w:rFonts w:asciiTheme="minorBidi" w:hAnsiTheme="minorBidi" w:cstheme="minorBidi"/>
          <w:sz w:val="18"/>
          <w:szCs w:val="18"/>
          <w:lang w:val="fr"/>
        </w:rPr>
        <w:t>s</w:t>
      </w:r>
      <w:r w:rsidRPr="00C355DF">
        <w:rPr>
          <w:rFonts w:asciiTheme="minorBidi" w:hAnsiTheme="minorBidi" w:cstheme="minorBidi"/>
          <w:sz w:val="18"/>
          <w:szCs w:val="18"/>
          <w:lang w:val="fr"/>
        </w:rPr>
        <w:t xml:space="preserve"> dossiers pour le </w:t>
      </w:r>
      <w:hyperlink r:id="rId8" w:history="1">
        <w:r w:rsidRPr="003F777F">
          <w:rPr>
            <w:rStyle w:val="Hyperlink"/>
            <w:rFonts w:ascii="Arial" w:eastAsia="SimSun" w:hAnsi="Arial" w:cs="Arial"/>
            <w:sz w:val="18"/>
            <w:szCs w:val="18"/>
          </w:rPr>
          <w:t>Cycle 2020</w:t>
        </w:r>
      </w:hyperlink>
      <w:r w:rsidRPr="003F777F">
        <w:rPr>
          <w:rFonts w:ascii="Arial" w:hAnsi="Arial" w:cs="Arial"/>
          <w:sz w:val="18"/>
          <w:szCs w:val="18"/>
          <w:lang w:val="fr"/>
        </w:rPr>
        <w:t xml:space="preserve"> sont </w:t>
      </w:r>
      <w:r w:rsidRPr="00C355DF">
        <w:rPr>
          <w:rFonts w:asciiTheme="minorBidi" w:hAnsiTheme="minorBidi" w:cstheme="minorBidi"/>
          <w:sz w:val="18"/>
          <w:szCs w:val="18"/>
          <w:lang w:val="fr"/>
        </w:rPr>
        <w:t xml:space="preserve">affichés sur une page dédiée du site de la Convention avec </w:t>
      </w:r>
      <w:r w:rsidR="00C04455" w:rsidRPr="00C355DF">
        <w:rPr>
          <w:rFonts w:asciiTheme="minorBidi" w:hAnsiTheme="minorBidi" w:cstheme="minorBidi"/>
          <w:sz w:val="18"/>
          <w:szCs w:val="18"/>
          <w:lang w:val="fr"/>
        </w:rPr>
        <w:t>une indication</w:t>
      </w:r>
      <w:r w:rsidRPr="00C355DF">
        <w:rPr>
          <w:rFonts w:asciiTheme="minorBidi" w:hAnsiTheme="minorBidi" w:cstheme="minorBidi"/>
          <w:sz w:val="18"/>
          <w:szCs w:val="18"/>
          <w:lang w:val="fr"/>
        </w:rPr>
        <w:t xml:space="preserve"> des dossiers </w:t>
      </w:r>
      <w:r w:rsidR="00C04455" w:rsidRPr="00C355DF">
        <w:rPr>
          <w:rFonts w:asciiTheme="minorBidi" w:hAnsiTheme="minorBidi" w:cstheme="minorBidi"/>
          <w:sz w:val="18"/>
          <w:szCs w:val="18"/>
          <w:lang w:val="fr"/>
        </w:rPr>
        <w:t xml:space="preserve">qui ont été </w:t>
      </w:r>
      <w:r w:rsidRPr="00C355DF">
        <w:rPr>
          <w:rFonts w:asciiTheme="minorBidi" w:hAnsiTheme="minorBidi" w:cstheme="minorBidi"/>
          <w:sz w:val="18"/>
          <w:szCs w:val="18"/>
          <w:lang w:val="fr"/>
        </w:rPr>
        <w:t>traités.</w:t>
      </w:r>
    </w:p>
  </w:footnote>
  <w:footnote w:id="4">
    <w:p w:rsidR="00526023" w:rsidRPr="00F45DB5" w:rsidRDefault="00526023" w:rsidP="00C355DF">
      <w:pPr>
        <w:pStyle w:val="FootnoteText"/>
        <w:tabs>
          <w:tab w:val="left" w:pos="540"/>
        </w:tabs>
        <w:ind w:left="540" w:hanging="540"/>
      </w:pPr>
      <w:r w:rsidRPr="00C355DF">
        <w:rPr>
          <w:rStyle w:val="FootnoteReference"/>
          <w:rFonts w:asciiTheme="minorBidi" w:hAnsiTheme="minorBidi" w:cstheme="minorBidi"/>
          <w:sz w:val="18"/>
          <w:szCs w:val="18"/>
          <w:vertAlign w:val="baseline"/>
          <w:lang w:val="fr"/>
        </w:rPr>
        <w:footnoteRef/>
      </w:r>
      <w:r w:rsidR="00C355DF" w:rsidRPr="00C355DF">
        <w:rPr>
          <w:rFonts w:asciiTheme="minorBidi" w:hAnsiTheme="minorBidi" w:cstheme="minorBidi"/>
          <w:sz w:val="18"/>
          <w:szCs w:val="18"/>
          <w:lang w:val="fr"/>
        </w:rPr>
        <w:t>.</w:t>
      </w:r>
      <w:r w:rsidR="00C355DF" w:rsidRPr="00C355DF">
        <w:rPr>
          <w:rFonts w:asciiTheme="minorBidi" w:hAnsiTheme="minorBidi" w:cstheme="minorBidi"/>
          <w:sz w:val="18"/>
          <w:szCs w:val="18"/>
          <w:lang w:val="fr"/>
        </w:rPr>
        <w:tab/>
      </w:r>
      <w:r w:rsidRPr="00C355DF">
        <w:rPr>
          <w:rFonts w:asciiTheme="minorBidi" w:hAnsiTheme="minorBidi" w:cstheme="minorBidi"/>
          <w:sz w:val="18"/>
          <w:szCs w:val="18"/>
          <w:lang w:val="fr"/>
        </w:rPr>
        <w:t>L</w:t>
      </w:r>
      <w:r w:rsidR="001551C5">
        <w:rPr>
          <w:rFonts w:asciiTheme="minorBidi" w:hAnsiTheme="minorBidi" w:cstheme="minorBidi"/>
          <w:sz w:val="18"/>
          <w:szCs w:val="18"/>
          <w:lang w:val="fr"/>
        </w:rPr>
        <w:t>a</w:t>
      </w:r>
      <w:r w:rsidRPr="00C355DF">
        <w:rPr>
          <w:rFonts w:asciiTheme="minorBidi" w:hAnsiTheme="minorBidi" w:cstheme="minorBidi"/>
          <w:sz w:val="18"/>
          <w:szCs w:val="18"/>
          <w:lang w:val="fr"/>
        </w:rPr>
        <w:t xml:space="preserve"> liste de</w:t>
      </w:r>
      <w:r w:rsidR="001551C5">
        <w:rPr>
          <w:rFonts w:asciiTheme="minorBidi" w:hAnsiTheme="minorBidi" w:cstheme="minorBidi"/>
          <w:sz w:val="18"/>
          <w:szCs w:val="18"/>
          <w:lang w:val="fr"/>
        </w:rPr>
        <w:t>s</w:t>
      </w:r>
      <w:r w:rsidRPr="00C355DF">
        <w:rPr>
          <w:rFonts w:asciiTheme="minorBidi" w:hAnsiTheme="minorBidi" w:cstheme="minorBidi"/>
          <w:sz w:val="18"/>
          <w:szCs w:val="18"/>
          <w:lang w:val="fr"/>
        </w:rPr>
        <w:t xml:space="preserve"> dossiers potentiels pour le </w:t>
      </w:r>
      <w:hyperlink r:id="rId9" w:history="1">
        <w:r w:rsidRPr="00C355DF">
          <w:rPr>
            <w:rStyle w:val="Hyperlink"/>
            <w:rFonts w:asciiTheme="minorBidi" w:hAnsiTheme="minorBidi" w:cstheme="minorBidi"/>
            <w:sz w:val="18"/>
            <w:szCs w:val="18"/>
            <w:lang w:val="fr"/>
          </w:rPr>
          <w:t>Cycle 2021</w:t>
        </w:r>
      </w:hyperlink>
      <w:r w:rsidR="00C355DF" w:rsidRPr="00C355DF">
        <w:rPr>
          <w:rStyle w:val="Hyperlink"/>
          <w:rFonts w:asciiTheme="minorBidi" w:hAnsiTheme="minorBidi" w:cstheme="minorBidi"/>
          <w:sz w:val="18"/>
          <w:szCs w:val="18"/>
          <w:u w:val="none"/>
          <w:lang w:val="fr"/>
        </w:rPr>
        <w:t xml:space="preserve"> </w:t>
      </w:r>
      <w:r w:rsidRPr="00C355DF">
        <w:rPr>
          <w:rFonts w:asciiTheme="minorBidi" w:hAnsiTheme="minorBidi" w:cstheme="minorBidi"/>
          <w:sz w:val="18"/>
          <w:szCs w:val="18"/>
          <w:lang w:val="fr"/>
        </w:rPr>
        <w:t xml:space="preserve">sont affichés sur une page dédiée du site de la Convention avec </w:t>
      </w:r>
      <w:r w:rsidR="00C04455" w:rsidRPr="00C355DF">
        <w:rPr>
          <w:rFonts w:asciiTheme="minorBidi" w:hAnsiTheme="minorBidi" w:cstheme="minorBidi"/>
          <w:sz w:val="18"/>
          <w:szCs w:val="18"/>
          <w:lang w:val="fr"/>
        </w:rPr>
        <w:t xml:space="preserve">une </w:t>
      </w:r>
      <w:r w:rsidRPr="00C355DF">
        <w:rPr>
          <w:rFonts w:asciiTheme="minorBidi" w:hAnsiTheme="minorBidi" w:cstheme="minorBidi"/>
          <w:sz w:val="18"/>
          <w:szCs w:val="18"/>
          <w:lang w:val="fr"/>
        </w:rPr>
        <w:t>indication des dossiers qui sont ou ont été traités.</w:t>
      </w:r>
    </w:p>
  </w:footnote>
  <w:footnote w:id="5">
    <w:p w:rsidR="00526023" w:rsidRPr="00440FBE" w:rsidRDefault="00526023" w:rsidP="00440FBE">
      <w:pPr>
        <w:pStyle w:val="FootnoteText"/>
        <w:tabs>
          <w:tab w:val="left" w:pos="540"/>
        </w:tabs>
        <w:spacing w:after="120"/>
        <w:rPr>
          <w:rFonts w:asciiTheme="minorBidi" w:hAnsiTheme="minorBidi" w:cstheme="minorBidi"/>
          <w:sz w:val="18"/>
          <w:szCs w:val="18"/>
        </w:rPr>
      </w:pPr>
      <w:r w:rsidRPr="00440FBE">
        <w:rPr>
          <w:rStyle w:val="FootnoteReference"/>
          <w:rFonts w:asciiTheme="minorBidi" w:hAnsiTheme="minorBidi" w:cstheme="minorBidi"/>
          <w:sz w:val="18"/>
          <w:szCs w:val="18"/>
          <w:vertAlign w:val="baseline"/>
          <w:lang w:val="fr"/>
        </w:rPr>
        <w:footnoteRef/>
      </w:r>
      <w:r w:rsidR="00C355DF" w:rsidRPr="00440FBE">
        <w:rPr>
          <w:rFonts w:asciiTheme="minorBidi" w:hAnsiTheme="minorBidi" w:cstheme="minorBidi"/>
          <w:sz w:val="18"/>
          <w:szCs w:val="18"/>
          <w:lang w:val="fr"/>
        </w:rPr>
        <w:t>.</w:t>
      </w:r>
      <w:r w:rsidRPr="00440FBE">
        <w:rPr>
          <w:rFonts w:asciiTheme="minorBidi" w:hAnsiTheme="minorBidi" w:cstheme="minorBidi"/>
          <w:sz w:val="18"/>
          <w:szCs w:val="18"/>
          <w:lang w:val="fr"/>
        </w:rPr>
        <w:tab/>
      </w:r>
      <w:hyperlink r:id="rId10" w:history="1">
        <w:r w:rsidR="00E27771" w:rsidRPr="00440FBE">
          <w:rPr>
            <w:rStyle w:val="Hyperlink"/>
            <w:rFonts w:asciiTheme="minorBidi" w:hAnsiTheme="minorBidi" w:cstheme="minorBidi"/>
            <w:sz w:val="18"/>
            <w:szCs w:val="18"/>
            <w:lang w:val="fr"/>
          </w:rPr>
          <w:t>https://ich.unesco.org/fr/events/expert-meeting-on-the-2003-convention-00129</w:t>
        </w:r>
      </w:hyperlink>
    </w:p>
  </w:footnote>
  <w:footnote w:id="6">
    <w:p w:rsidR="00526023" w:rsidRPr="00440FBE" w:rsidRDefault="00526023" w:rsidP="00440FBE">
      <w:pPr>
        <w:pStyle w:val="FootnoteText"/>
        <w:tabs>
          <w:tab w:val="left" w:pos="540"/>
        </w:tabs>
        <w:spacing w:after="120"/>
        <w:ind w:left="540" w:hanging="540"/>
        <w:rPr>
          <w:rFonts w:asciiTheme="minorBidi" w:hAnsiTheme="minorBidi" w:cstheme="minorBidi"/>
          <w:sz w:val="18"/>
          <w:szCs w:val="18"/>
        </w:rPr>
      </w:pPr>
      <w:r w:rsidRPr="00440FBE">
        <w:rPr>
          <w:rStyle w:val="FootnoteReference"/>
          <w:rFonts w:asciiTheme="minorBidi" w:hAnsiTheme="minorBidi" w:cstheme="minorBidi"/>
          <w:sz w:val="18"/>
          <w:szCs w:val="18"/>
          <w:vertAlign w:val="baseline"/>
          <w:lang w:val="fr"/>
        </w:rPr>
        <w:footnoteRef/>
      </w:r>
      <w:r w:rsidR="00C355DF" w:rsidRPr="00440FBE">
        <w:rPr>
          <w:rFonts w:asciiTheme="minorBidi" w:hAnsiTheme="minorBidi" w:cstheme="minorBidi"/>
          <w:sz w:val="18"/>
          <w:szCs w:val="18"/>
          <w:lang w:val="fr"/>
        </w:rPr>
        <w:t>.</w:t>
      </w:r>
      <w:r w:rsidRPr="00440FBE">
        <w:rPr>
          <w:rFonts w:asciiTheme="minorBidi" w:hAnsiTheme="minorBidi" w:cstheme="minorBidi"/>
          <w:sz w:val="18"/>
          <w:szCs w:val="18"/>
          <w:lang w:val="fr"/>
        </w:rPr>
        <w:tab/>
      </w:r>
      <w:hyperlink r:id="rId11" w:history="1">
        <w:r w:rsidR="008B1FA5" w:rsidRPr="00440FBE">
          <w:rPr>
            <w:rStyle w:val="Hyperlink"/>
            <w:rFonts w:asciiTheme="minorBidi" w:hAnsiTheme="minorBidi" w:cstheme="minorBidi"/>
            <w:sz w:val="18"/>
            <w:szCs w:val="18"/>
          </w:rPr>
          <w:t>http://ich.unesco.org/fr/evenements/5.COM-3.WG-00131</w:t>
        </w:r>
      </w:hyperlink>
      <w:r w:rsidR="00440FBE" w:rsidRPr="00440FBE">
        <w:rPr>
          <w:rStyle w:val="Hyperlink"/>
          <w:rFonts w:asciiTheme="minorBidi" w:hAnsiTheme="minorBidi" w:cstheme="minorBidi"/>
          <w:sz w:val="18"/>
          <w:szCs w:val="18"/>
          <w:u w:val="none"/>
        </w:rPr>
        <w:t xml:space="preserve"> </w:t>
      </w:r>
      <w:r w:rsidR="008B1FA5" w:rsidRPr="00440FBE">
        <w:rPr>
          <w:rFonts w:asciiTheme="minorBidi" w:hAnsiTheme="minorBidi" w:cstheme="minorBidi"/>
          <w:sz w:val="18"/>
          <w:szCs w:val="18"/>
        </w:rPr>
        <w:t>;</w:t>
      </w:r>
      <w:r w:rsidR="00440FBE" w:rsidRPr="00440FBE">
        <w:rPr>
          <w:rFonts w:asciiTheme="minorBidi" w:hAnsiTheme="minorBidi" w:cstheme="minorBidi"/>
          <w:sz w:val="18"/>
          <w:szCs w:val="18"/>
        </w:rPr>
        <w:t xml:space="preserve"> </w:t>
      </w:r>
      <w:hyperlink r:id="rId12" w:history="1">
        <w:r w:rsidR="00440FBE" w:rsidRPr="00440FBE">
          <w:rPr>
            <w:rStyle w:val="Hyperlink"/>
            <w:rFonts w:asciiTheme="minorBidi" w:hAnsiTheme="minorBidi" w:cstheme="minorBidi"/>
            <w:sz w:val="18"/>
            <w:szCs w:val="18"/>
          </w:rPr>
          <w:t>http://ich.unesco.org/fr/evenements/5.COM-3.1.WG-00133</w:t>
        </w:r>
      </w:hyperlink>
      <w:r w:rsidR="00440FBE" w:rsidRPr="00440FBE">
        <w:rPr>
          <w:rFonts w:asciiTheme="minorBidi" w:hAnsiTheme="minorBidi" w:cstheme="minorBidi"/>
          <w:sz w:val="18"/>
          <w:szCs w:val="18"/>
        </w:rPr>
        <w:t xml:space="preserve"> </w:t>
      </w:r>
      <w:r w:rsidR="008B1FA5" w:rsidRPr="00440FBE">
        <w:rPr>
          <w:rFonts w:asciiTheme="minorBidi" w:hAnsiTheme="minorBidi" w:cstheme="minorBidi"/>
          <w:sz w:val="18"/>
          <w:szCs w:val="18"/>
        </w:rPr>
        <w:t>;</w:t>
      </w:r>
      <w:r w:rsidR="00FF5DF2" w:rsidRPr="00440FBE">
        <w:rPr>
          <w:rStyle w:val="Hyperlink"/>
          <w:rFonts w:asciiTheme="minorBidi" w:hAnsiTheme="minorBidi" w:cstheme="minorBidi"/>
          <w:sz w:val="18"/>
          <w:szCs w:val="18"/>
          <w:u w:val="none"/>
          <w:lang w:val="fr"/>
        </w:rPr>
        <w:t xml:space="preserve"> </w:t>
      </w:r>
      <w:hyperlink r:id="rId13" w:history="1">
        <w:r w:rsidR="00440FBE" w:rsidRPr="00440FBE">
          <w:rPr>
            <w:rStyle w:val="Hyperlink"/>
            <w:rFonts w:asciiTheme="minorBidi" w:hAnsiTheme="minorBidi" w:cstheme="minorBidi"/>
            <w:sz w:val="18"/>
            <w:szCs w:val="18"/>
          </w:rPr>
          <w:t>http://ich.unesco.org/fr/evenements/5.COM-4.WG-00134</w:t>
        </w:r>
      </w:hyperlink>
      <w:bookmarkStart w:id="0" w:name="_GoBack"/>
      <w:bookmarkEnd w:id="0"/>
    </w:p>
  </w:footnote>
  <w:footnote w:id="7">
    <w:p w:rsidR="00526023" w:rsidRPr="00667E00" w:rsidRDefault="00526023" w:rsidP="00440FBE">
      <w:pPr>
        <w:pStyle w:val="FootnoteText"/>
        <w:tabs>
          <w:tab w:val="left" w:pos="540"/>
        </w:tabs>
        <w:spacing w:after="120"/>
        <w:rPr>
          <w:rFonts w:asciiTheme="minorBidi" w:hAnsiTheme="minorBidi" w:cstheme="minorBidi"/>
          <w:sz w:val="18"/>
          <w:szCs w:val="18"/>
        </w:rPr>
      </w:pPr>
      <w:r w:rsidRPr="00440FBE">
        <w:rPr>
          <w:rStyle w:val="FootnoteReference"/>
          <w:rFonts w:asciiTheme="minorBidi" w:hAnsiTheme="minorBidi" w:cstheme="minorBidi"/>
          <w:sz w:val="18"/>
          <w:szCs w:val="18"/>
          <w:vertAlign w:val="baseline"/>
          <w:lang w:val="fr"/>
        </w:rPr>
        <w:footnoteRef/>
      </w:r>
      <w:r w:rsidR="00C355DF" w:rsidRPr="00440FBE">
        <w:rPr>
          <w:rFonts w:asciiTheme="minorBidi" w:hAnsiTheme="minorBidi" w:cstheme="minorBidi"/>
          <w:sz w:val="18"/>
          <w:szCs w:val="18"/>
          <w:lang w:val="fr"/>
        </w:rPr>
        <w:t>.</w:t>
      </w:r>
      <w:r w:rsidRPr="00440FBE">
        <w:rPr>
          <w:rFonts w:asciiTheme="minorBidi" w:hAnsiTheme="minorBidi" w:cstheme="minorBidi"/>
          <w:sz w:val="18"/>
          <w:szCs w:val="18"/>
          <w:lang w:val="fr"/>
        </w:rPr>
        <w:tab/>
      </w:r>
      <w:hyperlink r:id="rId14" w:history="1">
        <w:r w:rsidR="00667E00" w:rsidRPr="00440FBE">
          <w:rPr>
            <w:rStyle w:val="Hyperlink"/>
            <w:rFonts w:asciiTheme="minorBidi" w:hAnsiTheme="minorBidi" w:cstheme="minorBidi"/>
            <w:sz w:val="18"/>
            <w:szCs w:val="18"/>
          </w:rPr>
          <w:t>http://ich.unesco.org/fr/evenements/6.COM-WG-00155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23" w:rsidRPr="00C23A97" w:rsidRDefault="00526023" w:rsidP="00C5776D">
    <w:pPr>
      <w:pStyle w:val="Header"/>
      <w:rPr>
        <w:rFonts w:ascii="Arial" w:hAnsi="Arial" w:cs="Arial"/>
      </w:rPr>
    </w:pPr>
    <w:r>
      <w:rPr>
        <w:rFonts w:ascii="Arial" w:hAnsi="Arial" w:cs="Arial"/>
        <w:sz w:val="20"/>
        <w:szCs w:val="20"/>
        <w:lang w:val="fr"/>
      </w:rPr>
      <w:t xml:space="preserve">LHE/20/15.COM/9 -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6</w:t>
    </w:r>
    <w:r>
      <w:rPr>
        <w:rStyle w:val="PageNumber"/>
        <w:rFonts w:ascii="Arial" w:hAnsi="Arial" w:cs="Arial"/>
        <w:sz w:val="20"/>
        <w:szCs w:val="20"/>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23" w:rsidRPr="0063300C" w:rsidRDefault="00526023" w:rsidP="00C5776D">
    <w:pPr>
      <w:pStyle w:val="Header"/>
      <w:jc w:val="right"/>
      <w:rPr>
        <w:rFonts w:ascii="Arial" w:hAnsi="Arial" w:cs="Arial"/>
      </w:rPr>
    </w:pPr>
    <w:r>
      <w:rPr>
        <w:rFonts w:ascii="Arial" w:hAnsi="Arial" w:cs="Arial"/>
        <w:sz w:val="20"/>
        <w:szCs w:val="20"/>
        <w:lang w:val="fr"/>
      </w:rPr>
      <w:t xml:space="preserve">LHE/20/15.COM/9 -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5</w:t>
    </w:r>
    <w:r>
      <w:rPr>
        <w:rStyle w:val="PageNumber"/>
        <w:rFonts w:ascii="Arial" w:hAnsi="Arial" w:cs="Arial"/>
        <w:sz w:val="20"/>
        <w:szCs w:val="20"/>
        <w:lang w:val="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023" w:rsidRPr="00E95AE2" w:rsidRDefault="00526023">
    <w:pPr>
      <w:pStyle w:val="Header"/>
      <w:rPr>
        <w:sz w:val="22"/>
        <w:szCs w:val="22"/>
      </w:rPr>
    </w:pPr>
    <w:r>
      <w:rPr>
        <w:noProof/>
        <w:lang w:eastAsia="ja-JP"/>
      </w:rPr>
      <w:drawing>
        <wp:anchor distT="0" distB="0" distL="114300" distR="114300" simplePos="0" relativeHeight="251660288" behindDoc="0" locked="0" layoutInCell="1" allowOverlap="1" wp14:anchorId="56B4B3AA" wp14:editId="6D5D6EAD">
          <wp:simplePos x="0" y="0"/>
          <wp:positionH relativeFrom="page">
            <wp:posOffset>235595</wp:posOffset>
          </wp:positionH>
          <wp:positionV relativeFrom="page">
            <wp:posOffset>183856</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23" w:rsidRPr="008B1FA5" w:rsidRDefault="00526023" w:rsidP="00C5776D">
    <w:pPr>
      <w:pStyle w:val="Header"/>
      <w:spacing w:after="520"/>
      <w:jc w:val="right"/>
      <w:rPr>
        <w:rFonts w:ascii="Arial" w:hAnsi="Arial" w:cs="Arial"/>
        <w:b/>
        <w:sz w:val="44"/>
        <w:szCs w:val="44"/>
        <w:lang w:val="pt-PT"/>
      </w:rPr>
    </w:pPr>
    <w:r w:rsidRPr="008B1FA5">
      <w:rPr>
        <w:rFonts w:ascii="Arial" w:hAnsi="Arial" w:cs="Arial"/>
        <w:b/>
        <w:bCs/>
        <w:sz w:val="44"/>
        <w:szCs w:val="44"/>
        <w:lang w:val="pt-PT"/>
      </w:rPr>
      <w:t>15 COM</w:t>
    </w:r>
  </w:p>
  <w:p w:rsidR="00526023" w:rsidRPr="008B1FA5" w:rsidRDefault="00526023" w:rsidP="00C5776D">
    <w:pPr>
      <w:jc w:val="right"/>
      <w:rPr>
        <w:rFonts w:ascii="Arial" w:hAnsi="Arial" w:cs="Arial"/>
        <w:b/>
        <w:sz w:val="22"/>
        <w:szCs w:val="22"/>
        <w:lang w:val="pt-PT"/>
      </w:rPr>
    </w:pPr>
    <w:r w:rsidRPr="008B1FA5">
      <w:rPr>
        <w:rFonts w:ascii="Arial" w:hAnsi="Arial" w:cs="Arial"/>
        <w:b/>
        <w:bCs/>
        <w:sz w:val="22"/>
        <w:szCs w:val="22"/>
        <w:lang w:val="pt-PT"/>
      </w:rPr>
      <w:t>LHE/20/15.COM/9</w:t>
    </w:r>
  </w:p>
  <w:p w:rsidR="00526023" w:rsidRPr="008B1FA5" w:rsidRDefault="00526023" w:rsidP="00655736">
    <w:pPr>
      <w:jc w:val="right"/>
      <w:rPr>
        <w:rFonts w:ascii="Arial" w:eastAsiaTheme="minorEastAsia" w:hAnsi="Arial" w:cs="Arial"/>
        <w:b/>
        <w:sz w:val="22"/>
        <w:szCs w:val="22"/>
        <w:lang w:val="pt-PT"/>
      </w:rPr>
    </w:pPr>
    <w:r w:rsidRPr="008B1FA5">
      <w:rPr>
        <w:rFonts w:ascii="Arial" w:hAnsi="Arial" w:cs="Arial"/>
        <w:b/>
        <w:bCs/>
        <w:sz w:val="22"/>
        <w:szCs w:val="22"/>
        <w:lang w:val="pt-PT"/>
      </w:rPr>
      <w:t>Paris, le 16 novembre 2020</w:t>
    </w:r>
  </w:p>
  <w:p w:rsidR="00526023" w:rsidRPr="00F32C23" w:rsidRDefault="00526023" w:rsidP="000048ED">
    <w:pPr>
      <w:jc w:val="right"/>
      <w:rPr>
        <w:rFonts w:ascii="Arial" w:hAnsi="Arial" w:cs="Arial"/>
        <w:b/>
        <w:sz w:val="22"/>
        <w:szCs w:val="22"/>
      </w:rPr>
    </w:pPr>
    <w:r>
      <w:rPr>
        <w:rFonts w:ascii="Arial" w:hAnsi="Arial" w:cs="Arial"/>
        <w:b/>
        <w:bCs/>
        <w:sz w:val="22"/>
        <w:szCs w:val="22"/>
        <w:lang w:val="fr"/>
      </w:rPr>
      <w:t>Original : anglais</w:t>
    </w:r>
  </w:p>
  <w:p w:rsidR="00526023" w:rsidRPr="00E95AE2" w:rsidRDefault="00526023">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C9C"/>
    <w:multiLevelType w:val="hybridMultilevel"/>
    <w:tmpl w:val="F60E309C"/>
    <w:lvl w:ilvl="0" w:tplc="C8BEBC8A">
      <w:start w:val="1"/>
      <w:numFmt w:val="bullet"/>
      <w:pStyle w:val="TIRETbul1cm"/>
      <w:lvlText w:val=""/>
      <w:lvlJc w:val="left"/>
      <w:pPr>
        <w:tabs>
          <w:tab w:val="num" w:pos="360"/>
        </w:tabs>
        <w:ind w:left="284" w:hanging="284"/>
      </w:pPr>
      <w:rPr>
        <w:rFonts w:ascii="Symbol" w:hAnsi="Symbol" w:hint="default"/>
      </w:rPr>
    </w:lvl>
    <w:lvl w:ilvl="1" w:tplc="A8DA5CB2">
      <w:start w:val="1"/>
      <w:numFmt w:val="decimal"/>
      <w:lvlText w:val="%2."/>
      <w:lvlJc w:val="left"/>
      <w:pPr>
        <w:tabs>
          <w:tab w:val="num" w:pos="1157"/>
        </w:tabs>
        <w:ind w:left="1157" w:hanging="360"/>
      </w:pPr>
      <w:rPr>
        <w:rFonts w:hint="default"/>
      </w:rPr>
    </w:lvl>
    <w:lvl w:ilvl="2" w:tplc="8850F2BA" w:tentative="1">
      <w:start w:val="1"/>
      <w:numFmt w:val="bullet"/>
      <w:lvlText w:val=""/>
      <w:lvlJc w:val="left"/>
      <w:pPr>
        <w:tabs>
          <w:tab w:val="num" w:pos="1877"/>
        </w:tabs>
        <w:ind w:left="1877" w:hanging="360"/>
      </w:pPr>
      <w:rPr>
        <w:rFonts w:ascii="Wingdings" w:hAnsi="Wingdings" w:hint="default"/>
      </w:rPr>
    </w:lvl>
    <w:lvl w:ilvl="3" w:tplc="53069278" w:tentative="1">
      <w:start w:val="1"/>
      <w:numFmt w:val="bullet"/>
      <w:lvlText w:val=""/>
      <w:lvlJc w:val="left"/>
      <w:pPr>
        <w:tabs>
          <w:tab w:val="num" w:pos="2597"/>
        </w:tabs>
        <w:ind w:left="2597" w:hanging="360"/>
      </w:pPr>
      <w:rPr>
        <w:rFonts w:ascii="Symbol" w:hAnsi="Symbol" w:hint="default"/>
      </w:rPr>
    </w:lvl>
    <w:lvl w:ilvl="4" w:tplc="8D3240F4" w:tentative="1">
      <w:start w:val="1"/>
      <w:numFmt w:val="bullet"/>
      <w:lvlText w:val="o"/>
      <w:lvlJc w:val="left"/>
      <w:pPr>
        <w:tabs>
          <w:tab w:val="num" w:pos="3317"/>
        </w:tabs>
        <w:ind w:left="3317" w:hanging="360"/>
      </w:pPr>
      <w:rPr>
        <w:rFonts w:ascii="Courier New" w:hAnsi="Courier New" w:hint="default"/>
      </w:rPr>
    </w:lvl>
    <w:lvl w:ilvl="5" w:tplc="41F856D8" w:tentative="1">
      <w:start w:val="1"/>
      <w:numFmt w:val="bullet"/>
      <w:lvlText w:val=""/>
      <w:lvlJc w:val="left"/>
      <w:pPr>
        <w:tabs>
          <w:tab w:val="num" w:pos="4037"/>
        </w:tabs>
        <w:ind w:left="4037" w:hanging="360"/>
      </w:pPr>
      <w:rPr>
        <w:rFonts w:ascii="Wingdings" w:hAnsi="Wingdings" w:hint="default"/>
      </w:rPr>
    </w:lvl>
    <w:lvl w:ilvl="6" w:tplc="2EAE1212" w:tentative="1">
      <w:start w:val="1"/>
      <w:numFmt w:val="bullet"/>
      <w:lvlText w:val=""/>
      <w:lvlJc w:val="left"/>
      <w:pPr>
        <w:tabs>
          <w:tab w:val="num" w:pos="4757"/>
        </w:tabs>
        <w:ind w:left="4757" w:hanging="360"/>
      </w:pPr>
      <w:rPr>
        <w:rFonts w:ascii="Symbol" w:hAnsi="Symbol" w:hint="default"/>
      </w:rPr>
    </w:lvl>
    <w:lvl w:ilvl="7" w:tplc="B264413A" w:tentative="1">
      <w:start w:val="1"/>
      <w:numFmt w:val="bullet"/>
      <w:lvlText w:val="o"/>
      <w:lvlJc w:val="left"/>
      <w:pPr>
        <w:tabs>
          <w:tab w:val="num" w:pos="5477"/>
        </w:tabs>
        <w:ind w:left="5477" w:hanging="360"/>
      </w:pPr>
      <w:rPr>
        <w:rFonts w:ascii="Courier New" w:hAnsi="Courier New" w:hint="default"/>
      </w:rPr>
    </w:lvl>
    <w:lvl w:ilvl="8" w:tplc="D8720A84"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F69485A"/>
    <w:multiLevelType w:val="hybridMultilevel"/>
    <w:tmpl w:val="CDD0303A"/>
    <w:lvl w:ilvl="0" w:tplc="DEE6AED8">
      <w:start w:val="1"/>
      <w:numFmt w:val="bullet"/>
      <w:lvlText w:val=""/>
      <w:lvlJc w:val="left"/>
      <w:pPr>
        <w:ind w:left="1287" w:hanging="360"/>
      </w:pPr>
      <w:rPr>
        <w:rFonts w:ascii="Symbol" w:hAnsi="Symbol" w:hint="default"/>
      </w:rPr>
    </w:lvl>
    <w:lvl w:ilvl="1" w:tplc="1B04CD74" w:tentative="1">
      <w:start w:val="1"/>
      <w:numFmt w:val="bullet"/>
      <w:lvlText w:val="o"/>
      <w:lvlJc w:val="left"/>
      <w:pPr>
        <w:ind w:left="2007" w:hanging="360"/>
      </w:pPr>
      <w:rPr>
        <w:rFonts w:ascii="Courier New" w:hAnsi="Courier New" w:cs="Courier New" w:hint="default"/>
      </w:rPr>
    </w:lvl>
    <w:lvl w:ilvl="2" w:tplc="831667E0" w:tentative="1">
      <w:start w:val="1"/>
      <w:numFmt w:val="bullet"/>
      <w:lvlText w:val=""/>
      <w:lvlJc w:val="left"/>
      <w:pPr>
        <w:ind w:left="2727" w:hanging="360"/>
      </w:pPr>
      <w:rPr>
        <w:rFonts w:ascii="Wingdings" w:hAnsi="Wingdings" w:hint="default"/>
      </w:rPr>
    </w:lvl>
    <w:lvl w:ilvl="3" w:tplc="7682DDA0" w:tentative="1">
      <w:start w:val="1"/>
      <w:numFmt w:val="bullet"/>
      <w:lvlText w:val=""/>
      <w:lvlJc w:val="left"/>
      <w:pPr>
        <w:ind w:left="3447" w:hanging="360"/>
      </w:pPr>
      <w:rPr>
        <w:rFonts w:ascii="Symbol" w:hAnsi="Symbol" w:hint="default"/>
      </w:rPr>
    </w:lvl>
    <w:lvl w:ilvl="4" w:tplc="BD108144" w:tentative="1">
      <w:start w:val="1"/>
      <w:numFmt w:val="bullet"/>
      <w:lvlText w:val="o"/>
      <w:lvlJc w:val="left"/>
      <w:pPr>
        <w:ind w:left="4167" w:hanging="360"/>
      </w:pPr>
      <w:rPr>
        <w:rFonts w:ascii="Courier New" w:hAnsi="Courier New" w:cs="Courier New" w:hint="default"/>
      </w:rPr>
    </w:lvl>
    <w:lvl w:ilvl="5" w:tplc="9EF252FE" w:tentative="1">
      <w:start w:val="1"/>
      <w:numFmt w:val="bullet"/>
      <w:lvlText w:val=""/>
      <w:lvlJc w:val="left"/>
      <w:pPr>
        <w:ind w:left="4887" w:hanging="360"/>
      </w:pPr>
      <w:rPr>
        <w:rFonts w:ascii="Wingdings" w:hAnsi="Wingdings" w:hint="default"/>
      </w:rPr>
    </w:lvl>
    <w:lvl w:ilvl="6" w:tplc="322295A0" w:tentative="1">
      <w:start w:val="1"/>
      <w:numFmt w:val="bullet"/>
      <w:lvlText w:val=""/>
      <w:lvlJc w:val="left"/>
      <w:pPr>
        <w:ind w:left="5607" w:hanging="360"/>
      </w:pPr>
      <w:rPr>
        <w:rFonts w:ascii="Symbol" w:hAnsi="Symbol" w:hint="default"/>
      </w:rPr>
    </w:lvl>
    <w:lvl w:ilvl="7" w:tplc="C8944A1E" w:tentative="1">
      <w:start w:val="1"/>
      <w:numFmt w:val="bullet"/>
      <w:lvlText w:val="o"/>
      <w:lvlJc w:val="left"/>
      <w:pPr>
        <w:ind w:left="6327" w:hanging="360"/>
      </w:pPr>
      <w:rPr>
        <w:rFonts w:ascii="Courier New" w:hAnsi="Courier New" w:cs="Courier New" w:hint="default"/>
      </w:rPr>
    </w:lvl>
    <w:lvl w:ilvl="8" w:tplc="C1BA9FAE" w:tentative="1">
      <w:start w:val="1"/>
      <w:numFmt w:val="bullet"/>
      <w:lvlText w:val=""/>
      <w:lvlJc w:val="left"/>
      <w:pPr>
        <w:ind w:left="7047" w:hanging="360"/>
      </w:pPr>
      <w:rPr>
        <w:rFonts w:ascii="Wingdings" w:hAnsi="Wingdings" w:hint="default"/>
      </w:rPr>
    </w:lvl>
  </w:abstractNum>
  <w:abstractNum w:abstractNumId="2" w15:restartNumberingAfterBreak="0">
    <w:nsid w:val="33B97D5E"/>
    <w:multiLevelType w:val="hybridMultilevel"/>
    <w:tmpl w:val="AA98F416"/>
    <w:lvl w:ilvl="0" w:tplc="45EA8F0E">
      <w:start w:val="1"/>
      <w:numFmt w:val="bullet"/>
      <w:lvlText w:val=""/>
      <w:lvlJc w:val="left"/>
      <w:pPr>
        <w:ind w:left="1287" w:hanging="360"/>
      </w:pPr>
      <w:rPr>
        <w:rFonts w:ascii="Symbol" w:hAnsi="Symbol" w:hint="default"/>
      </w:rPr>
    </w:lvl>
    <w:lvl w:ilvl="1" w:tplc="761C9480" w:tentative="1">
      <w:start w:val="1"/>
      <w:numFmt w:val="bullet"/>
      <w:lvlText w:val="o"/>
      <w:lvlJc w:val="left"/>
      <w:pPr>
        <w:ind w:left="2007" w:hanging="360"/>
      </w:pPr>
      <w:rPr>
        <w:rFonts w:ascii="Courier New" w:hAnsi="Courier New" w:cs="Courier New" w:hint="default"/>
      </w:rPr>
    </w:lvl>
    <w:lvl w:ilvl="2" w:tplc="7654E218" w:tentative="1">
      <w:start w:val="1"/>
      <w:numFmt w:val="bullet"/>
      <w:lvlText w:val=""/>
      <w:lvlJc w:val="left"/>
      <w:pPr>
        <w:ind w:left="2727" w:hanging="360"/>
      </w:pPr>
      <w:rPr>
        <w:rFonts w:ascii="Wingdings" w:hAnsi="Wingdings" w:hint="default"/>
      </w:rPr>
    </w:lvl>
    <w:lvl w:ilvl="3" w:tplc="4D80AE8C" w:tentative="1">
      <w:start w:val="1"/>
      <w:numFmt w:val="bullet"/>
      <w:lvlText w:val=""/>
      <w:lvlJc w:val="left"/>
      <w:pPr>
        <w:ind w:left="3447" w:hanging="360"/>
      </w:pPr>
      <w:rPr>
        <w:rFonts w:ascii="Symbol" w:hAnsi="Symbol" w:hint="default"/>
      </w:rPr>
    </w:lvl>
    <w:lvl w:ilvl="4" w:tplc="DB3E7F98" w:tentative="1">
      <w:start w:val="1"/>
      <w:numFmt w:val="bullet"/>
      <w:lvlText w:val="o"/>
      <w:lvlJc w:val="left"/>
      <w:pPr>
        <w:ind w:left="4167" w:hanging="360"/>
      </w:pPr>
      <w:rPr>
        <w:rFonts w:ascii="Courier New" w:hAnsi="Courier New" w:cs="Courier New" w:hint="default"/>
      </w:rPr>
    </w:lvl>
    <w:lvl w:ilvl="5" w:tplc="470ACF88" w:tentative="1">
      <w:start w:val="1"/>
      <w:numFmt w:val="bullet"/>
      <w:lvlText w:val=""/>
      <w:lvlJc w:val="left"/>
      <w:pPr>
        <w:ind w:left="4887" w:hanging="360"/>
      </w:pPr>
      <w:rPr>
        <w:rFonts w:ascii="Wingdings" w:hAnsi="Wingdings" w:hint="default"/>
      </w:rPr>
    </w:lvl>
    <w:lvl w:ilvl="6" w:tplc="41FCDC90" w:tentative="1">
      <w:start w:val="1"/>
      <w:numFmt w:val="bullet"/>
      <w:lvlText w:val=""/>
      <w:lvlJc w:val="left"/>
      <w:pPr>
        <w:ind w:left="5607" w:hanging="360"/>
      </w:pPr>
      <w:rPr>
        <w:rFonts w:ascii="Symbol" w:hAnsi="Symbol" w:hint="default"/>
      </w:rPr>
    </w:lvl>
    <w:lvl w:ilvl="7" w:tplc="FAF89320" w:tentative="1">
      <w:start w:val="1"/>
      <w:numFmt w:val="bullet"/>
      <w:lvlText w:val="o"/>
      <w:lvlJc w:val="left"/>
      <w:pPr>
        <w:ind w:left="6327" w:hanging="360"/>
      </w:pPr>
      <w:rPr>
        <w:rFonts w:ascii="Courier New" w:hAnsi="Courier New" w:cs="Courier New" w:hint="default"/>
      </w:rPr>
    </w:lvl>
    <w:lvl w:ilvl="8" w:tplc="BB181128" w:tentative="1">
      <w:start w:val="1"/>
      <w:numFmt w:val="bullet"/>
      <w:lvlText w:val=""/>
      <w:lvlJc w:val="left"/>
      <w:pPr>
        <w:ind w:left="7047" w:hanging="360"/>
      </w:pPr>
      <w:rPr>
        <w:rFonts w:ascii="Wingdings" w:hAnsi="Wingdings" w:hint="default"/>
      </w:rPr>
    </w:lvl>
  </w:abstractNum>
  <w:abstractNum w:abstractNumId="3" w15:restartNumberingAfterBreak="0">
    <w:nsid w:val="35F07BFE"/>
    <w:multiLevelType w:val="hybridMultilevel"/>
    <w:tmpl w:val="212E446E"/>
    <w:lvl w:ilvl="0" w:tplc="DC704D4E">
      <w:start w:val="1"/>
      <w:numFmt w:val="decimal"/>
      <w:pStyle w:val="COMPara"/>
      <w:lvlText w:val="%1."/>
      <w:lvlJc w:val="left"/>
      <w:pPr>
        <w:ind w:left="720" w:hanging="360"/>
      </w:pPr>
    </w:lvl>
    <w:lvl w:ilvl="1" w:tplc="303826CE">
      <w:start w:val="1"/>
      <w:numFmt w:val="lowerLetter"/>
      <w:lvlText w:val="%2."/>
      <w:lvlJc w:val="left"/>
      <w:pPr>
        <w:ind w:left="1440" w:hanging="360"/>
      </w:pPr>
    </w:lvl>
    <w:lvl w:ilvl="2" w:tplc="175C6986">
      <w:start w:val="1"/>
      <w:numFmt w:val="lowerRoman"/>
      <w:lvlText w:val="%3."/>
      <w:lvlJc w:val="right"/>
      <w:pPr>
        <w:ind w:left="2160" w:hanging="180"/>
      </w:pPr>
    </w:lvl>
    <w:lvl w:ilvl="3" w:tplc="C3EA9F4E">
      <w:start w:val="1"/>
      <w:numFmt w:val="decimal"/>
      <w:lvlText w:val="%4."/>
      <w:lvlJc w:val="left"/>
      <w:pPr>
        <w:ind w:left="2880" w:hanging="360"/>
      </w:pPr>
    </w:lvl>
    <w:lvl w:ilvl="4" w:tplc="19AA0C1A" w:tentative="1">
      <w:start w:val="1"/>
      <w:numFmt w:val="lowerLetter"/>
      <w:lvlText w:val="%5."/>
      <w:lvlJc w:val="left"/>
      <w:pPr>
        <w:ind w:left="3600" w:hanging="360"/>
      </w:pPr>
    </w:lvl>
    <w:lvl w:ilvl="5" w:tplc="B7CA51E0" w:tentative="1">
      <w:start w:val="1"/>
      <w:numFmt w:val="lowerRoman"/>
      <w:lvlText w:val="%6."/>
      <w:lvlJc w:val="right"/>
      <w:pPr>
        <w:ind w:left="4320" w:hanging="180"/>
      </w:pPr>
    </w:lvl>
    <w:lvl w:ilvl="6" w:tplc="9056B462" w:tentative="1">
      <w:start w:val="1"/>
      <w:numFmt w:val="decimal"/>
      <w:lvlText w:val="%7."/>
      <w:lvlJc w:val="left"/>
      <w:pPr>
        <w:ind w:left="5040" w:hanging="360"/>
      </w:pPr>
    </w:lvl>
    <w:lvl w:ilvl="7" w:tplc="906CEBF2" w:tentative="1">
      <w:start w:val="1"/>
      <w:numFmt w:val="lowerLetter"/>
      <w:lvlText w:val="%8."/>
      <w:lvlJc w:val="left"/>
      <w:pPr>
        <w:ind w:left="5760" w:hanging="360"/>
      </w:pPr>
    </w:lvl>
    <w:lvl w:ilvl="8" w:tplc="597E9E00" w:tentative="1">
      <w:start w:val="1"/>
      <w:numFmt w:val="lowerRoman"/>
      <w:lvlText w:val="%9."/>
      <w:lvlJc w:val="right"/>
      <w:pPr>
        <w:ind w:left="6480" w:hanging="180"/>
      </w:pPr>
    </w:lvl>
  </w:abstractNum>
  <w:abstractNum w:abstractNumId="4" w15:restartNumberingAfterBreak="0">
    <w:nsid w:val="38D913EF"/>
    <w:multiLevelType w:val="hybridMultilevel"/>
    <w:tmpl w:val="BD947C70"/>
    <w:lvl w:ilvl="0" w:tplc="D23CC050">
      <w:start w:val="1"/>
      <w:numFmt w:val="bullet"/>
      <w:lvlText w:val=""/>
      <w:lvlJc w:val="left"/>
      <w:pPr>
        <w:ind w:left="1351" w:hanging="360"/>
      </w:pPr>
      <w:rPr>
        <w:rFonts w:ascii="Symbol" w:hAnsi="Symbol" w:hint="default"/>
      </w:rPr>
    </w:lvl>
    <w:lvl w:ilvl="1" w:tplc="38045270" w:tentative="1">
      <w:start w:val="1"/>
      <w:numFmt w:val="bullet"/>
      <w:lvlText w:val="o"/>
      <w:lvlJc w:val="left"/>
      <w:pPr>
        <w:ind w:left="2071" w:hanging="360"/>
      </w:pPr>
      <w:rPr>
        <w:rFonts w:ascii="Courier New" w:hAnsi="Courier New" w:cs="Courier New" w:hint="default"/>
      </w:rPr>
    </w:lvl>
    <w:lvl w:ilvl="2" w:tplc="FE98A636" w:tentative="1">
      <w:start w:val="1"/>
      <w:numFmt w:val="bullet"/>
      <w:lvlText w:val=""/>
      <w:lvlJc w:val="left"/>
      <w:pPr>
        <w:ind w:left="2791" w:hanging="360"/>
      </w:pPr>
      <w:rPr>
        <w:rFonts w:ascii="Wingdings" w:hAnsi="Wingdings" w:hint="default"/>
      </w:rPr>
    </w:lvl>
    <w:lvl w:ilvl="3" w:tplc="0B9C9B58" w:tentative="1">
      <w:start w:val="1"/>
      <w:numFmt w:val="bullet"/>
      <w:lvlText w:val=""/>
      <w:lvlJc w:val="left"/>
      <w:pPr>
        <w:ind w:left="3511" w:hanging="360"/>
      </w:pPr>
      <w:rPr>
        <w:rFonts w:ascii="Symbol" w:hAnsi="Symbol" w:hint="default"/>
      </w:rPr>
    </w:lvl>
    <w:lvl w:ilvl="4" w:tplc="1776843A" w:tentative="1">
      <w:start w:val="1"/>
      <w:numFmt w:val="bullet"/>
      <w:lvlText w:val="o"/>
      <w:lvlJc w:val="left"/>
      <w:pPr>
        <w:ind w:left="4231" w:hanging="360"/>
      </w:pPr>
      <w:rPr>
        <w:rFonts w:ascii="Courier New" w:hAnsi="Courier New" w:cs="Courier New" w:hint="default"/>
      </w:rPr>
    </w:lvl>
    <w:lvl w:ilvl="5" w:tplc="32CE64F0" w:tentative="1">
      <w:start w:val="1"/>
      <w:numFmt w:val="bullet"/>
      <w:lvlText w:val=""/>
      <w:lvlJc w:val="left"/>
      <w:pPr>
        <w:ind w:left="4951" w:hanging="360"/>
      </w:pPr>
      <w:rPr>
        <w:rFonts w:ascii="Wingdings" w:hAnsi="Wingdings" w:hint="default"/>
      </w:rPr>
    </w:lvl>
    <w:lvl w:ilvl="6" w:tplc="E298A1FE" w:tentative="1">
      <w:start w:val="1"/>
      <w:numFmt w:val="bullet"/>
      <w:lvlText w:val=""/>
      <w:lvlJc w:val="left"/>
      <w:pPr>
        <w:ind w:left="5671" w:hanging="360"/>
      </w:pPr>
      <w:rPr>
        <w:rFonts w:ascii="Symbol" w:hAnsi="Symbol" w:hint="default"/>
      </w:rPr>
    </w:lvl>
    <w:lvl w:ilvl="7" w:tplc="0DEA44B4" w:tentative="1">
      <w:start w:val="1"/>
      <w:numFmt w:val="bullet"/>
      <w:lvlText w:val="o"/>
      <w:lvlJc w:val="left"/>
      <w:pPr>
        <w:ind w:left="6391" w:hanging="360"/>
      </w:pPr>
      <w:rPr>
        <w:rFonts w:ascii="Courier New" w:hAnsi="Courier New" w:cs="Courier New" w:hint="default"/>
      </w:rPr>
    </w:lvl>
    <w:lvl w:ilvl="8" w:tplc="2494C740" w:tentative="1">
      <w:start w:val="1"/>
      <w:numFmt w:val="bullet"/>
      <w:lvlText w:val=""/>
      <w:lvlJc w:val="left"/>
      <w:pPr>
        <w:ind w:left="7111" w:hanging="360"/>
      </w:pPr>
      <w:rPr>
        <w:rFonts w:ascii="Wingdings" w:hAnsi="Wingdings" w:hint="default"/>
      </w:rPr>
    </w:lvl>
  </w:abstractNum>
  <w:abstractNum w:abstractNumId="5" w15:restartNumberingAfterBreak="0">
    <w:nsid w:val="397A4DB1"/>
    <w:multiLevelType w:val="hybridMultilevel"/>
    <w:tmpl w:val="1F36D964"/>
    <w:lvl w:ilvl="0" w:tplc="1932124A">
      <w:start w:val="1"/>
      <w:numFmt w:val="decimal"/>
      <w:pStyle w:val="COMParaDecision"/>
      <w:lvlText w:val="%1."/>
      <w:lvlJc w:val="left"/>
      <w:pPr>
        <w:ind w:left="1287" w:hanging="360"/>
      </w:pPr>
    </w:lvl>
    <w:lvl w:ilvl="1" w:tplc="F45AC5F2" w:tentative="1">
      <w:start w:val="1"/>
      <w:numFmt w:val="lowerLetter"/>
      <w:lvlText w:val="%2."/>
      <w:lvlJc w:val="left"/>
      <w:pPr>
        <w:ind w:left="2007" w:hanging="360"/>
      </w:pPr>
    </w:lvl>
    <w:lvl w:ilvl="2" w:tplc="8574490A" w:tentative="1">
      <w:start w:val="1"/>
      <w:numFmt w:val="lowerRoman"/>
      <w:lvlText w:val="%3."/>
      <w:lvlJc w:val="right"/>
      <w:pPr>
        <w:ind w:left="2727" w:hanging="180"/>
      </w:pPr>
    </w:lvl>
    <w:lvl w:ilvl="3" w:tplc="6D4EC7FA" w:tentative="1">
      <w:start w:val="1"/>
      <w:numFmt w:val="decimal"/>
      <w:lvlText w:val="%4."/>
      <w:lvlJc w:val="left"/>
      <w:pPr>
        <w:ind w:left="3447" w:hanging="360"/>
      </w:pPr>
    </w:lvl>
    <w:lvl w:ilvl="4" w:tplc="6082CC4A" w:tentative="1">
      <w:start w:val="1"/>
      <w:numFmt w:val="lowerLetter"/>
      <w:lvlText w:val="%5."/>
      <w:lvlJc w:val="left"/>
      <w:pPr>
        <w:ind w:left="4167" w:hanging="360"/>
      </w:pPr>
    </w:lvl>
    <w:lvl w:ilvl="5" w:tplc="AD0AE4AA" w:tentative="1">
      <w:start w:val="1"/>
      <w:numFmt w:val="lowerRoman"/>
      <w:lvlText w:val="%6."/>
      <w:lvlJc w:val="right"/>
      <w:pPr>
        <w:ind w:left="4887" w:hanging="180"/>
      </w:pPr>
    </w:lvl>
    <w:lvl w:ilvl="6" w:tplc="0CC4FF88" w:tentative="1">
      <w:start w:val="1"/>
      <w:numFmt w:val="decimal"/>
      <w:lvlText w:val="%7."/>
      <w:lvlJc w:val="left"/>
      <w:pPr>
        <w:ind w:left="5607" w:hanging="360"/>
      </w:pPr>
    </w:lvl>
    <w:lvl w:ilvl="7" w:tplc="D02E2DDE" w:tentative="1">
      <w:start w:val="1"/>
      <w:numFmt w:val="lowerLetter"/>
      <w:lvlText w:val="%8."/>
      <w:lvlJc w:val="left"/>
      <w:pPr>
        <w:ind w:left="6327" w:hanging="360"/>
      </w:pPr>
    </w:lvl>
    <w:lvl w:ilvl="8" w:tplc="2DA80A4C" w:tentative="1">
      <w:start w:val="1"/>
      <w:numFmt w:val="lowerRoman"/>
      <w:lvlText w:val="%9."/>
      <w:lvlJc w:val="right"/>
      <w:pPr>
        <w:ind w:left="7047" w:hanging="180"/>
      </w:pPr>
    </w:lvl>
  </w:abstractNum>
  <w:abstractNum w:abstractNumId="6" w15:restartNumberingAfterBreak="0">
    <w:nsid w:val="3AC30BD2"/>
    <w:multiLevelType w:val="hybridMultilevel"/>
    <w:tmpl w:val="FABC877A"/>
    <w:lvl w:ilvl="0" w:tplc="E0DC1E0E">
      <w:start w:val="1"/>
      <w:numFmt w:val="upperRoman"/>
      <w:pStyle w:val="Heading4"/>
      <w:lvlText w:val="%1."/>
      <w:lvlJc w:val="right"/>
      <w:pPr>
        <w:ind w:left="720" w:hanging="360"/>
      </w:pPr>
      <w:rPr>
        <w:rFonts w:hint="default"/>
        <w:b/>
        <w:i w:val="0"/>
      </w:rPr>
    </w:lvl>
    <w:lvl w:ilvl="1" w:tplc="69CAEBAC" w:tentative="1">
      <w:start w:val="1"/>
      <w:numFmt w:val="lowerLetter"/>
      <w:lvlText w:val="%2."/>
      <w:lvlJc w:val="left"/>
      <w:pPr>
        <w:ind w:left="1440" w:hanging="360"/>
      </w:pPr>
    </w:lvl>
    <w:lvl w:ilvl="2" w:tplc="BEEC0EC6" w:tentative="1">
      <w:start w:val="1"/>
      <w:numFmt w:val="lowerRoman"/>
      <w:lvlText w:val="%3."/>
      <w:lvlJc w:val="right"/>
      <w:pPr>
        <w:ind w:left="2160" w:hanging="180"/>
      </w:pPr>
    </w:lvl>
    <w:lvl w:ilvl="3" w:tplc="078A877A" w:tentative="1">
      <w:start w:val="1"/>
      <w:numFmt w:val="decimal"/>
      <w:lvlText w:val="%4."/>
      <w:lvlJc w:val="left"/>
      <w:pPr>
        <w:ind w:left="2880" w:hanging="360"/>
      </w:pPr>
    </w:lvl>
    <w:lvl w:ilvl="4" w:tplc="F05A321C" w:tentative="1">
      <w:start w:val="1"/>
      <w:numFmt w:val="lowerLetter"/>
      <w:lvlText w:val="%5."/>
      <w:lvlJc w:val="left"/>
      <w:pPr>
        <w:ind w:left="3600" w:hanging="360"/>
      </w:pPr>
    </w:lvl>
    <w:lvl w:ilvl="5" w:tplc="DC54FD1A" w:tentative="1">
      <w:start w:val="1"/>
      <w:numFmt w:val="lowerRoman"/>
      <w:lvlText w:val="%6."/>
      <w:lvlJc w:val="right"/>
      <w:pPr>
        <w:ind w:left="4320" w:hanging="180"/>
      </w:pPr>
    </w:lvl>
    <w:lvl w:ilvl="6" w:tplc="59E64ED2" w:tentative="1">
      <w:start w:val="1"/>
      <w:numFmt w:val="decimal"/>
      <w:lvlText w:val="%7."/>
      <w:lvlJc w:val="left"/>
      <w:pPr>
        <w:ind w:left="5040" w:hanging="360"/>
      </w:pPr>
    </w:lvl>
    <w:lvl w:ilvl="7" w:tplc="49824F9E" w:tentative="1">
      <w:start w:val="1"/>
      <w:numFmt w:val="lowerLetter"/>
      <w:lvlText w:val="%8."/>
      <w:lvlJc w:val="left"/>
      <w:pPr>
        <w:ind w:left="5760" w:hanging="360"/>
      </w:pPr>
    </w:lvl>
    <w:lvl w:ilvl="8" w:tplc="D2FA403A" w:tentative="1">
      <w:start w:val="1"/>
      <w:numFmt w:val="lowerRoman"/>
      <w:lvlText w:val="%9."/>
      <w:lvlJc w:val="right"/>
      <w:pPr>
        <w:ind w:left="6480" w:hanging="180"/>
      </w:pPr>
    </w:lvl>
  </w:abstractNum>
  <w:abstractNum w:abstractNumId="7" w15:restartNumberingAfterBreak="0">
    <w:nsid w:val="4382266A"/>
    <w:multiLevelType w:val="hybridMultilevel"/>
    <w:tmpl w:val="B3625CD8"/>
    <w:lvl w:ilvl="0" w:tplc="2BEA06E6">
      <w:start w:val="1"/>
      <w:numFmt w:val="decimal"/>
      <w:lvlText w:val="%1."/>
      <w:lvlJc w:val="left"/>
      <w:pPr>
        <w:ind w:left="720" w:hanging="360"/>
      </w:pPr>
      <w:rPr>
        <w:rFonts w:ascii="Arial" w:hAnsi="Arial" w:cs="Arial" w:hint="default"/>
        <w:b w:val="0"/>
        <w:i w:val="0"/>
        <w:sz w:val="22"/>
        <w:szCs w:val="22"/>
        <w:lang w:val="en-GB"/>
      </w:rPr>
    </w:lvl>
    <w:lvl w:ilvl="1" w:tplc="E9028C54" w:tentative="1">
      <w:start w:val="1"/>
      <w:numFmt w:val="lowerLetter"/>
      <w:lvlText w:val="%2."/>
      <w:lvlJc w:val="left"/>
      <w:pPr>
        <w:ind w:left="1440" w:hanging="360"/>
      </w:pPr>
    </w:lvl>
    <w:lvl w:ilvl="2" w:tplc="0896E558" w:tentative="1">
      <w:start w:val="1"/>
      <w:numFmt w:val="lowerRoman"/>
      <w:lvlText w:val="%3."/>
      <w:lvlJc w:val="right"/>
      <w:pPr>
        <w:ind w:left="2160" w:hanging="180"/>
      </w:pPr>
    </w:lvl>
    <w:lvl w:ilvl="3" w:tplc="E488E3BC" w:tentative="1">
      <w:start w:val="1"/>
      <w:numFmt w:val="decimal"/>
      <w:lvlText w:val="%4."/>
      <w:lvlJc w:val="left"/>
      <w:pPr>
        <w:ind w:left="2880" w:hanging="360"/>
      </w:pPr>
    </w:lvl>
    <w:lvl w:ilvl="4" w:tplc="59209B9C" w:tentative="1">
      <w:start w:val="1"/>
      <w:numFmt w:val="lowerLetter"/>
      <w:lvlText w:val="%5."/>
      <w:lvlJc w:val="left"/>
      <w:pPr>
        <w:ind w:left="3600" w:hanging="360"/>
      </w:pPr>
    </w:lvl>
    <w:lvl w:ilvl="5" w:tplc="208C05E4" w:tentative="1">
      <w:start w:val="1"/>
      <w:numFmt w:val="lowerRoman"/>
      <w:lvlText w:val="%6."/>
      <w:lvlJc w:val="right"/>
      <w:pPr>
        <w:ind w:left="4320" w:hanging="180"/>
      </w:pPr>
    </w:lvl>
    <w:lvl w:ilvl="6" w:tplc="75C69A24" w:tentative="1">
      <w:start w:val="1"/>
      <w:numFmt w:val="decimal"/>
      <w:lvlText w:val="%7."/>
      <w:lvlJc w:val="left"/>
      <w:pPr>
        <w:ind w:left="5040" w:hanging="360"/>
      </w:pPr>
    </w:lvl>
    <w:lvl w:ilvl="7" w:tplc="C33EBC8A" w:tentative="1">
      <w:start w:val="1"/>
      <w:numFmt w:val="lowerLetter"/>
      <w:lvlText w:val="%8."/>
      <w:lvlJc w:val="left"/>
      <w:pPr>
        <w:ind w:left="5760" w:hanging="360"/>
      </w:pPr>
    </w:lvl>
    <w:lvl w:ilvl="8" w:tplc="B30AFEFE" w:tentative="1">
      <w:start w:val="1"/>
      <w:numFmt w:val="lowerRoman"/>
      <w:lvlText w:val="%9."/>
      <w:lvlJc w:val="right"/>
      <w:pPr>
        <w:ind w:left="6480" w:hanging="180"/>
      </w:pPr>
    </w:lvl>
  </w:abstractNum>
  <w:abstractNum w:abstractNumId="8" w15:restartNumberingAfterBreak="0">
    <w:nsid w:val="49725A93"/>
    <w:multiLevelType w:val="hybridMultilevel"/>
    <w:tmpl w:val="0E762128"/>
    <w:lvl w:ilvl="0" w:tplc="3EB616C4">
      <w:start w:val="1"/>
      <w:numFmt w:val="bullet"/>
      <w:lvlText w:val=""/>
      <w:lvlJc w:val="left"/>
      <w:pPr>
        <w:ind w:left="1287" w:hanging="360"/>
      </w:pPr>
      <w:rPr>
        <w:rFonts w:ascii="Symbol" w:hAnsi="Symbol" w:hint="default"/>
      </w:rPr>
    </w:lvl>
    <w:lvl w:ilvl="1" w:tplc="E564CEB6" w:tentative="1">
      <w:start w:val="1"/>
      <w:numFmt w:val="bullet"/>
      <w:lvlText w:val="o"/>
      <w:lvlJc w:val="left"/>
      <w:pPr>
        <w:ind w:left="2007" w:hanging="360"/>
      </w:pPr>
      <w:rPr>
        <w:rFonts w:ascii="Courier New" w:hAnsi="Courier New" w:cs="Courier New" w:hint="default"/>
      </w:rPr>
    </w:lvl>
    <w:lvl w:ilvl="2" w:tplc="DBAA842C" w:tentative="1">
      <w:start w:val="1"/>
      <w:numFmt w:val="bullet"/>
      <w:lvlText w:val=""/>
      <w:lvlJc w:val="left"/>
      <w:pPr>
        <w:ind w:left="2727" w:hanging="360"/>
      </w:pPr>
      <w:rPr>
        <w:rFonts w:ascii="Wingdings" w:hAnsi="Wingdings" w:hint="default"/>
      </w:rPr>
    </w:lvl>
    <w:lvl w:ilvl="3" w:tplc="04ACBA30" w:tentative="1">
      <w:start w:val="1"/>
      <w:numFmt w:val="bullet"/>
      <w:lvlText w:val=""/>
      <w:lvlJc w:val="left"/>
      <w:pPr>
        <w:ind w:left="3447" w:hanging="360"/>
      </w:pPr>
      <w:rPr>
        <w:rFonts w:ascii="Symbol" w:hAnsi="Symbol" w:hint="default"/>
      </w:rPr>
    </w:lvl>
    <w:lvl w:ilvl="4" w:tplc="5D329B80" w:tentative="1">
      <w:start w:val="1"/>
      <w:numFmt w:val="bullet"/>
      <w:lvlText w:val="o"/>
      <w:lvlJc w:val="left"/>
      <w:pPr>
        <w:ind w:left="4167" w:hanging="360"/>
      </w:pPr>
      <w:rPr>
        <w:rFonts w:ascii="Courier New" w:hAnsi="Courier New" w:cs="Courier New" w:hint="default"/>
      </w:rPr>
    </w:lvl>
    <w:lvl w:ilvl="5" w:tplc="FE7EC39C" w:tentative="1">
      <w:start w:val="1"/>
      <w:numFmt w:val="bullet"/>
      <w:lvlText w:val=""/>
      <w:lvlJc w:val="left"/>
      <w:pPr>
        <w:ind w:left="4887" w:hanging="360"/>
      </w:pPr>
      <w:rPr>
        <w:rFonts w:ascii="Wingdings" w:hAnsi="Wingdings" w:hint="default"/>
      </w:rPr>
    </w:lvl>
    <w:lvl w:ilvl="6" w:tplc="E54C51FC" w:tentative="1">
      <w:start w:val="1"/>
      <w:numFmt w:val="bullet"/>
      <w:lvlText w:val=""/>
      <w:lvlJc w:val="left"/>
      <w:pPr>
        <w:ind w:left="5607" w:hanging="360"/>
      </w:pPr>
      <w:rPr>
        <w:rFonts w:ascii="Symbol" w:hAnsi="Symbol" w:hint="default"/>
      </w:rPr>
    </w:lvl>
    <w:lvl w:ilvl="7" w:tplc="A55A1472" w:tentative="1">
      <w:start w:val="1"/>
      <w:numFmt w:val="bullet"/>
      <w:lvlText w:val="o"/>
      <w:lvlJc w:val="left"/>
      <w:pPr>
        <w:ind w:left="6327" w:hanging="360"/>
      </w:pPr>
      <w:rPr>
        <w:rFonts w:ascii="Courier New" w:hAnsi="Courier New" w:cs="Courier New" w:hint="default"/>
      </w:rPr>
    </w:lvl>
    <w:lvl w:ilvl="8" w:tplc="A1F4792E" w:tentative="1">
      <w:start w:val="1"/>
      <w:numFmt w:val="bullet"/>
      <w:lvlText w:val=""/>
      <w:lvlJc w:val="left"/>
      <w:pPr>
        <w:ind w:left="7047" w:hanging="360"/>
      </w:pPr>
      <w:rPr>
        <w:rFonts w:ascii="Wingdings" w:hAnsi="Wingdings" w:hint="default"/>
      </w:rPr>
    </w:lvl>
  </w:abstractNum>
  <w:abstractNum w:abstractNumId="9" w15:restartNumberingAfterBreak="0">
    <w:nsid w:val="6F4F07A7"/>
    <w:multiLevelType w:val="hybridMultilevel"/>
    <w:tmpl w:val="4FD65B1C"/>
    <w:lvl w:ilvl="0" w:tplc="0A4411AE">
      <w:start w:val="1"/>
      <w:numFmt w:val="bullet"/>
      <w:lvlText w:val="-"/>
      <w:lvlJc w:val="left"/>
      <w:pPr>
        <w:ind w:left="927" w:hanging="360"/>
      </w:pPr>
      <w:rPr>
        <w:rFonts w:ascii="Arial" w:eastAsia="Times New Roman" w:hAnsi="Arial" w:cs="Arial" w:hint="default"/>
      </w:rPr>
    </w:lvl>
    <w:lvl w:ilvl="1" w:tplc="91D4FF6C" w:tentative="1">
      <w:start w:val="1"/>
      <w:numFmt w:val="bullet"/>
      <w:lvlText w:val="o"/>
      <w:lvlJc w:val="left"/>
      <w:pPr>
        <w:ind w:left="1647" w:hanging="360"/>
      </w:pPr>
      <w:rPr>
        <w:rFonts w:ascii="Courier New" w:hAnsi="Courier New" w:cs="Courier New" w:hint="default"/>
      </w:rPr>
    </w:lvl>
    <w:lvl w:ilvl="2" w:tplc="8A3CBB02" w:tentative="1">
      <w:start w:val="1"/>
      <w:numFmt w:val="bullet"/>
      <w:lvlText w:val=""/>
      <w:lvlJc w:val="left"/>
      <w:pPr>
        <w:ind w:left="2367" w:hanging="360"/>
      </w:pPr>
      <w:rPr>
        <w:rFonts w:ascii="Wingdings" w:hAnsi="Wingdings" w:hint="default"/>
      </w:rPr>
    </w:lvl>
    <w:lvl w:ilvl="3" w:tplc="BBD0B98A" w:tentative="1">
      <w:start w:val="1"/>
      <w:numFmt w:val="bullet"/>
      <w:lvlText w:val=""/>
      <w:lvlJc w:val="left"/>
      <w:pPr>
        <w:ind w:left="3087" w:hanging="360"/>
      </w:pPr>
      <w:rPr>
        <w:rFonts w:ascii="Symbol" w:hAnsi="Symbol" w:hint="default"/>
      </w:rPr>
    </w:lvl>
    <w:lvl w:ilvl="4" w:tplc="62560FF4" w:tentative="1">
      <w:start w:val="1"/>
      <w:numFmt w:val="bullet"/>
      <w:lvlText w:val="o"/>
      <w:lvlJc w:val="left"/>
      <w:pPr>
        <w:ind w:left="3807" w:hanging="360"/>
      </w:pPr>
      <w:rPr>
        <w:rFonts w:ascii="Courier New" w:hAnsi="Courier New" w:cs="Courier New" w:hint="default"/>
      </w:rPr>
    </w:lvl>
    <w:lvl w:ilvl="5" w:tplc="87B6B9E0" w:tentative="1">
      <w:start w:val="1"/>
      <w:numFmt w:val="bullet"/>
      <w:lvlText w:val=""/>
      <w:lvlJc w:val="left"/>
      <w:pPr>
        <w:ind w:left="4527" w:hanging="360"/>
      </w:pPr>
      <w:rPr>
        <w:rFonts w:ascii="Wingdings" w:hAnsi="Wingdings" w:hint="default"/>
      </w:rPr>
    </w:lvl>
    <w:lvl w:ilvl="6" w:tplc="6906A656" w:tentative="1">
      <w:start w:val="1"/>
      <w:numFmt w:val="bullet"/>
      <w:lvlText w:val=""/>
      <w:lvlJc w:val="left"/>
      <w:pPr>
        <w:ind w:left="5247" w:hanging="360"/>
      </w:pPr>
      <w:rPr>
        <w:rFonts w:ascii="Symbol" w:hAnsi="Symbol" w:hint="default"/>
      </w:rPr>
    </w:lvl>
    <w:lvl w:ilvl="7" w:tplc="D94E3254" w:tentative="1">
      <w:start w:val="1"/>
      <w:numFmt w:val="bullet"/>
      <w:lvlText w:val="o"/>
      <w:lvlJc w:val="left"/>
      <w:pPr>
        <w:ind w:left="5967" w:hanging="360"/>
      </w:pPr>
      <w:rPr>
        <w:rFonts w:ascii="Courier New" w:hAnsi="Courier New" w:cs="Courier New" w:hint="default"/>
      </w:rPr>
    </w:lvl>
    <w:lvl w:ilvl="8" w:tplc="2DD2617E" w:tentative="1">
      <w:start w:val="1"/>
      <w:numFmt w:val="bullet"/>
      <w:lvlText w:val=""/>
      <w:lvlJc w:val="left"/>
      <w:pPr>
        <w:ind w:left="6687" w:hanging="360"/>
      </w:pPr>
      <w:rPr>
        <w:rFonts w:ascii="Wingdings" w:hAnsi="Wingdings" w:hint="default"/>
      </w:rPr>
    </w:lvl>
  </w:abstractNum>
  <w:abstractNum w:abstractNumId="10" w15:restartNumberingAfterBreak="0">
    <w:nsid w:val="7C627CF4"/>
    <w:multiLevelType w:val="hybridMultilevel"/>
    <w:tmpl w:val="C5527DE8"/>
    <w:lvl w:ilvl="0" w:tplc="1C72AE48">
      <w:start w:val="1"/>
      <w:numFmt w:val="upperLetter"/>
      <w:lvlText w:val="%1."/>
      <w:lvlJc w:val="left"/>
      <w:pPr>
        <w:ind w:left="502" w:hanging="360"/>
      </w:pPr>
    </w:lvl>
    <w:lvl w:ilvl="1" w:tplc="A2E019B6" w:tentative="1">
      <w:start w:val="1"/>
      <w:numFmt w:val="lowerLetter"/>
      <w:lvlText w:val="%2."/>
      <w:lvlJc w:val="left"/>
      <w:pPr>
        <w:ind w:left="2007" w:hanging="360"/>
      </w:pPr>
    </w:lvl>
    <w:lvl w:ilvl="2" w:tplc="9C5CDEDC" w:tentative="1">
      <w:start w:val="1"/>
      <w:numFmt w:val="lowerRoman"/>
      <w:lvlText w:val="%3."/>
      <w:lvlJc w:val="right"/>
      <w:pPr>
        <w:ind w:left="2727" w:hanging="180"/>
      </w:pPr>
    </w:lvl>
    <w:lvl w:ilvl="3" w:tplc="55900FCC" w:tentative="1">
      <w:start w:val="1"/>
      <w:numFmt w:val="decimal"/>
      <w:lvlText w:val="%4."/>
      <w:lvlJc w:val="left"/>
      <w:pPr>
        <w:ind w:left="3447" w:hanging="360"/>
      </w:pPr>
    </w:lvl>
    <w:lvl w:ilvl="4" w:tplc="7E76D418" w:tentative="1">
      <w:start w:val="1"/>
      <w:numFmt w:val="lowerLetter"/>
      <w:lvlText w:val="%5."/>
      <w:lvlJc w:val="left"/>
      <w:pPr>
        <w:ind w:left="4167" w:hanging="360"/>
      </w:pPr>
    </w:lvl>
    <w:lvl w:ilvl="5" w:tplc="54DA8F5C" w:tentative="1">
      <w:start w:val="1"/>
      <w:numFmt w:val="lowerRoman"/>
      <w:lvlText w:val="%6."/>
      <w:lvlJc w:val="right"/>
      <w:pPr>
        <w:ind w:left="4887" w:hanging="180"/>
      </w:pPr>
    </w:lvl>
    <w:lvl w:ilvl="6" w:tplc="5836845C" w:tentative="1">
      <w:start w:val="1"/>
      <w:numFmt w:val="decimal"/>
      <w:lvlText w:val="%7."/>
      <w:lvlJc w:val="left"/>
      <w:pPr>
        <w:ind w:left="5607" w:hanging="360"/>
      </w:pPr>
    </w:lvl>
    <w:lvl w:ilvl="7" w:tplc="1BB2E5D4" w:tentative="1">
      <w:start w:val="1"/>
      <w:numFmt w:val="lowerLetter"/>
      <w:lvlText w:val="%8."/>
      <w:lvlJc w:val="left"/>
      <w:pPr>
        <w:ind w:left="6327" w:hanging="360"/>
      </w:pPr>
    </w:lvl>
    <w:lvl w:ilvl="8" w:tplc="78BC28EC" w:tentative="1">
      <w:start w:val="1"/>
      <w:numFmt w:val="lowerRoman"/>
      <w:lvlText w:val="%9."/>
      <w:lvlJc w:val="right"/>
      <w:pPr>
        <w:ind w:left="7047" w:hanging="180"/>
      </w:pPr>
    </w:lvl>
  </w:abstractNum>
  <w:num w:numId="1">
    <w:abstractNumId w:val="0"/>
  </w:num>
  <w:num w:numId="2">
    <w:abstractNumId w:val="3"/>
  </w:num>
  <w:num w:numId="3">
    <w:abstractNumId w:val="5"/>
  </w:num>
  <w:num w:numId="4">
    <w:abstractNumId w:val="6"/>
  </w:num>
  <w:num w:numId="5">
    <w:abstractNumId w:val="10"/>
  </w:num>
  <w:num w:numId="6">
    <w:abstractNumId w:val="1"/>
  </w:num>
  <w:num w:numId="7">
    <w:abstractNumId w:val="3"/>
  </w:num>
  <w:num w:numId="8">
    <w:abstractNumId w:val="3"/>
  </w:num>
  <w:num w:numId="9">
    <w:abstractNumId w:val="7"/>
  </w:num>
  <w:num w:numId="10">
    <w:abstractNumId w:val="3"/>
  </w:num>
  <w:num w:numId="11">
    <w:abstractNumId w:val="6"/>
  </w:num>
  <w:num w:numId="12">
    <w:abstractNumId w:val="3"/>
  </w:num>
  <w:num w:numId="13">
    <w:abstractNumId w:val="3"/>
  </w:num>
  <w:num w:numId="14">
    <w:abstractNumId w:val="6"/>
  </w:num>
  <w:num w:numId="15">
    <w:abstractNumId w:val="6"/>
  </w:num>
  <w:num w:numId="16">
    <w:abstractNumId w:val="3"/>
  </w:num>
  <w:num w:numId="17">
    <w:abstractNumId w:val="3"/>
  </w:num>
  <w:num w:numId="18">
    <w:abstractNumId w:val="3"/>
  </w:num>
  <w:num w:numId="19">
    <w:abstractNumId w:val="3"/>
  </w:num>
  <w:num w:numId="20">
    <w:abstractNumId w:val="2"/>
  </w:num>
  <w:num w:numId="21">
    <w:abstractNumId w:val="6"/>
  </w:num>
  <w:num w:numId="22">
    <w:abstractNumId w:val="3"/>
  </w:num>
  <w:num w:numId="23">
    <w:abstractNumId w:val="4"/>
  </w:num>
  <w:num w:numId="24">
    <w:abstractNumId w:val="8"/>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fr-FR" w:vendorID="64" w:dllVersion="6" w:nlCheck="1" w:checkStyle="0"/>
  <w:activeWritingStyle w:appName="MSWord" w:lang="fr-FR" w:vendorID="64" w:dllVersion="0" w:nlCheck="1" w:checkStyle="0"/>
  <w:activeWritingStyle w:appName="MSWord" w:lang="pt-PT"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2E33"/>
    <w:rsid w:val="0000301B"/>
    <w:rsid w:val="00003C0B"/>
    <w:rsid w:val="000048ED"/>
    <w:rsid w:val="000062B0"/>
    <w:rsid w:val="00006675"/>
    <w:rsid w:val="00007DB3"/>
    <w:rsid w:val="00015AE1"/>
    <w:rsid w:val="00015EE8"/>
    <w:rsid w:val="000255A0"/>
    <w:rsid w:val="000305B5"/>
    <w:rsid w:val="00031B66"/>
    <w:rsid w:val="000418B8"/>
    <w:rsid w:val="00041A66"/>
    <w:rsid w:val="00042D88"/>
    <w:rsid w:val="00043B1A"/>
    <w:rsid w:val="0004791A"/>
    <w:rsid w:val="00050BD5"/>
    <w:rsid w:val="0005176E"/>
    <w:rsid w:val="000532AE"/>
    <w:rsid w:val="00055764"/>
    <w:rsid w:val="00061A92"/>
    <w:rsid w:val="000626BC"/>
    <w:rsid w:val="000765F7"/>
    <w:rsid w:val="00076D02"/>
    <w:rsid w:val="00077AB7"/>
    <w:rsid w:val="00080A94"/>
    <w:rsid w:val="00081CD8"/>
    <w:rsid w:val="0009357A"/>
    <w:rsid w:val="000A2B7B"/>
    <w:rsid w:val="000A7F0E"/>
    <w:rsid w:val="000B1C8F"/>
    <w:rsid w:val="000C0D61"/>
    <w:rsid w:val="000C6C51"/>
    <w:rsid w:val="000D67E2"/>
    <w:rsid w:val="000E4859"/>
    <w:rsid w:val="000E6786"/>
    <w:rsid w:val="000F3A3F"/>
    <w:rsid w:val="000F52E0"/>
    <w:rsid w:val="000F6959"/>
    <w:rsid w:val="00102557"/>
    <w:rsid w:val="00104AC6"/>
    <w:rsid w:val="00105BA3"/>
    <w:rsid w:val="00106C6F"/>
    <w:rsid w:val="00114C50"/>
    <w:rsid w:val="00127B11"/>
    <w:rsid w:val="00132227"/>
    <w:rsid w:val="00143F99"/>
    <w:rsid w:val="00145648"/>
    <w:rsid w:val="001515A2"/>
    <w:rsid w:val="001551C5"/>
    <w:rsid w:val="00163BD1"/>
    <w:rsid w:val="00164D56"/>
    <w:rsid w:val="00165B04"/>
    <w:rsid w:val="00167B10"/>
    <w:rsid w:val="00171A8B"/>
    <w:rsid w:val="0017402F"/>
    <w:rsid w:val="00181462"/>
    <w:rsid w:val="00181CB5"/>
    <w:rsid w:val="001849E0"/>
    <w:rsid w:val="00190205"/>
    <w:rsid w:val="00194EF3"/>
    <w:rsid w:val="00196C1B"/>
    <w:rsid w:val="00197093"/>
    <w:rsid w:val="001A3B34"/>
    <w:rsid w:val="001B0F73"/>
    <w:rsid w:val="001B374B"/>
    <w:rsid w:val="001C094C"/>
    <w:rsid w:val="001C1579"/>
    <w:rsid w:val="001C21B8"/>
    <w:rsid w:val="001C2DB7"/>
    <w:rsid w:val="001C3C1A"/>
    <w:rsid w:val="001C6825"/>
    <w:rsid w:val="001C7033"/>
    <w:rsid w:val="001D14FE"/>
    <w:rsid w:val="001D3967"/>
    <w:rsid w:val="001D443F"/>
    <w:rsid w:val="001D5C04"/>
    <w:rsid w:val="001E5D97"/>
    <w:rsid w:val="001F26CF"/>
    <w:rsid w:val="001F47C3"/>
    <w:rsid w:val="0020207F"/>
    <w:rsid w:val="00207BFB"/>
    <w:rsid w:val="002113CF"/>
    <w:rsid w:val="00215F33"/>
    <w:rsid w:val="00220E69"/>
    <w:rsid w:val="002227D0"/>
    <w:rsid w:val="00222A2D"/>
    <w:rsid w:val="00223029"/>
    <w:rsid w:val="0022702F"/>
    <w:rsid w:val="002300C7"/>
    <w:rsid w:val="0023348F"/>
    <w:rsid w:val="00234745"/>
    <w:rsid w:val="002351A6"/>
    <w:rsid w:val="00236502"/>
    <w:rsid w:val="00237A6E"/>
    <w:rsid w:val="002407AF"/>
    <w:rsid w:val="00251C91"/>
    <w:rsid w:val="00254E97"/>
    <w:rsid w:val="00256A69"/>
    <w:rsid w:val="0026681E"/>
    <w:rsid w:val="00267192"/>
    <w:rsid w:val="0027466B"/>
    <w:rsid w:val="002778FC"/>
    <w:rsid w:val="002838A5"/>
    <w:rsid w:val="00285BB4"/>
    <w:rsid w:val="00292995"/>
    <w:rsid w:val="00292BF6"/>
    <w:rsid w:val="00293B06"/>
    <w:rsid w:val="00293C60"/>
    <w:rsid w:val="00296694"/>
    <w:rsid w:val="002C09E3"/>
    <w:rsid w:val="002D1244"/>
    <w:rsid w:val="002D26AD"/>
    <w:rsid w:val="002D615A"/>
    <w:rsid w:val="002D66BF"/>
    <w:rsid w:val="002D78B4"/>
    <w:rsid w:val="002F0008"/>
    <w:rsid w:val="002F11F4"/>
    <w:rsid w:val="002F498C"/>
    <w:rsid w:val="002F4A5A"/>
    <w:rsid w:val="002F51DA"/>
    <w:rsid w:val="002F6322"/>
    <w:rsid w:val="0030376B"/>
    <w:rsid w:val="0030559C"/>
    <w:rsid w:val="00307D96"/>
    <w:rsid w:val="0032389A"/>
    <w:rsid w:val="00326ABD"/>
    <w:rsid w:val="00336748"/>
    <w:rsid w:val="00337CEB"/>
    <w:rsid w:val="00341BB1"/>
    <w:rsid w:val="00344B1C"/>
    <w:rsid w:val="00344B58"/>
    <w:rsid w:val="0034539A"/>
    <w:rsid w:val="00345CB4"/>
    <w:rsid w:val="00356185"/>
    <w:rsid w:val="00364B90"/>
    <w:rsid w:val="00366970"/>
    <w:rsid w:val="003716B4"/>
    <w:rsid w:val="00375D42"/>
    <w:rsid w:val="0037645C"/>
    <w:rsid w:val="00376EC4"/>
    <w:rsid w:val="00380975"/>
    <w:rsid w:val="003813C0"/>
    <w:rsid w:val="0038657C"/>
    <w:rsid w:val="0039310C"/>
    <w:rsid w:val="003A0A3A"/>
    <w:rsid w:val="003B30CC"/>
    <w:rsid w:val="003B3E2B"/>
    <w:rsid w:val="003D069C"/>
    <w:rsid w:val="003D0C4E"/>
    <w:rsid w:val="003D49E7"/>
    <w:rsid w:val="003D4B17"/>
    <w:rsid w:val="003D7646"/>
    <w:rsid w:val="003E1579"/>
    <w:rsid w:val="003E6F7D"/>
    <w:rsid w:val="003F113A"/>
    <w:rsid w:val="003F3E63"/>
    <w:rsid w:val="003F6F42"/>
    <w:rsid w:val="003F74A0"/>
    <w:rsid w:val="003F777F"/>
    <w:rsid w:val="004015E9"/>
    <w:rsid w:val="0040346C"/>
    <w:rsid w:val="00403AA3"/>
    <w:rsid w:val="00407480"/>
    <w:rsid w:val="00413E7C"/>
    <w:rsid w:val="00414643"/>
    <w:rsid w:val="004172F2"/>
    <w:rsid w:val="00417D6C"/>
    <w:rsid w:val="00422A0F"/>
    <w:rsid w:val="00440FBE"/>
    <w:rsid w:val="004421E5"/>
    <w:rsid w:val="00443EB1"/>
    <w:rsid w:val="00452284"/>
    <w:rsid w:val="00454C74"/>
    <w:rsid w:val="0045624A"/>
    <w:rsid w:val="00457C8E"/>
    <w:rsid w:val="00461722"/>
    <w:rsid w:val="0047405B"/>
    <w:rsid w:val="00474B61"/>
    <w:rsid w:val="00480A41"/>
    <w:rsid w:val="00484D51"/>
    <w:rsid w:val="004856CA"/>
    <w:rsid w:val="0048736F"/>
    <w:rsid w:val="00487E67"/>
    <w:rsid w:val="0049705E"/>
    <w:rsid w:val="004A1BD7"/>
    <w:rsid w:val="004A2875"/>
    <w:rsid w:val="004A34A0"/>
    <w:rsid w:val="004B30D8"/>
    <w:rsid w:val="004B3EB0"/>
    <w:rsid w:val="004B41B6"/>
    <w:rsid w:val="004B5BE7"/>
    <w:rsid w:val="004B6C99"/>
    <w:rsid w:val="004C4561"/>
    <w:rsid w:val="004C7C82"/>
    <w:rsid w:val="004D373D"/>
    <w:rsid w:val="004F6C67"/>
    <w:rsid w:val="005008A8"/>
    <w:rsid w:val="00501301"/>
    <w:rsid w:val="00510941"/>
    <w:rsid w:val="00513BB2"/>
    <w:rsid w:val="00517FD8"/>
    <w:rsid w:val="00521616"/>
    <w:rsid w:val="00522B6E"/>
    <w:rsid w:val="00526023"/>
    <w:rsid w:val="00526B7B"/>
    <w:rsid w:val="005308CE"/>
    <w:rsid w:val="0053318C"/>
    <w:rsid w:val="0054349C"/>
    <w:rsid w:val="00560006"/>
    <w:rsid w:val="00562D91"/>
    <w:rsid w:val="00567F02"/>
    <w:rsid w:val="0057439C"/>
    <w:rsid w:val="00592260"/>
    <w:rsid w:val="00594C30"/>
    <w:rsid w:val="005A139E"/>
    <w:rsid w:val="005B0127"/>
    <w:rsid w:val="005B7947"/>
    <w:rsid w:val="005B7A35"/>
    <w:rsid w:val="005B7D7F"/>
    <w:rsid w:val="005C01A1"/>
    <w:rsid w:val="005C02CD"/>
    <w:rsid w:val="005C4B73"/>
    <w:rsid w:val="005D05F8"/>
    <w:rsid w:val="005D4050"/>
    <w:rsid w:val="005E19E4"/>
    <w:rsid w:val="005E1D2B"/>
    <w:rsid w:val="005E7074"/>
    <w:rsid w:val="005F2BAF"/>
    <w:rsid w:val="00600D93"/>
    <w:rsid w:val="006036C1"/>
    <w:rsid w:val="00603840"/>
    <w:rsid w:val="00611408"/>
    <w:rsid w:val="006218BD"/>
    <w:rsid w:val="00624062"/>
    <w:rsid w:val="0062435E"/>
    <w:rsid w:val="00624F67"/>
    <w:rsid w:val="00626BEA"/>
    <w:rsid w:val="0062732E"/>
    <w:rsid w:val="006302C8"/>
    <w:rsid w:val="0063300C"/>
    <w:rsid w:val="00635954"/>
    <w:rsid w:val="00636928"/>
    <w:rsid w:val="006456B3"/>
    <w:rsid w:val="00651A5B"/>
    <w:rsid w:val="00653987"/>
    <w:rsid w:val="0065564C"/>
    <w:rsid w:val="00655736"/>
    <w:rsid w:val="00663B8D"/>
    <w:rsid w:val="00664EB4"/>
    <w:rsid w:val="00667918"/>
    <w:rsid w:val="00667E00"/>
    <w:rsid w:val="00675B93"/>
    <w:rsid w:val="00680980"/>
    <w:rsid w:val="00684AF0"/>
    <w:rsid w:val="00694126"/>
    <w:rsid w:val="00696C8D"/>
    <w:rsid w:val="006A2AC2"/>
    <w:rsid w:val="006A3617"/>
    <w:rsid w:val="006A37CA"/>
    <w:rsid w:val="006B54A2"/>
    <w:rsid w:val="006B60EB"/>
    <w:rsid w:val="006C7386"/>
    <w:rsid w:val="006D5593"/>
    <w:rsid w:val="006D5B3C"/>
    <w:rsid w:val="006E030A"/>
    <w:rsid w:val="006E46E4"/>
    <w:rsid w:val="006E4F8E"/>
    <w:rsid w:val="006E75EB"/>
    <w:rsid w:val="006F730F"/>
    <w:rsid w:val="00703973"/>
    <w:rsid w:val="00703A2E"/>
    <w:rsid w:val="007159FA"/>
    <w:rsid w:val="00717DA5"/>
    <w:rsid w:val="00721707"/>
    <w:rsid w:val="00724A73"/>
    <w:rsid w:val="00725D68"/>
    <w:rsid w:val="00730B07"/>
    <w:rsid w:val="0073265C"/>
    <w:rsid w:val="0073417E"/>
    <w:rsid w:val="0073625F"/>
    <w:rsid w:val="007366E0"/>
    <w:rsid w:val="00736749"/>
    <w:rsid w:val="00744484"/>
    <w:rsid w:val="00744EC4"/>
    <w:rsid w:val="00747566"/>
    <w:rsid w:val="00773188"/>
    <w:rsid w:val="007732B2"/>
    <w:rsid w:val="00783782"/>
    <w:rsid w:val="00784B8C"/>
    <w:rsid w:val="007879E1"/>
    <w:rsid w:val="00787A6B"/>
    <w:rsid w:val="007A3970"/>
    <w:rsid w:val="007A49D9"/>
    <w:rsid w:val="007B18FD"/>
    <w:rsid w:val="007B5F2A"/>
    <w:rsid w:val="007C1695"/>
    <w:rsid w:val="007C3535"/>
    <w:rsid w:val="007D056F"/>
    <w:rsid w:val="007D294F"/>
    <w:rsid w:val="007D744C"/>
    <w:rsid w:val="007E72C8"/>
    <w:rsid w:val="007E7423"/>
    <w:rsid w:val="007F3143"/>
    <w:rsid w:val="007F3719"/>
    <w:rsid w:val="007F4A61"/>
    <w:rsid w:val="007F500D"/>
    <w:rsid w:val="007F6622"/>
    <w:rsid w:val="007F7D22"/>
    <w:rsid w:val="00807739"/>
    <w:rsid w:val="0081079A"/>
    <w:rsid w:val="00815B45"/>
    <w:rsid w:val="00817505"/>
    <w:rsid w:val="00823A11"/>
    <w:rsid w:val="00827114"/>
    <w:rsid w:val="008331AF"/>
    <w:rsid w:val="00833A97"/>
    <w:rsid w:val="008359AC"/>
    <w:rsid w:val="008363E3"/>
    <w:rsid w:val="00841AA6"/>
    <w:rsid w:val="00846B89"/>
    <w:rsid w:val="008502E0"/>
    <w:rsid w:val="0085405E"/>
    <w:rsid w:val="0085414A"/>
    <w:rsid w:val="008560AE"/>
    <w:rsid w:val="00857EB9"/>
    <w:rsid w:val="0086269D"/>
    <w:rsid w:val="0086543A"/>
    <w:rsid w:val="008724E5"/>
    <w:rsid w:val="00877E5D"/>
    <w:rsid w:val="00881CD0"/>
    <w:rsid w:val="00883C3B"/>
    <w:rsid w:val="00884893"/>
    <w:rsid w:val="00884A9D"/>
    <w:rsid w:val="0088512B"/>
    <w:rsid w:val="0088783A"/>
    <w:rsid w:val="00887A19"/>
    <w:rsid w:val="00891BD8"/>
    <w:rsid w:val="0089297A"/>
    <w:rsid w:val="00897E82"/>
    <w:rsid w:val="008A2B2D"/>
    <w:rsid w:val="008A4E1E"/>
    <w:rsid w:val="008B0500"/>
    <w:rsid w:val="008B1FA5"/>
    <w:rsid w:val="008B4775"/>
    <w:rsid w:val="008C1D64"/>
    <w:rsid w:val="008C296C"/>
    <w:rsid w:val="008D0415"/>
    <w:rsid w:val="008D4305"/>
    <w:rsid w:val="008E1A85"/>
    <w:rsid w:val="008E21DB"/>
    <w:rsid w:val="008E4806"/>
    <w:rsid w:val="008F0C25"/>
    <w:rsid w:val="00906099"/>
    <w:rsid w:val="0091413C"/>
    <w:rsid w:val="009163A7"/>
    <w:rsid w:val="0091664F"/>
    <w:rsid w:val="009278AA"/>
    <w:rsid w:val="009278EF"/>
    <w:rsid w:val="00933C79"/>
    <w:rsid w:val="00933CF5"/>
    <w:rsid w:val="00934C4D"/>
    <w:rsid w:val="00935840"/>
    <w:rsid w:val="00940881"/>
    <w:rsid w:val="00943A52"/>
    <w:rsid w:val="00946BFC"/>
    <w:rsid w:val="00946D0B"/>
    <w:rsid w:val="00950850"/>
    <w:rsid w:val="009541A4"/>
    <w:rsid w:val="00955877"/>
    <w:rsid w:val="00964C28"/>
    <w:rsid w:val="00966396"/>
    <w:rsid w:val="0097139F"/>
    <w:rsid w:val="00974516"/>
    <w:rsid w:val="00980BCD"/>
    <w:rsid w:val="00982485"/>
    <w:rsid w:val="009A18CD"/>
    <w:rsid w:val="009A598A"/>
    <w:rsid w:val="009B5835"/>
    <w:rsid w:val="009C0956"/>
    <w:rsid w:val="009D0FE1"/>
    <w:rsid w:val="009D29E3"/>
    <w:rsid w:val="009D5428"/>
    <w:rsid w:val="009E02AE"/>
    <w:rsid w:val="009F14A9"/>
    <w:rsid w:val="009F31DB"/>
    <w:rsid w:val="009F744D"/>
    <w:rsid w:val="00A012F5"/>
    <w:rsid w:val="00A0690C"/>
    <w:rsid w:val="00A112B8"/>
    <w:rsid w:val="00A12558"/>
    <w:rsid w:val="00A12951"/>
    <w:rsid w:val="00A13903"/>
    <w:rsid w:val="00A17B45"/>
    <w:rsid w:val="00A20AF0"/>
    <w:rsid w:val="00A235B8"/>
    <w:rsid w:val="00A23D36"/>
    <w:rsid w:val="00A25F46"/>
    <w:rsid w:val="00A263DA"/>
    <w:rsid w:val="00A349D0"/>
    <w:rsid w:val="00A34ED5"/>
    <w:rsid w:val="00A45DBF"/>
    <w:rsid w:val="00A47C32"/>
    <w:rsid w:val="00A53AD2"/>
    <w:rsid w:val="00A53ED0"/>
    <w:rsid w:val="00A60DC4"/>
    <w:rsid w:val="00A725CF"/>
    <w:rsid w:val="00A73AC3"/>
    <w:rsid w:val="00A755A2"/>
    <w:rsid w:val="00A75CA7"/>
    <w:rsid w:val="00A80DDB"/>
    <w:rsid w:val="00A86136"/>
    <w:rsid w:val="00A90FE2"/>
    <w:rsid w:val="00AA6660"/>
    <w:rsid w:val="00AA79FF"/>
    <w:rsid w:val="00AB2C36"/>
    <w:rsid w:val="00AB68A9"/>
    <w:rsid w:val="00AB6DDE"/>
    <w:rsid w:val="00AB70B6"/>
    <w:rsid w:val="00AC1DA3"/>
    <w:rsid w:val="00AD1A86"/>
    <w:rsid w:val="00AD3C02"/>
    <w:rsid w:val="00AE103E"/>
    <w:rsid w:val="00AF0A07"/>
    <w:rsid w:val="00AF36C6"/>
    <w:rsid w:val="00AF4AEC"/>
    <w:rsid w:val="00AF5E59"/>
    <w:rsid w:val="00AF625E"/>
    <w:rsid w:val="00B00D14"/>
    <w:rsid w:val="00B01F38"/>
    <w:rsid w:val="00B139BE"/>
    <w:rsid w:val="00B16D12"/>
    <w:rsid w:val="00B34AFE"/>
    <w:rsid w:val="00B430EC"/>
    <w:rsid w:val="00B439B1"/>
    <w:rsid w:val="00B4633F"/>
    <w:rsid w:val="00B62481"/>
    <w:rsid w:val="00B63738"/>
    <w:rsid w:val="00B7778B"/>
    <w:rsid w:val="00B82D9A"/>
    <w:rsid w:val="00B837B4"/>
    <w:rsid w:val="00B860B5"/>
    <w:rsid w:val="00B96F28"/>
    <w:rsid w:val="00BA241A"/>
    <w:rsid w:val="00BA3246"/>
    <w:rsid w:val="00BB04AF"/>
    <w:rsid w:val="00BB0B7D"/>
    <w:rsid w:val="00BC7992"/>
    <w:rsid w:val="00BD0B80"/>
    <w:rsid w:val="00BD3445"/>
    <w:rsid w:val="00BD52C9"/>
    <w:rsid w:val="00BD5D41"/>
    <w:rsid w:val="00BD624C"/>
    <w:rsid w:val="00BE6354"/>
    <w:rsid w:val="00C04455"/>
    <w:rsid w:val="00C1331C"/>
    <w:rsid w:val="00C138D1"/>
    <w:rsid w:val="00C20B25"/>
    <w:rsid w:val="00C2335B"/>
    <w:rsid w:val="00C23A97"/>
    <w:rsid w:val="00C355DF"/>
    <w:rsid w:val="00C376B9"/>
    <w:rsid w:val="00C403C8"/>
    <w:rsid w:val="00C424E2"/>
    <w:rsid w:val="00C47A7E"/>
    <w:rsid w:val="00C57206"/>
    <w:rsid w:val="00C5776D"/>
    <w:rsid w:val="00C64855"/>
    <w:rsid w:val="00C70EA7"/>
    <w:rsid w:val="00C7433F"/>
    <w:rsid w:val="00C74B6B"/>
    <w:rsid w:val="00C7516E"/>
    <w:rsid w:val="00C75770"/>
    <w:rsid w:val="00C8263E"/>
    <w:rsid w:val="00C834BB"/>
    <w:rsid w:val="00CA1D87"/>
    <w:rsid w:val="00CA22C1"/>
    <w:rsid w:val="00CA28E9"/>
    <w:rsid w:val="00CA2BE3"/>
    <w:rsid w:val="00CA4342"/>
    <w:rsid w:val="00CA56BB"/>
    <w:rsid w:val="00CB0542"/>
    <w:rsid w:val="00CC1C7A"/>
    <w:rsid w:val="00CC55BF"/>
    <w:rsid w:val="00CC76BA"/>
    <w:rsid w:val="00CD0BEA"/>
    <w:rsid w:val="00CD51E5"/>
    <w:rsid w:val="00CE6FDF"/>
    <w:rsid w:val="00CF4554"/>
    <w:rsid w:val="00D00508"/>
    <w:rsid w:val="00D00B2B"/>
    <w:rsid w:val="00D1329E"/>
    <w:rsid w:val="00D13E91"/>
    <w:rsid w:val="00D1574D"/>
    <w:rsid w:val="00D201DD"/>
    <w:rsid w:val="00D22243"/>
    <w:rsid w:val="00D24877"/>
    <w:rsid w:val="00D3076A"/>
    <w:rsid w:val="00D42F1A"/>
    <w:rsid w:val="00D46E63"/>
    <w:rsid w:val="00D472B1"/>
    <w:rsid w:val="00D50238"/>
    <w:rsid w:val="00D7105A"/>
    <w:rsid w:val="00D8250F"/>
    <w:rsid w:val="00D82C29"/>
    <w:rsid w:val="00D911B9"/>
    <w:rsid w:val="00D95C4C"/>
    <w:rsid w:val="00D95FD0"/>
    <w:rsid w:val="00DA26E5"/>
    <w:rsid w:val="00DA36ED"/>
    <w:rsid w:val="00DB5AED"/>
    <w:rsid w:val="00DB5BD0"/>
    <w:rsid w:val="00DB67E5"/>
    <w:rsid w:val="00DC2C5E"/>
    <w:rsid w:val="00DE0EA3"/>
    <w:rsid w:val="00DE34F1"/>
    <w:rsid w:val="00DE4FF0"/>
    <w:rsid w:val="00DE6160"/>
    <w:rsid w:val="00DE7232"/>
    <w:rsid w:val="00DF0E73"/>
    <w:rsid w:val="00DF4942"/>
    <w:rsid w:val="00E05E6D"/>
    <w:rsid w:val="00E13047"/>
    <w:rsid w:val="00E20F9E"/>
    <w:rsid w:val="00E2125F"/>
    <w:rsid w:val="00E244E1"/>
    <w:rsid w:val="00E25E71"/>
    <w:rsid w:val="00E2721F"/>
    <w:rsid w:val="00E27771"/>
    <w:rsid w:val="00E30F87"/>
    <w:rsid w:val="00E35379"/>
    <w:rsid w:val="00E377B9"/>
    <w:rsid w:val="00E4150C"/>
    <w:rsid w:val="00E44CA2"/>
    <w:rsid w:val="00E53141"/>
    <w:rsid w:val="00E627B1"/>
    <w:rsid w:val="00E62D1C"/>
    <w:rsid w:val="00E63E98"/>
    <w:rsid w:val="00E65AE5"/>
    <w:rsid w:val="00E70169"/>
    <w:rsid w:val="00E70832"/>
    <w:rsid w:val="00E720C1"/>
    <w:rsid w:val="00E80FD6"/>
    <w:rsid w:val="00E828CE"/>
    <w:rsid w:val="00E8600B"/>
    <w:rsid w:val="00E9293D"/>
    <w:rsid w:val="00E9376C"/>
    <w:rsid w:val="00E9584C"/>
    <w:rsid w:val="00E95AE2"/>
    <w:rsid w:val="00E9603C"/>
    <w:rsid w:val="00EA335E"/>
    <w:rsid w:val="00EA528C"/>
    <w:rsid w:val="00EA580C"/>
    <w:rsid w:val="00EA6AD1"/>
    <w:rsid w:val="00EB3192"/>
    <w:rsid w:val="00EB4D61"/>
    <w:rsid w:val="00EC05C1"/>
    <w:rsid w:val="00EC20FE"/>
    <w:rsid w:val="00EC4A99"/>
    <w:rsid w:val="00EC6F8D"/>
    <w:rsid w:val="00EE18D1"/>
    <w:rsid w:val="00EE25A5"/>
    <w:rsid w:val="00EE49F4"/>
    <w:rsid w:val="00EE6E8F"/>
    <w:rsid w:val="00EF19E4"/>
    <w:rsid w:val="00EF34E2"/>
    <w:rsid w:val="00F02F4E"/>
    <w:rsid w:val="00F05AB6"/>
    <w:rsid w:val="00F23D8F"/>
    <w:rsid w:val="00F278E8"/>
    <w:rsid w:val="00F3089F"/>
    <w:rsid w:val="00F30DC6"/>
    <w:rsid w:val="00F32C23"/>
    <w:rsid w:val="00F32F86"/>
    <w:rsid w:val="00F44560"/>
    <w:rsid w:val="00F45DB5"/>
    <w:rsid w:val="00F46E24"/>
    <w:rsid w:val="00F5002E"/>
    <w:rsid w:val="00F50067"/>
    <w:rsid w:val="00F506E7"/>
    <w:rsid w:val="00F51B86"/>
    <w:rsid w:val="00F52123"/>
    <w:rsid w:val="00F53DE9"/>
    <w:rsid w:val="00F57462"/>
    <w:rsid w:val="00F576CB"/>
    <w:rsid w:val="00F61894"/>
    <w:rsid w:val="00F7035D"/>
    <w:rsid w:val="00F71A02"/>
    <w:rsid w:val="00F76F68"/>
    <w:rsid w:val="00F939DB"/>
    <w:rsid w:val="00F960F6"/>
    <w:rsid w:val="00FA0D63"/>
    <w:rsid w:val="00FA5337"/>
    <w:rsid w:val="00FB50B8"/>
    <w:rsid w:val="00FD1226"/>
    <w:rsid w:val="00FD624F"/>
    <w:rsid w:val="00FD7646"/>
    <w:rsid w:val="00FE6C19"/>
    <w:rsid w:val="00FF011B"/>
    <w:rsid w:val="00FF4830"/>
    <w:rsid w:val="00FF5DF2"/>
    <w:rsid w:val="00FF710D"/>
    <w:rsid w:val="00FF7D7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A25994"/>
  <w15:docId w15:val="{FCD87D11-3403-4091-B686-B8D4FD31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1"/>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rsid w:val="004A2875"/>
    <w:pPr>
      <w:ind w:left="720"/>
      <w:contextualSpacing/>
    </w:pPr>
  </w:style>
  <w:style w:type="paragraph" w:styleId="FootnoteText">
    <w:name w:val="footnote text"/>
    <w:basedOn w:val="Normal"/>
    <w:link w:val="FootnoteTextChar"/>
    <w:uiPriority w:val="99"/>
    <w:semiHidden/>
    <w:unhideWhenUsed/>
    <w:rsid w:val="009541A4"/>
    <w:rPr>
      <w:sz w:val="20"/>
      <w:szCs w:val="20"/>
    </w:rPr>
  </w:style>
  <w:style w:type="character" w:customStyle="1" w:styleId="FootnoteTextChar">
    <w:name w:val="Footnote Text Char"/>
    <w:basedOn w:val="DefaultParagraphFont"/>
    <w:link w:val="FootnoteText"/>
    <w:uiPriority w:val="99"/>
    <w:semiHidden/>
    <w:rsid w:val="009541A4"/>
    <w:rPr>
      <w:rFonts w:ascii="Times New Roman" w:eastAsia="Times New Roman" w:hAnsi="Times New Roman"/>
    </w:rPr>
  </w:style>
  <w:style w:type="character" w:styleId="FootnoteReference">
    <w:name w:val="footnote reference"/>
    <w:basedOn w:val="DefaultParagraphFont"/>
    <w:uiPriority w:val="99"/>
    <w:semiHidden/>
    <w:unhideWhenUsed/>
    <w:rsid w:val="009541A4"/>
    <w:rPr>
      <w:vertAlign w:val="superscript"/>
    </w:rPr>
  </w:style>
  <w:style w:type="paragraph" w:customStyle="1" w:styleId="GAParaResolution">
    <w:name w:val="GA Para Resolution"/>
    <w:basedOn w:val="Normal"/>
    <w:qFormat/>
    <w:rsid w:val="00EE6E8F"/>
    <w:pPr>
      <w:autoSpaceDE w:val="0"/>
      <w:autoSpaceDN w:val="0"/>
      <w:adjustRightInd w:val="0"/>
      <w:spacing w:after="120"/>
      <w:ind w:left="1353" w:hanging="360"/>
      <w:jc w:val="both"/>
    </w:pPr>
    <w:rPr>
      <w:rFonts w:ascii="Arial" w:eastAsia="SimSun" w:hAnsi="Arial" w:cs="Arial"/>
      <w:sz w:val="22"/>
      <w:szCs w:val="22"/>
      <w:u w:val="single"/>
      <w:lang w:val="en-GB"/>
    </w:rPr>
  </w:style>
  <w:style w:type="character" w:styleId="Hyperlink">
    <w:name w:val="Hyperlink"/>
    <w:aliases w:val=" Car Car3 Char, Car Car3 Char Char Char Char"/>
    <w:link w:val="CarCar3"/>
    <w:uiPriority w:val="99"/>
    <w:unhideWhenUsed/>
    <w:rsid w:val="00EE6E8F"/>
    <w:rPr>
      <w:color w:val="0000FF"/>
      <w:u w:val="single"/>
    </w:rPr>
  </w:style>
  <w:style w:type="paragraph" w:customStyle="1" w:styleId="CarCar3">
    <w:name w:val="Car Car3"/>
    <w:aliases w:val=" Car Car3 Char Char"/>
    <w:basedOn w:val="Normal"/>
    <w:link w:val="Hyperlink"/>
    <w:rsid w:val="00EE6E8F"/>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rPr>
  </w:style>
  <w:style w:type="paragraph" w:customStyle="1" w:styleId="Default">
    <w:name w:val="Default"/>
    <w:rsid w:val="002F11F4"/>
    <w:pPr>
      <w:autoSpaceDE w:val="0"/>
      <w:autoSpaceDN w:val="0"/>
      <w:adjustRightInd w:val="0"/>
    </w:pPr>
    <w:rPr>
      <w:rFonts w:ascii="Arial" w:hAnsi="Arial" w:cs="Arial"/>
      <w:color w:val="000000"/>
      <w:sz w:val="24"/>
      <w:szCs w:val="24"/>
    </w:rPr>
  </w:style>
  <w:style w:type="paragraph" w:customStyle="1" w:styleId="NoSpacing2">
    <w:name w:val="No Spacing2"/>
    <w:link w:val="NoSpacingChar"/>
    <w:uiPriority w:val="1"/>
    <w:qFormat/>
    <w:rsid w:val="00EC4A99"/>
    <w:rPr>
      <w:rFonts w:ascii="Times New Roman" w:hAnsi="Times New Roman"/>
      <w:sz w:val="24"/>
      <w:szCs w:val="24"/>
      <w:lang w:val="en-GB" w:eastAsia="zh-CN"/>
    </w:rPr>
  </w:style>
  <w:style w:type="character" w:customStyle="1" w:styleId="NoSpacingChar">
    <w:name w:val="No Spacing Char"/>
    <w:link w:val="NoSpacing2"/>
    <w:uiPriority w:val="1"/>
    <w:rsid w:val="00EC4A99"/>
    <w:rPr>
      <w:rFonts w:ascii="Times New Roman" w:hAnsi="Times New Roman"/>
      <w:sz w:val="24"/>
      <w:szCs w:val="24"/>
      <w:lang w:val="en-GB" w:eastAsia="zh-CN"/>
    </w:rPr>
  </w:style>
  <w:style w:type="character" w:styleId="FollowedHyperlink">
    <w:name w:val="FollowedHyperlink"/>
    <w:basedOn w:val="DefaultParagraphFont"/>
    <w:uiPriority w:val="99"/>
    <w:semiHidden/>
    <w:unhideWhenUsed/>
    <w:rsid w:val="00B16D12"/>
    <w:rPr>
      <w:color w:val="800080" w:themeColor="followedHyperlink"/>
      <w:u w:val="single"/>
    </w:rPr>
  </w:style>
  <w:style w:type="character" w:customStyle="1" w:styleId="Mentionnonrsolue1">
    <w:name w:val="Mention non résolue1"/>
    <w:basedOn w:val="DefaultParagraphFont"/>
    <w:uiPriority w:val="99"/>
    <w:semiHidden/>
    <w:unhideWhenUsed/>
    <w:rsid w:val="008B4775"/>
    <w:rPr>
      <w:color w:val="605E5C"/>
      <w:shd w:val="clear" w:color="auto" w:fill="E1DFDD"/>
    </w:rPr>
  </w:style>
  <w:style w:type="paragraph" w:styleId="EndnoteText">
    <w:name w:val="endnote text"/>
    <w:basedOn w:val="Normal"/>
    <w:link w:val="EndnoteTextChar"/>
    <w:uiPriority w:val="99"/>
    <w:semiHidden/>
    <w:unhideWhenUsed/>
    <w:rsid w:val="00A20AF0"/>
    <w:rPr>
      <w:sz w:val="20"/>
      <w:szCs w:val="20"/>
    </w:rPr>
  </w:style>
  <w:style w:type="character" w:customStyle="1" w:styleId="EndnoteTextChar">
    <w:name w:val="Endnote Text Char"/>
    <w:basedOn w:val="DefaultParagraphFont"/>
    <w:link w:val="EndnoteText"/>
    <w:uiPriority w:val="99"/>
    <w:semiHidden/>
    <w:rsid w:val="00A20AF0"/>
    <w:rPr>
      <w:rFonts w:ascii="Times New Roman" w:eastAsia="Times New Roman" w:hAnsi="Times New Roman"/>
    </w:rPr>
  </w:style>
  <w:style w:type="character" w:styleId="EndnoteReference">
    <w:name w:val="endnote reference"/>
    <w:basedOn w:val="DefaultParagraphFont"/>
    <w:uiPriority w:val="99"/>
    <w:semiHidden/>
    <w:unhideWhenUsed/>
    <w:rsid w:val="00A20AF0"/>
    <w:rPr>
      <w:vertAlign w:val="superscript"/>
    </w:rPr>
  </w:style>
  <w:style w:type="character" w:styleId="CommentReference">
    <w:name w:val="annotation reference"/>
    <w:basedOn w:val="DefaultParagraphFont"/>
    <w:uiPriority w:val="99"/>
    <w:semiHidden/>
    <w:unhideWhenUsed/>
    <w:rsid w:val="00EA6AD1"/>
    <w:rPr>
      <w:sz w:val="16"/>
      <w:szCs w:val="16"/>
    </w:rPr>
  </w:style>
  <w:style w:type="paragraph" w:styleId="CommentText">
    <w:name w:val="annotation text"/>
    <w:basedOn w:val="Normal"/>
    <w:link w:val="CommentTextChar"/>
    <w:uiPriority w:val="99"/>
    <w:semiHidden/>
    <w:unhideWhenUsed/>
    <w:rsid w:val="00EA6AD1"/>
    <w:rPr>
      <w:sz w:val="20"/>
      <w:szCs w:val="20"/>
    </w:rPr>
  </w:style>
  <w:style w:type="character" w:customStyle="1" w:styleId="CommentTextChar">
    <w:name w:val="Comment Text Char"/>
    <w:basedOn w:val="DefaultParagraphFont"/>
    <w:link w:val="CommentText"/>
    <w:uiPriority w:val="99"/>
    <w:semiHidden/>
    <w:rsid w:val="00EA6AD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6AD1"/>
    <w:rPr>
      <w:b/>
      <w:bCs/>
    </w:rPr>
  </w:style>
  <w:style w:type="character" w:customStyle="1" w:styleId="CommentSubjectChar">
    <w:name w:val="Comment Subject Char"/>
    <w:basedOn w:val="CommentTextChar"/>
    <w:link w:val="CommentSubject"/>
    <w:uiPriority w:val="99"/>
    <w:semiHidden/>
    <w:rsid w:val="00EA6AD1"/>
    <w:rPr>
      <w:rFonts w:ascii="Times New Roman" w:eastAsia="Times New Roman" w:hAnsi="Times New Roman"/>
      <w:b/>
      <w:bCs/>
    </w:rPr>
  </w:style>
  <w:style w:type="character" w:styleId="UnresolvedMention">
    <w:name w:val="Unresolved Mention"/>
    <w:basedOn w:val="DefaultParagraphFont"/>
    <w:uiPriority w:val="99"/>
    <w:semiHidden/>
    <w:unhideWhenUsed/>
    <w:rsid w:val="008B1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3.COM/15" TargetMode="External"/><Relationship Id="rId13" Type="http://schemas.openxmlformats.org/officeDocument/2006/relationships/hyperlink" Target="https://ich.unesco.org/fr/Decisions/13.COM/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h.unesco.org/fr/Decisions/12.COM/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1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fr/Decisions/11.COM/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Decisions/10.COM/13" TargetMode="External"/><Relationship Id="rId14" Type="http://schemas.openxmlformats.org/officeDocument/2006/relationships/hyperlink" Target="https://ich.unesco.org/fr/Resolutions/8.GA/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fr/submitting-states-and-priorities-2020-01054" TargetMode="External"/><Relationship Id="rId13" Type="http://schemas.openxmlformats.org/officeDocument/2006/relationships/hyperlink" Target="http://ich.unesco.org/fr/evenements/5.COM-4.WG-00134" TargetMode="External"/><Relationship Id="rId3" Type="http://schemas.openxmlformats.org/officeDocument/2006/relationships/hyperlink" Target="https://ich.unesco.org/fr/Decisions/10.COM/13" TargetMode="External"/><Relationship Id="rId7" Type="http://schemas.openxmlformats.org/officeDocument/2006/relationships/hyperlink" Target="https://ich.unesco.org/fr/Decisions/13.COM/15" TargetMode="External"/><Relationship Id="rId12" Type="http://schemas.openxmlformats.org/officeDocument/2006/relationships/hyperlink" Target="http://ich.unesco.org/fr/evenements/5.COM-3.1.WG-00133" TargetMode="External"/><Relationship Id="rId2" Type="http://schemas.openxmlformats.org/officeDocument/2006/relationships/hyperlink" Target="https://ich.unesco.org/fr/Decisions/9.COM/12" TargetMode="External"/><Relationship Id="rId1" Type="http://schemas.openxmlformats.org/officeDocument/2006/relationships/hyperlink" Target="https://ich.unesco.org/fr/Decisions/8.COM/10" TargetMode="External"/><Relationship Id="rId6" Type="http://schemas.openxmlformats.org/officeDocument/2006/relationships/hyperlink" Target="https://ich.unesco.org/fr/Decisions/12.COM/14" TargetMode="External"/><Relationship Id="rId11" Type="http://schemas.openxmlformats.org/officeDocument/2006/relationships/hyperlink" Target="http://ich.unesco.org/fr/evenements/5.COM-3.WG-00131" TargetMode="External"/><Relationship Id="rId5" Type="http://schemas.openxmlformats.org/officeDocument/2006/relationships/hyperlink" Target="https://ich.unesco.org/fr/Decisions/12.COM/13" TargetMode="External"/><Relationship Id="rId10" Type="http://schemas.openxmlformats.org/officeDocument/2006/relationships/hyperlink" Target="https://ich.unesco.org/fr/events/expert-meeting-on-the-2003-convention-00129" TargetMode="External"/><Relationship Id="rId4" Type="http://schemas.openxmlformats.org/officeDocument/2006/relationships/hyperlink" Target="https://ich.unesco.org/fr/Decisions/11.COM/12" TargetMode="External"/><Relationship Id="rId9" Type="http://schemas.openxmlformats.org/officeDocument/2006/relationships/hyperlink" Target="https://ich.unesco.org/fr/submitting-states-and-priorities-2021-01135" TargetMode="External"/><Relationship Id="rId14" Type="http://schemas.openxmlformats.org/officeDocument/2006/relationships/hyperlink" Target="http://ich.unesco.org/fr/evenements/5.COM-4.WG-001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0CEA-243E-4C77-931E-182CC3FB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3082</Words>
  <Characters>16953</Characters>
  <Application>Microsoft Office Word</Application>
  <DocSecurity>4</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Constantinou, Elena</dc:creator>
  <cp:lastModifiedBy>Constantinou, Elena</cp:lastModifiedBy>
  <cp:revision>2</cp:revision>
  <cp:lastPrinted>2020-11-13T07:43:00Z</cp:lastPrinted>
  <dcterms:created xsi:type="dcterms:W3CDTF">2020-11-17T17:28:00Z</dcterms:created>
  <dcterms:modified xsi:type="dcterms:W3CDTF">2020-11-17T17:28:00Z</dcterms:modified>
</cp:coreProperties>
</file>