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3503" w:type="pct"/>
        <w:tblBorders>
          <w:left w:val="single" w:sz="12" w:space="0" w:color="4472C4" w:themeColor="accent1"/>
        </w:tblBorders>
        <w:tblCellMar>
          <w:left w:w="144" w:type="dxa"/>
          <w:right w:w="115" w:type="dxa"/>
        </w:tblCellMar>
        <w:tblLook w:val="04A0" w:firstRow="1" w:lastRow="0" w:firstColumn="1" w:lastColumn="0" w:noHBand="0" w:noVBand="1"/>
      </w:tblPr>
      <w:tblGrid>
        <w:gridCol w:w="6976"/>
      </w:tblGrid>
      <w:tr w:rsidR="00DD754C" w:rsidRPr="00E86B95" w14:paraId="310E9224" w14:textId="77777777" w:rsidTr="00981D85">
        <w:trPr>
          <w:trHeight w:val="295"/>
        </w:trPr>
        <w:sdt>
          <w:sdtPr>
            <w:rPr>
              <w:rFonts w:ascii="Arial" w:hAnsi="Arial" w:cs="Arial"/>
              <w:color w:val="2F5496" w:themeColor="accent1" w:themeShade="BF"/>
              <w:sz w:val="24"/>
              <w:szCs w:val="24"/>
            </w:rPr>
            <w:alias w:val="Société"/>
            <w:id w:val="522215403"/>
            <w:placeholder>
              <w:docPart w:val="B818AEBD35FB42F18F5EFE2C726C0215"/>
            </w:placeholder>
            <w:dataBinding w:prefixMappings="xmlns:ns0='http://schemas.openxmlformats.org/officeDocument/2006/extended-properties'" w:xpath="/ns0:Properties[1]/ns0:Company[1]" w:storeItemID="{6668398D-A668-4E3E-A5EB-62B293D839F1}"/>
            <w:text/>
          </w:sdtPr>
          <w:sdtEndPr/>
          <w:sdtContent>
            <w:tc>
              <w:tcPr>
                <w:tcW w:w="6976" w:type="dxa"/>
                <w:tcMar>
                  <w:top w:w="216" w:type="dxa"/>
                  <w:left w:w="115" w:type="dxa"/>
                  <w:bottom w:w="216" w:type="dxa"/>
                  <w:right w:w="115" w:type="dxa"/>
                </w:tcMar>
              </w:tcPr>
              <w:p w14:paraId="10AF52F7" w14:textId="1CFFF995" w:rsidR="00DD754C" w:rsidRPr="00DC519C" w:rsidRDefault="00615BB9" w:rsidP="003D1909">
                <w:pPr>
                  <w:pStyle w:val="NoSpacing"/>
                  <w:rPr>
                    <w:rFonts w:ascii="Arial" w:hAnsi="Arial" w:cs="Arial"/>
                    <w:color w:val="2F5496" w:themeColor="accent1" w:themeShade="BF"/>
                    <w:sz w:val="24"/>
                  </w:rPr>
                </w:pPr>
                <w:r>
                  <w:rPr>
                    <w:rFonts w:ascii="Arial" w:hAnsi="Arial" w:cs="Arial"/>
                    <w:color w:val="2F5496" w:themeColor="accent1" w:themeShade="BF"/>
                    <w:sz w:val="24"/>
                    <w:szCs w:val="24"/>
                  </w:rPr>
                  <w:t xml:space="preserve">POINT </w:t>
                </w:r>
                <w:r w:rsidR="009F6372">
                  <w:rPr>
                    <w:rFonts w:ascii="Arial" w:hAnsi="Arial" w:cs="Arial"/>
                    <w:color w:val="2F5496" w:themeColor="accent1" w:themeShade="BF"/>
                    <w:sz w:val="24"/>
                    <w:szCs w:val="24"/>
                  </w:rPr>
                  <w:t>8</w:t>
                </w:r>
                <w:r>
                  <w:rPr>
                    <w:rFonts w:ascii="Arial" w:hAnsi="Arial" w:cs="Arial"/>
                    <w:color w:val="2F5496" w:themeColor="accent1" w:themeShade="BF"/>
                    <w:sz w:val="24"/>
                    <w:szCs w:val="24"/>
                  </w:rPr>
                  <w:t>.A DE L’ORDRE DU JOUR PROVISOIRE</w:t>
                </w:r>
              </w:p>
            </w:tc>
          </w:sdtContent>
        </w:sdt>
      </w:tr>
      <w:tr w:rsidR="00DD754C" w:rsidRPr="00E86B95" w14:paraId="59509BC7" w14:textId="77777777" w:rsidTr="00981D85">
        <w:trPr>
          <w:trHeight w:val="1693"/>
        </w:trPr>
        <w:tc>
          <w:tcPr>
            <w:tcW w:w="6976" w:type="dxa"/>
          </w:tcPr>
          <w:sdt>
            <w:sdtPr>
              <w:rPr>
                <w:rFonts w:ascii="Arial" w:eastAsiaTheme="majorEastAsia" w:hAnsi="Arial" w:cs="Arial"/>
                <w:b/>
                <w:bCs/>
                <w:color w:val="4472C4"/>
                <w:sz w:val="40"/>
                <w:szCs w:val="40"/>
              </w:rPr>
              <w:alias w:val="Titre"/>
              <w:id w:val="433558757"/>
              <w:placeholder>
                <w:docPart w:val="B4CE4C98C9214895BDD19AC89FFE84A0"/>
              </w:placeholder>
              <w:dataBinding w:prefixMappings="xmlns:ns0='http://schemas.openxmlformats.org/package/2006/metadata/core-properties' xmlns:ns1='http://purl.org/dc/elements/1.1/'" w:xpath="/ns0:coreProperties[1]/ns1:title[1]" w:storeItemID="{6C3C8BC8-F283-45AE-878A-BAB7291924A1}"/>
              <w:text/>
            </w:sdtPr>
            <w:sdtEndPr/>
            <w:sdtContent>
              <w:p w14:paraId="170942B3" w14:textId="1B383FCE" w:rsidR="00DD754C" w:rsidRPr="00DD754C" w:rsidRDefault="00DD754C" w:rsidP="003D1909">
                <w:pPr>
                  <w:pStyle w:val="NoSpacing"/>
                  <w:spacing w:line="216" w:lineRule="auto"/>
                  <w:rPr>
                    <w:rFonts w:ascii="Arial" w:eastAsiaTheme="majorEastAsia" w:hAnsi="Arial" w:cs="Arial"/>
                    <w:b/>
                    <w:bCs/>
                    <w:color w:val="4472C4" w:themeColor="accent1"/>
                    <w:sz w:val="40"/>
                    <w:szCs w:val="40"/>
                  </w:rPr>
                </w:pPr>
                <w:r w:rsidRPr="00DD754C">
                  <w:rPr>
                    <w:rFonts w:ascii="Arial" w:eastAsiaTheme="majorEastAsia" w:hAnsi="Arial" w:cs="Arial"/>
                    <w:b/>
                    <w:bCs/>
                    <w:color w:val="4472C4"/>
                    <w:sz w:val="40"/>
                    <w:szCs w:val="40"/>
                  </w:rPr>
                  <w:t xml:space="preserve">Examen des candidatures pour inscription </w:t>
                </w:r>
                <w:r>
                  <w:rPr>
                    <w:rFonts w:ascii="Arial" w:eastAsiaTheme="majorEastAsia" w:hAnsi="Arial" w:cs="Arial"/>
                    <w:b/>
                    <w:bCs/>
                    <w:color w:val="4472C4"/>
                    <w:sz w:val="40"/>
                    <w:szCs w:val="40"/>
                  </w:rPr>
                  <w:t>sur la Liste du patrimoine culturel immatériel nécessitant une sauvegarde urgente</w:t>
                </w:r>
              </w:p>
            </w:sdtContent>
          </w:sdt>
        </w:tc>
      </w:tr>
      <w:tr w:rsidR="00DD754C" w:rsidRPr="00E86B95" w14:paraId="16463F5D" w14:textId="77777777" w:rsidTr="00981D85">
        <w:trPr>
          <w:trHeight w:val="14"/>
        </w:trPr>
        <w:tc>
          <w:tcPr>
            <w:tcW w:w="6976" w:type="dxa"/>
            <w:tcMar>
              <w:top w:w="216" w:type="dxa"/>
              <w:left w:w="115" w:type="dxa"/>
              <w:bottom w:w="216" w:type="dxa"/>
              <w:right w:w="115" w:type="dxa"/>
            </w:tcMar>
          </w:tcPr>
          <w:p w14:paraId="70932FCA" w14:textId="77777777" w:rsidR="0010552C" w:rsidRPr="008503C8" w:rsidRDefault="003D1909" w:rsidP="003D1909">
            <w:pPr>
              <w:pStyle w:val="NoSpacing"/>
              <w:rPr>
                <w:rFonts w:asciiTheme="minorBidi" w:hAnsiTheme="minorBidi" w:cstheme="minorBidi"/>
                <w:color w:val="2F5496" w:themeColor="accent1" w:themeShade="BF"/>
                <w:sz w:val="24"/>
                <w:szCs w:val="24"/>
              </w:rPr>
            </w:pPr>
            <w:r w:rsidRPr="008503C8">
              <w:rPr>
                <w:rFonts w:asciiTheme="minorBidi" w:hAnsiTheme="minorBidi" w:cstheme="minorBidi"/>
                <w:color w:val="2F5496" w:themeColor="accent1" w:themeShade="BF"/>
                <w:sz w:val="24"/>
                <w:szCs w:val="24"/>
              </w:rPr>
              <w:t xml:space="preserve">Quinzième session, Comité intergouvernemental de sauvegarde du patrimoine culturel immatériel </w:t>
            </w:r>
          </w:p>
          <w:p w14:paraId="0474F777" w14:textId="766A8C3E" w:rsidR="00DD754C" w:rsidRPr="00700FB1" w:rsidRDefault="003D1909" w:rsidP="003D1909">
            <w:pPr>
              <w:pStyle w:val="NoSpacing"/>
              <w:rPr>
                <w:rFonts w:asciiTheme="minorBidi" w:hAnsiTheme="minorBidi" w:cstheme="minorBidi"/>
                <w:color w:val="2F5496" w:themeColor="accent1" w:themeShade="BF"/>
                <w:sz w:val="24"/>
                <w:szCs w:val="24"/>
                <w:highlight w:val="yellow"/>
              </w:rPr>
            </w:pPr>
            <w:r w:rsidRPr="008503C8">
              <w:rPr>
                <w:rFonts w:asciiTheme="minorBidi" w:hAnsiTheme="minorBidi" w:cstheme="minorBidi"/>
                <w:color w:val="2F5496" w:themeColor="accent1" w:themeShade="BF"/>
                <w:sz w:val="24"/>
                <w:szCs w:val="24"/>
              </w:rPr>
              <w:t>(</w:t>
            </w:r>
            <w:r w:rsidR="00DC519C" w:rsidRPr="008503C8">
              <w:rPr>
                <w:rFonts w:asciiTheme="minorBidi" w:hAnsiTheme="minorBidi" w:cstheme="minorBidi"/>
                <w:color w:val="2F5496" w:themeColor="accent1" w:themeShade="BF"/>
                <w:sz w:val="24"/>
                <w:szCs w:val="24"/>
              </w:rPr>
              <w:t>En ligne,</w:t>
            </w:r>
            <w:r w:rsidRPr="008503C8">
              <w:rPr>
                <w:rFonts w:asciiTheme="minorBidi" w:hAnsiTheme="minorBidi" w:cstheme="minorBidi"/>
                <w:color w:val="2F5496" w:themeColor="accent1" w:themeShade="BF"/>
                <w:sz w:val="24"/>
                <w:szCs w:val="24"/>
              </w:rPr>
              <w:t xml:space="preserve"> 14 – 19 décembre 2020)</w:t>
            </w:r>
          </w:p>
        </w:tc>
      </w:tr>
    </w:tbl>
    <w:p w14:paraId="7B568B89" w14:textId="758778B3" w:rsidR="00DD754C" w:rsidRDefault="00DD754C" w:rsidP="006A4537">
      <w:pPr>
        <w:pStyle w:val="Sansinterligne2"/>
        <w:tabs>
          <w:tab w:val="left" w:pos="1380"/>
        </w:tabs>
        <w:spacing w:before="1200"/>
        <w:rPr>
          <w:rFonts w:ascii="Arial" w:hAnsi="Arial"/>
          <w:b/>
          <w:sz w:val="22"/>
          <w:szCs w:val="22"/>
          <w:u w:val="single"/>
        </w:rPr>
      </w:pPr>
    </w:p>
    <w:tbl>
      <w:tblPr>
        <w:tblpPr w:leftFromText="187" w:rightFromText="187" w:vertAnchor="page" w:horzAnchor="margin" w:tblpXSpec="center" w:tblpY="9916"/>
        <w:tblW w:w="3857" w:type="pct"/>
        <w:tblLook w:val="04A0" w:firstRow="1" w:lastRow="0" w:firstColumn="1" w:lastColumn="0" w:noHBand="0" w:noVBand="1"/>
      </w:tblPr>
      <w:tblGrid>
        <w:gridCol w:w="7657"/>
      </w:tblGrid>
      <w:tr w:rsidR="00DD754C" w:rsidRPr="00E86B95" w14:paraId="6939485B" w14:textId="77777777" w:rsidTr="003D1909">
        <w:tc>
          <w:tcPr>
            <w:tcW w:w="7185"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30987E61" w14:textId="369AFB76" w:rsidR="00DD754C" w:rsidRPr="00DD754C" w:rsidRDefault="00DD754C" w:rsidP="003D1909">
            <w:pPr>
              <w:rPr>
                <w:rFonts w:asciiTheme="minorBidi" w:eastAsia="SimSun" w:hAnsiTheme="minorBidi"/>
                <w:b/>
                <w:bCs/>
                <w:color w:val="4472C4" w:themeColor="accent1"/>
              </w:rPr>
            </w:pPr>
            <w:r w:rsidRPr="00DD754C">
              <w:rPr>
                <w:rFonts w:asciiTheme="minorBidi" w:eastAsia="SimSun" w:hAnsiTheme="minorBidi"/>
                <w:b/>
                <w:bCs/>
                <w:color w:val="4472C4" w:themeColor="accent1"/>
              </w:rPr>
              <w:t>Résumé</w:t>
            </w:r>
          </w:p>
          <w:p w14:paraId="60350CD0" w14:textId="31C22DE7" w:rsidR="00DD754C" w:rsidRDefault="00DD754C" w:rsidP="00BF7273">
            <w:pPr>
              <w:pStyle w:val="NoSpacing"/>
              <w:jc w:val="both"/>
              <w:rPr>
                <w:rFonts w:asciiTheme="minorBidi" w:hAnsiTheme="minorBidi" w:cstheme="minorBidi"/>
                <w:color w:val="4472C4" w:themeColor="accent1"/>
              </w:rPr>
            </w:pPr>
            <w:r w:rsidRPr="00DD754C">
              <w:rPr>
                <w:rFonts w:asciiTheme="minorBidi" w:hAnsiTheme="minorBidi" w:cstheme="minorBidi"/>
                <w:color w:val="4472C4" w:themeColor="accent1"/>
              </w:rPr>
              <w:t>Le présent document comprend les recommandations de l</w:t>
            </w:r>
            <w:r w:rsidR="003D1909">
              <w:rPr>
                <w:rFonts w:asciiTheme="minorBidi" w:hAnsiTheme="minorBidi" w:cstheme="minorBidi"/>
                <w:color w:val="4472C4" w:themeColor="accent1"/>
              </w:rPr>
              <w:t>’</w:t>
            </w:r>
            <w:r w:rsidRPr="00DD754C">
              <w:rPr>
                <w:rFonts w:asciiTheme="minorBidi" w:hAnsiTheme="minorBidi" w:cstheme="minorBidi"/>
                <w:color w:val="4472C4" w:themeColor="accent1"/>
              </w:rPr>
              <w:t>Organe d</w:t>
            </w:r>
            <w:r w:rsidR="003D1909">
              <w:rPr>
                <w:rFonts w:asciiTheme="minorBidi" w:hAnsiTheme="minorBidi" w:cstheme="minorBidi"/>
                <w:color w:val="4472C4" w:themeColor="accent1"/>
              </w:rPr>
              <w:t>’</w:t>
            </w:r>
            <w:r w:rsidRPr="00DD754C">
              <w:rPr>
                <w:rFonts w:asciiTheme="minorBidi" w:hAnsiTheme="minorBidi" w:cstheme="minorBidi"/>
                <w:color w:val="4472C4" w:themeColor="accent1"/>
              </w:rPr>
              <w:t>évaluation concernant les candidatures pour inscription sur la Liste du patrimoine culturel immatériel nécessitant une sauvegarde urgente (partie A) et une série de projets de décision pour considération par le Comité (partie</w:t>
            </w:r>
            <w:r w:rsidR="007435A1">
              <w:rPr>
                <w:rFonts w:asciiTheme="minorBidi" w:hAnsiTheme="minorBidi" w:cstheme="minorBidi"/>
                <w:color w:val="4472C4" w:themeColor="accent1"/>
              </w:rPr>
              <w:t> </w:t>
            </w:r>
            <w:r w:rsidRPr="00DD754C">
              <w:rPr>
                <w:rFonts w:asciiTheme="minorBidi" w:hAnsiTheme="minorBidi" w:cstheme="minorBidi"/>
                <w:color w:val="4472C4" w:themeColor="accent1"/>
              </w:rPr>
              <w:t xml:space="preserve">B). Un aperçu des dossiers de 2020 et les méthodes de travail de </w:t>
            </w:r>
            <w:r w:rsidRPr="00981D85">
              <w:rPr>
                <w:rFonts w:asciiTheme="minorBidi" w:hAnsiTheme="minorBidi" w:cstheme="minorBidi"/>
                <w:color w:val="4472C4" w:themeColor="accent1"/>
              </w:rPr>
              <w:t>l</w:t>
            </w:r>
            <w:r w:rsidR="003D1909">
              <w:rPr>
                <w:rFonts w:asciiTheme="minorBidi" w:hAnsiTheme="minorBidi" w:cstheme="minorBidi"/>
                <w:color w:val="4472C4" w:themeColor="accent1"/>
              </w:rPr>
              <w:t>’</w:t>
            </w:r>
            <w:r w:rsidRPr="00981D85">
              <w:rPr>
                <w:rFonts w:asciiTheme="minorBidi" w:hAnsiTheme="minorBidi" w:cstheme="minorBidi"/>
                <w:color w:val="4472C4" w:themeColor="accent1"/>
              </w:rPr>
              <w:t>Organe d</w:t>
            </w:r>
            <w:r w:rsidR="003D1909">
              <w:rPr>
                <w:rFonts w:asciiTheme="minorBidi" w:hAnsiTheme="minorBidi" w:cstheme="minorBidi"/>
                <w:color w:val="4472C4" w:themeColor="accent1"/>
              </w:rPr>
              <w:t>’</w:t>
            </w:r>
            <w:r w:rsidRPr="00981D85">
              <w:rPr>
                <w:rFonts w:asciiTheme="minorBidi" w:hAnsiTheme="minorBidi" w:cstheme="minorBidi"/>
                <w:color w:val="4472C4" w:themeColor="accent1"/>
              </w:rPr>
              <w:t xml:space="preserve">évaluation sont présentés dans le </w:t>
            </w:r>
            <w:r w:rsidRPr="00DC519C">
              <w:rPr>
                <w:rFonts w:asciiTheme="minorBidi" w:hAnsiTheme="minorBidi" w:cstheme="minorBidi"/>
                <w:color w:val="4472C4" w:themeColor="accent1"/>
              </w:rPr>
              <w:t xml:space="preserve">document </w:t>
            </w:r>
            <w:hyperlink r:id="rId7" w:history="1">
              <w:r w:rsidRPr="00C115C7">
                <w:rPr>
                  <w:rStyle w:val="Hyperlink"/>
                  <w:rFonts w:asciiTheme="minorBidi" w:hAnsiTheme="minorBidi" w:cstheme="minorBidi"/>
                </w:rPr>
                <w:t>LHE/20/15.COM/</w:t>
              </w:r>
              <w:r w:rsidR="00DC519C" w:rsidRPr="00C115C7">
                <w:rPr>
                  <w:rStyle w:val="Hyperlink"/>
                  <w:rFonts w:asciiTheme="minorBidi" w:hAnsiTheme="minorBidi" w:cstheme="minorBidi"/>
                </w:rPr>
                <w:t>8</w:t>
              </w:r>
            </w:hyperlink>
            <w:r w:rsidRPr="00DC519C">
              <w:rPr>
                <w:rFonts w:asciiTheme="minorBidi" w:hAnsiTheme="minorBidi" w:cstheme="minorBidi"/>
                <w:color w:val="4472C4" w:themeColor="accent1"/>
              </w:rPr>
              <w:t>.</w:t>
            </w:r>
          </w:p>
          <w:p w14:paraId="5BE4E476" w14:textId="77777777" w:rsidR="00DD754C" w:rsidRDefault="00DD754C" w:rsidP="003D1909">
            <w:pPr>
              <w:pStyle w:val="NoSpacing"/>
              <w:rPr>
                <w:rFonts w:asciiTheme="minorBidi" w:hAnsiTheme="minorBidi" w:cstheme="minorBidi"/>
                <w:color w:val="4472C4" w:themeColor="accent1"/>
              </w:rPr>
            </w:pPr>
          </w:p>
          <w:p w14:paraId="3F45862D" w14:textId="0D18B84E" w:rsidR="00DD754C" w:rsidRPr="00E86B95" w:rsidRDefault="00DD754C" w:rsidP="003D1909">
            <w:pPr>
              <w:pStyle w:val="NoSpacing"/>
              <w:rPr>
                <w:rFonts w:ascii="Arial" w:hAnsi="Arial" w:cs="Arial"/>
                <w:color w:val="4472C4" w:themeColor="accent1"/>
                <w:sz w:val="28"/>
                <w:szCs w:val="28"/>
              </w:rPr>
            </w:pPr>
            <w:r w:rsidRPr="00DD754C">
              <w:rPr>
                <w:rFonts w:asciiTheme="minorBidi" w:hAnsiTheme="minorBidi" w:cstheme="minorBidi"/>
                <w:b/>
                <w:bCs/>
                <w:color w:val="4472C4" w:themeColor="accent1"/>
              </w:rPr>
              <w:t>Décision</w:t>
            </w:r>
            <w:r w:rsidR="003D1909">
              <w:rPr>
                <w:rFonts w:asciiTheme="minorBidi" w:hAnsiTheme="minorBidi" w:cstheme="minorBidi"/>
                <w:b/>
                <w:bCs/>
                <w:color w:val="4472C4" w:themeColor="accent1"/>
              </w:rPr>
              <w:t>s</w:t>
            </w:r>
            <w:r w:rsidRPr="00DD754C">
              <w:rPr>
                <w:rFonts w:asciiTheme="minorBidi" w:hAnsiTheme="minorBidi" w:cstheme="minorBidi"/>
                <w:b/>
                <w:bCs/>
                <w:color w:val="4472C4" w:themeColor="accent1"/>
              </w:rPr>
              <w:t xml:space="preserve"> requise</w:t>
            </w:r>
            <w:r w:rsidR="003D1909">
              <w:rPr>
                <w:rFonts w:asciiTheme="minorBidi" w:hAnsiTheme="minorBidi" w:cstheme="minorBidi"/>
                <w:b/>
                <w:bCs/>
                <w:color w:val="4472C4" w:themeColor="accent1"/>
              </w:rPr>
              <w:t>s</w:t>
            </w:r>
            <w:r w:rsidRPr="00DD754C">
              <w:rPr>
                <w:rFonts w:asciiTheme="minorBidi" w:hAnsiTheme="minorBidi" w:cstheme="minorBidi"/>
                <w:b/>
                <w:bCs/>
                <w:color w:val="4472C4" w:themeColor="accent1"/>
              </w:rPr>
              <w:t> </w:t>
            </w:r>
            <w:r w:rsidRPr="00700FB1">
              <w:rPr>
                <w:rFonts w:asciiTheme="minorBidi" w:hAnsiTheme="minorBidi" w:cstheme="minorBidi"/>
                <w:color w:val="4472C4" w:themeColor="accent1"/>
              </w:rPr>
              <w:t>:</w:t>
            </w:r>
            <w:r w:rsidRPr="00DD754C">
              <w:rPr>
                <w:rFonts w:asciiTheme="minorBidi" w:hAnsiTheme="minorBidi" w:cstheme="minorBidi"/>
                <w:b/>
                <w:bCs/>
                <w:color w:val="4472C4" w:themeColor="accent1"/>
              </w:rPr>
              <w:t xml:space="preserve"> </w:t>
            </w:r>
            <w:r w:rsidRPr="00DD754C">
              <w:rPr>
                <w:rFonts w:asciiTheme="minorBidi" w:hAnsiTheme="minorBidi" w:cstheme="minorBidi"/>
                <w:color w:val="4472C4" w:themeColor="accent1"/>
              </w:rPr>
              <w:t xml:space="preserve">paragraphe </w:t>
            </w:r>
            <w:r w:rsidR="009F6C6C">
              <w:rPr>
                <w:rFonts w:asciiTheme="minorBidi" w:hAnsiTheme="minorBidi" w:cstheme="minorBidi"/>
                <w:color w:val="4472C4" w:themeColor="accent1"/>
              </w:rPr>
              <w:t>5</w:t>
            </w:r>
          </w:p>
        </w:tc>
      </w:tr>
    </w:tbl>
    <w:p w14:paraId="19AE517C" w14:textId="662266EA" w:rsidR="00AB69F3" w:rsidRPr="002B6C7D" w:rsidRDefault="00AB69F3">
      <w:r w:rsidRPr="002B6C7D">
        <w:br w:type="page"/>
      </w:r>
    </w:p>
    <w:p w14:paraId="4F78BA51" w14:textId="77777777" w:rsidR="00AB69F3" w:rsidRPr="002B6C7D" w:rsidRDefault="00AB69F3" w:rsidP="00AB69F3">
      <w:pPr>
        <w:pStyle w:val="NoSpacing1"/>
        <w:keepNext/>
        <w:numPr>
          <w:ilvl w:val="0"/>
          <w:numId w:val="1"/>
        </w:numPr>
        <w:tabs>
          <w:tab w:val="left" w:pos="567"/>
        </w:tabs>
        <w:spacing w:after="240"/>
        <w:ind w:hanging="930"/>
        <w:jc w:val="both"/>
        <w:rPr>
          <w:rFonts w:ascii="Arial" w:hAnsi="Arial" w:cs="Arial"/>
          <w:b/>
        </w:rPr>
      </w:pPr>
      <w:bookmarkStart w:id="0" w:name="Recommandations"/>
      <w:r w:rsidRPr="002B6C7D">
        <w:rPr>
          <w:rFonts w:ascii="Arial" w:hAnsi="Arial"/>
          <w:b/>
        </w:rPr>
        <w:lastRenderedPageBreak/>
        <w:t>Recommandations</w:t>
      </w:r>
    </w:p>
    <w:p w14:paraId="4775983A" w14:textId="6DB8D153" w:rsidR="009F6C6C" w:rsidRPr="00700FB1" w:rsidRDefault="009F6C6C" w:rsidP="00700FB1">
      <w:pPr>
        <w:pStyle w:val="ListParagraph"/>
        <w:keepNext/>
        <w:numPr>
          <w:ilvl w:val="0"/>
          <w:numId w:val="2"/>
        </w:numPr>
        <w:spacing w:before="240" w:after="120"/>
        <w:ind w:left="567" w:hanging="567"/>
        <w:contextualSpacing w:val="0"/>
        <w:jc w:val="both"/>
        <w:rPr>
          <w:rFonts w:ascii="Arial" w:hAnsi="Arial" w:cs="Arial"/>
          <w:snapToGrid w:val="0"/>
          <w:sz w:val="22"/>
          <w:szCs w:val="22"/>
        </w:rPr>
      </w:pPr>
      <w:bookmarkStart w:id="1" w:name="Recommends_that_the_committee_approve"/>
      <w:bookmarkStart w:id="2" w:name="Recommends_that_the_committee_refer"/>
      <w:bookmarkStart w:id="3" w:name="Recommend_to_inscribe"/>
      <w:bookmarkStart w:id="4" w:name="Recommend_to_refer"/>
      <w:bookmarkEnd w:id="1"/>
      <w:bookmarkEnd w:id="2"/>
      <w:bookmarkEnd w:id="3"/>
      <w:bookmarkEnd w:id="4"/>
      <w:bookmarkEnd w:id="0"/>
      <w:r>
        <w:rPr>
          <w:rFonts w:ascii="Arial" w:hAnsi="Arial" w:cs="Arial"/>
          <w:snapToGrid w:val="0"/>
          <w:sz w:val="22"/>
          <w:szCs w:val="22"/>
        </w:rPr>
        <w:t xml:space="preserve">L’Organe d’évaluation recommande au Comité </w:t>
      </w:r>
      <w:r w:rsidRPr="002B6C7D">
        <w:rPr>
          <w:rFonts w:ascii="Arial" w:hAnsi="Arial"/>
          <w:snapToGrid w:val="0"/>
          <w:sz w:val="22"/>
        </w:rPr>
        <w:t>d</w:t>
      </w:r>
      <w:r>
        <w:rPr>
          <w:rFonts w:ascii="Arial" w:hAnsi="Arial"/>
          <w:snapToGrid w:val="0"/>
          <w:sz w:val="22"/>
        </w:rPr>
        <w:t>’</w:t>
      </w:r>
      <w:r w:rsidRPr="002B6C7D">
        <w:rPr>
          <w:rFonts w:ascii="Arial" w:hAnsi="Arial"/>
          <w:snapToGrid w:val="0"/>
          <w:sz w:val="22"/>
        </w:rPr>
        <w:t xml:space="preserve">inscrire </w:t>
      </w:r>
      <w:r w:rsidR="002C3161">
        <w:rPr>
          <w:rFonts w:ascii="Arial" w:hAnsi="Arial"/>
          <w:snapToGrid w:val="0"/>
          <w:sz w:val="22"/>
        </w:rPr>
        <w:t>l’élément suivant</w:t>
      </w:r>
      <w:r w:rsidRPr="002B6C7D">
        <w:rPr>
          <w:rFonts w:ascii="Arial" w:hAnsi="Arial"/>
          <w:snapToGrid w:val="0"/>
          <w:sz w:val="22"/>
        </w:rPr>
        <w:t xml:space="preserve"> </w:t>
      </w:r>
      <w:r w:rsidRPr="002B6C7D">
        <w:rPr>
          <w:rFonts w:ascii="Arial" w:hAnsi="Arial"/>
          <w:sz w:val="22"/>
        </w:rPr>
        <w:t xml:space="preserve">sur </w:t>
      </w:r>
      <w:r w:rsidRPr="002B6C7D">
        <w:rPr>
          <w:rFonts w:ascii="Arial" w:hAnsi="Arial"/>
          <w:snapToGrid w:val="0"/>
          <w:sz w:val="22"/>
        </w:rPr>
        <w:t>la Liste du patrimoine culturel immatériel nécessitant une sauvegarde urgente</w:t>
      </w:r>
      <w:r>
        <w:rPr>
          <w:rFonts w:ascii="Arial" w:hAnsi="Arial"/>
          <w:snapToGrid w:val="0"/>
          <w:sz w:val="22"/>
        </w:rPr>
        <w:t> :</w:t>
      </w:r>
    </w:p>
    <w:tbl>
      <w:tblPr>
        <w:tblW w:w="9317"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A0" w:firstRow="1" w:lastRow="0" w:firstColumn="1" w:lastColumn="0" w:noHBand="0" w:noVBand="0"/>
      </w:tblPr>
      <w:tblGrid>
        <w:gridCol w:w="1663"/>
        <w:gridCol w:w="1985"/>
        <w:gridCol w:w="3134"/>
        <w:gridCol w:w="1355"/>
        <w:gridCol w:w="1180"/>
      </w:tblGrid>
      <w:tr w:rsidR="009F6C6C" w:rsidRPr="002B6C7D" w14:paraId="66FC5B85" w14:textId="77777777" w:rsidTr="008503C8">
        <w:trPr>
          <w:cantSplit/>
          <w:trHeight w:val="881"/>
          <w:tblHeader/>
        </w:trPr>
        <w:tc>
          <w:tcPr>
            <w:tcW w:w="892" w:type="pct"/>
            <w:tcBorders>
              <w:right w:val="nil"/>
            </w:tcBorders>
            <w:shd w:val="clear" w:color="auto" w:fill="BFBFBF"/>
            <w:vAlign w:val="center"/>
          </w:tcPr>
          <w:p w14:paraId="69E44B2E" w14:textId="77777777" w:rsidR="009F6C6C" w:rsidRPr="002B6C7D" w:rsidRDefault="009F6C6C" w:rsidP="006007C6">
            <w:pPr>
              <w:keepNext/>
              <w:spacing w:before="120" w:after="120"/>
              <w:jc w:val="center"/>
              <w:rPr>
                <w:rFonts w:cs="Arial"/>
                <w:color w:val="000000"/>
              </w:rPr>
            </w:pPr>
            <w:r w:rsidRPr="002B6C7D">
              <w:rPr>
                <w:rFonts w:ascii="Arial" w:hAnsi="Arial"/>
                <w:b/>
              </w:rPr>
              <w:t xml:space="preserve">Projet </w:t>
            </w:r>
            <w:r w:rsidRPr="002B6C7D">
              <w:rPr>
                <w:rFonts w:ascii="Arial" w:hAnsi="Arial"/>
                <w:b/>
                <w:bCs/>
              </w:rPr>
              <w:br/>
            </w:r>
            <w:r w:rsidRPr="002B6C7D">
              <w:rPr>
                <w:rFonts w:ascii="Arial" w:hAnsi="Arial"/>
                <w:b/>
              </w:rPr>
              <w:t>de décision</w:t>
            </w:r>
          </w:p>
        </w:tc>
        <w:tc>
          <w:tcPr>
            <w:tcW w:w="1065" w:type="pct"/>
            <w:tcBorders>
              <w:left w:val="nil"/>
              <w:right w:val="nil"/>
            </w:tcBorders>
            <w:shd w:val="clear" w:color="auto" w:fill="BFBFBF"/>
            <w:vAlign w:val="center"/>
          </w:tcPr>
          <w:p w14:paraId="7625015E" w14:textId="77777777" w:rsidR="009F6C6C" w:rsidRPr="002B6C7D" w:rsidRDefault="009F6C6C" w:rsidP="006007C6">
            <w:pPr>
              <w:keepNext/>
              <w:spacing w:before="120" w:after="120"/>
              <w:jc w:val="center"/>
              <w:rPr>
                <w:rFonts w:cs="Arial"/>
                <w:color w:val="000000"/>
              </w:rPr>
            </w:pPr>
            <w:r w:rsidRPr="002B6C7D">
              <w:rPr>
                <w:rFonts w:ascii="Arial" w:hAnsi="Arial"/>
                <w:b/>
              </w:rPr>
              <w:t>État soumissionnaire</w:t>
            </w:r>
          </w:p>
        </w:tc>
        <w:tc>
          <w:tcPr>
            <w:tcW w:w="1682" w:type="pct"/>
            <w:tcBorders>
              <w:left w:val="nil"/>
              <w:right w:val="nil"/>
            </w:tcBorders>
            <w:shd w:val="clear" w:color="auto" w:fill="BFBFBF"/>
            <w:vAlign w:val="center"/>
          </w:tcPr>
          <w:p w14:paraId="04B2754E" w14:textId="77777777" w:rsidR="009F6C6C" w:rsidRPr="002B6C7D" w:rsidRDefault="009F6C6C" w:rsidP="006007C6">
            <w:pPr>
              <w:keepNext/>
              <w:spacing w:before="120" w:after="120"/>
              <w:jc w:val="center"/>
              <w:rPr>
                <w:rFonts w:cs="Arial"/>
                <w:color w:val="000000"/>
              </w:rPr>
            </w:pPr>
            <w:r w:rsidRPr="002B6C7D">
              <w:rPr>
                <w:rFonts w:ascii="Arial" w:hAnsi="Arial"/>
                <w:b/>
              </w:rPr>
              <w:t>Candidature</w:t>
            </w:r>
          </w:p>
        </w:tc>
        <w:tc>
          <w:tcPr>
            <w:tcW w:w="727" w:type="pct"/>
            <w:tcBorders>
              <w:left w:val="nil"/>
              <w:right w:val="nil"/>
            </w:tcBorders>
            <w:shd w:val="clear" w:color="auto" w:fill="BFBFBF"/>
          </w:tcPr>
          <w:p w14:paraId="4D4AD214" w14:textId="77777777" w:rsidR="009F6C6C" w:rsidRPr="002B6C7D" w:rsidRDefault="009F6C6C" w:rsidP="006007C6">
            <w:pPr>
              <w:keepNext/>
              <w:spacing w:before="120" w:after="120"/>
              <w:jc w:val="center"/>
              <w:rPr>
                <w:rFonts w:cs="Arial"/>
                <w:b/>
                <w:bCs/>
                <w:color w:val="000000"/>
              </w:rPr>
            </w:pPr>
            <w:r w:rsidRPr="002B6C7D">
              <w:rPr>
                <w:rFonts w:ascii="Arial" w:hAnsi="Arial"/>
                <w:b/>
              </w:rPr>
              <w:t>Concernée par le dialogue</w:t>
            </w:r>
            <w:r w:rsidRPr="002B6C7D">
              <w:rPr>
                <w:b/>
                <w:bCs/>
                <w:color w:val="000000"/>
                <w:lang w:eastAsia="en-GB"/>
              </w:rPr>
              <w:t xml:space="preserve"> </w:t>
            </w:r>
          </w:p>
        </w:tc>
        <w:tc>
          <w:tcPr>
            <w:tcW w:w="633" w:type="pct"/>
            <w:tcBorders>
              <w:left w:val="nil"/>
              <w:right w:val="single" w:sz="4" w:space="0" w:color="auto"/>
            </w:tcBorders>
            <w:shd w:val="clear" w:color="auto" w:fill="BFBFBF"/>
            <w:vAlign w:val="center"/>
          </w:tcPr>
          <w:p w14:paraId="4A6A3191" w14:textId="77777777" w:rsidR="009F6C6C" w:rsidRPr="005060FE" w:rsidRDefault="009F6C6C">
            <w:pPr>
              <w:keepNext/>
              <w:spacing w:before="120" w:after="120"/>
              <w:jc w:val="center"/>
              <w:rPr>
                <w:rFonts w:cs="Arial"/>
                <w:b/>
                <w:bCs/>
                <w:color w:val="000000"/>
              </w:rPr>
            </w:pPr>
            <w:r w:rsidRPr="005060FE">
              <w:rPr>
                <w:rFonts w:ascii="Arial" w:hAnsi="Arial"/>
                <w:b/>
              </w:rPr>
              <w:t>Dossier n°</w:t>
            </w:r>
          </w:p>
        </w:tc>
      </w:tr>
      <w:tr w:rsidR="009F6C6C" w:rsidRPr="00DC519C" w14:paraId="3018120F" w14:textId="77777777" w:rsidTr="008503C8">
        <w:trPr>
          <w:cantSplit/>
        </w:trPr>
        <w:tc>
          <w:tcPr>
            <w:tcW w:w="892" w:type="pct"/>
            <w:tcBorders>
              <w:right w:val="nil"/>
            </w:tcBorders>
          </w:tcPr>
          <w:p w14:paraId="7A4FE0F8" w14:textId="1E0FCF41" w:rsidR="009F6C6C" w:rsidRPr="00DC519C" w:rsidRDefault="006406ED" w:rsidP="006007C6">
            <w:pPr>
              <w:keepNext/>
              <w:spacing w:before="120" w:after="120"/>
              <w:jc w:val="center"/>
              <w:rPr>
                <w:rFonts w:cs="Arial"/>
                <w:bCs/>
                <w:color w:val="000000"/>
              </w:rPr>
            </w:pPr>
            <w:hyperlink w:anchor="Decision_9a1" w:history="1">
              <w:r w:rsidR="009F6C6C" w:rsidRPr="00DC519C">
                <w:rPr>
                  <w:rStyle w:val="Hyperlink"/>
                  <w:rFonts w:ascii="Arial" w:hAnsi="Arial"/>
                </w:rPr>
                <w:t xml:space="preserve">15.COM </w:t>
              </w:r>
              <w:r w:rsidR="00DC519C" w:rsidRPr="00DC519C">
                <w:rPr>
                  <w:rStyle w:val="Hyperlink"/>
                  <w:rFonts w:ascii="Arial" w:hAnsi="Arial"/>
                </w:rPr>
                <w:t>8</w:t>
              </w:r>
              <w:r w:rsidR="009F6C6C" w:rsidRPr="00DC519C">
                <w:rPr>
                  <w:rStyle w:val="Hyperlink"/>
                  <w:rFonts w:ascii="Arial" w:hAnsi="Arial"/>
                </w:rPr>
                <w:t>.a.1</w:t>
              </w:r>
            </w:hyperlink>
          </w:p>
        </w:tc>
        <w:tc>
          <w:tcPr>
            <w:tcW w:w="1065" w:type="pct"/>
            <w:tcBorders>
              <w:left w:val="nil"/>
              <w:right w:val="nil"/>
            </w:tcBorders>
          </w:tcPr>
          <w:p w14:paraId="65767A42" w14:textId="77777777" w:rsidR="009F6C6C" w:rsidRPr="00DC519C" w:rsidRDefault="009F6C6C" w:rsidP="006007C6">
            <w:pPr>
              <w:keepNext/>
              <w:spacing w:before="120" w:after="120"/>
              <w:jc w:val="center"/>
              <w:rPr>
                <w:rFonts w:cs="Arial"/>
                <w:color w:val="000000"/>
              </w:rPr>
            </w:pPr>
            <w:r w:rsidRPr="00DC519C">
              <w:rPr>
                <w:rFonts w:ascii="Arial" w:hAnsi="Arial"/>
              </w:rPr>
              <w:t>Colombie</w:t>
            </w:r>
          </w:p>
        </w:tc>
        <w:tc>
          <w:tcPr>
            <w:tcW w:w="1682" w:type="pct"/>
            <w:tcBorders>
              <w:left w:val="nil"/>
              <w:right w:val="nil"/>
            </w:tcBorders>
          </w:tcPr>
          <w:p w14:paraId="0D3D3309" w14:textId="77777777" w:rsidR="009F6C6C" w:rsidRPr="00DC519C" w:rsidRDefault="009F6C6C" w:rsidP="006007C6">
            <w:pPr>
              <w:keepNext/>
              <w:spacing w:before="120" w:after="120"/>
              <w:rPr>
                <w:rFonts w:cs="Arial"/>
                <w:color w:val="000000"/>
              </w:rPr>
            </w:pPr>
            <w:r w:rsidRPr="00DC519C">
              <w:rPr>
                <w:rFonts w:ascii="Arial" w:hAnsi="Arial"/>
              </w:rPr>
              <w:t>Les connaissances et techniques traditionnelles associées au vernis de Pasto mopa-mopa de Putumayo et Nariño</w:t>
            </w:r>
          </w:p>
        </w:tc>
        <w:tc>
          <w:tcPr>
            <w:tcW w:w="727" w:type="pct"/>
            <w:tcBorders>
              <w:left w:val="nil"/>
              <w:right w:val="nil"/>
            </w:tcBorders>
          </w:tcPr>
          <w:p w14:paraId="7FDB99D0" w14:textId="77777777" w:rsidR="009F6C6C" w:rsidRPr="00DC519C" w:rsidRDefault="009F6C6C" w:rsidP="006007C6">
            <w:pPr>
              <w:keepNext/>
              <w:spacing w:before="120" w:after="120"/>
              <w:jc w:val="center"/>
              <w:rPr>
                <w:rFonts w:ascii="Arial" w:hAnsi="Arial" w:cs="Arial"/>
              </w:rPr>
            </w:pPr>
            <w:r w:rsidRPr="00DC519C">
              <w:rPr>
                <w:rFonts w:ascii="Arial" w:hAnsi="Arial"/>
              </w:rPr>
              <w:t>Oui</w:t>
            </w:r>
          </w:p>
        </w:tc>
        <w:tc>
          <w:tcPr>
            <w:tcW w:w="633" w:type="pct"/>
            <w:tcBorders>
              <w:left w:val="nil"/>
            </w:tcBorders>
          </w:tcPr>
          <w:p w14:paraId="26A8AD96" w14:textId="7D855294" w:rsidR="009F6C6C" w:rsidRPr="00DC519C" w:rsidRDefault="006406ED" w:rsidP="006007C6">
            <w:pPr>
              <w:keepNext/>
              <w:spacing w:before="120" w:after="120"/>
              <w:jc w:val="center"/>
              <w:rPr>
                <w:rFonts w:cs="Arial"/>
              </w:rPr>
            </w:pPr>
            <w:hyperlink r:id="rId8" w:anchor="8.a.1" w:history="1">
              <w:r w:rsidR="009F6C6C" w:rsidRPr="00DC519C">
                <w:rPr>
                  <w:rStyle w:val="Hyperlink"/>
                  <w:rFonts w:ascii="Arial" w:hAnsi="Arial"/>
                  <w:lang w:val="en-GB"/>
                </w:rPr>
                <w:t>01599</w:t>
              </w:r>
            </w:hyperlink>
          </w:p>
        </w:tc>
      </w:tr>
    </w:tbl>
    <w:p w14:paraId="78337A16" w14:textId="7F1D7400" w:rsidR="00AB69F3" w:rsidRPr="00DC519C" w:rsidRDefault="00AB69F3" w:rsidP="00700FB1">
      <w:pPr>
        <w:pStyle w:val="ListParagraph"/>
        <w:keepNext/>
        <w:numPr>
          <w:ilvl w:val="0"/>
          <w:numId w:val="2"/>
        </w:numPr>
        <w:spacing w:before="240" w:after="120"/>
        <w:ind w:left="567" w:hanging="567"/>
        <w:contextualSpacing w:val="0"/>
        <w:jc w:val="both"/>
        <w:rPr>
          <w:rFonts w:ascii="Arial" w:hAnsi="Arial" w:cs="Arial"/>
          <w:snapToGrid w:val="0"/>
          <w:sz w:val="22"/>
          <w:szCs w:val="22"/>
        </w:rPr>
      </w:pPr>
      <w:r w:rsidRPr="00DC519C">
        <w:rPr>
          <w:rFonts w:ascii="Arial" w:hAnsi="Arial"/>
          <w:snapToGrid w:val="0"/>
          <w:sz w:val="22"/>
        </w:rPr>
        <w:t>L</w:t>
      </w:r>
      <w:r w:rsidR="003D1909" w:rsidRPr="00DC519C">
        <w:rPr>
          <w:rFonts w:ascii="Arial" w:hAnsi="Arial"/>
          <w:snapToGrid w:val="0"/>
          <w:sz w:val="22"/>
        </w:rPr>
        <w:t>’</w:t>
      </w:r>
      <w:r w:rsidRPr="00DC519C">
        <w:rPr>
          <w:rFonts w:ascii="Arial" w:hAnsi="Arial"/>
          <w:snapToGrid w:val="0"/>
          <w:sz w:val="22"/>
        </w:rPr>
        <w:t>Organe d</w:t>
      </w:r>
      <w:r w:rsidR="003D1909" w:rsidRPr="00DC519C">
        <w:rPr>
          <w:rFonts w:ascii="Arial" w:hAnsi="Arial"/>
          <w:snapToGrid w:val="0"/>
          <w:sz w:val="22"/>
        </w:rPr>
        <w:t>’</w:t>
      </w:r>
      <w:r w:rsidRPr="00DC519C">
        <w:rPr>
          <w:rFonts w:ascii="Arial" w:hAnsi="Arial"/>
          <w:snapToGrid w:val="0"/>
          <w:sz w:val="22"/>
        </w:rPr>
        <w:t xml:space="preserve">évaluation </w:t>
      </w:r>
      <w:r w:rsidRPr="00DC519C">
        <w:rPr>
          <w:rFonts w:ascii="Arial" w:hAnsi="Arial"/>
          <w:snapToGrid w:val="0"/>
          <w:sz w:val="22"/>
          <w:szCs w:val="22"/>
        </w:rPr>
        <w:t xml:space="preserve">recommande au Comité de renvoyer </w:t>
      </w:r>
      <w:r w:rsidR="002C3161" w:rsidRPr="00DC519C">
        <w:rPr>
          <w:rFonts w:ascii="Arial" w:hAnsi="Arial"/>
          <w:snapToGrid w:val="0"/>
          <w:sz w:val="22"/>
          <w:szCs w:val="22"/>
        </w:rPr>
        <w:t xml:space="preserve">la </w:t>
      </w:r>
      <w:r w:rsidRPr="00DC519C">
        <w:rPr>
          <w:rFonts w:ascii="Arial" w:hAnsi="Arial"/>
          <w:snapToGrid w:val="0"/>
          <w:sz w:val="22"/>
          <w:szCs w:val="22"/>
        </w:rPr>
        <w:t xml:space="preserve">candidature suivante </w:t>
      </w:r>
      <w:r w:rsidR="002C3161" w:rsidRPr="00DC519C">
        <w:rPr>
          <w:rFonts w:ascii="Arial" w:hAnsi="Arial"/>
          <w:snapToGrid w:val="0"/>
          <w:sz w:val="22"/>
          <w:szCs w:val="22"/>
        </w:rPr>
        <w:t>à l’</w:t>
      </w:r>
      <w:r w:rsidRPr="00DC519C">
        <w:rPr>
          <w:rFonts w:ascii="Arial" w:hAnsi="Arial"/>
          <w:snapToGrid w:val="0"/>
          <w:sz w:val="22"/>
          <w:szCs w:val="22"/>
        </w:rPr>
        <w:t>État soumissionnaire :</w:t>
      </w:r>
    </w:p>
    <w:tbl>
      <w:tblPr>
        <w:tblW w:w="9317" w:type="dxa"/>
        <w:tblInd w:w="6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A0" w:firstRow="1" w:lastRow="0" w:firstColumn="1" w:lastColumn="0" w:noHBand="0" w:noVBand="0"/>
      </w:tblPr>
      <w:tblGrid>
        <w:gridCol w:w="1663"/>
        <w:gridCol w:w="1985"/>
        <w:gridCol w:w="3134"/>
        <w:gridCol w:w="1355"/>
        <w:gridCol w:w="1180"/>
      </w:tblGrid>
      <w:tr w:rsidR="00AB69F3" w:rsidRPr="00DC519C" w14:paraId="2EED70C3" w14:textId="77777777" w:rsidTr="008503C8">
        <w:trPr>
          <w:cantSplit/>
          <w:trHeight w:val="881"/>
          <w:tblHeader/>
        </w:trPr>
        <w:tc>
          <w:tcPr>
            <w:tcW w:w="892" w:type="pct"/>
            <w:tcBorders>
              <w:right w:val="nil"/>
            </w:tcBorders>
            <w:shd w:val="clear" w:color="auto" w:fill="BFBFBF"/>
            <w:vAlign w:val="center"/>
          </w:tcPr>
          <w:p w14:paraId="69DF8431" w14:textId="77777777" w:rsidR="00AB69F3" w:rsidRPr="00DC519C" w:rsidRDefault="00AB69F3" w:rsidP="003D1909">
            <w:pPr>
              <w:keepNext/>
              <w:spacing w:before="120" w:after="120"/>
              <w:jc w:val="center"/>
              <w:rPr>
                <w:rFonts w:cs="Arial"/>
                <w:color w:val="000000"/>
              </w:rPr>
            </w:pPr>
            <w:r w:rsidRPr="00DC519C">
              <w:rPr>
                <w:rFonts w:ascii="Arial" w:hAnsi="Arial"/>
                <w:b/>
              </w:rPr>
              <w:t xml:space="preserve">Projet </w:t>
            </w:r>
            <w:r w:rsidRPr="00DC519C">
              <w:rPr>
                <w:rFonts w:ascii="Arial" w:hAnsi="Arial"/>
                <w:b/>
                <w:bCs/>
              </w:rPr>
              <w:br/>
            </w:r>
            <w:r w:rsidRPr="00DC519C">
              <w:rPr>
                <w:rFonts w:ascii="Arial" w:hAnsi="Arial"/>
                <w:b/>
              </w:rPr>
              <w:t>de décision</w:t>
            </w:r>
          </w:p>
        </w:tc>
        <w:tc>
          <w:tcPr>
            <w:tcW w:w="1065" w:type="pct"/>
            <w:tcBorders>
              <w:left w:val="nil"/>
              <w:right w:val="nil"/>
            </w:tcBorders>
            <w:shd w:val="clear" w:color="auto" w:fill="BFBFBF"/>
            <w:vAlign w:val="center"/>
          </w:tcPr>
          <w:p w14:paraId="3EDF42B6" w14:textId="77777777" w:rsidR="00AB69F3" w:rsidRPr="00DC519C" w:rsidRDefault="00AB69F3" w:rsidP="003D1909">
            <w:pPr>
              <w:keepNext/>
              <w:spacing w:before="120" w:after="120"/>
              <w:jc w:val="center"/>
              <w:rPr>
                <w:rFonts w:cs="Arial"/>
                <w:color w:val="000000"/>
              </w:rPr>
            </w:pPr>
            <w:r w:rsidRPr="00DC519C">
              <w:rPr>
                <w:rFonts w:ascii="Arial" w:hAnsi="Arial"/>
                <w:b/>
              </w:rPr>
              <w:t>État soumissionnaire</w:t>
            </w:r>
          </w:p>
        </w:tc>
        <w:tc>
          <w:tcPr>
            <w:tcW w:w="1682" w:type="pct"/>
            <w:tcBorders>
              <w:left w:val="nil"/>
              <w:right w:val="nil"/>
            </w:tcBorders>
            <w:shd w:val="clear" w:color="auto" w:fill="BFBFBF"/>
            <w:vAlign w:val="center"/>
          </w:tcPr>
          <w:p w14:paraId="160F2413" w14:textId="77777777" w:rsidR="00AB69F3" w:rsidRPr="00DC519C" w:rsidRDefault="00AB69F3" w:rsidP="003D1909">
            <w:pPr>
              <w:keepNext/>
              <w:spacing w:before="120" w:after="120"/>
              <w:jc w:val="center"/>
              <w:rPr>
                <w:rFonts w:cs="Arial"/>
                <w:color w:val="000000"/>
              </w:rPr>
            </w:pPr>
            <w:r w:rsidRPr="00DC519C">
              <w:rPr>
                <w:rFonts w:ascii="Arial" w:hAnsi="Arial"/>
                <w:b/>
              </w:rPr>
              <w:t>Candidature</w:t>
            </w:r>
          </w:p>
        </w:tc>
        <w:tc>
          <w:tcPr>
            <w:tcW w:w="727" w:type="pct"/>
            <w:tcBorders>
              <w:left w:val="nil"/>
              <w:right w:val="nil"/>
            </w:tcBorders>
            <w:shd w:val="clear" w:color="auto" w:fill="BFBFBF"/>
          </w:tcPr>
          <w:p w14:paraId="5DE7AC37" w14:textId="77777777" w:rsidR="00AB69F3" w:rsidRPr="00DC519C" w:rsidRDefault="00AB69F3" w:rsidP="003D1909">
            <w:pPr>
              <w:keepNext/>
              <w:spacing w:before="120" w:after="120"/>
              <w:jc w:val="center"/>
              <w:rPr>
                <w:rFonts w:cs="Arial"/>
                <w:b/>
                <w:bCs/>
                <w:color w:val="000000"/>
              </w:rPr>
            </w:pPr>
            <w:r w:rsidRPr="00DC519C">
              <w:rPr>
                <w:rFonts w:ascii="Arial" w:hAnsi="Arial"/>
                <w:b/>
              </w:rPr>
              <w:t>Concernée par le dialogue</w:t>
            </w:r>
            <w:r w:rsidRPr="00DC519C">
              <w:rPr>
                <w:b/>
                <w:bCs/>
                <w:color w:val="000000"/>
                <w:lang w:eastAsia="en-GB"/>
              </w:rPr>
              <w:t xml:space="preserve"> </w:t>
            </w:r>
          </w:p>
        </w:tc>
        <w:tc>
          <w:tcPr>
            <w:tcW w:w="633" w:type="pct"/>
            <w:tcBorders>
              <w:left w:val="nil"/>
              <w:right w:val="single" w:sz="4" w:space="0" w:color="auto"/>
            </w:tcBorders>
            <w:shd w:val="clear" w:color="auto" w:fill="BFBFBF"/>
            <w:vAlign w:val="center"/>
          </w:tcPr>
          <w:p w14:paraId="1BC6A67B" w14:textId="77777777" w:rsidR="00AB69F3" w:rsidRPr="00DC519C" w:rsidRDefault="00AB69F3">
            <w:pPr>
              <w:keepNext/>
              <w:spacing w:before="120" w:after="120"/>
              <w:jc w:val="center"/>
              <w:rPr>
                <w:rFonts w:cs="Arial"/>
                <w:b/>
                <w:bCs/>
                <w:color w:val="000000"/>
              </w:rPr>
            </w:pPr>
            <w:r w:rsidRPr="00DC519C">
              <w:rPr>
                <w:rFonts w:ascii="Arial" w:hAnsi="Arial"/>
                <w:b/>
              </w:rPr>
              <w:t>Dossier n°</w:t>
            </w:r>
          </w:p>
        </w:tc>
      </w:tr>
      <w:tr w:rsidR="00AB69F3" w:rsidRPr="002B6C7D" w14:paraId="7C386773" w14:textId="77777777" w:rsidTr="008503C8">
        <w:trPr>
          <w:cantSplit/>
        </w:trPr>
        <w:tc>
          <w:tcPr>
            <w:tcW w:w="892" w:type="pct"/>
            <w:tcBorders>
              <w:right w:val="nil"/>
            </w:tcBorders>
          </w:tcPr>
          <w:p w14:paraId="77046F27" w14:textId="7FB826D3" w:rsidR="00AB69F3" w:rsidRPr="00DC519C" w:rsidRDefault="006406ED" w:rsidP="003D1909">
            <w:pPr>
              <w:keepNext/>
              <w:spacing w:before="120" w:after="120"/>
              <w:jc w:val="center"/>
            </w:pPr>
            <w:hyperlink w:anchor="Decision_9a2" w:history="1">
              <w:r w:rsidR="003B2AB8" w:rsidRPr="00DC519C">
                <w:rPr>
                  <w:rStyle w:val="Hyperlink"/>
                  <w:rFonts w:ascii="Arial" w:hAnsi="Arial"/>
                </w:rPr>
                <w:t xml:space="preserve">15.COM </w:t>
              </w:r>
              <w:r w:rsidR="00DC519C" w:rsidRPr="00DC519C">
                <w:rPr>
                  <w:rStyle w:val="Hyperlink"/>
                  <w:rFonts w:ascii="Arial" w:hAnsi="Arial"/>
                </w:rPr>
                <w:t>8</w:t>
              </w:r>
              <w:r w:rsidR="003B2AB8" w:rsidRPr="00DC519C">
                <w:rPr>
                  <w:rStyle w:val="Hyperlink"/>
                  <w:rFonts w:ascii="Arial" w:hAnsi="Arial"/>
                </w:rPr>
                <w:t>.a.2</w:t>
              </w:r>
            </w:hyperlink>
          </w:p>
        </w:tc>
        <w:tc>
          <w:tcPr>
            <w:tcW w:w="1065" w:type="pct"/>
            <w:tcBorders>
              <w:left w:val="nil"/>
              <w:right w:val="nil"/>
            </w:tcBorders>
          </w:tcPr>
          <w:p w14:paraId="00291499" w14:textId="77777777" w:rsidR="00AB69F3" w:rsidRPr="00DC519C" w:rsidRDefault="003B2AB8" w:rsidP="003D1909">
            <w:pPr>
              <w:keepNext/>
              <w:spacing w:before="120" w:after="120"/>
              <w:jc w:val="center"/>
              <w:rPr>
                <w:rFonts w:cs="Arial"/>
              </w:rPr>
            </w:pPr>
            <w:r w:rsidRPr="00DC519C">
              <w:rPr>
                <w:rFonts w:ascii="Arial" w:hAnsi="Arial"/>
              </w:rPr>
              <w:t>Géorgie</w:t>
            </w:r>
          </w:p>
        </w:tc>
        <w:tc>
          <w:tcPr>
            <w:tcW w:w="1682" w:type="pct"/>
            <w:tcBorders>
              <w:left w:val="nil"/>
              <w:right w:val="nil"/>
            </w:tcBorders>
          </w:tcPr>
          <w:p w14:paraId="4307D493" w14:textId="2EB4BFDB" w:rsidR="00AB69F3" w:rsidRPr="00DC519C" w:rsidRDefault="003B2AB8" w:rsidP="003D1909">
            <w:pPr>
              <w:keepNext/>
              <w:spacing w:before="120" w:after="120"/>
              <w:rPr>
                <w:rFonts w:cs="Arial"/>
              </w:rPr>
            </w:pPr>
            <w:r w:rsidRPr="00DC519C">
              <w:rPr>
                <w:rFonts w:ascii="Arial" w:hAnsi="Arial"/>
                <w:lang w:eastAsia="fr-FR"/>
              </w:rPr>
              <w:t>La culture du blé en Géorgie, culture et utilisation d</w:t>
            </w:r>
            <w:r w:rsidR="003D1909" w:rsidRPr="00DC519C">
              <w:rPr>
                <w:rFonts w:ascii="Arial" w:hAnsi="Arial"/>
                <w:lang w:eastAsia="fr-FR"/>
              </w:rPr>
              <w:t>’</w:t>
            </w:r>
            <w:r w:rsidRPr="00DC519C">
              <w:rPr>
                <w:rFonts w:ascii="Arial" w:hAnsi="Arial"/>
                <w:lang w:eastAsia="fr-FR"/>
              </w:rPr>
              <w:t>espèces endémiques et de variétés locales de blé en Géorgie</w:t>
            </w:r>
          </w:p>
        </w:tc>
        <w:tc>
          <w:tcPr>
            <w:tcW w:w="727" w:type="pct"/>
            <w:tcBorders>
              <w:left w:val="nil"/>
              <w:right w:val="nil"/>
            </w:tcBorders>
          </w:tcPr>
          <w:p w14:paraId="1E72DE94" w14:textId="77777777" w:rsidR="00AB69F3" w:rsidRPr="00DC519C" w:rsidRDefault="00AB69F3" w:rsidP="003D1909">
            <w:pPr>
              <w:keepNext/>
              <w:spacing w:before="120" w:after="120"/>
              <w:jc w:val="center"/>
              <w:rPr>
                <w:rFonts w:ascii="Arial" w:hAnsi="Arial" w:cs="Arial"/>
              </w:rPr>
            </w:pPr>
          </w:p>
        </w:tc>
        <w:tc>
          <w:tcPr>
            <w:tcW w:w="633" w:type="pct"/>
            <w:tcBorders>
              <w:left w:val="nil"/>
            </w:tcBorders>
          </w:tcPr>
          <w:p w14:paraId="37D18718" w14:textId="6C1A7E3F" w:rsidR="00AB69F3" w:rsidRPr="005060FE" w:rsidRDefault="006406ED" w:rsidP="003D1909">
            <w:pPr>
              <w:keepNext/>
              <w:spacing w:before="120" w:after="120"/>
              <w:jc w:val="center"/>
            </w:pPr>
            <w:hyperlink r:id="rId9" w:anchor="8.a.2" w:history="1">
              <w:r w:rsidR="003B2AB8" w:rsidRPr="00DC519C">
                <w:rPr>
                  <w:rStyle w:val="Hyperlink"/>
                  <w:rFonts w:ascii="Arial" w:hAnsi="Arial"/>
                  <w:lang w:val="en-GB"/>
                </w:rPr>
                <w:t>01595</w:t>
              </w:r>
            </w:hyperlink>
          </w:p>
        </w:tc>
      </w:tr>
    </w:tbl>
    <w:tbl>
      <w:tblPr>
        <w:tblpPr w:leftFromText="180" w:rightFromText="180" w:vertAnchor="text" w:horzAnchor="margin" w:tblpXSpec="right" w:tblpY="1338"/>
        <w:tblW w:w="9412"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687"/>
        <w:gridCol w:w="11"/>
        <w:gridCol w:w="2056"/>
        <w:gridCol w:w="2852"/>
        <w:gridCol w:w="1694"/>
        <w:gridCol w:w="1112"/>
      </w:tblGrid>
      <w:tr w:rsidR="009F6C6C" w:rsidRPr="002B6C7D" w14:paraId="5167A42B" w14:textId="77777777" w:rsidTr="00700FB1">
        <w:tc>
          <w:tcPr>
            <w:tcW w:w="896" w:type="pct"/>
            <w:tcBorders>
              <w:right w:val="nil"/>
            </w:tcBorders>
            <w:shd w:val="clear" w:color="auto" w:fill="BFBFBF"/>
            <w:vAlign w:val="center"/>
          </w:tcPr>
          <w:p w14:paraId="3A428FEB" w14:textId="77777777" w:rsidR="009F6C6C" w:rsidRPr="002B6C7D" w:rsidRDefault="009F6C6C" w:rsidP="009F6C6C">
            <w:pPr>
              <w:keepNext/>
              <w:spacing w:before="120" w:after="120"/>
              <w:jc w:val="center"/>
              <w:rPr>
                <w:rFonts w:ascii="Arial" w:hAnsi="Arial" w:cs="Arial"/>
                <w:color w:val="000000"/>
              </w:rPr>
            </w:pPr>
            <w:r w:rsidRPr="002B6C7D">
              <w:rPr>
                <w:rFonts w:ascii="Arial" w:hAnsi="Arial"/>
                <w:b/>
                <w:color w:val="000000"/>
              </w:rPr>
              <w:t>Projet de</w:t>
            </w:r>
            <w:r w:rsidRPr="002B6C7D">
              <w:rPr>
                <w:rFonts w:ascii="Arial" w:hAnsi="Arial"/>
                <w:b/>
                <w:bCs/>
                <w:color w:val="000000"/>
              </w:rPr>
              <w:br/>
            </w:r>
            <w:r w:rsidRPr="002B6C7D">
              <w:rPr>
                <w:rFonts w:ascii="Arial" w:hAnsi="Arial"/>
                <w:b/>
                <w:color w:val="000000"/>
              </w:rPr>
              <w:t>décision</w:t>
            </w:r>
          </w:p>
        </w:tc>
        <w:tc>
          <w:tcPr>
            <w:tcW w:w="1098" w:type="pct"/>
            <w:gridSpan w:val="2"/>
            <w:tcBorders>
              <w:left w:val="nil"/>
              <w:right w:val="nil"/>
            </w:tcBorders>
            <w:shd w:val="clear" w:color="auto" w:fill="BFBFBF"/>
            <w:vAlign w:val="center"/>
          </w:tcPr>
          <w:p w14:paraId="2697EB1C" w14:textId="77777777" w:rsidR="009F6C6C" w:rsidRPr="002B6C7D" w:rsidRDefault="009F6C6C" w:rsidP="009F6C6C">
            <w:pPr>
              <w:keepNext/>
              <w:spacing w:before="120" w:after="120"/>
              <w:jc w:val="center"/>
              <w:rPr>
                <w:rFonts w:ascii="Arial" w:hAnsi="Arial" w:cs="Arial"/>
                <w:color w:val="000000"/>
              </w:rPr>
            </w:pPr>
            <w:r w:rsidRPr="002B6C7D">
              <w:rPr>
                <w:rFonts w:ascii="Arial" w:hAnsi="Arial"/>
                <w:b/>
                <w:color w:val="000000"/>
              </w:rPr>
              <w:t>État soumissionnaire</w:t>
            </w:r>
          </w:p>
        </w:tc>
        <w:tc>
          <w:tcPr>
            <w:tcW w:w="1515" w:type="pct"/>
            <w:tcBorders>
              <w:left w:val="nil"/>
              <w:right w:val="nil"/>
            </w:tcBorders>
            <w:shd w:val="clear" w:color="auto" w:fill="BFBFBF"/>
            <w:vAlign w:val="center"/>
          </w:tcPr>
          <w:p w14:paraId="2D23689D" w14:textId="77777777" w:rsidR="009F6C6C" w:rsidRPr="002B6C7D" w:rsidRDefault="009F6C6C" w:rsidP="009F6C6C">
            <w:pPr>
              <w:keepNext/>
              <w:spacing w:before="120" w:after="120"/>
              <w:jc w:val="center"/>
              <w:rPr>
                <w:rFonts w:ascii="Arial" w:hAnsi="Arial" w:cs="Arial"/>
                <w:color w:val="000000"/>
              </w:rPr>
            </w:pPr>
            <w:r w:rsidRPr="002B6C7D">
              <w:rPr>
                <w:rFonts w:ascii="Arial" w:hAnsi="Arial"/>
                <w:b/>
                <w:color w:val="000000"/>
              </w:rPr>
              <w:t>Candidature</w:t>
            </w:r>
          </w:p>
        </w:tc>
        <w:tc>
          <w:tcPr>
            <w:tcW w:w="900" w:type="pct"/>
            <w:tcBorders>
              <w:left w:val="nil"/>
              <w:right w:val="nil"/>
            </w:tcBorders>
            <w:shd w:val="clear" w:color="auto" w:fill="BFBFBF"/>
          </w:tcPr>
          <w:p w14:paraId="427127E6" w14:textId="77777777" w:rsidR="009F6C6C" w:rsidRPr="002B6C7D" w:rsidRDefault="009F6C6C" w:rsidP="009F6C6C">
            <w:pPr>
              <w:keepNext/>
              <w:spacing w:before="120" w:after="120"/>
              <w:jc w:val="center"/>
              <w:rPr>
                <w:rFonts w:ascii="Arial" w:hAnsi="Arial" w:cs="Arial"/>
                <w:b/>
                <w:bCs/>
                <w:color w:val="000000"/>
              </w:rPr>
            </w:pPr>
            <w:r w:rsidRPr="002B6C7D">
              <w:rPr>
                <w:rFonts w:ascii="Arial" w:hAnsi="Arial"/>
                <w:b/>
                <w:color w:val="000000"/>
              </w:rPr>
              <w:t>Montant demandé</w:t>
            </w:r>
          </w:p>
        </w:tc>
        <w:tc>
          <w:tcPr>
            <w:tcW w:w="591" w:type="pct"/>
            <w:tcBorders>
              <w:left w:val="nil"/>
              <w:right w:val="single" w:sz="4" w:space="0" w:color="auto"/>
            </w:tcBorders>
            <w:shd w:val="clear" w:color="auto" w:fill="BFBFBF"/>
            <w:vAlign w:val="center"/>
          </w:tcPr>
          <w:p w14:paraId="0A148CBB" w14:textId="77777777" w:rsidR="009F6C6C" w:rsidRPr="002B6C7D" w:rsidRDefault="009F6C6C" w:rsidP="00CB0FEE">
            <w:pPr>
              <w:keepNext/>
              <w:spacing w:before="120" w:after="120"/>
              <w:jc w:val="center"/>
              <w:rPr>
                <w:rFonts w:ascii="Arial" w:hAnsi="Arial" w:cs="Arial"/>
                <w:b/>
                <w:bCs/>
                <w:color w:val="000000"/>
              </w:rPr>
            </w:pPr>
            <w:r w:rsidRPr="002B6C7D">
              <w:rPr>
                <w:rFonts w:ascii="Arial" w:hAnsi="Arial"/>
                <w:b/>
                <w:color w:val="000000"/>
              </w:rPr>
              <w:t>Dossier n°</w:t>
            </w:r>
          </w:p>
        </w:tc>
      </w:tr>
      <w:tr w:rsidR="009F6C6C" w:rsidRPr="002B6C7D" w14:paraId="4ADACDED" w14:textId="77777777" w:rsidTr="009F6C6C">
        <w:tc>
          <w:tcPr>
            <w:tcW w:w="902" w:type="pct"/>
            <w:gridSpan w:val="2"/>
            <w:tcBorders>
              <w:right w:val="nil"/>
            </w:tcBorders>
          </w:tcPr>
          <w:p w14:paraId="1011F558" w14:textId="2DC3132B" w:rsidR="009F6C6C" w:rsidRPr="00DC519C" w:rsidRDefault="006406ED" w:rsidP="009F6C6C">
            <w:pPr>
              <w:keepNext/>
              <w:spacing w:before="120" w:after="120"/>
              <w:jc w:val="center"/>
              <w:rPr>
                <w:rFonts w:ascii="Arial" w:hAnsi="Arial" w:cs="Arial"/>
                <w:bCs/>
                <w:color w:val="000000"/>
              </w:rPr>
            </w:pPr>
            <w:hyperlink w:anchor="Decision_9a4" w:history="1">
              <w:r w:rsidR="009F6C6C" w:rsidRPr="00DC519C">
                <w:rPr>
                  <w:rStyle w:val="Hyperlink"/>
                  <w:rFonts w:ascii="Arial" w:hAnsi="Arial"/>
                </w:rPr>
                <w:t xml:space="preserve">15.COM </w:t>
              </w:r>
              <w:r w:rsidR="00DC519C" w:rsidRPr="00DC519C">
                <w:rPr>
                  <w:rStyle w:val="Hyperlink"/>
                  <w:rFonts w:ascii="Arial" w:hAnsi="Arial"/>
                </w:rPr>
                <w:t>8</w:t>
              </w:r>
              <w:r w:rsidR="009F6C6C" w:rsidRPr="00DC519C">
                <w:rPr>
                  <w:rStyle w:val="Hyperlink"/>
                  <w:rFonts w:ascii="Arial" w:hAnsi="Arial"/>
                </w:rPr>
                <w:t>.a.4</w:t>
              </w:r>
            </w:hyperlink>
          </w:p>
        </w:tc>
        <w:tc>
          <w:tcPr>
            <w:tcW w:w="1092" w:type="pct"/>
            <w:tcBorders>
              <w:left w:val="nil"/>
              <w:right w:val="nil"/>
            </w:tcBorders>
          </w:tcPr>
          <w:p w14:paraId="1BFDDDC7" w14:textId="77777777" w:rsidR="009F6C6C" w:rsidRPr="00DC519C" w:rsidRDefault="009F6C6C" w:rsidP="009F6C6C">
            <w:pPr>
              <w:keepNext/>
              <w:spacing w:before="120" w:after="120"/>
              <w:jc w:val="center"/>
              <w:rPr>
                <w:rFonts w:ascii="Arial" w:hAnsi="Arial" w:cs="Arial"/>
                <w:color w:val="000000"/>
              </w:rPr>
            </w:pPr>
            <w:r w:rsidRPr="00DC519C">
              <w:rPr>
                <w:rFonts w:ascii="Arial" w:hAnsi="Arial"/>
              </w:rPr>
              <w:t>Namibie</w:t>
            </w:r>
          </w:p>
        </w:tc>
        <w:tc>
          <w:tcPr>
            <w:tcW w:w="1515" w:type="pct"/>
            <w:tcBorders>
              <w:left w:val="nil"/>
              <w:right w:val="nil"/>
            </w:tcBorders>
          </w:tcPr>
          <w:p w14:paraId="7531E698" w14:textId="19D7DF99" w:rsidR="009F6C6C" w:rsidRPr="00DC519C" w:rsidRDefault="009F6C6C" w:rsidP="009F6C6C">
            <w:pPr>
              <w:keepNext/>
              <w:spacing w:before="120" w:after="120"/>
              <w:rPr>
                <w:rFonts w:ascii="Arial" w:hAnsi="Arial" w:cs="Arial"/>
                <w:color w:val="000000"/>
              </w:rPr>
            </w:pPr>
            <w:r w:rsidRPr="00DC519C">
              <w:rPr>
                <w:rFonts w:ascii="Arial" w:hAnsi="Arial"/>
              </w:rPr>
              <w:t>Les connaissances et les savoir-faire</w:t>
            </w:r>
            <w:r w:rsidR="00EE2781" w:rsidRPr="00DC519C">
              <w:rPr>
                <w:rFonts w:ascii="Arial" w:hAnsi="Arial"/>
              </w:rPr>
              <w:t xml:space="preserve"> </w:t>
            </w:r>
            <w:r w:rsidR="00E7408A" w:rsidRPr="00DC519C">
              <w:rPr>
                <w:rFonts w:ascii="Arial" w:hAnsi="Arial"/>
              </w:rPr>
              <w:t xml:space="preserve">musicaux </w:t>
            </w:r>
            <w:r w:rsidR="00EE2781" w:rsidRPr="00DC519C">
              <w:rPr>
                <w:rFonts w:ascii="Arial" w:hAnsi="Arial"/>
              </w:rPr>
              <w:t>ancestraux</w:t>
            </w:r>
            <w:r w:rsidRPr="00DC519C">
              <w:rPr>
                <w:rFonts w:ascii="Arial" w:hAnsi="Arial"/>
              </w:rPr>
              <w:t xml:space="preserve"> d’</w:t>
            </w:r>
            <w:proofErr w:type="spellStart"/>
            <w:r w:rsidRPr="00DC519C">
              <w:rPr>
                <w:rFonts w:ascii="Arial" w:hAnsi="Arial"/>
              </w:rPr>
              <w:t>Aixan</w:t>
            </w:r>
            <w:proofErr w:type="spellEnd"/>
            <w:r w:rsidRPr="00DC519C">
              <w:rPr>
                <w:rFonts w:ascii="Arial" w:hAnsi="Arial"/>
              </w:rPr>
              <w:t xml:space="preserve"> /</w:t>
            </w:r>
            <w:proofErr w:type="spellStart"/>
            <w:r w:rsidRPr="00DC519C">
              <w:rPr>
                <w:rFonts w:ascii="Arial" w:hAnsi="Arial"/>
              </w:rPr>
              <w:t>gâna</w:t>
            </w:r>
            <w:proofErr w:type="spellEnd"/>
            <w:r w:rsidRPr="00DC519C">
              <w:rPr>
                <w:rFonts w:ascii="Arial" w:hAnsi="Arial"/>
              </w:rPr>
              <w:t>/</w:t>
            </w:r>
            <w:proofErr w:type="spellStart"/>
            <w:r w:rsidRPr="00DC519C">
              <w:rPr>
                <w:rFonts w:ascii="Arial" w:hAnsi="Arial"/>
              </w:rPr>
              <w:t>ob</w:t>
            </w:r>
            <w:proofErr w:type="spellEnd"/>
            <w:r w:rsidRPr="00DC519C">
              <w:rPr>
                <w:rFonts w:ascii="Arial" w:hAnsi="Arial"/>
              </w:rPr>
              <w:t xml:space="preserve"> #ans </w:t>
            </w:r>
            <w:proofErr w:type="spellStart"/>
            <w:r w:rsidRPr="00DC519C">
              <w:rPr>
                <w:rFonts w:ascii="Arial" w:hAnsi="Arial"/>
              </w:rPr>
              <w:t>tsî</w:t>
            </w:r>
            <w:proofErr w:type="spellEnd"/>
            <w:r w:rsidRPr="00DC519C">
              <w:rPr>
                <w:rFonts w:ascii="Arial" w:hAnsi="Arial"/>
              </w:rPr>
              <w:t xml:space="preserve"> //</w:t>
            </w:r>
            <w:proofErr w:type="spellStart"/>
            <w:r w:rsidRPr="00DC519C">
              <w:rPr>
                <w:rFonts w:ascii="Arial" w:hAnsi="Arial"/>
              </w:rPr>
              <w:t>khasigu</w:t>
            </w:r>
            <w:proofErr w:type="spellEnd"/>
          </w:p>
        </w:tc>
        <w:tc>
          <w:tcPr>
            <w:tcW w:w="900" w:type="pct"/>
            <w:tcBorders>
              <w:left w:val="nil"/>
            </w:tcBorders>
          </w:tcPr>
          <w:p w14:paraId="1668441E" w14:textId="77777777" w:rsidR="009F6C6C" w:rsidRPr="00DC519C" w:rsidRDefault="009F6C6C" w:rsidP="009F6C6C">
            <w:pPr>
              <w:keepNext/>
              <w:spacing w:before="120" w:after="120"/>
              <w:jc w:val="center"/>
              <w:rPr>
                <w:rFonts w:ascii="Arial" w:hAnsi="Arial" w:cs="Arial"/>
              </w:rPr>
            </w:pPr>
            <w:r w:rsidRPr="00DC519C">
              <w:rPr>
                <w:rFonts w:ascii="Arial" w:hAnsi="Arial"/>
              </w:rPr>
              <w:t>99 329 dollars des États-Unis</w:t>
            </w:r>
          </w:p>
        </w:tc>
        <w:tc>
          <w:tcPr>
            <w:tcW w:w="591" w:type="pct"/>
            <w:tcBorders>
              <w:left w:val="nil"/>
              <w:right w:val="single" w:sz="4" w:space="0" w:color="auto"/>
            </w:tcBorders>
          </w:tcPr>
          <w:p w14:paraId="25D16A20" w14:textId="78E185CB" w:rsidR="009F6C6C" w:rsidRPr="00DC519C" w:rsidRDefault="006406ED" w:rsidP="009F6C6C">
            <w:pPr>
              <w:keepNext/>
              <w:spacing w:before="120" w:after="120"/>
              <w:jc w:val="center"/>
              <w:rPr>
                <w:rStyle w:val="Hyperlink"/>
                <w:rFonts w:ascii="Arial" w:hAnsi="Arial"/>
                <w:lang w:val="en-GB"/>
              </w:rPr>
            </w:pPr>
            <w:hyperlink r:id="rId10" w:anchor="8.a.4" w:history="1">
              <w:r w:rsidR="009F6C6C" w:rsidRPr="00DC519C">
                <w:rPr>
                  <w:rStyle w:val="Hyperlink"/>
                  <w:rFonts w:ascii="Arial" w:hAnsi="Arial"/>
                  <w:lang w:val="en-GB"/>
                </w:rPr>
                <w:t>01540</w:t>
              </w:r>
            </w:hyperlink>
          </w:p>
          <w:p w14:paraId="6DE101B3" w14:textId="26F00470" w:rsidR="000F7AC6" w:rsidRPr="00DC519C" w:rsidRDefault="006406ED" w:rsidP="000F7AC6">
            <w:pPr>
              <w:keepNext/>
              <w:spacing w:before="120" w:after="120"/>
              <w:jc w:val="center"/>
              <w:rPr>
                <w:rStyle w:val="Hyperlink"/>
                <w:rFonts w:ascii="Arial" w:hAnsi="Arial" w:cs="Arial"/>
                <w:lang w:val="en-GB"/>
              </w:rPr>
            </w:pPr>
            <w:hyperlink r:id="rId11" w:anchor="8.a.4" w:history="1">
              <w:r w:rsidR="000F7AC6" w:rsidRPr="00615BB9">
                <w:rPr>
                  <w:rStyle w:val="Hyperlink"/>
                  <w:rFonts w:ascii="Arial" w:hAnsi="Arial" w:cs="Arial"/>
                  <w:lang w:val="en-GB"/>
                </w:rPr>
                <w:t>01639</w:t>
              </w:r>
            </w:hyperlink>
          </w:p>
          <w:p w14:paraId="3909DFC8" w14:textId="71CB7842" w:rsidR="000F7AC6" w:rsidRPr="00DC519C" w:rsidRDefault="000F7AC6" w:rsidP="009F6C6C">
            <w:pPr>
              <w:keepNext/>
              <w:spacing w:before="120" w:after="120"/>
              <w:jc w:val="center"/>
              <w:rPr>
                <w:rFonts w:ascii="Arial" w:hAnsi="Arial" w:cs="Arial"/>
              </w:rPr>
            </w:pPr>
          </w:p>
        </w:tc>
      </w:tr>
    </w:tbl>
    <w:p w14:paraId="786EAF7A" w14:textId="02B04027" w:rsidR="00AC783C" w:rsidRPr="002B6C7D" w:rsidRDefault="00AC783C" w:rsidP="00700FB1">
      <w:pPr>
        <w:pStyle w:val="ListParagraph"/>
        <w:numPr>
          <w:ilvl w:val="0"/>
          <w:numId w:val="2"/>
        </w:numPr>
        <w:spacing w:before="240" w:after="120"/>
        <w:ind w:left="567" w:hanging="567"/>
        <w:contextualSpacing w:val="0"/>
        <w:jc w:val="both"/>
        <w:rPr>
          <w:rFonts w:ascii="Arial" w:hAnsi="Arial"/>
          <w:snapToGrid w:val="0"/>
          <w:sz w:val="22"/>
        </w:rPr>
      </w:pPr>
      <w:r w:rsidRPr="002B6C7D">
        <w:rPr>
          <w:rFonts w:ascii="Arial" w:hAnsi="Arial"/>
          <w:snapToGrid w:val="0"/>
          <w:sz w:val="22"/>
        </w:rPr>
        <w:t>L</w:t>
      </w:r>
      <w:r w:rsidR="003D1909">
        <w:rPr>
          <w:rFonts w:ascii="Arial" w:hAnsi="Arial"/>
          <w:snapToGrid w:val="0"/>
          <w:sz w:val="22"/>
        </w:rPr>
        <w:t>’</w:t>
      </w:r>
      <w:r w:rsidRPr="002B6C7D">
        <w:rPr>
          <w:rFonts w:ascii="Arial" w:hAnsi="Arial"/>
          <w:snapToGrid w:val="0"/>
          <w:sz w:val="22"/>
        </w:rPr>
        <w:t>Organe d</w:t>
      </w:r>
      <w:r w:rsidR="003D1909">
        <w:rPr>
          <w:rFonts w:ascii="Arial" w:hAnsi="Arial"/>
          <w:snapToGrid w:val="0"/>
          <w:sz w:val="22"/>
        </w:rPr>
        <w:t>’</w:t>
      </w:r>
      <w:r w:rsidRPr="002B6C7D">
        <w:rPr>
          <w:rFonts w:ascii="Arial" w:hAnsi="Arial"/>
          <w:snapToGrid w:val="0"/>
          <w:sz w:val="22"/>
        </w:rPr>
        <w:t>évaluation recommande au Comité d</w:t>
      </w:r>
      <w:r w:rsidR="003D1909">
        <w:rPr>
          <w:rFonts w:ascii="Arial" w:hAnsi="Arial"/>
          <w:snapToGrid w:val="0"/>
          <w:sz w:val="22"/>
        </w:rPr>
        <w:t>’</w:t>
      </w:r>
      <w:r w:rsidRPr="002B6C7D">
        <w:rPr>
          <w:rFonts w:ascii="Arial" w:hAnsi="Arial"/>
          <w:snapToGrid w:val="0"/>
          <w:sz w:val="22"/>
        </w:rPr>
        <w:t xml:space="preserve">inscrire </w:t>
      </w:r>
      <w:r w:rsidR="00316A01">
        <w:rPr>
          <w:rFonts w:ascii="Arial" w:hAnsi="Arial"/>
          <w:snapToGrid w:val="0"/>
          <w:sz w:val="22"/>
        </w:rPr>
        <w:t>l’élément</w:t>
      </w:r>
      <w:r w:rsidRPr="002B6C7D">
        <w:rPr>
          <w:rFonts w:ascii="Arial" w:hAnsi="Arial"/>
          <w:snapToGrid w:val="0"/>
          <w:sz w:val="22"/>
        </w:rPr>
        <w:t xml:space="preserve"> suivant </w:t>
      </w:r>
      <w:r w:rsidRPr="002B6C7D">
        <w:rPr>
          <w:rFonts w:ascii="Arial" w:hAnsi="Arial"/>
          <w:sz w:val="22"/>
        </w:rPr>
        <w:t xml:space="preserve">sur </w:t>
      </w:r>
      <w:r w:rsidRPr="002B6C7D">
        <w:rPr>
          <w:rFonts w:ascii="Arial" w:hAnsi="Arial"/>
          <w:snapToGrid w:val="0"/>
          <w:sz w:val="22"/>
        </w:rPr>
        <w:t>la Liste du patrimoine culturel immatériel nécessitant une sauvegarde urgente et d</w:t>
      </w:r>
      <w:r w:rsidR="003D1909">
        <w:rPr>
          <w:rFonts w:ascii="Arial" w:hAnsi="Arial"/>
          <w:snapToGrid w:val="0"/>
          <w:sz w:val="22"/>
        </w:rPr>
        <w:t>’</w:t>
      </w:r>
      <w:r w:rsidRPr="002B6C7D">
        <w:rPr>
          <w:rFonts w:ascii="Arial" w:hAnsi="Arial"/>
          <w:snapToGrid w:val="0"/>
          <w:sz w:val="22"/>
        </w:rPr>
        <w:t>approuver la demande d</w:t>
      </w:r>
      <w:r w:rsidR="003D1909">
        <w:rPr>
          <w:rFonts w:ascii="Arial" w:hAnsi="Arial"/>
          <w:snapToGrid w:val="0"/>
          <w:sz w:val="22"/>
        </w:rPr>
        <w:t>’</w:t>
      </w:r>
      <w:r w:rsidRPr="002B6C7D">
        <w:rPr>
          <w:rFonts w:ascii="Arial" w:hAnsi="Arial"/>
          <w:snapToGrid w:val="0"/>
          <w:sz w:val="22"/>
        </w:rPr>
        <w:t>assistance internationale suivante pour mettre en œuvre le plan de sauvegarde proposé :</w:t>
      </w:r>
    </w:p>
    <w:p w14:paraId="7A7F696B" w14:textId="216A7574" w:rsidR="00AB69F3" w:rsidRDefault="00AB69F3" w:rsidP="00700FB1">
      <w:pPr>
        <w:pStyle w:val="ListParagraph"/>
        <w:keepNext/>
        <w:keepLines/>
        <w:widowControl w:val="0"/>
        <w:numPr>
          <w:ilvl w:val="0"/>
          <w:numId w:val="2"/>
        </w:numPr>
        <w:spacing w:before="240"/>
        <w:ind w:left="567" w:hanging="567"/>
        <w:jc w:val="both"/>
        <w:rPr>
          <w:rFonts w:ascii="Arial" w:hAnsi="Arial"/>
          <w:snapToGrid w:val="0"/>
          <w:sz w:val="22"/>
        </w:rPr>
      </w:pPr>
      <w:r w:rsidRPr="002B6C7D">
        <w:rPr>
          <w:rFonts w:ascii="Arial" w:hAnsi="Arial"/>
          <w:snapToGrid w:val="0"/>
          <w:sz w:val="22"/>
        </w:rPr>
        <w:lastRenderedPageBreak/>
        <w:t>L</w:t>
      </w:r>
      <w:r w:rsidR="003D1909">
        <w:rPr>
          <w:rFonts w:ascii="Arial" w:hAnsi="Arial"/>
          <w:snapToGrid w:val="0"/>
          <w:sz w:val="22"/>
        </w:rPr>
        <w:t>’</w:t>
      </w:r>
      <w:r w:rsidRPr="002B6C7D">
        <w:rPr>
          <w:rFonts w:ascii="Arial" w:hAnsi="Arial"/>
          <w:snapToGrid w:val="0"/>
          <w:sz w:val="22"/>
        </w:rPr>
        <w:t>Organe d</w:t>
      </w:r>
      <w:r w:rsidR="003D1909">
        <w:rPr>
          <w:rFonts w:ascii="Arial" w:hAnsi="Arial"/>
          <w:snapToGrid w:val="0"/>
          <w:sz w:val="22"/>
        </w:rPr>
        <w:t>’</w:t>
      </w:r>
      <w:r w:rsidRPr="002B6C7D">
        <w:rPr>
          <w:rFonts w:ascii="Arial" w:hAnsi="Arial"/>
          <w:snapToGrid w:val="0"/>
          <w:sz w:val="22"/>
        </w:rPr>
        <w:t>évaluation recommande au Comité de renvoyer</w:t>
      </w:r>
      <w:r w:rsidR="003D1909">
        <w:rPr>
          <w:rFonts w:ascii="Arial" w:hAnsi="Arial"/>
          <w:snapToGrid w:val="0"/>
          <w:sz w:val="22"/>
        </w:rPr>
        <w:t xml:space="preserve"> à l’État soumissionnaire</w:t>
      </w:r>
      <w:r w:rsidRPr="002B6C7D">
        <w:rPr>
          <w:rFonts w:ascii="Arial" w:hAnsi="Arial"/>
          <w:snapToGrid w:val="0"/>
          <w:sz w:val="22"/>
        </w:rPr>
        <w:t xml:space="preserve"> la candidature suivante pour </w:t>
      </w:r>
      <w:r w:rsidRPr="002B6C7D">
        <w:rPr>
          <w:rFonts w:ascii="Arial" w:hAnsi="Arial"/>
          <w:sz w:val="22"/>
        </w:rPr>
        <w:t xml:space="preserve">inscription sur </w:t>
      </w:r>
      <w:r w:rsidRPr="002B6C7D">
        <w:rPr>
          <w:rFonts w:ascii="Arial" w:hAnsi="Arial"/>
          <w:snapToGrid w:val="0"/>
          <w:sz w:val="22"/>
        </w:rPr>
        <w:t>la Liste du patrimoine culturel immatériel nécessitant une sauvegarde urgente et de renvoyer la demande d</w:t>
      </w:r>
      <w:r w:rsidR="003D1909">
        <w:rPr>
          <w:rFonts w:ascii="Arial" w:hAnsi="Arial"/>
          <w:snapToGrid w:val="0"/>
          <w:sz w:val="22"/>
        </w:rPr>
        <w:t>’</w:t>
      </w:r>
      <w:r w:rsidRPr="002B6C7D">
        <w:rPr>
          <w:rFonts w:ascii="Arial" w:hAnsi="Arial"/>
          <w:snapToGrid w:val="0"/>
          <w:sz w:val="22"/>
        </w:rPr>
        <w:t>assistance internationale suivante pour mettre en œuvre le plan de sauvegarde proposé :</w:t>
      </w:r>
    </w:p>
    <w:tbl>
      <w:tblPr>
        <w:tblpPr w:leftFromText="180" w:rightFromText="180" w:vertAnchor="text" w:horzAnchor="page" w:tblpX="1664" w:tblpY="269"/>
        <w:tblW w:w="4724" w:type="pct"/>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687"/>
        <w:gridCol w:w="11"/>
        <w:gridCol w:w="2056"/>
        <w:gridCol w:w="2852"/>
        <w:gridCol w:w="1694"/>
        <w:gridCol w:w="1112"/>
      </w:tblGrid>
      <w:tr w:rsidR="009F6C6C" w:rsidRPr="002B6C7D" w14:paraId="7DC339F9" w14:textId="77777777" w:rsidTr="00700FB1">
        <w:trPr>
          <w:cantSplit/>
          <w:tblHeader/>
        </w:trPr>
        <w:tc>
          <w:tcPr>
            <w:tcW w:w="896" w:type="pct"/>
            <w:tcBorders>
              <w:right w:val="nil"/>
            </w:tcBorders>
            <w:shd w:val="clear" w:color="auto" w:fill="BFBFBF"/>
            <w:vAlign w:val="center"/>
          </w:tcPr>
          <w:p w14:paraId="70024453" w14:textId="77777777" w:rsidR="009F6C6C" w:rsidRPr="002B6C7D" w:rsidRDefault="009F6C6C" w:rsidP="00F5678E">
            <w:pPr>
              <w:keepNext/>
              <w:spacing w:before="120" w:after="120"/>
              <w:jc w:val="center"/>
              <w:rPr>
                <w:rFonts w:ascii="Arial" w:hAnsi="Arial" w:cs="Arial"/>
                <w:color w:val="000000"/>
              </w:rPr>
            </w:pPr>
            <w:r w:rsidRPr="002B6C7D">
              <w:rPr>
                <w:rFonts w:ascii="Arial" w:hAnsi="Arial"/>
                <w:b/>
                <w:color w:val="000000"/>
              </w:rPr>
              <w:t>Projet de</w:t>
            </w:r>
            <w:r w:rsidRPr="002B6C7D">
              <w:rPr>
                <w:rFonts w:ascii="Arial" w:hAnsi="Arial"/>
                <w:b/>
                <w:bCs/>
                <w:color w:val="000000"/>
              </w:rPr>
              <w:br/>
            </w:r>
            <w:r w:rsidRPr="002B6C7D">
              <w:rPr>
                <w:rFonts w:ascii="Arial" w:hAnsi="Arial"/>
                <w:b/>
                <w:color w:val="000000"/>
              </w:rPr>
              <w:t>décision</w:t>
            </w:r>
          </w:p>
        </w:tc>
        <w:tc>
          <w:tcPr>
            <w:tcW w:w="1098" w:type="pct"/>
            <w:gridSpan w:val="2"/>
            <w:tcBorders>
              <w:left w:val="nil"/>
              <w:right w:val="nil"/>
            </w:tcBorders>
            <w:shd w:val="clear" w:color="auto" w:fill="BFBFBF"/>
            <w:vAlign w:val="center"/>
          </w:tcPr>
          <w:p w14:paraId="220407E2" w14:textId="77777777" w:rsidR="009F6C6C" w:rsidRPr="002B6C7D" w:rsidRDefault="009F6C6C" w:rsidP="00F5678E">
            <w:pPr>
              <w:keepNext/>
              <w:spacing w:before="120" w:after="120"/>
              <w:jc w:val="center"/>
              <w:rPr>
                <w:rFonts w:ascii="Arial" w:hAnsi="Arial" w:cs="Arial"/>
                <w:color w:val="000000"/>
              </w:rPr>
            </w:pPr>
            <w:r w:rsidRPr="002B6C7D">
              <w:rPr>
                <w:rFonts w:ascii="Arial" w:hAnsi="Arial"/>
                <w:b/>
                <w:color w:val="000000"/>
              </w:rPr>
              <w:t>État soumissionnaire</w:t>
            </w:r>
          </w:p>
        </w:tc>
        <w:tc>
          <w:tcPr>
            <w:tcW w:w="1515" w:type="pct"/>
            <w:tcBorders>
              <w:left w:val="nil"/>
              <w:right w:val="nil"/>
            </w:tcBorders>
            <w:shd w:val="clear" w:color="auto" w:fill="BFBFBF"/>
            <w:vAlign w:val="center"/>
          </w:tcPr>
          <w:p w14:paraId="0FAF39F4" w14:textId="77777777" w:rsidR="009F6C6C" w:rsidRPr="002B6C7D" w:rsidRDefault="009F6C6C" w:rsidP="00F5678E">
            <w:pPr>
              <w:keepNext/>
              <w:spacing w:before="120" w:after="120"/>
              <w:jc w:val="center"/>
              <w:rPr>
                <w:rFonts w:ascii="Arial" w:hAnsi="Arial" w:cs="Arial"/>
                <w:color w:val="000000"/>
              </w:rPr>
            </w:pPr>
            <w:r w:rsidRPr="002B6C7D">
              <w:rPr>
                <w:rFonts w:ascii="Arial" w:hAnsi="Arial"/>
                <w:b/>
                <w:color w:val="000000"/>
              </w:rPr>
              <w:t>Candidature</w:t>
            </w:r>
          </w:p>
        </w:tc>
        <w:tc>
          <w:tcPr>
            <w:tcW w:w="900" w:type="pct"/>
            <w:tcBorders>
              <w:left w:val="nil"/>
              <w:right w:val="nil"/>
            </w:tcBorders>
            <w:shd w:val="clear" w:color="auto" w:fill="BFBFBF"/>
          </w:tcPr>
          <w:p w14:paraId="504EF8BE" w14:textId="77777777" w:rsidR="009F6C6C" w:rsidRPr="002B6C7D" w:rsidRDefault="009F6C6C" w:rsidP="00F5678E">
            <w:pPr>
              <w:keepNext/>
              <w:spacing w:before="120" w:after="120"/>
              <w:jc w:val="center"/>
              <w:rPr>
                <w:rFonts w:ascii="Arial" w:hAnsi="Arial" w:cs="Arial"/>
                <w:b/>
                <w:bCs/>
                <w:color w:val="000000"/>
              </w:rPr>
            </w:pPr>
            <w:r w:rsidRPr="002B6C7D">
              <w:rPr>
                <w:rFonts w:ascii="Arial" w:hAnsi="Arial"/>
                <w:b/>
                <w:color w:val="000000"/>
              </w:rPr>
              <w:t>Montant demandé</w:t>
            </w:r>
          </w:p>
        </w:tc>
        <w:tc>
          <w:tcPr>
            <w:tcW w:w="591" w:type="pct"/>
            <w:tcBorders>
              <w:left w:val="nil"/>
              <w:right w:val="single" w:sz="4" w:space="0" w:color="auto"/>
            </w:tcBorders>
            <w:shd w:val="clear" w:color="auto" w:fill="BFBFBF"/>
            <w:vAlign w:val="center"/>
          </w:tcPr>
          <w:p w14:paraId="00A96639" w14:textId="77777777" w:rsidR="009F6C6C" w:rsidRPr="002B6C7D" w:rsidRDefault="009F6C6C" w:rsidP="00700FB1">
            <w:pPr>
              <w:keepNext/>
              <w:spacing w:before="120" w:after="120"/>
              <w:jc w:val="center"/>
              <w:rPr>
                <w:rFonts w:ascii="Arial" w:hAnsi="Arial" w:cs="Arial"/>
                <w:b/>
                <w:bCs/>
                <w:color w:val="000000"/>
              </w:rPr>
            </w:pPr>
            <w:r w:rsidRPr="002B6C7D">
              <w:rPr>
                <w:rFonts w:ascii="Arial" w:hAnsi="Arial"/>
                <w:b/>
                <w:color w:val="000000"/>
              </w:rPr>
              <w:t>Dossier n°</w:t>
            </w:r>
          </w:p>
        </w:tc>
      </w:tr>
      <w:tr w:rsidR="009F6C6C" w:rsidRPr="002B6C7D" w14:paraId="58E6A97F" w14:textId="77777777" w:rsidTr="00700FB1">
        <w:trPr>
          <w:cantSplit/>
        </w:trPr>
        <w:tc>
          <w:tcPr>
            <w:tcW w:w="902" w:type="pct"/>
            <w:gridSpan w:val="2"/>
            <w:tcBorders>
              <w:right w:val="nil"/>
            </w:tcBorders>
          </w:tcPr>
          <w:p w14:paraId="4593F82C" w14:textId="6D3A58A2" w:rsidR="009F6C6C" w:rsidRPr="00DC519C" w:rsidRDefault="006406ED" w:rsidP="00F5678E">
            <w:pPr>
              <w:keepNext/>
              <w:spacing w:before="120" w:after="120"/>
              <w:jc w:val="center"/>
              <w:rPr>
                <w:rFonts w:ascii="Arial" w:hAnsi="Arial" w:cs="Arial"/>
                <w:bCs/>
                <w:color w:val="000000"/>
              </w:rPr>
            </w:pPr>
            <w:hyperlink w:anchor="Decision_9a3" w:history="1">
              <w:r w:rsidR="009F6C6C" w:rsidRPr="00DC519C">
                <w:rPr>
                  <w:rStyle w:val="Hyperlink"/>
                  <w:rFonts w:ascii="Arial" w:hAnsi="Arial"/>
                </w:rPr>
                <w:t xml:space="preserve">15.COM </w:t>
              </w:r>
              <w:r w:rsidR="00DC519C" w:rsidRPr="00DC519C">
                <w:rPr>
                  <w:rStyle w:val="Hyperlink"/>
                  <w:rFonts w:ascii="Arial" w:hAnsi="Arial"/>
                </w:rPr>
                <w:t>8</w:t>
              </w:r>
              <w:r w:rsidR="009F6C6C" w:rsidRPr="00DC519C">
                <w:rPr>
                  <w:rStyle w:val="Hyperlink"/>
                  <w:rFonts w:ascii="Arial" w:hAnsi="Arial"/>
                </w:rPr>
                <w:t>.a.3</w:t>
              </w:r>
            </w:hyperlink>
          </w:p>
        </w:tc>
        <w:tc>
          <w:tcPr>
            <w:tcW w:w="1092" w:type="pct"/>
            <w:tcBorders>
              <w:left w:val="nil"/>
              <w:right w:val="nil"/>
            </w:tcBorders>
          </w:tcPr>
          <w:p w14:paraId="58A498F5" w14:textId="77777777" w:rsidR="009F6C6C" w:rsidRPr="00DC519C" w:rsidRDefault="009F6C6C" w:rsidP="00F5678E">
            <w:pPr>
              <w:keepNext/>
              <w:spacing w:before="120" w:after="120"/>
              <w:jc w:val="center"/>
              <w:rPr>
                <w:rFonts w:ascii="Arial" w:hAnsi="Arial" w:cs="Arial"/>
                <w:color w:val="000000"/>
              </w:rPr>
            </w:pPr>
            <w:r w:rsidRPr="00DC519C">
              <w:rPr>
                <w:rFonts w:ascii="Arial" w:hAnsi="Arial"/>
                <w:color w:val="000000" w:themeColor="text1"/>
                <w:lang w:eastAsia="fr-FR"/>
              </w:rPr>
              <w:t>Égypte</w:t>
            </w:r>
          </w:p>
        </w:tc>
        <w:tc>
          <w:tcPr>
            <w:tcW w:w="1515" w:type="pct"/>
            <w:tcBorders>
              <w:left w:val="nil"/>
              <w:right w:val="nil"/>
            </w:tcBorders>
          </w:tcPr>
          <w:p w14:paraId="3D8CDB33" w14:textId="77777777" w:rsidR="009F6C6C" w:rsidRPr="00DC519C" w:rsidRDefault="009F6C6C" w:rsidP="00F5678E">
            <w:pPr>
              <w:keepNext/>
              <w:spacing w:before="120" w:after="120"/>
              <w:rPr>
                <w:rFonts w:ascii="Arial" w:hAnsi="Arial" w:cs="Arial"/>
                <w:color w:val="000000"/>
              </w:rPr>
            </w:pPr>
            <w:r w:rsidRPr="00DC519C">
              <w:rPr>
                <w:rFonts w:ascii="Arial" w:hAnsi="Arial"/>
                <w:color w:val="000000" w:themeColor="text1"/>
                <w:lang w:eastAsia="fr-FR"/>
              </w:rPr>
              <w:t>Le tissage à la main en Haute-Égypte (Sa’eed)</w:t>
            </w:r>
          </w:p>
        </w:tc>
        <w:tc>
          <w:tcPr>
            <w:tcW w:w="900" w:type="pct"/>
            <w:tcBorders>
              <w:left w:val="nil"/>
            </w:tcBorders>
          </w:tcPr>
          <w:p w14:paraId="5FC21874" w14:textId="77777777" w:rsidR="009F6C6C" w:rsidRPr="00DC519C" w:rsidRDefault="009F6C6C" w:rsidP="00F5678E">
            <w:pPr>
              <w:keepNext/>
              <w:spacing w:before="120" w:after="120"/>
              <w:jc w:val="center"/>
              <w:rPr>
                <w:rFonts w:ascii="Arial" w:hAnsi="Arial" w:cs="Arial"/>
              </w:rPr>
            </w:pPr>
            <w:r w:rsidRPr="00DC519C">
              <w:rPr>
                <w:rFonts w:ascii="Arial" w:hAnsi="Arial"/>
              </w:rPr>
              <w:t>262 400 dollars des États-Unis</w:t>
            </w:r>
          </w:p>
        </w:tc>
        <w:tc>
          <w:tcPr>
            <w:tcW w:w="591" w:type="pct"/>
            <w:tcBorders>
              <w:left w:val="nil"/>
              <w:right w:val="single" w:sz="4" w:space="0" w:color="auto"/>
            </w:tcBorders>
          </w:tcPr>
          <w:p w14:paraId="6F1D27AA" w14:textId="4B9BE886" w:rsidR="009F6C6C" w:rsidRPr="00DC519C" w:rsidRDefault="006406ED" w:rsidP="00F5678E">
            <w:pPr>
              <w:keepNext/>
              <w:spacing w:before="120" w:after="120"/>
              <w:jc w:val="center"/>
              <w:rPr>
                <w:rStyle w:val="Hyperlink"/>
                <w:rFonts w:ascii="Arial" w:hAnsi="Arial"/>
              </w:rPr>
            </w:pPr>
            <w:hyperlink r:id="rId12" w:anchor="8.a.3" w:history="1">
              <w:r w:rsidR="009F6C6C" w:rsidRPr="00DC519C">
                <w:rPr>
                  <w:rStyle w:val="Hyperlink"/>
                  <w:rFonts w:ascii="Arial" w:hAnsi="Arial"/>
                </w:rPr>
                <w:t>01605</w:t>
              </w:r>
            </w:hyperlink>
          </w:p>
          <w:bookmarkStart w:id="5" w:name="_Hlk53412966"/>
          <w:p w14:paraId="34310DAE" w14:textId="1242C6A1" w:rsidR="000F7AC6" w:rsidRPr="00DC519C" w:rsidRDefault="00DC519C" w:rsidP="00F5678E">
            <w:pPr>
              <w:keepNext/>
              <w:spacing w:before="120" w:after="120"/>
              <w:jc w:val="center"/>
              <w:rPr>
                <w:rFonts w:ascii="Arial" w:hAnsi="Arial" w:cs="Arial"/>
              </w:rPr>
            </w:pPr>
            <w:r w:rsidRPr="00615BB9">
              <w:rPr>
                <w:rStyle w:val="Hyperlink"/>
                <w:rFonts w:ascii="Arial" w:hAnsi="Arial"/>
                <w:color w:val="auto"/>
                <w:u w:val="none"/>
              </w:rPr>
              <w:fldChar w:fldCharType="begin"/>
            </w:r>
            <w:r w:rsidRPr="00615BB9">
              <w:rPr>
                <w:rStyle w:val="Hyperlink"/>
                <w:rFonts w:ascii="Arial" w:hAnsi="Arial"/>
                <w:color w:val="auto"/>
                <w:u w:val="none"/>
              </w:rPr>
              <w:instrText xml:space="preserve"> HYPERLINK "https://ich.unesco.org/fr/8a-liste-de-sauvegarde-urgente-01145" \l "8.a.3" </w:instrText>
            </w:r>
            <w:r w:rsidRPr="00615BB9">
              <w:rPr>
                <w:rStyle w:val="Hyperlink"/>
                <w:rFonts w:ascii="Arial" w:hAnsi="Arial"/>
                <w:color w:val="auto"/>
                <w:u w:val="none"/>
              </w:rPr>
              <w:fldChar w:fldCharType="separate"/>
            </w:r>
            <w:r w:rsidR="000F7AC6" w:rsidRPr="00615BB9">
              <w:rPr>
                <w:rStyle w:val="Hyperlink"/>
                <w:rFonts w:ascii="Arial" w:hAnsi="Arial"/>
              </w:rPr>
              <w:t>01638</w:t>
            </w:r>
            <w:bookmarkEnd w:id="5"/>
            <w:r w:rsidRPr="00615BB9">
              <w:rPr>
                <w:rStyle w:val="Hyperlink"/>
                <w:rFonts w:ascii="Arial" w:hAnsi="Arial"/>
                <w:color w:val="auto"/>
                <w:u w:val="none"/>
              </w:rPr>
              <w:fldChar w:fldCharType="end"/>
            </w:r>
          </w:p>
        </w:tc>
      </w:tr>
    </w:tbl>
    <w:p w14:paraId="7F18DB49" w14:textId="77777777" w:rsidR="00AB69F3" w:rsidRPr="002B6C7D" w:rsidRDefault="00AB69F3" w:rsidP="00AB69F3">
      <w:pPr>
        <w:keepNext/>
        <w:numPr>
          <w:ilvl w:val="0"/>
          <w:numId w:val="1"/>
        </w:numPr>
        <w:tabs>
          <w:tab w:val="left" w:pos="567"/>
        </w:tabs>
        <w:spacing w:before="360" w:after="240" w:line="240" w:lineRule="auto"/>
        <w:ind w:left="567" w:hanging="567"/>
        <w:jc w:val="both"/>
        <w:rPr>
          <w:rFonts w:ascii="Arial" w:eastAsia="SimSun" w:hAnsi="Arial" w:cs="Arial"/>
          <w:b/>
        </w:rPr>
      </w:pPr>
      <w:r w:rsidRPr="002B6C7D">
        <w:rPr>
          <w:rFonts w:ascii="Arial" w:hAnsi="Arial"/>
          <w:b/>
        </w:rPr>
        <w:t>Projets de décision</w:t>
      </w:r>
    </w:p>
    <w:p w14:paraId="77A18DE1" w14:textId="77777777" w:rsidR="007B2D24" w:rsidRPr="002B6C7D" w:rsidRDefault="00AB69F3" w:rsidP="007B2D24">
      <w:pPr>
        <w:pStyle w:val="ListParagraph"/>
        <w:keepNext/>
        <w:numPr>
          <w:ilvl w:val="0"/>
          <w:numId w:val="2"/>
        </w:numPr>
        <w:spacing w:before="240" w:after="240"/>
        <w:ind w:left="567" w:hanging="567"/>
        <w:contextualSpacing w:val="0"/>
        <w:jc w:val="both"/>
      </w:pPr>
      <w:bookmarkStart w:id="6" w:name="_DRAFT_DECISION_10.COM"/>
      <w:bookmarkEnd w:id="6"/>
      <w:r w:rsidRPr="002B6C7D">
        <w:rPr>
          <w:rFonts w:ascii="Arial" w:hAnsi="Arial"/>
          <w:snapToGrid w:val="0"/>
          <w:sz w:val="22"/>
        </w:rPr>
        <w:t>Le Comité souhaitera peut-être adopter les décisions suivantes :</w:t>
      </w:r>
    </w:p>
    <w:p w14:paraId="0BCCF571" w14:textId="12D864F5" w:rsidR="006D35D9" w:rsidRPr="00716226" w:rsidRDefault="006D35D9" w:rsidP="006406ED">
      <w:pPr>
        <w:keepNext/>
        <w:spacing w:before="360" w:after="120" w:line="240" w:lineRule="auto"/>
        <w:ind w:left="567"/>
        <w:jc w:val="both"/>
        <w:rPr>
          <w:rFonts w:ascii="Arial" w:hAnsi="Arial" w:cs="Arial"/>
          <w:b/>
          <w:bCs/>
        </w:rPr>
      </w:pPr>
      <w:bookmarkStart w:id="7" w:name="Decision_9a1"/>
      <w:r w:rsidRPr="00716226">
        <w:rPr>
          <w:rFonts w:ascii="Arial" w:hAnsi="Arial"/>
          <w:b/>
          <w:bCs/>
        </w:rPr>
        <w:t>PROJET DE DÉCISION 15.COM </w:t>
      </w:r>
      <w:r w:rsidR="00DC519C">
        <w:rPr>
          <w:rFonts w:ascii="Arial" w:hAnsi="Arial"/>
          <w:b/>
          <w:bCs/>
        </w:rPr>
        <w:t>8</w:t>
      </w:r>
      <w:r w:rsidRPr="00716226">
        <w:rPr>
          <w:rFonts w:ascii="Arial" w:hAnsi="Arial"/>
          <w:b/>
          <w:bCs/>
        </w:rPr>
        <w:t>.a</w:t>
      </w:r>
      <w:bookmarkStart w:id="8" w:name="_GoBack"/>
      <w:bookmarkEnd w:id="8"/>
      <w:r w:rsidRPr="00716226">
        <w:rPr>
          <w:rFonts w:ascii="Arial" w:hAnsi="Arial"/>
          <w:b/>
          <w:bCs/>
        </w:rPr>
        <w:t>.1</w:t>
      </w:r>
      <w:bookmarkEnd w:id="7"/>
      <w:r w:rsidRPr="00716226">
        <w:rPr>
          <w:rFonts w:ascii="Arial" w:hAnsi="Arial"/>
          <w:b/>
          <w:bCs/>
        </w:rPr>
        <w:tab/>
      </w:r>
      <w:r w:rsidRPr="00716226">
        <w:rPr>
          <w:noProof/>
          <w:color w:val="0000FF"/>
        </w:rPr>
        <w:drawing>
          <wp:inline distT="0" distB="0" distL="0" distR="0" wp14:anchorId="22BE3498" wp14:editId="224E4E39">
            <wp:extent cx="104775" cy="104775"/>
            <wp:effectExtent l="0" t="0" r="9525" b="9525"/>
            <wp:docPr id="9" name="Picture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0F0978A" w14:textId="77777777" w:rsidR="006D35D9" w:rsidRPr="00716226" w:rsidRDefault="006D35D9" w:rsidP="005060FE">
      <w:pPr>
        <w:spacing w:before="120" w:line="240" w:lineRule="auto"/>
        <w:ind w:left="567"/>
        <w:rPr>
          <w:rFonts w:ascii="Arial" w:hAnsi="Arial" w:cs="Arial"/>
        </w:rPr>
      </w:pPr>
      <w:r w:rsidRPr="00716226">
        <w:rPr>
          <w:rFonts w:ascii="Arial" w:hAnsi="Arial"/>
        </w:rPr>
        <w:t>Le Comité</w:t>
      </w:r>
    </w:p>
    <w:p w14:paraId="38F25868" w14:textId="77777777" w:rsidR="006D35D9" w:rsidRPr="00716226" w:rsidRDefault="006D35D9" w:rsidP="005060FE">
      <w:pPr>
        <w:pStyle w:val="ListParagraph"/>
        <w:numPr>
          <w:ilvl w:val="0"/>
          <w:numId w:val="3"/>
        </w:numPr>
        <w:spacing w:before="120" w:after="120"/>
        <w:ind w:left="1134" w:hanging="567"/>
        <w:contextualSpacing w:val="0"/>
        <w:jc w:val="both"/>
        <w:rPr>
          <w:rFonts w:ascii="Arial" w:hAnsi="Arial" w:cs="Arial"/>
          <w:sz w:val="22"/>
          <w:szCs w:val="22"/>
        </w:rPr>
      </w:pPr>
      <w:r w:rsidRPr="00716226">
        <w:rPr>
          <w:rFonts w:ascii="Arial" w:hAnsi="Arial"/>
          <w:sz w:val="22"/>
          <w:szCs w:val="22"/>
          <w:u w:val="single"/>
        </w:rPr>
        <w:t>Prend note</w:t>
      </w:r>
      <w:r w:rsidRPr="00716226">
        <w:rPr>
          <w:rFonts w:ascii="Arial" w:hAnsi="Arial"/>
          <w:sz w:val="22"/>
          <w:szCs w:val="22"/>
        </w:rPr>
        <w:t xml:space="preserve"> que la Colombie a proposé la candidature </w:t>
      </w:r>
      <w:r w:rsidRPr="00716226">
        <w:rPr>
          <w:rFonts w:ascii="Arial" w:hAnsi="Arial"/>
          <w:b/>
          <w:bCs/>
          <w:sz w:val="22"/>
          <w:szCs w:val="22"/>
        </w:rPr>
        <w:t>des connaissances et techniques traditionnelles associées au vernis de Pasto mopa-mopa de Putumayo et Nariño</w:t>
      </w:r>
      <w:r w:rsidRPr="00716226">
        <w:rPr>
          <w:rFonts w:ascii="Arial" w:hAnsi="Arial"/>
          <w:sz w:val="22"/>
          <w:szCs w:val="22"/>
        </w:rPr>
        <w:t xml:space="preserve"> (n° 01599) pour inscription sur la Liste du patrimoine culturel immatériel nécessitant une sauvegarde urgente :</w:t>
      </w:r>
    </w:p>
    <w:p w14:paraId="44366E5D" w14:textId="1668F3CB" w:rsidR="006D35D9" w:rsidRPr="00716226" w:rsidRDefault="006D35D9" w:rsidP="005060FE">
      <w:pPr>
        <w:pStyle w:val="ListParagraph"/>
        <w:spacing w:before="120" w:after="120"/>
        <w:ind w:left="1134"/>
        <w:contextualSpacing w:val="0"/>
        <w:jc w:val="both"/>
        <w:rPr>
          <w:rFonts w:ascii="Arial" w:hAnsi="Arial" w:cs="Arial"/>
          <w:sz w:val="22"/>
          <w:szCs w:val="22"/>
        </w:rPr>
      </w:pPr>
      <w:r w:rsidRPr="00716226">
        <w:rPr>
          <w:rFonts w:ascii="Arial" w:hAnsi="Arial"/>
          <w:sz w:val="22"/>
          <w:szCs w:val="22"/>
        </w:rPr>
        <w:t>Les connaissances et techniques traditionnelles associées au vernis de Pasto mopa-mopa de Putumayo et Nariño englobent trois activités traditionnelles : récolte, travail du bois et vernissage décoratif. Cette pratique implique la récolte de bourgeons de mopa-mopa dans la forêt de Putumayo, le travail du bois réalisé par des menuisiers, des tourneurs et des sculpteurs dans le département de Nariño, et le vernissage décoratif des objets fabriqués avec de la résine de mopa-mopa. La récolte nécessite notamment de connaître les pistes forestières, de grimper dans des arbres, de savoir à quel moment cueillir les bourgeons et quelle doit être leur taille, de les récolter délicatement sans abîmer la plante et de savoir comment trouver de l</w:t>
      </w:r>
      <w:r w:rsidR="003D1909">
        <w:rPr>
          <w:rFonts w:ascii="Arial" w:hAnsi="Arial"/>
          <w:sz w:val="22"/>
          <w:szCs w:val="22"/>
        </w:rPr>
        <w:t>’</w:t>
      </w:r>
      <w:r w:rsidRPr="00716226">
        <w:rPr>
          <w:rFonts w:ascii="Arial" w:hAnsi="Arial"/>
          <w:sz w:val="22"/>
          <w:szCs w:val="22"/>
        </w:rPr>
        <w:t>eau et conserver des vivres. Les praticiens et détenteurs transmettent les connaissances liées à l</w:t>
      </w:r>
      <w:r w:rsidR="003D1909">
        <w:rPr>
          <w:rFonts w:ascii="Arial" w:hAnsi="Arial"/>
          <w:sz w:val="22"/>
          <w:szCs w:val="22"/>
        </w:rPr>
        <w:t>’</w:t>
      </w:r>
      <w:r w:rsidRPr="00716226">
        <w:rPr>
          <w:rFonts w:ascii="Arial" w:hAnsi="Arial"/>
          <w:sz w:val="22"/>
          <w:szCs w:val="22"/>
        </w:rPr>
        <w:t>élément par la communication orale, l</w:t>
      </w:r>
      <w:r w:rsidR="003D1909">
        <w:rPr>
          <w:rFonts w:ascii="Arial" w:hAnsi="Arial"/>
          <w:sz w:val="22"/>
          <w:szCs w:val="22"/>
        </w:rPr>
        <w:t>’</w:t>
      </w:r>
      <w:r w:rsidRPr="00716226">
        <w:rPr>
          <w:rFonts w:ascii="Arial" w:hAnsi="Arial"/>
          <w:sz w:val="22"/>
          <w:szCs w:val="22"/>
        </w:rPr>
        <w:t>observation et l</w:t>
      </w:r>
      <w:r w:rsidR="003D1909">
        <w:rPr>
          <w:rFonts w:ascii="Arial" w:hAnsi="Arial"/>
          <w:sz w:val="22"/>
          <w:szCs w:val="22"/>
        </w:rPr>
        <w:t>’</w:t>
      </w:r>
      <w:r w:rsidRPr="00716226">
        <w:rPr>
          <w:rFonts w:ascii="Arial" w:hAnsi="Arial"/>
          <w:sz w:val="22"/>
          <w:szCs w:val="22"/>
        </w:rPr>
        <w:t xml:space="preserve">expérimentation, principalement dans le cercle familial. Les techniques associées à la récolte du mopa-mopa, au travail du bois et au vernissage décoratif sont des </w:t>
      </w:r>
      <w:r w:rsidR="00D31C04">
        <w:rPr>
          <w:rFonts w:ascii="Arial" w:hAnsi="Arial"/>
          <w:sz w:val="22"/>
          <w:szCs w:val="22"/>
        </w:rPr>
        <w:t>sources d’</w:t>
      </w:r>
      <w:r w:rsidR="00D31C04" w:rsidRPr="00716226">
        <w:rPr>
          <w:rFonts w:ascii="Arial" w:hAnsi="Arial"/>
          <w:sz w:val="22"/>
          <w:szCs w:val="22"/>
        </w:rPr>
        <w:t>identit</w:t>
      </w:r>
      <w:r w:rsidR="00D31C04">
        <w:rPr>
          <w:rFonts w:ascii="Arial" w:hAnsi="Arial"/>
          <w:sz w:val="22"/>
          <w:szCs w:val="22"/>
        </w:rPr>
        <w:t>é</w:t>
      </w:r>
      <w:r w:rsidR="00D31C04" w:rsidRPr="00716226">
        <w:rPr>
          <w:rFonts w:ascii="Arial" w:hAnsi="Arial"/>
          <w:sz w:val="22"/>
          <w:szCs w:val="22"/>
        </w:rPr>
        <w:t xml:space="preserve"> </w:t>
      </w:r>
      <w:r w:rsidRPr="00716226">
        <w:rPr>
          <w:rFonts w:ascii="Arial" w:hAnsi="Arial"/>
          <w:sz w:val="22"/>
          <w:szCs w:val="22"/>
        </w:rPr>
        <w:t>pour les communautés concerné</w:t>
      </w:r>
      <w:r w:rsidR="00A93759">
        <w:rPr>
          <w:rFonts w:ascii="Arial" w:hAnsi="Arial"/>
          <w:sz w:val="22"/>
          <w:szCs w:val="22"/>
        </w:rPr>
        <w:t>e</w:t>
      </w:r>
      <w:r w:rsidRPr="00716226">
        <w:rPr>
          <w:rFonts w:ascii="Arial" w:hAnsi="Arial"/>
          <w:sz w:val="22"/>
          <w:szCs w:val="22"/>
        </w:rPr>
        <w:t>s et le vernis de Pasto a permis aux praticiens de se mettre à leur compte tout en étant rattachés à des corporations et des structures commerciales familiales. Cependant, à l</w:t>
      </w:r>
      <w:r w:rsidR="003D1909">
        <w:rPr>
          <w:rFonts w:ascii="Arial" w:hAnsi="Arial"/>
          <w:sz w:val="22"/>
          <w:szCs w:val="22"/>
        </w:rPr>
        <w:t>’</w:t>
      </w:r>
      <w:r w:rsidRPr="00716226">
        <w:rPr>
          <w:rFonts w:ascii="Arial" w:hAnsi="Arial"/>
          <w:sz w:val="22"/>
          <w:szCs w:val="22"/>
        </w:rPr>
        <w:t xml:space="preserve">heure actuelle, on ne compte plus que dix récoltants, neuf </w:t>
      </w:r>
      <w:r w:rsidR="000F7AC6">
        <w:rPr>
          <w:rFonts w:ascii="Arial" w:hAnsi="Arial"/>
          <w:sz w:val="22"/>
          <w:szCs w:val="22"/>
        </w:rPr>
        <w:t>maîtres-menuisiers</w:t>
      </w:r>
      <w:r w:rsidRPr="00716226">
        <w:rPr>
          <w:rFonts w:ascii="Arial" w:hAnsi="Arial"/>
          <w:sz w:val="22"/>
          <w:szCs w:val="22"/>
        </w:rPr>
        <w:t xml:space="preserve"> et trente-six maîtres-vernisseurs. La pratique est menacée par plusieurs facteurs, notamment les processus de développement et de mondialisation qui offrent aux jeunes des options plus rentables, la rareté du mopa-mopa et du bois en raison de la déforestation et du changement climatique, l</w:t>
      </w:r>
      <w:r w:rsidR="003D1909">
        <w:rPr>
          <w:rFonts w:ascii="Arial" w:hAnsi="Arial"/>
          <w:sz w:val="22"/>
          <w:szCs w:val="22"/>
        </w:rPr>
        <w:t>’</w:t>
      </w:r>
      <w:r w:rsidRPr="00716226">
        <w:rPr>
          <w:rFonts w:ascii="Arial" w:hAnsi="Arial"/>
          <w:sz w:val="22"/>
          <w:szCs w:val="22"/>
        </w:rPr>
        <w:t>accès difficile aux sites de récolte et la précarité des conditions de travail dans les ateliers à domicile.</w:t>
      </w:r>
    </w:p>
    <w:p w14:paraId="7734C4CB" w14:textId="4C84049A" w:rsidR="006D35D9" w:rsidRPr="00716226" w:rsidRDefault="006D35D9" w:rsidP="005060FE">
      <w:pPr>
        <w:pStyle w:val="ListParagraph"/>
        <w:numPr>
          <w:ilvl w:val="0"/>
          <w:numId w:val="3"/>
        </w:numPr>
        <w:spacing w:before="120" w:after="120"/>
        <w:ind w:left="1134" w:hanging="567"/>
        <w:contextualSpacing w:val="0"/>
        <w:jc w:val="both"/>
        <w:rPr>
          <w:rFonts w:ascii="Arial" w:hAnsi="Arial" w:cs="Arial"/>
          <w:sz w:val="22"/>
          <w:szCs w:val="22"/>
        </w:rPr>
      </w:pPr>
      <w:r w:rsidRPr="00716226">
        <w:rPr>
          <w:rFonts w:ascii="Arial" w:hAnsi="Arial"/>
          <w:sz w:val="22"/>
          <w:szCs w:val="22"/>
          <w:u w:val="single"/>
        </w:rPr>
        <w:t>Estime</w:t>
      </w:r>
      <w:r w:rsidRPr="00716226">
        <w:rPr>
          <w:rFonts w:ascii="Arial" w:hAnsi="Arial"/>
          <w:sz w:val="22"/>
          <w:szCs w:val="22"/>
        </w:rPr>
        <w:t xml:space="preserve"> que, d</w:t>
      </w:r>
      <w:r w:rsidR="003D1909">
        <w:rPr>
          <w:rFonts w:ascii="Arial" w:hAnsi="Arial"/>
          <w:sz w:val="22"/>
          <w:szCs w:val="22"/>
        </w:rPr>
        <w:t>’</w:t>
      </w:r>
      <w:r w:rsidRPr="00716226">
        <w:rPr>
          <w:rFonts w:ascii="Arial" w:hAnsi="Arial"/>
          <w:sz w:val="22"/>
          <w:szCs w:val="22"/>
        </w:rPr>
        <w:t>après les informations contenues dans le dossier, la candidature satisfait aux critères d</w:t>
      </w:r>
      <w:r w:rsidR="003D1909">
        <w:rPr>
          <w:rFonts w:ascii="Arial" w:hAnsi="Arial"/>
          <w:sz w:val="22"/>
          <w:szCs w:val="22"/>
        </w:rPr>
        <w:t>’</w:t>
      </w:r>
      <w:r w:rsidRPr="00716226">
        <w:rPr>
          <w:rFonts w:ascii="Arial" w:hAnsi="Arial"/>
          <w:sz w:val="22"/>
          <w:szCs w:val="22"/>
        </w:rPr>
        <w:t>inscription sur la Liste du patrimoine culturel immatériel nécessitant une sauvegarde urgente comme suit :</w:t>
      </w:r>
    </w:p>
    <w:p w14:paraId="3E6E85E0" w14:textId="4EF8E845" w:rsidR="006D35D9" w:rsidRPr="00716226" w:rsidRDefault="006D35D9" w:rsidP="005060FE">
      <w:pPr>
        <w:pStyle w:val="ListParagraph"/>
        <w:tabs>
          <w:tab w:val="left" w:pos="1800"/>
        </w:tabs>
        <w:spacing w:before="120" w:after="120"/>
        <w:ind w:left="1710" w:hanging="576"/>
        <w:contextualSpacing w:val="0"/>
        <w:jc w:val="both"/>
        <w:rPr>
          <w:rFonts w:ascii="Arial" w:hAnsi="Arial" w:cs="Arial"/>
          <w:noProof/>
          <w:sz w:val="22"/>
          <w:szCs w:val="22"/>
        </w:rPr>
      </w:pPr>
      <w:r w:rsidRPr="00716226">
        <w:rPr>
          <w:rFonts w:ascii="Arial" w:hAnsi="Arial"/>
          <w:sz w:val="22"/>
          <w:szCs w:val="22"/>
        </w:rPr>
        <w:t>U.1 :</w:t>
      </w:r>
      <w:r w:rsidRPr="00716226">
        <w:rPr>
          <w:rFonts w:ascii="Arial" w:hAnsi="Arial"/>
          <w:sz w:val="22"/>
          <w:szCs w:val="22"/>
        </w:rPr>
        <w:tab/>
        <w:t>L</w:t>
      </w:r>
      <w:r w:rsidR="003D1909">
        <w:rPr>
          <w:rFonts w:ascii="Arial" w:hAnsi="Arial"/>
          <w:sz w:val="22"/>
          <w:szCs w:val="22"/>
        </w:rPr>
        <w:t>’</w:t>
      </w:r>
      <w:r w:rsidRPr="00716226">
        <w:rPr>
          <w:rFonts w:ascii="Arial" w:hAnsi="Arial"/>
          <w:sz w:val="22"/>
          <w:szCs w:val="22"/>
        </w:rPr>
        <w:t>élément témoigne de la compréhension de la nature environnant les communautés des régions andines et amazoniennes de Colombie, et révèle les liens entre ces communautés et les milieux ruraux et urbains du sud-ouest de la Colombie. La fonction sociale de cet élément se définit surtout par des efforts collectifs et durables de conservation de la forêt déployés dans le cadre des pratiques culturelles en lien avec la récolte de mopa-mopa. Les techniques associées renforcent les liens familiaux qui transcendent les différences générationnelles et territoriales.</w:t>
      </w:r>
    </w:p>
    <w:p w14:paraId="3112AC08" w14:textId="1B55DACA" w:rsidR="006D35D9" w:rsidRPr="00716226" w:rsidRDefault="006D35D9" w:rsidP="005060FE">
      <w:pPr>
        <w:pStyle w:val="ListParagraph"/>
        <w:spacing w:before="120" w:after="120"/>
        <w:ind w:left="1710" w:hanging="576"/>
        <w:contextualSpacing w:val="0"/>
        <w:jc w:val="both"/>
        <w:rPr>
          <w:rFonts w:ascii="Arial" w:hAnsi="Arial" w:cs="Arial"/>
          <w:noProof/>
          <w:sz w:val="22"/>
          <w:szCs w:val="22"/>
        </w:rPr>
      </w:pPr>
      <w:r w:rsidRPr="00716226">
        <w:rPr>
          <w:rFonts w:ascii="Arial" w:hAnsi="Arial"/>
          <w:sz w:val="22"/>
          <w:szCs w:val="22"/>
        </w:rPr>
        <w:t>U.2 :</w:t>
      </w:r>
      <w:r w:rsidRPr="00716226">
        <w:rPr>
          <w:rFonts w:ascii="Arial" w:hAnsi="Arial"/>
          <w:sz w:val="22"/>
          <w:szCs w:val="22"/>
        </w:rPr>
        <w:tab/>
        <w:t>Le dossier présente un bilan bien documenté de la situation actuelle des pratiques associées au vernis de Pasto mopa-mopa, fondé sur une analyse participative qui a réuni les trois principaux acteurs de la chaîne de production (à savoir les récoltants, les artisans du bois et les maîtres-vernisseurs) et d</w:t>
      </w:r>
      <w:r w:rsidR="003D1909">
        <w:rPr>
          <w:rFonts w:ascii="Arial" w:hAnsi="Arial"/>
          <w:sz w:val="22"/>
          <w:szCs w:val="22"/>
        </w:rPr>
        <w:t>’</w:t>
      </w:r>
      <w:r w:rsidRPr="00716226">
        <w:rPr>
          <w:rFonts w:ascii="Arial" w:hAnsi="Arial"/>
          <w:sz w:val="22"/>
          <w:szCs w:val="22"/>
        </w:rPr>
        <w:t>autres parties prenantes. La candidature dresse une liste détaillée des facteurs justifiant la sauvegarde urgente de l</w:t>
      </w:r>
      <w:r w:rsidR="003D1909">
        <w:rPr>
          <w:rFonts w:ascii="Arial" w:hAnsi="Arial"/>
          <w:sz w:val="22"/>
          <w:szCs w:val="22"/>
        </w:rPr>
        <w:t>’</w:t>
      </w:r>
      <w:r w:rsidRPr="00716226">
        <w:rPr>
          <w:rFonts w:ascii="Arial" w:hAnsi="Arial"/>
          <w:sz w:val="22"/>
          <w:szCs w:val="22"/>
        </w:rPr>
        <w:t>élément, parmi lesquels la transmission limitée des connaissances associées, la rareté du mopa-mopa et du bois, l</w:t>
      </w:r>
      <w:r w:rsidR="003D1909">
        <w:rPr>
          <w:rFonts w:ascii="Arial" w:hAnsi="Arial"/>
          <w:sz w:val="22"/>
          <w:szCs w:val="22"/>
        </w:rPr>
        <w:t>’</w:t>
      </w:r>
      <w:r w:rsidRPr="00716226">
        <w:rPr>
          <w:rFonts w:ascii="Arial" w:hAnsi="Arial"/>
          <w:sz w:val="22"/>
          <w:szCs w:val="22"/>
        </w:rPr>
        <w:t>accès difficile aux sites de récolte et la précarité des conditions de travail dans les ateliers à domicile. Elle souligne également que la chaîne de production dans son ensemble n</w:t>
      </w:r>
      <w:r w:rsidR="003D1909">
        <w:rPr>
          <w:rFonts w:ascii="Arial" w:hAnsi="Arial"/>
          <w:sz w:val="22"/>
          <w:szCs w:val="22"/>
        </w:rPr>
        <w:t>’</w:t>
      </w:r>
      <w:r w:rsidRPr="00716226">
        <w:rPr>
          <w:rFonts w:ascii="Arial" w:hAnsi="Arial"/>
          <w:sz w:val="22"/>
          <w:szCs w:val="22"/>
        </w:rPr>
        <w:t>est pas suffisamment valorisée, ce qui limite la transmission des savoir-faire associés au vernis de Pasto.</w:t>
      </w:r>
    </w:p>
    <w:p w14:paraId="345E7796" w14:textId="47B730A1" w:rsidR="006D35D9" w:rsidRPr="00716226" w:rsidRDefault="006D35D9" w:rsidP="005060FE">
      <w:pPr>
        <w:pStyle w:val="ListParagraph"/>
        <w:spacing w:before="120" w:after="120"/>
        <w:ind w:left="1710" w:hanging="576"/>
        <w:contextualSpacing w:val="0"/>
        <w:jc w:val="both"/>
        <w:rPr>
          <w:rFonts w:ascii="Arial" w:hAnsi="Arial" w:cs="Arial"/>
          <w:color w:val="444444"/>
          <w:sz w:val="22"/>
          <w:szCs w:val="22"/>
          <w:shd w:val="clear" w:color="auto" w:fill="EBEBEB"/>
        </w:rPr>
      </w:pPr>
      <w:r w:rsidRPr="00716226">
        <w:rPr>
          <w:rFonts w:ascii="Arial" w:hAnsi="Arial"/>
          <w:sz w:val="22"/>
          <w:szCs w:val="22"/>
        </w:rPr>
        <w:t>U.5 :</w:t>
      </w:r>
      <w:r w:rsidRPr="00716226">
        <w:rPr>
          <w:rFonts w:ascii="Arial" w:hAnsi="Arial"/>
          <w:sz w:val="22"/>
          <w:szCs w:val="22"/>
        </w:rPr>
        <w:tab/>
        <w:t>L</w:t>
      </w:r>
      <w:r w:rsidR="003D1909">
        <w:rPr>
          <w:rFonts w:ascii="Arial" w:hAnsi="Arial"/>
          <w:sz w:val="22"/>
          <w:szCs w:val="22"/>
        </w:rPr>
        <w:t>’</w:t>
      </w:r>
      <w:r w:rsidRPr="00716226">
        <w:rPr>
          <w:rFonts w:ascii="Arial" w:hAnsi="Arial"/>
          <w:sz w:val="22"/>
          <w:szCs w:val="22"/>
        </w:rPr>
        <w:t xml:space="preserve">élément a été </w:t>
      </w:r>
      <w:r w:rsidR="00567E41">
        <w:rPr>
          <w:rFonts w:ascii="Arial" w:hAnsi="Arial"/>
          <w:sz w:val="22"/>
          <w:szCs w:val="22"/>
        </w:rPr>
        <w:t>inclus dans</w:t>
      </w:r>
      <w:r w:rsidRPr="00716226">
        <w:rPr>
          <w:rFonts w:ascii="Arial" w:hAnsi="Arial"/>
          <w:sz w:val="22"/>
          <w:szCs w:val="22"/>
        </w:rPr>
        <w:t xml:space="preserve"> la Liste représentative du patrimoine culturel immatériel du département de Nariño en 2014, puis </w:t>
      </w:r>
      <w:r w:rsidR="00567E41">
        <w:rPr>
          <w:rFonts w:ascii="Arial" w:hAnsi="Arial"/>
          <w:sz w:val="22"/>
          <w:szCs w:val="22"/>
        </w:rPr>
        <w:t>dans</w:t>
      </w:r>
      <w:r w:rsidRPr="00716226">
        <w:rPr>
          <w:rFonts w:ascii="Arial" w:hAnsi="Arial"/>
          <w:sz w:val="22"/>
          <w:szCs w:val="22"/>
        </w:rPr>
        <w:t xml:space="preserve"> la Liste représentative nationale du patrimoine culturel immatériel (LRPCI) en 2019. Les informations ont été recueillies auprès des praticiens au moyen d</w:t>
      </w:r>
      <w:r w:rsidR="003D1909">
        <w:rPr>
          <w:rFonts w:ascii="Arial" w:hAnsi="Arial"/>
          <w:sz w:val="22"/>
          <w:szCs w:val="22"/>
        </w:rPr>
        <w:t>’</w:t>
      </w:r>
      <w:r w:rsidRPr="00716226">
        <w:rPr>
          <w:rFonts w:ascii="Arial" w:hAnsi="Arial"/>
          <w:sz w:val="22"/>
          <w:szCs w:val="22"/>
        </w:rPr>
        <w:t>entretiens, d</w:t>
      </w:r>
      <w:r w:rsidR="003D1909">
        <w:rPr>
          <w:rFonts w:ascii="Arial" w:hAnsi="Arial"/>
          <w:sz w:val="22"/>
          <w:szCs w:val="22"/>
        </w:rPr>
        <w:t>’</w:t>
      </w:r>
      <w:r w:rsidRPr="00716226">
        <w:rPr>
          <w:rFonts w:ascii="Arial" w:hAnsi="Arial"/>
          <w:sz w:val="22"/>
          <w:szCs w:val="22"/>
        </w:rPr>
        <w:t>enquêtes et de témoignages qui ont permis de comprendre les caractéristiques de l</w:t>
      </w:r>
      <w:r w:rsidR="003D1909">
        <w:rPr>
          <w:rFonts w:ascii="Arial" w:hAnsi="Arial"/>
          <w:sz w:val="22"/>
          <w:szCs w:val="22"/>
        </w:rPr>
        <w:t>’</w:t>
      </w:r>
      <w:r w:rsidRPr="00716226">
        <w:rPr>
          <w:rFonts w:ascii="Arial" w:hAnsi="Arial"/>
          <w:sz w:val="22"/>
          <w:szCs w:val="22"/>
        </w:rPr>
        <w:t>élément. Un dialogue ouvert a été entamé, avec la participation active des praticiens et des détenteurs qui ont organisé des expositions et des ateliers de démonstration aux niveaux local et national. Le dossier contient également des informations relatives à la mise à jour régulière des inventaires, notamment en ce qui concerne la périodicité et les modalités de mise à jour.</w:t>
      </w:r>
    </w:p>
    <w:p w14:paraId="7FEB7A9C" w14:textId="7098BFED" w:rsidR="006D35D9" w:rsidRPr="00716226" w:rsidRDefault="006D35D9" w:rsidP="005060FE">
      <w:pPr>
        <w:pStyle w:val="ListParagraph"/>
        <w:numPr>
          <w:ilvl w:val="0"/>
          <w:numId w:val="27"/>
        </w:numPr>
        <w:spacing w:before="120" w:after="120"/>
        <w:ind w:left="1134" w:hanging="567"/>
        <w:contextualSpacing w:val="0"/>
        <w:jc w:val="both"/>
        <w:rPr>
          <w:sz w:val="22"/>
          <w:szCs w:val="22"/>
        </w:rPr>
      </w:pPr>
      <w:r w:rsidRPr="00716226">
        <w:rPr>
          <w:rFonts w:ascii="Arial" w:hAnsi="Arial"/>
          <w:sz w:val="22"/>
          <w:szCs w:val="22"/>
          <w:u w:val="single"/>
        </w:rPr>
        <w:t>Estime en outre</w:t>
      </w:r>
      <w:r w:rsidRPr="00716226">
        <w:rPr>
          <w:rFonts w:ascii="Arial" w:hAnsi="Arial"/>
          <w:sz w:val="22"/>
          <w:szCs w:val="22"/>
        </w:rPr>
        <w:t xml:space="preserve"> que, sur la base des informations contenues dans le dossier et fournies par l</w:t>
      </w:r>
      <w:r w:rsidR="003D1909">
        <w:rPr>
          <w:rFonts w:ascii="Arial" w:hAnsi="Arial"/>
          <w:sz w:val="22"/>
          <w:szCs w:val="22"/>
        </w:rPr>
        <w:t>’</w:t>
      </w:r>
      <w:r w:rsidRPr="00716226">
        <w:rPr>
          <w:rFonts w:ascii="Arial" w:hAnsi="Arial"/>
          <w:sz w:val="22"/>
          <w:szCs w:val="22"/>
        </w:rPr>
        <w:t>État soumissionnaire dans le cadre du processus de dialogue, les critères d</w:t>
      </w:r>
      <w:r w:rsidR="003D1909">
        <w:rPr>
          <w:rFonts w:ascii="Arial" w:hAnsi="Arial"/>
          <w:sz w:val="22"/>
          <w:szCs w:val="22"/>
        </w:rPr>
        <w:t>’</w:t>
      </w:r>
      <w:r w:rsidRPr="00716226">
        <w:rPr>
          <w:rFonts w:ascii="Arial" w:hAnsi="Arial"/>
          <w:sz w:val="22"/>
          <w:szCs w:val="22"/>
        </w:rPr>
        <w:t xml:space="preserve">inscription sur la </w:t>
      </w:r>
      <w:r w:rsidR="00A93759" w:rsidRPr="00A93759">
        <w:rPr>
          <w:rFonts w:ascii="Arial" w:hAnsi="Arial"/>
          <w:sz w:val="22"/>
          <w:szCs w:val="22"/>
        </w:rPr>
        <w:t>Liste du patrimoine culturel immatériel nécessitant une sauvegarde urgente</w:t>
      </w:r>
      <w:r w:rsidRPr="00716226">
        <w:rPr>
          <w:rFonts w:ascii="Arial" w:hAnsi="Arial"/>
          <w:sz w:val="22"/>
          <w:szCs w:val="22"/>
        </w:rPr>
        <w:t xml:space="preserve"> sont satisfaits </w:t>
      </w:r>
      <w:r w:rsidR="005E0115">
        <w:rPr>
          <w:rFonts w:ascii="Arial" w:hAnsi="Arial"/>
          <w:sz w:val="22"/>
          <w:szCs w:val="22"/>
        </w:rPr>
        <w:t>comme suit </w:t>
      </w:r>
      <w:r w:rsidRPr="00716226">
        <w:rPr>
          <w:rFonts w:ascii="Arial" w:hAnsi="Arial"/>
          <w:sz w:val="22"/>
          <w:szCs w:val="22"/>
        </w:rPr>
        <w:t>:</w:t>
      </w:r>
    </w:p>
    <w:p w14:paraId="14CA8538" w14:textId="2F07CFD9" w:rsidR="006A3713" w:rsidRDefault="006A3713" w:rsidP="006A3713">
      <w:pPr>
        <w:pStyle w:val="ListParagraph"/>
        <w:spacing w:before="120" w:after="120"/>
        <w:ind w:left="1710" w:hanging="576"/>
        <w:contextualSpacing w:val="0"/>
        <w:jc w:val="both"/>
        <w:rPr>
          <w:rFonts w:asciiTheme="minorBidi" w:hAnsiTheme="minorBidi"/>
          <w:sz w:val="22"/>
          <w:szCs w:val="22"/>
        </w:rPr>
      </w:pPr>
      <w:r w:rsidRPr="00716226">
        <w:rPr>
          <w:rFonts w:asciiTheme="minorBidi" w:hAnsiTheme="minorBidi"/>
          <w:sz w:val="22"/>
          <w:szCs w:val="22"/>
        </w:rPr>
        <w:t>U.3 :</w:t>
      </w:r>
      <w:r w:rsidRPr="00716226">
        <w:rPr>
          <w:rFonts w:asciiTheme="minorBidi" w:hAnsiTheme="minorBidi"/>
          <w:sz w:val="22"/>
          <w:szCs w:val="22"/>
        </w:rPr>
        <w:tab/>
        <w:t xml:space="preserve">Le plan de sauvegarde inclut des mesures et des activités concrètes qui répondent de manière appropriée aux menaces spécifiques pesant sur </w:t>
      </w:r>
      <w:r w:rsidRPr="00A93759">
        <w:rPr>
          <w:rFonts w:asciiTheme="minorBidi" w:hAnsiTheme="minorBidi"/>
          <w:sz w:val="22"/>
          <w:szCs w:val="22"/>
        </w:rPr>
        <w:t xml:space="preserve">l’élément </w:t>
      </w:r>
      <w:r w:rsidRPr="00BA678E">
        <w:rPr>
          <w:rFonts w:asciiTheme="minorBidi" w:hAnsiTheme="minorBidi"/>
          <w:sz w:val="22"/>
          <w:szCs w:val="22"/>
        </w:rPr>
        <w:t>(</w:t>
      </w:r>
      <w:r>
        <w:rPr>
          <w:rFonts w:asciiTheme="minorBidi" w:hAnsiTheme="minorBidi"/>
          <w:sz w:val="22"/>
          <w:szCs w:val="22"/>
        </w:rPr>
        <w:t xml:space="preserve">y compris la </w:t>
      </w:r>
      <w:r w:rsidRPr="00A93759">
        <w:rPr>
          <w:rFonts w:asciiTheme="minorBidi" w:hAnsiTheme="minorBidi"/>
          <w:sz w:val="22"/>
          <w:szCs w:val="22"/>
        </w:rPr>
        <w:t xml:space="preserve">recherche de durabilité, </w:t>
      </w:r>
      <w:r>
        <w:rPr>
          <w:rFonts w:asciiTheme="minorBidi" w:hAnsiTheme="minorBidi"/>
          <w:sz w:val="22"/>
          <w:szCs w:val="22"/>
        </w:rPr>
        <w:t xml:space="preserve">la </w:t>
      </w:r>
      <w:r w:rsidRPr="00A93759">
        <w:rPr>
          <w:rFonts w:asciiTheme="minorBidi" w:hAnsiTheme="minorBidi"/>
          <w:sz w:val="22"/>
          <w:szCs w:val="22"/>
        </w:rPr>
        <w:t>promotion de l’activité et de la transmission des connaissances</w:t>
      </w:r>
      <w:r w:rsidRPr="00716226">
        <w:rPr>
          <w:rFonts w:asciiTheme="minorBidi" w:hAnsiTheme="minorBidi"/>
          <w:sz w:val="22"/>
          <w:szCs w:val="22"/>
        </w:rPr>
        <w:t xml:space="preserve">, </w:t>
      </w:r>
      <w:r>
        <w:rPr>
          <w:rFonts w:asciiTheme="minorBidi" w:hAnsiTheme="minorBidi"/>
          <w:sz w:val="22"/>
          <w:szCs w:val="22"/>
        </w:rPr>
        <w:t>l’</w:t>
      </w:r>
      <w:r w:rsidRPr="00716226">
        <w:rPr>
          <w:rFonts w:asciiTheme="minorBidi" w:hAnsiTheme="minorBidi"/>
          <w:sz w:val="22"/>
          <w:szCs w:val="22"/>
        </w:rPr>
        <w:t>optimisation de l</w:t>
      </w:r>
      <w:r>
        <w:rPr>
          <w:rFonts w:asciiTheme="minorBidi" w:hAnsiTheme="minorBidi"/>
          <w:sz w:val="22"/>
          <w:szCs w:val="22"/>
        </w:rPr>
        <w:t>’</w:t>
      </w:r>
      <w:r w:rsidRPr="00716226">
        <w:rPr>
          <w:rFonts w:asciiTheme="minorBidi" w:hAnsiTheme="minorBidi"/>
          <w:sz w:val="22"/>
          <w:szCs w:val="22"/>
        </w:rPr>
        <w:t>organisation, de la participation, de l</w:t>
      </w:r>
      <w:r>
        <w:rPr>
          <w:rFonts w:asciiTheme="minorBidi" w:hAnsiTheme="minorBidi"/>
          <w:sz w:val="22"/>
          <w:szCs w:val="22"/>
        </w:rPr>
        <w:t>’</w:t>
      </w:r>
      <w:r w:rsidRPr="00716226">
        <w:rPr>
          <w:rFonts w:asciiTheme="minorBidi" w:hAnsiTheme="minorBidi"/>
          <w:sz w:val="22"/>
          <w:szCs w:val="22"/>
        </w:rPr>
        <w:t xml:space="preserve">évaluation et la diffusion de la pratique, </w:t>
      </w:r>
      <w:r>
        <w:rPr>
          <w:rFonts w:asciiTheme="minorBidi" w:hAnsiTheme="minorBidi"/>
          <w:sz w:val="22"/>
          <w:szCs w:val="22"/>
        </w:rPr>
        <w:t>l’</w:t>
      </w:r>
      <w:r w:rsidRPr="00716226">
        <w:rPr>
          <w:rFonts w:asciiTheme="minorBidi" w:hAnsiTheme="minorBidi"/>
          <w:sz w:val="22"/>
          <w:szCs w:val="22"/>
        </w:rPr>
        <w:t>amélioration de l</w:t>
      </w:r>
      <w:r>
        <w:rPr>
          <w:rFonts w:asciiTheme="minorBidi" w:hAnsiTheme="minorBidi"/>
          <w:sz w:val="22"/>
          <w:szCs w:val="22"/>
        </w:rPr>
        <w:t>’</w:t>
      </w:r>
      <w:r w:rsidRPr="00716226">
        <w:rPr>
          <w:rFonts w:asciiTheme="minorBidi" w:hAnsiTheme="minorBidi"/>
          <w:sz w:val="22"/>
          <w:szCs w:val="22"/>
        </w:rPr>
        <w:t xml:space="preserve">entrepreneuriat culturel et de la commercialisation). Pour la mise en œuvre de ces mesures de sauvegarde, la participation </w:t>
      </w:r>
      <w:r w:rsidRPr="002F2C3D">
        <w:rPr>
          <w:rFonts w:asciiTheme="minorBidi" w:hAnsiTheme="minorBidi"/>
          <w:sz w:val="22"/>
          <w:szCs w:val="22"/>
        </w:rPr>
        <w:t>de plusieurs institutions publiques et privées est envisagée.</w:t>
      </w:r>
      <w:r w:rsidR="002F2C3D" w:rsidRPr="002F2C3D">
        <w:rPr>
          <w:rFonts w:asciiTheme="minorBidi" w:hAnsiTheme="minorBidi"/>
          <w:sz w:val="22"/>
          <w:szCs w:val="22"/>
        </w:rPr>
        <w:t xml:space="preserve"> </w:t>
      </w:r>
      <w:r w:rsidR="002F2C3D" w:rsidRPr="00DA796F">
        <w:rPr>
          <w:rFonts w:asciiTheme="minorBidi" w:hAnsiTheme="minorBidi"/>
          <w:sz w:val="22"/>
          <w:szCs w:val="22"/>
        </w:rPr>
        <w:t>L</w:t>
      </w:r>
      <w:r w:rsidRPr="002F2C3D">
        <w:rPr>
          <w:rFonts w:asciiTheme="minorBidi" w:hAnsiTheme="minorBidi"/>
          <w:sz w:val="22"/>
          <w:szCs w:val="22"/>
        </w:rPr>
        <w:t>e</w:t>
      </w:r>
      <w:r w:rsidR="002F2C3D" w:rsidRPr="00700FB1">
        <w:rPr>
          <w:rFonts w:asciiTheme="minorBidi" w:hAnsiTheme="minorBidi"/>
          <w:sz w:val="22"/>
          <w:szCs w:val="22"/>
        </w:rPr>
        <w:t>s programmes, projets et le</w:t>
      </w:r>
      <w:r w:rsidRPr="002F2C3D">
        <w:rPr>
          <w:rFonts w:asciiTheme="minorBidi" w:hAnsiTheme="minorBidi"/>
          <w:sz w:val="22"/>
          <w:szCs w:val="22"/>
        </w:rPr>
        <w:t xml:space="preserve"> plan de sauvegarde, sont assortis d’un budget détaillé </w:t>
      </w:r>
      <w:r w:rsidR="002F2C3D" w:rsidRPr="00700FB1">
        <w:rPr>
          <w:rFonts w:asciiTheme="minorBidi" w:hAnsiTheme="minorBidi"/>
          <w:sz w:val="22"/>
          <w:szCs w:val="22"/>
        </w:rPr>
        <w:t>et</w:t>
      </w:r>
      <w:r w:rsidRPr="002F2C3D">
        <w:rPr>
          <w:rFonts w:asciiTheme="minorBidi" w:hAnsiTheme="minorBidi"/>
          <w:sz w:val="22"/>
          <w:szCs w:val="22"/>
        </w:rPr>
        <w:t xml:space="preserve"> d’un calendrier clair.</w:t>
      </w:r>
    </w:p>
    <w:p w14:paraId="6618B1EE" w14:textId="69DBFAE6" w:rsidR="00022E16" w:rsidRPr="00700FB1" w:rsidRDefault="006A3713" w:rsidP="00700FB1">
      <w:pPr>
        <w:pStyle w:val="ListParagraph"/>
        <w:spacing w:before="120" w:after="120"/>
        <w:ind w:left="1710" w:hanging="576"/>
        <w:contextualSpacing w:val="0"/>
        <w:jc w:val="both"/>
        <w:rPr>
          <w:rFonts w:asciiTheme="minorBidi" w:hAnsiTheme="minorBidi"/>
          <w:highlight w:val="yellow"/>
        </w:rPr>
      </w:pPr>
      <w:r w:rsidRPr="00716226">
        <w:rPr>
          <w:rFonts w:ascii="Arial" w:hAnsi="Arial"/>
          <w:sz w:val="22"/>
          <w:szCs w:val="22"/>
        </w:rPr>
        <w:t>U.4 :</w:t>
      </w:r>
      <w:r w:rsidRPr="00716226">
        <w:rPr>
          <w:rFonts w:ascii="Arial" w:hAnsi="Arial"/>
          <w:sz w:val="22"/>
          <w:szCs w:val="22"/>
        </w:rPr>
        <w:tab/>
      </w:r>
      <w:r w:rsidR="00461D9C">
        <w:rPr>
          <w:rFonts w:ascii="Arial" w:hAnsi="Arial"/>
          <w:sz w:val="22"/>
          <w:szCs w:val="22"/>
        </w:rPr>
        <w:t>La candidature</w:t>
      </w:r>
      <w:r w:rsidRPr="00716226">
        <w:rPr>
          <w:rFonts w:ascii="Arial" w:hAnsi="Arial"/>
          <w:sz w:val="22"/>
          <w:szCs w:val="22"/>
        </w:rPr>
        <w:t xml:space="preserve"> contient des informations détaillées sur la participation des communautés concernées au processus de candidature depuis 2011. Il y est indiqué que </w:t>
      </w:r>
      <w:r w:rsidR="000F7AC6">
        <w:rPr>
          <w:rFonts w:ascii="Arial" w:hAnsi="Arial"/>
          <w:sz w:val="22"/>
          <w:szCs w:val="22"/>
        </w:rPr>
        <w:t xml:space="preserve">la </w:t>
      </w:r>
      <w:r w:rsidR="00461D9C">
        <w:rPr>
          <w:rFonts w:ascii="Arial" w:hAnsi="Arial"/>
          <w:sz w:val="22"/>
          <w:szCs w:val="22"/>
        </w:rPr>
        <w:t xml:space="preserve">méthodologie appliquée pour la préparation de la </w:t>
      </w:r>
      <w:r w:rsidR="000F7AC6">
        <w:rPr>
          <w:rFonts w:ascii="Arial" w:hAnsi="Arial"/>
          <w:sz w:val="22"/>
          <w:szCs w:val="22"/>
        </w:rPr>
        <w:t>candidature</w:t>
      </w:r>
      <w:r w:rsidRPr="00716226">
        <w:rPr>
          <w:rFonts w:ascii="Arial" w:hAnsi="Arial"/>
          <w:sz w:val="22"/>
          <w:szCs w:val="22"/>
        </w:rPr>
        <w:t xml:space="preserve"> et </w:t>
      </w:r>
      <w:r w:rsidR="00461D9C">
        <w:rPr>
          <w:rFonts w:ascii="Arial" w:hAnsi="Arial"/>
          <w:sz w:val="22"/>
          <w:szCs w:val="22"/>
        </w:rPr>
        <w:t>du</w:t>
      </w:r>
      <w:r w:rsidRPr="00716226">
        <w:rPr>
          <w:rFonts w:ascii="Arial" w:hAnsi="Arial"/>
          <w:sz w:val="22"/>
          <w:szCs w:val="22"/>
        </w:rPr>
        <w:t xml:space="preserve"> Plan</w:t>
      </w:r>
      <w:r>
        <w:rPr>
          <w:rFonts w:ascii="Arial" w:hAnsi="Arial"/>
          <w:sz w:val="22"/>
          <w:szCs w:val="22"/>
        </w:rPr>
        <w:t xml:space="preserve"> spécial</w:t>
      </w:r>
      <w:r w:rsidRPr="00716226">
        <w:rPr>
          <w:rFonts w:ascii="Arial" w:hAnsi="Arial"/>
          <w:sz w:val="22"/>
          <w:szCs w:val="22"/>
        </w:rPr>
        <w:t xml:space="preserve"> de sauvegarde </w:t>
      </w:r>
      <w:r w:rsidR="00461D9C">
        <w:rPr>
          <w:rFonts w:ascii="Arial" w:hAnsi="Arial"/>
          <w:sz w:val="22"/>
          <w:szCs w:val="22"/>
        </w:rPr>
        <w:t>était de nature</w:t>
      </w:r>
      <w:r w:rsidRPr="00716226">
        <w:rPr>
          <w:rFonts w:ascii="Arial" w:hAnsi="Arial"/>
          <w:sz w:val="22"/>
          <w:szCs w:val="22"/>
        </w:rPr>
        <w:t xml:space="preserve"> participative </w:t>
      </w:r>
      <w:r w:rsidR="00461D9C">
        <w:rPr>
          <w:rFonts w:ascii="Arial" w:hAnsi="Arial"/>
          <w:sz w:val="22"/>
          <w:szCs w:val="22"/>
        </w:rPr>
        <w:t xml:space="preserve">et </w:t>
      </w:r>
      <w:r w:rsidRPr="00716226">
        <w:rPr>
          <w:rFonts w:asciiTheme="minorBidi" w:hAnsiTheme="minorBidi"/>
          <w:sz w:val="22"/>
          <w:szCs w:val="22"/>
        </w:rPr>
        <w:t>reposa</w:t>
      </w:r>
      <w:r w:rsidR="00461D9C">
        <w:rPr>
          <w:rFonts w:asciiTheme="minorBidi" w:hAnsiTheme="minorBidi"/>
          <w:sz w:val="22"/>
          <w:szCs w:val="22"/>
        </w:rPr>
        <w:t>i</w:t>
      </w:r>
      <w:r w:rsidRPr="00716226">
        <w:rPr>
          <w:rFonts w:asciiTheme="minorBidi" w:hAnsiTheme="minorBidi"/>
          <w:sz w:val="22"/>
          <w:szCs w:val="22"/>
        </w:rPr>
        <w:t>t</w:t>
      </w:r>
      <w:r w:rsidRPr="00716226">
        <w:rPr>
          <w:rFonts w:ascii="Arial" w:hAnsi="Arial"/>
          <w:sz w:val="22"/>
          <w:szCs w:val="22"/>
        </w:rPr>
        <w:t xml:space="preserve"> sur des réunions, des enquêtes, des entretiens, des témoignages, des excursions dans l</w:t>
      </w:r>
      <w:r w:rsidR="00376DE8">
        <w:rPr>
          <w:rFonts w:ascii="Arial" w:hAnsi="Arial"/>
          <w:sz w:val="22"/>
          <w:szCs w:val="22"/>
        </w:rPr>
        <w:t>es</w:t>
      </w:r>
      <w:r w:rsidRPr="00716226">
        <w:rPr>
          <w:rFonts w:ascii="Arial" w:hAnsi="Arial"/>
          <w:sz w:val="22"/>
          <w:szCs w:val="22"/>
        </w:rPr>
        <w:t xml:space="preserve"> </w:t>
      </w:r>
      <w:r w:rsidR="00376DE8">
        <w:rPr>
          <w:rFonts w:ascii="Arial" w:hAnsi="Arial"/>
          <w:sz w:val="22"/>
          <w:szCs w:val="22"/>
        </w:rPr>
        <w:t xml:space="preserve">jungles </w:t>
      </w:r>
      <w:r w:rsidRPr="00716226">
        <w:rPr>
          <w:rFonts w:ascii="Arial" w:hAnsi="Arial"/>
          <w:sz w:val="22"/>
          <w:szCs w:val="22"/>
        </w:rPr>
        <w:t xml:space="preserve">de mopa-mopa et des visites des ateliers à domicile des </w:t>
      </w:r>
      <w:r w:rsidR="000F7AC6">
        <w:rPr>
          <w:rFonts w:ascii="Arial" w:hAnsi="Arial"/>
          <w:sz w:val="22"/>
          <w:szCs w:val="22"/>
        </w:rPr>
        <w:t>maîtres-menuisiers</w:t>
      </w:r>
      <w:r w:rsidRPr="00716226">
        <w:rPr>
          <w:rFonts w:ascii="Arial" w:hAnsi="Arial"/>
          <w:sz w:val="22"/>
          <w:szCs w:val="22"/>
        </w:rPr>
        <w:t xml:space="preserve"> et des maîtres-vernisseurs. Les résultats de ces consultations ont par ailleurs été présentés lors de réunions rassemblant les entités et les communautés concernées.</w:t>
      </w:r>
    </w:p>
    <w:p w14:paraId="541AF5BB" w14:textId="2CC75E3D" w:rsidR="006D35D9" w:rsidRPr="00716226" w:rsidRDefault="006D35D9" w:rsidP="005060FE">
      <w:pPr>
        <w:pStyle w:val="ListParagraph"/>
        <w:numPr>
          <w:ilvl w:val="0"/>
          <w:numId w:val="27"/>
        </w:numPr>
        <w:spacing w:before="120" w:after="120"/>
        <w:ind w:left="1134" w:hanging="567"/>
        <w:contextualSpacing w:val="0"/>
        <w:jc w:val="both"/>
        <w:rPr>
          <w:sz w:val="22"/>
          <w:szCs w:val="22"/>
        </w:rPr>
      </w:pPr>
      <w:r w:rsidRPr="00716226">
        <w:rPr>
          <w:rFonts w:ascii="Arial" w:hAnsi="Arial"/>
          <w:sz w:val="22"/>
          <w:szCs w:val="22"/>
          <w:u w:val="single"/>
        </w:rPr>
        <w:t>Décide d</w:t>
      </w:r>
      <w:r w:rsidR="003D1909">
        <w:rPr>
          <w:rFonts w:ascii="Arial" w:hAnsi="Arial"/>
          <w:sz w:val="22"/>
          <w:szCs w:val="22"/>
          <w:u w:val="single"/>
        </w:rPr>
        <w:t>’</w:t>
      </w:r>
      <w:r w:rsidRPr="00716226">
        <w:rPr>
          <w:rFonts w:ascii="Arial" w:hAnsi="Arial"/>
          <w:sz w:val="22"/>
          <w:szCs w:val="22"/>
          <w:u w:val="single"/>
        </w:rPr>
        <w:t>inscrire</w:t>
      </w:r>
      <w:r w:rsidRPr="00716226">
        <w:rPr>
          <w:rFonts w:ascii="Arial" w:hAnsi="Arial"/>
          <w:sz w:val="22"/>
          <w:szCs w:val="22"/>
        </w:rPr>
        <w:t xml:space="preserve"> </w:t>
      </w:r>
      <w:r w:rsidRPr="00716226">
        <w:rPr>
          <w:rFonts w:ascii="Arial" w:hAnsi="Arial"/>
          <w:b/>
          <w:bCs/>
          <w:sz w:val="22"/>
          <w:szCs w:val="22"/>
        </w:rPr>
        <w:t>les connaissances et techniques traditionnelles associées au vernis de Pasto mopa-mopa de Putumayo et Nariño</w:t>
      </w:r>
      <w:r w:rsidRPr="00716226">
        <w:rPr>
          <w:rFonts w:ascii="Arial" w:hAnsi="Arial"/>
          <w:sz w:val="22"/>
          <w:szCs w:val="22"/>
        </w:rPr>
        <w:t xml:space="preserve"> sur la Liste du patrimoine culturel immatériel nécessitant une sauvegarde urgente.</w:t>
      </w:r>
    </w:p>
    <w:p w14:paraId="2951D922" w14:textId="7C5B1CE9" w:rsidR="006D35D9" w:rsidRPr="00716226" w:rsidRDefault="006D35D9" w:rsidP="005060FE">
      <w:pPr>
        <w:spacing w:before="360" w:after="120" w:line="240" w:lineRule="auto"/>
        <w:ind w:left="567"/>
        <w:jc w:val="both"/>
        <w:rPr>
          <w:rFonts w:ascii="Arial" w:hAnsi="Arial" w:cs="Arial"/>
          <w:b/>
          <w:bCs/>
        </w:rPr>
      </w:pPr>
      <w:bookmarkStart w:id="9" w:name="Decision_9a2"/>
      <w:r w:rsidRPr="00716226">
        <w:rPr>
          <w:rFonts w:ascii="Arial" w:hAnsi="Arial"/>
          <w:b/>
          <w:bCs/>
        </w:rPr>
        <w:t>PROJET DE DÉCISION 15.COM </w:t>
      </w:r>
      <w:r w:rsidR="00DC519C">
        <w:rPr>
          <w:rFonts w:ascii="Arial" w:hAnsi="Arial"/>
          <w:b/>
          <w:bCs/>
        </w:rPr>
        <w:t>8</w:t>
      </w:r>
      <w:r w:rsidRPr="00716226">
        <w:rPr>
          <w:rFonts w:ascii="Arial" w:hAnsi="Arial"/>
          <w:b/>
          <w:bCs/>
        </w:rPr>
        <w:t>.a.2</w:t>
      </w:r>
      <w:r w:rsidRPr="00716226">
        <w:rPr>
          <w:rFonts w:ascii="Arial" w:hAnsi="Arial"/>
          <w:b/>
          <w:bCs/>
        </w:rPr>
        <w:tab/>
      </w:r>
      <w:r w:rsidRPr="00716226">
        <w:rPr>
          <w:noProof/>
          <w:color w:val="0000FF"/>
        </w:rPr>
        <w:drawing>
          <wp:inline distT="0" distB="0" distL="0" distR="0" wp14:anchorId="3D73E6B9" wp14:editId="56863102">
            <wp:extent cx="104775" cy="104775"/>
            <wp:effectExtent l="0" t="0" r="9525" b="9525"/>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9"/>
    <w:p w14:paraId="4403AACB" w14:textId="77777777" w:rsidR="006D35D9" w:rsidRPr="00716226" w:rsidRDefault="006D35D9" w:rsidP="005060FE">
      <w:pPr>
        <w:ind w:left="567"/>
        <w:jc w:val="both"/>
        <w:rPr>
          <w:rFonts w:ascii="Arial" w:hAnsi="Arial" w:cs="Arial"/>
        </w:rPr>
      </w:pPr>
      <w:r w:rsidRPr="00716226">
        <w:rPr>
          <w:rFonts w:ascii="Arial" w:hAnsi="Arial"/>
        </w:rPr>
        <w:t>Le Comité</w:t>
      </w:r>
    </w:p>
    <w:p w14:paraId="5BBC057C" w14:textId="30C3E4A3" w:rsidR="006D35D9" w:rsidRPr="00716226" w:rsidRDefault="006D35D9" w:rsidP="005060FE">
      <w:pPr>
        <w:pStyle w:val="ListParagraph"/>
        <w:numPr>
          <w:ilvl w:val="0"/>
          <w:numId w:val="21"/>
        </w:numPr>
        <w:spacing w:before="120" w:after="120"/>
        <w:ind w:left="1134" w:hanging="567"/>
        <w:contextualSpacing w:val="0"/>
        <w:jc w:val="both"/>
        <w:rPr>
          <w:rFonts w:ascii="Arial" w:hAnsi="Arial" w:cs="Arial"/>
          <w:sz w:val="22"/>
          <w:szCs w:val="22"/>
        </w:rPr>
      </w:pPr>
      <w:r w:rsidRPr="00716226">
        <w:rPr>
          <w:rFonts w:ascii="Arial" w:hAnsi="Arial"/>
          <w:sz w:val="22"/>
          <w:szCs w:val="22"/>
          <w:u w:val="single"/>
        </w:rPr>
        <w:t>Prend note</w:t>
      </w:r>
      <w:r w:rsidRPr="00716226">
        <w:rPr>
          <w:rFonts w:ascii="Arial" w:hAnsi="Arial"/>
          <w:sz w:val="22"/>
          <w:szCs w:val="22"/>
        </w:rPr>
        <w:t xml:space="preserve"> que la Géorgie a proposé la candidature de </w:t>
      </w:r>
      <w:r w:rsidRPr="00716226">
        <w:rPr>
          <w:rFonts w:ascii="Arial" w:hAnsi="Arial"/>
          <w:b/>
          <w:bCs/>
          <w:sz w:val="22"/>
          <w:szCs w:val="22"/>
        </w:rPr>
        <w:t>la culture du blé en Géorgie, culture et utilisation d</w:t>
      </w:r>
      <w:r w:rsidR="003D1909">
        <w:rPr>
          <w:rFonts w:ascii="Arial" w:hAnsi="Arial"/>
          <w:b/>
          <w:bCs/>
          <w:sz w:val="22"/>
          <w:szCs w:val="22"/>
        </w:rPr>
        <w:t>’</w:t>
      </w:r>
      <w:r w:rsidRPr="00716226">
        <w:rPr>
          <w:rFonts w:ascii="Arial" w:hAnsi="Arial"/>
          <w:b/>
          <w:bCs/>
          <w:sz w:val="22"/>
          <w:szCs w:val="22"/>
        </w:rPr>
        <w:t>espèces endémiques et de variétés locales de blé en Géorgie</w:t>
      </w:r>
      <w:r w:rsidRPr="00716226">
        <w:rPr>
          <w:rFonts w:ascii="Arial" w:hAnsi="Arial"/>
          <w:sz w:val="22"/>
          <w:szCs w:val="22"/>
        </w:rPr>
        <w:t xml:space="preserve"> (n° 01595) pour inscription sur la Liste du patrimoine culturel immatériel nécessitant une sauvegarde urgente :</w:t>
      </w:r>
    </w:p>
    <w:p w14:paraId="572B5AC9" w14:textId="726045C3" w:rsidR="006D35D9" w:rsidRPr="00716226" w:rsidRDefault="00C04895" w:rsidP="005060FE">
      <w:pPr>
        <w:pStyle w:val="ListParagraph"/>
        <w:spacing w:before="120" w:after="120"/>
        <w:ind w:left="1134"/>
        <w:contextualSpacing w:val="0"/>
        <w:jc w:val="both"/>
        <w:rPr>
          <w:rFonts w:ascii="Arial" w:hAnsi="Arial" w:cs="Arial"/>
          <w:sz w:val="22"/>
          <w:szCs w:val="22"/>
        </w:rPr>
      </w:pPr>
      <w:r>
        <w:rPr>
          <w:rFonts w:ascii="Arial" w:hAnsi="Arial"/>
          <w:sz w:val="22"/>
          <w:szCs w:val="22"/>
        </w:rPr>
        <w:t>« </w:t>
      </w:r>
      <w:r w:rsidR="006D35D9" w:rsidRPr="00716226">
        <w:rPr>
          <w:rFonts w:ascii="Arial" w:hAnsi="Arial"/>
          <w:sz w:val="22"/>
          <w:szCs w:val="22"/>
        </w:rPr>
        <w:t>La culture du blé, la culture et l</w:t>
      </w:r>
      <w:r w:rsidR="003D1909">
        <w:rPr>
          <w:rFonts w:ascii="Arial" w:hAnsi="Arial"/>
          <w:sz w:val="22"/>
          <w:szCs w:val="22"/>
        </w:rPr>
        <w:t>’</w:t>
      </w:r>
      <w:r w:rsidR="006D35D9" w:rsidRPr="00716226">
        <w:rPr>
          <w:rFonts w:ascii="Arial" w:hAnsi="Arial"/>
          <w:sz w:val="22"/>
          <w:szCs w:val="22"/>
        </w:rPr>
        <w:t>utilisation d</w:t>
      </w:r>
      <w:r w:rsidR="003D1909">
        <w:rPr>
          <w:rFonts w:ascii="Arial" w:hAnsi="Arial"/>
          <w:sz w:val="22"/>
          <w:szCs w:val="22"/>
        </w:rPr>
        <w:t>’</w:t>
      </w:r>
      <w:r w:rsidR="006D35D9" w:rsidRPr="00716226">
        <w:rPr>
          <w:rFonts w:ascii="Arial" w:hAnsi="Arial"/>
          <w:sz w:val="22"/>
          <w:szCs w:val="22"/>
        </w:rPr>
        <w:t>espèces endémiques et de variétés locales de blé en Géorgie</w:t>
      </w:r>
      <w:r>
        <w:rPr>
          <w:rFonts w:ascii="Arial" w:hAnsi="Arial"/>
          <w:sz w:val="22"/>
          <w:szCs w:val="22"/>
        </w:rPr>
        <w:t> »</w:t>
      </w:r>
      <w:r w:rsidR="006D35D9" w:rsidRPr="00716226">
        <w:rPr>
          <w:rFonts w:ascii="Arial" w:hAnsi="Arial"/>
          <w:sz w:val="22"/>
          <w:szCs w:val="22"/>
        </w:rPr>
        <w:t xml:space="preserve"> regroupe de nombreuses traditions associées à la culture et à l</w:t>
      </w:r>
      <w:r w:rsidR="003D1909">
        <w:rPr>
          <w:rFonts w:ascii="Arial" w:hAnsi="Arial"/>
          <w:sz w:val="22"/>
          <w:szCs w:val="22"/>
        </w:rPr>
        <w:t>’</w:t>
      </w:r>
      <w:r w:rsidR="006D35D9" w:rsidRPr="00716226">
        <w:rPr>
          <w:rFonts w:ascii="Arial" w:hAnsi="Arial"/>
          <w:sz w:val="22"/>
          <w:szCs w:val="22"/>
        </w:rPr>
        <w:t>utilisation du blé. Le blé joue un rôle majeur dans la vie des Géorgiens : c</w:t>
      </w:r>
      <w:r w:rsidR="003D1909">
        <w:rPr>
          <w:rFonts w:ascii="Arial" w:hAnsi="Arial"/>
          <w:sz w:val="22"/>
          <w:szCs w:val="22"/>
        </w:rPr>
        <w:t>’</w:t>
      </w:r>
      <w:r w:rsidR="006D35D9" w:rsidRPr="00716226">
        <w:rPr>
          <w:rFonts w:ascii="Arial" w:hAnsi="Arial"/>
          <w:sz w:val="22"/>
          <w:szCs w:val="22"/>
        </w:rPr>
        <w:t>est un aliment quotidien, ainsi qu</w:t>
      </w:r>
      <w:r w:rsidR="003D1909">
        <w:rPr>
          <w:rFonts w:ascii="Arial" w:hAnsi="Arial"/>
          <w:sz w:val="22"/>
          <w:szCs w:val="22"/>
        </w:rPr>
        <w:t>’</w:t>
      </w:r>
      <w:r w:rsidR="006D35D9" w:rsidRPr="00716226">
        <w:rPr>
          <w:rFonts w:ascii="Arial" w:hAnsi="Arial"/>
          <w:sz w:val="22"/>
          <w:szCs w:val="22"/>
        </w:rPr>
        <w:t>une composante essentielle de rituels, de traitements médicaux et d</w:t>
      </w:r>
      <w:r w:rsidR="003D1909">
        <w:rPr>
          <w:rFonts w:ascii="Arial" w:hAnsi="Arial"/>
          <w:sz w:val="22"/>
          <w:szCs w:val="22"/>
        </w:rPr>
        <w:t>’</w:t>
      </w:r>
      <w:r w:rsidR="006D35D9" w:rsidRPr="00716226">
        <w:rPr>
          <w:rFonts w:ascii="Arial" w:hAnsi="Arial"/>
          <w:sz w:val="22"/>
          <w:szCs w:val="22"/>
        </w:rPr>
        <w:t>autres pratiques sociales. Il existe une variété d</w:t>
      </w:r>
      <w:r w:rsidR="003D1909">
        <w:rPr>
          <w:rFonts w:ascii="Arial" w:hAnsi="Arial"/>
          <w:sz w:val="22"/>
          <w:szCs w:val="22"/>
        </w:rPr>
        <w:t>’</w:t>
      </w:r>
      <w:r w:rsidR="006D35D9" w:rsidRPr="00716226">
        <w:rPr>
          <w:rFonts w:ascii="Arial" w:hAnsi="Arial"/>
          <w:sz w:val="22"/>
          <w:szCs w:val="22"/>
        </w:rPr>
        <w:t>outils et d</w:t>
      </w:r>
      <w:r w:rsidR="003D1909">
        <w:rPr>
          <w:rFonts w:ascii="Arial" w:hAnsi="Arial"/>
          <w:sz w:val="22"/>
          <w:szCs w:val="22"/>
        </w:rPr>
        <w:t>’</w:t>
      </w:r>
      <w:r w:rsidR="006D35D9" w:rsidRPr="00716226">
        <w:rPr>
          <w:rFonts w:ascii="Arial" w:hAnsi="Arial"/>
          <w:sz w:val="22"/>
          <w:szCs w:val="22"/>
        </w:rPr>
        <w:t xml:space="preserve">équipements traditionnels associés à la culture du blé, et plusieurs traditions dans les domaines de la boulangerie et de la pâtisserie sont associées à chaque région de Géorgie. Même si les technologies du </w:t>
      </w:r>
      <w:r w:rsidR="00881504">
        <w:rPr>
          <w:rFonts w:ascii="Arial" w:hAnsi="Arial"/>
          <w:sz w:val="22"/>
          <w:szCs w:val="22"/>
        </w:rPr>
        <w:t>vingtième</w:t>
      </w:r>
      <w:r w:rsidR="00881504" w:rsidRPr="00716226">
        <w:rPr>
          <w:rFonts w:ascii="Arial" w:hAnsi="Arial"/>
          <w:sz w:val="22"/>
          <w:szCs w:val="22"/>
        </w:rPr>
        <w:t xml:space="preserve"> </w:t>
      </w:r>
      <w:r w:rsidR="006D35D9" w:rsidRPr="00716226">
        <w:rPr>
          <w:rFonts w:ascii="Arial" w:hAnsi="Arial"/>
          <w:sz w:val="22"/>
          <w:szCs w:val="22"/>
        </w:rPr>
        <w:t>siècle ont profondément bouleversé la culture du blé en Géorgie, les pains traditionnels</w:t>
      </w:r>
      <w:r w:rsidR="00C2157F">
        <w:rPr>
          <w:rFonts w:ascii="Arial" w:hAnsi="Arial"/>
          <w:sz w:val="22"/>
          <w:szCs w:val="22"/>
        </w:rPr>
        <w:t>, tels que le</w:t>
      </w:r>
      <w:r w:rsidR="00C00D4E">
        <w:rPr>
          <w:rFonts w:ascii="Arial" w:hAnsi="Arial"/>
          <w:sz w:val="22"/>
          <w:szCs w:val="22"/>
        </w:rPr>
        <w:t xml:space="preserve"> </w:t>
      </w:r>
      <w:proofErr w:type="spellStart"/>
      <w:r w:rsidR="006D35D9" w:rsidRPr="0041572D">
        <w:rPr>
          <w:rFonts w:ascii="Arial" w:hAnsi="Arial"/>
          <w:i/>
          <w:iCs/>
          <w:sz w:val="22"/>
          <w:szCs w:val="22"/>
        </w:rPr>
        <w:t>shoti</w:t>
      </w:r>
      <w:proofErr w:type="spellEnd"/>
      <w:r w:rsidR="00C2157F">
        <w:rPr>
          <w:rFonts w:ascii="Arial" w:hAnsi="Arial"/>
          <w:sz w:val="22"/>
          <w:szCs w:val="22"/>
        </w:rPr>
        <w:t xml:space="preserve"> et le</w:t>
      </w:r>
      <w:r w:rsidR="006D35D9" w:rsidRPr="00716226">
        <w:rPr>
          <w:rFonts w:ascii="Arial" w:hAnsi="Arial"/>
          <w:sz w:val="22"/>
          <w:szCs w:val="22"/>
        </w:rPr>
        <w:t xml:space="preserve"> </w:t>
      </w:r>
      <w:proofErr w:type="spellStart"/>
      <w:r w:rsidR="006D35D9" w:rsidRPr="0041572D">
        <w:rPr>
          <w:rFonts w:ascii="Arial" w:hAnsi="Arial"/>
          <w:i/>
          <w:iCs/>
          <w:sz w:val="22"/>
          <w:szCs w:val="22"/>
        </w:rPr>
        <w:t>dedas</w:t>
      </w:r>
      <w:proofErr w:type="spellEnd"/>
      <w:r w:rsidR="00C2157F">
        <w:rPr>
          <w:rFonts w:ascii="Arial" w:hAnsi="Arial"/>
          <w:sz w:val="22"/>
          <w:szCs w:val="22"/>
        </w:rPr>
        <w:t>,</w:t>
      </w:r>
      <w:r w:rsidR="006D35D9" w:rsidRPr="00716226">
        <w:rPr>
          <w:rFonts w:ascii="Arial" w:hAnsi="Arial"/>
          <w:sz w:val="22"/>
          <w:szCs w:val="22"/>
        </w:rPr>
        <w:t xml:space="preserve"> fabriqués dans les boulangeries artisanales rencontrent toujours un grand succès. De nombreuses traditions sont perpétuées dans les communautés et les familles, comme la bénédiction du premier sillon ou le partage des semences et du levain. Des grains de blé sont encore utilisés dans les rituels associés à la naissance, au mariage et à la mort. En dépit d</w:t>
      </w:r>
      <w:r w:rsidR="003D1909">
        <w:rPr>
          <w:rFonts w:ascii="Arial" w:hAnsi="Arial"/>
          <w:sz w:val="22"/>
          <w:szCs w:val="22"/>
        </w:rPr>
        <w:t>’</w:t>
      </w:r>
      <w:r w:rsidR="006D35D9" w:rsidRPr="00716226">
        <w:rPr>
          <w:rFonts w:ascii="Arial" w:hAnsi="Arial"/>
          <w:sz w:val="22"/>
          <w:szCs w:val="22"/>
        </w:rPr>
        <w:t>efforts concertés pour sauvegarder cette tradition, elle est menacée par plusieurs facteurs dont les réformes agricoles, l</w:t>
      </w:r>
      <w:r w:rsidR="003D1909">
        <w:rPr>
          <w:rFonts w:ascii="Arial" w:hAnsi="Arial"/>
          <w:sz w:val="22"/>
          <w:szCs w:val="22"/>
        </w:rPr>
        <w:t>’</w:t>
      </w:r>
      <w:r w:rsidR="006D35D9" w:rsidRPr="00716226">
        <w:rPr>
          <w:rFonts w:ascii="Arial" w:hAnsi="Arial"/>
          <w:sz w:val="22"/>
          <w:szCs w:val="22"/>
        </w:rPr>
        <w:t>industrialisation, l</w:t>
      </w:r>
      <w:r w:rsidR="003D1909">
        <w:rPr>
          <w:rFonts w:ascii="Arial" w:hAnsi="Arial"/>
          <w:sz w:val="22"/>
          <w:szCs w:val="22"/>
        </w:rPr>
        <w:t>’</w:t>
      </w:r>
      <w:r w:rsidR="006D35D9" w:rsidRPr="00716226">
        <w:rPr>
          <w:rFonts w:ascii="Arial" w:hAnsi="Arial"/>
          <w:sz w:val="22"/>
          <w:szCs w:val="22"/>
        </w:rPr>
        <w:t xml:space="preserve">importation de blé à haut rendement en provenance </w:t>
      </w:r>
      <w:r w:rsidR="00881504">
        <w:rPr>
          <w:rFonts w:ascii="Arial" w:hAnsi="Arial"/>
          <w:sz w:val="22"/>
          <w:szCs w:val="22"/>
        </w:rPr>
        <w:t>de zones voisines</w:t>
      </w:r>
      <w:r w:rsidR="006D35D9" w:rsidRPr="00716226">
        <w:rPr>
          <w:rFonts w:ascii="Arial" w:hAnsi="Arial"/>
          <w:sz w:val="22"/>
          <w:szCs w:val="22"/>
        </w:rPr>
        <w:t xml:space="preserve"> et la crise socio-économique postsoviétique. Ainsi, les traditions, les croyances, les connaissances, le folklore et le vocabulaire ont commencé à disparaître, et rares sont les sélectionneurs de blé qui continuent d</w:t>
      </w:r>
      <w:r w:rsidR="003D1909">
        <w:rPr>
          <w:rFonts w:ascii="Arial" w:hAnsi="Arial"/>
          <w:sz w:val="22"/>
          <w:szCs w:val="22"/>
        </w:rPr>
        <w:t>’</w:t>
      </w:r>
      <w:r w:rsidR="006D35D9" w:rsidRPr="00716226">
        <w:rPr>
          <w:rFonts w:ascii="Arial" w:hAnsi="Arial"/>
          <w:sz w:val="22"/>
          <w:szCs w:val="22"/>
        </w:rPr>
        <w:t>œuvrer pour la conservation des espèces endémiques et des variétés locales. Seule une espèce endémique sur cinq est encore cultivée, en petites quantités.</w:t>
      </w:r>
    </w:p>
    <w:p w14:paraId="3546AAB6" w14:textId="23D83A8F" w:rsidR="006D35D9" w:rsidRPr="00716226" w:rsidRDefault="006D35D9" w:rsidP="005060FE">
      <w:pPr>
        <w:pStyle w:val="ListParagraph"/>
        <w:numPr>
          <w:ilvl w:val="0"/>
          <w:numId w:val="21"/>
        </w:numPr>
        <w:spacing w:before="120" w:after="120"/>
        <w:ind w:left="1134" w:hanging="567"/>
        <w:contextualSpacing w:val="0"/>
        <w:jc w:val="both"/>
        <w:rPr>
          <w:rFonts w:ascii="Arial" w:hAnsi="Arial" w:cs="Arial"/>
          <w:sz w:val="22"/>
          <w:szCs w:val="22"/>
        </w:rPr>
      </w:pPr>
      <w:r w:rsidRPr="00716226">
        <w:rPr>
          <w:rFonts w:ascii="Arial" w:hAnsi="Arial"/>
          <w:sz w:val="22"/>
          <w:szCs w:val="22"/>
          <w:u w:val="single"/>
        </w:rPr>
        <w:t>Estime</w:t>
      </w:r>
      <w:r w:rsidRPr="00716226">
        <w:rPr>
          <w:rFonts w:ascii="Arial" w:hAnsi="Arial"/>
          <w:sz w:val="22"/>
          <w:szCs w:val="22"/>
        </w:rPr>
        <w:t xml:space="preserve"> que, d</w:t>
      </w:r>
      <w:r w:rsidR="003D1909">
        <w:rPr>
          <w:rFonts w:ascii="Arial" w:hAnsi="Arial"/>
          <w:sz w:val="22"/>
          <w:szCs w:val="22"/>
        </w:rPr>
        <w:t>’</w:t>
      </w:r>
      <w:r w:rsidRPr="00716226">
        <w:rPr>
          <w:rFonts w:ascii="Arial" w:hAnsi="Arial"/>
          <w:sz w:val="22"/>
          <w:szCs w:val="22"/>
        </w:rPr>
        <w:t>après les informations contenues dans le dossier, la candidature satisfait aux critères d</w:t>
      </w:r>
      <w:r w:rsidR="003D1909">
        <w:rPr>
          <w:rFonts w:ascii="Arial" w:hAnsi="Arial"/>
          <w:sz w:val="22"/>
          <w:szCs w:val="22"/>
        </w:rPr>
        <w:t>’</w:t>
      </w:r>
      <w:r w:rsidRPr="00716226">
        <w:rPr>
          <w:rFonts w:ascii="Arial" w:hAnsi="Arial"/>
          <w:sz w:val="22"/>
          <w:szCs w:val="22"/>
        </w:rPr>
        <w:t>inscription sur la Liste du patrimoine culturel immatériel nécessitant une sauvegarde urgente comme suit :</w:t>
      </w:r>
    </w:p>
    <w:p w14:paraId="730FCBD9" w14:textId="373533BB" w:rsidR="006D35D9" w:rsidRPr="00716226" w:rsidRDefault="006D35D9" w:rsidP="005060FE">
      <w:pPr>
        <w:pStyle w:val="ListParagraph"/>
        <w:spacing w:before="120" w:after="120"/>
        <w:ind w:left="1710" w:hanging="576"/>
        <w:contextualSpacing w:val="0"/>
        <w:jc w:val="both"/>
        <w:rPr>
          <w:rFonts w:ascii="Arial" w:hAnsi="Arial" w:cs="Arial"/>
          <w:noProof/>
          <w:sz w:val="22"/>
          <w:szCs w:val="22"/>
        </w:rPr>
      </w:pPr>
      <w:r w:rsidRPr="00716226">
        <w:rPr>
          <w:rFonts w:ascii="Arial" w:hAnsi="Arial"/>
          <w:sz w:val="22"/>
          <w:szCs w:val="22"/>
        </w:rPr>
        <w:t>U.4 :</w:t>
      </w:r>
      <w:r w:rsidRPr="00716226">
        <w:rPr>
          <w:rFonts w:ascii="Arial" w:hAnsi="Arial"/>
          <w:sz w:val="22"/>
          <w:szCs w:val="22"/>
        </w:rPr>
        <w:tab/>
        <w:t>La participation au processus de préparation de la candidature de détenteurs et d</w:t>
      </w:r>
      <w:r w:rsidR="003D1909">
        <w:rPr>
          <w:rFonts w:ascii="Arial" w:hAnsi="Arial"/>
          <w:sz w:val="22"/>
          <w:szCs w:val="22"/>
        </w:rPr>
        <w:t>’</w:t>
      </w:r>
      <w:r w:rsidRPr="00716226">
        <w:rPr>
          <w:rFonts w:ascii="Arial" w:hAnsi="Arial"/>
          <w:sz w:val="22"/>
          <w:szCs w:val="22"/>
        </w:rPr>
        <w:t>associations, groupes et agriculteurs concernés a été assurée par leur initiative et leur intérêt. Les premières discussions sur la sauvegarde de l</w:t>
      </w:r>
      <w:r w:rsidR="003D1909">
        <w:rPr>
          <w:rFonts w:ascii="Arial" w:hAnsi="Arial"/>
          <w:sz w:val="22"/>
          <w:szCs w:val="22"/>
        </w:rPr>
        <w:t>’</w:t>
      </w:r>
      <w:r w:rsidRPr="00716226">
        <w:rPr>
          <w:rFonts w:ascii="Arial" w:hAnsi="Arial"/>
          <w:sz w:val="22"/>
          <w:szCs w:val="22"/>
        </w:rPr>
        <w:t>élément ont débuté en 2016 à l</w:t>
      </w:r>
      <w:r w:rsidR="003D1909">
        <w:rPr>
          <w:rFonts w:ascii="Arial" w:hAnsi="Arial"/>
          <w:sz w:val="22"/>
          <w:szCs w:val="22"/>
        </w:rPr>
        <w:t>’</w:t>
      </w:r>
      <w:r w:rsidRPr="00716226">
        <w:rPr>
          <w:rFonts w:ascii="Arial" w:hAnsi="Arial"/>
          <w:sz w:val="22"/>
          <w:szCs w:val="22"/>
        </w:rPr>
        <w:t>initiative de l</w:t>
      </w:r>
      <w:r w:rsidR="003D1909">
        <w:rPr>
          <w:rFonts w:ascii="Arial" w:hAnsi="Arial"/>
          <w:sz w:val="22"/>
          <w:szCs w:val="22"/>
        </w:rPr>
        <w:t>’</w:t>
      </w:r>
      <w:r w:rsidRPr="00716226">
        <w:rPr>
          <w:rFonts w:ascii="Arial" w:hAnsi="Arial"/>
          <w:sz w:val="22"/>
          <w:szCs w:val="22"/>
        </w:rPr>
        <w:t>Agence de la logistique et des services pour l</w:t>
      </w:r>
      <w:r w:rsidR="003D1909">
        <w:rPr>
          <w:rFonts w:ascii="Arial" w:hAnsi="Arial"/>
          <w:sz w:val="22"/>
          <w:szCs w:val="22"/>
        </w:rPr>
        <w:t>’</w:t>
      </w:r>
      <w:r w:rsidRPr="00716226">
        <w:rPr>
          <w:rFonts w:ascii="Arial" w:hAnsi="Arial"/>
          <w:sz w:val="22"/>
          <w:szCs w:val="22"/>
        </w:rPr>
        <w:t>agriculture et de l</w:t>
      </w:r>
      <w:r w:rsidR="003D1909">
        <w:rPr>
          <w:rFonts w:ascii="Arial" w:hAnsi="Arial"/>
          <w:sz w:val="22"/>
          <w:szCs w:val="22"/>
        </w:rPr>
        <w:t>’</w:t>
      </w:r>
      <w:r w:rsidRPr="00716226">
        <w:rPr>
          <w:rFonts w:ascii="Arial" w:hAnsi="Arial"/>
          <w:sz w:val="22"/>
          <w:szCs w:val="22"/>
        </w:rPr>
        <w:t>Association des producteurs de blé de Géorgie. Un groupe de travail conjoint a été mis en place pour préparer la documentation nécessaire à la candidature de l</w:t>
      </w:r>
      <w:r w:rsidR="003D1909">
        <w:rPr>
          <w:rFonts w:ascii="Arial" w:hAnsi="Arial"/>
          <w:sz w:val="22"/>
          <w:szCs w:val="22"/>
        </w:rPr>
        <w:t>’</w:t>
      </w:r>
      <w:r w:rsidRPr="00716226">
        <w:rPr>
          <w:rFonts w:ascii="Arial" w:hAnsi="Arial"/>
          <w:sz w:val="22"/>
          <w:szCs w:val="22"/>
        </w:rPr>
        <w:t xml:space="preserve">élément, assurer la coordination et faciliter la communication entre tous les individus et groupes </w:t>
      </w:r>
      <w:r w:rsidR="00C00D4E">
        <w:rPr>
          <w:rFonts w:ascii="Arial" w:hAnsi="Arial"/>
          <w:sz w:val="22"/>
          <w:szCs w:val="22"/>
        </w:rPr>
        <w:t>intéressés</w:t>
      </w:r>
      <w:r w:rsidRPr="00716226">
        <w:rPr>
          <w:rFonts w:ascii="Arial" w:hAnsi="Arial"/>
          <w:sz w:val="22"/>
          <w:szCs w:val="22"/>
        </w:rPr>
        <w:t>. Les détenteurs de l</w:t>
      </w:r>
      <w:r w:rsidR="003D1909">
        <w:rPr>
          <w:rFonts w:ascii="Arial" w:hAnsi="Arial"/>
          <w:sz w:val="22"/>
          <w:szCs w:val="22"/>
        </w:rPr>
        <w:t>’</w:t>
      </w:r>
      <w:r w:rsidRPr="00716226">
        <w:rPr>
          <w:rFonts w:ascii="Arial" w:hAnsi="Arial"/>
          <w:sz w:val="22"/>
          <w:szCs w:val="22"/>
        </w:rPr>
        <w:t>élément ont défini les principaux risques et problèmes liés à la culture et à l</w:t>
      </w:r>
      <w:r w:rsidR="003D1909">
        <w:rPr>
          <w:rFonts w:ascii="Arial" w:hAnsi="Arial"/>
          <w:sz w:val="22"/>
          <w:szCs w:val="22"/>
        </w:rPr>
        <w:t>’</w:t>
      </w:r>
      <w:r w:rsidRPr="00716226">
        <w:rPr>
          <w:rFonts w:ascii="Arial" w:hAnsi="Arial"/>
          <w:sz w:val="22"/>
          <w:szCs w:val="22"/>
        </w:rPr>
        <w:t xml:space="preserve">utilisation de blé traditionnel. </w:t>
      </w:r>
      <w:r w:rsidR="00881504">
        <w:rPr>
          <w:rFonts w:ascii="Arial" w:hAnsi="Arial"/>
          <w:sz w:val="22"/>
          <w:szCs w:val="22"/>
        </w:rPr>
        <w:t>L</w:t>
      </w:r>
      <w:r w:rsidRPr="00716226">
        <w:rPr>
          <w:rFonts w:ascii="Arial" w:hAnsi="Arial"/>
          <w:sz w:val="22"/>
          <w:szCs w:val="22"/>
        </w:rPr>
        <w:t>es lettres de consentement ont été recueillies auprès d</w:t>
      </w:r>
      <w:r w:rsidR="003D1909">
        <w:rPr>
          <w:rFonts w:ascii="Arial" w:hAnsi="Arial"/>
          <w:sz w:val="22"/>
          <w:szCs w:val="22"/>
        </w:rPr>
        <w:t>’</w:t>
      </w:r>
      <w:r w:rsidRPr="00716226">
        <w:rPr>
          <w:rFonts w:ascii="Arial" w:hAnsi="Arial"/>
          <w:sz w:val="22"/>
          <w:szCs w:val="22"/>
        </w:rPr>
        <w:t>agriculteurs, de boulangers, d</w:t>
      </w:r>
      <w:r w:rsidR="003D1909">
        <w:rPr>
          <w:rFonts w:ascii="Arial" w:hAnsi="Arial"/>
          <w:sz w:val="22"/>
          <w:szCs w:val="22"/>
        </w:rPr>
        <w:t>’</w:t>
      </w:r>
      <w:r w:rsidRPr="00716226">
        <w:rPr>
          <w:rFonts w:ascii="Arial" w:hAnsi="Arial"/>
          <w:sz w:val="22"/>
          <w:szCs w:val="22"/>
        </w:rPr>
        <w:t>associations, de chercheurs, d</w:t>
      </w:r>
      <w:r w:rsidR="003D1909">
        <w:rPr>
          <w:rFonts w:ascii="Arial" w:hAnsi="Arial"/>
          <w:sz w:val="22"/>
          <w:szCs w:val="22"/>
        </w:rPr>
        <w:t>’</w:t>
      </w:r>
      <w:r w:rsidRPr="00716226">
        <w:rPr>
          <w:rFonts w:ascii="Arial" w:hAnsi="Arial"/>
          <w:sz w:val="22"/>
          <w:szCs w:val="22"/>
        </w:rPr>
        <w:t xml:space="preserve">organisations non gouvernementales et de sociétés privées </w:t>
      </w:r>
      <w:r w:rsidR="00881504">
        <w:rPr>
          <w:rFonts w:ascii="Arial" w:hAnsi="Arial"/>
          <w:sz w:val="22"/>
          <w:szCs w:val="22"/>
        </w:rPr>
        <w:t xml:space="preserve">provenant de différentes régions, </w:t>
      </w:r>
      <w:r w:rsidRPr="00716226">
        <w:rPr>
          <w:rFonts w:ascii="Arial" w:hAnsi="Arial"/>
          <w:sz w:val="22"/>
          <w:szCs w:val="22"/>
        </w:rPr>
        <w:t>grâce aux efforts coordonnés de l</w:t>
      </w:r>
      <w:r w:rsidR="003D1909">
        <w:rPr>
          <w:rFonts w:ascii="Arial" w:hAnsi="Arial"/>
          <w:sz w:val="22"/>
          <w:szCs w:val="22"/>
        </w:rPr>
        <w:t>’</w:t>
      </w:r>
      <w:r w:rsidRPr="00716226">
        <w:rPr>
          <w:rFonts w:ascii="Arial" w:hAnsi="Arial"/>
          <w:sz w:val="22"/>
          <w:szCs w:val="22"/>
        </w:rPr>
        <w:t>Association des producteurs de blé de Géorgie et de l</w:t>
      </w:r>
      <w:r w:rsidR="003D1909">
        <w:rPr>
          <w:rFonts w:ascii="Arial" w:hAnsi="Arial"/>
          <w:sz w:val="22"/>
          <w:szCs w:val="22"/>
        </w:rPr>
        <w:t>’</w:t>
      </w:r>
      <w:r w:rsidRPr="00716226">
        <w:rPr>
          <w:rFonts w:ascii="Arial" w:hAnsi="Arial"/>
          <w:sz w:val="22"/>
          <w:szCs w:val="22"/>
        </w:rPr>
        <w:t>Agence nationale pour la préservation du patrimoine culturel de Géorgie.</w:t>
      </w:r>
    </w:p>
    <w:p w14:paraId="400C4BD4" w14:textId="124EB3DE" w:rsidR="006D35D9" w:rsidRPr="00716226" w:rsidRDefault="006D35D9" w:rsidP="005060FE">
      <w:pPr>
        <w:pStyle w:val="ListParagraph"/>
        <w:spacing w:before="120" w:after="120"/>
        <w:ind w:left="1710" w:hanging="576"/>
        <w:contextualSpacing w:val="0"/>
        <w:jc w:val="both"/>
        <w:rPr>
          <w:rFonts w:ascii="Arial" w:hAnsi="Arial" w:cs="Arial"/>
          <w:sz w:val="22"/>
          <w:szCs w:val="22"/>
        </w:rPr>
      </w:pPr>
      <w:r w:rsidRPr="00716226">
        <w:rPr>
          <w:rFonts w:ascii="Arial" w:hAnsi="Arial"/>
          <w:sz w:val="22"/>
          <w:szCs w:val="22"/>
        </w:rPr>
        <w:t>U.5 :</w:t>
      </w:r>
      <w:r w:rsidRPr="00716226">
        <w:rPr>
          <w:rFonts w:ascii="Arial" w:hAnsi="Arial"/>
          <w:sz w:val="22"/>
          <w:szCs w:val="22"/>
        </w:rPr>
        <w:tab/>
        <w:t>En mars 2018, l</w:t>
      </w:r>
      <w:r w:rsidR="003D1909">
        <w:rPr>
          <w:rFonts w:ascii="Arial" w:hAnsi="Arial"/>
          <w:sz w:val="22"/>
          <w:szCs w:val="22"/>
        </w:rPr>
        <w:t>’</w:t>
      </w:r>
      <w:r w:rsidRPr="00716226">
        <w:rPr>
          <w:rFonts w:ascii="Arial" w:hAnsi="Arial"/>
          <w:sz w:val="22"/>
          <w:szCs w:val="22"/>
        </w:rPr>
        <w:t>élément « La culture du blé » a été inscrit dans l</w:t>
      </w:r>
      <w:r w:rsidR="003D1909">
        <w:rPr>
          <w:rFonts w:ascii="Arial" w:hAnsi="Arial"/>
          <w:sz w:val="22"/>
          <w:szCs w:val="22"/>
        </w:rPr>
        <w:t>’</w:t>
      </w:r>
      <w:r w:rsidRPr="00716226">
        <w:rPr>
          <w:rFonts w:ascii="Arial" w:hAnsi="Arial"/>
          <w:sz w:val="22"/>
          <w:szCs w:val="22"/>
        </w:rPr>
        <w:t>Inventaire national (Registre) du patrimoine culturel immatériel de Géorgie par l</w:t>
      </w:r>
      <w:r w:rsidR="003D1909">
        <w:rPr>
          <w:rFonts w:ascii="Arial" w:hAnsi="Arial"/>
          <w:sz w:val="22"/>
          <w:szCs w:val="22"/>
        </w:rPr>
        <w:t>’</w:t>
      </w:r>
      <w:r w:rsidRPr="00716226">
        <w:rPr>
          <w:rFonts w:ascii="Arial" w:hAnsi="Arial"/>
          <w:sz w:val="22"/>
          <w:szCs w:val="22"/>
        </w:rPr>
        <w:t>Agence nationale pour la préservation du patrimoine culturel de Géorgie. L</w:t>
      </w:r>
      <w:r w:rsidR="003D1909">
        <w:rPr>
          <w:rFonts w:ascii="Arial" w:hAnsi="Arial"/>
          <w:sz w:val="22"/>
          <w:szCs w:val="22"/>
        </w:rPr>
        <w:t>’</w:t>
      </w:r>
      <w:r w:rsidRPr="00716226">
        <w:rPr>
          <w:rFonts w:ascii="Arial" w:hAnsi="Arial"/>
          <w:sz w:val="22"/>
          <w:szCs w:val="22"/>
        </w:rPr>
        <w:t>Association des producteurs de blé de Géorgie et l</w:t>
      </w:r>
      <w:r w:rsidR="003D1909">
        <w:rPr>
          <w:rFonts w:ascii="Arial" w:hAnsi="Arial"/>
          <w:sz w:val="22"/>
          <w:szCs w:val="22"/>
        </w:rPr>
        <w:t>’</w:t>
      </w:r>
      <w:r w:rsidRPr="00716226">
        <w:rPr>
          <w:rFonts w:ascii="Arial" w:hAnsi="Arial"/>
          <w:sz w:val="22"/>
          <w:szCs w:val="22"/>
        </w:rPr>
        <w:t>Agence de la logistique et des services pour l</w:t>
      </w:r>
      <w:r w:rsidR="003D1909">
        <w:rPr>
          <w:rFonts w:ascii="Arial" w:hAnsi="Arial"/>
          <w:sz w:val="22"/>
          <w:szCs w:val="22"/>
        </w:rPr>
        <w:t>’</w:t>
      </w:r>
      <w:r w:rsidRPr="00716226">
        <w:rPr>
          <w:rFonts w:ascii="Arial" w:hAnsi="Arial"/>
          <w:sz w:val="22"/>
          <w:szCs w:val="22"/>
        </w:rPr>
        <w:t>agriculture ont consulté des détenteurs de l</w:t>
      </w:r>
      <w:r w:rsidR="003D1909">
        <w:rPr>
          <w:rFonts w:ascii="Arial" w:hAnsi="Arial"/>
          <w:sz w:val="22"/>
          <w:szCs w:val="22"/>
        </w:rPr>
        <w:t>’</w:t>
      </w:r>
      <w:r w:rsidRPr="00716226">
        <w:rPr>
          <w:rFonts w:ascii="Arial" w:hAnsi="Arial"/>
          <w:sz w:val="22"/>
          <w:szCs w:val="22"/>
        </w:rPr>
        <w:t>élément, des producteurs de blé, des communautés, des chercheurs et des organisations non gouvernementales.</w:t>
      </w:r>
    </w:p>
    <w:p w14:paraId="32C5D191" w14:textId="70B22155" w:rsidR="006D35D9" w:rsidRPr="00716226" w:rsidRDefault="006D35D9" w:rsidP="005060FE">
      <w:pPr>
        <w:pStyle w:val="ListParagraph"/>
        <w:numPr>
          <w:ilvl w:val="0"/>
          <w:numId w:val="21"/>
        </w:numPr>
        <w:spacing w:before="120" w:after="120"/>
        <w:ind w:left="1134" w:hanging="567"/>
        <w:contextualSpacing w:val="0"/>
        <w:jc w:val="both"/>
        <w:rPr>
          <w:rFonts w:ascii="Arial" w:hAnsi="Arial" w:cs="Arial"/>
          <w:sz w:val="22"/>
          <w:szCs w:val="22"/>
        </w:rPr>
      </w:pPr>
      <w:r w:rsidRPr="00716226">
        <w:rPr>
          <w:rFonts w:ascii="Arial" w:hAnsi="Arial"/>
          <w:sz w:val="22"/>
          <w:szCs w:val="22"/>
          <w:u w:val="single"/>
        </w:rPr>
        <w:t>Estime en outre</w:t>
      </w:r>
      <w:r w:rsidRPr="00716226">
        <w:rPr>
          <w:rFonts w:ascii="Arial" w:hAnsi="Arial"/>
          <w:sz w:val="22"/>
          <w:szCs w:val="22"/>
        </w:rPr>
        <w:t xml:space="preserve"> que les informations contenues dans le dossier ne sont pas suffisantes pour déterminer si les critères d</w:t>
      </w:r>
      <w:r w:rsidR="003D1909">
        <w:rPr>
          <w:rFonts w:ascii="Arial" w:hAnsi="Arial"/>
          <w:sz w:val="22"/>
          <w:szCs w:val="22"/>
        </w:rPr>
        <w:t>’</w:t>
      </w:r>
      <w:r w:rsidRPr="00716226">
        <w:rPr>
          <w:rFonts w:ascii="Arial" w:hAnsi="Arial"/>
          <w:sz w:val="22"/>
          <w:szCs w:val="22"/>
        </w:rPr>
        <w:t>inscription sur la Liste du patrimoine culturel immatériel nécessitant une sauvegarde urgente suivants sont satisfaits :</w:t>
      </w:r>
    </w:p>
    <w:p w14:paraId="6A058170" w14:textId="0F0E4F2C" w:rsidR="006D35D9" w:rsidRPr="00716226" w:rsidRDefault="006D35D9" w:rsidP="005060FE">
      <w:pPr>
        <w:pStyle w:val="ListParagraph"/>
        <w:spacing w:before="120" w:after="120"/>
        <w:ind w:left="1710" w:hanging="576"/>
        <w:contextualSpacing w:val="0"/>
        <w:jc w:val="both"/>
        <w:rPr>
          <w:rFonts w:ascii="Arial" w:hAnsi="Arial" w:cs="Arial"/>
          <w:noProof/>
          <w:sz w:val="22"/>
          <w:szCs w:val="22"/>
        </w:rPr>
      </w:pPr>
      <w:r w:rsidRPr="00716226">
        <w:rPr>
          <w:rFonts w:ascii="Arial" w:hAnsi="Arial"/>
          <w:sz w:val="22"/>
          <w:szCs w:val="22"/>
        </w:rPr>
        <w:t>U.1 :</w:t>
      </w:r>
      <w:r w:rsidRPr="00716226">
        <w:rPr>
          <w:rFonts w:ascii="Arial" w:hAnsi="Arial"/>
          <w:sz w:val="22"/>
          <w:szCs w:val="22"/>
        </w:rPr>
        <w:tab/>
        <w:t xml:space="preserve">Le dossier de candidature retrace les origines des espèces endémiques de blé </w:t>
      </w:r>
      <w:r w:rsidR="00881504">
        <w:rPr>
          <w:rFonts w:ascii="Arial" w:hAnsi="Arial"/>
          <w:sz w:val="22"/>
          <w:szCs w:val="22"/>
        </w:rPr>
        <w:t>en</w:t>
      </w:r>
      <w:r w:rsidRPr="00716226">
        <w:rPr>
          <w:rFonts w:ascii="Arial" w:hAnsi="Arial"/>
          <w:sz w:val="22"/>
          <w:szCs w:val="22"/>
        </w:rPr>
        <w:t xml:space="preserve"> Géorgie, jusqu</w:t>
      </w:r>
      <w:r w:rsidR="003D1909">
        <w:rPr>
          <w:rFonts w:ascii="Arial" w:hAnsi="Arial"/>
          <w:sz w:val="22"/>
          <w:szCs w:val="22"/>
        </w:rPr>
        <w:t>’</w:t>
      </w:r>
      <w:r w:rsidRPr="00716226">
        <w:rPr>
          <w:rFonts w:ascii="Arial" w:hAnsi="Arial"/>
          <w:sz w:val="22"/>
          <w:szCs w:val="22"/>
        </w:rPr>
        <w:t>à nos jours. Il rappelle également le rôle du blé dans la société géorgienne, de sa production à sa consommation. La communauté des détenteurs est identifiée. Toutefois, la description fournie ne permet pas de définir clairement « la culture du blé en Géorgie, culture et utilisation d</w:t>
      </w:r>
      <w:r w:rsidR="003D1909">
        <w:rPr>
          <w:rFonts w:ascii="Arial" w:hAnsi="Arial"/>
          <w:sz w:val="22"/>
          <w:szCs w:val="22"/>
        </w:rPr>
        <w:t>’</w:t>
      </w:r>
      <w:r w:rsidRPr="00716226">
        <w:rPr>
          <w:rFonts w:ascii="Arial" w:hAnsi="Arial"/>
          <w:sz w:val="22"/>
          <w:szCs w:val="22"/>
        </w:rPr>
        <w:t>espèces endémiques et de variétés locales de blé en Géorgie » comme un élément du patrimoine culturel immatériel. Cette description porte surtout sur des aspects historiques et agronomiques, l</w:t>
      </w:r>
      <w:r w:rsidR="003D1909">
        <w:rPr>
          <w:rFonts w:ascii="Arial" w:hAnsi="Arial"/>
          <w:sz w:val="22"/>
          <w:szCs w:val="22"/>
        </w:rPr>
        <w:t>’</w:t>
      </w:r>
      <w:r w:rsidRPr="00716226">
        <w:rPr>
          <w:rFonts w:ascii="Arial" w:hAnsi="Arial"/>
          <w:sz w:val="22"/>
          <w:szCs w:val="22"/>
        </w:rPr>
        <w:t>importance accordée aux aspects culturels des pratiques des détenteurs contemporains étant mineure. Les informations données ne suffisent pas pour expliquer pleinement la relation entre la diversité des espèces de blé et les expressions des connaissances et pratiques concernant la nature et l</w:t>
      </w:r>
      <w:r w:rsidR="003D1909">
        <w:rPr>
          <w:rFonts w:ascii="Arial" w:hAnsi="Arial"/>
          <w:sz w:val="22"/>
          <w:szCs w:val="22"/>
        </w:rPr>
        <w:t>’</w:t>
      </w:r>
      <w:r w:rsidRPr="00716226">
        <w:rPr>
          <w:rFonts w:ascii="Arial" w:hAnsi="Arial"/>
          <w:sz w:val="22"/>
          <w:szCs w:val="22"/>
        </w:rPr>
        <w:t>univers.</w:t>
      </w:r>
    </w:p>
    <w:p w14:paraId="704396C0" w14:textId="33001457" w:rsidR="006D35D9" w:rsidRPr="00716226" w:rsidRDefault="006D35D9" w:rsidP="005060FE">
      <w:pPr>
        <w:pStyle w:val="ListParagraph"/>
        <w:spacing w:before="120" w:after="120"/>
        <w:ind w:left="1710" w:hanging="576"/>
        <w:contextualSpacing w:val="0"/>
        <w:jc w:val="both"/>
        <w:rPr>
          <w:rFonts w:ascii="Arial" w:hAnsi="Arial" w:cs="Arial"/>
          <w:noProof/>
          <w:sz w:val="22"/>
          <w:szCs w:val="22"/>
        </w:rPr>
      </w:pPr>
      <w:r w:rsidRPr="00716226">
        <w:rPr>
          <w:rFonts w:ascii="Arial" w:hAnsi="Arial"/>
          <w:sz w:val="22"/>
          <w:szCs w:val="22"/>
        </w:rPr>
        <w:t>U.2 :</w:t>
      </w:r>
      <w:r w:rsidRPr="00716226">
        <w:rPr>
          <w:sz w:val="22"/>
          <w:szCs w:val="22"/>
        </w:rPr>
        <w:t xml:space="preserve"> </w:t>
      </w:r>
      <w:r w:rsidRPr="00716226">
        <w:rPr>
          <w:sz w:val="22"/>
          <w:szCs w:val="22"/>
        </w:rPr>
        <w:tab/>
      </w:r>
      <w:r w:rsidRPr="00716226">
        <w:rPr>
          <w:rFonts w:ascii="Arial" w:hAnsi="Arial"/>
          <w:sz w:val="22"/>
          <w:szCs w:val="22"/>
        </w:rPr>
        <w:t>La culture des espèces endémiques de blé est</w:t>
      </w:r>
      <w:r w:rsidR="003D6983">
        <w:rPr>
          <w:rFonts w:ascii="Arial" w:hAnsi="Arial"/>
          <w:sz w:val="22"/>
          <w:szCs w:val="22"/>
        </w:rPr>
        <w:t xml:space="preserve"> clairement</w:t>
      </w:r>
      <w:r w:rsidRPr="00716226">
        <w:rPr>
          <w:rFonts w:ascii="Arial" w:hAnsi="Arial"/>
          <w:sz w:val="22"/>
          <w:szCs w:val="22"/>
        </w:rPr>
        <w:t xml:space="preserve"> tombée dans l</w:t>
      </w:r>
      <w:r w:rsidR="003D1909">
        <w:rPr>
          <w:rFonts w:ascii="Arial" w:hAnsi="Arial"/>
          <w:sz w:val="22"/>
          <w:szCs w:val="22"/>
        </w:rPr>
        <w:t>’</w:t>
      </w:r>
      <w:r w:rsidRPr="00716226">
        <w:rPr>
          <w:rFonts w:ascii="Arial" w:hAnsi="Arial"/>
          <w:sz w:val="22"/>
          <w:szCs w:val="22"/>
        </w:rPr>
        <w:t xml:space="preserve">oubli pendant une grande partie du </w:t>
      </w:r>
      <w:r w:rsidR="00881504">
        <w:rPr>
          <w:rFonts w:ascii="Arial" w:hAnsi="Arial"/>
          <w:sz w:val="22"/>
          <w:szCs w:val="22"/>
        </w:rPr>
        <w:t>vingtième</w:t>
      </w:r>
      <w:r w:rsidR="00881504" w:rsidRPr="00716226">
        <w:rPr>
          <w:rFonts w:ascii="Arial" w:hAnsi="Arial"/>
          <w:sz w:val="22"/>
          <w:szCs w:val="22"/>
        </w:rPr>
        <w:t xml:space="preserve"> </w:t>
      </w:r>
      <w:r w:rsidRPr="00716226">
        <w:rPr>
          <w:rFonts w:ascii="Arial" w:hAnsi="Arial"/>
          <w:sz w:val="22"/>
          <w:szCs w:val="22"/>
        </w:rPr>
        <w:t xml:space="preserve">siècle, en raison des différents bouleversements politiques et économiques vécus par la population géorgienne. Toutefois, </w:t>
      </w:r>
      <w:r w:rsidR="003D6983">
        <w:rPr>
          <w:rFonts w:ascii="Arial" w:hAnsi="Arial"/>
          <w:sz w:val="22"/>
          <w:szCs w:val="22"/>
        </w:rPr>
        <w:t>depuis</w:t>
      </w:r>
      <w:r w:rsidR="003D6983" w:rsidRPr="00716226">
        <w:rPr>
          <w:rFonts w:ascii="Arial" w:hAnsi="Arial"/>
          <w:sz w:val="22"/>
          <w:szCs w:val="22"/>
        </w:rPr>
        <w:t xml:space="preserve"> </w:t>
      </w:r>
      <w:r w:rsidRPr="00716226">
        <w:rPr>
          <w:rFonts w:ascii="Arial" w:hAnsi="Arial"/>
          <w:sz w:val="22"/>
          <w:szCs w:val="22"/>
        </w:rPr>
        <w:t>les années 1990, plusieurs institutions publiques et privées ont commencé à promouvoir la collecte et la culture des espèces de blé en question, ainsi que les recherches dans ce domaine. C</w:t>
      </w:r>
      <w:r w:rsidR="003D1909">
        <w:rPr>
          <w:rFonts w:ascii="Arial" w:hAnsi="Arial"/>
          <w:sz w:val="22"/>
          <w:szCs w:val="22"/>
        </w:rPr>
        <w:t>’</w:t>
      </w:r>
      <w:r w:rsidRPr="00716226">
        <w:rPr>
          <w:rFonts w:ascii="Arial" w:hAnsi="Arial"/>
          <w:sz w:val="22"/>
          <w:szCs w:val="22"/>
        </w:rPr>
        <w:t>est sans aucun doute une évolution récente, mais elle semble principalement s</w:t>
      </w:r>
      <w:r w:rsidR="0051255A">
        <w:rPr>
          <w:rFonts w:ascii="Arial" w:hAnsi="Arial"/>
          <w:sz w:val="22"/>
          <w:szCs w:val="22"/>
        </w:rPr>
        <w:t>’exprimer en termes</w:t>
      </w:r>
      <w:r w:rsidRPr="00716226">
        <w:rPr>
          <w:rFonts w:ascii="Arial" w:hAnsi="Arial"/>
          <w:sz w:val="22"/>
          <w:szCs w:val="22"/>
        </w:rPr>
        <w:t xml:space="preserve"> économiques. Le dossier indique explicitement que la revitalisation de ces semences doit principalement reposer sur l</w:t>
      </w:r>
      <w:r w:rsidR="003D1909">
        <w:rPr>
          <w:rFonts w:ascii="Arial" w:hAnsi="Arial"/>
          <w:sz w:val="22"/>
          <w:szCs w:val="22"/>
        </w:rPr>
        <w:t>’</w:t>
      </w:r>
      <w:r w:rsidRPr="00716226">
        <w:rPr>
          <w:rFonts w:ascii="Arial" w:hAnsi="Arial"/>
          <w:sz w:val="22"/>
          <w:szCs w:val="22"/>
        </w:rPr>
        <w:t xml:space="preserve">élaboration par </w:t>
      </w:r>
      <w:r w:rsidR="00881504">
        <w:rPr>
          <w:rFonts w:ascii="Arial" w:hAnsi="Arial"/>
          <w:sz w:val="22"/>
          <w:szCs w:val="22"/>
        </w:rPr>
        <w:t>les autorités nationales</w:t>
      </w:r>
      <w:r w:rsidR="00881504" w:rsidRPr="00716226">
        <w:rPr>
          <w:rFonts w:ascii="Arial" w:hAnsi="Arial"/>
          <w:sz w:val="22"/>
          <w:szCs w:val="22"/>
        </w:rPr>
        <w:t xml:space="preserve"> </w:t>
      </w:r>
      <w:r w:rsidRPr="00716226">
        <w:rPr>
          <w:rFonts w:ascii="Arial" w:hAnsi="Arial"/>
          <w:sz w:val="22"/>
          <w:szCs w:val="22"/>
        </w:rPr>
        <w:t xml:space="preserve">de politiques agricoles appropriées. Néanmoins, il présente les connaissances des détenteurs, relatives à la culture du blé et aux pratiques culturelles associées (traditions, croyances, connaissances, folklore et </w:t>
      </w:r>
      <w:r w:rsidRPr="002F2C3D">
        <w:rPr>
          <w:rFonts w:ascii="Arial" w:hAnsi="Arial"/>
          <w:sz w:val="22"/>
          <w:szCs w:val="22"/>
        </w:rPr>
        <w:t>vocabulaire</w:t>
      </w:r>
      <w:r w:rsidRPr="00716226">
        <w:rPr>
          <w:rFonts w:ascii="Arial" w:hAnsi="Arial"/>
          <w:sz w:val="22"/>
          <w:szCs w:val="22"/>
        </w:rPr>
        <w:t xml:space="preserve">), comme </w:t>
      </w:r>
      <w:r w:rsidR="00C2157F">
        <w:rPr>
          <w:rFonts w:ascii="Arial" w:hAnsi="Arial"/>
          <w:sz w:val="22"/>
          <w:szCs w:val="22"/>
        </w:rPr>
        <w:t xml:space="preserve">un phénomène </w:t>
      </w:r>
      <w:r w:rsidRPr="00716226">
        <w:rPr>
          <w:rFonts w:ascii="Arial" w:hAnsi="Arial"/>
          <w:sz w:val="22"/>
          <w:szCs w:val="22"/>
        </w:rPr>
        <w:t>accessoire. Telles qu</w:t>
      </w:r>
      <w:r w:rsidR="003D1909">
        <w:rPr>
          <w:rFonts w:ascii="Arial" w:hAnsi="Arial"/>
          <w:sz w:val="22"/>
          <w:szCs w:val="22"/>
        </w:rPr>
        <w:t>’</w:t>
      </w:r>
      <w:r w:rsidRPr="00716226">
        <w:rPr>
          <w:rFonts w:ascii="Arial" w:hAnsi="Arial"/>
          <w:sz w:val="22"/>
          <w:szCs w:val="22"/>
        </w:rPr>
        <w:t>elles figurent dans le dossier de candidature, elles ne sont pas un facteur essentiel justifiant la sauvegarde urgente de l</w:t>
      </w:r>
      <w:r w:rsidR="003D1909">
        <w:rPr>
          <w:rFonts w:ascii="Arial" w:hAnsi="Arial"/>
          <w:sz w:val="22"/>
          <w:szCs w:val="22"/>
        </w:rPr>
        <w:t>’</w:t>
      </w:r>
      <w:r w:rsidRPr="00716226">
        <w:rPr>
          <w:rFonts w:ascii="Arial" w:hAnsi="Arial"/>
          <w:sz w:val="22"/>
          <w:szCs w:val="22"/>
        </w:rPr>
        <w:t>élément.</w:t>
      </w:r>
    </w:p>
    <w:p w14:paraId="6BFB479F" w14:textId="251920C7" w:rsidR="006D35D9" w:rsidRPr="00716226" w:rsidRDefault="006D35D9" w:rsidP="005060FE">
      <w:pPr>
        <w:pStyle w:val="ListParagraph"/>
        <w:spacing w:before="120" w:after="120"/>
        <w:ind w:left="1710" w:hanging="576"/>
        <w:contextualSpacing w:val="0"/>
        <w:jc w:val="both"/>
        <w:rPr>
          <w:rFonts w:ascii="Arial" w:hAnsi="Arial" w:cs="Arial"/>
          <w:sz w:val="22"/>
          <w:szCs w:val="22"/>
        </w:rPr>
      </w:pPr>
      <w:r w:rsidRPr="00716226">
        <w:rPr>
          <w:rFonts w:ascii="Arial" w:hAnsi="Arial"/>
          <w:sz w:val="22"/>
          <w:szCs w:val="22"/>
        </w:rPr>
        <w:t>U.3 :</w:t>
      </w:r>
      <w:r w:rsidRPr="00716226">
        <w:rPr>
          <w:rFonts w:ascii="Arial" w:hAnsi="Arial"/>
          <w:sz w:val="22"/>
          <w:szCs w:val="22"/>
        </w:rPr>
        <w:tab/>
        <w:t>L</w:t>
      </w:r>
      <w:r w:rsidR="003D1909">
        <w:rPr>
          <w:rFonts w:ascii="Arial" w:hAnsi="Arial"/>
          <w:sz w:val="22"/>
          <w:szCs w:val="22"/>
        </w:rPr>
        <w:t>’</w:t>
      </w:r>
      <w:r w:rsidRPr="00716226">
        <w:rPr>
          <w:rFonts w:ascii="Arial" w:hAnsi="Arial"/>
          <w:sz w:val="22"/>
          <w:szCs w:val="22"/>
        </w:rPr>
        <w:t>État partie a clairement mis en lumière les actions menées depuis les années 1990 pour favoriser la revitalisation de la culture des espèces endogènes de blé en Géorgie. Dans le même ordre d</w:t>
      </w:r>
      <w:r w:rsidR="003D1909">
        <w:rPr>
          <w:rFonts w:ascii="Arial" w:hAnsi="Arial"/>
          <w:sz w:val="22"/>
          <w:szCs w:val="22"/>
        </w:rPr>
        <w:t>’</w:t>
      </w:r>
      <w:r w:rsidRPr="00716226">
        <w:rPr>
          <w:rFonts w:ascii="Arial" w:hAnsi="Arial"/>
          <w:sz w:val="22"/>
          <w:szCs w:val="22"/>
        </w:rPr>
        <w:t>idées, le plan de sauvegarde proposé porte surtout sur la préservation et la restauration des espèces endémiques en tant que cultures céréalières, et insiste davantage sur les aspects biologiques et économiques que sur la sauvegarde de la « culture du blé géorgien » comme un élément du patrimoine culturel immatériel. Le dossier ne comprend pas suffisamment d</w:t>
      </w:r>
      <w:r w:rsidR="003D1909">
        <w:rPr>
          <w:rFonts w:ascii="Arial" w:hAnsi="Arial"/>
          <w:sz w:val="22"/>
          <w:szCs w:val="22"/>
        </w:rPr>
        <w:t>’</w:t>
      </w:r>
      <w:r w:rsidRPr="00716226">
        <w:rPr>
          <w:rFonts w:ascii="Arial" w:hAnsi="Arial"/>
          <w:sz w:val="22"/>
          <w:szCs w:val="22"/>
        </w:rPr>
        <w:t>informations sur les mesures concrètes visant à sauvegarder l</w:t>
      </w:r>
      <w:r w:rsidR="003D1909">
        <w:rPr>
          <w:rFonts w:ascii="Arial" w:hAnsi="Arial"/>
          <w:sz w:val="22"/>
          <w:szCs w:val="22"/>
        </w:rPr>
        <w:t>’</w:t>
      </w:r>
      <w:r w:rsidRPr="00716226">
        <w:rPr>
          <w:rFonts w:ascii="Arial" w:hAnsi="Arial"/>
          <w:sz w:val="22"/>
          <w:szCs w:val="22"/>
        </w:rPr>
        <w:t>élément.</w:t>
      </w:r>
    </w:p>
    <w:p w14:paraId="21F792FA" w14:textId="63355986" w:rsidR="006D35D9" w:rsidRPr="00716226" w:rsidRDefault="006D35D9" w:rsidP="005060FE">
      <w:pPr>
        <w:pStyle w:val="ListParagraph"/>
        <w:numPr>
          <w:ilvl w:val="0"/>
          <w:numId w:val="21"/>
        </w:numPr>
        <w:spacing w:before="120" w:after="120"/>
        <w:ind w:left="1134" w:hanging="567"/>
        <w:contextualSpacing w:val="0"/>
        <w:jc w:val="both"/>
        <w:rPr>
          <w:rFonts w:ascii="Arial" w:hAnsi="Arial" w:cs="Arial"/>
          <w:sz w:val="22"/>
          <w:szCs w:val="22"/>
        </w:rPr>
      </w:pPr>
      <w:r w:rsidRPr="00716226">
        <w:rPr>
          <w:rFonts w:ascii="Arial" w:hAnsi="Arial"/>
          <w:sz w:val="22"/>
          <w:szCs w:val="22"/>
          <w:u w:val="single"/>
        </w:rPr>
        <w:t>Décide de renvoyer</w:t>
      </w:r>
      <w:r w:rsidRPr="00716226">
        <w:rPr>
          <w:rFonts w:ascii="Arial" w:hAnsi="Arial"/>
          <w:sz w:val="22"/>
          <w:szCs w:val="22"/>
        </w:rPr>
        <w:t xml:space="preserve"> la candidature de </w:t>
      </w:r>
      <w:r w:rsidRPr="00716226">
        <w:rPr>
          <w:rFonts w:ascii="Arial" w:hAnsi="Arial"/>
          <w:b/>
          <w:sz w:val="22"/>
          <w:szCs w:val="22"/>
        </w:rPr>
        <w:t>la culture du blé en Géorgie, culture et utilisation d</w:t>
      </w:r>
      <w:r w:rsidR="003D1909">
        <w:rPr>
          <w:rFonts w:ascii="Arial" w:hAnsi="Arial"/>
          <w:b/>
          <w:sz w:val="22"/>
          <w:szCs w:val="22"/>
        </w:rPr>
        <w:t>’</w:t>
      </w:r>
      <w:r w:rsidRPr="00716226">
        <w:rPr>
          <w:rFonts w:ascii="Arial" w:hAnsi="Arial"/>
          <w:b/>
          <w:sz w:val="22"/>
          <w:szCs w:val="22"/>
        </w:rPr>
        <w:t>espèces endémiques et de variétés locales de blé en Géorgie</w:t>
      </w:r>
      <w:r w:rsidRPr="00716226">
        <w:rPr>
          <w:rFonts w:ascii="Arial" w:hAnsi="Arial"/>
          <w:sz w:val="22"/>
          <w:szCs w:val="22"/>
        </w:rPr>
        <w:t xml:space="preserve"> à l</w:t>
      </w:r>
      <w:r w:rsidR="003D1909">
        <w:rPr>
          <w:rFonts w:ascii="Arial" w:hAnsi="Arial"/>
          <w:sz w:val="22"/>
          <w:szCs w:val="22"/>
        </w:rPr>
        <w:t>’</w:t>
      </w:r>
      <w:r w:rsidRPr="00716226">
        <w:rPr>
          <w:rFonts w:ascii="Arial" w:hAnsi="Arial"/>
          <w:sz w:val="22"/>
          <w:szCs w:val="22"/>
        </w:rPr>
        <w:t>État partie soumissionnaire et l</w:t>
      </w:r>
      <w:r w:rsidR="003D1909">
        <w:rPr>
          <w:rFonts w:ascii="Arial" w:hAnsi="Arial"/>
          <w:sz w:val="22"/>
          <w:szCs w:val="22"/>
        </w:rPr>
        <w:t>’</w:t>
      </w:r>
      <w:r w:rsidRPr="00716226">
        <w:rPr>
          <w:rFonts w:ascii="Arial" w:hAnsi="Arial"/>
          <w:sz w:val="22"/>
          <w:szCs w:val="22"/>
          <w:u w:val="single"/>
        </w:rPr>
        <w:t>invite</w:t>
      </w:r>
      <w:r w:rsidRPr="00716226">
        <w:rPr>
          <w:rFonts w:ascii="Arial" w:hAnsi="Arial"/>
          <w:sz w:val="22"/>
          <w:szCs w:val="22"/>
        </w:rPr>
        <w:t xml:space="preserve"> à resoumettre la candidature </w:t>
      </w:r>
      <w:r w:rsidR="00EE2B83">
        <w:rPr>
          <w:rFonts w:ascii="Arial" w:hAnsi="Arial"/>
          <w:sz w:val="22"/>
          <w:szCs w:val="22"/>
        </w:rPr>
        <w:t xml:space="preserve">révisée </w:t>
      </w:r>
      <w:r w:rsidRPr="00716226">
        <w:rPr>
          <w:rFonts w:ascii="Arial" w:hAnsi="Arial"/>
          <w:sz w:val="22"/>
          <w:szCs w:val="22"/>
        </w:rPr>
        <w:t>au Comité pour examen au cours d</w:t>
      </w:r>
      <w:r w:rsidR="003D1909">
        <w:rPr>
          <w:rFonts w:ascii="Arial" w:hAnsi="Arial"/>
          <w:sz w:val="22"/>
          <w:szCs w:val="22"/>
        </w:rPr>
        <w:t>’</w:t>
      </w:r>
      <w:r w:rsidRPr="00716226">
        <w:rPr>
          <w:rFonts w:ascii="Arial" w:hAnsi="Arial"/>
          <w:sz w:val="22"/>
          <w:szCs w:val="22"/>
        </w:rPr>
        <w:t>un cycle ultérieur ;</w:t>
      </w:r>
    </w:p>
    <w:p w14:paraId="31CE502C" w14:textId="681B665A" w:rsidR="006D35D9" w:rsidRPr="00716226" w:rsidRDefault="006D35D9" w:rsidP="005060FE">
      <w:pPr>
        <w:pStyle w:val="ListParagraph"/>
        <w:numPr>
          <w:ilvl w:val="0"/>
          <w:numId w:val="21"/>
        </w:numPr>
        <w:spacing w:before="120" w:after="120"/>
        <w:ind w:left="1134" w:hanging="567"/>
        <w:contextualSpacing w:val="0"/>
        <w:jc w:val="both"/>
        <w:rPr>
          <w:rFonts w:ascii="Arial" w:hAnsi="Arial" w:cs="Arial"/>
          <w:noProof/>
          <w:sz w:val="22"/>
          <w:szCs w:val="22"/>
        </w:rPr>
      </w:pPr>
      <w:r w:rsidRPr="00716226">
        <w:rPr>
          <w:rFonts w:ascii="Arial" w:hAnsi="Arial"/>
          <w:sz w:val="22"/>
          <w:szCs w:val="22"/>
          <w:u w:val="single"/>
        </w:rPr>
        <w:t>Invite</w:t>
      </w:r>
      <w:r w:rsidR="00022E16">
        <w:rPr>
          <w:rFonts w:ascii="Arial" w:hAnsi="Arial"/>
          <w:sz w:val="22"/>
          <w:szCs w:val="22"/>
          <w:u w:val="single"/>
        </w:rPr>
        <w:t xml:space="preserve"> en outre</w:t>
      </w:r>
      <w:r w:rsidRPr="00716226">
        <w:rPr>
          <w:rFonts w:ascii="Arial" w:hAnsi="Arial"/>
          <w:sz w:val="22"/>
          <w:szCs w:val="22"/>
        </w:rPr>
        <w:t xml:space="preserve"> l</w:t>
      </w:r>
      <w:r w:rsidR="003D1909">
        <w:rPr>
          <w:rFonts w:ascii="Arial" w:hAnsi="Arial"/>
          <w:sz w:val="22"/>
          <w:szCs w:val="22"/>
        </w:rPr>
        <w:t>’</w:t>
      </w:r>
      <w:r w:rsidRPr="00716226">
        <w:rPr>
          <w:rFonts w:ascii="Arial" w:hAnsi="Arial"/>
          <w:sz w:val="22"/>
          <w:szCs w:val="22"/>
        </w:rPr>
        <w:t>État partie à renforcer la participation d</w:t>
      </w:r>
      <w:r w:rsidR="003D1909">
        <w:rPr>
          <w:rFonts w:ascii="Arial" w:hAnsi="Arial"/>
          <w:sz w:val="22"/>
          <w:szCs w:val="22"/>
        </w:rPr>
        <w:t>’</w:t>
      </w:r>
      <w:r w:rsidRPr="00716226">
        <w:rPr>
          <w:rFonts w:ascii="Arial" w:hAnsi="Arial"/>
          <w:sz w:val="22"/>
          <w:szCs w:val="22"/>
        </w:rPr>
        <w:t xml:space="preserve">organisations locales représentant différentes zones rurales, en dehors de celles qui se trouvent à </w:t>
      </w:r>
      <w:r w:rsidR="00C2157F" w:rsidRPr="00716226">
        <w:rPr>
          <w:rFonts w:ascii="Arial" w:hAnsi="Arial"/>
          <w:sz w:val="22"/>
          <w:szCs w:val="22"/>
        </w:rPr>
        <w:t>Tbilissi</w:t>
      </w:r>
      <w:r w:rsidRPr="00716226">
        <w:rPr>
          <w:rFonts w:ascii="Arial" w:hAnsi="Arial"/>
          <w:sz w:val="22"/>
          <w:szCs w:val="22"/>
        </w:rPr>
        <w:t> ;</w:t>
      </w:r>
    </w:p>
    <w:p w14:paraId="52E6692C" w14:textId="762B2AC6" w:rsidR="006D35D9" w:rsidRPr="00716226" w:rsidRDefault="006D35D9" w:rsidP="00700FB1">
      <w:pPr>
        <w:pStyle w:val="ListParagraph"/>
        <w:keepLines/>
        <w:numPr>
          <w:ilvl w:val="0"/>
          <w:numId w:val="21"/>
        </w:numPr>
        <w:spacing w:before="120" w:after="120"/>
        <w:ind w:left="1134" w:hanging="567"/>
        <w:contextualSpacing w:val="0"/>
        <w:jc w:val="both"/>
        <w:rPr>
          <w:rFonts w:ascii="Arial" w:hAnsi="Arial" w:cs="Arial"/>
          <w:noProof/>
          <w:sz w:val="22"/>
          <w:szCs w:val="22"/>
        </w:rPr>
      </w:pPr>
      <w:r w:rsidRPr="00716226">
        <w:rPr>
          <w:rFonts w:ascii="Arial" w:hAnsi="Arial"/>
          <w:sz w:val="22"/>
          <w:szCs w:val="22"/>
          <w:u w:val="single"/>
        </w:rPr>
        <w:t>Rappelle</w:t>
      </w:r>
      <w:r w:rsidRPr="00716226">
        <w:rPr>
          <w:rFonts w:ascii="Arial" w:hAnsi="Arial"/>
          <w:sz w:val="22"/>
          <w:szCs w:val="22"/>
        </w:rPr>
        <w:t xml:space="preserve"> à l</w:t>
      </w:r>
      <w:r w:rsidR="003D1909">
        <w:rPr>
          <w:rFonts w:ascii="Arial" w:hAnsi="Arial"/>
          <w:sz w:val="22"/>
          <w:szCs w:val="22"/>
        </w:rPr>
        <w:t>’</w:t>
      </w:r>
      <w:r w:rsidRPr="00716226">
        <w:rPr>
          <w:rFonts w:ascii="Arial" w:hAnsi="Arial"/>
          <w:sz w:val="22"/>
          <w:szCs w:val="22"/>
        </w:rPr>
        <w:t>État partie que la mise à jour est un aspect important du processus d</w:t>
      </w:r>
      <w:r w:rsidR="003D1909">
        <w:rPr>
          <w:rFonts w:ascii="Arial" w:hAnsi="Arial"/>
          <w:sz w:val="22"/>
          <w:szCs w:val="22"/>
        </w:rPr>
        <w:t>’</w:t>
      </w:r>
      <w:r w:rsidRPr="00716226">
        <w:rPr>
          <w:rFonts w:ascii="Arial" w:hAnsi="Arial"/>
          <w:sz w:val="22"/>
          <w:szCs w:val="22"/>
        </w:rPr>
        <w:t>élaboration des inventaires et l</w:t>
      </w:r>
      <w:r w:rsidR="003D1909">
        <w:rPr>
          <w:rFonts w:ascii="Arial" w:hAnsi="Arial"/>
          <w:sz w:val="22"/>
          <w:szCs w:val="22"/>
        </w:rPr>
        <w:t>’</w:t>
      </w:r>
      <w:r w:rsidRPr="00716226">
        <w:rPr>
          <w:rFonts w:ascii="Arial" w:hAnsi="Arial"/>
          <w:sz w:val="22"/>
          <w:szCs w:val="22"/>
          <w:u w:val="single"/>
        </w:rPr>
        <w:t>invite</w:t>
      </w:r>
      <w:r w:rsidR="00022E16">
        <w:rPr>
          <w:rFonts w:ascii="Arial" w:hAnsi="Arial"/>
          <w:sz w:val="22"/>
          <w:szCs w:val="22"/>
          <w:u w:val="single"/>
        </w:rPr>
        <w:t xml:space="preserve"> également</w:t>
      </w:r>
      <w:r w:rsidRPr="00716226">
        <w:rPr>
          <w:rFonts w:ascii="Arial" w:hAnsi="Arial"/>
          <w:sz w:val="22"/>
          <w:szCs w:val="22"/>
        </w:rPr>
        <w:t xml:space="preserve"> à </w:t>
      </w:r>
      <w:r w:rsidR="002F2C3D" w:rsidRPr="00700FB1">
        <w:rPr>
          <w:rFonts w:ascii="Arial" w:hAnsi="Arial"/>
          <w:sz w:val="22"/>
          <w:szCs w:val="22"/>
        </w:rPr>
        <w:t>apporter</w:t>
      </w:r>
      <w:r w:rsidRPr="002F2C3D">
        <w:rPr>
          <w:rFonts w:ascii="Arial" w:hAnsi="Arial"/>
          <w:sz w:val="22"/>
          <w:szCs w:val="22"/>
        </w:rPr>
        <w:t>,</w:t>
      </w:r>
      <w:r w:rsidR="002F2C3D" w:rsidRPr="00700FB1">
        <w:rPr>
          <w:rFonts w:ascii="Arial" w:hAnsi="Arial"/>
          <w:sz w:val="22"/>
          <w:szCs w:val="22"/>
        </w:rPr>
        <w:t xml:space="preserve"> dans le cas où il souhaite resoumettre une candidature </w:t>
      </w:r>
      <w:r w:rsidR="00AA18D2">
        <w:rPr>
          <w:rFonts w:ascii="Arial" w:hAnsi="Arial"/>
          <w:sz w:val="22"/>
          <w:szCs w:val="22"/>
        </w:rPr>
        <w:t>lors d’</w:t>
      </w:r>
      <w:r w:rsidR="002F2C3D" w:rsidRPr="00700FB1">
        <w:rPr>
          <w:rFonts w:ascii="Arial" w:hAnsi="Arial"/>
          <w:sz w:val="22"/>
          <w:szCs w:val="22"/>
        </w:rPr>
        <w:t xml:space="preserve">un cycle suivant, des informations détaillées </w:t>
      </w:r>
      <w:r w:rsidRPr="002F2C3D">
        <w:rPr>
          <w:rFonts w:ascii="Arial" w:hAnsi="Arial"/>
          <w:sz w:val="22"/>
          <w:szCs w:val="22"/>
        </w:rPr>
        <w:t>sur la mise en œuvre de la Convention au niveau national, sur la périodicité de la mise à jour de l</w:t>
      </w:r>
      <w:r w:rsidR="003D1909" w:rsidRPr="002F2C3D">
        <w:rPr>
          <w:rFonts w:ascii="Arial" w:hAnsi="Arial"/>
          <w:sz w:val="22"/>
          <w:szCs w:val="22"/>
        </w:rPr>
        <w:t>’</w:t>
      </w:r>
      <w:r w:rsidRPr="002F2C3D">
        <w:rPr>
          <w:rFonts w:ascii="Arial" w:hAnsi="Arial"/>
          <w:sz w:val="22"/>
          <w:szCs w:val="22"/>
        </w:rPr>
        <w:t>Inventaire national (Registre)</w:t>
      </w:r>
      <w:r w:rsidRPr="00716226">
        <w:rPr>
          <w:rFonts w:ascii="Arial" w:hAnsi="Arial"/>
          <w:sz w:val="22"/>
          <w:szCs w:val="22"/>
        </w:rPr>
        <w:t xml:space="preserve"> du patrimoine culturel immatériel de Géorgie, conformément à l</w:t>
      </w:r>
      <w:r w:rsidR="003D1909">
        <w:rPr>
          <w:rFonts w:ascii="Arial" w:hAnsi="Arial"/>
          <w:sz w:val="22"/>
          <w:szCs w:val="22"/>
        </w:rPr>
        <w:t>’</w:t>
      </w:r>
      <w:r w:rsidRPr="00716226">
        <w:rPr>
          <w:rFonts w:ascii="Arial" w:hAnsi="Arial"/>
          <w:sz w:val="22"/>
          <w:szCs w:val="22"/>
        </w:rPr>
        <w:t>article 12.1 de la Convention.</w:t>
      </w:r>
    </w:p>
    <w:p w14:paraId="6C5D97DF" w14:textId="645DEAF4" w:rsidR="006D35D9" w:rsidRPr="00716226" w:rsidRDefault="006D35D9" w:rsidP="00700FB1">
      <w:pPr>
        <w:keepNext/>
        <w:spacing w:before="360" w:after="120" w:line="240" w:lineRule="auto"/>
        <w:ind w:left="567"/>
        <w:jc w:val="both"/>
        <w:rPr>
          <w:rFonts w:ascii="Arial" w:hAnsi="Arial" w:cs="Arial"/>
          <w:b/>
          <w:bCs/>
        </w:rPr>
      </w:pPr>
      <w:bookmarkStart w:id="10" w:name="Decision_9a3"/>
      <w:r w:rsidRPr="00716226">
        <w:rPr>
          <w:rFonts w:ascii="Arial" w:hAnsi="Arial"/>
          <w:b/>
          <w:bCs/>
        </w:rPr>
        <w:t>PROJET DE DÉCISION 15.COM </w:t>
      </w:r>
      <w:r w:rsidR="00DC519C">
        <w:rPr>
          <w:rFonts w:ascii="Arial" w:hAnsi="Arial"/>
          <w:b/>
          <w:bCs/>
        </w:rPr>
        <w:t>8</w:t>
      </w:r>
      <w:r w:rsidRPr="00716226">
        <w:rPr>
          <w:rFonts w:ascii="Arial" w:hAnsi="Arial"/>
          <w:b/>
          <w:bCs/>
        </w:rPr>
        <w:t>.a.3</w:t>
      </w:r>
      <w:bookmarkEnd w:id="10"/>
      <w:r w:rsidRPr="00716226">
        <w:rPr>
          <w:rFonts w:ascii="Arial" w:hAnsi="Arial"/>
          <w:b/>
          <w:bCs/>
        </w:rPr>
        <w:tab/>
      </w:r>
      <w:r w:rsidRPr="00716226">
        <w:rPr>
          <w:noProof/>
          <w:color w:val="0000FF"/>
        </w:rPr>
        <w:drawing>
          <wp:inline distT="0" distB="0" distL="0" distR="0" wp14:anchorId="65EAC361" wp14:editId="74672437">
            <wp:extent cx="104775" cy="104775"/>
            <wp:effectExtent l="0" t="0" r="9525" b="9525"/>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D982C83" w14:textId="77777777" w:rsidR="006D35D9" w:rsidRPr="00716226" w:rsidRDefault="006D35D9" w:rsidP="005060FE">
      <w:pPr>
        <w:ind w:left="567"/>
        <w:jc w:val="both"/>
        <w:rPr>
          <w:rFonts w:ascii="Arial" w:hAnsi="Arial" w:cs="Arial"/>
        </w:rPr>
      </w:pPr>
      <w:r w:rsidRPr="00716226">
        <w:rPr>
          <w:rFonts w:ascii="Arial" w:hAnsi="Arial"/>
        </w:rPr>
        <w:t>Le Comité</w:t>
      </w:r>
    </w:p>
    <w:p w14:paraId="31F08A03" w14:textId="7114F15A" w:rsidR="006D35D9" w:rsidRPr="00716226" w:rsidRDefault="006D35D9" w:rsidP="005060FE">
      <w:pPr>
        <w:pStyle w:val="ListParagraph"/>
        <w:numPr>
          <w:ilvl w:val="0"/>
          <w:numId w:val="23"/>
        </w:numPr>
        <w:tabs>
          <w:tab w:val="left" w:pos="1276"/>
        </w:tabs>
        <w:spacing w:before="120" w:after="120"/>
        <w:ind w:left="1134" w:hanging="567"/>
        <w:contextualSpacing w:val="0"/>
        <w:jc w:val="both"/>
        <w:rPr>
          <w:rFonts w:ascii="Arial" w:hAnsi="Arial" w:cs="Arial"/>
          <w:sz w:val="22"/>
          <w:szCs w:val="22"/>
        </w:rPr>
      </w:pPr>
      <w:r w:rsidRPr="00716226">
        <w:rPr>
          <w:rFonts w:ascii="Arial" w:hAnsi="Arial"/>
          <w:sz w:val="22"/>
          <w:szCs w:val="22"/>
          <w:u w:val="single"/>
        </w:rPr>
        <w:t>Prend note</w:t>
      </w:r>
      <w:r w:rsidRPr="00716226">
        <w:rPr>
          <w:rFonts w:ascii="Arial" w:hAnsi="Arial"/>
          <w:sz w:val="22"/>
          <w:szCs w:val="22"/>
        </w:rPr>
        <w:t xml:space="preserve"> que l</w:t>
      </w:r>
      <w:r w:rsidR="003D1909">
        <w:rPr>
          <w:rFonts w:ascii="Arial" w:hAnsi="Arial"/>
          <w:sz w:val="22"/>
          <w:szCs w:val="22"/>
        </w:rPr>
        <w:t>’</w:t>
      </w:r>
      <w:r w:rsidRPr="00716226">
        <w:rPr>
          <w:rFonts w:ascii="Arial" w:hAnsi="Arial"/>
          <w:sz w:val="22"/>
          <w:szCs w:val="22"/>
        </w:rPr>
        <w:t xml:space="preserve">Égypte a proposé la candidature </w:t>
      </w:r>
      <w:r w:rsidRPr="00716226">
        <w:rPr>
          <w:rFonts w:ascii="Arial" w:hAnsi="Arial"/>
          <w:b/>
          <w:bCs/>
          <w:sz w:val="22"/>
          <w:szCs w:val="22"/>
        </w:rPr>
        <w:t>du tissage à la main en Haute-Égypte (Sa</w:t>
      </w:r>
      <w:r w:rsidR="003D1909">
        <w:rPr>
          <w:rFonts w:ascii="Arial" w:hAnsi="Arial"/>
          <w:b/>
          <w:bCs/>
          <w:sz w:val="22"/>
          <w:szCs w:val="22"/>
        </w:rPr>
        <w:t>’</w:t>
      </w:r>
      <w:r w:rsidRPr="00716226">
        <w:rPr>
          <w:rFonts w:ascii="Arial" w:hAnsi="Arial"/>
          <w:b/>
          <w:bCs/>
          <w:sz w:val="22"/>
          <w:szCs w:val="22"/>
        </w:rPr>
        <w:t>eed)</w:t>
      </w:r>
      <w:r w:rsidRPr="00716226">
        <w:rPr>
          <w:rFonts w:ascii="Arial" w:hAnsi="Arial"/>
          <w:sz w:val="22"/>
          <w:szCs w:val="22"/>
        </w:rPr>
        <w:t xml:space="preserve"> (n°</w:t>
      </w:r>
      <w:r w:rsidR="001946CF">
        <w:rPr>
          <w:rFonts w:ascii="Arial" w:hAnsi="Arial"/>
          <w:sz w:val="22"/>
          <w:szCs w:val="22"/>
        </w:rPr>
        <w:t> </w:t>
      </w:r>
      <w:r w:rsidRPr="00716226">
        <w:rPr>
          <w:rFonts w:ascii="Arial" w:hAnsi="Arial"/>
          <w:sz w:val="22"/>
          <w:szCs w:val="22"/>
        </w:rPr>
        <w:t>01605) pour inscription sur la Liste du patrimoine culturel immatériel nécessitant une sauvegarde urgente :</w:t>
      </w:r>
    </w:p>
    <w:p w14:paraId="73EB688F" w14:textId="2E079EA3" w:rsidR="006D35D9" w:rsidRPr="00716226" w:rsidRDefault="009C4B85" w:rsidP="005060FE">
      <w:pPr>
        <w:pStyle w:val="ListParagraph"/>
        <w:spacing w:before="120" w:after="120"/>
        <w:ind w:left="1134"/>
        <w:contextualSpacing w:val="0"/>
        <w:jc w:val="both"/>
        <w:rPr>
          <w:rFonts w:ascii="Arial" w:hAnsi="Arial" w:cs="Arial"/>
          <w:sz w:val="22"/>
          <w:szCs w:val="22"/>
        </w:rPr>
      </w:pPr>
      <w:r>
        <w:rPr>
          <w:rFonts w:ascii="Arial" w:hAnsi="Arial"/>
          <w:sz w:val="22"/>
          <w:szCs w:val="22"/>
        </w:rPr>
        <w:t>La tradition artisanale du</w:t>
      </w:r>
      <w:r w:rsidR="006D35D9" w:rsidRPr="00DA796F">
        <w:rPr>
          <w:rFonts w:ascii="Arial" w:hAnsi="Arial"/>
          <w:sz w:val="22"/>
          <w:szCs w:val="22"/>
        </w:rPr>
        <w:t xml:space="preserve"> tissage à la main en Haute-Égypte (Sa</w:t>
      </w:r>
      <w:r w:rsidR="003D1909" w:rsidRPr="00DA796F">
        <w:rPr>
          <w:rFonts w:ascii="Arial" w:hAnsi="Arial"/>
          <w:sz w:val="22"/>
          <w:szCs w:val="22"/>
        </w:rPr>
        <w:t>’</w:t>
      </w:r>
      <w:r w:rsidR="006D35D9" w:rsidRPr="00DA796F">
        <w:rPr>
          <w:rFonts w:ascii="Arial" w:hAnsi="Arial"/>
          <w:sz w:val="22"/>
          <w:szCs w:val="22"/>
        </w:rPr>
        <w:t>eed) est un processus complexe qui demande du temps, des efforts, de la patience et de la pratique</w:t>
      </w:r>
      <w:r w:rsidR="006D35D9" w:rsidRPr="00716226">
        <w:rPr>
          <w:rFonts w:ascii="Arial" w:hAnsi="Arial"/>
          <w:sz w:val="22"/>
          <w:szCs w:val="22"/>
        </w:rPr>
        <w:t>. De la fabrication du métier à l</w:t>
      </w:r>
      <w:r w:rsidR="003D1909">
        <w:rPr>
          <w:rFonts w:ascii="Arial" w:hAnsi="Arial"/>
          <w:sz w:val="22"/>
          <w:szCs w:val="22"/>
        </w:rPr>
        <w:t>’</w:t>
      </w:r>
      <w:r w:rsidR="006D35D9" w:rsidRPr="00716226">
        <w:rPr>
          <w:rFonts w:ascii="Arial" w:hAnsi="Arial"/>
          <w:sz w:val="22"/>
          <w:szCs w:val="22"/>
        </w:rPr>
        <w:t>obtention du produit fini, en passant par l</w:t>
      </w:r>
      <w:r w:rsidR="003D1909">
        <w:rPr>
          <w:rFonts w:ascii="Arial" w:hAnsi="Arial"/>
          <w:sz w:val="22"/>
          <w:szCs w:val="22"/>
        </w:rPr>
        <w:t>’</w:t>
      </w:r>
      <w:r w:rsidR="006D35D9" w:rsidRPr="00716226">
        <w:rPr>
          <w:rFonts w:ascii="Arial" w:hAnsi="Arial"/>
          <w:sz w:val="22"/>
          <w:szCs w:val="22"/>
        </w:rPr>
        <w:t>enfilage et le tissage, de nombreuses étapes et techniques sont nécessaires. C</w:t>
      </w:r>
      <w:r w:rsidR="003D1909">
        <w:rPr>
          <w:rFonts w:ascii="Arial" w:hAnsi="Arial"/>
          <w:sz w:val="22"/>
          <w:szCs w:val="22"/>
        </w:rPr>
        <w:t>’</w:t>
      </w:r>
      <w:r w:rsidR="006D35D9" w:rsidRPr="00716226">
        <w:rPr>
          <w:rFonts w:ascii="Arial" w:hAnsi="Arial"/>
          <w:sz w:val="22"/>
          <w:szCs w:val="22"/>
        </w:rPr>
        <w:t>est un travail de précision à l</w:t>
      </w:r>
      <w:r w:rsidR="003D1909">
        <w:rPr>
          <w:rFonts w:ascii="Arial" w:hAnsi="Arial"/>
          <w:sz w:val="22"/>
          <w:szCs w:val="22"/>
        </w:rPr>
        <w:t>’</w:t>
      </w:r>
      <w:r w:rsidR="006D35D9" w:rsidRPr="00716226">
        <w:rPr>
          <w:rFonts w:ascii="Arial" w:hAnsi="Arial"/>
          <w:sz w:val="22"/>
          <w:szCs w:val="22"/>
        </w:rPr>
        <w:t xml:space="preserve">exécution complexe. Depuis des siècles, les hommes et les femmes utilisent les connaissances et les talents </w:t>
      </w:r>
      <w:r w:rsidR="001946CF">
        <w:rPr>
          <w:rFonts w:ascii="Arial" w:hAnsi="Arial"/>
          <w:sz w:val="22"/>
          <w:szCs w:val="22"/>
        </w:rPr>
        <w:t xml:space="preserve">artistiques </w:t>
      </w:r>
      <w:r w:rsidR="006D35D9" w:rsidRPr="00716226">
        <w:rPr>
          <w:rFonts w:ascii="Arial" w:hAnsi="Arial"/>
          <w:sz w:val="22"/>
          <w:szCs w:val="22"/>
        </w:rPr>
        <w:t>transmis par les générations précédentes pour créer des textiles brodés, éléments de l</w:t>
      </w:r>
      <w:r w:rsidR="003D1909">
        <w:rPr>
          <w:rFonts w:ascii="Arial" w:hAnsi="Arial"/>
          <w:sz w:val="22"/>
          <w:szCs w:val="22"/>
        </w:rPr>
        <w:t>’</w:t>
      </w:r>
      <w:r w:rsidR="006D35D9" w:rsidRPr="00716226">
        <w:rPr>
          <w:rFonts w:ascii="Arial" w:hAnsi="Arial"/>
          <w:sz w:val="22"/>
          <w:szCs w:val="22"/>
        </w:rPr>
        <w:t xml:space="preserve">héritage familial, et en font leur métier. Les grands </w:t>
      </w:r>
      <w:r w:rsidR="006D35D9" w:rsidRPr="004D4B68">
        <w:rPr>
          <w:rFonts w:ascii="Arial" w:hAnsi="Arial"/>
          <w:sz w:val="22"/>
          <w:szCs w:val="22"/>
        </w:rPr>
        <w:t xml:space="preserve">principes </w:t>
      </w:r>
      <w:r w:rsidR="001946CF" w:rsidRPr="004D4B68">
        <w:rPr>
          <w:rFonts w:ascii="Arial" w:hAnsi="Arial"/>
          <w:sz w:val="22"/>
          <w:szCs w:val="22"/>
        </w:rPr>
        <w:t>du passé</w:t>
      </w:r>
      <w:r w:rsidR="001946CF" w:rsidRPr="00716226">
        <w:rPr>
          <w:rFonts w:ascii="Arial" w:hAnsi="Arial"/>
          <w:sz w:val="22"/>
          <w:szCs w:val="22"/>
        </w:rPr>
        <w:t xml:space="preserve"> </w:t>
      </w:r>
      <w:r w:rsidR="006D35D9" w:rsidRPr="00716226">
        <w:rPr>
          <w:rFonts w:ascii="Arial" w:hAnsi="Arial"/>
          <w:sz w:val="22"/>
          <w:szCs w:val="22"/>
        </w:rPr>
        <w:t>sont encore utilisés aujourd</w:t>
      </w:r>
      <w:r w:rsidR="003D1909">
        <w:rPr>
          <w:rFonts w:ascii="Arial" w:hAnsi="Arial"/>
          <w:sz w:val="22"/>
          <w:szCs w:val="22"/>
        </w:rPr>
        <w:t>’</w:t>
      </w:r>
      <w:r w:rsidR="006D35D9" w:rsidRPr="00716226">
        <w:rPr>
          <w:rFonts w:ascii="Arial" w:hAnsi="Arial"/>
          <w:sz w:val="22"/>
          <w:szCs w:val="22"/>
        </w:rPr>
        <w:t>hui, aussi bien pour le lin et le coton que pour la laine ou la soie. Toutefois, les usines de tissage qui utilisaient du fil de soie coûteux l</w:t>
      </w:r>
      <w:r w:rsidR="003D1909">
        <w:rPr>
          <w:rFonts w:ascii="Arial" w:hAnsi="Arial"/>
          <w:sz w:val="22"/>
          <w:szCs w:val="22"/>
        </w:rPr>
        <w:t>’</w:t>
      </w:r>
      <w:r w:rsidR="006D35D9" w:rsidRPr="00716226">
        <w:rPr>
          <w:rFonts w:ascii="Arial" w:hAnsi="Arial"/>
          <w:sz w:val="22"/>
          <w:szCs w:val="22"/>
        </w:rPr>
        <w:t>ont peu à peu remplacé par le coton afin d</w:t>
      </w:r>
      <w:r w:rsidR="003D1909">
        <w:rPr>
          <w:rFonts w:ascii="Arial" w:hAnsi="Arial"/>
          <w:sz w:val="22"/>
          <w:szCs w:val="22"/>
        </w:rPr>
        <w:t>’</w:t>
      </w:r>
      <w:r w:rsidR="006D35D9" w:rsidRPr="00716226">
        <w:rPr>
          <w:rFonts w:ascii="Arial" w:hAnsi="Arial"/>
          <w:sz w:val="22"/>
          <w:szCs w:val="22"/>
        </w:rPr>
        <w:t>améliorer leur rentabilité, et les petits métiers à tisser étroits ont cédé la place à des modèles plus larges. Le tissage à la main est une source d</w:t>
      </w:r>
      <w:r w:rsidR="003D1909">
        <w:rPr>
          <w:rFonts w:ascii="Arial" w:hAnsi="Arial"/>
          <w:sz w:val="22"/>
          <w:szCs w:val="22"/>
        </w:rPr>
        <w:t>’</w:t>
      </w:r>
      <w:r w:rsidR="006D35D9" w:rsidRPr="00716226">
        <w:rPr>
          <w:rFonts w:ascii="Arial" w:hAnsi="Arial"/>
          <w:sz w:val="22"/>
          <w:szCs w:val="22"/>
        </w:rPr>
        <w:t>identité et de fierté pour les communautés concernées, et la persistance de la terminologie du métier à tisser manuel témoigne de sa grande importance pour elles. Cependant, plusieurs menaces pèsent sur cette pratique. Elle n</w:t>
      </w:r>
      <w:r w:rsidR="003D1909">
        <w:rPr>
          <w:rFonts w:ascii="Arial" w:hAnsi="Arial"/>
          <w:sz w:val="22"/>
          <w:szCs w:val="22"/>
        </w:rPr>
        <w:t>’</w:t>
      </w:r>
      <w:r w:rsidR="006D35D9" w:rsidRPr="00716226">
        <w:rPr>
          <w:rFonts w:ascii="Arial" w:hAnsi="Arial"/>
          <w:sz w:val="22"/>
          <w:szCs w:val="22"/>
        </w:rPr>
        <w:t>est plus lucrative, il faut beaucoup d</w:t>
      </w:r>
      <w:r w:rsidR="003D1909">
        <w:rPr>
          <w:rFonts w:ascii="Arial" w:hAnsi="Arial"/>
          <w:sz w:val="22"/>
          <w:szCs w:val="22"/>
        </w:rPr>
        <w:t>’</w:t>
      </w:r>
      <w:r w:rsidR="006D35D9" w:rsidRPr="00716226">
        <w:rPr>
          <w:rFonts w:ascii="Arial" w:hAnsi="Arial"/>
          <w:sz w:val="22"/>
          <w:szCs w:val="22"/>
        </w:rPr>
        <w:t>espace pour installer le métier et le matériel est coûteux. Le tissage est donc négligé et n</w:t>
      </w:r>
      <w:r w:rsidR="003D1909">
        <w:rPr>
          <w:rFonts w:ascii="Arial" w:hAnsi="Arial"/>
          <w:sz w:val="22"/>
          <w:szCs w:val="22"/>
        </w:rPr>
        <w:t>’</w:t>
      </w:r>
      <w:r w:rsidR="006D35D9" w:rsidRPr="00716226">
        <w:rPr>
          <w:rFonts w:ascii="Arial" w:hAnsi="Arial"/>
          <w:sz w:val="22"/>
          <w:szCs w:val="22"/>
        </w:rPr>
        <w:t>est plus transmis comme par le passé. On estime que la formation d</w:t>
      </w:r>
      <w:r w:rsidR="003D1909">
        <w:rPr>
          <w:rFonts w:ascii="Arial" w:hAnsi="Arial"/>
          <w:sz w:val="22"/>
          <w:szCs w:val="22"/>
        </w:rPr>
        <w:t>’</w:t>
      </w:r>
      <w:r w:rsidR="006D35D9" w:rsidRPr="00716226">
        <w:rPr>
          <w:rFonts w:ascii="Arial" w:hAnsi="Arial"/>
          <w:sz w:val="22"/>
          <w:szCs w:val="22"/>
        </w:rPr>
        <w:t>une nouvelle génération de jeunes tisserands pourrait être une solution au problème croissant que représente le chômage dans les communautés concernées.</w:t>
      </w:r>
    </w:p>
    <w:p w14:paraId="29171D21" w14:textId="2AB12574" w:rsidR="006D35D9" w:rsidRPr="00716226" w:rsidRDefault="006D35D9" w:rsidP="005060FE">
      <w:pPr>
        <w:pStyle w:val="ListParagraph"/>
        <w:numPr>
          <w:ilvl w:val="0"/>
          <w:numId w:val="23"/>
        </w:numPr>
        <w:tabs>
          <w:tab w:val="left" w:pos="1701"/>
        </w:tabs>
        <w:spacing w:before="120" w:after="120"/>
        <w:ind w:left="1134" w:hanging="567"/>
        <w:contextualSpacing w:val="0"/>
        <w:jc w:val="both"/>
        <w:rPr>
          <w:rFonts w:ascii="Arial" w:hAnsi="Arial" w:cs="Arial"/>
          <w:sz w:val="22"/>
          <w:szCs w:val="22"/>
        </w:rPr>
      </w:pPr>
      <w:r w:rsidRPr="00716226">
        <w:rPr>
          <w:rFonts w:ascii="Arial" w:hAnsi="Arial"/>
          <w:sz w:val="22"/>
          <w:szCs w:val="22"/>
          <w:u w:val="single"/>
        </w:rPr>
        <w:t>Estime</w:t>
      </w:r>
      <w:r w:rsidRPr="00716226">
        <w:rPr>
          <w:rFonts w:ascii="Arial" w:hAnsi="Arial"/>
          <w:sz w:val="22"/>
          <w:szCs w:val="22"/>
        </w:rPr>
        <w:t xml:space="preserve"> que, d</w:t>
      </w:r>
      <w:r w:rsidR="003D1909">
        <w:rPr>
          <w:rFonts w:ascii="Arial" w:hAnsi="Arial"/>
          <w:sz w:val="22"/>
          <w:szCs w:val="22"/>
        </w:rPr>
        <w:t>’</w:t>
      </w:r>
      <w:r w:rsidRPr="00716226">
        <w:rPr>
          <w:rFonts w:ascii="Arial" w:hAnsi="Arial"/>
          <w:sz w:val="22"/>
          <w:szCs w:val="22"/>
        </w:rPr>
        <w:t>après les informations contenues dans le dossier, la candidature satisfait aux critères d</w:t>
      </w:r>
      <w:r w:rsidR="003D1909">
        <w:rPr>
          <w:rFonts w:ascii="Arial" w:hAnsi="Arial"/>
          <w:sz w:val="22"/>
          <w:szCs w:val="22"/>
        </w:rPr>
        <w:t>’</w:t>
      </w:r>
      <w:r w:rsidRPr="00716226">
        <w:rPr>
          <w:rFonts w:ascii="Arial" w:hAnsi="Arial"/>
          <w:sz w:val="22"/>
          <w:szCs w:val="22"/>
        </w:rPr>
        <w:t>inscription sur la Liste du patrimoine culturel immatériel nécessitant une sauvegarde urgente comme suit :</w:t>
      </w:r>
    </w:p>
    <w:p w14:paraId="76C5331B" w14:textId="67D9D8CA" w:rsidR="006D35D9" w:rsidRPr="00716226" w:rsidRDefault="006D35D9" w:rsidP="005060FE">
      <w:pPr>
        <w:pStyle w:val="ListParagraph"/>
        <w:spacing w:before="120" w:after="120"/>
        <w:ind w:left="1710" w:hanging="576"/>
        <w:contextualSpacing w:val="0"/>
        <w:jc w:val="both"/>
        <w:rPr>
          <w:rFonts w:ascii="Arial" w:hAnsi="Arial" w:cs="Arial"/>
          <w:noProof/>
          <w:sz w:val="22"/>
          <w:szCs w:val="22"/>
        </w:rPr>
      </w:pPr>
      <w:r w:rsidRPr="00716226">
        <w:rPr>
          <w:rFonts w:ascii="Arial" w:hAnsi="Arial"/>
          <w:sz w:val="22"/>
          <w:szCs w:val="22"/>
        </w:rPr>
        <w:t>U.1 :</w:t>
      </w:r>
      <w:r w:rsidRPr="00716226">
        <w:rPr>
          <w:rFonts w:ascii="Arial" w:hAnsi="Arial"/>
          <w:sz w:val="22"/>
          <w:szCs w:val="22"/>
        </w:rPr>
        <w:tab/>
        <w:t>Le tissage à la main en Haute-Égypte (Sa</w:t>
      </w:r>
      <w:r w:rsidR="003D1909">
        <w:rPr>
          <w:rFonts w:ascii="Arial" w:hAnsi="Arial"/>
          <w:sz w:val="22"/>
          <w:szCs w:val="22"/>
        </w:rPr>
        <w:t>’</w:t>
      </w:r>
      <w:r w:rsidRPr="00716226">
        <w:rPr>
          <w:rFonts w:ascii="Arial" w:hAnsi="Arial"/>
          <w:sz w:val="22"/>
          <w:szCs w:val="22"/>
        </w:rPr>
        <w:t>eed) est un savoir-faire lié à plusieurs formes d</w:t>
      </w:r>
      <w:r w:rsidR="003D1909">
        <w:rPr>
          <w:rFonts w:ascii="Arial" w:hAnsi="Arial"/>
          <w:sz w:val="22"/>
          <w:szCs w:val="22"/>
        </w:rPr>
        <w:t>’</w:t>
      </w:r>
      <w:r w:rsidRPr="00716226">
        <w:rPr>
          <w:rFonts w:ascii="Arial" w:hAnsi="Arial"/>
          <w:sz w:val="22"/>
          <w:szCs w:val="22"/>
        </w:rPr>
        <w:t>artisanat traditionnel, dont la pratique a favorisé le développement d</w:t>
      </w:r>
      <w:r w:rsidR="003D1909">
        <w:rPr>
          <w:rFonts w:ascii="Arial" w:hAnsi="Arial"/>
          <w:sz w:val="22"/>
          <w:szCs w:val="22"/>
        </w:rPr>
        <w:t>’</w:t>
      </w:r>
      <w:r w:rsidRPr="00716226">
        <w:rPr>
          <w:rFonts w:ascii="Arial" w:hAnsi="Arial"/>
          <w:sz w:val="22"/>
          <w:szCs w:val="22"/>
        </w:rPr>
        <w:t>expressions orales relatives à la vie quotidienne des communautés de détenteurs. Ces communautés reconnaissent la pratique comme un élément de leur patrimoine traditionnel. Pour ses praticiens, le tissage à la main est une source d</w:t>
      </w:r>
      <w:r w:rsidR="003D1909">
        <w:rPr>
          <w:rFonts w:ascii="Arial" w:hAnsi="Arial"/>
          <w:sz w:val="22"/>
          <w:szCs w:val="22"/>
        </w:rPr>
        <w:t>’</w:t>
      </w:r>
      <w:r w:rsidRPr="00716226">
        <w:rPr>
          <w:rFonts w:ascii="Arial" w:hAnsi="Arial"/>
          <w:sz w:val="22"/>
          <w:szCs w:val="22"/>
        </w:rPr>
        <w:t>identité et de fierté. Le tissage à la main est transmis principalement par la simulation</w:t>
      </w:r>
      <w:r w:rsidR="005C444B">
        <w:rPr>
          <w:rFonts w:ascii="Arial" w:hAnsi="Arial"/>
          <w:sz w:val="22"/>
          <w:szCs w:val="22"/>
        </w:rPr>
        <w:t> :</w:t>
      </w:r>
      <w:r w:rsidRPr="00716226">
        <w:rPr>
          <w:rFonts w:ascii="Arial" w:hAnsi="Arial"/>
          <w:sz w:val="22"/>
          <w:szCs w:val="22"/>
        </w:rPr>
        <w:t xml:space="preserve"> </w:t>
      </w:r>
      <w:r w:rsidR="005C444B">
        <w:rPr>
          <w:rFonts w:ascii="Arial" w:hAnsi="Arial"/>
          <w:sz w:val="22"/>
          <w:szCs w:val="22"/>
        </w:rPr>
        <w:t>l</w:t>
      </w:r>
      <w:r w:rsidRPr="00716226">
        <w:rPr>
          <w:rFonts w:ascii="Arial" w:hAnsi="Arial"/>
          <w:sz w:val="22"/>
          <w:szCs w:val="22"/>
        </w:rPr>
        <w:t xml:space="preserve">es </w:t>
      </w:r>
      <w:r w:rsidR="00B15D71">
        <w:rPr>
          <w:rFonts w:ascii="Arial" w:hAnsi="Arial"/>
          <w:sz w:val="22"/>
          <w:szCs w:val="22"/>
        </w:rPr>
        <w:t>apprentis</w:t>
      </w:r>
      <w:r w:rsidR="00B15D71" w:rsidRPr="00716226">
        <w:rPr>
          <w:rFonts w:ascii="Arial" w:hAnsi="Arial"/>
          <w:sz w:val="22"/>
          <w:szCs w:val="22"/>
        </w:rPr>
        <w:t xml:space="preserve"> </w:t>
      </w:r>
      <w:r w:rsidRPr="00716226">
        <w:rPr>
          <w:rFonts w:ascii="Arial" w:hAnsi="Arial"/>
          <w:sz w:val="22"/>
          <w:szCs w:val="22"/>
        </w:rPr>
        <w:t>acquièrent des connaissances oralement, en reproduisant les techniques des anciens</w:t>
      </w:r>
      <w:r w:rsidRPr="00700FB1">
        <w:rPr>
          <w:rFonts w:ascii="Arial" w:hAnsi="Arial"/>
          <w:sz w:val="22"/>
          <w:szCs w:val="22"/>
        </w:rPr>
        <w:t>. L</w:t>
      </w:r>
      <w:r w:rsidR="003D1909" w:rsidRPr="00700FB1">
        <w:rPr>
          <w:rFonts w:ascii="Arial" w:hAnsi="Arial"/>
          <w:sz w:val="22"/>
          <w:szCs w:val="22"/>
        </w:rPr>
        <w:t>’</w:t>
      </w:r>
      <w:r w:rsidRPr="00700FB1">
        <w:rPr>
          <w:rFonts w:ascii="Arial" w:hAnsi="Arial"/>
          <w:sz w:val="22"/>
          <w:szCs w:val="22"/>
        </w:rPr>
        <w:t>artisanat est toutefois de moins en moins transmis au sein des familles,</w:t>
      </w:r>
      <w:r w:rsidRPr="00716226">
        <w:rPr>
          <w:rFonts w:ascii="Arial" w:hAnsi="Arial"/>
          <w:sz w:val="22"/>
          <w:szCs w:val="22"/>
        </w:rPr>
        <w:t xml:space="preserve"> tant comme héritage </w:t>
      </w:r>
      <w:r w:rsidR="007A0988">
        <w:rPr>
          <w:rFonts w:ascii="Arial" w:hAnsi="Arial"/>
          <w:sz w:val="22"/>
          <w:szCs w:val="22"/>
        </w:rPr>
        <w:t xml:space="preserve">familial </w:t>
      </w:r>
      <w:r w:rsidRPr="00716226">
        <w:rPr>
          <w:rFonts w:ascii="Arial" w:hAnsi="Arial"/>
          <w:sz w:val="22"/>
          <w:szCs w:val="22"/>
        </w:rPr>
        <w:t>que comme profession, essentiellement pour des raisons économiques, ce qui influe sur le taux de transmission du savoir-faire et de l</w:t>
      </w:r>
      <w:r w:rsidR="003D1909">
        <w:rPr>
          <w:rFonts w:ascii="Arial" w:hAnsi="Arial"/>
          <w:sz w:val="22"/>
          <w:szCs w:val="22"/>
        </w:rPr>
        <w:t>’</w:t>
      </w:r>
      <w:r w:rsidRPr="00716226">
        <w:rPr>
          <w:rFonts w:ascii="Arial" w:hAnsi="Arial"/>
          <w:sz w:val="22"/>
          <w:szCs w:val="22"/>
        </w:rPr>
        <w:t>artisanat dans la communauté.</w:t>
      </w:r>
    </w:p>
    <w:p w14:paraId="064694E3" w14:textId="35F11708" w:rsidR="006D35D9" w:rsidRPr="00716226" w:rsidRDefault="006D35D9" w:rsidP="005060FE">
      <w:pPr>
        <w:pStyle w:val="ListParagraph"/>
        <w:spacing w:before="120" w:after="120"/>
        <w:ind w:left="1710" w:hanging="576"/>
        <w:contextualSpacing w:val="0"/>
        <w:jc w:val="both"/>
        <w:rPr>
          <w:rFonts w:ascii="Arial" w:hAnsi="Arial" w:cs="Arial"/>
          <w:noProof/>
          <w:sz w:val="22"/>
          <w:szCs w:val="22"/>
        </w:rPr>
      </w:pPr>
      <w:r w:rsidRPr="00716226">
        <w:rPr>
          <w:rFonts w:ascii="Arial" w:hAnsi="Arial"/>
          <w:sz w:val="22"/>
          <w:szCs w:val="22"/>
        </w:rPr>
        <w:t>U.2 :</w:t>
      </w:r>
      <w:r w:rsidRPr="00716226">
        <w:rPr>
          <w:rFonts w:ascii="Arial" w:hAnsi="Arial"/>
          <w:sz w:val="22"/>
          <w:szCs w:val="22"/>
        </w:rPr>
        <w:tab/>
        <w:t>Le tissage à la main est reconnu comme un artisanat traditionnel dans toute l</w:t>
      </w:r>
      <w:r w:rsidR="003D1909">
        <w:rPr>
          <w:rFonts w:ascii="Arial" w:hAnsi="Arial"/>
          <w:sz w:val="22"/>
          <w:szCs w:val="22"/>
        </w:rPr>
        <w:t>’</w:t>
      </w:r>
      <w:r w:rsidRPr="00716226">
        <w:rPr>
          <w:rFonts w:ascii="Arial" w:hAnsi="Arial"/>
          <w:sz w:val="22"/>
          <w:szCs w:val="22"/>
        </w:rPr>
        <w:t>Égypte mais il est concentré dans les communautés de Haute-Égypte. Aujourd</w:t>
      </w:r>
      <w:r w:rsidR="003D1909">
        <w:rPr>
          <w:rFonts w:ascii="Arial" w:hAnsi="Arial"/>
          <w:sz w:val="22"/>
          <w:szCs w:val="22"/>
        </w:rPr>
        <w:t>’</w:t>
      </w:r>
      <w:r w:rsidRPr="00716226">
        <w:rPr>
          <w:rFonts w:ascii="Arial" w:hAnsi="Arial"/>
          <w:sz w:val="22"/>
          <w:szCs w:val="22"/>
        </w:rPr>
        <w:t>hui, diverses circonstances économiques</w:t>
      </w:r>
      <w:r w:rsidR="00B15D71">
        <w:rPr>
          <w:rFonts w:ascii="Arial" w:hAnsi="Arial"/>
          <w:sz w:val="22"/>
          <w:szCs w:val="22"/>
        </w:rPr>
        <w:t xml:space="preserve"> et</w:t>
      </w:r>
      <w:r w:rsidRPr="00716226">
        <w:rPr>
          <w:rFonts w:ascii="Arial" w:hAnsi="Arial"/>
          <w:sz w:val="22"/>
          <w:szCs w:val="22"/>
        </w:rPr>
        <w:t xml:space="preserve"> techniques expliquent pourquoi </w:t>
      </w:r>
      <w:r w:rsidR="00B15D71">
        <w:rPr>
          <w:rFonts w:ascii="Arial" w:hAnsi="Arial"/>
          <w:sz w:val="22"/>
          <w:szCs w:val="22"/>
        </w:rPr>
        <w:t xml:space="preserve">la viabilité de </w:t>
      </w:r>
      <w:r w:rsidRPr="00716226">
        <w:rPr>
          <w:rFonts w:ascii="Arial" w:hAnsi="Arial"/>
          <w:sz w:val="22"/>
          <w:szCs w:val="22"/>
        </w:rPr>
        <w:t xml:space="preserve">cet artisanat </w:t>
      </w:r>
      <w:r w:rsidR="00B15D71">
        <w:rPr>
          <w:rFonts w:ascii="Arial" w:hAnsi="Arial"/>
          <w:sz w:val="22"/>
          <w:szCs w:val="22"/>
        </w:rPr>
        <w:t>a été sévèrement affecté</w:t>
      </w:r>
      <w:r w:rsidRPr="00716226">
        <w:rPr>
          <w:rFonts w:ascii="Arial" w:hAnsi="Arial"/>
          <w:sz w:val="22"/>
          <w:szCs w:val="22"/>
        </w:rPr>
        <w:t xml:space="preserve">. </w:t>
      </w:r>
      <w:r w:rsidR="002B3C25">
        <w:rPr>
          <w:rFonts w:ascii="Arial" w:hAnsi="Arial"/>
          <w:sz w:val="22"/>
          <w:szCs w:val="22"/>
        </w:rPr>
        <w:t>Les</w:t>
      </w:r>
      <w:r w:rsidR="002B3C25" w:rsidRPr="00716226">
        <w:rPr>
          <w:rFonts w:ascii="Arial" w:hAnsi="Arial"/>
          <w:sz w:val="22"/>
          <w:szCs w:val="22"/>
        </w:rPr>
        <w:t xml:space="preserve"> </w:t>
      </w:r>
      <w:r w:rsidRPr="00716226">
        <w:rPr>
          <w:rFonts w:ascii="Arial" w:hAnsi="Arial"/>
          <w:sz w:val="22"/>
          <w:szCs w:val="22"/>
        </w:rPr>
        <w:t>menaces pesant sur la transmission et la réalisation de l</w:t>
      </w:r>
      <w:r w:rsidR="003D1909">
        <w:rPr>
          <w:rFonts w:ascii="Arial" w:hAnsi="Arial"/>
          <w:sz w:val="22"/>
          <w:szCs w:val="22"/>
        </w:rPr>
        <w:t>’</w:t>
      </w:r>
      <w:r w:rsidRPr="00716226">
        <w:rPr>
          <w:rFonts w:ascii="Arial" w:hAnsi="Arial"/>
          <w:sz w:val="22"/>
          <w:szCs w:val="22"/>
        </w:rPr>
        <w:t xml:space="preserve">élément </w:t>
      </w:r>
      <w:r w:rsidR="002B3C25">
        <w:rPr>
          <w:rFonts w:ascii="Arial" w:hAnsi="Arial"/>
          <w:sz w:val="22"/>
          <w:szCs w:val="22"/>
        </w:rPr>
        <w:t>sont</w:t>
      </w:r>
      <w:r w:rsidRPr="00716226">
        <w:rPr>
          <w:rFonts w:ascii="Arial" w:hAnsi="Arial"/>
          <w:sz w:val="22"/>
          <w:szCs w:val="22"/>
        </w:rPr>
        <w:t> : une perte d</w:t>
      </w:r>
      <w:r w:rsidR="003D1909">
        <w:rPr>
          <w:rFonts w:ascii="Arial" w:hAnsi="Arial"/>
          <w:sz w:val="22"/>
          <w:szCs w:val="22"/>
        </w:rPr>
        <w:t>’</w:t>
      </w:r>
      <w:r w:rsidRPr="00716226">
        <w:rPr>
          <w:rFonts w:ascii="Arial" w:hAnsi="Arial"/>
          <w:sz w:val="22"/>
          <w:szCs w:val="22"/>
        </w:rPr>
        <w:t>intérêt pour l</w:t>
      </w:r>
      <w:r w:rsidR="003D1909">
        <w:rPr>
          <w:rFonts w:ascii="Arial" w:hAnsi="Arial"/>
          <w:sz w:val="22"/>
          <w:szCs w:val="22"/>
        </w:rPr>
        <w:t>’</w:t>
      </w:r>
      <w:r w:rsidRPr="00716226">
        <w:rPr>
          <w:rFonts w:ascii="Arial" w:hAnsi="Arial"/>
          <w:sz w:val="22"/>
          <w:szCs w:val="22"/>
        </w:rPr>
        <w:t>artisanat qui se traduit par une forte diminution de la transmission des connaissances et des savoir-faire associés, dans un contexte marqué par les progrès technologiques ; l</w:t>
      </w:r>
      <w:r w:rsidR="003D1909">
        <w:rPr>
          <w:rFonts w:ascii="Arial" w:hAnsi="Arial"/>
          <w:sz w:val="22"/>
          <w:szCs w:val="22"/>
        </w:rPr>
        <w:t>’</w:t>
      </w:r>
      <w:r w:rsidRPr="00716226">
        <w:rPr>
          <w:rFonts w:ascii="Arial" w:hAnsi="Arial"/>
          <w:sz w:val="22"/>
          <w:szCs w:val="22"/>
        </w:rPr>
        <w:t>insuffisance des revenus générés au regard du travail fourni ; l</w:t>
      </w:r>
      <w:r w:rsidR="003D1909">
        <w:rPr>
          <w:rFonts w:ascii="Arial" w:hAnsi="Arial"/>
          <w:sz w:val="22"/>
          <w:szCs w:val="22"/>
        </w:rPr>
        <w:t>’</w:t>
      </w:r>
      <w:r w:rsidRPr="00716226">
        <w:rPr>
          <w:rFonts w:ascii="Arial" w:hAnsi="Arial"/>
          <w:sz w:val="22"/>
          <w:szCs w:val="22"/>
        </w:rPr>
        <w:t>importation de textile moins coûteux ; la rareté des exploitations agricoles permettant de s</w:t>
      </w:r>
      <w:r w:rsidR="003D1909">
        <w:rPr>
          <w:rFonts w:ascii="Arial" w:hAnsi="Arial"/>
          <w:sz w:val="22"/>
          <w:szCs w:val="22"/>
        </w:rPr>
        <w:t>’</w:t>
      </w:r>
      <w:r w:rsidRPr="00716226">
        <w:rPr>
          <w:rFonts w:ascii="Arial" w:hAnsi="Arial"/>
          <w:sz w:val="22"/>
          <w:szCs w:val="22"/>
        </w:rPr>
        <w:t>approvisionner en matières premières adéquates et l</w:t>
      </w:r>
      <w:r w:rsidR="003D1909">
        <w:rPr>
          <w:rFonts w:ascii="Arial" w:hAnsi="Arial"/>
          <w:sz w:val="22"/>
          <w:szCs w:val="22"/>
        </w:rPr>
        <w:t>’</w:t>
      </w:r>
      <w:r w:rsidRPr="00716226">
        <w:rPr>
          <w:rFonts w:ascii="Arial" w:hAnsi="Arial"/>
          <w:sz w:val="22"/>
          <w:szCs w:val="22"/>
        </w:rPr>
        <w:t>absence de lieux de vente appropriés pour les tissus et les broderies fabriqués à la main. En outre, l</w:t>
      </w:r>
      <w:r w:rsidR="005D2EEC">
        <w:rPr>
          <w:rFonts w:ascii="Arial" w:hAnsi="Arial"/>
          <w:sz w:val="22"/>
          <w:szCs w:val="22"/>
        </w:rPr>
        <w:t xml:space="preserve">a sensibilisation du </w:t>
      </w:r>
      <w:r w:rsidRPr="00716226">
        <w:rPr>
          <w:rFonts w:ascii="Arial" w:hAnsi="Arial"/>
          <w:sz w:val="22"/>
          <w:szCs w:val="22"/>
        </w:rPr>
        <w:t>grand public</w:t>
      </w:r>
      <w:r w:rsidR="005D2EEC">
        <w:rPr>
          <w:rFonts w:ascii="Arial" w:hAnsi="Arial"/>
          <w:sz w:val="22"/>
          <w:szCs w:val="22"/>
        </w:rPr>
        <w:t>, la documentation et l’apprentissage méthodologique</w:t>
      </w:r>
      <w:r w:rsidRPr="00716226">
        <w:rPr>
          <w:rFonts w:ascii="Arial" w:hAnsi="Arial"/>
          <w:sz w:val="22"/>
          <w:szCs w:val="22"/>
        </w:rPr>
        <w:t xml:space="preserve"> </w:t>
      </w:r>
      <w:r w:rsidR="005D2EEC">
        <w:rPr>
          <w:rFonts w:ascii="Arial" w:hAnsi="Arial"/>
          <w:sz w:val="22"/>
          <w:szCs w:val="22"/>
        </w:rPr>
        <w:t xml:space="preserve">ne sont pas </w:t>
      </w:r>
      <w:r w:rsidRPr="00716226">
        <w:rPr>
          <w:rFonts w:ascii="Arial" w:hAnsi="Arial"/>
          <w:sz w:val="22"/>
          <w:szCs w:val="22"/>
        </w:rPr>
        <w:t>suffisa</w:t>
      </w:r>
      <w:r w:rsidR="005D2EEC">
        <w:rPr>
          <w:rFonts w:ascii="Arial" w:hAnsi="Arial"/>
          <w:sz w:val="22"/>
          <w:szCs w:val="22"/>
        </w:rPr>
        <w:t xml:space="preserve">nts ; la </w:t>
      </w:r>
      <w:r w:rsidRPr="00716226">
        <w:rPr>
          <w:rFonts w:ascii="Arial" w:hAnsi="Arial"/>
          <w:sz w:val="22"/>
          <w:szCs w:val="22"/>
        </w:rPr>
        <w:t xml:space="preserve">chaîne de production et </w:t>
      </w:r>
      <w:r w:rsidR="005D2EEC">
        <w:rPr>
          <w:rFonts w:ascii="Arial" w:hAnsi="Arial"/>
          <w:sz w:val="22"/>
          <w:szCs w:val="22"/>
        </w:rPr>
        <w:t>de</w:t>
      </w:r>
      <w:r w:rsidRPr="00716226">
        <w:rPr>
          <w:rFonts w:ascii="Arial" w:hAnsi="Arial"/>
          <w:sz w:val="22"/>
          <w:szCs w:val="22"/>
        </w:rPr>
        <w:t xml:space="preserve"> consommation de l</w:t>
      </w:r>
      <w:r w:rsidR="003D1909">
        <w:rPr>
          <w:rFonts w:ascii="Arial" w:hAnsi="Arial"/>
          <w:sz w:val="22"/>
          <w:szCs w:val="22"/>
        </w:rPr>
        <w:t>’</w:t>
      </w:r>
      <w:r w:rsidRPr="00716226">
        <w:rPr>
          <w:rFonts w:ascii="Arial" w:hAnsi="Arial"/>
          <w:sz w:val="22"/>
          <w:szCs w:val="22"/>
        </w:rPr>
        <w:t>élément</w:t>
      </w:r>
      <w:r w:rsidR="005D2EEC">
        <w:rPr>
          <w:rFonts w:ascii="Arial" w:hAnsi="Arial"/>
          <w:sz w:val="22"/>
          <w:szCs w:val="22"/>
        </w:rPr>
        <w:t xml:space="preserve"> doit être développée</w:t>
      </w:r>
      <w:r w:rsidRPr="00716226">
        <w:rPr>
          <w:rFonts w:ascii="Arial" w:hAnsi="Arial"/>
          <w:sz w:val="22"/>
          <w:szCs w:val="22"/>
        </w:rPr>
        <w:t>.</w:t>
      </w:r>
    </w:p>
    <w:p w14:paraId="5CCA8887" w14:textId="7D0D6AF7" w:rsidR="006D35D9" w:rsidRPr="00716226" w:rsidRDefault="006D35D9" w:rsidP="005060FE">
      <w:pPr>
        <w:pStyle w:val="ListParagraph"/>
        <w:spacing w:before="120" w:after="120"/>
        <w:ind w:left="1710" w:hanging="576"/>
        <w:contextualSpacing w:val="0"/>
        <w:jc w:val="both"/>
        <w:rPr>
          <w:rFonts w:ascii="Arial" w:hAnsi="Arial" w:cs="Arial"/>
          <w:sz w:val="22"/>
          <w:szCs w:val="22"/>
        </w:rPr>
      </w:pPr>
      <w:r w:rsidRPr="00716226">
        <w:rPr>
          <w:rFonts w:ascii="Arial" w:hAnsi="Arial"/>
          <w:sz w:val="22"/>
          <w:szCs w:val="22"/>
        </w:rPr>
        <w:t>U.4 :</w:t>
      </w:r>
      <w:r w:rsidRPr="00716226">
        <w:rPr>
          <w:rFonts w:ascii="Arial" w:hAnsi="Arial"/>
          <w:sz w:val="22"/>
          <w:szCs w:val="22"/>
        </w:rPr>
        <w:tab/>
        <w:t>Les membres des communautés ont été les premiers soutiens et les premiers acteurs des efforts de sauvegarde visant à éviter la disparition de l</w:t>
      </w:r>
      <w:r w:rsidR="003D1909">
        <w:rPr>
          <w:rFonts w:ascii="Arial" w:hAnsi="Arial"/>
          <w:sz w:val="22"/>
          <w:szCs w:val="22"/>
        </w:rPr>
        <w:t>’</w:t>
      </w:r>
      <w:r w:rsidRPr="00716226">
        <w:rPr>
          <w:rFonts w:ascii="Arial" w:hAnsi="Arial"/>
          <w:sz w:val="22"/>
          <w:szCs w:val="22"/>
        </w:rPr>
        <w:t xml:space="preserve">élément. Ils ont participé à toutes les étapes des activités et approuvé toutes les stratégies élaborées. Les femmes ont été particulièrement impliquées dans la préparation de la candidature. Les responsables des communautés sont les détenteurs les plus </w:t>
      </w:r>
      <w:r w:rsidR="00B15D71">
        <w:rPr>
          <w:rFonts w:ascii="Arial" w:hAnsi="Arial"/>
          <w:sz w:val="22"/>
          <w:szCs w:val="22"/>
        </w:rPr>
        <w:t>expérimentés</w:t>
      </w:r>
      <w:r w:rsidR="00B15D71" w:rsidRPr="00716226">
        <w:rPr>
          <w:rFonts w:ascii="Arial" w:hAnsi="Arial"/>
          <w:sz w:val="22"/>
          <w:szCs w:val="22"/>
        </w:rPr>
        <w:t xml:space="preserve"> </w:t>
      </w:r>
      <w:r w:rsidRPr="00716226">
        <w:rPr>
          <w:rFonts w:ascii="Arial" w:hAnsi="Arial"/>
          <w:sz w:val="22"/>
          <w:szCs w:val="22"/>
        </w:rPr>
        <w:t>de la tradition et des connaissances associées. Ces personnes continuent à pratiquer l</w:t>
      </w:r>
      <w:r w:rsidR="003D1909">
        <w:rPr>
          <w:rFonts w:ascii="Arial" w:hAnsi="Arial"/>
          <w:sz w:val="22"/>
          <w:szCs w:val="22"/>
        </w:rPr>
        <w:t>’</w:t>
      </w:r>
      <w:r w:rsidRPr="00716226">
        <w:rPr>
          <w:rFonts w:ascii="Arial" w:hAnsi="Arial"/>
          <w:sz w:val="22"/>
          <w:szCs w:val="22"/>
        </w:rPr>
        <w:t>élément et à transmettre leurs connaissances aux tisserands</w:t>
      </w:r>
      <w:r w:rsidR="00AB0638">
        <w:rPr>
          <w:rFonts w:ascii="Arial" w:hAnsi="Arial"/>
          <w:sz w:val="22"/>
          <w:szCs w:val="22"/>
        </w:rPr>
        <w:t>.</w:t>
      </w:r>
      <w:r w:rsidRPr="00716226">
        <w:rPr>
          <w:rFonts w:ascii="Arial" w:hAnsi="Arial"/>
          <w:sz w:val="22"/>
          <w:szCs w:val="22"/>
        </w:rPr>
        <w:t xml:space="preserve"> Les membres des communautés se sont adressés à la Société égyptienne pour les traditions populaires (ESFT) pour obtenir de l</w:t>
      </w:r>
      <w:r w:rsidR="003D1909">
        <w:rPr>
          <w:rFonts w:ascii="Arial" w:hAnsi="Arial"/>
          <w:sz w:val="22"/>
          <w:szCs w:val="22"/>
        </w:rPr>
        <w:t>’</w:t>
      </w:r>
      <w:r w:rsidRPr="00716226">
        <w:rPr>
          <w:rFonts w:ascii="Arial" w:hAnsi="Arial"/>
          <w:sz w:val="22"/>
          <w:szCs w:val="22"/>
        </w:rPr>
        <w:t>aide afin de mettre en place la sauvegarde urgente de l</w:t>
      </w:r>
      <w:r w:rsidR="003D1909">
        <w:rPr>
          <w:rFonts w:ascii="Arial" w:hAnsi="Arial"/>
          <w:sz w:val="22"/>
          <w:szCs w:val="22"/>
        </w:rPr>
        <w:t>’</w:t>
      </w:r>
      <w:r w:rsidRPr="00716226">
        <w:rPr>
          <w:rFonts w:ascii="Arial" w:hAnsi="Arial"/>
          <w:sz w:val="22"/>
          <w:szCs w:val="22"/>
        </w:rPr>
        <w:t>élément. Des documents témoignant du consentement des communautés et attestant de leur participation sont joints au dossier.</w:t>
      </w:r>
    </w:p>
    <w:p w14:paraId="60E4887F" w14:textId="61D4A614" w:rsidR="006D35D9" w:rsidRPr="00716226" w:rsidRDefault="006D35D9" w:rsidP="005060FE">
      <w:pPr>
        <w:pStyle w:val="ListParagraph"/>
        <w:numPr>
          <w:ilvl w:val="0"/>
          <w:numId w:val="23"/>
        </w:numPr>
        <w:tabs>
          <w:tab w:val="left" w:pos="1560"/>
        </w:tabs>
        <w:spacing w:before="120" w:after="120"/>
        <w:ind w:left="1134" w:hanging="567"/>
        <w:contextualSpacing w:val="0"/>
        <w:jc w:val="both"/>
        <w:rPr>
          <w:rFonts w:ascii="Arial" w:hAnsi="Arial" w:cs="Arial"/>
          <w:sz w:val="22"/>
          <w:szCs w:val="22"/>
        </w:rPr>
      </w:pPr>
      <w:r w:rsidRPr="00716226">
        <w:rPr>
          <w:rFonts w:ascii="Arial" w:hAnsi="Arial"/>
          <w:sz w:val="22"/>
          <w:szCs w:val="22"/>
          <w:u w:val="single"/>
        </w:rPr>
        <w:t>Estime en outre</w:t>
      </w:r>
      <w:r w:rsidRPr="00716226">
        <w:rPr>
          <w:rFonts w:ascii="Arial" w:hAnsi="Arial"/>
          <w:sz w:val="22"/>
          <w:szCs w:val="22"/>
        </w:rPr>
        <w:t xml:space="preserve"> que les informations contenues dans le dossier ne sont pas suffisantes pour déterminer si les critères d</w:t>
      </w:r>
      <w:r w:rsidR="003D1909">
        <w:rPr>
          <w:rFonts w:ascii="Arial" w:hAnsi="Arial"/>
          <w:sz w:val="22"/>
          <w:szCs w:val="22"/>
        </w:rPr>
        <w:t>’</w:t>
      </w:r>
      <w:r w:rsidRPr="00716226">
        <w:rPr>
          <w:rFonts w:ascii="Arial" w:hAnsi="Arial"/>
          <w:sz w:val="22"/>
          <w:szCs w:val="22"/>
        </w:rPr>
        <w:t>inscription sur la Liste du patrimoine culturel immatériel nécessitant une sauvegarde urgente suivants sont satisfaits :</w:t>
      </w:r>
    </w:p>
    <w:p w14:paraId="3A5547BB" w14:textId="2B5EA8E8" w:rsidR="006D35D9" w:rsidRPr="00716226" w:rsidRDefault="006D35D9" w:rsidP="005060FE">
      <w:pPr>
        <w:pStyle w:val="ListParagraph"/>
        <w:spacing w:before="120" w:after="120"/>
        <w:ind w:left="1710" w:hanging="576"/>
        <w:contextualSpacing w:val="0"/>
        <w:jc w:val="both"/>
        <w:rPr>
          <w:rFonts w:ascii="Arial" w:hAnsi="Arial" w:cs="Arial"/>
          <w:noProof/>
          <w:sz w:val="22"/>
          <w:szCs w:val="22"/>
        </w:rPr>
      </w:pPr>
      <w:r w:rsidRPr="00716226">
        <w:rPr>
          <w:rFonts w:ascii="Arial" w:hAnsi="Arial"/>
          <w:sz w:val="22"/>
          <w:szCs w:val="22"/>
        </w:rPr>
        <w:t>U.3 :</w:t>
      </w:r>
      <w:r w:rsidRPr="00716226">
        <w:rPr>
          <w:rFonts w:ascii="Arial" w:hAnsi="Arial"/>
          <w:sz w:val="22"/>
          <w:szCs w:val="22"/>
        </w:rPr>
        <w:tab/>
        <w:t>Le plan de sauvegarde proposé comprend un grand nombre d</w:t>
      </w:r>
      <w:r w:rsidR="003D1909">
        <w:rPr>
          <w:rFonts w:ascii="Arial" w:hAnsi="Arial"/>
          <w:sz w:val="22"/>
          <w:szCs w:val="22"/>
        </w:rPr>
        <w:t>’</w:t>
      </w:r>
      <w:r w:rsidRPr="00716226">
        <w:rPr>
          <w:rFonts w:ascii="Arial" w:hAnsi="Arial"/>
          <w:sz w:val="22"/>
          <w:szCs w:val="22"/>
        </w:rPr>
        <w:t>objectifs, relatifs notamment à la sensibilisation, la formation et à la documentation. Le dossier de candidature fait état de trois grandes activités envisagées : une enquête pour déterminer la portée de l</w:t>
      </w:r>
      <w:r w:rsidR="003D1909">
        <w:rPr>
          <w:rFonts w:ascii="Arial" w:hAnsi="Arial"/>
          <w:sz w:val="22"/>
          <w:szCs w:val="22"/>
        </w:rPr>
        <w:t>’</w:t>
      </w:r>
      <w:r w:rsidRPr="00716226">
        <w:rPr>
          <w:rFonts w:ascii="Arial" w:hAnsi="Arial"/>
          <w:sz w:val="22"/>
          <w:szCs w:val="22"/>
        </w:rPr>
        <w:t xml:space="preserve">élément et identifier les activités liées à sa viabilité ; un atelier de renforcement des capacités pour les responsables </w:t>
      </w:r>
      <w:r w:rsidR="00AB0638">
        <w:rPr>
          <w:rFonts w:ascii="Arial" w:hAnsi="Arial"/>
          <w:sz w:val="22"/>
          <w:szCs w:val="22"/>
        </w:rPr>
        <w:t xml:space="preserve">et formateurs dans les </w:t>
      </w:r>
      <w:r w:rsidRPr="00716226">
        <w:rPr>
          <w:rFonts w:ascii="Arial" w:hAnsi="Arial"/>
          <w:sz w:val="22"/>
          <w:szCs w:val="22"/>
        </w:rPr>
        <w:t>communaut</w:t>
      </w:r>
      <w:r w:rsidR="00AB0638">
        <w:rPr>
          <w:rFonts w:ascii="Arial" w:hAnsi="Arial"/>
          <w:sz w:val="22"/>
          <w:szCs w:val="22"/>
        </w:rPr>
        <w:t>és,</w:t>
      </w:r>
      <w:r w:rsidRPr="00716226">
        <w:rPr>
          <w:rFonts w:ascii="Arial" w:hAnsi="Arial"/>
          <w:sz w:val="22"/>
          <w:szCs w:val="22"/>
        </w:rPr>
        <w:t xml:space="preserve"> et les pouvoirs publics afin de faciliter l</w:t>
      </w:r>
      <w:r w:rsidR="003D1909">
        <w:rPr>
          <w:rFonts w:ascii="Arial" w:hAnsi="Arial"/>
          <w:sz w:val="22"/>
          <w:szCs w:val="22"/>
        </w:rPr>
        <w:t>’</w:t>
      </w:r>
      <w:r w:rsidRPr="00716226">
        <w:rPr>
          <w:rFonts w:ascii="Arial" w:hAnsi="Arial"/>
          <w:sz w:val="22"/>
          <w:szCs w:val="22"/>
        </w:rPr>
        <w:t xml:space="preserve">élaboration de plans de sauvegarde ; et un </w:t>
      </w:r>
      <w:r w:rsidR="00C44800">
        <w:rPr>
          <w:rFonts w:ascii="Arial" w:hAnsi="Arial"/>
          <w:sz w:val="22"/>
          <w:szCs w:val="22"/>
        </w:rPr>
        <w:t xml:space="preserve">programme </w:t>
      </w:r>
      <w:r w:rsidRPr="00716226">
        <w:rPr>
          <w:rFonts w:ascii="Arial" w:hAnsi="Arial"/>
          <w:sz w:val="22"/>
          <w:szCs w:val="22"/>
        </w:rPr>
        <w:t>de formation pour les jeunes. Toutefois, il manque dans le dossier des informations démontrant systématiquement la correspondance entre les besoins identifiés et les mesures proposées. En outre, le plan de sauvegarde met l</w:t>
      </w:r>
      <w:r w:rsidR="003D1909">
        <w:rPr>
          <w:rFonts w:ascii="Arial" w:hAnsi="Arial"/>
          <w:sz w:val="22"/>
          <w:szCs w:val="22"/>
        </w:rPr>
        <w:t>’</w:t>
      </w:r>
      <w:r w:rsidRPr="00716226">
        <w:rPr>
          <w:rFonts w:ascii="Arial" w:hAnsi="Arial"/>
          <w:sz w:val="22"/>
          <w:szCs w:val="22"/>
        </w:rPr>
        <w:t>accent sur le marketing et la commercialisation des tissus, soulignant ainsi la nécessité de renforcer économiquement la pratique. Mais les informations relatives aux aspects sociaux et culturels, qui l</w:t>
      </w:r>
      <w:r w:rsidR="003D1909">
        <w:rPr>
          <w:rFonts w:ascii="Arial" w:hAnsi="Arial"/>
          <w:sz w:val="22"/>
          <w:szCs w:val="22"/>
        </w:rPr>
        <w:t>’</w:t>
      </w:r>
      <w:r w:rsidRPr="00716226">
        <w:rPr>
          <w:rFonts w:ascii="Arial" w:hAnsi="Arial"/>
          <w:sz w:val="22"/>
          <w:szCs w:val="22"/>
        </w:rPr>
        <w:t>établissent comme un élément du patrimoine culturel immatériel, sont insuffisantes.</w:t>
      </w:r>
    </w:p>
    <w:p w14:paraId="74AD915E" w14:textId="1995EFAD" w:rsidR="006D35D9" w:rsidRPr="00716226" w:rsidRDefault="006D35D9" w:rsidP="005060FE">
      <w:pPr>
        <w:pStyle w:val="ListParagraph"/>
        <w:spacing w:before="120" w:after="120"/>
        <w:ind w:left="1710" w:hanging="576"/>
        <w:contextualSpacing w:val="0"/>
        <w:jc w:val="both"/>
        <w:rPr>
          <w:rFonts w:ascii="Arial" w:hAnsi="Arial" w:cs="Arial"/>
          <w:noProof/>
          <w:sz w:val="22"/>
          <w:szCs w:val="22"/>
        </w:rPr>
      </w:pPr>
      <w:r w:rsidRPr="00716226">
        <w:rPr>
          <w:rFonts w:ascii="Arial" w:hAnsi="Arial"/>
          <w:sz w:val="22"/>
          <w:szCs w:val="22"/>
        </w:rPr>
        <w:t>U.5 :</w:t>
      </w:r>
      <w:r w:rsidRPr="00716226">
        <w:rPr>
          <w:rFonts w:ascii="Arial" w:hAnsi="Arial"/>
          <w:sz w:val="22"/>
          <w:szCs w:val="22"/>
        </w:rPr>
        <w:tab/>
        <w:t>L</w:t>
      </w:r>
      <w:r w:rsidR="003D1909">
        <w:rPr>
          <w:rFonts w:ascii="Arial" w:hAnsi="Arial"/>
          <w:sz w:val="22"/>
          <w:szCs w:val="22"/>
        </w:rPr>
        <w:t>’</w:t>
      </w:r>
      <w:r w:rsidRPr="00716226">
        <w:rPr>
          <w:rFonts w:ascii="Arial" w:hAnsi="Arial"/>
          <w:sz w:val="22"/>
          <w:szCs w:val="22"/>
        </w:rPr>
        <w:t xml:space="preserve">élément a été enregistré officiellement par les Archives égyptiennes pour les activités folkloriques et les traditions populaires et </w:t>
      </w:r>
      <w:r w:rsidR="00C44800">
        <w:rPr>
          <w:rFonts w:ascii="Arial" w:hAnsi="Arial"/>
          <w:sz w:val="22"/>
          <w:szCs w:val="22"/>
        </w:rPr>
        <w:t>l’ESFT</w:t>
      </w:r>
      <w:r w:rsidRPr="00716226">
        <w:rPr>
          <w:rFonts w:ascii="Arial" w:hAnsi="Arial"/>
          <w:sz w:val="22"/>
          <w:szCs w:val="22"/>
        </w:rPr>
        <w:t xml:space="preserve"> en 2013. La dernière mise à jour date de 2019. Toutefois, le dossier de candidature ne contient pas assez d</w:t>
      </w:r>
      <w:r w:rsidR="003D1909">
        <w:rPr>
          <w:rFonts w:ascii="Arial" w:hAnsi="Arial"/>
          <w:sz w:val="22"/>
          <w:szCs w:val="22"/>
        </w:rPr>
        <w:t>’</w:t>
      </w:r>
      <w:r w:rsidRPr="00716226">
        <w:rPr>
          <w:rFonts w:ascii="Arial" w:hAnsi="Arial"/>
          <w:sz w:val="22"/>
          <w:szCs w:val="22"/>
        </w:rPr>
        <w:t>informations sur la manière dont l</w:t>
      </w:r>
      <w:r w:rsidR="003D1909">
        <w:rPr>
          <w:rFonts w:ascii="Arial" w:hAnsi="Arial"/>
          <w:sz w:val="22"/>
          <w:szCs w:val="22"/>
        </w:rPr>
        <w:t>’</w:t>
      </w:r>
      <w:r w:rsidRPr="00716226">
        <w:rPr>
          <w:rFonts w:ascii="Arial" w:hAnsi="Arial"/>
          <w:sz w:val="22"/>
          <w:szCs w:val="22"/>
        </w:rPr>
        <w:t xml:space="preserve">inventaire est préparé avec la participation des communautés. De même, </w:t>
      </w:r>
      <w:r w:rsidR="00C44800" w:rsidRPr="00700FB1">
        <w:rPr>
          <w:rFonts w:ascii="Arial" w:hAnsi="Arial"/>
          <w:sz w:val="22"/>
          <w:szCs w:val="22"/>
        </w:rPr>
        <w:t>les informations</w:t>
      </w:r>
      <w:r w:rsidR="007A0988" w:rsidRPr="007A0988">
        <w:rPr>
          <w:rFonts w:ascii="Arial" w:hAnsi="Arial"/>
          <w:sz w:val="22"/>
          <w:szCs w:val="22"/>
        </w:rPr>
        <w:t xml:space="preserve"> </w:t>
      </w:r>
      <w:r w:rsidR="007A0988">
        <w:rPr>
          <w:rFonts w:ascii="Arial" w:hAnsi="Arial"/>
          <w:sz w:val="22"/>
          <w:szCs w:val="22"/>
        </w:rPr>
        <w:t>sont insuffisantes concernant</w:t>
      </w:r>
      <w:r w:rsidR="00C44800" w:rsidRPr="00700FB1">
        <w:rPr>
          <w:rFonts w:ascii="Arial" w:hAnsi="Arial"/>
          <w:sz w:val="22"/>
          <w:szCs w:val="22"/>
        </w:rPr>
        <w:t xml:space="preserve"> </w:t>
      </w:r>
      <w:r w:rsidRPr="00700FB1">
        <w:rPr>
          <w:rFonts w:ascii="Arial" w:hAnsi="Arial"/>
          <w:sz w:val="22"/>
          <w:szCs w:val="22"/>
        </w:rPr>
        <w:t>la relation entre les organisations mentionnées dans la section 5</w:t>
      </w:r>
      <w:r w:rsidR="00C44800" w:rsidRPr="00700FB1">
        <w:rPr>
          <w:rFonts w:ascii="Arial" w:hAnsi="Arial"/>
          <w:sz w:val="22"/>
          <w:szCs w:val="22"/>
        </w:rPr>
        <w:t xml:space="preserve"> du formulaire</w:t>
      </w:r>
      <w:r w:rsidR="007A0988">
        <w:rPr>
          <w:rFonts w:ascii="Arial" w:hAnsi="Arial"/>
          <w:sz w:val="22"/>
          <w:szCs w:val="22"/>
        </w:rPr>
        <w:t xml:space="preserve"> pour </w:t>
      </w:r>
      <w:r w:rsidRPr="00700FB1">
        <w:rPr>
          <w:rFonts w:ascii="Arial" w:hAnsi="Arial"/>
          <w:sz w:val="22"/>
          <w:szCs w:val="22"/>
        </w:rPr>
        <w:t>la gestion et la mise à jour de l</w:t>
      </w:r>
      <w:r w:rsidR="003D1909" w:rsidRPr="00700FB1">
        <w:rPr>
          <w:rFonts w:ascii="Arial" w:hAnsi="Arial"/>
          <w:sz w:val="22"/>
          <w:szCs w:val="22"/>
        </w:rPr>
        <w:t>’</w:t>
      </w:r>
      <w:r w:rsidRPr="00700FB1">
        <w:rPr>
          <w:rFonts w:ascii="Arial" w:hAnsi="Arial"/>
          <w:sz w:val="22"/>
          <w:szCs w:val="22"/>
        </w:rPr>
        <w:t xml:space="preserve">inventaire national du </w:t>
      </w:r>
      <w:r w:rsidR="00AB0638" w:rsidRPr="00700FB1">
        <w:rPr>
          <w:rFonts w:ascii="Arial" w:hAnsi="Arial"/>
          <w:sz w:val="22"/>
          <w:szCs w:val="22"/>
        </w:rPr>
        <w:t>patrimoine culturel immatériel</w:t>
      </w:r>
      <w:r w:rsidRPr="00700FB1">
        <w:rPr>
          <w:rFonts w:ascii="Arial" w:hAnsi="Arial"/>
          <w:sz w:val="22"/>
          <w:szCs w:val="22"/>
        </w:rPr>
        <w:t>,</w:t>
      </w:r>
      <w:r w:rsidR="007A0988">
        <w:rPr>
          <w:rFonts w:ascii="Arial" w:hAnsi="Arial"/>
          <w:sz w:val="22"/>
          <w:szCs w:val="22"/>
        </w:rPr>
        <w:t xml:space="preserve"> ainsi que concernant</w:t>
      </w:r>
      <w:r w:rsidRPr="00700FB1">
        <w:rPr>
          <w:rFonts w:ascii="Arial" w:hAnsi="Arial"/>
          <w:sz w:val="22"/>
          <w:szCs w:val="22"/>
        </w:rPr>
        <w:t xml:space="preserve"> la relation entre l</w:t>
      </w:r>
      <w:r w:rsidR="003D1909" w:rsidRPr="00700FB1">
        <w:rPr>
          <w:rFonts w:ascii="Arial" w:hAnsi="Arial"/>
          <w:sz w:val="22"/>
          <w:szCs w:val="22"/>
        </w:rPr>
        <w:t>’</w:t>
      </w:r>
      <w:r w:rsidRPr="00700FB1">
        <w:rPr>
          <w:rFonts w:ascii="Arial" w:hAnsi="Arial"/>
          <w:sz w:val="22"/>
          <w:szCs w:val="22"/>
        </w:rPr>
        <w:t xml:space="preserve">État partie et </w:t>
      </w:r>
      <w:r w:rsidR="00CD76CE" w:rsidRPr="00700FB1">
        <w:rPr>
          <w:rFonts w:ascii="Arial" w:hAnsi="Arial"/>
          <w:sz w:val="22"/>
          <w:szCs w:val="22"/>
        </w:rPr>
        <w:t>l’ESFT</w:t>
      </w:r>
      <w:r w:rsidRPr="00700FB1">
        <w:rPr>
          <w:rFonts w:ascii="Arial" w:hAnsi="Arial"/>
          <w:sz w:val="22"/>
          <w:szCs w:val="22"/>
        </w:rPr>
        <w:t>.</w:t>
      </w:r>
    </w:p>
    <w:p w14:paraId="41AECB71" w14:textId="628638AC" w:rsidR="006D35D9" w:rsidRPr="00716226" w:rsidRDefault="006D35D9" w:rsidP="005060FE">
      <w:pPr>
        <w:pStyle w:val="ListParagraph"/>
        <w:numPr>
          <w:ilvl w:val="0"/>
          <w:numId w:val="23"/>
        </w:numPr>
        <w:tabs>
          <w:tab w:val="left" w:pos="1560"/>
        </w:tabs>
        <w:spacing w:before="120" w:after="120"/>
        <w:ind w:left="1134" w:hanging="567"/>
        <w:contextualSpacing w:val="0"/>
        <w:jc w:val="both"/>
        <w:rPr>
          <w:rFonts w:ascii="Arial" w:hAnsi="Arial" w:cs="Arial"/>
          <w:sz w:val="22"/>
          <w:szCs w:val="22"/>
        </w:rPr>
      </w:pPr>
      <w:r w:rsidRPr="00AB0638">
        <w:rPr>
          <w:rFonts w:ascii="Arial" w:hAnsi="Arial"/>
          <w:sz w:val="22"/>
          <w:szCs w:val="22"/>
          <w:u w:val="single"/>
        </w:rPr>
        <w:t>Décide de</w:t>
      </w:r>
      <w:r w:rsidRPr="00BA678E">
        <w:rPr>
          <w:rFonts w:ascii="Arial" w:hAnsi="Arial"/>
          <w:sz w:val="22"/>
          <w:szCs w:val="22"/>
          <w:u w:val="single"/>
        </w:rPr>
        <w:t xml:space="preserve"> renvoyer</w:t>
      </w:r>
      <w:r w:rsidRPr="00716226">
        <w:rPr>
          <w:rFonts w:ascii="Arial" w:hAnsi="Arial"/>
          <w:sz w:val="22"/>
          <w:szCs w:val="22"/>
        </w:rPr>
        <w:t xml:space="preserve"> la candidature </w:t>
      </w:r>
      <w:r w:rsidRPr="00716226">
        <w:rPr>
          <w:rFonts w:ascii="Arial" w:hAnsi="Arial"/>
          <w:b/>
          <w:bCs/>
          <w:sz w:val="22"/>
          <w:szCs w:val="22"/>
        </w:rPr>
        <w:t>du tissage à la main en Haute-Égypte (Sa</w:t>
      </w:r>
      <w:r w:rsidR="003D1909">
        <w:rPr>
          <w:rFonts w:ascii="Arial" w:hAnsi="Arial"/>
          <w:b/>
          <w:bCs/>
          <w:sz w:val="22"/>
          <w:szCs w:val="22"/>
        </w:rPr>
        <w:t>’</w:t>
      </w:r>
      <w:r w:rsidRPr="00716226">
        <w:rPr>
          <w:rFonts w:ascii="Arial" w:hAnsi="Arial"/>
          <w:b/>
          <w:bCs/>
          <w:sz w:val="22"/>
          <w:szCs w:val="22"/>
        </w:rPr>
        <w:t>eed)</w:t>
      </w:r>
      <w:r w:rsidRPr="00716226">
        <w:rPr>
          <w:rFonts w:ascii="Arial" w:hAnsi="Arial"/>
          <w:sz w:val="22"/>
          <w:szCs w:val="22"/>
        </w:rPr>
        <w:t xml:space="preserve"> à l</w:t>
      </w:r>
      <w:r w:rsidR="003D1909">
        <w:rPr>
          <w:rFonts w:ascii="Arial" w:hAnsi="Arial"/>
          <w:sz w:val="22"/>
          <w:szCs w:val="22"/>
        </w:rPr>
        <w:t>’</w:t>
      </w:r>
      <w:r w:rsidRPr="00716226">
        <w:rPr>
          <w:rFonts w:ascii="Arial" w:hAnsi="Arial"/>
          <w:sz w:val="22"/>
          <w:szCs w:val="22"/>
        </w:rPr>
        <w:t>État partie soumissionnaire et l</w:t>
      </w:r>
      <w:r w:rsidR="003D1909">
        <w:rPr>
          <w:rFonts w:ascii="Arial" w:hAnsi="Arial"/>
          <w:sz w:val="22"/>
          <w:szCs w:val="22"/>
        </w:rPr>
        <w:t>’</w:t>
      </w:r>
      <w:r w:rsidRPr="00716226">
        <w:rPr>
          <w:rFonts w:ascii="Arial" w:hAnsi="Arial"/>
          <w:sz w:val="22"/>
          <w:szCs w:val="22"/>
          <w:u w:val="single"/>
        </w:rPr>
        <w:t>invite</w:t>
      </w:r>
      <w:r w:rsidRPr="00716226">
        <w:rPr>
          <w:rFonts w:ascii="Arial" w:hAnsi="Arial"/>
          <w:sz w:val="22"/>
          <w:szCs w:val="22"/>
        </w:rPr>
        <w:t xml:space="preserve"> à resoumettre la candidature </w:t>
      </w:r>
      <w:r w:rsidR="00EE2B83">
        <w:rPr>
          <w:rFonts w:ascii="Arial" w:hAnsi="Arial"/>
          <w:sz w:val="22"/>
          <w:szCs w:val="22"/>
        </w:rPr>
        <w:t xml:space="preserve">révisée </w:t>
      </w:r>
      <w:r w:rsidRPr="00716226">
        <w:rPr>
          <w:rFonts w:ascii="Arial" w:hAnsi="Arial"/>
          <w:sz w:val="22"/>
          <w:szCs w:val="22"/>
        </w:rPr>
        <w:t>au Comité pour examen au cours d</w:t>
      </w:r>
      <w:r w:rsidR="003D1909">
        <w:rPr>
          <w:rFonts w:ascii="Arial" w:hAnsi="Arial"/>
          <w:sz w:val="22"/>
          <w:szCs w:val="22"/>
        </w:rPr>
        <w:t>’</w:t>
      </w:r>
      <w:r w:rsidRPr="00716226">
        <w:rPr>
          <w:rFonts w:ascii="Arial" w:hAnsi="Arial"/>
          <w:sz w:val="22"/>
          <w:szCs w:val="22"/>
        </w:rPr>
        <w:t>un cycle ultérieur ;</w:t>
      </w:r>
    </w:p>
    <w:p w14:paraId="69BF9779" w14:textId="34834413" w:rsidR="006D35D9" w:rsidRPr="00DA796F" w:rsidRDefault="006D35D9" w:rsidP="00E530AB">
      <w:pPr>
        <w:pStyle w:val="ListParagraph"/>
        <w:numPr>
          <w:ilvl w:val="0"/>
          <w:numId w:val="23"/>
        </w:numPr>
        <w:tabs>
          <w:tab w:val="left" w:pos="1560"/>
        </w:tabs>
        <w:spacing w:before="120" w:after="120"/>
        <w:ind w:left="1134" w:hanging="567"/>
        <w:contextualSpacing w:val="0"/>
        <w:jc w:val="both"/>
        <w:rPr>
          <w:rFonts w:ascii="Arial" w:hAnsi="Arial" w:cs="Arial"/>
          <w:noProof/>
          <w:sz w:val="22"/>
          <w:szCs w:val="22"/>
        </w:rPr>
      </w:pPr>
      <w:r w:rsidRPr="00DA796F">
        <w:rPr>
          <w:rFonts w:ascii="Arial" w:hAnsi="Arial"/>
          <w:sz w:val="22"/>
          <w:szCs w:val="22"/>
          <w:u w:val="single"/>
        </w:rPr>
        <w:t>Rappelle</w:t>
      </w:r>
      <w:r w:rsidRPr="00DA796F">
        <w:rPr>
          <w:rFonts w:ascii="Arial" w:hAnsi="Arial"/>
          <w:sz w:val="22"/>
          <w:szCs w:val="22"/>
        </w:rPr>
        <w:t xml:space="preserve"> à l</w:t>
      </w:r>
      <w:r w:rsidR="003D1909" w:rsidRPr="00DA796F">
        <w:rPr>
          <w:rFonts w:ascii="Arial" w:hAnsi="Arial"/>
          <w:sz w:val="22"/>
          <w:szCs w:val="22"/>
        </w:rPr>
        <w:t>’</w:t>
      </w:r>
      <w:r w:rsidRPr="00DA796F">
        <w:rPr>
          <w:rFonts w:ascii="Arial" w:hAnsi="Arial"/>
          <w:sz w:val="22"/>
          <w:szCs w:val="22"/>
        </w:rPr>
        <w:t>État partie d</w:t>
      </w:r>
      <w:r w:rsidR="003D1909" w:rsidRPr="00DA796F">
        <w:rPr>
          <w:rFonts w:ascii="Arial" w:hAnsi="Arial"/>
          <w:sz w:val="22"/>
          <w:szCs w:val="22"/>
        </w:rPr>
        <w:t>’</w:t>
      </w:r>
      <w:r w:rsidRPr="00DA796F">
        <w:rPr>
          <w:rFonts w:ascii="Arial" w:hAnsi="Arial"/>
          <w:sz w:val="22"/>
          <w:szCs w:val="22"/>
        </w:rPr>
        <w:t xml:space="preserve">éviter une approche axée sur </w:t>
      </w:r>
      <w:r w:rsidR="00E530AB" w:rsidRPr="00700FB1">
        <w:rPr>
          <w:rFonts w:ascii="Arial" w:hAnsi="Arial"/>
          <w:sz w:val="22"/>
          <w:szCs w:val="22"/>
        </w:rPr>
        <w:t xml:space="preserve">le marketing et la commercialisation </w:t>
      </w:r>
      <w:r w:rsidRPr="00DA796F">
        <w:rPr>
          <w:rFonts w:ascii="Arial" w:hAnsi="Arial"/>
          <w:sz w:val="22"/>
          <w:szCs w:val="22"/>
        </w:rPr>
        <w:t xml:space="preserve">et de </w:t>
      </w:r>
      <w:r w:rsidR="00E530AB" w:rsidRPr="00700FB1">
        <w:rPr>
          <w:rFonts w:ascii="Arial" w:hAnsi="Arial"/>
          <w:sz w:val="22"/>
          <w:szCs w:val="22"/>
        </w:rPr>
        <w:t>se concentrer</w:t>
      </w:r>
      <w:r w:rsidRPr="00DA796F">
        <w:rPr>
          <w:rFonts w:ascii="Arial" w:hAnsi="Arial"/>
          <w:sz w:val="22"/>
          <w:szCs w:val="22"/>
        </w:rPr>
        <w:t xml:space="preserve"> sur la sauvegarde des significations culturelles et des fonctions sociales du tissage à la main en Haute-Égypte (Sa</w:t>
      </w:r>
      <w:r w:rsidR="003D1909" w:rsidRPr="00DA796F">
        <w:rPr>
          <w:rFonts w:ascii="Arial" w:hAnsi="Arial"/>
          <w:sz w:val="22"/>
          <w:szCs w:val="22"/>
        </w:rPr>
        <w:t>’</w:t>
      </w:r>
      <w:r w:rsidRPr="00DA796F">
        <w:rPr>
          <w:rFonts w:ascii="Arial" w:hAnsi="Arial"/>
          <w:sz w:val="22"/>
          <w:szCs w:val="22"/>
        </w:rPr>
        <w:t>eed) ;</w:t>
      </w:r>
    </w:p>
    <w:p w14:paraId="7622EC99" w14:textId="11C6D39E" w:rsidR="006D35D9" w:rsidRPr="009C4B85" w:rsidRDefault="006D35D9" w:rsidP="005060FE">
      <w:pPr>
        <w:pStyle w:val="ListParagraph"/>
        <w:numPr>
          <w:ilvl w:val="0"/>
          <w:numId w:val="23"/>
        </w:numPr>
        <w:tabs>
          <w:tab w:val="left" w:pos="1560"/>
        </w:tabs>
        <w:spacing w:before="120" w:after="120"/>
        <w:ind w:left="1134" w:hanging="567"/>
        <w:contextualSpacing w:val="0"/>
        <w:jc w:val="both"/>
        <w:rPr>
          <w:rFonts w:ascii="Arial" w:hAnsi="Arial" w:cs="Arial"/>
          <w:noProof/>
          <w:sz w:val="22"/>
          <w:szCs w:val="22"/>
        </w:rPr>
      </w:pPr>
      <w:r w:rsidRPr="009C4B85">
        <w:rPr>
          <w:rFonts w:ascii="Arial" w:hAnsi="Arial"/>
          <w:sz w:val="22"/>
          <w:szCs w:val="22"/>
          <w:u w:val="single"/>
        </w:rPr>
        <w:t>Invite</w:t>
      </w:r>
      <w:r w:rsidR="009C4B85" w:rsidRPr="009C4B85">
        <w:rPr>
          <w:rFonts w:ascii="Arial" w:hAnsi="Arial"/>
          <w:sz w:val="22"/>
          <w:szCs w:val="22"/>
          <w:u w:val="single"/>
        </w:rPr>
        <w:t xml:space="preserve"> en outre</w:t>
      </w:r>
      <w:r w:rsidRPr="009C4B85">
        <w:rPr>
          <w:rFonts w:ascii="Arial" w:hAnsi="Arial"/>
          <w:sz w:val="22"/>
          <w:szCs w:val="22"/>
        </w:rPr>
        <w:t xml:space="preserve"> l</w:t>
      </w:r>
      <w:r w:rsidR="003D1909" w:rsidRPr="009C4B85">
        <w:rPr>
          <w:rFonts w:ascii="Arial" w:hAnsi="Arial"/>
          <w:sz w:val="22"/>
          <w:szCs w:val="22"/>
        </w:rPr>
        <w:t>’</w:t>
      </w:r>
      <w:r w:rsidRPr="009C4B85">
        <w:rPr>
          <w:rFonts w:ascii="Arial" w:hAnsi="Arial"/>
          <w:sz w:val="22"/>
          <w:szCs w:val="22"/>
        </w:rPr>
        <w:t>État partie à accorder une attention particulière au renforcement</w:t>
      </w:r>
      <w:r w:rsidR="009C4B85" w:rsidRPr="00700FB1">
        <w:rPr>
          <w:rFonts w:ascii="Arial" w:hAnsi="Arial"/>
          <w:sz w:val="22"/>
          <w:szCs w:val="22"/>
        </w:rPr>
        <w:t xml:space="preserve"> et à la consolidation</w:t>
      </w:r>
      <w:r w:rsidRPr="009C4B85">
        <w:rPr>
          <w:rFonts w:ascii="Arial" w:hAnsi="Arial"/>
          <w:sz w:val="22"/>
          <w:szCs w:val="22"/>
        </w:rPr>
        <w:t xml:space="preserve"> des capacités des tisserands chargés de dispenser des formations ;</w:t>
      </w:r>
    </w:p>
    <w:p w14:paraId="34DB9C26" w14:textId="3CB67302" w:rsidR="006D35D9" w:rsidRPr="00716226" w:rsidRDefault="006D35D9" w:rsidP="005060FE">
      <w:pPr>
        <w:pStyle w:val="ListParagraph"/>
        <w:numPr>
          <w:ilvl w:val="0"/>
          <w:numId w:val="23"/>
        </w:numPr>
        <w:tabs>
          <w:tab w:val="left" w:pos="1560"/>
        </w:tabs>
        <w:spacing w:before="120" w:after="120"/>
        <w:ind w:left="1134" w:hanging="567"/>
        <w:contextualSpacing w:val="0"/>
        <w:jc w:val="both"/>
        <w:rPr>
          <w:rFonts w:ascii="Arial" w:eastAsia="Arial" w:hAnsi="Arial" w:cs="Arial"/>
          <w:sz w:val="22"/>
          <w:szCs w:val="22"/>
        </w:rPr>
      </w:pPr>
      <w:r w:rsidRPr="00716226">
        <w:rPr>
          <w:rFonts w:ascii="Arial" w:hAnsi="Arial"/>
          <w:sz w:val="22"/>
          <w:szCs w:val="22"/>
          <w:u w:val="single"/>
        </w:rPr>
        <w:t>Rappelle</w:t>
      </w:r>
      <w:r w:rsidR="004D3860">
        <w:rPr>
          <w:rFonts w:ascii="Arial" w:hAnsi="Arial"/>
          <w:sz w:val="22"/>
          <w:szCs w:val="22"/>
          <w:u w:val="single"/>
        </w:rPr>
        <w:t xml:space="preserve"> en outre</w:t>
      </w:r>
      <w:r w:rsidRPr="00716226">
        <w:rPr>
          <w:rFonts w:ascii="Arial" w:hAnsi="Arial"/>
          <w:sz w:val="22"/>
          <w:szCs w:val="22"/>
        </w:rPr>
        <w:t xml:space="preserve"> qu</w:t>
      </w:r>
      <w:r w:rsidR="003D1909">
        <w:rPr>
          <w:rFonts w:ascii="Arial" w:hAnsi="Arial"/>
          <w:sz w:val="22"/>
          <w:szCs w:val="22"/>
        </w:rPr>
        <w:t>’</w:t>
      </w:r>
      <w:r w:rsidRPr="00716226">
        <w:rPr>
          <w:rFonts w:ascii="Arial" w:hAnsi="Arial"/>
          <w:sz w:val="22"/>
          <w:szCs w:val="22"/>
        </w:rPr>
        <w:t>il est important d</w:t>
      </w:r>
      <w:r w:rsidR="003D1909">
        <w:rPr>
          <w:rFonts w:ascii="Arial" w:hAnsi="Arial"/>
          <w:sz w:val="22"/>
          <w:szCs w:val="22"/>
        </w:rPr>
        <w:t>’</w:t>
      </w:r>
      <w:r w:rsidRPr="00716226">
        <w:rPr>
          <w:rFonts w:ascii="Arial" w:hAnsi="Arial"/>
          <w:sz w:val="22"/>
          <w:szCs w:val="22"/>
        </w:rPr>
        <w:t>utiliser un vocabulaire conforme à l</w:t>
      </w:r>
      <w:r w:rsidR="003D1909">
        <w:rPr>
          <w:rFonts w:ascii="Arial" w:hAnsi="Arial"/>
          <w:sz w:val="22"/>
          <w:szCs w:val="22"/>
        </w:rPr>
        <w:t>’</w:t>
      </w:r>
      <w:r w:rsidRPr="00716226">
        <w:rPr>
          <w:rFonts w:ascii="Arial" w:hAnsi="Arial"/>
          <w:sz w:val="22"/>
          <w:szCs w:val="22"/>
        </w:rPr>
        <w:t>esprit de la Convention et d</w:t>
      </w:r>
      <w:r w:rsidR="003D1909">
        <w:rPr>
          <w:rFonts w:ascii="Arial" w:hAnsi="Arial"/>
          <w:sz w:val="22"/>
          <w:szCs w:val="22"/>
        </w:rPr>
        <w:t>’</w:t>
      </w:r>
      <w:r w:rsidRPr="00716226">
        <w:rPr>
          <w:rFonts w:ascii="Arial" w:hAnsi="Arial"/>
          <w:sz w:val="22"/>
          <w:szCs w:val="22"/>
        </w:rPr>
        <w:t>éviter des termes comme « authenticité » ;</w:t>
      </w:r>
    </w:p>
    <w:p w14:paraId="68022D4D" w14:textId="2AD7658B" w:rsidR="006D35D9" w:rsidRPr="00716226" w:rsidRDefault="006D35D9" w:rsidP="005060FE">
      <w:pPr>
        <w:pStyle w:val="ListParagraph"/>
        <w:numPr>
          <w:ilvl w:val="0"/>
          <w:numId w:val="23"/>
        </w:numPr>
        <w:tabs>
          <w:tab w:val="left" w:pos="1560"/>
        </w:tabs>
        <w:spacing w:before="120" w:after="120"/>
        <w:ind w:left="1134" w:hanging="567"/>
        <w:contextualSpacing w:val="0"/>
        <w:jc w:val="both"/>
        <w:rPr>
          <w:rFonts w:ascii="Arial" w:hAnsi="Arial" w:cs="Arial"/>
          <w:sz w:val="22"/>
          <w:szCs w:val="22"/>
        </w:rPr>
      </w:pPr>
      <w:r w:rsidRPr="00716226">
        <w:rPr>
          <w:rFonts w:ascii="Arial" w:hAnsi="Arial"/>
          <w:sz w:val="22"/>
          <w:szCs w:val="22"/>
          <w:u w:val="single"/>
        </w:rPr>
        <w:t>Prend note</w:t>
      </w:r>
      <w:r w:rsidR="009C4B85">
        <w:rPr>
          <w:rFonts w:ascii="Arial" w:hAnsi="Arial"/>
          <w:sz w:val="22"/>
          <w:szCs w:val="22"/>
          <w:u w:val="single"/>
        </w:rPr>
        <w:t xml:space="preserve"> en outre</w:t>
      </w:r>
      <w:r w:rsidRPr="00716226">
        <w:rPr>
          <w:rFonts w:ascii="Arial" w:hAnsi="Arial"/>
          <w:sz w:val="22"/>
          <w:szCs w:val="22"/>
        </w:rPr>
        <w:t xml:space="preserve"> que l</w:t>
      </w:r>
      <w:r w:rsidR="003D1909">
        <w:rPr>
          <w:rFonts w:ascii="Arial" w:hAnsi="Arial"/>
          <w:sz w:val="22"/>
          <w:szCs w:val="22"/>
        </w:rPr>
        <w:t>’</w:t>
      </w:r>
      <w:r w:rsidRPr="00716226">
        <w:rPr>
          <w:rFonts w:ascii="Arial" w:hAnsi="Arial"/>
          <w:sz w:val="22"/>
          <w:szCs w:val="22"/>
        </w:rPr>
        <w:t>Égypte a demandé une assistance internationale du Fonds du patrimoine culturel immatériel, d</w:t>
      </w:r>
      <w:r w:rsidR="003D1909">
        <w:rPr>
          <w:rFonts w:ascii="Arial" w:hAnsi="Arial"/>
          <w:sz w:val="22"/>
          <w:szCs w:val="22"/>
        </w:rPr>
        <w:t>’</w:t>
      </w:r>
      <w:r w:rsidRPr="00716226">
        <w:rPr>
          <w:rFonts w:ascii="Arial" w:hAnsi="Arial"/>
          <w:sz w:val="22"/>
          <w:szCs w:val="22"/>
        </w:rPr>
        <w:t>un montant de 262 400 dollars des États-Unis,</w:t>
      </w:r>
      <w:r w:rsidRPr="00716226">
        <w:rPr>
          <w:sz w:val="22"/>
          <w:szCs w:val="22"/>
        </w:rPr>
        <w:t xml:space="preserve"> </w:t>
      </w:r>
      <w:r w:rsidRPr="00716226">
        <w:rPr>
          <w:rFonts w:ascii="Arial" w:hAnsi="Arial"/>
          <w:sz w:val="22"/>
          <w:szCs w:val="22"/>
        </w:rPr>
        <w:t>pour mettre en œuvre le plan de sauvegarde du tissage à la main en Haute-Égypte (Sa</w:t>
      </w:r>
      <w:r w:rsidR="003D1909">
        <w:rPr>
          <w:rFonts w:ascii="Arial" w:hAnsi="Arial"/>
          <w:sz w:val="22"/>
          <w:szCs w:val="22"/>
        </w:rPr>
        <w:t>’</w:t>
      </w:r>
      <w:r w:rsidRPr="00716226">
        <w:rPr>
          <w:rFonts w:ascii="Arial" w:hAnsi="Arial"/>
          <w:sz w:val="22"/>
          <w:szCs w:val="22"/>
        </w:rPr>
        <w:t>eed)</w:t>
      </w:r>
      <w:r w:rsidR="00586912">
        <w:rPr>
          <w:rFonts w:ascii="Arial" w:hAnsi="Arial"/>
          <w:sz w:val="22"/>
          <w:szCs w:val="22"/>
        </w:rPr>
        <w:t xml:space="preserve"> (n° </w:t>
      </w:r>
      <w:r w:rsidR="00586912" w:rsidRPr="00586912">
        <w:rPr>
          <w:rFonts w:ascii="Arial" w:hAnsi="Arial"/>
          <w:sz w:val="22"/>
          <w:szCs w:val="22"/>
        </w:rPr>
        <w:t>01638</w:t>
      </w:r>
      <w:r w:rsidR="00586912">
        <w:rPr>
          <w:rFonts w:ascii="Arial" w:hAnsi="Arial"/>
          <w:sz w:val="22"/>
          <w:szCs w:val="22"/>
        </w:rPr>
        <w:t>)</w:t>
      </w:r>
      <w:r w:rsidRPr="00716226">
        <w:rPr>
          <w:rFonts w:ascii="Arial" w:hAnsi="Arial"/>
          <w:sz w:val="22"/>
          <w:szCs w:val="22"/>
        </w:rPr>
        <w:t> :</w:t>
      </w:r>
    </w:p>
    <w:p w14:paraId="3690D876" w14:textId="1C44A813" w:rsidR="006D35D9" w:rsidRPr="00716226" w:rsidRDefault="006D35D9" w:rsidP="005060FE">
      <w:pPr>
        <w:pStyle w:val="ListParagraph"/>
        <w:spacing w:before="120" w:after="120"/>
        <w:ind w:left="1134"/>
        <w:contextualSpacing w:val="0"/>
        <w:jc w:val="both"/>
        <w:rPr>
          <w:rFonts w:ascii="Arial" w:hAnsi="Arial" w:cs="Arial"/>
          <w:sz w:val="22"/>
          <w:szCs w:val="22"/>
        </w:rPr>
      </w:pPr>
      <w:r w:rsidRPr="00716226">
        <w:rPr>
          <w:rFonts w:ascii="Arial" w:hAnsi="Arial"/>
          <w:sz w:val="22"/>
          <w:szCs w:val="22"/>
        </w:rPr>
        <w:t>Mis en œuvre par la Société égyptienne pour les traditions populaires (ESFT), ce projet s</w:t>
      </w:r>
      <w:r w:rsidR="003D1909">
        <w:rPr>
          <w:rFonts w:ascii="Arial" w:hAnsi="Arial"/>
          <w:sz w:val="22"/>
          <w:szCs w:val="22"/>
        </w:rPr>
        <w:t>’</w:t>
      </w:r>
      <w:r w:rsidRPr="00716226">
        <w:rPr>
          <w:rFonts w:ascii="Arial" w:hAnsi="Arial"/>
          <w:sz w:val="22"/>
          <w:szCs w:val="22"/>
        </w:rPr>
        <w:t>étendant sur deux ans vise à sauvegarder le tissage à la main en Haute-Égypte (Sa</w:t>
      </w:r>
      <w:r w:rsidR="003D1909">
        <w:rPr>
          <w:rFonts w:ascii="Arial" w:hAnsi="Arial"/>
          <w:sz w:val="22"/>
          <w:szCs w:val="22"/>
        </w:rPr>
        <w:t>’</w:t>
      </w:r>
      <w:r w:rsidRPr="00716226">
        <w:rPr>
          <w:rFonts w:ascii="Arial" w:hAnsi="Arial"/>
          <w:sz w:val="22"/>
          <w:szCs w:val="22"/>
        </w:rPr>
        <w:t xml:space="preserve">eed). </w:t>
      </w:r>
      <w:r w:rsidR="004E13F4">
        <w:rPr>
          <w:rFonts w:ascii="Arial" w:hAnsi="Arial"/>
          <w:sz w:val="22"/>
          <w:szCs w:val="22"/>
        </w:rPr>
        <w:t>Considérée comme un é</w:t>
      </w:r>
      <w:r w:rsidRPr="00716226">
        <w:rPr>
          <w:rFonts w:ascii="Arial" w:hAnsi="Arial"/>
          <w:sz w:val="22"/>
          <w:szCs w:val="22"/>
        </w:rPr>
        <w:t>lément essentiel du patrimoine culturel et artistique égyptien, cette pratique artisanale ancienne est exposée à de nombreuses menaces. Pour y faire face, des praticiens locaux se sont adressés à l</w:t>
      </w:r>
      <w:r w:rsidR="003D1909">
        <w:rPr>
          <w:rFonts w:ascii="Arial" w:hAnsi="Arial"/>
          <w:sz w:val="22"/>
          <w:szCs w:val="22"/>
        </w:rPr>
        <w:t>’</w:t>
      </w:r>
      <w:r w:rsidRPr="00716226">
        <w:rPr>
          <w:rFonts w:ascii="Arial" w:hAnsi="Arial"/>
          <w:sz w:val="22"/>
          <w:szCs w:val="22"/>
        </w:rPr>
        <w:t xml:space="preserve">ESFT afin de lancer un projet </w:t>
      </w:r>
      <w:r w:rsidR="00AB0638">
        <w:rPr>
          <w:rFonts w:ascii="Arial" w:hAnsi="Arial"/>
          <w:sz w:val="22"/>
          <w:szCs w:val="22"/>
        </w:rPr>
        <w:t xml:space="preserve">pour </w:t>
      </w:r>
      <w:r w:rsidR="00AB0638" w:rsidRPr="00AB0638">
        <w:rPr>
          <w:rFonts w:ascii="Arial" w:hAnsi="Arial"/>
          <w:sz w:val="22"/>
          <w:szCs w:val="22"/>
        </w:rPr>
        <w:t>aider à remédier à l</w:t>
      </w:r>
      <w:r w:rsidR="00AB0638">
        <w:rPr>
          <w:rFonts w:ascii="Arial" w:hAnsi="Arial"/>
          <w:sz w:val="22"/>
          <w:szCs w:val="22"/>
        </w:rPr>
        <w:t>’</w:t>
      </w:r>
      <w:r w:rsidR="00AB0638" w:rsidRPr="00AB0638">
        <w:rPr>
          <w:rFonts w:ascii="Arial" w:hAnsi="Arial"/>
          <w:sz w:val="22"/>
          <w:szCs w:val="22"/>
        </w:rPr>
        <w:t>état de détérioration de l'élément</w:t>
      </w:r>
      <w:r w:rsidRPr="00716226">
        <w:rPr>
          <w:rFonts w:ascii="Arial" w:hAnsi="Arial"/>
          <w:sz w:val="22"/>
          <w:szCs w:val="22"/>
        </w:rPr>
        <w:t>. Les femmes se sont particulièrement impliquées dans cette démarche. Dans le cadre de ce projet, une enquête sera menée pour déterminer la portée de l</w:t>
      </w:r>
      <w:r w:rsidR="003D1909">
        <w:rPr>
          <w:rFonts w:ascii="Arial" w:hAnsi="Arial"/>
          <w:sz w:val="22"/>
          <w:szCs w:val="22"/>
        </w:rPr>
        <w:t>’</w:t>
      </w:r>
      <w:r w:rsidRPr="00716226">
        <w:rPr>
          <w:rFonts w:ascii="Arial" w:hAnsi="Arial"/>
          <w:sz w:val="22"/>
          <w:szCs w:val="22"/>
        </w:rPr>
        <w:t>élément et identifier les activités liées à sa viabilité. Les résultats aideront à identifier les obstacles à la viabilité de l</w:t>
      </w:r>
      <w:r w:rsidR="003D1909">
        <w:rPr>
          <w:rFonts w:ascii="Arial" w:hAnsi="Arial"/>
          <w:sz w:val="22"/>
          <w:szCs w:val="22"/>
        </w:rPr>
        <w:t>’</w:t>
      </w:r>
      <w:r w:rsidRPr="00716226">
        <w:rPr>
          <w:rFonts w:ascii="Arial" w:hAnsi="Arial"/>
          <w:sz w:val="22"/>
          <w:szCs w:val="22"/>
        </w:rPr>
        <w:t>élément et à évaluer la faisabilité des efforts de sauvegarde. Un atelier de renforcement des capacités sera organisé pour les responsables</w:t>
      </w:r>
      <w:r w:rsidR="004E13F4">
        <w:rPr>
          <w:rFonts w:ascii="Arial" w:hAnsi="Arial"/>
          <w:sz w:val="22"/>
          <w:szCs w:val="22"/>
        </w:rPr>
        <w:t xml:space="preserve"> et </w:t>
      </w:r>
      <w:r w:rsidRPr="00716226">
        <w:rPr>
          <w:rFonts w:ascii="Arial" w:hAnsi="Arial"/>
          <w:sz w:val="22"/>
          <w:szCs w:val="22"/>
        </w:rPr>
        <w:t>formateurs</w:t>
      </w:r>
      <w:r w:rsidR="00AB0638">
        <w:rPr>
          <w:rFonts w:ascii="Arial" w:hAnsi="Arial"/>
          <w:sz w:val="22"/>
          <w:szCs w:val="22"/>
        </w:rPr>
        <w:t xml:space="preserve"> dans les communautés, ainsi que</w:t>
      </w:r>
      <w:r w:rsidRPr="00716226">
        <w:rPr>
          <w:rFonts w:ascii="Arial" w:hAnsi="Arial"/>
          <w:sz w:val="22"/>
          <w:szCs w:val="22"/>
        </w:rPr>
        <w:t xml:space="preserve"> les pouvoirs publics</w:t>
      </w:r>
      <w:r w:rsidR="00AB0638">
        <w:rPr>
          <w:rFonts w:ascii="Arial" w:hAnsi="Arial"/>
          <w:sz w:val="22"/>
          <w:szCs w:val="22"/>
        </w:rPr>
        <w:t>,</w:t>
      </w:r>
      <w:r w:rsidRPr="00716226">
        <w:rPr>
          <w:rFonts w:ascii="Arial" w:hAnsi="Arial"/>
          <w:sz w:val="22"/>
          <w:szCs w:val="22"/>
        </w:rPr>
        <w:t xml:space="preserve"> afin de faciliter l</w:t>
      </w:r>
      <w:r w:rsidR="003D1909">
        <w:rPr>
          <w:rFonts w:ascii="Arial" w:hAnsi="Arial"/>
          <w:sz w:val="22"/>
          <w:szCs w:val="22"/>
        </w:rPr>
        <w:t>’</w:t>
      </w:r>
      <w:r w:rsidRPr="00716226">
        <w:rPr>
          <w:rFonts w:ascii="Arial" w:hAnsi="Arial"/>
          <w:sz w:val="22"/>
          <w:szCs w:val="22"/>
        </w:rPr>
        <w:t>élaboration de plans de sauvegarde. À l</w:t>
      </w:r>
      <w:r w:rsidR="003D1909">
        <w:rPr>
          <w:rFonts w:ascii="Arial" w:hAnsi="Arial"/>
          <w:sz w:val="22"/>
          <w:szCs w:val="22"/>
        </w:rPr>
        <w:t>’</w:t>
      </w:r>
      <w:r w:rsidRPr="00716226">
        <w:rPr>
          <w:rFonts w:ascii="Arial" w:hAnsi="Arial"/>
          <w:sz w:val="22"/>
          <w:szCs w:val="22"/>
        </w:rPr>
        <w:t>issue des séances de l</w:t>
      </w:r>
      <w:r w:rsidR="003D1909">
        <w:rPr>
          <w:rFonts w:ascii="Arial" w:hAnsi="Arial"/>
          <w:sz w:val="22"/>
          <w:szCs w:val="22"/>
        </w:rPr>
        <w:t>’</w:t>
      </w:r>
      <w:r w:rsidRPr="00716226">
        <w:rPr>
          <w:rFonts w:ascii="Arial" w:hAnsi="Arial"/>
          <w:sz w:val="22"/>
          <w:szCs w:val="22"/>
        </w:rPr>
        <w:t>atelier, les participants devraient être en mesure d</w:t>
      </w:r>
      <w:r w:rsidR="003D1909">
        <w:rPr>
          <w:rFonts w:ascii="Arial" w:hAnsi="Arial"/>
          <w:sz w:val="22"/>
          <w:szCs w:val="22"/>
        </w:rPr>
        <w:t>’</w:t>
      </w:r>
      <w:r w:rsidRPr="00716226">
        <w:rPr>
          <w:rFonts w:ascii="Arial" w:hAnsi="Arial"/>
          <w:sz w:val="22"/>
          <w:szCs w:val="22"/>
        </w:rPr>
        <w:t>identifier les principales dimensions de l</w:t>
      </w:r>
      <w:r w:rsidR="003D1909">
        <w:rPr>
          <w:rFonts w:ascii="Arial" w:hAnsi="Arial"/>
          <w:sz w:val="22"/>
          <w:szCs w:val="22"/>
        </w:rPr>
        <w:t>’</w:t>
      </w:r>
      <w:r w:rsidRPr="00716226">
        <w:rPr>
          <w:rFonts w:ascii="Arial" w:hAnsi="Arial"/>
          <w:sz w:val="22"/>
          <w:szCs w:val="22"/>
        </w:rPr>
        <w:t>élément, y compris les différences de perceptions entre les communautés et les autorités officielles, les difficultés associées à l</w:t>
      </w:r>
      <w:r w:rsidR="003D1909">
        <w:rPr>
          <w:rFonts w:ascii="Arial" w:hAnsi="Arial"/>
          <w:sz w:val="22"/>
          <w:szCs w:val="22"/>
        </w:rPr>
        <w:t>’</w:t>
      </w:r>
      <w:r w:rsidRPr="00716226">
        <w:rPr>
          <w:rFonts w:ascii="Arial" w:hAnsi="Arial"/>
          <w:sz w:val="22"/>
          <w:szCs w:val="22"/>
        </w:rPr>
        <w:t>élément et des facteurs tels que la demande et l</w:t>
      </w:r>
      <w:r w:rsidR="003D1909">
        <w:rPr>
          <w:rFonts w:ascii="Arial" w:hAnsi="Arial"/>
          <w:sz w:val="22"/>
          <w:szCs w:val="22"/>
        </w:rPr>
        <w:t>’</w:t>
      </w:r>
      <w:r w:rsidRPr="00716226">
        <w:rPr>
          <w:rFonts w:ascii="Arial" w:hAnsi="Arial"/>
          <w:sz w:val="22"/>
          <w:szCs w:val="22"/>
        </w:rPr>
        <w:t>approvisionnement, qui nuisent à sa viabilité. Un programme de formation sera proposé aux jeunes. Ce projet a notamment pour objectifs de sensibiliser à l</w:t>
      </w:r>
      <w:r w:rsidR="003D1909">
        <w:rPr>
          <w:rFonts w:ascii="Arial" w:hAnsi="Arial"/>
          <w:sz w:val="22"/>
          <w:szCs w:val="22"/>
        </w:rPr>
        <w:t>’</w:t>
      </w:r>
      <w:r w:rsidRPr="00716226">
        <w:rPr>
          <w:rFonts w:ascii="Arial" w:hAnsi="Arial"/>
          <w:sz w:val="22"/>
          <w:szCs w:val="22"/>
        </w:rPr>
        <w:t>élément</w:t>
      </w:r>
      <w:r w:rsidR="0093737B">
        <w:rPr>
          <w:rFonts w:ascii="Arial" w:hAnsi="Arial"/>
          <w:sz w:val="22"/>
          <w:szCs w:val="22"/>
        </w:rPr>
        <w:t xml:space="preserve"> et son importance</w:t>
      </w:r>
      <w:r w:rsidRPr="00716226">
        <w:rPr>
          <w:rFonts w:ascii="Arial" w:hAnsi="Arial"/>
          <w:sz w:val="22"/>
          <w:szCs w:val="22"/>
        </w:rPr>
        <w:t xml:space="preserve">, de faire émerger une nouvelle génération de tisserands professionnels, de </w:t>
      </w:r>
      <w:r w:rsidR="004E13F4">
        <w:rPr>
          <w:rFonts w:ascii="Arial" w:hAnsi="Arial"/>
          <w:sz w:val="22"/>
          <w:szCs w:val="22"/>
        </w:rPr>
        <w:t>documenter</w:t>
      </w:r>
      <w:r w:rsidRPr="00716226">
        <w:rPr>
          <w:rFonts w:ascii="Arial" w:hAnsi="Arial"/>
          <w:sz w:val="22"/>
          <w:szCs w:val="22"/>
        </w:rPr>
        <w:t xml:space="preserve"> les techniques et les motifs du tissage traditionnel, d</w:t>
      </w:r>
      <w:r w:rsidR="003D1909">
        <w:rPr>
          <w:rFonts w:ascii="Arial" w:hAnsi="Arial"/>
          <w:sz w:val="22"/>
          <w:szCs w:val="22"/>
        </w:rPr>
        <w:t>’</w:t>
      </w:r>
      <w:r w:rsidRPr="00716226">
        <w:rPr>
          <w:rFonts w:ascii="Arial" w:hAnsi="Arial"/>
          <w:sz w:val="22"/>
          <w:szCs w:val="22"/>
        </w:rPr>
        <w:t>élargir la portée géographique de cette pratique et de stimuler l</w:t>
      </w:r>
      <w:r w:rsidR="003D1909">
        <w:rPr>
          <w:rFonts w:ascii="Arial" w:hAnsi="Arial"/>
          <w:sz w:val="22"/>
          <w:szCs w:val="22"/>
        </w:rPr>
        <w:t>’</w:t>
      </w:r>
      <w:r w:rsidRPr="00716226">
        <w:rPr>
          <w:rFonts w:ascii="Arial" w:hAnsi="Arial"/>
          <w:sz w:val="22"/>
          <w:szCs w:val="22"/>
        </w:rPr>
        <w:t>innovation et la créativité.</w:t>
      </w:r>
    </w:p>
    <w:p w14:paraId="6DCCF983" w14:textId="42F96C66" w:rsidR="006D35D9" w:rsidRPr="00716226" w:rsidRDefault="006D35D9" w:rsidP="005060FE">
      <w:pPr>
        <w:pStyle w:val="ListParagraph"/>
        <w:numPr>
          <w:ilvl w:val="0"/>
          <w:numId w:val="23"/>
        </w:numPr>
        <w:tabs>
          <w:tab w:val="left" w:pos="1276"/>
        </w:tabs>
        <w:spacing w:before="120" w:after="120"/>
        <w:ind w:left="1134" w:hanging="567"/>
        <w:contextualSpacing w:val="0"/>
        <w:jc w:val="both"/>
        <w:rPr>
          <w:rFonts w:ascii="Arial" w:hAnsi="Arial" w:cs="Arial"/>
          <w:noProof/>
          <w:sz w:val="22"/>
          <w:szCs w:val="22"/>
        </w:rPr>
      </w:pPr>
      <w:r w:rsidRPr="00716226">
        <w:rPr>
          <w:rFonts w:ascii="Arial" w:hAnsi="Arial"/>
          <w:sz w:val="22"/>
          <w:szCs w:val="22"/>
          <w:u w:val="single"/>
        </w:rPr>
        <w:t xml:space="preserve">Estime </w:t>
      </w:r>
      <w:r w:rsidR="00CB0FEE">
        <w:rPr>
          <w:rFonts w:ascii="Arial" w:hAnsi="Arial"/>
          <w:sz w:val="22"/>
          <w:szCs w:val="22"/>
          <w:u w:val="single"/>
        </w:rPr>
        <w:t>également</w:t>
      </w:r>
      <w:r w:rsidRPr="00716226">
        <w:rPr>
          <w:rFonts w:ascii="Arial" w:hAnsi="Arial"/>
          <w:sz w:val="22"/>
          <w:szCs w:val="22"/>
        </w:rPr>
        <w:t xml:space="preserve"> que, d</w:t>
      </w:r>
      <w:r w:rsidR="003D1909">
        <w:rPr>
          <w:rFonts w:ascii="Arial" w:hAnsi="Arial"/>
          <w:sz w:val="22"/>
          <w:szCs w:val="22"/>
        </w:rPr>
        <w:t>’</w:t>
      </w:r>
      <w:r w:rsidRPr="00716226">
        <w:rPr>
          <w:rFonts w:ascii="Arial" w:hAnsi="Arial"/>
          <w:sz w:val="22"/>
          <w:szCs w:val="22"/>
        </w:rPr>
        <w:t>après les informations contenues dans le dossier, la demande satisfait aux critères d</w:t>
      </w:r>
      <w:r w:rsidR="003D1909">
        <w:rPr>
          <w:rFonts w:ascii="Arial" w:hAnsi="Arial"/>
          <w:sz w:val="22"/>
          <w:szCs w:val="22"/>
        </w:rPr>
        <w:t>’</w:t>
      </w:r>
      <w:r w:rsidRPr="00716226">
        <w:rPr>
          <w:rFonts w:ascii="Arial" w:hAnsi="Arial"/>
          <w:sz w:val="22"/>
          <w:szCs w:val="22"/>
        </w:rPr>
        <w:t>octroi de l</w:t>
      </w:r>
      <w:r w:rsidR="003D1909">
        <w:rPr>
          <w:rFonts w:ascii="Arial" w:hAnsi="Arial"/>
          <w:sz w:val="22"/>
          <w:szCs w:val="22"/>
        </w:rPr>
        <w:t>’</w:t>
      </w:r>
      <w:r w:rsidRPr="00716226">
        <w:rPr>
          <w:rFonts w:ascii="Arial" w:hAnsi="Arial"/>
          <w:sz w:val="22"/>
          <w:szCs w:val="22"/>
        </w:rPr>
        <w:t>assistance internationale énoncés aux paragraphes 10 et 12 des Directives opérationnelles comme suit :</w:t>
      </w:r>
    </w:p>
    <w:p w14:paraId="6B8CFDD7" w14:textId="1B817ED7" w:rsidR="006D35D9" w:rsidRPr="00716226" w:rsidRDefault="004E13F4" w:rsidP="00700FB1">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A.1</w:t>
      </w:r>
      <w:r w:rsidR="006D35D9" w:rsidRPr="00702EFA">
        <w:rPr>
          <w:rFonts w:ascii="Arial" w:hAnsi="Arial"/>
          <w:sz w:val="22"/>
          <w:szCs w:val="22"/>
        </w:rPr>
        <w:t> :</w:t>
      </w:r>
      <w:r>
        <w:rPr>
          <w:rFonts w:ascii="Arial" w:hAnsi="Arial"/>
          <w:sz w:val="22"/>
          <w:szCs w:val="22"/>
        </w:rPr>
        <w:t xml:space="preserve"> </w:t>
      </w:r>
      <w:r w:rsidR="006D35D9" w:rsidRPr="00716226">
        <w:rPr>
          <w:rFonts w:ascii="Arial" w:hAnsi="Arial"/>
          <w:sz w:val="22"/>
          <w:szCs w:val="22"/>
        </w:rPr>
        <w:t xml:space="preserve">Les membres des communautés ont participé à toutes les étapes des activités et approuvé toutes les stratégies élaborées. Ils ont contribué à plusieurs des activités proposées aux responsables </w:t>
      </w:r>
      <w:r w:rsidR="00AB0638">
        <w:rPr>
          <w:rFonts w:ascii="Arial" w:hAnsi="Arial"/>
          <w:sz w:val="22"/>
          <w:szCs w:val="22"/>
        </w:rPr>
        <w:t>au sein des communautés</w:t>
      </w:r>
      <w:r w:rsidR="006D35D9" w:rsidRPr="00716226">
        <w:rPr>
          <w:rFonts w:ascii="Arial" w:hAnsi="Arial"/>
          <w:sz w:val="22"/>
          <w:szCs w:val="22"/>
        </w:rPr>
        <w:t>, notamment aux formations relatives à l</w:t>
      </w:r>
      <w:r w:rsidR="003D1909">
        <w:rPr>
          <w:rFonts w:ascii="Arial" w:hAnsi="Arial"/>
          <w:sz w:val="22"/>
          <w:szCs w:val="22"/>
        </w:rPr>
        <w:t>’</w:t>
      </w:r>
      <w:r w:rsidR="006D35D9" w:rsidRPr="00716226">
        <w:rPr>
          <w:rFonts w:ascii="Arial" w:hAnsi="Arial"/>
          <w:sz w:val="22"/>
          <w:szCs w:val="22"/>
        </w:rPr>
        <w:t>élaboration des plans de sauvegarde. Ils ont également participé à l</w:t>
      </w:r>
      <w:r w:rsidR="003D1909">
        <w:rPr>
          <w:rFonts w:ascii="Arial" w:hAnsi="Arial"/>
          <w:sz w:val="22"/>
          <w:szCs w:val="22"/>
        </w:rPr>
        <w:t>’</w:t>
      </w:r>
      <w:r w:rsidR="006D35D9" w:rsidRPr="00716226">
        <w:rPr>
          <w:rFonts w:ascii="Arial" w:hAnsi="Arial"/>
          <w:sz w:val="22"/>
          <w:szCs w:val="22"/>
        </w:rPr>
        <w:t>enquête et à la formation organisées au niveau national. Toutefois, les critères d</w:t>
      </w:r>
      <w:r w:rsidR="003D1909">
        <w:rPr>
          <w:rFonts w:ascii="Arial" w:hAnsi="Arial"/>
          <w:sz w:val="22"/>
          <w:szCs w:val="22"/>
        </w:rPr>
        <w:t>’</w:t>
      </w:r>
      <w:r w:rsidR="006D35D9" w:rsidRPr="00716226">
        <w:rPr>
          <w:rFonts w:ascii="Arial" w:hAnsi="Arial"/>
          <w:sz w:val="22"/>
          <w:szCs w:val="22"/>
        </w:rPr>
        <w:t>identification des bénéficiaires potentiels de cette formation ne sont pas explicites. Le dossier indique qu</w:t>
      </w:r>
      <w:r w:rsidR="003D1909">
        <w:rPr>
          <w:rFonts w:ascii="Arial" w:hAnsi="Arial"/>
          <w:sz w:val="22"/>
          <w:szCs w:val="22"/>
        </w:rPr>
        <w:t>’</w:t>
      </w:r>
      <w:r w:rsidR="006D35D9" w:rsidRPr="00716226">
        <w:rPr>
          <w:rFonts w:ascii="Arial" w:hAnsi="Arial"/>
          <w:sz w:val="22"/>
          <w:szCs w:val="22"/>
        </w:rPr>
        <w:t xml:space="preserve">elle sera proposée à des jeunes </w:t>
      </w:r>
      <w:r w:rsidR="00EE2B83">
        <w:rPr>
          <w:rFonts w:ascii="Arial" w:hAnsi="Arial"/>
          <w:sz w:val="22"/>
          <w:szCs w:val="22"/>
        </w:rPr>
        <w:t>femmes</w:t>
      </w:r>
      <w:r w:rsidR="00EE2B83" w:rsidRPr="00716226">
        <w:rPr>
          <w:rFonts w:ascii="Arial" w:hAnsi="Arial"/>
          <w:sz w:val="22"/>
          <w:szCs w:val="22"/>
        </w:rPr>
        <w:t xml:space="preserve"> </w:t>
      </w:r>
      <w:r w:rsidR="006D35D9" w:rsidRPr="00716226">
        <w:rPr>
          <w:rFonts w:ascii="Arial" w:hAnsi="Arial"/>
          <w:sz w:val="22"/>
          <w:szCs w:val="22"/>
        </w:rPr>
        <w:t>de trois régions de la Haute Égypte. Cependant, la description de cette population est insuffisante, tout comme les informations concernant les femmes qui assureront cette formation, leur lieu d</w:t>
      </w:r>
      <w:r w:rsidR="003D1909">
        <w:rPr>
          <w:rFonts w:ascii="Arial" w:hAnsi="Arial"/>
          <w:sz w:val="22"/>
          <w:szCs w:val="22"/>
        </w:rPr>
        <w:t>’</w:t>
      </w:r>
      <w:r w:rsidR="006D35D9" w:rsidRPr="00716226">
        <w:rPr>
          <w:rFonts w:ascii="Arial" w:hAnsi="Arial"/>
          <w:sz w:val="22"/>
          <w:szCs w:val="22"/>
        </w:rPr>
        <w:t>origine,</w:t>
      </w:r>
      <w:r w:rsidR="00AB5FA6">
        <w:rPr>
          <w:rFonts w:ascii="Arial" w:hAnsi="Arial"/>
          <w:sz w:val="22"/>
          <w:szCs w:val="22"/>
        </w:rPr>
        <w:t xml:space="preserve"> et</w:t>
      </w:r>
      <w:r w:rsidR="006D35D9" w:rsidRPr="00716226">
        <w:rPr>
          <w:rFonts w:ascii="Arial" w:hAnsi="Arial"/>
          <w:sz w:val="22"/>
          <w:szCs w:val="22"/>
        </w:rPr>
        <w:t xml:space="preserve"> leurs relations avec les communautés.</w:t>
      </w:r>
    </w:p>
    <w:p w14:paraId="1AF306A3" w14:textId="23FCA1B2" w:rsidR="006D35D9" w:rsidRPr="00700FB1" w:rsidRDefault="00702EFA" w:rsidP="00702EFA">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A.2 </w:t>
      </w:r>
      <w:r w:rsidR="006D35D9" w:rsidRPr="00716226">
        <w:rPr>
          <w:rFonts w:ascii="Arial" w:hAnsi="Arial"/>
          <w:sz w:val="22"/>
          <w:szCs w:val="22"/>
        </w:rPr>
        <w:t>:</w:t>
      </w:r>
      <w:r>
        <w:rPr>
          <w:rFonts w:ascii="Arial" w:hAnsi="Arial"/>
          <w:sz w:val="22"/>
          <w:szCs w:val="22"/>
        </w:rPr>
        <w:t xml:space="preserve"> </w:t>
      </w:r>
      <w:r w:rsidR="006D35D9" w:rsidRPr="00716226">
        <w:rPr>
          <w:rFonts w:ascii="Arial" w:hAnsi="Arial"/>
          <w:sz w:val="22"/>
          <w:szCs w:val="22"/>
        </w:rPr>
        <w:t>Le budget et le calendrier sont présentés en fonction des objectifs, des activités proposées et de la répartition des fonds. La plus grande partie est consacrée au développement de formations sur les techniques de tissage, à l</w:t>
      </w:r>
      <w:r w:rsidR="003D1909">
        <w:rPr>
          <w:rFonts w:ascii="Arial" w:hAnsi="Arial"/>
          <w:sz w:val="22"/>
          <w:szCs w:val="22"/>
        </w:rPr>
        <w:t>’</w:t>
      </w:r>
      <w:r w:rsidR="006D35D9" w:rsidRPr="00716226">
        <w:rPr>
          <w:rFonts w:ascii="Arial" w:hAnsi="Arial"/>
          <w:sz w:val="22"/>
          <w:szCs w:val="22"/>
        </w:rPr>
        <w:t>achat de matériel, à la location de la salle où aura lieu l</w:t>
      </w:r>
      <w:r w:rsidR="003D1909">
        <w:rPr>
          <w:rFonts w:ascii="Arial" w:hAnsi="Arial"/>
          <w:sz w:val="22"/>
          <w:szCs w:val="22"/>
        </w:rPr>
        <w:t>’</w:t>
      </w:r>
      <w:r w:rsidR="006D35D9" w:rsidRPr="00716226">
        <w:rPr>
          <w:rFonts w:ascii="Arial" w:hAnsi="Arial"/>
          <w:sz w:val="22"/>
          <w:szCs w:val="22"/>
        </w:rPr>
        <w:t>atelier et aux dépenses des participant</w:t>
      </w:r>
      <w:r w:rsidR="0039310A">
        <w:rPr>
          <w:rFonts w:ascii="Arial" w:hAnsi="Arial"/>
          <w:sz w:val="22"/>
          <w:szCs w:val="22"/>
        </w:rPr>
        <w:t>e</w:t>
      </w:r>
      <w:r w:rsidR="006D35D9" w:rsidRPr="00716226">
        <w:rPr>
          <w:rFonts w:ascii="Arial" w:hAnsi="Arial"/>
          <w:sz w:val="22"/>
          <w:szCs w:val="22"/>
        </w:rPr>
        <w:t>s. La répartition du budget reflète seulement partiellement les objectifs, les activités proposées et les dépenses. En outre, l</w:t>
      </w:r>
      <w:r w:rsidR="003D1909">
        <w:rPr>
          <w:rFonts w:ascii="Arial" w:hAnsi="Arial"/>
          <w:sz w:val="22"/>
          <w:szCs w:val="22"/>
        </w:rPr>
        <w:t>’</w:t>
      </w:r>
      <w:r w:rsidR="006D35D9" w:rsidRPr="00716226">
        <w:rPr>
          <w:rFonts w:ascii="Arial" w:hAnsi="Arial"/>
          <w:sz w:val="22"/>
          <w:szCs w:val="22"/>
        </w:rPr>
        <w:t xml:space="preserve">approvisionnement en matériel semble problématique et ne </w:t>
      </w:r>
      <w:r w:rsidR="006D35D9" w:rsidRPr="00700FB1">
        <w:rPr>
          <w:rFonts w:ascii="Arial" w:hAnsi="Arial"/>
          <w:sz w:val="22"/>
          <w:szCs w:val="22"/>
        </w:rPr>
        <w:t>peut pas être garanti. L</w:t>
      </w:r>
      <w:r w:rsidR="0039310A" w:rsidRPr="00700FB1">
        <w:rPr>
          <w:rFonts w:ascii="Arial" w:hAnsi="Arial"/>
          <w:sz w:val="22"/>
          <w:szCs w:val="22"/>
        </w:rPr>
        <w:t>a ventilation du</w:t>
      </w:r>
      <w:r w:rsidR="006D35D9" w:rsidRPr="00700FB1">
        <w:rPr>
          <w:rFonts w:ascii="Arial" w:hAnsi="Arial"/>
          <w:sz w:val="22"/>
          <w:szCs w:val="22"/>
        </w:rPr>
        <w:t xml:space="preserve"> budget proposé est trop général</w:t>
      </w:r>
      <w:r w:rsidR="0039310A" w:rsidRPr="00700FB1">
        <w:rPr>
          <w:rFonts w:ascii="Arial" w:hAnsi="Arial"/>
          <w:sz w:val="22"/>
          <w:szCs w:val="22"/>
        </w:rPr>
        <w:t>e</w:t>
      </w:r>
      <w:r w:rsidR="006D35D9" w:rsidRPr="00700FB1">
        <w:rPr>
          <w:rFonts w:ascii="Arial" w:hAnsi="Arial"/>
          <w:sz w:val="22"/>
          <w:szCs w:val="22"/>
        </w:rPr>
        <w:t xml:space="preserve">, </w:t>
      </w:r>
      <w:r w:rsidR="007A0988" w:rsidRPr="00700FB1">
        <w:rPr>
          <w:rFonts w:ascii="Arial" w:hAnsi="Arial"/>
          <w:sz w:val="22"/>
          <w:szCs w:val="22"/>
        </w:rPr>
        <w:t>et</w:t>
      </w:r>
      <w:r w:rsidR="0039310A" w:rsidRPr="00700FB1">
        <w:rPr>
          <w:rFonts w:ascii="Arial" w:hAnsi="Arial"/>
          <w:sz w:val="22"/>
          <w:szCs w:val="22"/>
        </w:rPr>
        <w:t xml:space="preserve"> </w:t>
      </w:r>
      <w:r w:rsidR="006D35D9" w:rsidRPr="00700FB1">
        <w:rPr>
          <w:rFonts w:ascii="Arial" w:hAnsi="Arial"/>
          <w:sz w:val="22"/>
          <w:szCs w:val="22"/>
        </w:rPr>
        <w:t xml:space="preserve">ne précise pas les coûts associés à chaque élément. </w:t>
      </w:r>
      <w:r w:rsidR="00E675B9" w:rsidRPr="00700FB1">
        <w:rPr>
          <w:rFonts w:ascii="Arial" w:hAnsi="Arial"/>
          <w:sz w:val="22"/>
          <w:szCs w:val="22"/>
        </w:rPr>
        <w:t>L</w:t>
      </w:r>
      <w:r w:rsidR="006D35D9" w:rsidRPr="00700FB1">
        <w:rPr>
          <w:rFonts w:ascii="Arial" w:hAnsi="Arial"/>
          <w:sz w:val="22"/>
          <w:szCs w:val="22"/>
        </w:rPr>
        <w:t>e budget</w:t>
      </w:r>
      <w:r w:rsidR="00E675B9" w:rsidRPr="00700FB1">
        <w:rPr>
          <w:rFonts w:ascii="Arial" w:hAnsi="Arial"/>
          <w:sz w:val="22"/>
          <w:szCs w:val="22"/>
        </w:rPr>
        <w:t xml:space="preserve"> ventilé</w:t>
      </w:r>
      <w:r w:rsidR="006D35D9" w:rsidRPr="00700FB1">
        <w:rPr>
          <w:rFonts w:ascii="Arial" w:hAnsi="Arial"/>
          <w:sz w:val="22"/>
          <w:szCs w:val="22"/>
        </w:rPr>
        <w:t xml:space="preserve"> </w:t>
      </w:r>
      <w:r w:rsidR="00E675B9" w:rsidRPr="00700FB1">
        <w:rPr>
          <w:rFonts w:ascii="Arial" w:hAnsi="Arial"/>
          <w:sz w:val="22"/>
          <w:szCs w:val="22"/>
        </w:rPr>
        <w:t>n’identifie pas</w:t>
      </w:r>
      <w:r w:rsidR="006D35D9" w:rsidRPr="00700FB1">
        <w:rPr>
          <w:rFonts w:ascii="Arial" w:hAnsi="Arial"/>
          <w:sz w:val="22"/>
          <w:szCs w:val="22"/>
        </w:rPr>
        <w:t xml:space="preserve"> les activités</w:t>
      </w:r>
      <w:r w:rsidR="00E675B9" w:rsidRPr="00700FB1">
        <w:rPr>
          <w:rFonts w:ascii="Arial" w:hAnsi="Arial"/>
          <w:sz w:val="22"/>
          <w:szCs w:val="22"/>
        </w:rPr>
        <w:t xml:space="preserve"> en détail</w:t>
      </w:r>
      <w:r w:rsidR="006D35D9" w:rsidRPr="00700FB1">
        <w:rPr>
          <w:rFonts w:ascii="Arial" w:hAnsi="Arial"/>
          <w:sz w:val="22"/>
          <w:szCs w:val="22"/>
        </w:rPr>
        <w:t xml:space="preserve"> (calendrier, lieu</w:t>
      </w:r>
      <w:r w:rsidR="00E675B9">
        <w:rPr>
          <w:rFonts w:ascii="Arial" w:hAnsi="Arial"/>
          <w:sz w:val="22"/>
          <w:szCs w:val="22"/>
        </w:rPr>
        <w:t xml:space="preserve"> et</w:t>
      </w:r>
      <w:r w:rsidR="006D35D9" w:rsidRPr="00700FB1">
        <w:rPr>
          <w:rFonts w:ascii="Arial" w:hAnsi="Arial"/>
          <w:sz w:val="22"/>
          <w:szCs w:val="22"/>
        </w:rPr>
        <w:t xml:space="preserve"> autres activités de sauvegarde</w:t>
      </w:r>
      <w:r w:rsidR="00E675B9">
        <w:rPr>
          <w:rFonts w:ascii="Arial" w:hAnsi="Arial"/>
          <w:sz w:val="22"/>
          <w:szCs w:val="22"/>
        </w:rPr>
        <w:t>)</w:t>
      </w:r>
      <w:r w:rsidR="006D35D9" w:rsidRPr="00700FB1">
        <w:rPr>
          <w:rFonts w:ascii="Arial" w:hAnsi="Arial"/>
          <w:sz w:val="22"/>
          <w:szCs w:val="22"/>
        </w:rPr>
        <w:t>.</w:t>
      </w:r>
    </w:p>
    <w:p w14:paraId="7852537C" w14:textId="34A67671" w:rsidR="006D35D9" w:rsidRPr="00716226" w:rsidRDefault="00702EFA" w:rsidP="00702EFA">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A.3</w:t>
      </w:r>
      <w:r w:rsidR="006D35D9" w:rsidRPr="00700FB1">
        <w:rPr>
          <w:rFonts w:ascii="Arial" w:hAnsi="Arial"/>
          <w:sz w:val="22"/>
          <w:szCs w:val="22"/>
        </w:rPr>
        <w:t> :</w:t>
      </w:r>
      <w:r>
        <w:rPr>
          <w:rFonts w:ascii="Arial" w:hAnsi="Arial"/>
          <w:sz w:val="22"/>
          <w:szCs w:val="22"/>
        </w:rPr>
        <w:t xml:space="preserve"> </w:t>
      </w:r>
      <w:r w:rsidR="006D35D9" w:rsidRPr="00700FB1">
        <w:rPr>
          <w:rFonts w:ascii="Arial" w:hAnsi="Arial"/>
          <w:sz w:val="22"/>
          <w:szCs w:val="22"/>
        </w:rPr>
        <w:t>Les activités de sauvegarde</w:t>
      </w:r>
      <w:r w:rsidR="006D35D9" w:rsidRPr="00716226">
        <w:rPr>
          <w:rFonts w:ascii="Arial" w:hAnsi="Arial"/>
          <w:sz w:val="22"/>
          <w:szCs w:val="22"/>
        </w:rPr>
        <w:t xml:space="preserve"> proposées entrent dans trois grandes catégories : 1) une enquête pour déterminer la portée de l</w:t>
      </w:r>
      <w:r w:rsidR="003D1909">
        <w:rPr>
          <w:rFonts w:ascii="Arial" w:hAnsi="Arial"/>
          <w:sz w:val="22"/>
          <w:szCs w:val="22"/>
        </w:rPr>
        <w:t>’</w:t>
      </w:r>
      <w:r w:rsidR="006D35D9" w:rsidRPr="00716226">
        <w:rPr>
          <w:rFonts w:ascii="Arial" w:hAnsi="Arial"/>
          <w:sz w:val="22"/>
          <w:szCs w:val="22"/>
        </w:rPr>
        <w:t>élément et identifier les activités liées à sa viabilité ; 2) un atelier de renforcement des capacités pour les responsables</w:t>
      </w:r>
      <w:r w:rsidR="00AB0638">
        <w:rPr>
          <w:rFonts w:ascii="Arial" w:hAnsi="Arial"/>
          <w:sz w:val="22"/>
          <w:szCs w:val="22"/>
        </w:rPr>
        <w:t>/</w:t>
      </w:r>
      <w:r w:rsidR="006D35D9" w:rsidRPr="00716226">
        <w:rPr>
          <w:rFonts w:ascii="Arial" w:hAnsi="Arial"/>
          <w:sz w:val="22"/>
          <w:szCs w:val="22"/>
        </w:rPr>
        <w:t xml:space="preserve">formateurs </w:t>
      </w:r>
      <w:r w:rsidR="00AB0638">
        <w:rPr>
          <w:rFonts w:ascii="Arial" w:hAnsi="Arial"/>
          <w:sz w:val="22"/>
          <w:szCs w:val="22"/>
        </w:rPr>
        <w:t xml:space="preserve">au sein des communautés, </w:t>
      </w:r>
      <w:r w:rsidR="006D35D9" w:rsidRPr="00716226">
        <w:rPr>
          <w:rFonts w:ascii="Arial" w:hAnsi="Arial"/>
          <w:sz w:val="22"/>
          <w:szCs w:val="22"/>
        </w:rPr>
        <w:t>et les pouvoirs publics afin de faciliter l</w:t>
      </w:r>
      <w:r w:rsidR="003D1909">
        <w:rPr>
          <w:rFonts w:ascii="Arial" w:hAnsi="Arial"/>
          <w:sz w:val="22"/>
          <w:szCs w:val="22"/>
        </w:rPr>
        <w:t>’</w:t>
      </w:r>
      <w:r w:rsidR="006D35D9" w:rsidRPr="00716226">
        <w:rPr>
          <w:rFonts w:ascii="Arial" w:hAnsi="Arial"/>
          <w:sz w:val="22"/>
          <w:szCs w:val="22"/>
        </w:rPr>
        <w:t xml:space="preserve">élaboration de plans de sauvegarde ; et 3) un </w:t>
      </w:r>
      <w:r w:rsidR="00816B6F">
        <w:rPr>
          <w:rFonts w:ascii="Arial" w:hAnsi="Arial"/>
          <w:sz w:val="22"/>
          <w:szCs w:val="22"/>
        </w:rPr>
        <w:t>programme</w:t>
      </w:r>
      <w:r w:rsidR="00816B6F" w:rsidRPr="00716226">
        <w:rPr>
          <w:rFonts w:ascii="Arial" w:hAnsi="Arial"/>
          <w:sz w:val="22"/>
          <w:szCs w:val="22"/>
        </w:rPr>
        <w:t xml:space="preserve"> </w:t>
      </w:r>
      <w:r w:rsidR="006D35D9" w:rsidRPr="00716226">
        <w:rPr>
          <w:rFonts w:ascii="Arial" w:hAnsi="Arial"/>
          <w:sz w:val="22"/>
          <w:szCs w:val="22"/>
        </w:rPr>
        <w:t>de formation pour les jeunes. Elles s</w:t>
      </w:r>
      <w:r w:rsidR="003D1909">
        <w:rPr>
          <w:rFonts w:ascii="Arial" w:hAnsi="Arial"/>
          <w:sz w:val="22"/>
          <w:szCs w:val="22"/>
        </w:rPr>
        <w:t>’</w:t>
      </w:r>
      <w:r w:rsidR="006D35D9" w:rsidRPr="00716226">
        <w:rPr>
          <w:rFonts w:ascii="Arial" w:hAnsi="Arial"/>
          <w:sz w:val="22"/>
          <w:szCs w:val="22"/>
        </w:rPr>
        <w:t xml:space="preserve">articulent de manière logique et </w:t>
      </w:r>
      <w:r w:rsidR="00AB0638">
        <w:rPr>
          <w:rFonts w:ascii="Arial" w:hAnsi="Arial"/>
          <w:sz w:val="22"/>
          <w:szCs w:val="22"/>
        </w:rPr>
        <w:t xml:space="preserve">pourraient </w:t>
      </w:r>
      <w:r w:rsidR="006D35D9" w:rsidRPr="00716226">
        <w:rPr>
          <w:rFonts w:ascii="Arial" w:hAnsi="Arial"/>
          <w:sz w:val="22"/>
          <w:szCs w:val="22"/>
        </w:rPr>
        <w:t>contribuer effectivement à la sauvegarde de l</w:t>
      </w:r>
      <w:r w:rsidR="003D1909">
        <w:rPr>
          <w:rFonts w:ascii="Arial" w:hAnsi="Arial"/>
          <w:sz w:val="22"/>
          <w:szCs w:val="22"/>
        </w:rPr>
        <w:t>’</w:t>
      </w:r>
      <w:r w:rsidR="006D35D9" w:rsidRPr="00716226">
        <w:rPr>
          <w:rFonts w:ascii="Arial" w:hAnsi="Arial"/>
          <w:sz w:val="22"/>
          <w:szCs w:val="22"/>
        </w:rPr>
        <w:t>élément. Toutefois, dans la description des objectifs et des activités, plusieurs informations sont mélangées et perdent en clarté. À plusieurs reprises, la demande entremêle ce qui doit être fait, la situation actuelle et la situation idéale à atteindre. Le cadre du plan de sauvegarde doit donc être soigneusement retravaillé pour établir clairement et aussi succinctement que possible la relation entre les objectifs et les actions à mener pour les atteindre.</w:t>
      </w:r>
    </w:p>
    <w:p w14:paraId="0959A5B3" w14:textId="711A8A44" w:rsidR="006D35D9" w:rsidRPr="00716226" w:rsidRDefault="00702EFA" w:rsidP="00702EFA">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A.4</w:t>
      </w:r>
      <w:r w:rsidR="006D35D9" w:rsidRPr="00716226">
        <w:rPr>
          <w:rFonts w:ascii="Arial" w:hAnsi="Arial"/>
          <w:sz w:val="22"/>
          <w:szCs w:val="22"/>
        </w:rPr>
        <w:t> :</w:t>
      </w:r>
      <w:r>
        <w:rPr>
          <w:rFonts w:ascii="Arial" w:hAnsi="Arial"/>
          <w:sz w:val="22"/>
          <w:szCs w:val="22"/>
        </w:rPr>
        <w:t xml:space="preserve"> </w:t>
      </w:r>
      <w:r w:rsidR="006D35D9" w:rsidRPr="00716226">
        <w:rPr>
          <w:rFonts w:ascii="Arial" w:hAnsi="Arial"/>
          <w:sz w:val="22"/>
          <w:szCs w:val="22"/>
        </w:rPr>
        <w:t>Le principal résultat attendu du projet est la formation de jeunes femmes à l</w:t>
      </w:r>
      <w:r w:rsidR="003D1909">
        <w:rPr>
          <w:rFonts w:ascii="Arial" w:hAnsi="Arial"/>
          <w:sz w:val="22"/>
          <w:szCs w:val="22"/>
        </w:rPr>
        <w:t>’</w:t>
      </w:r>
      <w:r w:rsidR="006D35D9" w:rsidRPr="00716226">
        <w:rPr>
          <w:rFonts w:ascii="Arial" w:hAnsi="Arial"/>
          <w:sz w:val="22"/>
          <w:szCs w:val="22"/>
        </w:rPr>
        <w:t>art du tissage. La demande indique par ailleurs que cela permettra d</w:t>
      </w:r>
      <w:r w:rsidR="003D1909">
        <w:rPr>
          <w:rFonts w:ascii="Arial" w:hAnsi="Arial"/>
          <w:sz w:val="22"/>
          <w:szCs w:val="22"/>
        </w:rPr>
        <w:t>’</w:t>
      </w:r>
      <w:r w:rsidR="006D35D9" w:rsidRPr="00716226">
        <w:rPr>
          <w:rFonts w:ascii="Arial" w:hAnsi="Arial"/>
          <w:sz w:val="22"/>
          <w:szCs w:val="22"/>
        </w:rPr>
        <w:t>augmenter le nombre de tisserandes et de répondre ainsi à la demande du marché. Les informations fournies ne sont pas suffisantes pour déterminer précisément si l</w:t>
      </w:r>
      <w:r w:rsidR="003D1909">
        <w:rPr>
          <w:rFonts w:ascii="Arial" w:hAnsi="Arial"/>
          <w:sz w:val="22"/>
          <w:szCs w:val="22"/>
        </w:rPr>
        <w:t>’</w:t>
      </w:r>
      <w:r w:rsidR="006D35D9" w:rsidRPr="00716226">
        <w:rPr>
          <w:rFonts w:ascii="Arial" w:hAnsi="Arial"/>
          <w:sz w:val="22"/>
          <w:szCs w:val="22"/>
        </w:rPr>
        <w:t>objectif ultime du programme est la sauvegarde du savoir-faire des tisserands afin de garantir la continuité du patrimoine culturel immatériel, ou bien s</w:t>
      </w:r>
      <w:r w:rsidR="003D1909">
        <w:rPr>
          <w:rFonts w:ascii="Arial" w:hAnsi="Arial"/>
          <w:sz w:val="22"/>
          <w:szCs w:val="22"/>
        </w:rPr>
        <w:t>’</w:t>
      </w:r>
      <w:r w:rsidR="006D35D9" w:rsidRPr="00716226">
        <w:rPr>
          <w:rFonts w:ascii="Arial" w:hAnsi="Arial"/>
          <w:sz w:val="22"/>
          <w:szCs w:val="22"/>
        </w:rPr>
        <w:t>il a pour but d</w:t>
      </w:r>
      <w:r w:rsidR="003D1909">
        <w:rPr>
          <w:rFonts w:ascii="Arial" w:hAnsi="Arial"/>
          <w:sz w:val="22"/>
          <w:szCs w:val="22"/>
        </w:rPr>
        <w:t>’</w:t>
      </w:r>
      <w:r w:rsidR="006D35D9" w:rsidRPr="00716226">
        <w:rPr>
          <w:rFonts w:ascii="Arial" w:hAnsi="Arial"/>
          <w:sz w:val="22"/>
          <w:szCs w:val="22"/>
        </w:rPr>
        <w:t xml:space="preserve">offrir une formation professionnelle aux jeunes femmes de certaines communautés de Haute-Égypte. Si ces deux objectifs sont tout aussi importants </w:t>
      </w:r>
      <w:r w:rsidR="00816B6F">
        <w:rPr>
          <w:rFonts w:ascii="Arial" w:hAnsi="Arial"/>
          <w:sz w:val="22"/>
          <w:szCs w:val="22"/>
        </w:rPr>
        <w:t xml:space="preserve">l’un </w:t>
      </w:r>
      <w:r w:rsidR="006D35D9" w:rsidRPr="00716226">
        <w:rPr>
          <w:rFonts w:ascii="Arial" w:hAnsi="Arial"/>
          <w:sz w:val="22"/>
          <w:szCs w:val="22"/>
        </w:rPr>
        <w:t>que l</w:t>
      </w:r>
      <w:r w:rsidR="003D1909">
        <w:rPr>
          <w:rFonts w:ascii="Arial" w:hAnsi="Arial"/>
          <w:sz w:val="22"/>
          <w:szCs w:val="22"/>
        </w:rPr>
        <w:t>’</w:t>
      </w:r>
      <w:r w:rsidR="006D35D9" w:rsidRPr="00716226">
        <w:rPr>
          <w:rFonts w:ascii="Arial" w:hAnsi="Arial"/>
          <w:sz w:val="22"/>
          <w:szCs w:val="22"/>
        </w:rPr>
        <w:t>autre pour les communautés concernées, dans le contexte de la Convention de 2003 l</w:t>
      </w:r>
      <w:r w:rsidR="003D1909">
        <w:rPr>
          <w:rFonts w:ascii="Arial" w:hAnsi="Arial"/>
          <w:sz w:val="22"/>
          <w:szCs w:val="22"/>
        </w:rPr>
        <w:t>’</w:t>
      </w:r>
      <w:r w:rsidR="006D35D9" w:rsidRPr="00716226">
        <w:rPr>
          <w:rFonts w:ascii="Arial" w:hAnsi="Arial"/>
          <w:sz w:val="22"/>
          <w:szCs w:val="22"/>
        </w:rPr>
        <w:t>objectif principal du programme devrait être la sauvegarde des savoir-faire et des pratiques. La demande indique en outre que la mise en lumière de l</w:t>
      </w:r>
      <w:r w:rsidR="003D1909">
        <w:rPr>
          <w:rFonts w:ascii="Arial" w:hAnsi="Arial"/>
          <w:sz w:val="22"/>
          <w:szCs w:val="22"/>
        </w:rPr>
        <w:t>’</w:t>
      </w:r>
      <w:r w:rsidR="006D35D9" w:rsidRPr="00716226">
        <w:rPr>
          <w:rFonts w:ascii="Arial" w:hAnsi="Arial"/>
          <w:sz w:val="22"/>
          <w:szCs w:val="22"/>
        </w:rPr>
        <w:t>élément aux niveaux national et international est un moyen de sensibiliser le grand public et d</w:t>
      </w:r>
      <w:r w:rsidR="003D1909">
        <w:rPr>
          <w:rFonts w:ascii="Arial" w:hAnsi="Arial"/>
          <w:sz w:val="22"/>
          <w:szCs w:val="22"/>
        </w:rPr>
        <w:t>’</w:t>
      </w:r>
      <w:r w:rsidR="006D35D9" w:rsidRPr="00716226">
        <w:rPr>
          <w:rFonts w:ascii="Arial" w:hAnsi="Arial"/>
          <w:sz w:val="22"/>
          <w:szCs w:val="22"/>
        </w:rPr>
        <w:t>accroître la demande de tissus artisanaux. Grâce à une viabilité et une visibilité accrues de l</w:t>
      </w:r>
      <w:r w:rsidR="003D1909">
        <w:rPr>
          <w:rFonts w:ascii="Arial" w:hAnsi="Arial"/>
          <w:sz w:val="22"/>
          <w:szCs w:val="22"/>
        </w:rPr>
        <w:t>’</w:t>
      </w:r>
      <w:r w:rsidR="006D35D9" w:rsidRPr="00716226">
        <w:rPr>
          <w:rFonts w:ascii="Arial" w:hAnsi="Arial"/>
          <w:sz w:val="22"/>
          <w:szCs w:val="22"/>
        </w:rPr>
        <w:t>élément, de nouveaux canaux verront le jour. Toutefois, les informations fournies ne permettent pas de déterminer quels seront les effets de cette partie du plan de sauvegarde sur l</w:t>
      </w:r>
      <w:r w:rsidR="003D1909">
        <w:rPr>
          <w:rFonts w:ascii="Arial" w:hAnsi="Arial"/>
          <w:sz w:val="22"/>
          <w:szCs w:val="22"/>
        </w:rPr>
        <w:t>’</w:t>
      </w:r>
      <w:r w:rsidR="006D35D9" w:rsidRPr="00716226">
        <w:rPr>
          <w:rFonts w:ascii="Arial" w:hAnsi="Arial"/>
          <w:sz w:val="22"/>
          <w:szCs w:val="22"/>
        </w:rPr>
        <w:t>avenir de l</w:t>
      </w:r>
      <w:r w:rsidR="003D1909">
        <w:rPr>
          <w:rFonts w:ascii="Arial" w:hAnsi="Arial"/>
          <w:sz w:val="22"/>
          <w:szCs w:val="22"/>
        </w:rPr>
        <w:t>’</w:t>
      </w:r>
      <w:r w:rsidR="006D35D9" w:rsidRPr="00716226">
        <w:rPr>
          <w:rFonts w:ascii="Arial" w:hAnsi="Arial"/>
          <w:sz w:val="22"/>
          <w:szCs w:val="22"/>
        </w:rPr>
        <w:t>élément.</w:t>
      </w:r>
    </w:p>
    <w:p w14:paraId="4F367C00" w14:textId="7BB0C51A" w:rsidR="006D35D9" w:rsidRPr="00716226" w:rsidRDefault="00702EFA" w:rsidP="00702EFA">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A.5</w:t>
      </w:r>
      <w:r w:rsidR="006D35D9" w:rsidRPr="00716226">
        <w:rPr>
          <w:rFonts w:ascii="Arial" w:hAnsi="Arial"/>
          <w:sz w:val="22"/>
          <w:szCs w:val="22"/>
        </w:rPr>
        <w:t> :</w:t>
      </w:r>
      <w:r>
        <w:rPr>
          <w:rFonts w:ascii="Arial" w:hAnsi="Arial"/>
          <w:sz w:val="22"/>
          <w:szCs w:val="22"/>
        </w:rPr>
        <w:t xml:space="preserve"> </w:t>
      </w:r>
      <w:r w:rsidR="006D35D9" w:rsidRPr="00716226">
        <w:rPr>
          <w:rFonts w:ascii="Arial" w:hAnsi="Arial"/>
          <w:sz w:val="22"/>
          <w:szCs w:val="22"/>
        </w:rPr>
        <w:t>Dans chaque section du budget, l</w:t>
      </w:r>
      <w:r w:rsidR="003D1909">
        <w:rPr>
          <w:rFonts w:ascii="Arial" w:hAnsi="Arial"/>
          <w:sz w:val="22"/>
          <w:szCs w:val="22"/>
        </w:rPr>
        <w:t>’</w:t>
      </w:r>
      <w:r w:rsidR="006D35D9" w:rsidRPr="00716226">
        <w:rPr>
          <w:rFonts w:ascii="Arial" w:hAnsi="Arial"/>
          <w:sz w:val="22"/>
          <w:szCs w:val="22"/>
        </w:rPr>
        <w:t>État partie distingue clairement le montant demandé au Fonds du patrimoine culturel immatériel de celui qui sera versé par l</w:t>
      </w:r>
      <w:r w:rsidR="003D1909">
        <w:rPr>
          <w:rFonts w:ascii="Arial" w:hAnsi="Arial"/>
          <w:sz w:val="22"/>
          <w:szCs w:val="22"/>
        </w:rPr>
        <w:t>’</w:t>
      </w:r>
      <w:r w:rsidR="006D35D9" w:rsidRPr="00716226">
        <w:rPr>
          <w:rFonts w:ascii="Arial" w:hAnsi="Arial"/>
          <w:sz w:val="22"/>
          <w:szCs w:val="22"/>
        </w:rPr>
        <w:t>État partie lui-même ou par d</w:t>
      </w:r>
      <w:r w:rsidR="003D1909">
        <w:rPr>
          <w:rFonts w:ascii="Arial" w:hAnsi="Arial"/>
          <w:sz w:val="22"/>
          <w:szCs w:val="22"/>
        </w:rPr>
        <w:t>’</w:t>
      </w:r>
      <w:r w:rsidR="006D35D9" w:rsidRPr="00716226">
        <w:rPr>
          <w:rFonts w:ascii="Arial" w:hAnsi="Arial"/>
          <w:sz w:val="22"/>
          <w:szCs w:val="22"/>
        </w:rPr>
        <w:t>autres sources. Selon ce budget, l</w:t>
      </w:r>
      <w:r w:rsidR="003D1909">
        <w:rPr>
          <w:rFonts w:ascii="Arial" w:hAnsi="Arial"/>
          <w:sz w:val="22"/>
          <w:szCs w:val="22"/>
        </w:rPr>
        <w:t>’</w:t>
      </w:r>
      <w:r w:rsidR="006D35D9" w:rsidRPr="00716226">
        <w:rPr>
          <w:rFonts w:ascii="Arial" w:hAnsi="Arial"/>
          <w:sz w:val="22"/>
          <w:szCs w:val="22"/>
        </w:rPr>
        <w:t xml:space="preserve">État partie prendra en charge une partie du coût des activités, à hauteur de </w:t>
      </w:r>
      <w:r w:rsidR="006D32B2">
        <w:rPr>
          <w:rFonts w:ascii="Arial" w:hAnsi="Arial"/>
          <w:sz w:val="22"/>
          <w:szCs w:val="22"/>
        </w:rPr>
        <w:t>quatre</w:t>
      </w:r>
      <w:r w:rsidR="006D35D9" w:rsidRPr="00716226">
        <w:rPr>
          <w:rFonts w:ascii="Arial" w:hAnsi="Arial"/>
          <w:sz w:val="22"/>
          <w:szCs w:val="22"/>
        </w:rPr>
        <w:t> </w:t>
      </w:r>
      <w:r w:rsidR="00816B6F">
        <w:rPr>
          <w:rFonts w:ascii="Arial" w:hAnsi="Arial"/>
          <w:sz w:val="22"/>
          <w:szCs w:val="22"/>
        </w:rPr>
        <w:t>pour cent</w:t>
      </w:r>
      <w:r w:rsidR="00816B6F" w:rsidRPr="00716226">
        <w:rPr>
          <w:rFonts w:ascii="Arial" w:hAnsi="Arial"/>
          <w:sz w:val="22"/>
          <w:szCs w:val="22"/>
        </w:rPr>
        <w:t xml:space="preserve"> </w:t>
      </w:r>
      <w:r w:rsidR="006D35D9" w:rsidRPr="00716226">
        <w:rPr>
          <w:rFonts w:ascii="Arial" w:hAnsi="Arial"/>
          <w:sz w:val="22"/>
          <w:szCs w:val="22"/>
        </w:rPr>
        <w:t>du budget total.</w:t>
      </w:r>
    </w:p>
    <w:p w14:paraId="783FD9C6" w14:textId="7ABAEBE1" w:rsidR="006D35D9" w:rsidRPr="00716226" w:rsidRDefault="00702EFA" w:rsidP="00702EFA">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A.6</w:t>
      </w:r>
      <w:r w:rsidR="006D35D9" w:rsidRPr="00716226">
        <w:rPr>
          <w:rFonts w:ascii="Arial" w:hAnsi="Arial"/>
          <w:sz w:val="22"/>
          <w:szCs w:val="22"/>
        </w:rPr>
        <w:t> :</w:t>
      </w:r>
      <w:r>
        <w:rPr>
          <w:rFonts w:ascii="Arial" w:hAnsi="Arial"/>
          <w:sz w:val="22"/>
          <w:szCs w:val="22"/>
        </w:rPr>
        <w:t xml:space="preserve"> </w:t>
      </w:r>
      <w:r w:rsidR="006D35D9" w:rsidRPr="00716226">
        <w:rPr>
          <w:rFonts w:ascii="Arial" w:hAnsi="Arial"/>
          <w:sz w:val="22"/>
          <w:szCs w:val="22"/>
        </w:rPr>
        <w:t>La demande affirme que ce programme renforcera l</w:t>
      </w:r>
      <w:r w:rsidR="003D1909">
        <w:rPr>
          <w:rFonts w:ascii="Arial" w:hAnsi="Arial"/>
          <w:sz w:val="22"/>
          <w:szCs w:val="22"/>
        </w:rPr>
        <w:t>’</w:t>
      </w:r>
      <w:r w:rsidR="006D35D9" w:rsidRPr="00716226">
        <w:rPr>
          <w:rFonts w:ascii="Arial" w:hAnsi="Arial"/>
          <w:sz w:val="22"/>
          <w:szCs w:val="22"/>
        </w:rPr>
        <w:t>efficacité des membres de la société civile impliqués dans la sauvegarde du patrimoine culturel immatériel. Elle précise également que les tisserands n</w:t>
      </w:r>
      <w:r w:rsidR="003D1909">
        <w:rPr>
          <w:rFonts w:ascii="Arial" w:hAnsi="Arial"/>
          <w:sz w:val="22"/>
          <w:szCs w:val="22"/>
        </w:rPr>
        <w:t>’</w:t>
      </w:r>
      <w:r w:rsidR="006D35D9" w:rsidRPr="00716226">
        <w:rPr>
          <w:rFonts w:ascii="Arial" w:hAnsi="Arial"/>
          <w:sz w:val="22"/>
          <w:szCs w:val="22"/>
        </w:rPr>
        <w:t xml:space="preserve">ayant pas été dûment formés par les détenteurs les plus </w:t>
      </w:r>
      <w:r w:rsidR="00B15D71">
        <w:rPr>
          <w:rFonts w:ascii="Arial" w:hAnsi="Arial"/>
          <w:sz w:val="22"/>
          <w:szCs w:val="22"/>
        </w:rPr>
        <w:t>expérimentés</w:t>
      </w:r>
      <w:r w:rsidR="00B15D71" w:rsidRPr="00716226">
        <w:rPr>
          <w:rFonts w:ascii="Arial" w:hAnsi="Arial"/>
          <w:sz w:val="22"/>
          <w:szCs w:val="22"/>
        </w:rPr>
        <w:t xml:space="preserve"> </w:t>
      </w:r>
      <w:r w:rsidR="006D35D9" w:rsidRPr="00716226">
        <w:rPr>
          <w:rFonts w:ascii="Arial" w:hAnsi="Arial"/>
          <w:sz w:val="22"/>
          <w:szCs w:val="22"/>
        </w:rPr>
        <w:t>ne seront pas négligés. Non seulement ils acquerront des connaissances relatives au patrimoine culturel immatériel pendant l</w:t>
      </w:r>
      <w:r w:rsidR="003D1909">
        <w:rPr>
          <w:rFonts w:ascii="Arial" w:hAnsi="Arial"/>
          <w:sz w:val="22"/>
          <w:szCs w:val="22"/>
        </w:rPr>
        <w:t>’</w:t>
      </w:r>
      <w:r w:rsidR="006D35D9" w:rsidRPr="00716226">
        <w:rPr>
          <w:rFonts w:ascii="Arial" w:hAnsi="Arial"/>
          <w:sz w:val="22"/>
          <w:szCs w:val="22"/>
        </w:rPr>
        <w:t>atelier, mais une attention particulière leur sera aussi accordée pour qu</w:t>
      </w:r>
      <w:r w:rsidR="003D1909">
        <w:rPr>
          <w:rFonts w:ascii="Arial" w:hAnsi="Arial"/>
          <w:sz w:val="22"/>
          <w:szCs w:val="22"/>
        </w:rPr>
        <w:t>’</w:t>
      </w:r>
      <w:r w:rsidR="006D35D9" w:rsidRPr="00716226">
        <w:rPr>
          <w:rFonts w:ascii="Arial" w:hAnsi="Arial"/>
          <w:sz w:val="22"/>
          <w:szCs w:val="22"/>
        </w:rPr>
        <w:t>ils découvrent les fondements de l</w:t>
      </w:r>
      <w:r w:rsidR="003D1909">
        <w:rPr>
          <w:rFonts w:ascii="Arial" w:hAnsi="Arial"/>
          <w:sz w:val="22"/>
          <w:szCs w:val="22"/>
        </w:rPr>
        <w:t>’</w:t>
      </w:r>
      <w:r w:rsidR="006D35D9" w:rsidRPr="00716226">
        <w:rPr>
          <w:rFonts w:ascii="Arial" w:hAnsi="Arial"/>
          <w:sz w:val="22"/>
          <w:szCs w:val="22"/>
        </w:rPr>
        <w:t>élément et ses techniques. La demande n</w:t>
      </w:r>
      <w:r w:rsidR="003D1909">
        <w:rPr>
          <w:rFonts w:ascii="Arial" w:hAnsi="Arial"/>
          <w:sz w:val="22"/>
          <w:szCs w:val="22"/>
        </w:rPr>
        <w:t>’</w:t>
      </w:r>
      <w:r w:rsidR="006D35D9" w:rsidRPr="00716226">
        <w:rPr>
          <w:rFonts w:ascii="Arial" w:hAnsi="Arial"/>
          <w:sz w:val="22"/>
          <w:szCs w:val="22"/>
        </w:rPr>
        <w:t xml:space="preserve">explique pas de manière convaincante comment ces détenteurs </w:t>
      </w:r>
      <w:r w:rsidR="00B15D71">
        <w:rPr>
          <w:rFonts w:ascii="Arial" w:hAnsi="Arial"/>
          <w:sz w:val="22"/>
          <w:szCs w:val="22"/>
        </w:rPr>
        <w:t>expérimentés</w:t>
      </w:r>
      <w:r w:rsidR="00B15D71" w:rsidRPr="00716226">
        <w:rPr>
          <w:rFonts w:ascii="Arial" w:hAnsi="Arial"/>
          <w:sz w:val="22"/>
          <w:szCs w:val="22"/>
        </w:rPr>
        <w:t xml:space="preserve"> </w:t>
      </w:r>
      <w:r w:rsidR="006D35D9" w:rsidRPr="00716226">
        <w:rPr>
          <w:rFonts w:ascii="Arial" w:hAnsi="Arial"/>
          <w:sz w:val="22"/>
          <w:szCs w:val="22"/>
        </w:rPr>
        <w:t>continueront à contribuer activement à la pratique de l</w:t>
      </w:r>
      <w:r w:rsidR="003D1909">
        <w:rPr>
          <w:rFonts w:ascii="Arial" w:hAnsi="Arial"/>
          <w:sz w:val="22"/>
          <w:szCs w:val="22"/>
        </w:rPr>
        <w:t>’</w:t>
      </w:r>
      <w:r w:rsidR="006D35D9" w:rsidRPr="00716226">
        <w:rPr>
          <w:rFonts w:ascii="Arial" w:hAnsi="Arial"/>
          <w:sz w:val="22"/>
          <w:szCs w:val="22"/>
        </w:rPr>
        <w:t>élément.</w:t>
      </w:r>
    </w:p>
    <w:p w14:paraId="44926F99" w14:textId="76AA0207" w:rsidR="006D35D9" w:rsidRPr="00716226" w:rsidRDefault="00702EFA" w:rsidP="00702EFA">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A.7</w:t>
      </w:r>
      <w:r w:rsidR="006D35D9" w:rsidRPr="00716226">
        <w:rPr>
          <w:rFonts w:ascii="Arial" w:hAnsi="Arial"/>
          <w:sz w:val="22"/>
          <w:szCs w:val="22"/>
        </w:rPr>
        <w:t> :</w:t>
      </w:r>
      <w:r>
        <w:rPr>
          <w:rFonts w:ascii="Arial" w:hAnsi="Arial"/>
          <w:sz w:val="22"/>
          <w:szCs w:val="22"/>
        </w:rPr>
        <w:t xml:space="preserve"> </w:t>
      </w:r>
      <w:r w:rsidR="006A3713" w:rsidRPr="00DA796F">
        <w:rPr>
          <w:rFonts w:ascii="Arial" w:hAnsi="Arial"/>
          <w:sz w:val="22"/>
          <w:szCs w:val="22"/>
        </w:rPr>
        <w:t xml:space="preserve">L’Égypte bénéficie </w:t>
      </w:r>
      <w:r w:rsidR="00E530AB" w:rsidRPr="00700FB1">
        <w:rPr>
          <w:rFonts w:ascii="Arial" w:hAnsi="Arial"/>
          <w:sz w:val="22"/>
          <w:szCs w:val="22"/>
        </w:rPr>
        <w:t xml:space="preserve">actuellement </w:t>
      </w:r>
      <w:r w:rsidR="00545175" w:rsidRPr="00DA796F">
        <w:rPr>
          <w:rFonts w:ascii="Arial" w:hAnsi="Arial"/>
          <w:sz w:val="22"/>
          <w:szCs w:val="22"/>
        </w:rPr>
        <w:t xml:space="preserve">d’une </w:t>
      </w:r>
      <w:r w:rsidR="00F74C44">
        <w:rPr>
          <w:rFonts w:ascii="Arial" w:hAnsi="Arial"/>
          <w:sz w:val="22"/>
          <w:szCs w:val="22"/>
        </w:rPr>
        <w:t>a</w:t>
      </w:r>
      <w:r w:rsidR="00545175" w:rsidRPr="00DA796F">
        <w:rPr>
          <w:rFonts w:ascii="Arial" w:hAnsi="Arial"/>
          <w:sz w:val="22"/>
          <w:szCs w:val="22"/>
        </w:rPr>
        <w:t>ssistance internationale du Fonds du patrimoine culturel immatériel, pour le projet intitulé « Inventaire du patrimoine culturel immatériel relatif à l</w:t>
      </w:r>
      <w:r w:rsidR="0094020A">
        <w:rPr>
          <w:rFonts w:ascii="Arial" w:hAnsi="Arial"/>
          <w:sz w:val="22"/>
          <w:szCs w:val="22"/>
        </w:rPr>
        <w:t>’</w:t>
      </w:r>
      <w:r w:rsidR="00545175" w:rsidRPr="00DA796F">
        <w:rPr>
          <w:rFonts w:ascii="Arial" w:hAnsi="Arial"/>
          <w:sz w:val="22"/>
          <w:szCs w:val="22"/>
        </w:rPr>
        <w:t>artisanat pratiqué au cœur du Caire historique » (dossier n°</w:t>
      </w:r>
      <w:r w:rsidR="00816B6F">
        <w:rPr>
          <w:rFonts w:ascii="Arial" w:hAnsi="Arial"/>
          <w:sz w:val="22"/>
          <w:szCs w:val="22"/>
        </w:rPr>
        <w:t> </w:t>
      </w:r>
      <w:r w:rsidR="00545175" w:rsidRPr="00DA796F">
        <w:rPr>
          <w:rFonts w:ascii="Arial" w:hAnsi="Arial"/>
          <w:sz w:val="22"/>
          <w:szCs w:val="22"/>
        </w:rPr>
        <w:t>01633, 2020-2022, 86 950 dollars des États-Unis).</w:t>
      </w:r>
    </w:p>
    <w:p w14:paraId="40D0255C" w14:textId="3320D234" w:rsidR="006D35D9" w:rsidRPr="00BA678E" w:rsidRDefault="00816B6F" w:rsidP="00700FB1">
      <w:pPr>
        <w:pStyle w:val="ListParagraph"/>
        <w:spacing w:before="120" w:after="120"/>
        <w:ind w:left="1134"/>
        <w:contextualSpacing w:val="0"/>
        <w:jc w:val="both"/>
        <w:rPr>
          <w:rFonts w:ascii="Arial" w:eastAsiaTheme="minorEastAsia" w:hAnsi="Arial" w:cs="Arial"/>
          <w:noProof/>
          <w:sz w:val="22"/>
          <w:szCs w:val="22"/>
          <w:lang w:eastAsia="zh-CN"/>
        </w:rPr>
      </w:pPr>
      <w:r w:rsidRPr="00702EFA">
        <w:rPr>
          <w:rFonts w:ascii="Arial" w:eastAsiaTheme="minorEastAsia" w:hAnsi="Arial" w:cs="Arial"/>
          <w:b/>
          <w:bCs/>
          <w:noProof/>
          <w:sz w:val="22"/>
          <w:szCs w:val="22"/>
          <w:lang w:eastAsia="zh-CN"/>
        </w:rPr>
        <w:t xml:space="preserve">Paragraphe </w:t>
      </w:r>
      <w:r w:rsidR="006D35D9" w:rsidRPr="00702EFA">
        <w:rPr>
          <w:rFonts w:ascii="Arial" w:eastAsiaTheme="minorEastAsia" w:hAnsi="Arial" w:cs="Arial"/>
          <w:b/>
          <w:bCs/>
          <w:noProof/>
          <w:sz w:val="22"/>
          <w:szCs w:val="22"/>
          <w:lang w:eastAsia="zh-CN"/>
        </w:rPr>
        <w:t>10(a)</w:t>
      </w:r>
      <w:r w:rsidR="006D35D9" w:rsidRPr="00702EFA">
        <w:rPr>
          <w:rFonts w:ascii="Arial" w:eastAsiaTheme="minorEastAsia" w:hAnsi="Arial" w:cs="Arial"/>
          <w:noProof/>
          <w:sz w:val="22"/>
          <w:szCs w:val="22"/>
          <w:lang w:eastAsia="zh-CN"/>
        </w:rPr>
        <w:t> :</w:t>
      </w:r>
      <w:r w:rsidR="00424CF5">
        <w:rPr>
          <w:rFonts w:ascii="Arial" w:eastAsiaTheme="minorEastAsia" w:hAnsi="Arial" w:cs="Arial"/>
          <w:noProof/>
          <w:sz w:val="22"/>
          <w:szCs w:val="22"/>
          <w:lang w:eastAsia="zh-CN"/>
        </w:rPr>
        <w:t xml:space="preserve"> </w:t>
      </w:r>
      <w:r w:rsidR="006D35D9" w:rsidRPr="00BA678E">
        <w:rPr>
          <w:rFonts w:ascii="Arial" w:eastAsiaTheme="minorEastAsia" w:hAnsi="Arial" w:cs="Arial"/>
          <w:noProof/>
          <w:sz w:val="22"/>
          <w:szCs w:val="22"/>
          <w:lang w:eastAsia="zh-CN"/>
        </w:rPr>
        <w:t>La demande ne précise pas quels seront les partenaires contribuant au projet à l</w:t>
      </w:r>
      <w:r w:rsidR="003D1909" w:rsidRPr="00BA678E">
        <w:rPr>
          <w:rFonts w:ascii="Arial" w:eastAsiaTheme="minorEastAsia" w:hAnsi="Arial" w:cs="Arial"/>
          <w:noProof/>
          <w:sz w:val="22"/>
          <w:szCs w:val="22"/>
          <w:lang w:eastAsia="zh-CN"/>
        </w:rPr>
        <w:t>’</w:t>
      </w:r>
      <w:r w:rsidR="006D35D9" w:rsidRPr="00BA678E">
        <w:rPr>
          <w:rFonts w:ascii="Arial" w:eastAsiaTheme="minorEastAsia" w:hAnsi="Arial" w:cs="Arial"/>
          <w:noProof/>
          <w:sz w:val="22"/>
          <w:szCs w:val="22"/>
          <w:lang w:eastAsia="zh-CN"/>
        </w:rPr>
        <w:t>échelle bilatérale, régionale ou internationale. Créée en 2000, l</w:t>
      </w:r>
      <w:r w:rsidR="003D1909" w:rsidRPr="00BA678E">
        <w:rPr>
          <w:rFonts w:ascii="Arial" w:eastAsiaTheme="minorEastAsia" w:hAnsi="Arial" w:cs="Arial"/>
          <w:noProof/>
          <w:sz w:val="22"/>
          <w:szCs w:val="22"/>
          <w:lang w:eastAsia="zh-CN"/>
        </w:rPr>
        <w:t>’</w:t>
      </w:r>
      <w:r>
        <w:rPr>
          <w:rFonts w:ascii="Arial" w:eastAsiaTheme="minorEastAsia" w:hAnsi="Arial" w:cs="Arial"/>
          <w:noProof/>
          <w:sz w:val="22"/>
          <w:szCs w:val="22"/>
          <w:lang w:eastAsia="zh-CN"/>
        </w:rPr>
        <w:t>organisation non gouvernementale</w:t>
      </w:r>
      <w:r w:rsidR="006D35D9" w:rsidRPr="00BA678E">
        <w:rPr>
          <w:rFonts w:ascii="Arial" w:eastAsiaTheme="minorEastAsia" w:hAnsi="Arial" w:cs="Arial"/>
          <w:noProof/>
          <w:sz w:val="22"/>
          <w:szCs w:val="22"/>
          <w:lang w:eastAsia="zh-CN"/>
        </w:rPr>
        <w:t xml:space="preserve"> </w:t>
      </w:r>
      <w:r>
        <w:rPr>
          <w:rFonts w:ascii="Arial" w:eastAsiaTheme="minorEastAsia" w:hAnsi="Arial" w:cs="Arial"/>
          <w:noProof/>
          <w:sz w:val="22"/>
          <w:szCs w:val="22"/>
          <w:lang w:eastAsia="zh-CN"/>
        </w:rPr>
        <w:t>« </w:t>
      </w:r>
      <w:r w:rsidR="006D35D9" w:rsidRPr="00BA678E">
        <w:rPr>
          <w:rFonts w:ascii="Arial" w:eastAsiaTheme="minorEastAsia" w:hAnsi="Arial" w:cs="Arial"/>
          <w:noProof/>
          <w:sz w:val="22"/>
          <w:szCs w:val="22"/>
          <w:lang w:eastAsia="zh-CN"/>
        </w:rPr>
        <w:t>Société égyptienne pour les traditions populaires</w:t>
      </w:r>
      <w:r>
        <w:rPr>
          <w:rFonts w:ascii="Arial" w:eastAsiaTheme="minorEastAsia" w:hAnsi="Arial" w:cs="Arial"/>
          <w:noProof/>
          <w:sz w:val="22"/>
          <w:szCs w:val="22"/>
          <w:lang w:eastAsia="zh-CN"/>
        </w:rPr>
        <w:t xml:space="preserve"> (ESFT) »</w:t>
      </w:r>
      <w:r w:rsidR="006D35D9" w:rsidRPr="00BA678E">
        <w:rPr>
          <w:rFonts w:ascii="Arial" w:eastAsiaTheme="minorEastAsia" w:hAnsi="Arial" w:cs="Arial"/>
          <w:noProof/>
          <w:sz w:val="22"/>
          <w:szCs w:val="22"/>
          <w:lang w:eastAsia="zh-CN"/>
        </w:rPr>
        <w:t xml:space="preserve"> compte huit praticiennes du Sa</w:t>
      </w:r>
      <w:r w:rsidR="003D1909" w:rsidRPr="00BA678E">
        <w:rPr>
          <w:rFonts w:ascii="Arial" w:eastAsiaTheme="minorEastAsia" w:hAnsi="Arial" w:cs="Arial"/>
          <w:noProof/>
          <w:sz w:val="22"/>
          <w:szCs w:val="22"/>
          <w:lang w:eastAsia="zh-CN"/>
        </w:rPr>
        <w:t>’</w:t>
      </w:r>
      <w:r w:rsidR="006D35D9" w:rsidRPr="00BA678E">
        <w:rPr>
          <w:rFonts w:ascii="Arial" w:eastAsiaTheme="minorEastAsia" w:hAnsi="Arial" w:cs="Arial"/>
          <w:noProof/>
          <w:sz w:val="22"/>
          <w:szCs w:val="22"/>
          <w:lang w:eastAsia="zh-CN"/>
        </w:rPr>
        <w:t xml:space="preserve">eed. Elle sera la principale organisation responsable de la mise en œuvre du plan de sauvegarde. </w:t>
      </w:r>
    </w:p>
    <w:p w14:paraId="0C362007" w14:textId="0D2CD8DB" w:rsidR="006D35D9" w:rsidRPr="00BA678E" w:rsidRDefault="00702EFA" w:rsidP="00702EFA">
      <w:pPr>
        <w:pStyle w:val="ListParagraph"/>
        <w:spacing w:before="120" w:after="120"/>
        <w:ind w:left="1134"/>
        <w:contextualSpacing w:val="0"/>
        <w:jc w:val="both"/>
        <w:rPr>
          <w:rFonts w:ascii="Arial" w:eastAsiaTheme="minorEastAsia" w:hAnsi="Arial" w:cs="Arial"/>
          <w:noProof/>
          <w:sz w:val="22"/>
          <w:szCs w:val="22"/>
          <w:lang w:eastAsia="zh-CN"/>
        </w:rPr>
      </w:pPr>
      <w:r w:rsidRPr="00702EFA">
        <w:rPr>
          <w:rFonts w:ascii="Arial" w:eastAsiaTheme="minorEastAsia" w:hAnsi="Arial" w:cs="Arial"/>
          <w:b/>
          <w:bCs/>
          <w:noProof/>
          <w:sz w:val="22"/>
          <w:szCs w:val="22"/>
          <w:lang w:eastAsia="zh-CN"/>
        </w:rPr>
        <w:t xml:space="preserve">Paragraphe </w:t>
      </w:r>
      <w:r w:rsidR="006D35D9" w:rsidRPr="00702EFA">
        <w:rPr>
          <w:rFonts w:ascii="Arial" w:eastAsiaTheme="minorEastAsia" w:hAnsi="Arial" w:cs="Arial"/>
          <w:b/>
          <w:bCs/>
          <w:noProof/>
          <w:sz w:val="22"/>
          <w:szCs w:val="22"/>
          <w:lang w:eastAsia="zh-CN"/>
        </w:rPr>
        <w:t>10(b) </w:t>
      </w:r>
      <w:r w:rsidR="006D35D9" w:rsidRPr="00BA678E">
        <w:rPr>
          <w:rFonts w:ascii="Arial" w:eastAsiaTheme="minorEastAsia" w:hAnsi="Arial" w:cs="Arial"/>
          <w:noProof/>
          <w:sz w:val="22"/>
          <w:szCs w:val="22"/>
          <w:lang w:eastAsia="zh-CN"/>
        </w:rPr>
        <w:t>:</w:t>
      </w:r>
      <w:r>
        <w:rPr>
          <w:rFonts w:ascii="Arial" w:eastAsiaTheme="minorEastAsia" w:hAnsi="Arial" w:cs="Arial"/>
          <w:noProof/>
          <w:sz w:val="22"/>
          <w:szCs w:val="22"/>
          <w:lang w:eastAsia="zh-CN"/>
        </w:rPr>
        <w:t xml:space="preserve"> </w:t>
      </w:r>
      <w:r w:rsidR="006D35D9" w:rsidRPr="00BA678E">
        <w:rPr>
          <w:rFonts w:ascii="Arial" w:eastAsiaTheme="minorEastAsia" w:hAnsi="Arial" w:cs="Arial"/>
          <w:noProof/>
          <w:sz w:val="22"/>
          <w:szCs w:val="22"/>
          <w:lang w:eastAsia="zh-CN"/>
        </w:rPr>
        <w:t>D</w:t>
      </w:r>
      <w:r w:rsidR="003D1909" w:rsidRPr="00BA678E">
        <w:rPr>
          <w:rFonts w:ascii="Arial" w:eastAsiaTheme="minorEastAsia" w:hAnsi="Arial" w:cs="Arial"/>
          <w:noProof/>
          <w:sz w:val="22"/>
          <w:szCs w:val="22"/>
          <w:lang w:eastAsia="zh-CN"/>
        </w:rPr>
        <w:t>’</w:t>
      </w:r>
      <w:r w:rsidR="006D35D9" w:rsidRPr="00BA678E">
        <w:rPr>
          <w:rFonts w:ascii="Arial" w:eastAsiaTheme="minorEastAsia" w:hAnsi="Arial" w:cs="Arial"/>
          <w:noProof/>
          <w:sz w:val="22"/>
          <w:szCs w:val="22"/>
          <w:lang w:eastAsia="zh-CN"/>
        </w:rPr>
        <w:t>après la demande, le projet devrait renforcer la viabilité de l</w:t>
      </w:r>
      <w:r w:rsidR="003D1909" w:rsidRPr="00BA678E">
        <w:rPr>
          <w:rFonts w:ascii="Arial" w:eastAsiaTheme="minorEastAsia" w:hAnsi="Arial" w:cs="Arial"/>
          <w:noProof/>
          <w:sz w:val="22"/>
          <w:szCs w:val="22"/>
          <w:lang w:eastAsia="zh-CN"/>
        </w:rPr>
        <w:t>’</w:t>
      </w:r>
      <w:r w:rsidR="006D35D9" w:rsidRPr="00BA678E">
        <w:rPr>
          <w:rFonts w:ascii="Arial" w:eastAsiaTheme="minorEastAsia" w:hAnsi="Arial" w:cs="Arial"/>
          <w:noProof/>
          <w:sz w:val="22"/>
          <w:szCs w:val="22"/>
          <w:lang w:eastAsia="zh-CN"/>
        </w:rPr>
        <w:t>élément grâce à l</w:t>
      </w:r>
      <w:r w:rsidR="003D1909" w:rsidRPr="00BA678E">
        <w:rPr>
          <w:rFonts w:ascii="Arial" w:eastAsiaTheme="minorEastAsia" w:hAnsi="Arial" w:cs="Arial"/>
          <w:noProof/>
          <w:sz w:val="22"/>
          <w:szCs w:val="22"/>
          <w:lang w:eastAsia="zh-CN"/>
        </w:rPr>
        <w:t>’</w:t>
      </w:r>
      <w:r w:rsidR="006D35D9" w:rsidRPr="00BA678E">
        <w:rPr>
          <w:rFonts w:ascii="Arial" w:eastAsiaTheme="minorEastAsia" w:hAnsi="Arial" w:cs="Arial"/>
          <w:noProof/>
          <w:sz w:val="22"/>
          <w:szCs w:val="22"/>
          <w:lang w:eastAsia="zh-CN"/>
        </w:rPr>
        <w:t>implication d</w:t>
      </w:r>
      <w:r w:rsidR="003D1909" w:rsidRPr="00BA678E">
        <w:rPr>
          <w:rFonts w:ascii="Arial" w:eastAsiaTheme="minorEastAsia" w:hAnsi="Arial" w:cs="Arial"/>
          <w:noProof/>
          <w:sz w:val="22"/>
          <w:szCs w:val="22"/>
          <w:lang w:eastAsia="zh-CN"/>
        </w:rPr>
        <w:t>’</w:t>
      </w:r>
      <w:r w:rsidR="006D35D9" w:rsidRPr="00BA678E">
        <w:rPr>
          <w:rFonts w:ascii="Arial" w:eastAsiaTheme="minorEastAsia" w:hAnsi="Arial" w:cs="Arial"/>
          <w:noProof/>
          <w:sz w:val="22"/>
          <w:szCs w:val="22"/>
          <w:lang w:eastAsia="zh-CN"/>
        </w:rPr>
        <w:t>entités telles que le Ministère de l</w:t>
      </w:r>
      <w:r w:rsidR="003D1909" w:rsidRPr="00BA678E">
        <w:rPr>
          <w:rFonts w:ascii="Arial" w:eastAsiaTheme="minorEastAsia" w:hAnsi="Arial" w:cs="Arial"/>
          <w:noProof/>
          <w:sz w:val="22"/>
          <w:szCs w:val="22"/>
          <w:lang w:eastAsia="zh-CN"/>
        </w:rPr>
        <w:t>’</w:t>
      </w:r>
      <w:r w:rsidR="006D35D9" w:rsidRPr="00BA678E">
        <w:rPr>
          <w:rFonts w:ascii="Arial" w:eastAsiaTheme="minorEastAsia" w:hAnsi="Arial" w:cs="Arial"/>
          <w:noProof/>
          <w:sz w:val="22"/>
          <w:szCs w:val="22"/>
          <w:lang w:eastAsia="zh-CN"/>
        </w:rPr>
        <w:t xml:space="preserve">industrie et des entrepreneurs. Ces entités ont pour tâche de promouvoir la production de matières premières au niveau local. Toutefois, la pérennité et les effets multiplicateurs du projet ne sont pas décrits de manière convaincante </w:t>
      </w:r>
      <w:r w:rsidR="006D35D9" w:rsidRPr="00700FB1">
        <w:rPr>
          <w:rFonts w:ascii="Arial" w:eastAsiaTheme="minorEastAsia" w:hAnsi="Arial" w:cs="Arial"/>
          <w:noProof/>
          <w:sz w:val="22"/>
          <w:szCs w:val="22"/>
          <w:lang w:eastAsia="zh-CN"/>
        </w:rPr>
        <w:t>dans le dossier. Cela s</w:t>
      </w:r>
      <w:r w:rsidR="003D1909" w:rsidRPr="00700FB1">
        <w:rPr>
          <w:rFonts w:ascii="Arial" w:eastAsiaTheme="minorEastAsia" w:hAnsi="Arial" w:cs="Arial"/>
          <w:noProof/>
          <w:sz w:val="22"/>
          <w:szCs w:val="22"/>
          <w:lang w:eastAsia="zh-CN"/>
        </w:rPr>
        <w:t>’</w:t>
      </w:r>
      <w:r w:rsidR="006D35D9" w:rsidRPr="00700FB1">
        <w:rPr>
          <w:rFonts w:ascii="Arial" w:eastAsiaTheme="minorEastAsia" w:hAnsi="Arial" w:cs="Arial"/>
          <w:noProof/>
          <w:sz w:val="22"/>
          <w:szCs w:val="22"/>
          <w:lang w:eastAsia="zh-CN"/>
        </w:rPr>
        <w:t xml:space="preserve">explique peut-être </w:t>
      </w:r>
      <w:r w:rsidR="00511682">
        <w:rPr>
          <w:rFonts w:ascii="Arial" w:eastAsiaTheme="minorEastAsia" w:hAnsi="Arial" w:cs="Arial"/>
          <w:noProof/>
          <w:sz w:val="22"/>
          <w:szCs w:val="22"/>
          <w:lang w:eastAsia="zh-CN"/>
        </w:rPr>
        <w:t>par le fait que</w:t>
      </w:r>
      <w:r w:rsidR="00511682" w:rsidRPr="00700FB1">
        <w:rPr>
          <w:rFonts w:ascii="Arial" w:eastAsiaTheme="minorEastAsia" w:hAnsi="Arial" w:cs="Arial"/>
          <w:noProof/>
          <w:sz w:val="22"/>
          <w:szCs w:val="22"/>
          <w:lang w:eastAsia="zh-CN"/>
        </w:rPr>
        <w:t xml:space="preserve"> </w:t>
      </w:r>
      <w:r w:rsidR="006D35D9" w:rsidRPr="00700FB1">
        <w:rPr>
          <w:rFonts w:ascii="Arial" w:eastAsiaTheme="minorEastAsia" w:hAnsi="Arial" w:cs="Arial"/>
          <w:noProof/>
          <w:sz w:val="22"/>
          <w:szCs w:val="22"/>
          <w:lang w:eastAsia="zh-CN"/>
        </w:rPr>
        <w:t>le plan de sauvegarde général, tel qu</w:t>
      </w:r>
      <w:r w:rsidR="003D1909" w:rsidRPr="00700FB1">
        <w:rPr>
          <w:rFonts w:ascii="Arial" w:eastAsiaTheme="minorEastAsia" w:hAnsi="Arial" w:cs="Arial"/>
          <w:noProof/>
          <w:sz w:val="22"/>
          <w:szCs w:val="22"/>
          <w:lang w:eastAsia="zh-CN"/>
        </w:rPr>
        <w:t>’</w:t>
      </w:r>
      <w:r w:rsidR="006D35D9" w:rsidRPr="00700FB1">
        <w:rPr>
          <w:rFonts w:ascii="Arial" w:eastAsiaTheme="minorEastAsia" w:hAnsi="Arial" w:cs="Arial"/>
          <w:noProof/>
          <w:sz w:val="22"/>
          <w:szCs w:val="22"/>
          <w:lang w:eastAsia="zh-CN"/>
        </w:rPr>
        <w:t>il est présenté</w:t>
      </w:r>
      <w:r w:rsidR="00511682" w:rsidRPr="00700FB1">
        <w:rPr>
          <w:rFonts w:ascii="Arial" w:eastAsiaTheme="minorEastAsia" w:hAnsi="Arial" w:cs="Arial"/>
          <w:noProof/>
          <w:sz w:val="22"/>
          <w:szCs w:val="22"/>
          <w:lang w:eastAsia="zh-CN"/>
        </w:rPr>
        <w:t xml:space="preserve"> dans sa forme et stratégie actuelles</w:t>
      </w:r>
      <w:r w:rsidR="006D35D9" w:rsidRPr="00700FB1">
        <w:rPr>
          <w:rFonts w:ascii="Arial" w:eastAsiaTheme="minorEastAsia" w:hAnsi="Arial" w:cs="Arial"/>
          <w:noProof/>
          <w:sz w:val="22"/>
          <w:szCs w:val="22"/>
          <w:lang w:eastAsia="zh-CN"/>
        </w:rPr>
        <w:t>, n</w:t>
      </w:r>
      <w:r w:rsidR="003D1909" w:rsidRPr="00700FB1">
        <w:rPr>
          <w:rFonts w:ascii="Arial" w:eastAsiaTheme="minorEastAsia" w:hAnsi="Arial" w:cs="Arial"/>
          <w:noProof/>
          <w:sz w:val="22"/>
          <w:szCs w:val="22"/>
          <w:lang w:eastAsia="zh-CN"/>
        </w:rPr>
        <w:t>’</w:t>
      </w:r>
      <w:r w:rsidR="006D35D9" w:rsidRPr="00700FB1">
        <w:rPr>
          <w:rFonts w:ascii="Arial" w:eastAsiaTheme="minorEastAsia" w:hAnsi="Arial" w:cs="Arial"/>
          <w:noProof/>
          <w:sz w:val="22"/>
          <w:szCs w:val="22"/>
          <w:lang w:eastAsia="zh-CN"/>
        </w:rPr>
        <w:t>est pas suffisamment développé.</w:t>
      </w:r>
    </w:p>
    <w:p w14:paraId="13776BB6" w14:textId="4BDB36E2" w:rsidR="006D35D9" w:rsidRPr="00716226" w:rsidRDefault="006D35D9" w:rsidP="005060FE">
      <w:pPr>
        <w:pStyle w:val="ListParagraph"/>
        <w:numPr>
          <w:ilvl w:val="0"/>
          <w:numId w:val="23"/>
        </w:numPr>
        <w:tabs>
          <w:tab w:val="left" w:pos="1560"/>
        </w:tabs>
        <w:spacing w:before="120" w:after="120"/>
        <w:ind w:left="1134" w:hanging="567"/>
        <w:contextualSpacing w:val="0"/>
        <w:jc w:val="both"/>
        <w:rPr>
          <w:rFonts w:ascii="Arial" w:hAnsi="Arial" w:cs="Arial"/>
          <w:noProof/>
          <w:sz w:val="22"/>
          <w:szCs w:val="22"/>
        </w:rPr>
      </w:pPr>
      <w:r w:rsidRPr="00716226">
        <w:rPr>
          <w:rFonts w:ascii="Arial" w:hAnsi="Arial"/>
          <w:sz w:val="22"/>
          <w:szCs w:val="22"/>
          <w:u w:val="single"/>
        </w:rPr>
        <w:t>Décide en outre de renvoyer</w:t>
      </w:r>
      <w:r w:rsidRPr="00716226">
        <w:rPr>
          <w:rFonts w:ascii="Arial" w:hAnsi="Arial"/>
          <w:sz w:val="22"/>
          <w:szCs w:val="22"/>
        </w:rPr>
        <w:t xml:space="preserve"> à l</w:t>
      </w:r>
      <w:r w:rsidR="003D1909">
        <w:rPr>
          <w:rFonts w:ascii="Arial" w:hAnsi="Arial"/>
          <w:sz w:val="22"/>
          <w:szCs w:val="22"/>
        </w:rPr>
        <w:t>’</w:t>
      </w:r>
      <w:r w:rsidRPr="00716226">
        <w:rPr>
          <w:rFonts w:ascii="Arial" w:hAnsi="Arial"/>
          <w:sz w:val="22"/>
          <w:szCs w:val="22"/>
        </w:rPr>
        <w:t>État soumissionnaire la demande d</w:t>
      </w:r>
      <w:r w:rsidR="003D1909">
        <w:rPr>
          <w:rFonts w:ascii="Arial" w:hAnsi="Arial"/>
          <w:sz w:val="22"/>
          <w:szCs w:val="22"/>
        </w:rPr>
        <w:t>’</w:t>
      </w:r>
      <w:r w:rsidRPr="00716226">
        <w:rPr>
          <w:rFonts w:ascii="Arial" w:hAnsi="Arial"/>
          <w:sz w:val="22"/>
          <w:szCs w:val="22"/>
        </w:rPr>
        <w:t>assistance internationale et l</w:t>
      </w:r>
      <w:r w:rsidR="003D1909">
        <w:rPr>
          <w:rFonts w:ascii="Arial" w:hAnsi="Arial"/>
          <w:sz w:val="22"/>
          <w:szCs w:val="22"/>
        </w:rPr>
        <w:t>’</w:t>
      </w:r>
      <w:r w:rsidRPr="00716226">
        <w:rPr>
          <w:rFonts w:ascii="Arial" w:hAnsi="Arial"/>
          <w:sz w:val="22"/>
          <w:szCs w:val="22"/>
          <w:u w:val="single"/>
        </w:rPr>
        <w:t>invite</w:t>
      </w:r>
      <w:r w:rsidR="00B810EC">
        <w:rPr>
          <w:rFonts w:ascii="Arial" w:hAnsi="Arial"/>
          <w:sz w:val="22"/>
          <w:szCs w:val="22"/>
          <w:u w:val="single"/>
        </w:rPr>
        <w:t xml:space="preserve"> également</w:t>
      </w:r>
      <w:r w:rsidRPr="00716226">
        <w:rPr>
          <w:rFonts w:ascii="Arial" w:hAnsi="Arial"/>
          <w:sz w:val="22"/>
          <w:szCs w:val="22"/>
        </w:rPr>
        <w:t xml:space="preserve"> à soumettre une demande révisée au Comité pour examen au cours d</w:t>
      </w:r>
      <w:r w:rsidR="003D1909">
        <w:rPr>
          <w:rFonts w:ascii="Arial" w:hAnsi="Arial"/>
          <w:sz w:val="22"/>
          <w:szCs w:val="22"/>
        </w:rPr>
        <w:t>’</w:t>
      </w:r>
      <w:r w:rsidRPr="00716226">
        <w:rPr>
          <w:rFonts w:ascii="Arial" w:hAnsi="Arial"/>
          <w:sz w:val="22"/>
          <w:szCs w:val="22"/>
        </w:rPr>
        <w:t>un cycle ultérieur.</w:t>
      </w:r>
    </w:p>
    <w:p w14:paraId="676BDD50" w14:textId="0CFF88D5" w:rsidR="006D35D9" w:rsidRPr="00716226" w:rsidRDefault="006D35D9" w:rsidP="005060FE">
      <w:pPr>
        <w:spacing w:before="360" w:after="120" w:line="240" w:lineRule="auto"/>
        <w:ind w:left="567"/>
        <w:jc w:val="both"/>
        <w:rPr>
          <w:rFonts w:ascii="Arial" w:hAnsi="Arial" w:cs="Arial"/>
          <w:b/>
          <w:bCs/>
        </w:rPr>
      </w:pPr>
      <w:bookmarkStart w:id="11" w:name="Decision_9a4"/>
      <w:r w:rsidRPr="00716226">
        <w:rPr>
          <w:rFonts w:ascii="Arial" w:hAnsi="Arial"/>
          <w:b/>
          <w:bCs/>
        </w:rPr>
        <w:t>PROJET DE DÉCISION 15.COM </w:t>
      </w:r>
      <w:r w:rsidR="00DC519C">
        <w:rPr>
          <w:rFonts w:ascii="Arial" w:hAnsi="Arial"/>
          <w:b/>
          <w:bCs/>
        </w:rPr>
        <w:t>8</w:t>
      </w:r>
      <w:r w:rsidRPr="00716226">
        <w:rPr>
          <w:rFonts w:ascii="Arial" w:hAnsi="Arial"/>
          <w:b/>
          <w:bCs/>
        </w:rPr>
        <w:t>.a.4</w:t>
      </w:r>
      <w:r w:rsidRPr="00716226">
        <w:rPr>
          <w:rFonts w:ascii="Arial" w:hAnsi="Arial"/>
          <w:b/>
          <w:bCs/>
        </w:rPr>
        <w:tab/>
      </w:r>
      <w:r w:rsidRPr="00716226">
        <w:rPr>
          <w:noProof/>
          <w:color w:val="0000FF"/>
        </w:rPr>
        <w:drawing>
          <wp:inline distT="0" distB="0" distL="0" distR="0" wp14:anchorId="5BE48192" wp14:editId="7512FC54">
            <wp:extent cx="104775" cy="104775"/>
            <wp:effectExtent l="0" t="0" r="9525" b="9525"/>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11"/>
    <w:p w14:paraId="301628BF" w14:textId="77777777" w:rsidR="006D35D9" w:rsidRPr="00716226" w:rsidRDefault="006D35D9" w:rsidP="005060FE">
      <w:pPr>
        <w:ind w:left="567"/>
        <w:jc w:val="both"/>
        <w:rPr>
          <w:rFonts w:ascii="Arial" w:hAnsi="Arial" w:cs="Arial"/>
        </w:rPr>
      </w:pPr>
      <w:r w:rsidRPr="00716226">
        <w:rPr>
          <w:rFonts w:ascii="Arial" w:hAnsi="Arial"/>
        </w:rPr>
        <w:t>Le Comité</w:t>
      </w:r>
    </w:p>
    <w:p w14:paraId="5D25E354" w14:textId="4DAB523D" w:rsidR="006D35D9" w:rsidRPr="00716226" w:rsidRDefault="006D35D9" w:rsidP="00193CC4">
      <w:pPr>
        <w:pStyle w:val="ListParagraph"/>
        <w:numPr>
          <w:ilvl w:val="0"/>
          <w:numId w:val="25"/>
        </w:numPr>
        <w:tabs>
          <w:tab w:val="left" w:pos="1276"/>
        </w:tabs>
        <w:spacing w:before="120" w:after="120"/>
        <w:ind w:left="1134" w:hanging="567"/>
        <w:contextualSpacing w:val="0"/>
        <w:jc w:val="both"/>
        <w:rPr>
          <w:rFonts w:ascii="Arial" w:hAnsi="Arial" w:cs="Arial"/>
          <w:sz w:val="22"/>
          <w:szCs w:val="22"/>
        </w:rPr>
      </w:pPr>
      <w:r w:rsidRPr="00716226">
        <w:rPr>
          <w:rFonts w:ascii="Arial" w:hAnsi="Arial"/>
          <w:sz w:val="22"/>
          <w:szCs w:val="22"/>
          <w:u w:val="single"/>
        </w:rPr>
        <w:t>Prend note</w:t>
      </w:r>
      <w:r w:rsidRPr="00716226">
        <w:rPr>
          <w:rFonts w:ascii="Arial" w:hAnsi="Arial"/>
          <w:sz w:val="22"/>
          <w:szCs w:val="22"/>
        </w:rPr>
        <w:t xml:space="preserve"> que la Namibie a proposé la candidature </w:t>
      </w:r>
      <w:r w:rsidRPr="00716226">
        <w:rPr>
          <w:rFonts w:ascii="Arial" w:hAnsi="Arial"/>
          <w:b/>
          <w:bCs/>
          <w:sz w:val="22"/>
          <w:szCs w:val="22"/>
        </w:rPr>
        <w:t>des connaissances et des savoir-faire</w:t>
      </w:r>
      <w:r w:rsidR="00EE2781">
        <w:rPr>
          <w:rFonts w:ascii="Arial" w:hAnsi="Arial"/>
          <w:b/>
          <w:bCs/>
          <w:sz w:val="22"/>
          <w:szCs w:val="22"/>
        </w:rPr>
        <w:t xml:space="preserve"> </w:t>
      </w:r>
      <w:r w:rsidR="00E7408A" w:rsidRPr="00615BB9">
        <w:rPr>
          <w:rFonts w:ascii="Arial" w:hAnsi="Arial"/>
          <w:b/>
          <w:bCs/>
          <w:sz w:val="22"/>
          <w:szCs w:val="22"/>
        </w:rPr>
        <w:t xml:space="preserve">musicaux </w:t>
      </w:r>
      <w:r w:rsidR="00EE2781">
        <w:rPr>
          <w:rFonts w:ascii="Arial" w:hAnsi="Arial"/>
          <w:b/>
          <w:bCs/>
          <w:sz w:val="22"/>
          <w:szCs w:val="22"/>
        </w:rPr>
        <w:t>ancestraux</w:t>
      </w:r>
      <w:r w:rsidRPr="00716226">
        <w:rPr>
          <w:rFonts w:ascii="Arial" w:hAnsi="Arial"/>
          <w:b/>
          <w:bCs/>
          <w:sz w:val="22"/>
          <w:szCs w:val="22"/>
        </w:rPr>
        <w:t xml:space="preserve"> d</w:t>
      </w:r>
      <w:r w:rsidR="003D1909">
        <w:rPr>
          <w:rFonts w:ascii="Arial" w:hAnsi="Arial"/>
          <w:b/>
          <w:bCs/>
          <w:sz w:val="22"/>
          <w:szCs w:val="22"/>
        </w:rPr>
        <w:t>’</w:t>
      </w:r>
      <w:proofErr w:type="spellStart"/>
      <w:r w:rsidRPr="00716226">
        <w:rPr>
          <w:rFonts w:ascii="Arial" w:hAnsi="Arial"/>
          <w:b/>
          <w:bCs/>
          <w:sz w:val="22"/>
          <w:szCs w:val="22"/>
        </w:rPr>
        <w:t>Aixan</w:t>
      </w:r>
      <w:proofErr w:type="spellEnd"/>
      <w:r w:rsidRPr="00716226">
        <w:rPr>
          <w:rFonts w:ascii="Arial" w:hAnsi="Arial"/>
          <w:b/>
          <w:bCs/>
          <w:sz w:val="22"/>
          <w:szCs w:val="22"/>
        </w:rPr>
        <w:t xml:space="preserve"> /</w:t>
      </w:r>
      <w:proofErr w:type="spellStart"/>
      <w:r w:rsidRPr="00716226">
        <w:rPr>
          <w:rFonts w:ascii="Arial" w:hAnsi="Arial"/>
          <w:b/>
          <w:bCs/>
          <w:sz w:val="22"/>
          <w:szCs w:val="22"/>
        </w:rPr>
        <w:t>gâna</w:t>
      </w:r>
      <w:proofErr w:type="spellEnd"/>
      <w:r w:rsidRPr="00716226">
        <w:rPr>
          <w:rFonts w:ascii="Arial" w:hAnsi="Arial"/>
          <w:b/>
          <w:bCs/>
          <w:sz w:val="22"/>
          <w:szCs w:val="22"/>
        </w:rPr>
        <w:t>/</w:t>
      </w:r>
      <w:proofErr w:type="spellStart"/>
      <w:r w:rsidRPr="00716226">
        <w:rPr>
          <w:rFonts w:ascii="Arial" w:hAnsi="Arial"/>
          <w:b/>
          <w:bCs/>
          <w:sz w:val="22"/>
          <w:szCs w:val="22"/>
        </w:rPr>
        <w:t>ob</w:t>
      </w:r>
      <w:proofErr w:type="spellEnd"/>
      <w:r w:rsidRPr="00716226">
        <w:rPr>
          <w:rFonts w:ascii="Arial" w:hAnsi="Arial"/>
          <w:b/>
          <w:bCs/>
          <w:sz w:val="22"/>
          <w:szCs w:val="22"/>
        </w:rPr>
        <w:t xml:space="preserve"> #ans </w:t>
      </w:r>
      <w:proofErr w:type="spellStart"/>
      <w:r w:rsidRPr="00716226">
        <w:rPr>
          <w:rFonts w:ascii="Arial" w:hAnsi="Arial"/>
          <w:b/>
          <w:bCs/>
          <w:sz w:val="22"/>
          <w:szCs w:val="22"/>
        </w:rPr>
        <w:t>tsî</w:t>
      </w:r>
      <w:proofErr w:type="spellEnd"/>
      <w:r w:rsidRPr="00716226">
        <w:rPr>
          <w:rFonts w:ascii="Arial" w:hAnsi="Arial"/>
          <w:b/>
          <w:bCs/>
          <w:sz w:val="22"/>
          <w:szCs w:val="22"/>
        </w:rPr>
        <w:t xml:space="preserve"> //</w:t>
      </w:r>
      <w:proofErr w:type="spellStart"/>
      <w:r w:rsidRPr="00716226">
        <w:rPr>
          <w:rFonts w:ascii="Arial" w:hAnsi="Arial"/>
          <w:b/>
          <w:bCs/>
          <w:sz w:val="22"/>
          <w:szCs w:val="22"/>
        </w:rPr>
        <w:t>khasigu</w:t>
      </w:r>
      <w:proofErr w:type="spellEnd"/>
      <w:r w:rsidRPr="00716226">
        <w:rPr>
          <w:rFonts w:ascii="Arial" w:hAnsi="Arial"/>
          <w:sz w:val="22"/>
          <w:szCs w:val="22"/>
        </w:rPr>
        <w:t xml:space="preserve"> (n°</w:t>
      </w:r>
      <w:r w:rsidR="00424CF5">
        <w:rPr>
          <w:rFonts w:ascii="Arial" w:hAnsi="Arial"/>
          <w:sz w:val="22"/>
          <w:szCs w:val="22"/>
        </w:rPr>
        <w:t> </w:t>
      </w:r>
      <w:r w:rsidRPr="00716226">
        <w:rPr>
          <w:rFonts w:ascii="Arial" w:hAnsi="Arial"/>
          <w:sz w:val="22"/>
          <w:szCs w:val="22"/>
        </w:rPr>
        <w:t>01540) pour inscription sur la Liste du patrimoine culturel immatériel nécessitant une sauvegarde urgente :</w:t>
      </w:r>
    </w:p>
    <w:p w14:paraId="118EF359" w14:textId="7DF01BD0" w:rsidR="006D35D9" w:rsidRPr="00716226" w:rsidRDefault="00EE2781" w:rsidP="00193CC4">
      <w:pPr>
        <w:pStyle w:val="ListParagraph"/>
        <w:spacing w:before="120" w:after="120"/>
        <w:ind w:left="1134"/>
        <w:contextualSpacing w:val="0"/>
        <w:jc w:val="both"/>
        <w:rPr>
          <w:rFonts w:ascii="Arial" w:hAnsi="Arial" w:cs="Arial"/>
          <w:sz w:val="22"/>
          <w:szCs w:val="22"/>
        </w:rPr>
      </w:pPr>
      <w:r>
        <w:rPr>
          <w:rFonts w:ascii="Arial" w:hAnsi="Arial"/>
          <w:sz w:val="22"/>
          <w:szCs w:val="22"/>
        </w:rPr>
        <w:t xml:space="preserve">Les connaissances et savoir-faire </w:t>
      </w:r>
      <w:r w:rsidR="00E7408A">
        <w:rPr>
          <w:rFonts w:ascii="Arial" w:hAnsi="Arial"/>
          <w:sz w:val="22"/>
          <w:szCs w:val="22"/>
        </w:rPr>
        <w:t xml:space="preserve">musicaux </w:t>
      </w:r>
      <w:r>
        <w:rPr>
          <w:rFonts w:ascii="Arial" w:hAnsi="Arial"/>
          <w:sz w:val="22"/>
          <w:szCs w:val="22"/>
        </w:rPr>
        <w:t xml:space="preserve">ancestraux </w:t>
      </w:r>
      <w:r w:rsidR="006D35D9" w:rsidRPr="00716226">
        <w:rPr>
          <w:rFonts w:ascii="Arial" w:hAnsi="Arial"/>
          <w:sz w:val="22"/>
          <w:szCs w:val="22"/>
        </w:rPr>
        <w:t>d</w:t>
      </w:r>
      <w:r w:rsidR="003D1909">
        <w:rPr>
          <w:rFonts w:ascii="Arial" w:hAnsi="Arial"/>
          <w:sz w:val="22"/>
          <w:szCs w:val="22"/>
        </w:rPr>
        <w:t>’</w:t>
      </w:r>
      <w:proofErr w:type="spellStart"/>
      <w:r w:rsidR="006D35D9" w:rsidRPr="00716226">
        <w:rPr>
          <w:rFonts w:ascii="Arial" w:hAnsi="Arial"/>
          <w:sz w:val="22"/>
          <w:szCs w:val="22"/>
        </w:rPr>
        <w:t>Aixan</w:t>
      </w:r>
      <w:proofErr w:type="spellEnd"/>
      <w:r w:rsidR="006D35D9" w:rsidRPr="00716226">
        <w:rPr>
          <w:rFonts w:ascii="Arial" w:hAnsi="Arial"/>
          <w:sz w:val="22"/>
          <w:szCs w:val="22"/>
        </w:rPr>
        <w:t xml:space="preserve"> /</w:t>
      </w:r>
      <w:proofErr w:type="spellStart"/>
      <w:r w:rsidR="006D35D9" w:rsidRPr="00716226">
        <w:rPr>
          <w:rFonts w:ascii="Arial" w:hAnsi="Arial"/>
          <w:sz w:val="22"/>
          <w:szCs w:val="22"/>
        </w:rPr>
        <w:t>gâna</w:t>
      </w:r>
      <w:proofErr w:type="spellEnd"/>
      <w:r w:rsidR="006D35D9" w:rsidRPr="00716226">
        <w:rPr>
          <w:rFonts w:ascii="Arial" w:hAnsi="Arial"/>
          <w:sz w:val="22"/>
          <w:szCs w:val="22"/>
        </w:rPr>
        <w:t>/</w:t>
      </w:r>
      <w:proofErr w:type="spellStart"/>
      <w:r w:rsidR="006D35D9" w:rsidRPr="00716226">
        <w:rPr>
          <w:rFonts w:ascii="Arial" w:hAnsi="Arial"/>
          <w:sz w:val="22"/>
          <w:szCs w:val="22"/>
        </w:rPr>
        <w:t>ob</w:t>
      </w:r>
      <w:proofErr w:type="spellEnd"/>
      <w:r w:rsidR="006D35D9" w:rsidRPr="00716226">
        <w:rPr>
          <w:rFonts w:ascii="Arial" w:hAnsi="Arial"/>
          <w:sz w:val="22"/>
          <w:szCs w:val="22"/>
        </w:rPr>
        <w:t xml:space="preserve"> #ans </w:t>
      </w:r>
      <w:proofErr w:type="spellStart"/>
      <w:r w:rsidR="006D35D9" w:rsidRPr="00716226">
        <w:rPr>
          <w:rFonts w:ascii="Arial" w:hAnsi="Arial"/>
          <w:sz w:val="22"/>
          <w:szCs w:val="22"/>
        </w:rPr>
        <w:t>tsî</w:t>
      </w:r>
      <w:proofErr w:type="spellEnd"/>
      <w:r w:rsidR="006D35D9" w:rsidRPr="00716226">
        <w:rPr>
          <w:rFonts w:ascii="Arial" w:hAnsi="Arial"/>
          <w:sz w:val="22"/>
          <w:szCs w:val="22"/>
        </w:rPr>
        <w:t xml:space="preserve"> //</w:t>
      </w:r>
      <w:proofErr w:type="spellStart"/>
      <w:r w:rsidR="006D35D9" w:rsidRPr="00716226">
        <w:rPr>
          <w:rFonts w:ascii="Arial" w:hAnsi="Arial"/>
          <w:sz w:val="22"/>
          <w:szCs w:val="22"/>
        </w:rPr>
        <w:t>khasigu</w:t>
      </w:r>
      <w:proofErr w:type="spellEnd"/>
      <w:r w:rsidR="006D35D9" w:rsidRPr="00716226">
        <w:rPr>
          <w:rFonts w:ascii="Arial" w:hAnsi="Arial"/>
          <w:sz w:val="22"/>
          <w:szCs w:val="22"/>
        </w:rPr>
        <w:t>, est une musique traditionnelle propre aux Namas, tribu minoritaire de Namibie. Elle est interprétée à l</w:t>
      </w:r>
      <w:r w:rsidR="003D1909">
        <w:rPr>
          <w:rFonts w:ascii="Arial" w:hAnsi="Arial"/>
          <w:sz w:val="22"/>
          <w:szCs w:val="22"/>
        </w:rPr>
        <w:t>’</w:t>
      </w:r>
      <w:r w:rsidR="006D35D9" w:rsidRPr="00716226">
        <w:rPr>
          <w:rFonts w:ascii="Arial" w:hAnsi="Arial"/>
          <w:sz w:val="22"/>
          <w:szCs w:val="22"/>
        </w:rPr>
        <w:t>aide d</w:t>
      </w:r>
      <w:r w:rsidR="003D1909">
        <w:rPr>
          <w:rFonts w:ascii="Arial" w:hAnsi="Arial"/>
          <w:sz w:val="22"/>
          <w:szCs w:val="22"/>
        </w:rPr>
        <w:t>’</w:t>
      </w:r>
      <w:r w:rsidR="006D35D9" w:rsidRPr="00716226">
        <w:rPr>
          <w:rFonts w:ascii="Arial" w:hAnsi="Arial"/>
          <w:sz w:val="22"/>
          <w:szCs w:val="22"/>
        </w:rPr>
        <w:t>instruments traditionnels : un arc musical appelé « </w:t>
      </w:r>
      <w:proofErr w:type="spellStart"/>
      <w:r w:rsidR="006D35D9" w:rsidRPr="00716226">
        <w:rPr>
          <w:rFonts w:ascii="Arial" w:hAnsi="Arial"/>
          <w:sz w:val="22"/>
          <w:szCs w:val="22"/>
        </w:rPr>
        <w:t>khab</w:t>
      </w:r>
      <w:proofErr w:type="spellEnd"/>
      <w:r w:rsidR="006D35D9" w:rsidRPr="00716226">
        <w:rPr>
          <w:rFonts w:ascii="Arial" w:hAnsi="Arial"/>
          <w:sz w:val="22"/>
          <w:szCs w:val="22"/>
        </w:rPr>
        <w:t> » et une guitare traditionnelle appelée « </w:t>
      </w:r>
      <w:r w:rsidR="009921A2">
        <w:rPr>
          <w:rFonts w:ascii="Arial" w:hAnsi="Arial"/>
          <w:sz w:val="22"/>
          <w:szCs w:val="22"/>
        </w:rPr>
        <w:t>!</w:t>
      </w:r>
      <w:proofErr w:type="spellStart"/>
      <w:r w:rsidR="006D35D9" w:rsidRPr="00716226">
        <w:rPr>
          <w:rFonts w:ascii="Arial" w:hAnsi="Arial"/>
          <w:sz w:val="22"/>
          <w:szCs w:val="22"/>
        </w:rPr>
        <w:t>guitsib</w:t>
      </w:r>
      <w:proofErr w:type="spellEnd"/>
      <w:r w:rsidR="006D35D9" w:rsidRPr="00716226">
        <w:rPr>
          <w:rFonts w:ascii="Arial" w:hAnsi="Arial"/>
          <w:sz w:val="22"/>
          <w:szCs w:val="22"/>
        </w:rPr>
        <w:t> », généralement joués aussi bien par les hommes que par les femmes, ainsi qu</w:t>
      </w:r>
      <w:r w:rsidR="003D1909">
        <w:rPr>
          <w:rFonts w:ascii="Arial" w:hAnsi="Arial"/>
          <w:sz w:val="22"/>
          <w:szCs w:val="22"/>
        </w:rPr>
        <w:t>’</w:t>
      </w:r>
      <w:r w:rsidR="006D35D9" w:rsidRPr="00716226">
        <w:rPr>
          <w:rFonts w:ascii="Arial" w:hAnsi="Arial"/>
          <w:sz w:val="22"/>
          <w:szCs w:val="22"/>
        </w:rPr>
        <w:t>un harmonica appelé « </w:t>
      </w:r>
      <w:proofErr w:type="spellStart"/>
      <w:r w:rsidR="006D35D9" w:rsidRPr="00716226">
        <w:rPr>
          <w:rFonts w:ascii="Arial" w:hAnsi="Arial"/>
          <w:sz w:val="22"/>
          <w:szCs w:val="22"/>
        </w:rPr>
        <w:t>vlies</w:t>
      </w:r>
      <w:proofErr w:type="spellEnd"/>
      <w:r w:rsidR="006D35D9" w:rsidRPr="00716226">
        <w:rPr>
          <w:rFonts w:ascii="Arial" w:hAnsi="Arial"/>
          <w:sz w:val="22"/>
          <w:szCs w:val="22"/>
        </w:rPr>
        <w:t> », habituellement joué par des femmes. La musique de ces instruments s</w:t>
      </w:r>
      <w:r w:rsidR="003D1909">
        <w:rPr>
          <w:rFonts w:ascii="Arial" w:hAnsi="Arial"/>
          <w:sz w:val="22"/>
          <w:szCs w:val="22"/>
        </w:rPr>
        <w:t>’</w:t>
      </w:r>
      <w:r w:rsidR="006D35D9" w:rsidRPr="00716226">
        <w:rPr>
          <w:rFonts w:ascii="Arial" w:hAnsi="Arial"/>
          <w:sz w:val="22"/>
          <w:szCs w:val="22"/>
        </w:rPr>
        <w:t>accompagne de chants, de fredonnements et de hululements. La musique ancestrale des Namas se caractérise par un son, une texture et un rythme spécifiques. La mélodie principale et le rythme sont produits par un arc musical, un accordéon ou une guitare, tandis qu</w:t>
      </w:r>
      <w:r w:rsidR="009921A2">
        <w:rPr>
          <w:rFonts w:ascii="Arial" w:hAnsi="Arial"/>
          <w:sz w:val="22"/>
          <w:szCs w:val="22"/>
        </w:rPr>
        <w:t xml:space="preserve">e </w:t>
      </w:r>
      <w:r w:rsidR="006D35D9" w:rsidRPr="00716226">
        <w:rPr>
          <w:rFonts w:ascii="Arial" w:hAnsi="Arial"/>
          <w:sz w:val="22"/>
          <w:szCs w:val="22"/>
        </w:rPr>
        <w:t>d</w:t>
      </w:r>
      <w:r w:rsidR="003D1909">
        <w:rPr>
          <w:rFonts w:ascii="Arial" w:hAnsi="Arial"/>
          <w:sz w:val="22"/>
          <w:szCs w:val="22"/>
        </w:rPr>
        <w:t>’</w:t>
      </w:r>
      <w:r w:rsidR="006D35D9" w:rsidRPr="00716226">
        <w:rPr>
          <w:rFonts w:ascii="Arial" w:hAnsi="Arial"/>
          <w:sz w:val="22"/>
          <w:szCs w:val="22"/>
        </w:rPr>
        <w:t>autres instruments créent les harmonies. Il ne suffit pas de savoir jouer : les musiciens doivent aussi savoir accorder, entretenir et réparer leurs instruments. La musique est associée à des danses communément appelées « Nama-</w:t>
      </w:r>
      <w:proofErr w:type="spellStart"/>
      <w:r w:rsidR="006D35D9" w:rsidRPr="00716226">
        <w:rPr>
          <w:rFonts w:ascii="Arial" w:hAnsi="Arial"/>
          <w:sz w:val="22"/>
          <w:szCs w:val="22"/>
        </w:rPr>
        <w:t>stap</w:t>
      </w:r>
      <w:proofErr w:type="spellEnd"/>
      <w:r w:rsidR="006D35D9" w:rsidRPr="00716226">
        <w:rPr>
          <w:rFonts w:ascii="Arial" w:hAnsi="Arial"/>
          <w:sz w:val="22"/>
          <w:szCs w:val="22"/>
        </w:rPr>
        <w:t xml:space="preserve"> », ce </w:t>
      </w:r>
      <w:proofErr w:type="gramStart"/>
      <w:r w:rsidR="006D35D9" w:rsidRPr="00716226">
        <w:rPr>
          <w:rFonts w:ascii="Arial" w:hAnsi="Arial"/>
          <w:sz w:val="22"/>
          <w:szCs w:val="22"/>
        </w:rPr>
        <w:t>qui signifie littéralement « pas</w:t>
      </w:r>
      <w:proofErr w:type="gramEnd"/>
      <w:r w:rsidR="006D35D9" w:rsidRPr="00716226">
        <w:rPr>
          <w:rFonts w:ascii="Arial" w:hAnsi="Arial"/>
          <w:sz w:val="22"/>
          <w:szCs w:val="22"/>
        </w:rPr>
        <w:t xml:space="preserve"> de danse du peuple nama ». La musique anime les grands événements sociaux mais elle sert surtout à éduquer et à instruire les membres de la communauté en les sensibilisant, par exemple, à la protection de l</w:t>
      </w:r>
      <w:r w:rsidR="003D1909">
        <w:rPr>
          <w:rFonts w:ascii="Arial" w:hAnsi="Arial"/>
          <w:sz w:val="22"/>
          <w:szCs w:val="22"/>
        </w:rPr>
        <w:t>’</w:t>
      </w:r>
      <w:r w:rsidR="006D35D9" w:rsidRPr="00716226">
        <w:rPr>
          <w:rFonts w:ascii="Arial" w:hAnsi="Arial"/>
          <w:sz w:val="22"/>
          <w:szCs w:val="22"/>
        </w:rPr>
        <w:t>environnement. Autrefois, la musique établissait un lien entre les communautés et les villages, mais de nos jours elle doit faire face à plusieurs menaces et</w:t>
      </w:r>
      <w:r w:rsidR="009921A2">
        <w:rPr>
          <w:rFonts w:ascii="Arial" w:hAnsi="Arial"/>
          <w:sz w:val="22"/>
          <w:szCs w:val="22"/>
        </w:rPr>
        <w:t xml:space="preserve"> ces dernière</w:t>
      </w:r>
      <w:r w:rsidR="00252275">
        <w:rPr>
          <w:rFonts w:ascii="Arial" w:hAnsi="Arial"/>
          <w:sz w:val="22"/>
          <w:szCs w:val="22"/>
        </w:rPr>
        <w:t>s</w:t>
      </w:r>
      <w:r w:rsidR="009921A2">
        <w:rPr>
          <w:rFonts w:ascii="Arial" w:hAnsi="Arial"/>
          <w:sz w:val="22"/>
          <w:szCs w:val="22"/>
        </w:rPr>
        <w:t xml:space="preserve"> années, </w:t>
      </w:r>
      <w:r w:rsidR="006D35D9" w:rsidRPr="00716226">
        <w:rPr>
          <w:rFonts w:ascii="Arial" w:hAnsi="Arial"/>
          <w:sz w:val="22"/>
          <w:szCs w:val="22"/>
        </w:rPr>
        <w:t>seuls quelques anciens maîtrisent la tradition et possèdent encore les connaissances et les savoir-faire nécessaires.</w:t>
      </w:r>
    </w:p>
    <w:p w14:paraId="341A4B0A" w14:textId="681C7917" w:rsidR="006D35D9" w:rsidRPr="00716226" w:rsidRDefault="006D35D9" w:rsidP="00193CC4">
      <w:pPr>
        <w:pStyle w:val="ListParagraph"/>
        <w:numPr>
          <w:ilvl w:val="0"/>
          <w:numId w:val="25"/>
        </w:numPr>
        <w:tabs>
          <w:tab w:val="left" w:pos="1418"/>
        </w:tabs>
        <w:spacing w:before="120" w:after="120"/>
        <w:ind w:left="1134" w:hanging="567"/>
        <w:contextualSpacing w:val="0"/>
        <w:jc w:val="both"/>
        <w:rPr>
          <w:rFonts w:ascii="Arial" w:hAnsi="Arial" w:cs="Arial"/>
          <w:sz w:val="22"/>
          <w:szCs w:val="22"/>
        </w:rPr>
      </w:pPr>
      <w:r w:rsidRPr="00716226">
        <w:rPr>
          <w:rFonts w:ascii="Arial" w:hAnsi="Arial"/>
          <w:sz w:val="22"/>
          <w:szCs w:val="22"/>
          <w:u w:val="single"/>
        </w:rPr>
        <w:t>Estime</w:t>
      </w:r>
      <w:r w:rsidRPr="00716226">
        <w:rPr>
          <w:rFonts w:ascii="Arial" w:hAnsi="Arial"/>
          <w:sz w:val="22"/>
          <w:szCs w:val="22"/>
        </w:rPr>
        <w:t xml:space="preserve"> que, d</w:t>
      </w:r>
      <w:r w:rsidR="003D1909">
        <w:rPr>
          <w:rFonts w:ascii="Arial" w:hAnsi="Arial"/>
          <w:sz w:val="22"/>
          <w:szCs w:val="22"/>
        </w:rPr>
        <w:t>’</w:t>
      </w:r>
      <w:r w:rsidRPr="00716226">
        <w:rPr>
          <w:rFonts w:ascii="Arial" w:hAnsi="Arial"/>
          <w:sz w:val="22"/>
          <w:szCs w:val="22"/>
        </w:rPr>
        <w:t>après les informations contenues dans le dossier, la candidature satisfait aux critères d</w:t>
      </w:r>
      <w:r w:rsidR="003D1909">
        <w:rPr>
          <w:rFonts w:ascii="Arial" w:hAnsi="Arial"/>
          <w:sz w:val="22"/>
          <w:szCs w:val="22"/>
        </w:rPr>
        <w:t>’</w:t>
      </w:r>
      <w:r w:rsidRPr="00716226">
        <w:rPr>
          <w:rFonts w:ascii="Arial" w:hAnsi="Arial"/>
          <w:sz w:val="22"/>
          <w:szCs w:val="22"/>
        </w:rPr>
        <w:t>inscription sur la Liste du patrimoine culturel immatériel nécessitant une sauvegarde urgente comme suit :</w:t>
      </w:r>
    </w:p>
    <w:p w14:paraId="6FBD90D4" w14:textId="5C028A88" w:rsidR="006D35D9" w:rsidRPr="00716226" w:rsidRDefault="006D35D9" w:rsidP="00193CC4">
      <w:pPr>
        <w:pStyle w:val="ListParagraph"/>
        <w:spacing w:before="120" w:after="120"/>
        <w:ind w:left="1710" w:hanging="576"/>
        <w:contextualSpacing w:val="0"/>
        <w:jc w:val="both"/>
        <w:rPr>
          <w:rFonts w:ascii="Arial" w:hAnsi="Arial" w:cs="Arial"/>
          <w:noProof/>
          <w:sz w:val="22"/>
          <w:szCs w:val="22"/>
        </w:rPr>
      </w:pPr>
      <w:r w:rsidRPr="00716226">
        <w:rPr>
          <w:rFonts w:ascii="Arial" w:hAnsi="Arial"/>
          <w:sz w:val="22"/>
          <w:szCs w:val="22"/>
        </w:rPr>
        <w:t>U.1 :</w:t>
      </w:r>
      <w:r w:rsidRPr="00716226">
        <w:rPr>
          <w:rFonts w:ascii="Arial" w:hAnsi="Arial"/>
          <w:sz w:val="22"/>
          <w:szCs w:val="22"/>
        </w:rPr>
        <w:tab/>
        <w:t xml:space="preserve">La musique </w:t>
      </w:r>
      <w:r w:rsidR="007A341F">
        <w:rPr>
          <w:rFonts w:ascii="Arial" w:hAnsi="Arial"/>
          <w:sz w:val="22"/>
          <w:szCs w:val="22"/>
        </w:rPr>
        <w:t>traditionnelle</w:t>
      </w:r>
      <w:r w:rsidR="007A341F" w:rsidRPr="00716226">
        <w:rPr>
          <w:rFonts w:ascii="Arial" w:hAnsi="Arial"/>
          <w:sz w:val="22"/>
          <w:szCs w:val="22"/>
        </w:rPr>
        <w:t xml:space="preserve"> </w:t>
      </w:r>
      <w:r w:rsidRPr="00716226">
        <w:rPr>
          <w:rFonts w:ascii="Arial" w:hAnsi="Arial"/>
          <w:sz w:val="22"/>
          <w:szCs w:val="22"/>
        </w:rPr>
        <w:t>du peuple nama englobe plusieurs aspects du patrimoine culturel immatériel. La musique et la danse célèbrent la vie et symbolisent différents éléments de l</w:t>
      </w:r>
      <w:r w:rsidR="003D1909">
        <w:rPr>
          <w:rFonts w:ascii="Arial" w:hAnsi="Arial"/>
          <w:sz w:val="22"/>
          <w:szCs w:val="22"/>
        </w:rPr>
        <w:t>’</w:t>
      </w:r>
      <w:r w:rsidRPr="00716226">
        <w:rPr>
          <w:rFonts w:ascii="Arial" w:hAnsi="Arial"/>
          <w:sz w:val="22"/>
          <w:szCs w:val="22"/>
        </w:rPr>
        <w:t xml:space="preserve">environnement des détenteurs. La musique anime souvent les célébrations </w:t>
      </w:r>
      <w:r w:rsidR="007A341F">
        <w:rPr>
          <w:rFonts w:ascii="Arial" w:hAnsi="Arial"/>
          <w:sz w:val="22"/>
          <w:szCs w:val="22"/>
        </w:rPr>
        <w:t>des communautés</w:t>
      </w:r>
      <w:r w:rsidRPr="00716226">
        <w:rPr>
          <w:rFonts w:ascii="Arial" w:hAnsi="Arial"/>
          <w:sz w:val="22"/>
          <w:szCs w:val="22"/>
        </w:rPr>
        <w:t xml:space="preserve">, les fêtes traditionnelles, les cérémonies rituelles et les activités sociales </w:t>
      </w:r>
      <w:r w:rsidR="00511682">
        <w:rPr>
          <w:rFonts w:ascii="Arial" w:hAnsi="Arial"/>
          <w:sz w:val="22"/>
          <w:szCs w:val="22"/>
        </w:rPr>
        <w:t xml:space="preserve">telles que les </w:t>
      </w:r>
      <w:r w:rsidRPr="00716226">
        <w:rPr>
          <w:rFonts w:ascii="Arial" w:hAnsi="Arial"/>
          <w:sz w:val="22"/>
          <w:szCs w:val="22"/>
        </w:rPr>
        <w:t xml:space="preserve">mariages, </w:t>
      </w:r>
      <w:r w:rsidR="00511682">
        <w:rPr>
          <w:rFonts w:ascii="Arial" w:hAnsi="Arial"/>
          <w:sz w:val="22"/>
          <w:szCs w:val="22"/>
        </w:rPr>
        <w:t xml:space="preserve">les </w:t>
      </w:r>
      <w:r w:rsidRPr="00716226">
        <w:rPr>
          <w:rFonts w:ascii="Arial" w:hAnsi="Arial"/>
          <w:sz w:val="22"/>
          <w:szCs w:val="22"/>
        </w:rPr>
        <w:t xml:space="preserve">danses de la pluie, </w:t>
      </w:r>
      <w:r w:rsidR="00511682">
        <w:rPr>
          <w:rFonts w:ascii="Arial" w:hAnsi="Arial"/>
          <w:sz w:val="22"/>
          <w:szCs w:val="22"/>
        </w:rPr>
        <w:t xml:space="preserve">les </w:t>
      </w:r>
      <w:r w:rsidRPr="00716226">
        <w:rPr>
          <w:rFonts w:ascii="Arial" w:hAnsi="Arial"/>
          <w:sz w:val="22"/>
          <w:szCs w:val="22"/>
        </w:rPr>
        <w:t>anniversaires</w:t>
      </w:r>
      <w:r w:rsidR="00511682">
        <w:rPr>
          <w:rFonts w:ascii="Arial" w:hAnsi="Arial"/>
          <w:sz w:val="22"/>
          <w:szCs w:val="22"/>
        </w:rPr>
        <w:t xml:space="preserve"> et les </w:t>
      </w:r>
      <w:r w:rsidRPr="00716226">
        <w:rPr>
          <w:rFonts w:ascii="Arial" w:hAnsi="Arial"/>
          <w:sz w:val="22"/>
          <w:szCs w:val="22"/>
        </w:rPr>
        <w:t xml:space="preserve">rites de passage des jeunes </w:t>
      </w:r>
      <w:r w:rsidRPr="00700FB1">
        <w:rPr>
          <w:rFonts w:ascii="Arial" w:hAnsi="Arial"/>
          <w:sz w:val="22"/>
          <w:szCs w:val="22"/>
        </w:rPr>
        <w:t>filles. Le</w:t>
      </w:r>
      <w:r w:rsidRPr="00716226">
        <w:rPr>
          <w:rFonts w:ascii="Arial" w:hAnsi="Arial"/>
          <w:sz w:val="22"/>
          <w:szCs w:val="22"/>
        </w:rPr>
        <w:t xml:space="preserve">s rôles spécifiques des membres des communautés sont bien décrits. Par exemple, les hommes et les femmes ne dansent pas de la même façon, et représentent par </w:t>
      </w:r>
      <w:r w:rsidR="00755AED" w:rsidRPr="00716226">
        <w:rPr>
          <w:rFonts w:ascii="Arial" w:hAnsi="Arial"/>
          <w:sz w:val="22"/>
          <w:szCs w:val="22"/>
        </w:rPr>
        <w:t>leurs mouvements</w:t>
      </w:r>
      <w:r w:rsidR="00755AED">
        <w:rPr>
          <w:rFonts w:ascii="Arial" w:hAnsi="Arial"/>
          <w:sz w:val="22"/>
          <w:szCs w:val="22"/>
        </w:rPr>
        <w:t>,</w:t>
      </w:r>
      <w:r w:rsidRPr="00716226">
        <w:rPr>
          <w:rFonts w:ascii="Arial" w:hAnsi="Arial"/>
          <w:sz w:val="22"/>
          <w:szCs w:val="22"/>
        </w:rPr>
        <w:t xml:space="preserve"> les valeurs et coutumes de leur communauté. L</w:t>
      </w:r>
      <w:r w:rsidR="003D1909">
        <w:rPr>
          <w:rFonts w:ascii="Arial" w:hAnsi="Arial"/>
          <w:sz w:val="22"/>
          <w:szCs w:val="22"/>
        </w:rPr>
        <w:t>’</w:t>
      </w:r>
      <w:r w:rsidRPr="00716226">
        <w:rPr>
          <w:rFonts w:ascii="Arial" w:hAnsi="Arial"/>
          <w:sz w:val="22"/>
          <w:szCs w:val="22"/>
        </w:rPr>
        <w:t xml:space="preserve">élément est transmis aux jeunes </w:t>
      </w:r>
      <w:r w:rsidR="007A341F">
        <w:rPr>
          <w:rFonts w:ascii="Arial" w:hAnsi="Arial"/>
          <w:sz w:val="22"/>
          <w:szCs w:val="22"/>
        </w:rPr>
        <w:t xml:space="preserve">générations </w:t>
      </w:r>
      <w:r w:rsidRPr="00716226">
        <w:rPr>
          <w:rFonts w:ascii="Arial" w:hAnsi="Arial"/>
          <w:sz w:val="22"/>
          <w:szCs w:val="22"/>
        </w:rPr>
        <w:t>par les anciens de manière non formelle</w:t>
      </w:r>
      <w:r w:rsidR="00545175">
        <w:rPr>
          <w:rFonts w:ascii="Arial" w:hAnsi="Arial"/>
          <w:sz w:val="22"/>
          <w:szCs w:val="22"/>
        </w:rPr>
        <w:t xml:space="preserve"> par la transmission orale</w:t>
      </w:r>
      <w:r w:rsidRPr="00716226">
        <w:rPr>
          <w:rFonts w:ascii="Arial" w:hAnsi="Arial"/>
          <w:sz w:val="22"/>
          <w:szCs w:val="22"/>
        </w:rPr>
        <w:t>, mais aussi par l</w:t>
      </w:r>
      <w:r w:rsidR="003D1909">
        <w:rPr>
          <w:rFonts w:ascii="Arial" w:hAnsi="Arial"/>
          <w:sz w:val="22"/>
          <w:szCs w:val="22"/>
        </w:rPr>
        <w:t>’</w:t>
      </w:r>
      <w:r w:rsidRPr="00716226">
        <w:rPr>
          <w:rFonts w:ascii="Arial" w:hAnsi="Arial"/>
          <w:sz w:val="22"/>
          <w:szCs w:val="22"/>
        </w:rPr>
        <w:t>observation et l</w:t>
      </w:r>
      <w:r w:rsidR="003D1909">
        <w:rPr>
          <w:rFonts w:ascii="Arial" w:hAnsi="Arial"/>
          <w:sz w:val="22"/>
          <w:szCs w:val="22"/>
        </w:rPr>
        <w:t>’</w:t>
      </w:r>
      <w:r w:rsidRPr="00716226">
        <w:rPr>
          <w:rFonts w:ascii="Arial" w:hAnsi="Arial"/>
          <w:sz w:val="22"/>
          <w:szCs w:val="22"/>
        </w:rPr>
        <w:t>imitation.</w:t>
      </w:r>
    </w:p>
    <w:p w14:paraId="5669F8D2" w14:textId="55847ACA" w:rsidR="006D35D9" w:rsidRPr="00716226" w:rsidRDefault="006D35D9" w:rsidP="00193CC4">
      <w:pPr>
        <w:pStyle w:val="ListParagraph"/>
        <w:spacing w:before="120" w:after="120"/>
        <w:ind w:left="1710" w:hanging="576"/>
        <w:contextualSpacing w:val="0"/>
        <w:jc w:val="both"/>
        <w:rPr>
          <w:rFonts w:ascii="Arial" w:hAnsi="Arial" w:cs="Arial"/>
          <w:noProof/>
          <w:sz w:val="22"/>
          <w:szCs w:val="22"/>
        </w:rPr>
      </w:pPr>
      <w:r w:rsidRPr="00716226">
        <w:rPr>
          <w:rFonts w:ascii="Arial" w:hAnsi="Arial"/>
          <w:sz w:val="22"/>
          <w:szCs w:val="22"/>
        </w:rPr>
        <w:t>U.2 :</w:t>
      </w:r>
      <w:r w:rsidRPr="00716226">
        <w:rPr>
          <w:rFonts w:ascii="Arial" w:hAnsi="Arial"/>
          <w:sz w:val="22"/>
          <w:szCs w:val="22"/>
        </w:rPr>
        <w:tab/>
      </w:r>
      <w:proofErr w:type="spellStart"/>
      <w:r w:rsidRPr="00716226">
        <w:rPr>
          <w:rFonts w:ascii="Arial" w:hAnsi="Arial"/>
          <w:sz w:val="22"/>
          <w:szCs w:val="22"/>
        </w:rPr>
        <w:t>Aixan</w:t>
      </w:r>
      <w:proofErr w:type="spellEnd"/>
      <w:r w:rsidRPr="00716226">
        <w:rPr>
          <w:rFonts w:ascii="Arial" w:hAnsi="Arial"/>
          <w:sz w:val="22"/>
          <w:szCs w:val="22"/>
        </w:rPr>
        <w:t xml:space="preserve"> /</w:t>
      </w:r>
      <w:proofErr w:type="spellStart"/>
      <w:r w:rsidRPr="00716226">
        <w:rPr>
          <w:rFonts w:ascii="Arial" w:hAnsi="Arial"/>
          <w:sz w:val="22"/>
          <w:szCs w:val="22"/>
        </w:rPr>
        <w:t>gâna</w:t>
      </w:r>
      <w:proofErr w:type="spellEnd"/>
      <w:r w:rsidRPr="00716226">
        <w:rPr>
          <w:rFonts w:ascii="Arial" w:hAnsi="Arial"/>
          <w:sz w:val="22"/>
          <w:szCs w:val="22"/>
        </w:rPr>
        <w:t>/</w:t>
      </w:r>
      <w:proofErr w:type="spellStart"/>
      <w:r w:rsidRPr="00716226">
        <w:rPr>
          <w:rFonts w:ascii="Arial" w:hAnsi="Arial"/>
          <w:sz w:val="22"/>
          <w:szCs w:val="22"/>
        </w:rPr>
        <w:t>ob</w:t>
      </w:r>
      <w:proofErr w:type="spellEnd"/>
      <w:r w:rsidRPr="00716226">
        <w:rPr>
          <w:rFonts w:ascii="Arial" w:hAnsi="Arial"/>
          <w:sz w:val="22"/>
          <w:szCs w:val="22"/>
        </w:rPr>
        <w:t xml:space="preserve"> #ans </w:t>
      </w:r>
      <w:proofErr w:type="spellStart"/>
      <w:r w:rsidRPr="00716226">
        <w:rPr>
          <w:rFonts w:ascii="Arial" w:hAnsi="Arial"/>
          <w:sz w:val="22"/>
          <w:szCs w:val="22"/>
        </w:rPr>
        <w:t>tsî</w:t>
      </w:r>
      <w:proofErr w:type="spellEnd"/>
      <w:r w:rsidRPr="00716226">
        <w:rPr>
          <w:rFonts w:ascii="Arial" w:hAnsi="Arial"/>
          <w:sz w:val="22"/>
          <w:szCs w:val="22"/>
        </w:rPr>
        <w:t xml:space="preserve"> //</w:t>
      </w:r>
      <w:proofErr w:type="spellStart"/>
      <w:r w:rsidRPr="00716226">
        <w:rPr>
          <w:rFonts w:ascii="Arial" w:hAnsi="Arial"/>
          <w:sz w:val="22"/>
          <w:szCs w:val="22"/>
        </w:rPr>
        <w:t>khasigu</w:t>
      </w:r>
      <w:proofErr w:type="spellEnd"/>
      <w:r w:rsidRPr="00716226">
        <w:rPr>
          <w:rFonts w:ascii="Arial" w:hAnsi="Arial"/>
          <w:sz w:val="22"/>
          <w:szCs w:val="22"/>
        </w:rPr>
        <w:t xml:space="preserve"> nécessite une sauvegarde urgente car elle est sur le point de disparaître. Autrefois, la musique établissait un lien entre les communautés et les </w:t>
      </w:r>
      <w:r w:rsidRPr="00700FB1">
        <w:rPr>
          <w:rFonts w:ascii="Arial" w:hAnsi="Arial"/>
          <w:sz w:val="22"/>
          <w:szCs w:val="22"/>
        </w:rPr>
        <w:t>villages. Mais de nos jours seuls quelques</w:t>
      </w:r>
      <w:r w:rsidRPr="00716226">
        <w:rPr>
          <w:rFonts w:ascii="Arial" w:hAnsi="Arial"/>
          <w:sz w:val="22"/>
          <w:szCs w:val="22"/>
        </w:rPr>
        <w:t xml:space="preserve"> anciens possèdent encore les connaissances et les savoir-faire nécessaires pour jouer des instruments traditionnels. Les praticiens de l</w:t>
      </w:r>
      <w:r w:rsidR="003D1909">
        <w:rPr>
          <w:rFonts w:ascii="Arial" w:hAnsi="Arial"/>
          <w:sz w:val="22"/>
          <w:szCs w:val="22"/>
        </w:rPr>
        <w:t>’</w:t>
      </w:r>
      <w:r w:rsidRPr="00716226">
        <w:rPr>
          <w:rFonts w:ascii="Arial" w:hAnsi="Arial"/>
          <w:sz w:val="22"/>
          <w:szCs w:val="22"/>
        </w:rPr>
        <w:t>élément vieillissent, et dans le même temps la fréquence et l</w:t>
      </w:r>
      <w:r w:rsidR="003D1909">
        <w:rPr>
          <w:rFonts w:ascii="Arial" w:hAnsi="Arial"/>
          <w:sz w:val="22"/>
          <w:szCs w:val="22"/>
        </w:rPr>
        <w:t>’</w:t>
      </w:r>
      <w:r w:rsidRPr="00716226">
        <w:rPr>
          <w:rFonts w:ascii="Arial" w:hAnsi="Arial"/>
          <w:sz w:val="22"/>
          <w:szCs w:val="22"/>
        </w:rPr>
        <w:t>ampleur des représentations diminuent fortement depuis quelques années. Le manque d</w:t>
      </w:r>
      <w:r w:rsidR="003D1909">
        <w:rPr>
          <w:rFonts w:ascii="Arial" w:hAnsi="Arial"/>
          <w:sz w:val="22"/>
          <w:szCs w:val="22"/>
        </w:rPr>
        <w:t>’</w:t>
      </w:r>
      <w:r w:rsidRPr="00716226">
        <w:rPr>
          <w:rFonts w:ascii="Arial" w:hAnsi="Arial"/>
          <w:sz w:val="22"/>
          <w:szCs w:val="22"/>
        </w:rPr>
        <w:t>intérêt des jeunes et la faible visibilité de l</w:t>
      </w:r>
      <w:r w:rsidR="003D1909">
        <w:rPr>
          <w:rFonts w:ascii="Arial" w:hAnsi="Arial"/>
          <w:sz w:val="22"/>
          <w:szCs w:val="22"/>
        </w:rPr>
        <w:t>’</w:t>
      </w:r>
      <w:r w:rsidRPr="00716226">
        <w:rPr>
          <w:rFonts w:ascii="Arial" w:hAnsi="Arial"/>
          <w:sz w:val="22"/>
          <w:szCs w:val="22"/>
        </w:rPr>
        <w:t>élément font qu</w:t>
      </w:r>
      <w:r w:rsidR="003D1909">
        <w:rPr>
          <w:rFonts w:ascii="Arial" w:hAnsi="Arial"/>
          <w:sz w:val="22"/>
          <w:szCs w:val="22"/>
        </w:rPr>
        <w:t>’</w:t>
      </w:r>
      <w:r w:rsidRPr="00716226">
        <w:rPr>
          <w:rFonts w:ascii="Arial" w:hAnsi="Arial"/>
          <w:sz w:val="22"/>
          <w:szCs w:val="22"/>
        </w:rPr>
        <w:t>il n</w:t>
      </w:r>
      <w:r w:rsidR="003D1909">
        <w:rPr>
          <w:rFonts w:ascii="Arial" w:hAnsi="Arial"/>
          <w:sz w:val="22"/>
          <w:szCs w:val="22"/>
        </w:rPr>
        <w:t>’</w:t>
      </w:r>
      <w:r w:rsidRPr="00716226">
        <w:rPr>
          <w:rFonts w:ascii="Arial" w:hAnsi="Arial"/>
          <w:sz w:val="22"/>
          <w:szCs w:val="22"/>
        </w:rPr>
        <w:t>est plus possible pour les membres des communautés concernées, en particulier les jeunes, d</w:t>
      </w:r>
      <w:r w:rsidR="003D1909">
        <w:rPr>
          <w:rFonts w:ascii="Arial" w:hAnsi="Arial"/>
          <w:sz w:val="22"/>
          <w:szCs w:val="22"/>
        </w:rPr>
        <w:t>’</w:t>
      </w:r>
      <w:r w:rsidRPr="00716226">
        <w:rPr>
          <w:rFonts w:ascii="Arial" w:hAnsi="Arial"/>
          <w:sz w:val="22"/>
          <w:szCs w:val="22"/>
        </w:rPr>
        <w:t>observer les praticiens et donc d</w:t>
      </w:r>
      <w:r w:rsidR="003D1909">
        <w:rPr>
          <w:rFonts w:ascii="Arial" w:hAnsi="Arial"/>
          <w:sz w:val="22"/>
          <w:szCs w:val="22"/>
        </w:rPr>
        <w:t>’</w:t>
      </w:r>
      <w:r w:rsidRPr="00716226">
        <w:rPr>
          <w:rFonts w:ascii="Arial" w:hAnsi="Arial"/>
          <w:sz w:val="22"/>
          <w:szCs w:val="22"/>
        </w:rPr>
        <w:t xml:space="preserve">apprendre cette musique ancestrale grâce à la transmission des savoir-faire. Pendant les fêtes, les prestations de musiciens ont été remplacées par de la musique enregistrée. Les fêtes traditionnelles sont de moins en moins célébrées, et </w:t>
      </w:r>
      <w:r w:rsidR="002076F0">
        <w:rPr>
          <w:rFonts w:ascii="Arial" w:hAnsi="Arial"/>
          <w:sz w:val="22"/>
          <w:szCs w:val="22"/>
        </w:rPr>
        <w:t>la musique n’est plus diffusée</w:t>
      </w:r>
      <w:r w:rsidRPr="00716226">
        <w:rPr>
          <w:rFonts w:ascii="Arial" w:hAnsi="Arial"/>
          <w:sz w:val="22"/>
          <w:szCs w:val="22"/>
        </w:rPr>
        <w:t xml:space="preserve"> qu</w:t>
      </w:r>
      <w:r w:rsidR="003D1909">
        <w:rPr>
          <w:rFonts w:ascii="Arial" w:hAnsi="Arial"/>
          <w:sz w:val="22"/>
          <w:szCs w:val="22"/>
        </w:rPr>
        <w:t>’</w:t>
      </w:r>
      <w:r w:rsidRPr="00716226">
        <w:rPr>
          <w:rFonts w:ascii="Arial" w:hAnsi="Arial"/>
          <w:sz w:val="22"/>
          <w:szCs w:val="22"/>
        </w:rPr>
        <w:t>à l</w:t>
      </w:r>
      <w:r w:rsidR="003D1909">
        <w:rPr>
          <w:rFonts w:ascii="Arial" w:hAnsi="Arial"/>
          <w:sz w:val="22"/>
          <w:szCs w:val="22"/>
        </w:rPr>
        <w:t>’</w:t>
      </w:r>
      <w:r w:rsidRPr="00716226">
        <w:rPr>
          <w:rFonts w:ascii="Arial" w:hAnsi="Arial"/>
          <w:sz w:val="22"/>
          <w:szCs w:val="22"/>
        </w:rPr>
        <w:t>occasion de festivals culturels.</w:t>
      </w:r>
    </w:p>
    <w:p w14:paraId="3A7B6808" w14:textId="56677963" w:rsidR="006D35D9" w:rsidRPr="00716226" w:rsidRDefault="006D35D9" w:rsidP="00193CC4">
      <w:pPr>
        <w:pStyle w:val="ListParagraph"/>
        <w:spacing w:before="120" w:after="120"/>
        <w:ind w:left="1710" w:hanging="576"/>
        <w:contextualSpacing w:val="0"/>
        <w:jc w:val="both"/>
        <w:rPr>
          <w:rFonts w:ascii="Arial" w:hAnsi="Arial" w:cs="Arial"/>
          <w:noProof/>
          <w:sz w:val="22"/>
          <w:szCs w:val="22"/>
        </w:rPr>
      </w:pPr>
      <w:r w:rsidRPr="00716226">
        <w:rPr>
          <w:rFonts w:ascii="Arial" w:hAnsi="Arial"/>
          <w:sz w:val="22"/>
          <w:szCs w:val="22"/>
        </w:rPr>
        <w:t>U.3 :</w:t>
      </w:r>
      <w:r w:rsidRPr="00716226">
        <w:rPr>
          <w:rFonts w:ascii="Arial" w:hAnsi="Arial"/>
          <w:sz w:val="22"/>
          <w:szCs w:val="22"/>
        </w:rPr>
        <w:tab/>
        <w:t>Les efforts passés et en cours pour sauvegarder l</w:t>
      </w:r>
      <w:r w:rsidR="003D1909">
        <w:rPr>
          <w:rFonts w:ascii="Arial" w:hAnsi="Arial"/>
          <w:sz w:val="22"/>
          <w:szCs w:val="22"/>
        </w:rPr>
        <w:t>’</w:t>
      </w:r>
      <w:r w:rsidRPr="00716226">
        <w:rPr>
          <w:rFonts w:ascii="Arial" w:hAnsi="Arial"/>
          <w:sz w:val="22"/>
          <w:szCs w:val="22"/>
        </w:rPr>
        <w:t>élément incluent la constitution de groupes culturels et la mise en place de programmes pour la promotion et la documentation de l</w:t>
      </w:r>
      <w:r w:rsidR="003D1909">
        <w:rPr>
          <w:rFonts w:ascii="Arial" w:hAnsi="Arial"/>
          <w:sz w:val="22"/>
          <w:szCs w:val="22"/>
        </w:rPr>
        <w:t>’</w:t>
      </w:r>
      <w:r w:rsidRPr="00716226">
        <w:rPr>
          <w:rFonts w:ascii="Arial" w:hAnsi="Arial"/>
          <w:sz w:val="22"/>
          <w:szCs w:val="22"/>
        </w:rPr>
        <w:t>élément. Les objectifs sont notamment de renforcer la visibilité de l</w:t>
      </w:r>
      <w:r w:rsidR="003D1909">
        <w:rPr>
          <w:rFonts w:ascii="Arial" w:hAnsi="Arial"/>
          <w:sz w:val="22"/>
          <w:szCs w:val="22"/>
        </w:rPr>
        <w:t>’</w:t>
      </w:r>
      <w:r w:rsidRPr="00716226">
        <w:rPr>
          <w:rFonts w:ascii="Arial" w:hAnsi="Arial"/>
          <w:sz w:val="22"/>
          <w:szCs w:val="22"/>
        </w:rPr>
        <w:t>élément et la transmission des connaissances, d</w:t>
      </w:r>
      <w:r w:rsidR="003D1909">
        <w:rPr>
          <w:rFonts w:ascii="Arial" w:hAnsi="Arial"/>
          <w:sz w:val="22"/>
          <w:szCs w:val="22"/>
        </w:rPr>
        <w:t>’</w:t>
      </w:r>
      <w:r w:rsidRPr="00716226">
        <w:rPr>
          <w:rFonts w:ascii="Arial" w:hAnsi="Arial"/>
          <w:sz w:val="22"/>
          <w:szCs w:val="22"/>
        </w:rPr>
        <w:t>accroître les capacités de documentation et de renforcer la coopération régionale. Parmi les activités proposées, on peut citer la production de matériel pédagogique et promotionnel, l</w:t>
      </w:r>
      <w:r w:rsidR="003D1909">
        <w:rPr>
          <w:rFonts w:ascii="Arial" w:hAnsi="Arial"/>
          <w:sz w:val="22"/>
          <w:szCs w:val="22"/>
        </w:rPr>
        <w:t>’</w:t>
      </w:r>
      <w:r w:rsidRPr="00716226">
        <w:rPr>
          <w:rFonts w:ascii="Arial" w:hAnsi="Arial"/>
          <w:sz w:val="22"/>
          <w:szCs w:val="22"/>
        </w:rPr>
        <w:t>organisation de salons, la réalisation d</w:t>
      </w:r>
      <w:r w:rsidR="003D1909">
        <w:rPr>
          <w:rFonts w:ascii="Arial" w:hAnsi="Arial"/>
          <w:sz w:val="22"/>
          <w:szCs w:val="22"/>
        </w:rPr>
        <w:t>’</w:t>
      </w:r>
      <w:r w:rsidRPr="00716226">
        <w:rPr>
          <w:rFonts w:ascii="Arial" w:hAnsi="Arial"/>
          <w:sz w:val="22"/>
          <w:szCs w:val="22"/>
        </w:rPr>
        <w:t>une campagne de sensibilisation et la mise en place de programmes de formation et d</w:t>
      </w:r>
      <w:r w:rsidR="003D1909">
        <w:rPr>
          <w:rFonts w:ascii="Arial" w:hAnsi="Arial"/>
          <w:sz w:val="22"/>
          <w:szCs w:val="22"/>
        </w:rPr>
        <w:t>’</w:t>
      </w:r>
      <w:r w:rsidRPr="00716226">
        <w:rPr>
          <w:rFonts w:ascii="Arial" w:hAnsi="Arial"/>
          <w:sz w:val="22"/>
          <w:szCs w:val="22"/>
        </w:rPr>
        <w:t>un atelier de renforcement des capacités. Afin d</w:t>
      </w:r>
      <w:r w:rsidR="003D1909">
        <w:rPr>
          <w:rFonts w:ascii="Arial" w:hAnsi="Arial"/>
          <w:sz w:val="22"/>
          <w:szCs w:val="22"/>
        </w:rPr>
        <w:t>’</w:t>
      </w:r>
      <w:r w:rsidRPr="00716226">
        <w:rPr>
          <w:rFonts w:ascii="Arial" w:hAnsi="Arial"/>
          <w:sz w:val="22"/>
          <w:szCs w:val="22"/>
        </w:rPr>
        <w:t>assurer le suivi du projet, des visites sur le terrain sont prévues, ainsi qu</w:t>
      </w:r>
      <w:r w:rsidR="003D1909">
        <w:rPr>
          <w:rFonts w:ascii="Arial" w:hAnsi="Arial"/>
          <w:sz w:val="22"/>
          <w:szCs w:val="22"/>
        </w:rPr>
        <w:t>’</w:t>
      </w:r>
      <w:r w:rsidRPr="00716226">
        <w:rPr>
          <w:rFonts w:ascii="Arial" w:hAnsi="Arial"/>
          <w:sz w:val="22"/>
          <w:szCs w:val="22"/>
        </w:rPr>
        <w:t>une évaluation à mi-parcours en coopération avec les communautés concernées. La Commission nationale de Namibie pour l</w:t>
      </w:r>
      <w:r w:rsidR="003D1909">
        <w:rPr>
          <w:rFonts w:ascii="Arial" w:hAnsi="Arial"/>
          <w:sz w:val="22"/>
          <w:szCs w:val="22"/>
        </w:rPr>
        <w:t>’</w:t>
      </w:r>
      <w:r w:rsidRPr="00716226">
        <w:rPr>
          <w:rFonts w:ascii="Arial" w:hAnsi="Arial"/>
          <w:sz w:val="22"/>
          <w:szCs w:val="22"/>
        </w:rPr>
        <w:t xml:space="preserve">UNESCO a participé à la mise en œuvre et à la gestion des fonds des programmes liés aux activités de promotion du patrimoine culturel immatériel </w:t>
      </w:r>
      <w:r w:rsidR="004B2554">
        <w:rPr>
          <w:rFonts w:ascii="Arial" w:hAnsi="Arial"/>
          <w:sz w:val="22"/>
          <w:szCs w:val="22"/>
        </w:rPr>
        <w:t>en Namibie</w:t>
      </w:r>
      <w:r w:rsidRPr="00716226">
        <w:rPr>
          <w:rFonts w:ascii="Arial" w:hAnsi="Arial"/>
          <w:sz w:val="22"/>
          <w:szCs w:val="22"/>
        </w:rPr>
        <w:t>. Les capacités seront renforcées car les membres des communautés acquerront les compétences nécessaires pour animer des programmes de sensibilisation, et un cadre stratégique sera fourni pour d</w:t>
      </w:r>
      <w:r w:rsidR="003D1909">
        <w:rPr>
          <w:rFonts w:ascii="Arial" w:hAnsi="Arial"/>
          <w:sz w:val="22"/>
          <w:szCs w:val="22"/>
        </w:rPr>
        <w:t>’</w:t>
      </w:r>
      <w:r w:rsidRPr="00716226">
        <w:rPr>
          <w:rFonts w:ascii="Arial" w:hAnsi="Arial"/>
          <w:sz w:val="22"/>
          <w:szCs w:val="22"/>
        </w:rPr>
        <w:t>autres activités de renforcement des capacités.</w:t>
      </w:r>
    </w:p>
    <w:p w14:paraId="2B52C948" w14:textId="5AA8BB48" w:rsidR="006D35D9" w:rsidRPr="00716226" w:rsidRDefault="006D35D9" w:rsidP="00193CC4">
      <w:pPr>
        <w:pStyle w:val="ListParagraph"/>
        <w:spacing w:before="120" w:after="120"/>
        <w:ind w:left="1710" w:hanging="576"/>
        <w:contextualSpacing w:val="0"/>
        <w:jc w:val="both"/>
        <w:rPr>
          <w:rFonts w:ascii="Arial" w:hAnsi="Arial" w:cs="Arial"/>
          <w:noProof/>
          <w:sz w:val="22"/>
          <w:szCs w:val="22"/>
        </w:rPr>
      </w:pPr>
      <w:r w:rsidRPr="00716226">
        <w:rPr>
          <w:rFonts w:ascii="Arial" w:hAnsi="Arial"/>
          <w:sz w:val="22"/>
          <w:szCs w:val="22"/>
        </w:rPr>
        <w:t>U.4 :</w:t>
      </w:r>
      <w:r w:rsidRPr="00716226">
        <w:rPr>
          <w:rFonts w:ascii="Arial" w:hAnsi="Arial"/>
          <w:sz w:val="22"/>
          <w:szCs w:val="22"/>
        </w:rPr>
        <w:tab/>
        <w:t>Les membres des communautés ont participé à l</w:t>
      </w:r>
      <w:r w:rsidR="003D1909">
        <w:rPr>
          <w:rFonts w:ascii="Arial" w:hAnsi="Arial"/>
          <w:sz w:val="22"/>
          <w:szCs w:val="22"/>
        </w:rPr>
        <w:t>’</w:t>
      </w:r>
      <w:r w:rsidRPr="00716226">
        <w:rPr>
          <w:rFonts w:ascii="Arial" w:hAnsi="Arial"/>
          <w:sz w:val="22"/>
          <w:szCs w:val="22"/>
        </w:rPr>
        <w:t>inventaire et à la documentation de l</w:t>
      </w:r>
      <w:r w:rsidR="003D1909">
        <w:rPr>
          <w:rFonts w:ascii="Arial" w:hAnsi="Arial"/>
          <w:sz w:val="22"/>
          <w:szCs w:val="22"/>
        </w:rPr>
        <w:t>’</w:t>
      </w:r>
      <w:r w:rsidRPr="00716226">
        <w:rPr>
          <w:rFonts w:ascii="Arial" w:hAnsi="Arial"/>
          <w:sz w:val="22"/>
          <w:szCs w:val="22"/>
        </w:rPr>
        <w:t>élément, ainsi qu</w:t>
      </w:r>
      <w:r w:rsidR="003D1909">
        <w:rPr>
          <w:rFonts w:ascii="Arial" w:hAnsi="Arial"/>
          <w:sz w:val="22"/>
          <w:szCs w:val="22"/>
        </w:rPr>
        <w:t>’</w:t>
      </w:r>
      <w:r w:rsidRPr="00716226">
        <w:rPr>
          <w:rFonts w:ascii="Arial" w:hAnsi="Arial"/>
          <w:sz w:val="22"/>
          <w:szCs w:val="22"/>
        </w:rPr>
        <w:t>à l</w:t>
      </w:r>
      <w:r w:rsidR="003D1909">
        <w:rPr>
          <w:rFonts w:ascii="Arial" w:hAnsi="Arial"/>
          <w:sz w:val="22"/>
          <w:szCs w:val="22"/>
        </w:rPr>
        <w:t>’</w:t>
      </w:r>
      <w:r w:rsidRPr="00716226">
        <w:rPr>
          <w:rFonts w:ascii="Arial" w:hAnsi="Arial"/>
          <w:sz w:val="22"/>
          <w:szCs w:val="22"/>
        </w:rPr>
        <w:t>élaboration du dossier de candidature. Les autorités traditionnelles concernées ont consenti à la candidature de l</w:t>
      </w:r>
      <w:r w:rsidR="003D1909">
        <w:rPr>
          <w:rFonts w:ascii="Arial" w:hAnsi="Arial"/>
          <w:sz w:val="22"/>
          <w:szCs w:val="22"/>
        </w:rPr>
        <w:t>’</w:t>
      </w:r>
      <w:r w:rsidRPr="00716226">
        <w:rPr>
          <w:rFonts w:ascii="Arial" w:hAnsi="Arial"/>
          <w:sz w:val="22"/>
          <w:szCs w:val="22"/>
        </w:rPr>
        <w:t xml:space="preserve">élément en vue de son inscription sur la Liste de sauvegarde urgente. </w:t>
      </w:r>
      <w:r w:rsidR="00EE2B83">
        <w:rPr>
          <w:rFonts w:ascii="Arial" w:hAnsi="Arial"/>
          <w:sz w:val="22"/>
          <w:szCs w:val="22"/>
        </w:rPr>
        <w:t>Toutes les parties prenantes</w:t>
      </w:r>
      <w:r w:rsidRPr="00716226">
        <w:rPr>
          <w:rFonts w:ascii="Arial" w:hAnsi="Arial"/>
          <w:sz w:val="22"/>
          <w:szCs w:val="22"/>
        </w:rPr>
        <w:t xml:space="preserve"> ont contribué au processus. En outre, le Ministère de l</w:t>
      </w:r>
      <w:r w:rsidR="003D1909">
        <w:rPr>
          <w:rFonts w:ascii="Arial" w:hAnsi="Arial"/>
          <w:sz w:val="22"/>
          <w:szCs w:val="22"/>
        </w:rPr>
        <w:t>’</w:t>
      </w:r>
      <w:r w:rsidRPr="00716226">
        <w:rPr>
          <w:rFonts w:ascii="Arial" w:hAnsi="Arial"/>
          <w:sz w:val="22"/>
          <w:szCs w:val="22"/>
        </w:rPr>
        <w:t>égalité des genres et de l</w:t>
      </w:r>
      <w:r w:rsidR="003D1909">
        <w:rPr>
          <w:rFonts w:ascii="Arial" w:hAnsi="Arial"/>
          <w:sz w:val="22"/>
          <w:szCs w:val="22"/>
        </w:rPr>
        <w:t>’</w:t>
      </w:r>
      <w:r w:rsidRPr="00716226">
        <w:rPr>
          <w:rFonts w:ascii="Arial" w:hAnsi="Arial"/>
          <w:sz w:val="22"/>
          <w:szCs w:val="22"/>
        </w:rPr>
        <w:t>enfance est l</w:t>
      </w:r>
      <w:r w:rsidR="003D1909">
        <w:rPr>
          <w:rFonts w:ascii="Arial" w:hAnsi="Arial"/>
          <w:sz w:val="22"/>
          <w:szCs w:val="22"/>
        </w:rPr>
        <w:t>’</w:t>
      </w:r>
      <w:r w:rsidRPr="00716226">
        <w:rPr>
          <w:rFonts w:ascii="Arial" w:hAnsi="Arial"/>
          <w:sz w:val="22"/>
          <w:szCs w:val="22"/>
        </w:rPr>
        <w:t>une des parties prenantes et veillera à ce que l</w:t>
      </w:r>
      <w:r w:rsidR="003D1909">
        <w:rPr>
          <w:rFonts w:ascii="Arial" w:hAnsi="Arial"/>
          <w:sz w:val="22"/>
          <w:szCs w:val="22"/>
        </w:rPr>
        <w:t>’</w:t>
      </w:r>
      <w:r w:rsidRPr="00716226">
        <w:rPr>
          <w:rFonts w:ascii="Arial" w:hAnsi="Arial"/>
          <w:sz w:val="22"/>
          <w:szCs w:val="22"/>
        </w:rPr>
        <w:t>égalité des genres soit assurée dans tous les projets et programmes locaux. Les membres des communautés élaboreront le matériel pédagogique (panneaux pour les expositions, brochures) et feront partie du groupe chargé de mener des actions de sensibilisation pendant des expositions locales. Des individus ayant suivi une formation dans le domaine du patrimoine culturel immatériel participeront à la campagne de sensibilisation, à l</w:t>
      </w:r>
      <w:r w:rsidR="003D1909">
        <w:rPr>
          <w:rFonts w:ascii="Arial" w:hAnsi="Arial"/>
          <w:sz w:val="22"/>
          <w:szCs w:val="22"/>
        </w:rPr>
        <w:t>’</w:t>
      </w:r>
      <w:r w:rsidRPr="00716226">
        <w:rPr>
          <w:rFonts w:ascii="Arial" w:hAnsi="Arial"/>
          <w:sz w:val="22"/>
          <w:szCs w:val="22"/>
        </w:rPr>
        <w:t>identification des détenteurs, à la planification et au suivi des activités quotidiennes et à d</w:t>
      </w:r>
      <w:r w:rsidR="003D1909">
        <w:rPr>
          <w:rFonts w:ascii="Arial" w:hAnsi="Arial"/>
          <w:sz w:val="22"/>
          <w:szCs w:val="22"/>
        </w:rPr>
        <w:t>’</w:t>
      </w:r>
      <w:r w:rsidRPr="00716226">
        <w:rPr>
          <w:rFonts w:ascii="Arial" w:hAnsi="Arial"/>
          <w:sz w:val="22"/>
          <w:szCs w:val="22"/>
        </w:rPr>
        <w:t>autres activités de documentation. Les détenteurs seront les principaux présentateurs de l</w:t>
      </w:r>
      <w:r w:rsidR="003D1909">
        <w:rPr>
          <w:rFonts w:ascii="Arial" w:hAnsi="Arial"/>
          <w:sz w:val="22"/>
          <w:szCs w:val="22"/>
        </w:rPr>
        <w:t>’</w:t>
      </w:r>
      <w:r w:rsidRPr="00716226">
        <w:rPr>
          <w:rFonts w:ascii="Arial" w:hAnsi="Arial"/>
          <w:sz w:val="22"/>
          <w:szCs w:val="22"/>
        </w:rPr>
        <w:t>émission de radio et seront recrutés pour assurer une formation musicale. Ils seront également chargés d</w:t>
      </w:r>
      <w:r w:rsidR="003D1909">
        <w:rPr>
          <w:rFonts w:ascii="Arial" w:hAnsi="Arial"/>
          <w:sz w:val="22"/>
          <w:szCs w:val="22"/>
        </w:rPr>
        <w:t>’</w:t>
      </w:r>
      <w:r w:rsidRPr="00716226">
        <w:rPr>
          <w:rFonts w:ascii="Arial" w:hAnsi="Arial"/>
          <w:sz w:val="22"/>
          <w:szCs w:val="22"/>
        </w:rPr>
        <w:t xml:space="preserve">évaluer les activités du projet et de fabriquer des instruments traditionnels. Les formulaires de consentement ont été signés par des chefs des communautés, des détenteurs </w:t>
      </w:r>
      <w:r w:rsidR="004B2554">
        <w:rPr>
          <w:rFonts w:ascii="Arial" w:hAnsi="Arial"/>
          <w:sz w:val="22"/>
          <w:szCs w:val="22"/>
        </w:rPr>
        <w:t xml:space="preserve">individuels </w:t>
      </w:r>
      <w:r w:rsidRPr="00716226">
        <w:rPr>
          <w:rFonts w:ascii="Arial" w:hAnsi="Arial"/>
          <w:sz w:val="22"/>
          <w:szCs w:val="22"/>
        </w:rPr>
        <w:t>et les groupes culturels au sein des communautés concernées. La plupart des signataires sont des femmes.</w:t>
      </w:r>
    </w:p>
    <w:p w14:paraId="2200A8D9" w14:textId="412BA337" w:rsidR="006D35D9" w:rsidRPr="00716226" w:rsidRDefault="006D35D9" w:rsidP="00193CC4">
      <w:pPr>
        <w:pStyle w:val="ListParagraph"/>
        <w:spacing w:before="120" w:after="120"/>
        <w:ind w:left="1710" w:hanging="576"/>
        <w:contextualSpacing w:val="0"/>
        <w:jc w:val="both"/>
        <w:rPr>
          <w:rFonts w:ascii="Arial" w:hAnsi="Arial" w:cs="Arial"/>
          <w:noProof/>
          <w:sz w:val="22"/>
          <w:szCs w:val="22"/>
          <w:highlight w:val="yellow"/>
        </w:rPr>
      </w:pPr>
      <w:r w:rsidRPr="00716226">
        <w:rPr>
          <w:rFonts w:ascii="Arial" w:hAnsi="Arial"/>
          <w:sz w:val="22"/>
          <w:szCs w:val="22"/>
        </w:rPr>
        <w:t>U.5 :</w:t>
      </w:r>
      <w:r w:rsidRPr="00716226">
        <w:rPr>
          <w:rFonts w:ascii="Arial" w:hAnsi="Arial"/>
          <w:sz w:val="22"/>
          <w:szCs w:val="22"/>
        </w:rPr>
        <w:tab/>
        <w:t>L</w:t>
      </w:r>
      <w:r w:rsidR="003D1909">
        <w:rPr>
          <w:rFonts w:ascii="Arial" w:hAnsi="Arial"/>
          <w:sz w:val="22"/>
          <w:szCs w:val="22"/>
        </w:rPr>
        <w:t>’</w:t>
      </w:r>
      <w:r w:rsidRPr="00716226">
        <w:rPr>
          <w:rFonts w:ascii="Arial" w:hAnsi="Arial"/>
          <w:sz w:val="22"/>
          <w:szCs w:val="22"/>
        </w:rPr>
        <w:t xml:space="preserve">élément est </w:t>
      </w:r>
      <w:r w:rsidR="004B2554">
        <w:rPr>
          <w:rFonts w:ascii="Arial" w:hAnsi="Arial"/>
          <w:sz w:val="22"/>
          <w:szCs w:val="22"/>
        </w:rPr>
        <w:t>inclus dans</w:t>
      </w:r>
      <w:r w:rsidRPr="00716226">
        <w:rPr>
          <w:rFonts w:ascii="Arial" w:hAnsi="Arial"/>
          <w:sz w:val="22"/>
          <w:szCs w:val="22"/>
        </w:rPr>
        <w:t xml:space="preserve"> l</w:t>
      </w:r>
      <w:r w:rsidR="003D1909">
        <w:rPr>
          <w:rFonts w:ascii="Arial" w:hAnsi="Arial"/>
          <w:sz w:val="22"/>
          <w:szCs w:val="22"/>
        </w:rPr>
        <w:t>’</w:t>
      </w:r>
      <w:r w:rsidRPr="00716226">
        <w:rPr>
          <w:rFonts w:ascii="Arial" w:hAnsi="Arial"/>
          <w:sz w:val="22"/>
          <w:szCs w:val="22"/>
        </w:rPr>
        <w:t xml:space="preserve">Inventaire indicatif national </w:t>
      </w:r>
      <w:r w:rsidR="00755AED">
        <w:rPr>
          <w:rFonts w:ascii="Arial" w:hAnsi="Arial"/>
          <w:sz w:val="22"/>
          <w:szCs w:val="22"/>
        </w:rPr>
        <w:t xml:space="preserve">namibien </w:t>
      </w:r>
      <w:r w:rsidRPr="00716226">
        <w:rPr>
          <w:rFonts w:ascii="Arial" w:hAnsi="Arial"/>
          <w:sz w:val="22"/>
          <w:szCs w:val="22"/>
        </w:rPr>
        <w:t>du PCI depuis septembre 2016. Cet inventaire est administré par la Direction des programmes nationaux pour le patrimoine et la culture (Ministère de l</w:t>
      </w:r>
      <w:r w:rsidR="003D1909">
        <w:rPr>
          <w:rFonts w:ascii="Arial" w:hAnsi="Arial"/>
          <w:sz w:val="22"/>
          <w:szCs w:val="22"/>
        </w:rPr>
        <w:t>’</w:t>
      </w:r>
      <w:r w:rsidRPr="00716226">
        <w:rPr>
          <w:rFonts w:ascii="Arial" w:hAnsi="Arial"/>
          <w:sz w:val="22"/>
          <w:szCs w:val="22"/>
        </w:rPr>
        <w:t>éducation, des arts et de la culture) en collaboration avec la Commission nationale de Namibie pour l</w:t>
      </w:r>
      <w:r w:rsidR="003D1909">
        <w:rPr>
          <w:rFonts w:ascii="Arial" w:hAnsi="Arial"/>
          <w:sz w:val="22"/>
          <w:szCs w:val="22"/>
        </w:rPr>
        <w:t>’</w:t>
      </w:r>
      <w:r w:rsidRPr="00716226">
        <w:rPr>
          <w:rFonts w:ascii="Arial" w:hAnsi="Arial"/>
          <w:sz w:val="22"/>
          <w:szCs w:val="22"/>
        </w:rPr>
        <w:t>UNESCO. L</w:t>
      </w:r>
      <w:r w:rsidR="003D1909">
        <w:rPr>
          <w:rFonts w:ascii="Arial" w:hAnsi="Arial"/>
          <w:sz w:val="22"/>
          <w:szCs w:val="22"/>
        </w:rPr>
        <w:t>’</w:t>
      </w:r>
      <w:r w:rsidRPr="00716226">
        <w:rPr>
          <w:rFonts w:ascii="Arial" w:hAnsi="Arial"/>
          <w:sz w:val="22"/>
          <w:szCs w:val="22"/>
        </w:rPr>
        <w:t>État partie a élaboré et animé des ateliers afin de donner aux représentants des communautés les connaissances et les savoir-faire nécessaires pour sensibiliser au patrimoine culturel immatériel, mais aussi pour identifier, inventorier et documenter les éléments du patrimoine vivant de leurs communautés respectives. La Direction des programmes nationaux pour le patrimoine et la culture met l</w:t>
      </w:r>
      <w:r w:rsidR="003D1909">
        <w:rPr>
          <w:rFonts w:ascii="Arial" w:hAnsi="Arial"/>
          <w:sz w:val="22"/>
          <w:szCs w:val="22"/>
        </w:rPr>
        <w:t>’</w:t>
      </w:r>
      <w:r w:rsidRPr="00716226">
        <w:rPr>
          <w:rFonts w:ascii="Arial" w:hAnsi="Arial"/>
          <w:sz w:val="22"/>
          <w:szCs w:val="22"/>
        </w:rPr>
        <w:t>inventaire à jour dès qu</w:t>
      </w:r>
      <w:r w:rsidR="003D1909">
        <w:rPr>
          <w:rFonts w:ascii="Arial" w:hAnsi="Arial"/>
          <w:sz w:val="22"/>
          <w:szCs w:val="22"/>
        </w:rPr>
        <w:t>’</w:t>
      </w:r>
      <w:r w:rsidRPr="00716226">
        <w:rPr>
          <w:rFonts w:ascii="Arial" w:hAnsi="Arial"/>
          <w:sz w:val="22"/>
          <w:szCs w:val="22"/>
        </w:rPr>
        <w:t xml:space="preserve">elle reçoit de nouvelles informations sur les éléments qui y sont </w:t>
      </w:r>
      <w:r w:rsidR="004B2554">
        <w:rPr>
          <w:rFonts w:ascii="Arial" w:hAnsi="Arial"/>
          <w:sz w:val="22"/>
          <w:szCs w:val="22"/>
        </w:rPr>
        <w:t>inclus</w:t>
      </w:r>
      <w:r w:rsidRPr="00716226">
        <w:rPr>
          <w:rFonts w:ascii="Arial" w:hAnsi="Arial"/>
          <w:sz w:val="22"/>
          <w:szCs w:val="22"/>
        </w:rPr>
        <w:t>.</w:t>
      </w:r>
    </w:p>
    <w:p w14:paraId="0E5A5092" w14:textId="5450D443" w:rsidR="006D35D9" w:rsidRPr="00716226" w:rsidRDefault="006D35D9" w:rsidP="00193CC4">
      <w:pPr>
        <w:pStyle w:val="ListParagraph"/>
        <w:numPr>
          <w:ilvl w:val="0"/>
          <w:numId w:val="25"/>
        </w:numPr>
        <w:tabs>
          <w:tab w:val="left" w:pos="1276"/>
        </w:tabs>
        <w:spacing w:before="120" w:after="120"/>
        <w:ind w:left="1134" w:hanging="567"/>
        <w:contextualSpacing w:val="0"/>
        <w:jc w:val="both"/>
        <w:rPr>
          <w:rFonts w:ascii="Arial" w:hAnsi="Arial" w:cs="Arial"/>
          <w:sz w:val="22"/>
          <w:szCs w:val="22"/>
        </w:rPr>
      </w:pPr>
      <w:r w:rsidRPr="00716226">
        <w:rPr>
          <w:rFonts w:ascii="Arial" w:hAnsi="Arial"/>
          <w:sz w:val="22"/>
          <w:szCs w:val="22"/>
          <w:u w:val="single"/>
        </w:rPr>
        <w:t>Décide d</w:t>
      </w:r>
      <w:r w:rsidR="003D1909">
        <w:rPr>
          <w:rFonts w:ascii="Arial" w:hAnsi="Arial"/>
          <w:sz w:val="22"/>
          <w:szCs w:val="22"/>
          <w:u w:val="single"/>
        </w:rPr>
        <w:t>’</w:t>
      </w:r>
      <w:r w:rsidRPr="00716226">
        <w:rPr>
          <w:rFonts w:ascii="Arial" w:hAnsi="Arial"/>
          <w:sz w:val="22"/>
          <w:szCs w:val="22"/>
          <w:u w:val="single"/>
        </w:rPr>
        <w:t>inscrire</w:t>
      </w:r>
      <w:r w:rsidRPr="00716226">
        <w:rPr>
          <w:rFonts w:ascii="Arial" w:hAnsi="Arial"/>
          <w:sz w:val="22"/>
          <w:szCs w:val="22"/>
        </w:rPr>
        <w:t xml:space="preserve"> </w:t>
      </w:r>
      <w:r w:rsidRPr="00716226">
        <w:rPr>
          <w:rFonts w:ascii="Arial" w:hAnsi="Arial"/>
          <w:b/>
          <w:bCs/>
          <w:sz w:val="22"/>
          <w:szCs w:val="22"/>
        </w:rPr>
        <w:t xml:space="preserve">les connaissances et les savoir-faire </w:t>
      </w:r>
      <w:r w:rsidR="00E7408A">
        <w:rPr>
          <w:rFonts w:ascii="Arial" w:hAnsi="Arial"/>
          <w:b/>
          <w:bCs/>
          <w:sz w:val="22"/>
          <w:szCs w:val="22"/>
        </w:rPr>
        <w:t xml:space="preserve">musicaux </w:t>
      </w:r>
      <w:r w:rsidR="00EE2781">
        <w:rPr>
          <w:rFonts w:ascii="Arial" w:hAnsi="Arial"/>
          <w:b/>
          <w:bCs/>
          <w:sz w:val="22"/>
          <w:szCs w:val="22"/>
        </w:rPr>
        <w:t xml:space="preserve">ancestraux </w:t>
      </w:r>
      <w:r w:rsidRPr="00716226">
        <w:rPr>
          <w:rFonts w:ascii="Arial" w:hAnsi="Arial"/>
          <w:b/>
          <w:bCs/>
          <w:sz w:val="22"/>
          <w:szCs w:val="22"/>
        </w:rPr>
        <w:t>d</w:t>
      </w:r>
      <w:r w:rsidR="003D1909">
        <w:rPr>
          <w:rFonts w:ascii="Arial" w:hAnsi="Arial"/>
          <w:b/>
          <w:bCs/>
          <w:sz w:val="22"/>
          <w:szCs w:val="22"/>
        </w:rPr>
        <w:t>’</w:t>
      </w:r>
      <w:proofErr w:type="spellStart"/>
      <w:r w:rsidRPr="00716226">
        <w:rPr>
          <w:rFonts w:ascii="Arial" w:hAnsi="Arial"/>
          <w:b/>
          <w:bCs/>
          <w:sz w:val="22"/>
          <w:szCs w:val="22"/>
        </w:rPr>
        <w:t>Aixan</w:t>
      </w:r>
      <w:proofErr w:type="spellEnd"/>
      <w:r w:rsidRPr="00716226">
        <w:rPr>
          <w:rFonts w:ascii="Arial" w:hAnsi="Arial"/>
          <w:b/>
          <w:bCs/>
          <w:sz w:val="22"/>
          <w:szCs w:val="22"/>
        </w:rPr>
        <w:t xml:space="preserve"> /</w:t>
      </w:r>
      <w:proofErr w:type="spellStart"/>
      <w:r w:rsidRPr="00716226">
        <w:rPr>
          <w:rFonts w:ascii="Arial" w:hAnsi="Arial"/>
          <w:b/>
          <w:bCs/>
          <w:sz w:val="22"/>
          <w:szCs w:val="22"/>
        </w:rPr>
        <w:t>gâna</w:t>
      </w:r>
      <w:proofErr w:type="spellEnd"/>
      <w:r w:rsidRPr="00716226">
        <w:rPr>
          <w:rFonts w:ascii="Arial" w:hAnsi="Arial"/>
          <w:b/>
          <w:bCs/>
          <w:sz w:val="22"/>
          <w:szCs w:val="22"/>
        </w:rPr>
        <w:t>/</w:t>
      </w:r>
      <w:proofErr w:type="spellStart"/>
      <w:r w:rsidRPr="00716226">
        <w:rPr>
          <w:rFonts w:ascii="Arial" w:hAnsi="Arial"/>
          <w:b/>
          <w:bCs/>
          <w:sz w:val="22"/>
          <w:szCs w:val="22"/>
        </w:rPr>
        <w:t>ob</w:t>
      </w:r>
      <w:proofErr w:type="spellEnd"/>
      <w:r w:rsidRPr="00716226">
        <w:rPr>
          <w:rFonts w:ascii="Arial" w:hAnsi="Arial"/>
          <w:b/>
          <w:bCs/>
          <w:sz w:val="22"/>
          <w:szCs w:val="22"/>
        </w:rPr>
        <w:t xml:space="preserve"> #ans </w:t>
      </w:r>
      <w:proofErr w:type="spellStart"/>
      <w:r w:rsidRPr="00716226">
        <w:rPr>
          <w:rFonts w:ascii="Arial" w:hAnsi="Arial"/>
          <w:b/>
          <w:bCs/>
          <w:sz w:val="22"/>
          <w:szCs w:val="22"/>
        </w:rPr>
        <w:t>tsî</w:t>
      </w:r>
      <w:proofErr w:type="spellEnd"/>
      <w:r w:rsidRPr="00716226">
        <w:rPr>
          <w:rFonts w:ascii="Arial" w:hAnsi="Arial"/>
          <w:b/>
          <w:bCs/>
          <w:sz w:val="22"/>
          <w:szCs w:val="22"/>
        </w:rPr>
        <w:t xml:space="preserve"> //</w:t>
      </w:r>
      <w:proofErr w:type="spellStart"/>
      <w:r w:rsidRPr="00716226">
        <w:rPr>
          <w:rFonts w:ascii="Arial" w:hAnsi="Arial"/>
          <w:b/>
          <w:bCs/>
          <w:sz w:val="22"/>
          <w:szCs w:val="22"/>
        </w:rPr>
        <w:t>khasigu</w:t>
      </w:r>
      <w:proofErr w:type="spellEnd"/>
      <w:r w:rsidRPr="00716226">
        <w:rPr>
          <w:rFonts w:ascii="Arial" w:hAnsi="Arial"/>
          <w:sz w:val="22"/>
          <w:szCs w:val="22"/>
        </w:rPr>
        <w:t xml:space="preserve"> sur la Liste du patrimoine culturel immatériel nécessitant une sauvegarde urgente ;</w:t>
      </w:r>
    </w:p>
    <w:p w14:paraId="39D1AC4F" w14:textId="13411B4F" w:rsidR="006D35D9" w:rsidRPr="00700FB1" w:rsidRDefault="006D35D9" w:rsidP="00193CC4">
      <w:pPr>
        <w:pStyle w:val="ListParagraph"/>
        <w:numPr>
          <w:ilvl w:val="0"/>
          <w:numId w:val="25"/>
        </w:numPr>
        <w:tabs>
          <w:tab w:val="left" w:pos="1276"/>
        </w:tabs>
        <w:spacing w:before="120" w:after="120"/>
        <w:ind w:left="1134" w:hanging="567"/>
        <w:contextualSpacing w:val="0"/>
        <w:jc w:val="both"/>
        <w:rPr>
          <w:sz w:val="22"/>
          <w:szCs w:val="22"/>
        </w:rPr>
      </w:pPr>
      <w:r w:rsidRPr="00716226">
        <w:rPr>
          <w:rFonts w:ascii="Arial" w:hAnsi="Arial"/>
          <w:sz w:val="22"/>
          <w:szCs w:val="22"/>
          <w:u w:val="single"/>
        </w:rPr>
        <w:t>Encourage</w:t>
      </w:r>
      <w:r w:rsidRPr="00716226">
        <w:rPr>
          <w:sz w:val="22"/>
          <w:szCs w:val="22"/>
        </w:rPr>
        <w:t xml:space="preserve"> </w:t>
      </w:r>
      <w:r w:rsidRPr="00716226">
        <w:rPr>
          <w:rFonts w:ascii="Arial" w:hAnsi="Arial"/>
          <w:sz w:val="22"/>
          <w:szCs w:val="22"/>
        </w:rPr>
        <w:t>l</w:t>
      </w:r>
      <w:r w:rsidR="003D1909">
        <w:rPr>
          <w:rFonts w:ascii="Arial" w:hAnsi="Arial"/>
          <w:sz w:val="22"/>
          <w:szCs w:val="22"/>
        </w:rPr>
        <w:t>’</w:t>
      </w:r>
      <w:r w:rsidRPr="00716226">
        <w:rPr>
          <w:rFonts w:ascii="Arial" w:hAnsi="Arial"/>
          <w:sz w:val="22"/>
          <w:szCs w:val="22"/>
        </w:rPr>
        <w:t>État partie à éviter</w:t>
      </w:r>
      <w:r w:rsidR="00511682">
        <w:rPr>
          <w:rFonts w:ascii="Arial" w:hAnsi="Arial"/>
          <w:sz w:val="22"/>
          <w:szCs w:val="22"/>
        </w:rPr>
        <w:t xml:space="preserve">, </w:t>
      </w:r>
      <w:r w:rsidR="00511682" w:rsidRPr="00700FB1">
        <w:rPr>
          <w:rFonts w:ascii="Arial" w:hAnsi="Arial"/>
          <w:sz w:val="22"/>
          <w:szCs w:val="22"/>
        </w:rPr>
        <w:t>dans ses prochains dossiers de candidature,</w:t>
      </w:r>
      <w:r w:rsidRPr="00700FB1">
        <w:rPr>
          <w:rFonts w:ascii="Arial" w:hAnsi="Arial"/>
          <w:sz w:val="22"/>
          <w:szCs w:val="22"/>
        </w:rPr>
        <w:t xml:space="preserve"> les lettres de consentement standardisées</w:t>
      </w:r>
      <w:r w:rsidR="004F1993" w:rsidRPr="00700FB1">
        <w:t> </w:t>
      </w:r>
      <w:r w:rsidRPr="00700FB1">
        <w:t>;</w:t>
      </w:r>
    </w:p>
    <w:p w14:paraId="3BCC202D" w14:textId="0D0BD76E" w:rsidR="006D35D9" w:rsidRPr="00700FB1" w:rsidRDefault="006D35D9" w:rsidP="00193CC4">
      <w:pPr>
        <w:pStyle w:val="ListParagraph"/>
        <w:numPr>
          <w:ilvl w:val="0"/>
          <w:numId w:val="25"/>
        </w:numPr>
        <w:tabs>
          <w:tab w:val="left" w:pos="1276"/>
        </w:tabs>
        <w:spacing w:before="120" w:after="120"/>
        <w:ind w:left="1134" w:hanging="567"/>
        <w:contextualSpacing w:val="0"/>
        <w:jc w:val="both"/>
        <w:rPr>
          <w:rFonts w:ascii="Arial" w:eastAsia="Arial" w:hAnsi="Arial" w:cs="Arial"/>
          <w:sz w:val="22"/>
          <w:szCs w:val="22"/>
        </w:rPr>
      </w:pPr>
      <w:r w:rsidRPr="00700FB1">
        <w:rPr>
          <w:rFonts w:ascii="Arial" w:hAnsi="Arial"/>
          <w:sz w:val="22"/>
          <w:szCs w:val="22"/>
          <w:u w:val="single"/>
        </w:rPr>
        <w:t>Rappelle</w:t>
      </w:r>
      <w:r w:rsidRPr="00700FB1">
        <w:rPr>
          <w:rFonts w:ascii="Arial" w:hAnsi="Arial"/>
          <w:sz w:val="22"/>
          <w:szCs w:val="22"/>
        </w:rPr>
        <w:t xml:space="preserve"> à l</w:t>
      </w:r>
      <w:r w:rsidR="003D1909" w:rsidRPr="00700FB1">
        <w:rPr>
          <w:rFonts w:ascii="Arial" w:hAnsi="Arial"/>
          <w:sz w:val="22"/>
          <w:szCs w:val="22"/>
        </w:rPr>
        <w:t>’</w:t>
      </w:r>
      <w:r w:rsidRPr="00700FB1">
        <w:rPr>
          <w:rFonts w:ascii="Arial" w:hAnsi="Arial"/>
          <w:sz w:val="22"/>
          <w:szCs w:val="22"/>
        </w:rPr>
        <w:t>État partie que la mise à jour est un aspect important du processus d</w:t>
      </w:r>
      <w:r w:rsidR="003D1909" w:rsidRPr="00700FB1">
        <w:rPr>
          <w:rFonts w:ascii="Arial" w:hAnsi="Arial"/>
          <w:sz w:val="22"/>
          <w:szCs w:val="22"/>
        </w:rPr>
        <w:t>’</w:t>
      </w:r>
      <w:r w:rsidRPr="00700FB1">
        <w:rPr>
          <w:rFonts w:ascii="Arial" w:hAnsi="Arial"/>
          <w:sz w:val="22"/>
          <w:szCs w:val="22"/>
        </w:rPr>
        <w:t>élaboration des inventaires et l</w:t>
      </w:r>
      <w:r w:rsidR="003D1909" w:rsidRPr="00700FB1">
        <w:rPr>
          <w:rFonts w:ascii="Arial" w:hAnsi="Arial"/>
          <w:sz w:val="22"/>
          <w:szCs w:val="22"/>
        </w:rPr>
        <w:t>’</w:t>
      </w:r>
      <w:r w:rsidRPr="00700FB1">
        <w:rPr>
          <w:rFonts w:ascii="Arial" w:hAnsi="Arial"/>
          <w:sz w:val="22"/>
          <w:szCs w:val="22"/>
          <w:u w:val="single"/>
        </w:rPr>
        <w:t>invite</w:t>
      </w:r>
      <w:r w:rsidRPr="00700FB1">
        <w:rPr>
          <w:rFonts w:ascii="Arial" w:hAnsi="Arial"/>
          <w:sz w:val="22"/>
          <w:szCs w:val="22"/>
        </w:rPr>
        <w:t xml:space="preserve"> à inclure, dans son prochain rapport périodique sur la mise en œuvre de la Convention au niveau national, des informations détaillées sur la périodicité de la mise à jour de l</w:t>
      </w:r>
      <w:r w:rsidR="003D1909" w:rsidRPr="00700FB1">
        <w:rPr>
          <w:rFonts w:ascii="Arial" w:hAnsi="Arial"/>
          <w:sz w:val="22"/>
          <w:szCs w:val="22"/>
        </w:rPr>
        <w:t>’</w:t>
      </w:r>
      <w:r w:rsidRPr="00700FB1">
        <w:rPr>
          <w:rFonts w:ascii="Arial" w:hAnsi="Arial"/>
          <w:sz w:val="22"/>
          <w:szCs w:val="22"/>
        </w:rPr>
        <w:t>Inventaire indicatif national du PCI de Namibie, conformément à l</w:t>
      </w:r>
      <w:r w:rsidR="003D1909" w:rsidRPr="00700FB1">
        <w:rPr>
          <w:rFonts w:ascii="Arial" w:hAnsi="Arial"/>
          <w:sz w:val="22"/>
          <w:szCs w:val="22"/>
        </w:rPr>
        <w:t>’</w:t>
      </w:r>
      <w:r w:rsidRPr="00700FB1">
        <w:rPr>
          <w:rFonts w:ascii="Arial" w:hAnsi="Arial"/>
          <w:sz w:val="22"/>
          <w:szCs w:val="22"/>
        </w:rPr>
        <w:t>article 12.1 de la Convention ;</w:t>
      </w:r>
    </w:p>
    <w:p w14:paraId="20FB3125" w14:textId="16259DB7" w:rsidR="006D35D9" w:rsidRPr="00716226" w:rsidRDefault="006D35D9" w:rsidP="00193CC4">
      <w:pPr>
        <w:pStyle w:val="ListParagraph"/>
        <w:numPr>
          <w:ilvl w:val="0"/>
          <w:numId w:val="20"/>
        </w:numPr>
        <w:tabs>
          <w:tab w:val="left" w:pos="1276"/>
        </w:tabs>
        <w:spacing w:before="120" w:after="120"/>
        <w:ind w:left="1134" w:hanging="567"/>
        <w:contextualSpacing w:val="0"/>
        <w:jc w:val="both"/>
        <w:rPr>
          <w:rFonts w:ascii="Arial" w:hAnsi="Arial" w:cs="Arial"/>
          <w:sz w:val="22"/>
          <w:szCs w:val="22"/>
        </w:rPr>
      </w:pPr>
      <w:r w:rsidRPr="00716226">
        <w:rPr>
          <w:rFonts w:ascii="Arial" w:hAnsi="Arial"/>
          <w:sz w:val="22"/>
          <w:szCs w:val="22"/>
          <w:u w:val="single"/>
        </w:rPr>
        <w:t>Prend note</w:t>
      </w:r>
      <w:r w:rsidR="00CB0FEE">
        <w:rPr>
          <w:rFonts w:ascii="Arial" w:hAnsi="Arial"/>
          <w:sz w:val="22"/>
          <w:szCs w:val="22"/>
          <w:u w:val="single"/>
        </w:rPr>
        <w:t xml:space="preserve"> en outre</w:t>
      </w:r>
      <w:r w:rsidRPr="00716226">
        <w:rPr>
          <w:rFonts w:ascii="Arial" w:hAnsi="Arial"/>
          <w:sz w:val="22"/>
          <w:szCs w:val="22"/>
        </w:rPr>
        <w:t xml:space="preserve"> que la Namibie a demandé une assistance internationale du Fonds du patrimoine culturel immatériel, d</w:t>
      </w:r>
      <w:r w:rsidR="003D1909">
        <w:rPr>
          <w:rFonts w:ascii="Arial" w:hAnsi="Arial"/>
          <w:sz w:val="22"/>
          <w:szCs w:val="22"/>
        </w:rPr>
        <w:t>’</w:t>
      </w:r>
      <w:r w:rsidRPr="00716226">
        <w:rPr>
          <w:rFonts w:ascii="Arial" w:hAnsi="Arial"/>
          <w:sz w:val="22"/>
          <w:szCs w:val="22"/>
        </w:rPr>
        <w:t xml:space="preserve">un montant de 99 329 dollars des États-Unis, pour mettre en œuvre le plan de sauvegarde des connaissances et des savoir-faire </w:t>
      </w:r>
      <w:r w:rsidR="00E7408A">
        <w:rPr>
          <w:rFonts w:ascii="Arial" w:hAnsi="Arial"/>
          <w:sz w:val="22"/>
          <w:szCs w:val="22"/>
        </w:rPr>
        <w:t xml:space="preserve">musicaux </w:t>
      </w:r>
      <w:r w:rsidR="00EE2781">
        <w:rPr>
          <w:rFonts w:ascii="Arial" w:hAnsi="Arial"/>
          <w:sz w:val="22"/>
          <w:szCs w:val="22"/>
        </w:rPr>
        <w:t xml:space="preserve">ancestraux </w:t>
      </w:r>
      <w:r w:rsidRPr="00716226">
        <w:rPr>
          <w:rFonts w:ascii="Arial" w:hAnsi="Arial"/>
          <w:sz w:val="22"/>
          <w:szCs w:val="22"/>
        </w:rPr>
        <w:t>d</w:t>
      </w:r>
      <w:r w:rsidR="003D1909">
        <w:rPr>
          <w:rFonts w:ascii="Arial" w:hAnsi="Arial"/>
          <w:sz w:val="22"/>
          <w:szCs w:val="22"/>
        </w:rPr>
        <w:t>’</w:t>
      </w:r>
      <w:proofErr w:type="spellStart"/>
      <w:r w:rsidRPr="00716226">
        <w:rPr>
          <w:rFonts w:ascii="Arial" w:hAnsi="Arial"/>
          <w:sz w:val="22"/>
          <w:szCs w:val="22"/>
        </w:rPr>
        <w:t>Aixan</w:t>
      </w:r>
      <w:proofErr w:type="spellEnd"/>
      <w:r w:rsidRPr="00716226">
        <w:rPr>
          <w:rFonts w:ascii="Arial" w:hAnsi="Arial"/>
          <w:sz w:val="22"/>
          <w:szCs w:val="22"/>
        </w:rPr>
        <w:t xml:space="preserve"> /</w:t>
      </w:r>
      <w:proofErr w:type="spellStart"/>
      <w:r w:rsidRPr="00716226">
        <w:rPr>
          <w:rFonts w:ascii="Arial" w:hAnsi="Arial"/>
          <w:sz w:val="22"/>
          <w:szCs w:val="22"/>
        </w:rPr>
        <w:t>gâna</w:t>
      </w:r>
      <w:proofErr w:type="spellEnd"/>
      <w:r w:rsidRPr="00716226">
        <w:rPr>
          <w:rFonts w:ascii="Arial" w:hAnsi="Arial"/>
          <w:sz w:val="22"/>
          <w:szCs w:val="22"/>
        </w:rPr>
        <w:t>/</w:t>
      </w:r>
      <w:proofErr w:type="spellStart"/>
      <w:r w:rsidRPr="00716226">
        <w:rPr>
          <w:rFonts w:ascii="Arial" w:hAnsi="Arial"/>
          <w:sz w:val="22"/>
          <w:szCs w:val="22"/>
        </w:rPr>
        <w:t>ob</w:t>
      </w:r>
      <w:proofErr w:type="spellEnd"/>
      <w:r w:rsidRPr="00716226">
        <w:rPr>
          <w:rFonts w:ascii="Arial" w:hAnsi="Arial"/>
          <w:sz w:val="22"/>
          <w:szCs w:val="22"/>
        </w:rPr>
        <w:t xml:space="preserve"> #ans </w:t>
      </w:r>
      <w:proofErr w:type="spellStart"/>
      <w:r w:rsidRPr="00716226">
        <w:rPr>
          <w:rFonts w:ascii="Arial" w:hAnsi="Arial"/>
          <w:sz w:val="22"/>
          <w:szCs w:val="22"/>
        </w:rPr>
        <w:t>tsî</w:t>
      </w:r>
      <w:proofErr w:type="spellEnd"/>
      <w:r w:rsidRPr="00716226">
        <w:rPr>
          <w:rFonts w:ascii="Arial" w:hAnsi="Arial"/>
          <w:sz w:val="22"/>
          <w:szCs w:val="22"/>
        </w:rPr>
        <w:t xml:space="preserve"> //</w:t>
      </w:r>
      <w:proofErr w:type="spellStart"/>
      <w:r w:rsidRPr="00716226">
        <w:rPr>
          <w:rFonts w:ascii="Arial" w:hAnsi="Arial"/>
          <w:sz w:val="22"/>
          <w:szCs w:val="22"/>
        </w:rPr>
        <w:t>khasigu</w:t>
      </w:r>
      <w:proofErr w:type="spellEnd"/>
      <w:r w:rsidRPr="00716226">
        <w:rPr>
          <w:rFonts w:ascii="Arial" w:hAnsi="Arial"/>
          <w:sz w:val="22"/>
          <w:szCs w:val="22"/>
        </w:rPr>
        <w:t xml:space="preserve"> (n°01639) :</w:t>
      </w:r>
    </w:p>
    <w:p w14:paraId="5F992744" w14:textId="4B26402F" w:rsidR="006D35D9" w:rsidRPr="00716226" w:rsidRDefault="006D35D9" w:rsidP="00193CC4">
      <w:pPr>
        <w:pStyle w:val="ListParagraph"/>
        <w:spacing w:before="120" w:after="120"/>
        <w:ind w:left="1134"/>
        <w:contextualSpacing w:val="0"/>
        <w:jc w:val="both"/>
        <w:rPr>
          <w:rFonts w:ascii="Arial" w:hAnsi="Arial" w:cs="Arial"/>
          <w:sz w:val="22"/>
          <w:szCs w:val="22"/>
        </w:rPr>
      </w:pPr>
      <w:r w:rsidRPr="00716226">
        <w:rPr>
          <w:rFonts w:ascii="Arial" w:hAnsi="Arial"/>
          <w:sz w:val="22"/>
          <w:szCs w:val="22"/>
        </w:rPr>
        <w:t>Mis en œuvre par la Commission nationale de Namibie pour l</w:t>
      </w:r>
      <w:r w:rsidR="003D1909">
        <w:rPr>
          <w:rFonts w:ascii="Arial" w:hAnsi="Arial"/>
          <w:sz w:val="22"/>
          <w:szCs w:val="22"/>
        </w:rPr>
        <w:t>’</w:t>
      </w:r>
      <w:r w:rsidRPr="00716226">
        <w:rPr>
          <w:rFonts w:ascii="Arial" w:hAnsi="Arial"/>
          <w:sz w:val="22"/>
          <w:szCs w:val="22"/>
        </w:rPr>
        <w:t>UNESCO, ce projet s</w:t>
      </w:r>
      <w:r w:rsidR="003D1909">
        <w:rPr>
          <w:rFonts w:ascii="Arial" w:hAnsi="Arial"/>
          <w:sz w:val="22"/>
          <w:szCs w:val="22"/>
        </w:rPr>
        <w:t>’</w:t>
      </w:r>
      <w:r w:rsidRPr="00716226">
        <w:rPr>
          <w:rFonts w:ascii="Arial" w:hAnsi="Arial"/>
          <w:sz w:val="22"/>
          <w:szCs w:val="22"/>
        </w:rPr>
        <w:t xml:space="preserve">étendant sur 36 mois vise à sauvegarder </w:t>
      </w:r>
      <w:r w:rsidR="004B2554">
        <w:rPr>
          <w:rFonts w:ascii="Arial" w:hAnsi="Arial"/>
          <w:sz w:val="22"/>
          <w:szCs w:val="22"/>
        </w:rPr>
        <w:t>l’</w:t>
      </w:r>
      <w:proofErr w:type="spellStart"/>
      <w:r w:rsidRPr="00716226">
        <w:rPr>
          <w:rFonts w:ascii="Arial" w:hAnsi="Arial"/>
          <w:sz w:val="22"/>
          <w:szCs w:val="22"/>
        </w:rPr>
        <w:t>Aixan</w:t>
      </w:r>
      <w:proofErr w:type="spellEnd"/>
      <w:r w:rsidRPr="00716226">
        <w:rPr>
          <w:rFonts w:ascii="Arial" w:hAnsi="Arial"/>
          <w:sz w:val="22"/>
          <w:szCs w:val="22"/>
        </w:rPr>
        <w:t xml:space="preserve"> /</w:t>
      </w:r>
      <w:proofErr w:type="spellStart"/>
      <w:r w:rsidRPr="00716226">
        <w:rPr>
          <w:rFonts w:ascii="Arial" w:hAnsi="Arial"/>
          <w:sz w:val="22"/>
          <w:szCs w:val="22"/>
        </w:rPr>
        <w:t>gâna</w:t>
      </w:r>
      <w:proofErr w:type="spellEnd"/>
      <w:r w:rsidRPr="00716226">
        <w:rPr>
          <w:rFonts w:ascii="Arial" w:hAnsi="Arial"/>
          <w:sz w:val="22"/>
          <w:szCs w:val="22"/>
        </w:rPr>
        <w:t>/</w:t>
      </w:r>
      <w:proofErr w:type="spellStart"/>
      <w:r w:rsidRPr="00716226">
        <w:rPr>
          <w:rFonts w:ascii="Arial" w:hAnsi="Arial"/>
          <w:sz w:val="22"/>
          <w:szCs w:val="22"/>
        </w:rPr>
        <w:t>ob</w:t>
      </w:r>
      <w:proofErr w:type="spellEnd"/>
      <w:r w:rsidRPr="00716226">
        <w:rPr>
          <w:rFonts w:ascii="Arial" w:hAnsi="Arial"/>
          <w:sz w:val="22"/>
          <w:szCs w:val="22"/>
        </w:rPr>
        <w:t xml:space="preserve"> #ans </w:t>
      </w:r>
      <w:proofErr w:type="spellStart"/>
      <w:r w:rsidRPr="00716226">
        <w:rPr>
          <w:rFonts w:ascii="Arial" w:hAnsi="Arial"/>
          <w:sz w:val="22"/>
          <w:szCs w:val="22"/>
        </w:rPr>
        <w:t>tsî</w:t>
      </w:r>
      <w:proofErr w:type="spellEnd"/>
      <w:r w:rsidRPr="00716226">
        <w:rPr>
          <w:rFonts w:ascii="Arial" w:hAnsi="Arial"/>
          <w:sz w:val="22"/>
          <w:szCs w:val="22"/>
        </w:rPr>
        <w:t xml:space="preserve"> //</w:t>
      </w:r>
      <w:proofErr w:type="spellStart"/>
      <w:r w:rsidRPr="00716226">
        <w:rPr>
          <w:rFonts w:ascii="Arial" w:hAnsi="Arial"/>
          <w:sz w:val="22"/>
          <w:szCs w:val="22"/>
        </w:rPr>
        <w:t>khasigu</w:t>
      </w:r>
      <w:proofErr w:type="spellEnd"/>
      <w:r w:rsidRPr="00716226">
        <w:rPr>
          <w:rFonts w:ascii="Arial" w:hAnsi="Arial"/>
          <w:sz w:val="22"/>
          <w:szCs w:val="22"/>
        </w:rPr>
        <w:t>, car la tradition liée à cette pratique musicale est actuellement confrontée à de nombreuses menaces. Plus précisément, les objectifs du projet sont les suivants : améliorer la visibilité de l</w:t>
      </w:r>
      <w:r w:rsidR="003D1909">
        <w:rPr>
          <w:rFonts w:ascii="Arial" w:hAnsi="Arial"/>
          <w:sz w:val="22"/>
          <w:szCs w:val="22"/>
        </w:rPr>
        <w:t>’</w:t>
      </w:r>
      <w:r w:rsidRPr="00716226">
        <w:rPr>
          <w:rFonts w:ascii="Arial" w:hAnsi="Arial"/>
          <w:sz w:val="22"/>
          <w:szCs w:val="22"/>
        </w:rPr>
        <w:t>élément et du patrimoine vivant en général ; mettre en valeur, préserver et promouvoir l</w:t>
      </w:r>
      <w:r w:rsidR="003D1909">
        <w:rPr>
          <w:rFonts w:ascii="Arial" w:hAnsi="Arial"/>
          <w:sz w:val="22"/>
          <w:szCs w:val="22"/>
        </w:rPr>
        <w:t>’</w:t>
      </w:r>
      <w:r w:rsidRPr="00716226">
        <w:rPr>
          <w:rFonts w:ascii="Arial" w:hAnsi="Arial"/>
          <w:sz w:val="22"/>
          <w:szCs w:val="22"/>
        </w:rPr>
        <w:t>élément auprès des jeunes, des membres des communautés concernées et de toute la population namibienne ; accroître la transmission des savoir-faire nécessaires parmi les jeunes en mettant en place un programme de formation non formelle dans cinq localités ciblées </w:t>
      </w:r>
      <w:r w:rsidR="00143A9E">
        <w:rPr>
          <w:rFonts w:ascii="Arial" w:hAnsi="Arial"/>
          <w:sz w:val="22"/>
          <w:szCs w:val="22"/>
        </w:rPr>
        <w:t>au niveau des communautés</w:t>
      </w:r>
      <w:r w:rsidRPr="00716226">
        <w:rPr>
          <w:rFonts w:ascii="Arial" w:hAnsi="Arial"/>
          <w:sz w:val="22"/>
          <w:szCs w:val="22"/>
        </w:rPr>
        <w:t>; soutenir l</w:t>
      </w:r>
      <w:r w:rsidR="003D1909">
        <w:rPr>
          <w:rFonts w:ascii="Arial" w:hAnsi="Arial"/>
          <w:sz w:val="22"/>
          <w:szCs w:val="22"/>
        </w:rPr>
        <w:t>’</w:t>
      </w:r>
      <w:r w:rsidRPr="00716226">
        <w:rPr>
          <w:rFonts w:ascii="Arial" w:hAnsi="Arial"/>
          <w:sz w:val="22"/>
          <w:szCs w:val="22"/>
        </w:rPr>
        <w:t>artisanat traditionnel en fabriquant les instruments de musique ; accroître les capacités nationales en matière d</w:t>
      </w:r>
      <w:r w:rsidR="003D1909">
        <w:rPr>
          <w:rFonts w:ascii="Arial" w:hAnsi="Arial"/>
          <w:sz w:val="22"/>
          <w:szCs w:val="22"/>
        </w:rPr>
        <w:t>’</w:t>
      </w:r>
      <w:r w:rsidRPr="00716226">
        <w:rPr>
          <w:rFonts w:ascii="Arial" w:hAnsi="Arial"/>
          <w:sz w:val="22"/>
          <w:szCs w:val="22"/>
        </w:rPr>
        <w:t>élaboration des inventaires et de documentation à l</w:t>
      </w:r>
      <w:r w:rsidR="003D1909">
        <w:rPr>
          <w:rFonts w:ascii="Arial" w:hAnsi="Arial"/>
          <w:sz w:val="22"/>
          <w:szCs w:val="22"/>
        </w:rPr>
        <w:t>’</w:t>
      </w:r>
      <w:r w:rsidRPr="00716226">
        <w:rPr>
          <w:rFonts w:ascii="Arial" w:hAnsi="Arial"/>
          <w:sz w:val="22"/>
          <w:szCs w:val="22"/>
        </w:rPr>
        <w:t>échelle nationale et dans les communautés concernées ; et renforcer la coopération sous-régionale entre les pays d</w:t>
      </w:r>
      <w:r w:rsidR="003D1909">
        <w:rPr>
          <w:rFonts w:ascii="Arial" w:hAnsi="Arial"/>
          <w:sz w:val="22"/>
          <w:szCs w:val="22"/>
        </w:rPr>
        <w:t>’</w:t>
      </w:r>
      <w:r w:rsidRPr="00716226">
        <w:rPr>
          <w:rFonts w:ascii="Arial" w:hAnsi="Arial"/>
          <w:sz w:val="22"/>
          <w:szCs w:val="22"/>
        </w:rPr>
        <w:t>Afrique australe dans le domaine de la sauvegarde du patrimoine culturel immatériel. Entre autres activités, le projet prévoit la réalisation d</w:t>
      </w:r>
      <w:r w:rsidR="003D1909">
        <w:rPr>
          <w:rFonts w:ascii="Arial" w:hAnsi="Arial"/>
          <w:sz w:val="22"/>
          <w:szCs w:val="22"/>
        </w:rPr>
        <w:t>’</w:t>
      </w:r>
      <w:r w:rsidRPr="00716226">
        <w:rPr>
          <w:rFonts w:ascii="Arial" w:hAnsi="Arial"/>
          <w:sz w:val="22"/>
          <w:szCs w:val="22"/>
        </w:rPr>
        <w:t>une émission de radio et l</w:t>
      </w:r>
      <w:r w:rsidR="003D1909">
        <w:rPr>
          <w:rFonts w:ascii="Arial" w:hAnsi="Arial"/>
          <w:sz w:val="22"/>
          <w:szCs w:val="22"/>
        </w:rPr>
        <w:t>’</w:t>
      </w:r>
      <w:r w:rsidRPr="00716226">
        <w:rPr>
          <w:rFonts w:ascii="Arial" w:hAnsi="Arial"/>
          <w:sz w:val="22"/>
          <w:szCs w:val="22"/>
        </w:rPr>
        <w:t>organisation de salons et d</w:t>
      </w:r>
      <w:r w:rsidR="003D1909">
        <w:rPr>
          <w:rFonts w:ascii="Arial" w:hAnsi="Arial"/>
          <w:sz w:val="22"/>
          <w:szCs w:val="22"/>
        </w:rPr>
        <w:t>’</w:t>
      </w:r>
      <w:r w:rsidRPr="00716226">
        <w:rPr>
          <w:rFonts w:ascii="Arial" w:hAnsi="Arial"/>
          <w:sz w:val="22"/>
          <w:szCs w:val="22"/>
        </w:rPr>
        <w:t>expositions afin de sensibiliser le public, l</w:t>
      </w:r>
      <w:r w:rsidR="003D1909">
        <w:rPr>
          <w:rFonts w:ascii="Arial" w:hAnsi="Arial"/>
          <w:sz w:val="22"/>
          <w:szCs w:val="22"/>
        </w:rPr>
        <w:t>’</w:t>
      </w:r>
      <w:r w:rsidRPr="00716226">
        <w:rPr>
          <w:rFonts w:ascii="Arial" w:hAnsi="Arial"/>
          <w:sz w:val="22"/>
          <w:szCs w:val="22"/>
        </w:rPr>
        <w:t>organisation d</w:t>
      </w:r>
      <w:r w:rsidR="003D1909">
        <w:rPr>
          <w:rFonts w:ascii="Arial" w:hAnsi="Arial"/>
          <w:sz w:val="22"/>
          <w:szCs w:val="22"/>
        </w:rPr>
        <w:t>’</w:t>
      </w:r>
      <w:r w:rsidRPr="00716226">
        <w:rPr>
          <w:rFonts w:ascii="Arial" w:hAnsi="Arial"/>
          <w:sz w:val="22"/>
          <w:szCs w:val="22"/>
        </w:rPr>
        <w:t>un séminaire de quatre jours pour former des détenteurs et des responsables au travail d</w:t>
      </w:r>
      <w:r w:rsidR="003D1909">
        <w:rPr>
          <w:rFonts w:ascii="Arial" w:hAnsi="Arial"/>
          <w:sz w:val="22"/>
          <w:szCs w:val="22"/>
        </w:rPr>
        <w:t>’</w:t>
      </w:r>
      <w:r w:rsidRPr="00716226">
        <w:rPr>
          <w:rFonts w:ascii="Arial" w:hAnsi="Arial"/>
          <w:sz w:val="22"/>
          <w:szCs w:val="22"/>
        </w:rPr>
        <w:t xml:space="preserve">inventaire, de documentation et de sauvegarde et </w:t>
      </w:r>
      <w:r w:rsidR="009B6CEB">
        <w:rPr>
          <w:rFonts w:ascii="Arial" w:hAnsi="Arial"/>
          <w:sz w:val="22"/>
          <w:szCs w:val="22"/>
        </w:rPr>
        <w:t>l’identification</w:t>
      </w:r>
      <w:r w:rsidRPr="00716226">
        <w:rPr>
          <w:rFonts w:ascii="Arial" w:hAnsi="Arial"/>
          <w:sz w:val="22"/>
          <w:szCs w:val="22"/>
        </w:rPr>
        <w:t xml:space="preserve"> d</w:t>
      </w:r>
      <w:r w:rsidR="003D1909">
        <w:rPr>
          <w:rFonts w:ascii="Arial" w:hAnsi="Arial"/>
          <w:sz w:val="22"/>
          <w:szCs w:val="22"/>
        </w:rPr>
        <w:t>’</w:t>
      </w:r>
      <w:r w:rsidRPr="00716226">
        <w:rPr>
          <w:rFonts w:ascii="Arial" w:hAnsi="Arial"/>
          <w:sz w:val="22"/>
          <w:szCs w:val="22"/>
        </w:rPr>
        <w:t>artisans qui apprendront aux jeunes à fabriquer des instruments traditionnels. Ce projet devrait favoriser la création de groupes musicaux et de festivals régionaux dans lesquels ils pourront se produire, inciter les établissements locaux d</w:t>
      </w:r>
      <w:r w:rsidR="003D1909">
        <w:rPr>
          <w:rFonts w:ascii="Arial" w:hAnsi="Arial"/>
          <w:sz w:val="22"/>
          <w:szCs w:val="22"/>
        </w:rPr>
        <w:t>’</w:t>
      </w:r>
      <w:r w:rsidRPr="00716226">
        <w:rPr>
          <w:rFonts w:ascii="Arial" w:hAnsi="Arial"/>
          <w:sz w:val="22"/>
          <w:szCs w:val="22"/>
        </w:rPr>
        <w:t>enseignement supérieur à créer des départements de recherche axés sur le patrimoine vivant, et encourager les acteurs locaux à soutenir davantage les initiatives de ce type.</w:t>
      </w:r>
    </w:p>
    <w:p w14:paraId="118438D8" w14:textId="6756EA25" w:rsidR="006D35D9" w:rsidRPr="00716226" w:rsidRDefault="006D35D9" w:rsidP="00193CC4">
      <w:pPr>
        <w:pStyle w:val="ListParagraph"/>
        <w:numPr>
          <w:ilvl w:val="0"/>
          <w:numId w:val="20"/>
        </w:numPr>
        <w:spacing w:before="120" w:after="120"/>
        <w:ind w:left="1134" w:hanging="567"/>
        <w:contextualSpacing w:val="0"/>
        <w:jc w:val="both"/>
        <w:rPr>
          <w:rFonts w:ascii="Arial" w:hAnsi="Arial" w:cs="Arial"/>
          <w:sz w:val="22"/>
          <w:szCs w:val="22"/>
        </w:rPr>
      </w:pPr>
      <w:r w:rsidRPr="00716226">
        <w:rPr>
          <w:rFonts w:ascii="Arial" w:hAnsi="Arial"/>
          <w:sz w:val="22"/>
          <w:szCs w:val="22"/>
          <w:u w:val="single"/>
        </w:rPr>
        <w:t>Estime en outre</w:t>
      </w:r>
      <w:r w:rsidRPr="00716226">
        <w:rPr>
          <w:rFonts w:ascii="Arial" w:hAnsi="Arial"/>
          <w:sz w:val="22"/>
          <w:szCs w:val="22"/>
        </w:rPr>
        <w:t xml:space="preserve"> que, d</w:t>
      </w:r>
      <w:r w:rsidR="003D1909">
        <w:rPr>
          <w:rFonts w:ascii="Arial" w:hAnsi="Arial"/>
          <w:sz w:val="22"/>
          <w:szCs w:val="22"/>
        </w:rPr>
        <w:t>’</w:t>
      </w:r>
      <w:r w:rsidRPr="00716226">
        <w:rPr>
          <w:rFonts w:ascii="Arial" w:hAnsi="Arial"/>
          <w:sz w:val="22"/>
          <w:szCs w:val="22"/>
        </w:rPr>
        <w:t>après les informations contenues dans le dossier, la demande satisfait aux critères d</w:t>
      </w:r>
      <w:r w:rsidR="003D1909">
        <w:rPr>
          <w:rFonts w:ascii="Arial" w:hAnsi="Arial"/>
          <w:sz w:val="22"/>
          <w:szCs w:val="22"/>
        </w:rPr>
        <w:t>’</w:t>
      </w:r>
      <w:r w:rsidRPr="00716226">
        <w:rPr>
          <w:rFonts w:ascii="Arial" w:hAnsi="Arial"/>
          <w:sz w:val="22"/>
          <w:szCs w:val="22"/>
        </w:rPr>
        <w:t>octroi de l</w:t>
      </w:r>
      <w:r w:rsidR="003D1909">
        <w:rPr>
          <w:rFonts w:ascii="Arial" w:hAnsi="Arial"/>
          <w:sz w:val="22"/>
          <w:szCs w:val="22"/>
        </w:rPr>
        <w:t>’</w:t>
      </w:r>
      <w:r w:rsidRPr="00716226">
        <w:rPr>
          <w:rFonts w:ascii="Arial" w:hAnsi="Arial"/>
          <w:sz w:val="22"/>
          <w:szCs w:val="22"/>
        </w:rPr>
        <w:t>assistance internationale énoncés aux paragraphes 10 et 12 des Directives opérationnelles comme suit :</w:t>
      </w:r>
    </w:p>
    <w:p w14:paraId="1885617B" w14:textId="3C201FD1" w:rsidR="006D35D9" w:rsidRPr="00716226" w:rsidRDefault="009B6CEB" w:rsidP="00700FB1">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A.1</w:t>
      </w:r>
      <w:r w:rsidR="006D35D9" w:rsidRPr="00702EFA">
        <w:rPr>
          <w:rFonts w:ascii="Arial" w:hAnsi="Arial"/>
          <w:sz w:val="22"/>
          <w:szCs w:val="22"/>
        </w:rPr>
        <w:t> :</w:t>
      </w:r>
      <w:r w:rsidRPr="00702EFA">
        <w:rPr>
          <w:rFonts w:ascii="Arial" w:hAnsi="Arial"/>
          <w:sz w:val="22"/>
          <w:szCs w:val="22"/>
        </w:rPr>
        <w:t xml:space="preserve"> </w:t>
      </w:r>
      <w:r w:rsidR="006D35D9" w:rsidRPr="00702EFA">
        <w:rPr>
          <w:rFonts w:ascii="Arial" w:hAnsi="Arial"/>
          <w:sz w:val="22"/>
          <w:szCs w:val="22"/>
        </w:rPr>
        <w:t>Les</w:t>
      </w:r>
      <w:r w:rsidR="006D35D9" w:rsidRPr="00716226">
        <w:rPr>
          <w:rFonts w:ascii="Arial" w:hAnsi="Arial"/>
          <w:sz w:val="22"/>
          <w:szCs w:val="22"/>
        </w:rPr>
        <w:t xml:space="preserve"> membres des communautés et les individus concernés ont participé au processus d</w:t>
      </w:r>
      <w:r w:rsidR="003D1909">
        <w:rPr>
          <w:rFonts w:ascii="Arial" w:hAnsi="Arial"/>
          <w:sz w:val="22"/>
          <w:szCs w:val="22"/>
        </w:rPr>
        <w:t>’</w:t>
      </w:r>
      <w:r w:rsidR="006D35D9" w:rsidRPr="00716226">
        <w:rPr>
          <w:rFonts w:ascii="Arial" w:hAnsi="Arial"/>
          <w:sz w:val="22"/>
          <w:szCs w:val="22"/>
        </w:rPr>
        <w:t>élaboration de l</w:t>
      </w:r>
      <w:r w:rsidR="003D1909">
        <w:rPr>
          <w:rFonts w:ascii="Arial" w:hAnsi="Arial"/>
          <w:sz w:val="22"/>
          <w:szCs w:val="22"/>
        </w:rPr>
        <w:t>’</w:t>
      </w:r>
      <w:r w:rsidR="006D35D9" w:rsidRPr="00716226">
        <w:rPr>
          <w:rFonts w:ascii="Arial" w:hAnsi="Arial"/>
          <w:sz w:val="22"/>
          <w:szCs w:val="22"/>
        </w:rPr>
        <w:t xml:space="preserve">inventaire et de documentation, </w:t>
      </w:r>
      <w:r>
        <w:rPr>
          <w:rFonts w:ascii="Arial" w:hAnsi="Arial"/>
          <w:sz w:val="22"/>
          <w:szCs w:val="22"/>
        </w:rPr>
        <w:t>ainsi qu’</w:t>
      </w:r>
      <w:r w:rsidR="006D35D9" w:rsidRPr="00716226">
        <w:rPr>
          <w:rFonts w:ascii="Arial" w:hAnsi="Arial"/>
          <w:sz w:val="22"/>
          <w:szCs w:val="22"/>
        </w:rPr>
        <w:t>à la préparation de la demande. Ces mêmes personnes joueront un rôle essentiel dans le cadre du projet proposé. Les communautés seront consultées en continu par des responsables de la culture et des membres des communautés ayant bénéficié d</w:t>
      </w:r>
      <w:r w:rsidR="003D1909">
        <w:rPr>
          <w:rFonts w:ascii="Arial" w:hAnsi="Arial"/>
          <w:sz w:val="22"/>
          <w:szCs w:val="22"/>
        </w:rPr>
        <w:t>’</w:t>
      </w:r>
      <w:r w:rsidR="006D35D9" w:rsidRPr="00716226">
        <w:rPr>
          <w:rFonts w:ascii="Arial" w:hAnsi="Arial"/>
          <w:sz w:val="22"/>
          <w:szCs w:val="22"/>
        </w:rPr>
        <w:t>une formation dans le domaine du patrimoine culturel immatériel. Les membres ainsi formés contribueront à la campagne de sensibilisation et à l</w:t>
      </w:r>
      <w:r w:rsidR="003D1909">
        <w:rPr>
          <w:rFonts w:ascii="Arial" w:hAnsi="Arial"/>
          <w:sz w:val="22"/>
          <w:szCs w:val="22"/>
        </w:rPr>
        <w:t>’</w:t>
      </w:r>
      <w:r w:rsidR="006D35D9" w:rsidRPr="00716226">
        <w:rPr>
          <w:rFonts w:ascii="Arial" w:hAnsi="Arial"/>
          <w:sz w:val="22"/>
          <w:szCs w:val="22"/>
        </w:rPr>
        <w:t>identification des détenteurs. Ils continueront également à assister à des ateliers sur l</w:t>
      </w:r>
      <w:r w:rsidR="003D1909">
        <w:rPr>
          <w:rFonts w:ascii="Arial" w:hAnsi="Arial"/>
          <w:sz w:val="22"/>
          <w:szCs w:val="22"/>
        </w:rPr>
        <w:t>’</w:t>
      </w:r>
      <w:r w:rsidR="006D35D9" w:rsidRPr="00716226">
        <w:rPr>
          <w:rFonts w:ascii="Arial" w:hAnsi="Arial"/>
          <w:sz w:val="22"/>
          <w:szCs w:val="22"/>
        </w:rPr>
        <w:t xml:space="preserve">élaboration des inventaires, la documentation et la sauvegarde </w:t>
      </w:r>
      <w:r>
        <w:rPr>
          <w:rFonts w:ascii="Arial" w:hAnsi="Arial"/>
          <w:sz w:val="22"/>
          <w:szCs w:val="22"/>
        </w:rPr>
        <w:t>avec la participation</w:t>
      </w:r>
      <w:r w:rsidR="006D35D9" w:rsidRPr="00716226">
        <w:rPr>
          <w:rFonts w:ascii="Arial" w:hAnsi="Arial"/>
          <w:sz w:val="22"/>
          <w:szCs w:val="22"/>
        </w:rPr>
        <w:t xml:space="preserve"> </w:t>
      </w:r>
      <w:r w:rsidR="00755AED">
        <w:rPr>
          <w:rFonts w:ascii="Arial" w:hAnsi="Arial"/>
          <w:sz w:val="22"/>
          <w:szCs w:val="22"/>
        </w:rPr>
        <w:t>des communautés</w:t>
      </w:r>
      <w:r w:rsidR="006D35D9" w:rsidRPr="00716226">
        <w:rPr>
          <w:rFonts w:ascii="Arial" w:hAnsi="Arial"/>
          <w:sz w:val="22"/>
          <w:szCs w:val="22"/>
        </w:rPr>
        <w:t>, et ils poursuivront leur travail de documentation de l</w:t>
      </w:r>
      <w:r w:rsidR="003D1909">
        <w:rPr>
          <w:rFonts w:ascii="Arial" w:hAnsi="Arial"/>
          <w:sz w:val="22"/>
          <w:szCs w:val="22"/>
        </w:rPr>
        <w:t>’</w:t>
      </w:r>
      <w:r w:rsidR="006D35D9" w:rsidRPr="00716226">
        <w:rPr>
          <w:rFonts w:ascii="Arial" w:hAnsi="Arial"/>
          <w:sz w:val="22"/>
          <w:szCs w:val="22"/>
        </w:rPr>
        <w:t>élément. Le dossier fournit des informations sur les méthodes employées pour garantir l</w:t>
      </w:r>
      <w:r w:rsidR="003D1909">
        <w:rPr>
          <w:rFonts w:ascii="Arial" w:hAnsi="Arial"/>
          <w:sz w:val="22"/>
          <w:szCs w:val="22"/>
        </w:rPr>
        <w:t>’</w:t>
      </w:r>
      <w:r w:rsidR="006D35D9" w:rsidRPr="00716226">
        <w:rPr>
          <w:rFonts w:ascii="Arial" w:hAnsi="Arial"/>
          <w:sz w:val="22"/>
          <w:szCs w:val="22"/>
        </w:rPr>
        <w:t>équilibre des genres dans tous les projets et programmes locaux.</w:t>
      </w:r>
    </w:p>
    <w:p w14:paraId="4FF96933" w14:textId="37716074" w:rsidR="006D35D9" w:rsidRPr="00716226" w:rsidRDefault="00702EFA" w:rsidP="00702EFA">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A.2 </w:t>
      </w:r>
      <w:r w:rsidR="006D35D9" w:rsidRPr="007B7B91">
        <w:rPr>
          <w:rFonts w:ascii="Arial" w:hAnsi="Arial"/>
          <w:sz w:val="22"/>
          <w:szCs w:val="22"/>
        </w:rPr>
        <w:t>:</w:t>
      </w:r>
      <w:r>
        <w:rPr>
          <w:rFonts w:ascii="Arial" w:hAnsi="Arial"/>
          <w:sz w:val="22"/>
          <w:szCs w:val="22"/>
        </w:rPr>
        <w:t xml:space="preserve"> </w:t>
      </w:r>
      <w:r w:rsidR="006D35D9" w:rsidRPr="00716226">
        <w:rPr>
          <w:rFonts w:ascii="Arial" w:hAnsi="Arial"/>
          <w:sz w:val="22"/>
          <w:szCs w:val="22"/>
        </w:rPr>
        <w:t xml:space="preserve">Le budget comprend une description détaillée des dépenses. À chaque catégorie de dépenses </w:t>
      </w:r>
      <w:r w:rsidR="00824035">
        <w:rPr>
          <w:rFonts w:ascii="Arial" w:hAnsi="Arial"/>
          <w:sz w:val="22"/>
          <w:szCs w:val="22"/>
        </w:rPr>
        <w:t>sont</w:t>
      </w:r>
      <w:r w:rsidR="00824035" w:rsidRPr="00716226">
        <w:rPr>
          <w:rFonts w:ascii="Arial" w:hAnsi="Arial"/>
          <w:sz w:val="22"/>
          <w:szCs w:val="22"/>
        </w:rPr>
        <w:t xml:space="preserve"> </w:t>
      </w:r>
      <w:r w:rsidR="006D35D9" w:rsidRPr="00716226">
        <w:rPr>
          <w:rFonts w:ascii="Arial" w:hAnsi="Arial"/>
          <w:sz w:val="22"/>
          <w:szCs w:val="22"/>
        </w:rPr>
        <w:t>associée</w:t>
      </w:r>
      <w:r w:rsidR="00824035">
        <w:rPr>
          <w:rFonts w:ascii="Arial" w:hAnsi="Arial"/>
          <w:sz w:val="22"/>
          <w:szCs w:val="22"/>
        </w:rPr>
        <w:t>s</w:t>
      </w:r>
      <w:r w:rsidR="006D35D9" w:rsidRPr="00716226">
        <w:rPr>
          <w:rFonts w:ascii="Arial" w:hAnsi="Arial"/>
          <w:sz w:val="22"/>
          <w:szCs w:val="22"/>
        </w:rPr>
        <w:t xml:space="preserve"> une explication et une répartition précise des sommes qui y sont consacrées. La majeure partie de l</w:t>
      </w:r>
      <w:r w:rsidR="003D1909">
        <w:rPr>
          <w:rFonts w:ascii="Arial" w:hAnsi="Arial"/>
          <w:sz w:val="22"/>
          <w:szCs w:val="22"/>
        </w:rPr>
        <w:t>’</w:t>
      </w:r>
      <w:r w:rsidR="006D35D9" w:rsidRPr="00716226">
        <w:rPr>
          <w:rFonts w:ascii="Arial" w:hAnsi="Arial"/>
          <w:sz w:val="22"/>
          <w:szCs w:val="22"/>
        </w:rPr>
        <w:t>assistance financière demandée servira à couvrir le coût des campagnes de sensibilisation, de la production du matériel pédagogique et des activités de formation non formelle. Une autre partie du budget sera allouée au suivi du projet et à la rédaction de rapports. Le montant demandé paraît adapté aux activités proposées et reflète bien les objectifs décrits.</w:t>
      </w:r>
    </w:p>
    <w:p w14:paraId="2E45A83D" w14:textId="76232813" w:rsidR="006D35D9" w:rsidRPr="00716226" w:rsidRDefault="00702EFA" w:rsidP="00702EFA">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A.3</w:t>
      </w:r>
      <w:r w:rsidR="006D35D9" w:rsidRPr="00716226">
        <w:rPr>
          <w:rFonts w:ascii="Arial" w:hAnsi="Arial"/>
          <w:sz w:val="22"/>
          <w:szCs w:val="22"/>
        </w:rPr>
        <w:t> :</w:t>
      </w:r>
      <w:r w:rsidR="002B6C7D" w:rsidRPr="00716226">
        <w:rPr>
          <w:rFonts w:ascii="Arial" w:hAnsi="Arial"/>
          <w:sz w:val="22"/>
          <w:szCs w:val="22"/>
        </w:rPr>
        <w:t xml:space="preserve"> </w:t>
      </w:r>
      <w:r w:rsidR="006D35D9" w:rsidRPr="00716226">
        <w:rPr>
          <w:rFonts w:ascii="Arial" w:hAnsi="Arial"/>
          <w:sz w:val="22"/>
          <w:szCs w:val="22"/>
        </w:rPr>
        <w:t>L</w:t>
      </w:r>
      <w:r w:rsidR="003D1909">
        <w:rPr>
          <w:rFonts w:ascii="Arial" w:hAnsi="Arial"/>
          <w:sz w:val="22"/>
          <w:szCs w:val="22"/>
        </w:rPr>
        <w:t>’</w:t>
      </w:r>
      <w:r w:rsidR="006D35D9" w:rsidRPr="00716226">
        <w:rPr>
          <w:rFonts w:ascii="Arial" w:hAnsi="Arial"/>
          <w:sz w:val="22"/>
          <w:szCs w:val="22"/>
        </w:rPr>
        <w:t>État partie a proposé un plan de sauvegarde cohérent au regard des problèmes relatifs à la sauvegarde de l</w:t>
      </w:r>
      <w:r w:rsidR="003D1909">
        <w:rPr>
          <w:rFonts w:ascii="Arial" w:hAnsi="Arial"/>
          <w:sz w:val="22"/>
          <w:szCs w:val="22"/>
        </w:rPr>
        <w:t>’</w:t>
      </w:r>
      <w:r w:rsidR="006D35D9" w:rsidRPr="00716226">
        <w:rPr>
          <w:rFonts w:ascii="Arial" w:hAnsi="Arial"/>
          <w:sz w:val="22"/>
          <w:szCs w:val="22"/>
        </w:rPr>
        <w:t xml:space="preserve">élément. Les activités </w:t>
      </w:r>
      <w:r w:rsidR="005A05ED">
        <w:rPr>
          <w:rFonts w:ascii="Arial" w:hAnsi="Arial"/>
          <w:sz w:val="22"/>
          <w:szCs w:val="22"/>
        </w:rPr>
        <w:t>correspondantes</w:t>
      </w:r>
      <w:r w:rsidR="005A05ED" w:rsidRPr="00716226">
        <w:rPr>
          <w:rFonts w:ascii="Arial" w:hAnsi="Arial"/>
          <w:sz w:val="22"/>
          <w:szCs w:val="22"/>
        </w:rPr>
        <w:t xml:space="preserve"> </w:t>
      </w:r>
      <w:r w:rsidR="006D35D9" w:rsidRPr="00716226">
        <w:rPr>
          <w:rFonts w:ascii="Arial" w:hAnsi="Arial"/>
          <w:sz w:val="22"/>
          <w:szCs w:val="22"/>
        </w:rPr>
        <w:t>sont définies de manière suffisamment réaliste pour garantir leur bonne tenue et leur suivi. Toutefois, il conviendrait de revoir le calendrier pour que les activités relatives à la transmission de l</w:t>
      </w:r>
      <w:r w:rsidR="003D1909">
        <w:rPr>
          <w:rFonts w:ascii="Arial" w:hAnsi="Arial"/>
          <w:sz w:val="22"/>
          <w:szCs w:val="22"/>
        </w:rPr>
        <w:t>’</w:t>
      </w:r>
      <w:r w:rsidR="006D35D9" w:rsidRPr="00716226">
        <w:rPr>
          <w:rFonts w:ascii="Arial" w:hAnsi="Arial"/>
          <w:sz w:val="22"/>
          <w:szCs w:val="22"/>
        </w:rPr>
        <w:t xml:space="preserve">élément commencent plus tôt et soient mieux réparties dans le calendrier du projet. En effet, la transmission par le biais de la formation est tout aussi importante que les campagnes de sensibilisation et la production de </w:t>
      </w:r>
      <w:r w:rsidR="006D35D9" w:rsidRPr="004D4B68">
        <w:rPr>
          <w:rFonts w:ascii="Arial" w:hAnsi="Arial"/>
          <w:sz w:val="22"/>
          <w:szCs w:val="22"/>
        </w:rPr>
        <w:t>matériel pédagogique, étant donné que la formation musicale demande</w:t>
      </w:r>
      <w:r w:rsidR="004F1993" w:rsidRPr="004D4B68">
        <w:rPr>
          <w:rFonts w:ascii="Arial" w:hAnsi="Arial"/>
          <w:sz w:val="22"/>
          <w:szCs w:val="22"/>
        </w:rPr>
        <w:t xml:space="preserve"> une pratique</w:t>
      </w:r>
      <w:r w:rsidR="006D35D9" w:rsidRPr="004D4B68">
        <w:rPr>
          <w:rFonts w:ascii="Arial" w:hAnsi="Arial"/>
          <w:sz w:val="22"/>
          <w:szCs w:val="22"/>
        </w:rPr>
        <w:t xml:space="preserve"> </w:t>
      </w:r>
      <w:r w:rsidR="004F1993" w:rsidRPr="004D4B68">
        <w:rPr>
          <w:rFonts w:ascii="Arial" w:hAnsi="Arial"/>
          <w:sz w:val="22"/>
          <w:szCs w:val="22"/>
        </w:rPr>
        <w:t>dans la durée</w:t>
      </w:r>
      <w:r w:rsidR="006D35D9" w:rsidRPr="004D4B68">
        <w:rPr>
          <w:rFonts w:ascii="Arial" w:hAnsi="Arial"/>
          <w:sz w:val="22"/>
          <w:szCs w:val="22"/>
        </w:rPr>
        <w:t>.</w:t>
      </w:r>
    </w:p>
    <w:p w14:paraId="4153F66A" w14:textId="2A561634" w:rsidR="006D35D9" w:rsidRPr="00716226" w:rsidRDefault="00702EFA" w:rsidP="00702EFA">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A.4</w:t>
      </w:r>
      <w:r w:rsidR="006D35D9" w:rsidRPr="00716226">
        <w:rPr>
          <w:rFonts w:ascii="Arial" w:hAnsi="Arial"/>
          <w:sz w:val="22"/>
          <w:szCs w:val="22"/>
        </w:rPr>
        <w:t> :</w:t>
      </w:r>
      <w:r>
        <w:rPr>
          <w:rFonts w:ascii="Arial" w:hAnsi="Arial"/>
          <w:sz w:val="22"/>
          <w:szCs w:val="22"/>
        </w:rPr>
        <w:t xml:space="preserve"> </w:t>
      </w:r>
      <w:r w:rsidR="006D35D9" w:rsidRPr="00716226">
        <w:rPr>
          <w:rFonts w:ascii="Arial" w:hAnsi="Arial"/>
          <w:sz w:val="22"/>
          <w:szCs w:val="22"/>
        </w:rPr>
        <w:t>Le projet de sauvegarde repose sur deux grands axes : la sensibilisation et la formation, afin d</w:t>
      </w:r>
      <w:r w:rsidR="003D1909">
        <w:rPr>
          <w:rFonts w:ascii="Arial" w:hAnsi="Arial"/>
          <w:sz w:val="22"/>
          <w:szCs w:val="22"/>
        </w:rPr>
        <w:t>’</w:t>
      </w:r>
      <w:r w:rsidR="006D35D9" w:rsidRPr="00716226">
        <w:rPr>
          <w:rFonts w:ascii="Arial" w:hAnsi="Arial"/>
          <w:sz w:val="22"/>
          <w:szCs w:val="22"/>
        </w:rPr>
        <w:t>attirer l</w:t>
      </w:r>
      <w:r w:rsidR="003D1909">
        <w:rPr>
          <w:rFonts w:ascii="Arial" w:hAnsi="Arial"/>
          <w:sz w:val="22"/>
          <w:szCs w:val="22"/>
        </w:rPr>
        <w:t>’</w:t>
      </w:r>
      <w:r w:rsidR="006D35D9" w:rsidRPr="00716226">
        <w:rPr>
          <w:rFonts w:ascii="Arial" w:hAnsi="Arial"/>
          <w:sz w:val="22"/>
          <w:szCs w:val="22"/>
        </w:rPr>
        <w:t>attention des jeunes sur cette pratique et de former des praticiens à l</w:t>
      </w:r>
      <w:r w:rsidR="003D1909">
        <w:rPr>
          <w:rFonts w:ascii="Arial" w:hAnsi="Arial"/>
          <w:sz w:val="22"/>
          <w:szCs w:val="22"/>
        </w:rPr>
        <w:t>’</w:t>
      </w:r>
      <w:r w:rsidR="006D35D9" w:rsidRPr="00716226">
        <w:rPr>
          <w:rFonts w:ascii="Arial" w:hAnsi="Arial"/>
          <w:sz w:val="22"/>
          <w:szCs w:val="22"/>
        </w:rPr>
        <w:t>échelle locale. L</w:t>
      </w:r>
      <w:r w:rsidR="003D1909">
        <w:rPr>
          <w:rFonts w:ascii="Arial" w:hAnsi="Arial"/>
          <w:sz w:val="22"/>
          <w:szCs w:val="22"/>
        </w:rPr>
        <w:t>’</w:t>
      </w:r>
      <w:r w:rsidR="006D35D9" w:rsidRPr="00716226">
        <w:rPr>
          <w:rFonts w:ascii="Arial" w:hAnsi="Arial"/>
          <w:sz w:val="22"/>
          <w:szCs w:val="22"/>
        </w:rPr>
        <w:t>objectif général du projet est de sauvegarder l</w:t>
      </w:r>
      <w:r w:rsidR="003D1909">
        <w:rPr>
          <w:rFonts w:ascii="Arial" w:hAnsi="Arial"/>
          <w:sz w:val="22"/>
          <w:szCs w:val="22"/>
        </w:rPr>
        <w:t>’</w:t>
      </w:r>
      <w:r w:rsidR="006D35D9" w:rsidRPr="00716226">
        <w:rPr>
          <w:rFonts w:ascii="Arial" w:hAnsi="Arial"/>
          <w:sz w:val="22"/>
          <w:szCs w:val="22"/>
        </w:rPr>
        <w:t>élément pour garantir son développement durable. Ce projet ayant été élaboré à l</w:t>
      </w:r>
      <w:r w:rsidR="003D1909">
        <w:rPr>
          <w:rFonts w:ascii="Arial" w:hAnsi="Arial"/>
          <w:sz w:val="22"/>
          <w:szCs w:val="22"/>
        </w:rPr>
        <w:t>’</w:t>
      </w:r>
      <w:r w:rsidR="006D35D9" w:rsidRPr="00716226">
        <w:rPr>
          <w:rFonts w:ascii="Arial" w:hAnsi="Arial"/>
          <w:sz w:val="22"/>
          <w:szCs w:val="22"/>
        </w:rPr>
        <w:t>initiative des membres des communautés concernées, les autorités traditionnelles seront chargées d</w:t>
      </w:r>
      <w:r w:rsidR="003D1909">
        <w:rPr>
          <w:rFonts w:ascii="Arial" w:hAnsi="Arial"/>
          <w:sz w:val="22"/>
          <w:szCs w:val="22"/>
        </w:rPr>
        <w:t>’</w:t>
      </w:r>
      <w:r w:rsidR="006D35D9" w:rsidRPr="00716226">
        <w:rPr>
          <w:rFonts w:ascii="Arial" w:hAnsi="Arial"/>
          <w:sz w:val="22"/>
          <w:szCs w:val="22"/>
        </w:rPr>
        <w:t>assurer sa pérennité. Avec le concours de l</w:t>
      </w:r>
      <w:r w:rsidR="003D1909">
        <w:rPr>
          <w:rFonts w:ascii="Arial" w:hAnsi="Arial"/>
          <w:sz w:val="22"/>
          <w:szCs w:val="22"/>
        </w:rPr>
        <w:t>’</w:t>
      </w:r>
      <w:r w:rsidR="006D35D9" w:rsidRPr="00716226">
        <w:rPr>
          <w:rFonts w:ascii="Arial" w:hAnsi="Arial"/>
          <w:sz w:val="22"/>
          <w:szCs w:val="22"/>
        </w:rPr>
        <w:t>État partie, elles continueront également à soutenir les membres des communautés pour l</w:t>
      </w:r>
      <w:r w:rsidR="003D1909">
        <w:rPr>
          <w:rFonts w:ascii="Arial" w:hAnsi="Arial"/>
          <w:sz w:val="22"/>
          <w:szCs w:val="22"/>
        </w:rPr>
        <w:t>’</w:t>
      </w:r>
      <w:r w:rsidR="006D35D9" w:rsidRPr="00716226">
        <w:rPr>
          <w:rFonts w:ascii="Arial" w:hAnsi="Arial"/>
          <w:sz w:val="22"/>
          <w:szCs w:val="22"/>
        </w:rPr>
        <w:t>organisation d</w:t>
      </w:r>
      <w:r w:rsidR="003D1909">
        <w:rPr>
          <w:rFonts w:ascii="Arial" w:hAnsi="Arial"/>
          <w:sz w:val="22"/>
          <w:szCs w:val="22"/>
        </w:rPr>
        <w:t>’</w:t>
      </w:r>
      <w:r w:rsidR="006D35D9" w:rsidRPr="00716226">
        <w:rPr>
          <w:rFonts w:ascii="Arial" w:hAnsi="Arial"/>
          <w:sz w:val="22"/>
          <w:szCs w:val="22"/>
        </w:rPr>
        <w:t>activités pédagogiques ciblant les jeunes. Les comités locaux du patrimoine culturel immatériel, dûment formés, continueront à mener des campagnes de sensibilisation et à réaliser un travail de documentation de l</w:t>
      </w:r>
      <w:r w:rsidR="003D1909">
        <w:rPr>
          <w:rFonts w:ascii="Arial" w:hAnsi="Arial"/>
          <w:sz w:val="22"/>
          <w:szCs w:val="22"/>
        </w:rPr>
        <w:t>’</w:t>
      </w:r>
      <w:r w:rsidR="006D35D9" w:rsidRPr="00716226">
        <w:rPr>
          <w:rFonts w:ascii="Arial" w:hAnsi="Arial"/>
          <w:sz w:val="22"/>
          <w:szCs w:val="22"/>
        </w:rPr>
        <w:t>élément, avec l</w:t>
      </w:r>
      <w:r w:rsidR="003D1909">
        <w:rPr>
          <w:rFonts w:ascii="Arial" w:hAnsi="Arial"/>
          <w:sz w:val="22"/>
          <w:szCs w:val="22"/>
        </w:rPr>
        <w:t>’</w:t>
      </w:r>
      <w:r w:rsidR="006D35D9" w:rsidRPr="00716226">
        <w:rPr>
          <w:rFonts w:ascii="Arial" w:hAnsi="Arial"/>
          <w:sz w:val="22"/>
          <w:szCs w:val="22"/>
        </w:rPr>
        <w:t>aide des responsables régionaux de la culture.</w:t>
      </w:r>
    </w:p>
    <w:p w14:paraId="4D211A92" w14:textId="6B576E35" w:rsidR="006D35D9" w:rsidRPr="00716226" w:rsidRDefault="00702EFA" w:rsidP="00702EFA">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A.5</w:t>
      </w:r>
      <w:r w:rsidR="006D35D9" w:rsidRPr="00716226">
        <w:rPr>
          <w:rFonts w:ascii="Arial" w:hAnsi="Arial"/>
          <w:sz w:val="22"/>
          <w:szCs w:val="22"/>
        </w:rPr>
        <w:t> :</w:t>
      </w:r>
      <w:r>
        <w:rPr>
          <w:rFonts w:ascii="Arial" w:hAnsi="Arial"/>
          <w:sz w:val="22"/>
          <w:szCs w:val="22"/>
        </w:rPr>
        <w:t xml:space="preserve"> </w:t>
      </w:r>
      <w:r w:rsidR="006D35D9" w:rsidRPr="00716226">
        <w:rPr>
          <w:rFonts w:ascii="Arial" w:hAnsi="Arial"/>
          <w:sz w:val="22"/>
          <w:szCs w:val="22"/>
        </w:rPr>
        <w:t>Selon le budget joint à la demande, l</w:t>
      </w:r>
      <w:r w:rsidR="003D1909">
        <w:rPr>
          <w:rFonts w:ascii="Arial" w:hAnsi="Arial"/>
          <w:sz w:val="22"/>
          <w:szCs w:val="22"/>
        </w:rPr>
        <w:t>’</w:t>
      </w:r>
      <w:r w:rsidR="006D35D9" w:rsidRPr="00716226">
        <w:rPr>
          <w:rFonts w:ascii="Arial" w:hAnsi="Arial"/>
          <w:sz w:val="22"/>
          <w:szCs w:val="22"/>
        </w:rPr>
        <w:t>État partie prendra en charge une partie des frais des activités pour lesquelles l</w:t>
      </w:r>
      <w:r w:rsidR="003D1909">
        <w:rPr>
          <w:rFonts w:ascii="Arial" w:hAnsi="Arial"/>
          <w:sz w:val="22"/>
          <w:szCs w:val="22"/>
        </w:rPr>
        <w:t>’</w:t>
      </w:r>
      <w:r w:rsidR="006D35D9" w:rsidRPr="00716226">
        <w:rPr>
          <w:rFonts w:ascii="Arial" w:hAnsi="Arial"/>
          <w:sz w:val="22"/>
          <w:szCs w:val="22"/>
        </w:rPr>
        <w:t xml:space="preserve">assistance internationale sera fournie, dans la limite de ses ressources. Le gouvernement namibien couvrira </w:t>
      </w:r>
      <w:r w:rsidR="00EE2781">
        <w:rPr>
          <w:rFonts w:ascii="Arial" w:hAnsi="Arial"/>
          <w:sz w:val="22"/>
          <w:szCs w:val="22"/>
        </w:rPr>
        <w:t>huit</w:t>
      </w:r>
      <w:r w:rsidR="00EE2781" w:rsidRPr="00716226">
        <w:rPr>
          <w:rFonts w:ascii="Arial" w:hAnsi="Arial"/>
          <w:sz w:val="22"/>
          <w:szCs w:val="22"/>
        </w:rPr>
        <w:t> </w:t>
      </w:r>
      <w:r w:rsidR="009B6CEB">
        <w:rPr>
          <w:rFonts w:ascii="Arial" w:hAnsi="Arial"/>
          <w:sz w:val="22"/>
          <w:szCs w:val="22"/>
        </w:rPr>
        <w:t>pour cent</w:t>
      </w:r>
      <w:r w:rsidR="009B6CEB" w:rsidRPr="00716226">
        <w:rPr>
          <w:rFonts w:ascii="Arial" w:hAnsi="Arial"/>
          <w:sz w:val="22"/>
          <w:szCs w:val="22"/>
        </w:rPr>
        <w:t xml:space="preserve"> </w:t>
      </w:r>
      <w:r w:rsidR="006D35D9" w:rsidRPr="00716226">
        <w:rPr>
          <w:rFonts w:ascii="Arial" w:hAnsi="Arial"/>
          <w:sz w:val="22"/>
          <w:szCs w:val="22"/>
        </w:rPr>
        <w:t>du budget total.</w:t>
      </w:r>
    </w:p>
    <w:p w14:paraId="0A05399F" w14:textId="66452D69" w:rsidR="006D35D9" w:rsidRPr="00716226" w:rsidRDefault="00702EFA" w:rsidP="00702EFA">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A.6</w:t>
      </w:r>
      <w:r w:rsidR="006D35D9" w:rsidRPr="00716226">
        <w:rPr>
          <w:rFonts w:ascii="Arial" w:hAnsi="Arial"/>
          <w:sz w:val="22"/>
          <w:szCs w:val="22"/>
        </w:rPr>
        <w:t> :</w:t>
      </w:r>
      <w:r>
        <w:rPr>
          <w:rFonts w:ascii="Arial" w:hAnsi="Arial"/>
          <w:sz w:val="22"/>
          <w:szCs w:val="22"/>
        </w:rPr>
        <w:t xml:space="preserve"> </w:t>
      </w:r>
      <w:r w:rsidR="006D35D9" w:rsidRPr="00716226">
        <w:rPr>
          <w:rFonts w:ascii="Arial" w:hAnsi="Arial"/>
          <w:sz w:val="22"/>
          <w:szCs w:val="22"/>
        </w:rPr>
        <w:t xml:space="preserve">Le projet permettra de multiplier les </w:t>
      </w:r>
      <w:r w:rsidR="00BD548E">
        <w:rPr>
          <w:rFonts w:ascii="Arial" w:hAnsi="Arial"/>
          <w:sz w:val="22"/>
          <w:szCs w:val="22"/>
        </w:rPr>
        <w:t xml:space="preserve">opportunités </w:t>
      </w:r>
      <w:r w:rsidR="006D35D9" w:rsidRPr="00716226">
        <w:rPr>
          <w:rFonts w:ascii="Arial" w:hAnsi="Arial"/>
          <w:sz w:val="22"/>
          <w:szCs w:val="22"/>
        </w:rPr>
        <w:t>pour les membres des communautés concernées de partager leurs connaissances traditionnelles, leur expérience et leurs idées sur la manière la plus durable de sauvegarder l</w:t>
      </w:r>
      <w:r w:rsidR="003D1909">
        <w:rPr>
          <w:rFonts w:ascii="Arial" w:hAnsi="Arial"/>
          <w:sz w:val="22"/>
          <w:szCs w:val="22"/>
        </w:rPr>
        <w:t>’</w:t>
      </w:r>
      <w:r w:rsidR="006D35D9" w:rsidRPr="00716226">
        <w:rPr>
          <w:rFonts w:ascii="Arial" w:hAnsi="Arial"/>
          <w:sz w:val="22"/>
          <w:szCs w:val="22"/>
        </w:rPr>
        <w:t>élément. Les membres des communautés qui acquerront des compétences dans le cadre du programme de formation s</w:t>
      </w:r>
      <w:r w:rsidR="003D1909">
        <w:rPr>
          <w:rFonts w:ascii="Arial" w:hAnsi="Arial"/>
          <w:sz w:val="22"/>
          <w:szCs w:val="22"/>
        </w:rPr>
        <w:t>’</w:t>
      </w:r>
      <w:r w:rsidR="006D35D9" w:rsidRPr="00716226">
        <w:rPr>
          <w:rFonts w:ascii="Arial" w:hAnsi="Arial"/>
          <w:sz w:val="22"/>
          <w:szCs w:val="22"/>
        </w:rPr>
        <w:t>emploieront à sensibiliser la population à l</w:t>
      </w:r>
      <w:r w:rsidR="003D1909">
        <w:rPr>
          <w:rFonts w:ascii="Arial" w:hAnsi="Arial"/>
          <w:sz w:val="22"/>
          <w:szCs w:val="22"/>
        </w:rPr>
        <w:t>’</w:t>
      </w:r>
      <w:r w:rsidR="006D35D9" w:rsidRPr="00716226">
        <w:rPr>
          <w:rFonts w:ascii="Arial" w:hAnsi="Arial"/>
          <w:sz w:val="22"/>
          <w:szCs w:val="22"/>
        </w:rPr>
        <w:t>importance de la documentation et de la sauvegarde de l</w:t>
      </w:r>
      <w:r w:rsidR="003D1909">
        <w:rPr>
          <w:rFonts w:ascii="Arial" w:hAnsi="Arial"/>
          <w:sz w:val="22"/>
          <w:szCs w:val="22"/>
        </w:rPr>
        <w:t>’</w:t>
      </w:r>
      <w:r w:rsidR="006D35D9" w:rsidRPr="00716226">
        <w:rPr>
          <w:rFonts w:ascii="Arial" w:hAnsi="Arial"/>
          <w:sz w:val="22"/>
          <w:szCs w:val="22"/>
        </w:rPr>
        <w:t>élément. Le matériel pédagogique produit, comme les panneaux mobiles pour les expositions, continueront à être utilisés lors de salons, dans les écoles et dans les établissements d</w:t>
      </w:r>
      <w:r w:rsidR="003D1909">
        <w:rPr>
          <w:rFonts w:ascii="Arial" w:hAnsi="Arial"/>
          <w:sz w:val="22"/>
          <w:szCs w:val="22"/>
        </w:rPr>
        <w:t>’</w:t>
      </w:r>
      <w:r w:rsidR="006D35D9" w:rsidRPr="00716226">
        <w:rPr>
          <w:rFonts w:ascii="Arial" w:hAnsi="Arial"/>
          <w:sz w:val="22"/>
          <w:szCs w:val="22"/>
        </w:rPr>
        <w:t>enseignement supérieur pour faire découvrir l</w:t>
      </w:r>
      <w:r w:rsidR="003D1909">
        <w:rPr>
          <w:rFonts w:ascii="Arial" w:hAnsi="Arial"/>
          <w:sz w:val="22"/>
          <w:szCs w:val="22"/>
        </w:rPr>
        <w:t>’</w:t>
      </w:r>
      <w:r w:rsidR="006D35D9" w:rsidRPr="00716226">
        <w:rPr>
          <w:rFonts w:ascii="Arial" w:hAnsi="Arial"/>
          <w:sz w:val="22"/>
          <w:szCs w:val="22"/>
        </w:rPr>
        <w:t>élément au grand public et sensibiliser les communautés.</w:t>
      </w:r>
    </w:p>
    <w:p w14:paraId="05802F6E" w14:textId="28C2771A" w:rsidR="006D35D9" w:rsidRPr="00716226" w:rsidRDefault="00702EFA" w:rsidP="00702EFA">
      <w:pPr>
        <w:pStyle w:val="ListParagraph"/>
        <w:spacing w:before="120" w:after="120"/>
        <w:ind w:left="1134"/>
        <w:contextualSpacing w:val="0"/>
        <w:jc w:val="both"/>
        <w:rPr>
          <w:rFonts w:ascii="Arial" w:hAnsi="Arial" w:cs="Arial"/>
          <w:noProof/>
          <w:sz w:val="22"/>
          <w:szCs w:val="22"/>
        </w:rPr>
      </w:pPr>
      <w:r w:rsidRPr="00702EFA">
        <w:rPr>
          <w:rFonts w:ascii="Arial" w:hAnsi="Arial"/>
          <w:b/>
          <w:bCs/>
          <w:sz w:val="22"/>
          <w:szCs w:val="22"/>
        </w:rPr>
        <w:t xml:space="preserve">Critère </w:t>
      </w:r>
      <w:r w:rsidR="006D35D9" w:rsidRPr="00702EFA">
        <w:rPr>
          <w:rFonts w:ascii="Arial" w:hAnsi="Arial"/>
          <w:b/>
          <w:bCs/>
          <w:sz w:val="22"/>
          <w:szCs w:val="22"/>
        </w:rPr>
        <w:t>A.7</w:t>
      </w:r>
      <w:r w:rsidR="006D35D9" w:rsidRPr="00716226">
        <w:rPr>
          <w:rFonts w:ascii="Arial" w:hAnsi="Arial"/>
          <w:sz w:val="22"/>
          <w:szCs w:val="22"/>
        </w:rPr>
        <w:t> :</w:t>
      </w:r>
      <w:r>
        <w:rPr>
          <w:rFonts w:ascii="Arial" w:hAnsi="Arial"/>
          <w:sz w:val="22"/>
          <w:szCs w:val="22"/>
        </w:rPr>
        <w:t xml:space="preserve"> </w:t>
      </w:r>
      <w:r w:rsidR="006D35D9" w:rsidRPr="00716226">
        <w:rPr>
          <w:rFonts w:ascii="Arial" w:hAnsi="Arial"/>
          <w:sz w:val="22"/>
          <w:szCs w:val="22"/>
        </w:rPr>
        <w:t>La Namibie a bénéficié d</w:t>
      </w:r>
      <w:r w:rsidR="003D1909">
        <w:rPr>
          <w:rFonts w:ascii="Arial" w:hAnsi="Arial"/>
          <w:sz w:val="22"/>
          <w:szCs w:val="22"/>
        </w:rPr>
        <w:t>’</w:t>
      </w:r>
      <w:r w:rsidR="006D35D9" w:rsidRPr="00716226">
        <w:rPr>
          <w:rFonts w:ascii="Arial" w:hAnsi="Arial"/>
          <w:sz w:val="22"/>
          <w:szCs w:val="22"/>
        </w:rPr>
        <w:t>une assistance internationale du Fonds du patrimoine culturel immatériel à deux reprises, pour la préparation de la présente candidature pour inscription sur la Liste de sauvegarde urgente (dossier n° 01418, 2017-2019, 10 000 dollars des États-Unis), et pour un projet en cours intitulé « La sauvegarde de l</w:t>
      </w:r>
      <w:r w:rsidR="003D1909">
        <w:rPr>
          <w:rFonts w:ascii="Arial" w:hAnsi="Arial"/>
          <w:sz w:val="22"/>
          <w:szCs w:val="22"/>
        </w:rPr>
        <w:t>’</w:t>
      </w:r>
      <w:proofErr w:type="spellStart"/>
      <w:r w:rsidR="006D35D9" w:rsidRPr="00716226">
        <w:rPr>
          <w:rFonts w:ascii="Arial" w:hAnsi="Arial"/>
          <w:sz w:val="22"/>
          <w:szCs w:val="22"/>
        </w:rPr>
        <w:t>okuruuo</w:t>
      </w:r>
      <w:proofErr w:type="spellEnd"/>
      <w:r w:rsidR="006D35D9" w:rsidRPr="00716226">
        <w:rPr>
          <w:rFonts w:ascii="Arial" w:hAnsi="Arial"/>
          <w:sz w:val="22"/>
          <w:szCs w:val="22"/>
        </w:rPr>
        <w:t xml:space="preserve"> grâce à un renforcement des capacités des communautés, l</w:t>
      </w:r>
      <w:r w:rsidR="003D1909">
        <w:rPr>
          <w:rFonts w:ascii="Arial" w:hAnsi="Arial"/>
          <w:sz w:val="22"/>
          <w:szCs w:val="22"/>
        </w:rPr>
        <w:t>’</w:t>
      </w:r>
      <w:r w:rsidR="006D35D9" w:rsidRPr="00716226">
        <w:rPr>
          <w:rFonts w:ascii="Arial" w:hAnsi="Arial"/>
          <w:sz w:val="22"/>
          <w:szCs w:val="22"/>
        </w:rPr>
        <w:t>établissement d</w:t>
      </w:r>
      <w:r w:rsidR="003D1909">
        <w:rPr>
          <w:rFonts w:ascii="Arial" w:hAnsi="Arial"/>
          <w:sz w:val="22"/>
          <w:szCs w:val="22"/>
        </w:rPr>
        <w:t>’</w:t>
      </w:r>
      <w:r w:rsidR="006D35D9" w:rsidRPr="00716226">
        <w:rPr>
          <w:rFonts w:ascii="Arial" w:hAnsi="Arial"/>
          <w:sz w:val="22"/>
          <w:szCs w:val="22"/>
        </w:rPr>
        <w:t>un inventaire et un travail de documentation en Namibie » (dossier n° 01536, 2019-2023, 100 000 dollars des États-Unis). Le travail décrit dans les contrats relatifs à ces projets a jusqu</w:t>
      </w:r>
      <w:r w:rsidR="003D1909">
        <w:rPr>
          <w:rFonts w:ascii="Arial" w:hAnsi="Arial"/>
          <w:sz w:val="22"/>
          <w:szCs w:val="22"/>
        </w:rPr>
        <w:t>’</w:t>
      </w:r>
      <w:r w:rsidR="006D35D9" w:rsidRPr="00716226">
        <w:rPr>
          <w:rFonts w:ascii="Arial" w:hAnsi="Arial"/>
          <w:sz w:val="22"/>
          <w:szCs w:val="22"/>
        </w:rPr>
        <w:t>à présent été effectué conformément aux réglementations de l</w:t>
      </w:r>
      <w:r w:rsidR="003D1909">
        <w:rPr>
          <w:rFonts w:ascii="Arial" w:hAnsi="Arial"/>
          <w:sz w:val="22"/>
          <w:szCs w:val="22"/>
        </w:rPr>
        <w:t>’</w:t>
      </w:r>
      <w:r w:rsidR="006D35D9" w:rsidRPr="00716226">
        <w:rPr>
          <w:rFonts w:ascii="Arial" w:hAnsi="Arial"/>
          <w:sz w:val="22"/>
          <w:szCs w:val="22"/>
        </w:rPr>
        <w:t>UNESCO.</w:t>
      </w:r>
    </w:p>
    <w:p w14:paraId="21A837F3" w14:textId="20CCD824" w:rsidR="006D35D9" w:rsidRPr="00700FB1" w:rsidRDefault="00702EFA" w:rsidP="00702EFA">
      <w:pPr>
        <w:pStyle w:val="ListParagraph"/>
        <w:spacing w:before="120" w:after="120"/>
        <w:ind w:left="1134"/>
        <w:contextualSpacing w:val="0"/>
        <w:jc w:val="both"/>
        <w:rPr>
          <w:rFonts w:ascii="Arial" w:eastAsiaTheme="minorEastAsia" w:hAnsi="Arial" w:cs="Arial"/>
          <w:noProof/>
          <w:sz w:val="22"/>
          <w:szCs w:val="22"/>
          <w:lang w:eastAsia="zh-CN"/>
        </w:rPr>
      </w:pPr>
      <w:r w:rsidRPr="00702EFA">
        <w:rPr>
          <w:rFonts w:ascii="Arial" w:eastAsiaTheme="minorEastAsia" w:hAnsi="Arial" w:cs="Arial"/>
          <w:b/>
          <w:bCs/>
          <w:noProof/>
          <w:sz w:val="22"/>
          <w:szCs w:val="22"/>
          <w:lang w:eastAsia="zh-CN"/>
        </w:rPr>
        <w:t xml:space="preserve">Paragraphe </w:t>
      </w:r>
      <w:r w:rsidR="006D35D9" w:rsidRPr="00702EFA">
        <w:rPr>
          <w:rFonts w:ascii="Arial" w:eastAsiaTheme="minorEastAsia" w:hAnsi="Arial" w:cs="Arial"/>
          <w:b/>
          <w:bCs/>
          <w:noProof/>
          <w:sz w:val="22"/>
          <w:szCs w:val="22"/>
          <w:lang w:eastAsia="zh-CN"/>
        </w:rPr>
        <w:t>10(a)</w:t>
      </w:r>
      <w:r w:rsidR="006D35D9" w:rsidRPr="00700FB1">
        <w:rPr>
          <w:rFonts w:ascii="Arial" w:eastAsiaTheme="minorEastAsia" w:hAnsi="Arial" w:cs="Arial"/>
          <w:noProof/>
          <w:sz w:val="22"/>
          <w:szCs w:val="22"/>
          <w:lang w:eastAsia="zh-CN"/>
        </w:rPr>
        <w:t> :</w:t>
      </w:r>
      <w:r>
        <w:rPr>
          <w:rFonts w:ascii="Arial" w:eastAsiaTheme="minorEastAsia" w:hAnsi="Arial" w:cs="Arial"/>
          <w:noProof/>
          <w:sz w:val="22"/>
          <w:szCs w:val="22"/>
          <w:lang w:eastAsia="zh-CN"/>
        </w:rPr>
        <w:t xml:space="preserve"> </w:t>
      </w:r>
      <w:r w:rsidR="00EE2B83">
        <w:rPr>
          <w:rFonts w:ascii="Arial" w:eastAsiaTheme="minorEastAsia" w:hAnsi="Arial" w:cs="Arial"/>
          <w:noProof/>
          <w:sz w:val="22"/>
          <w:szCs w:val="22"/>
          <w:lang w:eastAsia="zh-CN"/>
        </w:rPr>
        <w:t>L</w:t>
      </w:r>
      <w:r w:rsidR="006D35D9" w:rsidRPr="00700FB1">
        <w:rPr>
          <w:rFonts w:ascii="Arial" w:eastAsiaTheme="minorEastAsia" w:hAnsi="Arial" w:cs="Arial"/>
          <w:noProof/>
          <w:sz w:val="22"/>
          <w:szCs w:val="22"/>
          <w:lang w:eastAsia="zh-CN"/>
        </w:rPr>
        <w:t xml:space="preserve">e projet a une portée nationale. Il sera </w:t>
      </w:r>
      <w:r w:rsidR="000B7821" w:rsidRPr="00700FB1">
        <w:rPr>
          <w:rFonts w:ascii="Arial" w:eastAsiaTheme="minorEastAsia" w:hAnsi="Arial" w:cs="Arial"/>
          <w:noProof/>
          <w:sz w:val="22"/>
          <w:szCs w:val="22"/>
          <w:lang w:eastAsia="zh-CN"/>
        </w:rPr>
        <w:t xml:space="preserve">mené </w:t>
      </w:r>
      <w:r w:rsidR="006D35D9" w:rsidRPr="00700FB1">
        <w:rPr>
          <w:rFonts w:ascii="Arial" w:eastAsiaTheme="minorEastAsia" w:hAnsi="Arial" w:cs="Arial"/>
          <w:noProof/>
          <w:sz w:val="22"/>
          <w:szCs w:val="22"/>
          <w:lang w:eastAsia="zh-CN"/>
        </w:rPr>
        <w:t>par la Commission nationale de Namibie pour l</w:t>
      </w:r>
      <w:r w:rsidR="003D1909" w:rsidRPr="00700FB1">
        <w:rPr>
          <w:rFonts w:ascii="Arial" w:eastAsiaTheme="minorEastAsia" w:hAnsi="Arial" w:cs="Arial"/>
          <w:noProof/>
          <w:sz w:val="22"/>
          <w:szCs w:val="22"/>
          <w:lang w:eastAsia="zh-CN"/>
        </w:rPr>
        <w:t>’</w:t>
      </w:r>
      <w:r w:rsidR="006D35D9" w:rsidRPr="00700FB1">
        <w:rPr>
          <w:rFonts w:ascii="Arial" w:eastAsiaTheme="minorEastAsia" w:hAnsi="Arial" w:cs="Arial"/>
          <w:noProof/>
          <w:sz w:val="22"/>
          <w:szCs w:val="22"/>
          <w:lang w:eastAsia="zh-CN"/>
        </w:rPr>
        <w:t>UNESCO, fondée en 1992, qui dispose de l</w:t>
      </w:r>
      <w:r w:rsidR="003D1909" w:rsidRPr="00700FB1">
        <w:rPr>
          <w:rFonts w:ascii="Arial" w:eastAsiaTheme="minorEastAsia" w:hAnsi="Arial" w:cs="Arial"/>
          <w:noProof/>
          <w:sz w:val="22"/>
          <w:szCs w:val="22"/>
          <w:lang w:eastAsia="zh-CN"/>
        </w:rPr>
        <w:t>’</w:t>
      </w:r>
      <w:r w:rsidR="006D35D9" w:rsidRPr="00700FB1">
        <w:rPr>
          <w:rFonts w:ascii="Arial" w:eastAsiaTheme="minorEastAsia" w:hAnsi="Arial" w:cs="Arial"/>
          <w:noProof/>
          <w:sz w:val="22"/>
          <w:szCs w:val="22"/>
          <w:lang w:eastAsia="zh-CN"/>
        </w:rPr>
        <w:t>expérience et des capacités nécessaires pour le gérer. Par ailleurs, plusieurs partenariats internes avec des ministères et des institutions sont clairement identifiés dans le dossier, de même que leurs responsabilités respectives dans le cadre du projet. La Commission nationale coopère avec différentes parties prenantes qui seront impliquées dans la mise en œuvre des activités du projet. Leurs responsabilités sont précisément définies.</w:t>
      </w:r>
    </w:p>
    <w:p w14:paraId="4D772677" w14:textId="138E1F94" w:rsidR="006D35D9" w:rsidRPr="00700FB1" w:rsidRDefault="00702EFA" w:rsidP="00702EFA">
      <w:pPr>
        <w:pStyle w:val="ListParagraph"/>
        <w:spacing w:before="120" w:after="120"/>
        <w:ind w:left="1134"/>
        <w:contextualSpacing w:val="0"/>
        <w:jc w:val="both"/>
        <w:rPr>
          <w:rFonts w:ascii="Arial" w:eastAsiaTheme="minorEastAsia" w:hAnsi="Arial" w:cs="Arial"/>
          <w:noProof/>
          <w:sz w:val="22"/>
          <w:szCs w:val="22"/>
          <w:lang w:eastAsia="zh-CN"/>
        </w:rPr>
      </w:pPr>
      <w:r w:rsidRPr="00702EFA">
        <w:rPr>
          <w:rFonts w:ascii="Arial" w:eastAsiaTheme="minorEastAsia" w:hAnsi="Arial" w:cs="Arial"/>
          <w:b/>
          <w:bCs/>
          <w:noProof/>
          <w:sz w:val="22"/>
          <w:szCs w:val="22"/>
          <w:lang w:eastAsia="zh-CN"/>
        </w:rPr>
        <w:t xml:space="preserve">Paragraphe </w:t>
      </w:r>
      <w:r w:rsidR="006D35D9" w:rsidRPr="00702EFA">
        <w:rPr>
          <w:rFonts w:ascii="Arial" w:eastAsiaTheme="minorEastAsia" w:hAnsi="Arial" w:cs="Arial"/>
          <w:b/>
          <w:bCs/>
          <w:noProof/>
          <w:sz w:val="22"/>
          <w:szCs w:val="22"/>
          <w:lang w:eastAsia="zh-CN"/>
        </w:rPr>
        <w:t>10(b)</w:t>
      </w:r>
      <w:r w:rsidR="006D35D9" w:rsidRPr="00700FB1">
        <w:rPr>
          <w:rFonts w:ascii="Arial" w:eastAsiaTheme="minorEastAsia" w:hAnsi="Arial" w:cs="Arial"/>
          <w:noProof/>
          <w:sz w:val="22"/>
          <w:szCs w:val="22"/>
          <w:lang w:eastAsia="zh-CN"/>
        </w:rPr>
        <w:t> :</w:t>
      </w:r>
      <w:r>
        <w:rPr>
          <w:rFonts w:ascii="Arial" w:eastAsiaTheme="minorEastAsia" w:hAnsi="Arial" w:cs="Arial"/>
          <w:noProof/>
          <w:sz w:val="22"/>
          <w:szCs w:val="22"/>
          <w:lang w:eastAsia="zh-CN"/>
        </w:rPr>
        <w:t xml:space="preserve"> </w:t>
      </w:r>
      <w:r w:rsidR="006D35D9" w:rsidRPr="00700FB1">
        <w:rPr>
          <w:rFonts w:ascii="Arial" w:eastAsiaTheme="minorEastAsia" w:hAnsi="Arial" w:cs="Arial"/>
          <w:noProof/>
          <w:sz w:val="22"/>
          <w:szCs w:val="22"/>
          <w:lang w:eastAsia="zh-CN"/>
        </w:rPr>
        <w:t>L</w:t>
      </w:r>
      <w:r w:rsidR="003D1909" w:rsidRPr="00700FB1">
        <w:rPr>
          <w:rFonts w:ascii="Arial" w:eastAsiaTheme="minorEastAsia" w:hAnsi="Arial" w:cs="Arial"/>
          <w:noProof/>
          <w:sz w:val="22"/>
          <w:szCs w:val="22"/>
          <w:lang w:eastAsia="zh-CN"/>
        </w:rPr>
        <w:t>’</w:t>
      </w:r>
      <w:r w:rsidR="006D35D9" w:rsidRPr="00700FB1">
        <w:rPr>
          <w:rFonts w:ascii="Arial" w:eastAsiaTheme="minorEastAsia" w:hAnsi="Arial" w:cs="Arial"/>
          <w:noProof/>
          <w:sz w:val="22"/>
          <w:szCs w:val="22"/>
          <w:lang w:eastAsia="zh-CN"/>
        </w:rPr>
        <w:t>identification des membres des communautés et la mise en place de programmes d</w:t>
      </w:r>
      <w:r w:rsidR="003D1909" w:rsidRPr="00700FB1">
        <w:rPr>
          <w:rFonts w:ascii="Arial" w:eastAsiaTheme="minorEastAsia" w:hAnsi="Arial" w:cs="Arial"/>
          <w:noProof/>
          <w:sz w:val="22"/>
          <w:szCs w:val="22"/>
          <w:lang w:eastAsia="zh-CN"/>
        </w:rPr>
        <w:t>’</w:t>
      </w:r>
      <w:r w:rsidR="006D35D9" w:rsidRPr="00700FB1">
        <w:rPr>
          <w:rFonts w:ascii="Arial" w:eastAsiaTheme="minorEastAsia" w:hAnsi="Arial" w:cs="Arial"/>
          <w:noProof/>
          <w:sz w:val="22"/>
          <w:szCs w:val="22"/>
          <w:lang w:eastAsia="zh-CN"/>
        </w:rPr>
        <w:t xml:space="preserve">éducation musicale favorisera la création de groupes et augmentera la demande de festivals régionaux mettant cette pratique musicale en valeur. Cette tendance pourrait encourager les acteurs locaux à soutenir les initiatives de ce type dans une perspective de développement durable. En outre, les prestations musicales régulières seront une source de revenus pour les groupes </w:t>
      </w:r>
      <w:r w:rsidR="004F1993" w:rsidRPr="00700FB1">
        <w:rPr>
          <w:rFonts w:ascii="Arial" w:eastAsiaTheme="minorEastAsia" w:hAnsi="Arial" w:cs="Arial"/>
          <w:noProof/>
          <w:sz w:val="22"/>
          <w:szCs w:val="22"/>
          <w:lang w:eastAsia="zh-CN"/>
        </w:rPr>
        <w:t xml:space="preserve">au sein des </w:t>
      </w:r>
      <w:r w:rsidR="006D35D9" w:rsidRPr="00700FB1">
        <w:rPr>
          <w:rFonts w:ascii="Arial" w:eastAsiaTheme="minorEastAsia" w:hAnsi="Arial" w:cs="Arial"/>
          <w:noProof/>
          <w:sz w:val="22"/>
          <w:szCs w:val="22"/>
          <w:lang w:eastAsia="zh-CN"/>
        </w:rPr>
        <w:t>communaut</w:t>
      </w:r>
      <w:r w:rsidR="004F1993" w:rsidRPr="00700FB1">
        <w:rPr>
          <w:rFonts w:ascii="Arial" w:eastAsiaTheme="minorEastAsia" w:hAnsi="Arial" w:cs="Arial"/>
          <w:noProof/>
          <w:sz w:val="22"/>
          <w:szCs w:val="22"/>
          <w:lang w:eastAsia="zh-CN"/>
        </w:rPr>
        <w:t>és</w:t>
      </w:r>
      <w:r w:rsidR="006D35D9" w:rsidRPr="00700FB1">
        <w:rPr>
          <w:rFonts w:ascii="Arial" w:eastAsiaTheme="minorEastAsia" w:hAnsi="Arial" w:cs="Arial"/>
          <w:noProof/>
          <w:sz w:val="22"/>
          <w:szCs w:val="22"/>
          <w:lang w:eastAsia="zh-CN"/>
        </w:rPr>
        <w:t>. Par ailleurs, les expositions et les programmes de sensibilisation de la communauté inciteront les établissements d</w:t>
      </w:r>
      <w:r w:rsidR="003D1909" w:rsidRPr="00700FB1">
        <w:rPr>
          <w:rFonts w:ascii="Arial" w:eastAsiaTheme="minorEastAsia" w:hAnsi="Arial" w:cs="Arial"/>
          <w:noProof/>
          <w:sz w:val="22"/>
          <w:szCs w:val="22"/>
          <w:lang w:eastAsia="zh-CN"/>
        </w:rPr>
        <w:t>’</w:t>
      </w:r>
      <w:r w:rsidR="006D35D9" w:rsidRPr="00700FB1">
        <w:rPr>
          <w:rFonts w:ascii="Arial" w:eastAsiaTheme="minorEastAsia" w:hAnsi="Arial" w:cs="Arial"/>
          <w:noProof/>
          <w:sz w:val="22"/>
          <w:szCs w:val="22"/>
          <w:lang w:eastAsia="zh-CN"/>
        </w:rPr>
        <w:t>enseignement supérieur locaux à créer des départements de recherche axés sur le patrimoine culturel immatériel. Ces campagnes de sensibilisation devraient également susciter l</w:t>
      </w:r>
      <w:r w:rsidR="003D1909" w:rsidRPr="00700FB1">
        <w:rPr>
          <w:rFonts w:ascii="Arial" w:eastAsiaTheme="minorEastAsia" w:hAnsi="Arial" w:cs="Arial"/>
          <w:noProof/>
          <w:sz w:val="22"/>
          <w:szCs w:val="22"/>
          <w:lang w:eastAsia="zh-CN"/>
        </w:rPr>
        <w:t>’</w:t>
      </w:r>
      <w:r w:rsidR="006D35D9" w:rsidRPr="00700FB1">
        <w:rPr>
          <w:rFonts w:ascii="Arial" w:eastAsiaTheme="minorEastAsia" w:hAnsi="Arial" w:cs="Arial"/>
          <w:noProof/>
          <w:sz w:val="22"/>
          <w:szCs w:val="22"/>
          <w:lang w:eastAsia="zh-CN"/>
        </w:rPr>
        <w:t>intérêt d</w:t>
      </w:r>
      <w:r w:rsidR="003D1909" w:rsidRPr="00700FB1">
        <w:rPr>
          <w:rFonts w:ascii="Arial" w:eastAsiaTheme="minorEastAsia" w:hAnsi="Arial" w:cs="Arial"/>
          <w:noProof/>
          <w:sz w:val="22"/>
          <w:szCs w:val="22"/>
          <w:lang w:eastAsia="zh-CN"/>
        </w:rPr>
        <w:t>’</w:t>
      </w:r>
      <w:r w:rsidR="006D35D9" w:rsidRPr="00700FB1">
        <w:rPr>
          <w:rFonts w:ascii="Arial" w:eastAsiaTheme="minorEastAsia" w:hAnsi="Arial" w:cs="Arial"/>
          <w:noProof/>
          <w:sz w:val="22"/>
          <w:szCs w:val="22"/>
          <w:lang w:eastAsia="zh-CN"/>
        </w:rPr>
        <w:t>un plus large public et d</w:t>
      </w:r>
      <w:r w:rsidR="003D1909" w:rsidRPr="00700FB1">
        <w:rPr>
          <w:rFonts w:ascii="Arial" w:eastAsiaTheme="minorEastAsia" w:hAnsi="Arial" w:cs="Arial"/>
          <w:noProof/>
          <w:sz w:val="22"/>
          <w:szCs w:val="22"/>
          <w:lang w:eastAsia="zh-CN"/>
        </w:rPr>
        <w:t>’</w:t>
      </w:r>
      <w:r w:rsidR="006D35D9" w:rsidRPr="00700FB1">
        <w:rPr>
          <w:rFonts w:ascii="Arial" w:eastAsiaTheme="minorEastAsia" w:hAnsi="Arial" w:cs="Arial"/>
          <w:noProof/>
          <w:sz w:val="22"/>
          <w:szCs w:val="22"/>
          <w:lang w:eastAsia="zh-CN"/>
        </w:rPr>
        <w:t>acteurs privés qui pourront investir des ressources dans la sauvegarde de l</w:t>
      </w:r>
      <w:r w:rsidR="003D1909" w:rsidRPr="00700FB1">
        <w:rPr>
          <w:rFonts w:ascii="Arial" w:eastAsiaTheme="minorEastAsia" w:hAnsi="Arial" w:cs="Arial"/>
          <w:noProof/>
          <w:sz w:val="22"/>
          <w:szCs w:val="22"/>
          <w:lang w:eastAsia="zh-CN"/>
        </w:rPr>
        <w:t>’</w:t>
      </w:r>
      <w:r w:rsidR="006D35D9" w:rsidRPr="00700FB1">
        <w:rPr>
          <w:rFonts w:ascii="Arial" w:eastAsiaTheme="minorEastAsia" w:hAnsi="Arial" w:cs="Arial"/>
          <w:noProof/>
          <w:sz w:val="22"/>
          <w:szCs w:val="22"/>
          <w:lang w:eastAsia="zh-CN"/>
        </w:rPr>
        <w:t>élément.</w:t>
      </w:r>
    </w:p>
    <w:p w14:paraId="6F0B7E1E" w14:textId="5A6EE516" w:rsidR="006D35D9" w:rsidRPr="00716226" w:rsidRDefault="006D35D9" w:rsidP="00193CC4">
      <w:pPr>
        <w:pStyle w:val="ListParagraph"/>
        <w:numPr>
          <w:ilvl w:val="0"/>
          <w:numId w:val="20"/>
        </w:numPr>
        <w:spacing w:before="120" w:after="120"/>
        <w:ind w:left="1134" w:hanging="567"/>
        <w:contextualSpacing w:val="0"/>
        <w:jc w:val="both"/>
        <w:rPr>
          <w:rFonts w:ascii="Arial" w:hAnsi="Arial" w:cs="Arial"/>
          <w:noProof/>
          <w:sz w:val="22"/>
          <w:szCs w:val="22"/>
        </w:rPr>
      </w:pPr>
      <w:r w:rsidRPr="00716226">
        <w:rPr>
          <w:rFonts w:ascii="Arial" w:hAnsi="Arial"/>
          <w:sz w:val="22"/>
          <w:szCs w:val="22"/>
          <w:u w:val="single"/>
        </w:rPr>
        <w:t>Décide d</w:t>
      </w:r>
      <w:r w:rsidR="003D1909">
        <w:rPr>
          <w:rFonts w:ascii="Arial" w:hAnsi="Arial"/>
          <w:sz w:val="22"/>
          <w:szCs w:val="22"/>
          <w:u w:val="single"/>
        </w:rPr>
        <w:t>’</w:t>
      </w:r>
      <w:r w:rsidRPr="00716226">
        <w:rPr>
          <w:rFonts w:ascii="Arial" w:hAnsi="Arial"/>
          <w:sz w:val="22"/>
          <w:szCs w:val="22"/>
          <w:u w:val="single"/>
        </w:rPr>
        <w:t>approuver</w:t>
      </w:r>
      <w:r w:rsidRPr="00716226">
        <w:rPr>
          <w:rFonts w:ascii="Arial" w:hAnsi="Arial"/>
          <w:sz w:val="22"/>
          <w:szCs w:val="22"/>
        </w:rPr>
        <w:t xml:space="preserve"> la demande d</w:t>
      </w:r>
      <w:r w:rsidR="003D1909">
        <w:rPr>
          <w:rFonts w:ascii="Arial" w:hAnsi="Arial"/>
          <w:sz w:val="22"/>
          <w:szCs w:val="22"/>
        </w:rPr>
        <w:t>’</w:t>
      </w:r>
      <w:r w:rsidRPr="00716226">
        <w:rPr>
          <w:rFonts w:ascii="Arial" w:hAnsi="Arial"/>
          <w:sz w:val="22"/>
          <w:szCs w:val="22"/>
        </w:rPr>
        <w:t xml:space="preserve">assistance internationale de la Namibie pour la mise en œuvre du plan de sauvegarde </w:t>
      </w:r>
      <w:r w:rsidRPr="00716226">
        <w:rPr>
          <w:rFonts w:ascii="Arial" w:hAnsi="Arial"/>
          <w:b/>
          <w:sz w:val="22"/>
          <w:szCs w:val="22"/>
        </w:rPr>
        <w:t>des connaissances et des savoir-faire</w:t>
      </w:r>
      <w:r w:rsidR="00E7408A">
        <w:rPr>
          <w:rFonts w:ascii="Arial" w:hAnsi="Arial"/>
          <w:b/>
          <w:sz w:val="22"/>
          <w:szCs w:val="22"/>
        </w:rPr>
        <w:t xml:space="preserve"> musicaux</w:t>
      </w:r>
      <w:r w:rsidR="00EE2781">
        <w:rPr>
          <w:rFonts w:ascii="Arial" w:hAnsi="Arial"/>
          <w:b/>
          <w:sz w:val="22"/>
          <w:szCs w:val="22"/>
        </w:rPr>
        <w:t xml:space="preserve"> ancestraux</w:t>
      </w:r>
      <w:r w:rsidRPr="00716226">
        <w:rPr>
          <w:rFonts w:ascii="Arial" w:hAnsi="Arial"/>
          <w:b/>
          <w:sz w:val="22"/>
          <w:szCs w:val="22"/>
        </w:rPr>
        <w:t xml:space="preserve"> d</w:t>
      </w:r>
      <w:r w:rsidR="003D1909">
        <w:rPr>
          <w:rFonts w:ascii="Arial" w:hAnsi="Arial"/>
          <w:b/>
          <w:sz w:val="22"/>
          <w:szCs w:val="22"/>
        </w:rPr>
        <w:t>’</w:t>
      </w:r>
      <w:proofErr w:type="spellStart"/>
      <w:r w:rsidRPr="00716226">
        <w:rPr>
          <w:rFonts w:ascii="Arial" w:hAnsi="Arial"/>
          <w:b/>
          <w:sz w:val="22"/>
          <w:szCs w:val="22"/>
        </w:rPr>
        <w:t>Aixan</w:t>
      </w:r>
      <w:proofErr w:type="spellEnd"/>
      <w:r w:rsidRPr="00716226">
        <w:rPr>
          <w:rFonts w:ascii="Arial" w:hAnsi="Arial"/>
          <w:b/>
          <w:sz w:val="22"/>
          <w:szCs w:val="22"/>
        </w:rPr>
        <w:t xml:space="preserve"> /</w:t>
      </w:r>
      <w:proofErr w:type="spellStart"/>
      <w:r w:rsidRPr="00716226">
        <w:rPr>
          <w:rFonts w:ascii="Arial" w:hAnsi="Arial"/>
          <w:b/>
          <w:sz w:val="22"/>
          <w:szCs w:val="22"/>
        </w:rPr>
        <w:t>gâna</w:t>
      </w:r>
      <w:proofErr w:type="spellEnd"/>
      <w:r w:rsidRPr="00716226">
        <w:rPr>
          <w:rFonts w:ascii="Arial" w:hAnsi="Arial"/>
          <w:b/>
          <w:sz w:val="22"/>
          <w:szCs w:val="22"/>
        </w:rPr>
        <w:t>/</w:t>
      </w:r>
      <w:proofErr w:type="spellStart"/>
      <w:r w:rsidRPr="00716226">
        <w:rPr>
          <w:rFonts w:ascii="Arial" w:hAnsi="Arial"/>
          <w:b/>
          <w:sz w:val="22"/>
          <w:szCs w:val="22"/>
        </w:rPr>
        <w:t>ob</w:t>
      </w:r>
      <w:proofErr w:type="spellEnd"/>
      <w:r w:rsidRPr="00716226">
        <w:rPr>
          <w:rFonts w:ascii="Arial" w:hAnsi="Arial"/>
          <w:b/>
          <w:sz w:val="22"/>
          <w:szCs w:val="22"/>
        </w:rPr>
        <w:t xml:space="preserve"> #ans </w:t>
      </w:r>
      <w:proofErr w:type="spellStart"/>
      <w:r w:rsidRPr="00716226">
        <w:rPr>
          <w:rFonts w:ascii="Arial" w:hAnsi="Arial"/>
          <w:b/>
          <w:sz w:val="22"/>
          <w:szCs w:val="22"/>
        </w:rPr>
        <w:t>tsî</w:t>
      </w:r>
      <w:proofErr w:type="spellEnd"/>
      <w:r w:rsidRPr="00716226">
        <w:rPr>
          <w:rFonts w:ascii="Arial" w:hAnsi="Arial"/>
          <w:b/>
          <w:sz w:val="22"/>
          <w:szCs w:val="22"/>
        </w:rPr>
        <w:t xml:space="preserve"> //</w:t>
      </w:r>
      <w:proofErr w:type="spellStart"/>
      <w:r w:rsidRPr="00716226">
        <w:rPr>
          <w:rFonts w:ascii="Arial" w:hAnsi="Arial"/>
          <w:b/>
          <w:sz w:val="22"/>
          <w:szCs w:val="22"/>
        </w:rPr>
        <w:t>khasigu</w:t>
      </w:r>
      <w:proofErr w:type="spellEnd"/>
      <w:r w:rsidRPr="00716226">
        <w:rPr>
          <w:rFonts w:ascii="Arial" w:hAnsi="Arial"/>
          <w:sz w:val="22"/>
          <w:szCs w:val="22"/>
        </w:rPr>
        <w:t xml:space="preserve"> et </w:t>
      </w:r>
      <w:r w:rsidRPr="00716226">
        <w:rPr>
          <w:rFonts w:ascii="Arial" w:hAnsi="Arial"/>
          <w:sz w:val="22"/>
          <w:szCs w:val="22"/>
          <w:u w:val="single"/>
        </w:rPr>
        <w:t>accorde</w:t>
      </w:r>
      <w:r w:rsidRPr="00716226">
        <w:rPr>
          <w:rFonts w:ascii="Arial" w:hAnsi="Arial"/>
          <w:sz w:val="22"/>
          <w:szCs w:val="22"/>
        </w:rPr>
        <w:t xml:space="preserve"> à cette fin le montant de 99 329 dollars des États-Unis à l</w:t>
      </w:r>
      <w:r w:rsidR="003D1909">
        <w:rPr>
          <w:rFonts w:ascii="Arial" w:hAnsi="Arial"/>
          <w:sz w:val="22"/>
          <w:szCs w:val="22"/>
        </w:rPr>
        <w:t>’</w:t>
      </w:r>
      <w:r w:rsidRPr="00716226">
        <w:rPr>
          <w:rFonts w:ascii="Arial" w:hAnsi="Arial"/>
          <w:sz w:val="22"/>
          <w:szCs w:val="22"/>
        </w:rPr>
        <w:t>État partie ;</w:t>
      </w:r>
    </w:p>
    <w:p w14:paraId="26F22B67" w14:textId="5D96D26B" w:rsidR="006D35D9" w:rsidRPr="00716226" w:rsidRDefault="006D35D9" w:rsidP="00193CC4">
      <w:pPr>
        <w:pStyle w:val="ListParagraph"/>
        <w:numPr>
          <w:ilvl w:val="0"/>
          <w:numId w:val="20"/>
        </w:numPr>
        <w:spacing w:before="120" w:after="120"/>
        <w:ind w:left="1134" w:hanging="567"/>
        <w:contextualSpacing w:val="0"/>
        <w:jc w:val="both"/>
        <w:rPr>
          <w:rFonts w:ascii="Arial" w:hAnsi="Arial" w:cs="Arial"/>
          <w:sz w:val="22"/>
          <w:szCs w:val="22"/>
        </w:rPr>
      </w:pPr>
      <w:r w:rsidRPr="00716226">
        <w:rPr>
          <w:rFonts w:ascii="Arial" w:hAnsi="Arial"/>
          <w:sz w:val="22"/>
          <w:szCs w:val="22"/>
          <w:u w:val="single"/>
        </w:rPr>
        <w:t>Invite en outre</w:t>
      </w:r>
      <w:r w:rsidRPr="00716226">
        <w:rPr>
          <w:rFonts w:ascii="Arial" w:hAnsi="Arial"/>
          <w:sz w:val="22"/>
          <w:szCs w:val="22"/>
        </w:rPr>
        <w:t xml:space="preserve"> l</w:t>
      </w:r>
      <w:r w:rsidR="003D1909">
        <w:rPr>
          <w:rFonts w:ascii="Arial" w:hAnsi="Arial"/>
          <w:sz w:val="22"/>
          <w:szCs w:val="22"/>
        </w:rPr>
        <w:t>’</w:t>
      </w:r>
      <w:r w:rsidRPr="00716226">
        <w:rPr>
          <w:rFonts w:ascii="Arial" w:hAnsi="Arial"/>
          <w:sz w:val="22"/>
          <w:szCs w:val="22"/>
        </w:rPr>
        <w:t>État partie à utiliser le formulaire ICH-04-Rapport pour rendre compte de l</w:t>
      </w:r>
      <w:r w:rsidR="003D1909">
        <w:rPr>
          <w:rFonts w:ascii="Arial" w:hAnsi="Arial"/>
          <w:sz w:val="22"/>
          <w:szCs w:val="22"/>
        </w:rPr>
        <w:t>’</w:t>
      </w:r>
      <w:r w:rsidRPr="00716226">
        <w:rPr>
          <w:rFonts w:ascii="Arial" w:hAnsi="Arial"/>
          <w:sz w:val="22"/>
          <w:szCs w:val="22"/>
        </w:rPr>
        <w:t>utilisation de l</w:t>
      </w:r>
      <w:r w:rsidR="003D1909">
        <w:rPr>
          <w:rFonts w:ascii="Arial" w:hAnsi="Arial"/>
          <w:sz w:val="22"/>
          <w:szCs w:val="22"/>
        </w:rPr>
        <w:t>’</w:t>
      </w:r>
      <w:r w:rsidRPr="00716226">
        <w:rPr>
          <w:rFonts w:ascii="Arial" w:hAnsi="Arial"/>
          <w:sz w:val="22"/>
          <w:szCs w:val="22"/>
        </w:rPr>
        <w:t>assistance accordée.</w:t>
      </w:r>
    </w:p>
    <w:p w14:paraId="3377D47A" w14:textId="77777777" w:rsidR="003D1909" w:rsidRPr="00716226" w:rsidRDefault="003D1909" w:rsidP="007B2D24">
      <w:pPr>
        <w:keepNext/>
        <w:spacing w:before="240" w:after="240"/>
        <w:jc w:val="both"/>
      </w:pPr>
    </w:p>
    <w:sectPr w:rsidR="003D1909" w:rsidRPr="00716226" w:rsidSect="00A209D4">
      <w:headerReference w:type="even" r:id="rId15"/>
      <w:headerReference w:type="default" r:id="rId16"/>
      <w:headerReference w:type="first" r:id="rId17"/>
      <w:pgSz w:w="12240" w:h="15840"/>
      <w:pgMar w:top="1418" w:right="1134" w:bottom="1134" w:left="1134" w:header="720" w:footer="275" w:gutter="0"/>
      <w:pgBorders w:display="firstPage" w:offsetFrom="page">
        <w:top w:val="single" w:sz="12" w:space="24" w:color="0070C0"/>
        <w:left w:val="single" w:sz="12" w:space="24" w:color="0070C0"/>
        <w:bottom w:val="single" w:sz="12" w:space="24" w:color="0070C0"/>
        <w:right w:val="single" w:sz="12"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4BF78" w14:textId="77777777" w:rsidR="003D1909" w:rsidRDefault="003D1909" w:rsidP="000D3DF2">
      <w:pPr>
        <w:spacing w:after="0" w:line="240" w:lineRule="auto"/>
      </w:pPr>
      <w:r>
        <w:separator/>
      </w:r>
    </w:p>
  </w:endnote>
  <w:endnote w:type="continuationSeparator" w:id="0">
    <w:p w14:paraId="79E1A270" w14:textId="77777777" w:rsidR="003D1909" w:rsidRDefault="003D1909" w:rsidP="000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B6348" w14:textId="77777777" w:rsidR="003D1909" w:rsidRDefault="003D1909" w:rsidP="000D3DF2">
      <w:pPr>
        <w:spacing w:after="0" w:line="240" w:lineRule="auto"/>
      </w:pPr>
      <w:r>
        <w:separator/>
      </w:r>
    </w:p>
  </w:footnote>
  <w:footnote w:type="continuationSeparator" w:id="0">
    <w:p w14:paraId="305B0CFD" w14:textId="77777777" w:rsidR="003D1909" w:rsidRDefault="003D1909" w:rsidP="000D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C244" w14:textId="12F20465" w:rsidR="00881504" w:rsidRPr="005E5E08" w:rsidRDefault="00881504" w:rsidP="00700FB1">
    <w:pPr>
      <w:pStyle w:val="Header"/>
      <w:ind w:right="440"/>
      <w:rPr>
        <w:rFonts w:ascii="Arial" w:hAnsi="Arial" w:cs="Arial"/>
      </w:rPr>
    </w:pPr>
    <w:r w:rsidRPr="00DC519C">
      <w:rPr>
        <w:rFonts w:ascii="Arial" w:hAnsi="Arial"/>
        <w:sz w:val="20"/>
        <w:szCs w:val="20"/>
      </w:rPr>
      <w:t>LHE/20/15.COM/</w:t>
    </w:r>
    <w:r w:rsidR="00DC519C" w:rsidRPr="00DC519C">
      <w:rPr>
        <w:rFonts w:ascii="Arial" w:hAnsi="Arial"/>
        <w:sz w:val="20"/>
        <w:szCs w:val="20"/>
      </w:rPr>
      <w:t>8</w:t>
    </w:r>
    <w:r w:rsidRPr="00DC519C">
      <w:rPr>
        <w:rFonts w:ascii="Arial" w:hAnsi="Arial"/>
        <w:sz w:val="20"/>
        <w:szCs w:val="20"/>
      </w:rPr>
      <w:t xml:space="preserve">.a – page </w:t>
    </w:r>
    <w:r w:rsidRPr="00DC519C">
      <w:rPr>
        <w:rStyle w:val="PageNumber"/>
        <w:rFonts w:ascii="Arial" w:hAnsi="Arial" w:cs="Arial"/>
        <w:sz w:val="20"/>
        <w:szCs w:val="20"/>
      </w:rPr>
      <w:fldChar w:fldCharType="begin"/>
    </w:r>
    <w:r w:rsidRPr="00DC519C">
      <w:rPr>
        <w:rStyle w:val="PageNumber"/>
        <w:rFonts w:ascii="Arial" w:hAnsi="Arial" w:cs="Arial"/>
        <w:sz w:val="20"/>
        <w:szCs w:val="20"/>
      </w:rPr>
      <w:instrText xml:space="preserve"> PAGE </w:instrText>
    </w:r>
    <w:r w:rsidRPr="00DC519C">
      <w:rPr>
        <w:rStyle w:val="PageNumber"/>
        <w:rFonts w:ascii="Arial" w:hAnsi="Arial" w:cs="Arial"/>
        <w:sz w:val="20"/>
        <w:szCs w:val="20"/>
      </w:rPr>
      <w:fldChar w:fldCharType="separate"/>
    </w:r>
    <w:r w:rsidRPr="00DC519C">
      <w:rPr>
        <w:rStyle w:val="PageNumber"/>
        <w:rFonts w:ascii="Arial" w:hAnsi="Arial" w:cs="Arial"/>
        <w:sz w:val="20"/>
        <w:szCs w:val="20"/>
      </w:rPr>
      <w:t>3</w:t>
    </w:r>
    <w:r w:rsidRPr="00DC519C">
      <w:rPr>
        <w:rStyle w:val="PageNumber"/>
        <w:rFonts w:ascii="Arial" w:hAnsi="Arial" w:cs="Arial"/>
        <w:sz w:val="20"/>
        <w:szCs w:val="20"/>
      </w:rPr>
      <w:fldChar w:fldCharType="end"/>
    </w:r>
  </w:p>
  <w:p w14:paraId="1596DBFA" w14:textId="197560D8" w:rsidR="003D1909" w:rsidRPr="006D35D9" w:rsidRDefault="003D1909" w:rsidP="00881504">
    <w:pPr>
      <w:pStyle w:val="Header"/>
      <w:rPr>
        <w:vanis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BA10" w14:textId="6FD58293" w:rsidR="003D1909" w:rsidRPr="005E5E08" w:rsidRDefault="003D1909" w:rsidP="00700FB1">
    <w:pPr>
      <w:pStyle w:val="Header"/>
      <w:jc w:val="right"/>
      <w:rPr>
        <w:rFonts w:ascii="Arial" w:hAnsi="Arial" w:cs="Arial"/>
      </w:rPr>
    </w:pPr>
    <w:r w:rsidRPr="00DC519C">
      <w:rPr>
        <w:rFonts w:ascii="Arial" w:hAnsi="Arial"/>
        <w:sz w:val="20"/>
        <w:szCs w:val="20"/>
      </w:rPr>
      <w:t>LHE/20/15.COM/</w:t>
    </w:r>
    <w:r w:rsidR="00DC519C" w:rsidRPr="00DC519C">
      <w:rPr>
        <w:rFonts w:ascii="Arial" w:hAnsi="Arial"/>
        <w:sz w:val="20"/>
        <w:szCs w:val="20"/>
      </w:rPr>
      <w:t>8</w:t>
    </w:r>
    <w:r w:rsidRPr="00DC519C">
      <w:rPr>
        <w:rFonts w:ascii="Arial" w:hAnsi="Arial"/>
        <w:sz w:val="20"/>
        <w:szCs w:val="20"/>
      </w:rPr>
      <w:t xml:space="preserve">.a – page </w:t>
    </w:r>
    <w:r w:rsidRPr="00DC519C">
      <w:rPr>
        <w:rStyle w:val="PageNumber"/>
        <w:rFonts w:ascii="Arial" w:hAnsi="Arial" w:cs="Arial"/>
        <w:sz w:val="20"/>
        <w:szCs w:val="20"/>
      </w:rPr>
      <w:fldChar w:fldCharType="begin"/>
    </w:r>
    <w:r w:rsidRPr="00DC519C">
      <w:rPr>
        <w:rStyle w:val="PageNumber"/>
        <w:rFonts w:ascii="Arial" w:hAnsi="Arial" w:cs="Arial"/>
        <w:sz w:val="20"/>
        <w:szCs w:val="20"/>
      </w:rPr>
      <w:instrText xml:space="preserve"> PAGE </w:instrText>
    </w:r>
    <w:r w:rsidRPr="00DC519C">
      <w:rPr>
        <w:rStyle w:val="PageNumber"/>
        <w:rFonts w:ascii="Arial" w:hAnsi="Arial" w:cs="Arial"/>
        <w:sz w:val="20"/>
        <w:szCs w:val="20"/>
      </w:rPr>
      <w:fldChar w:fldCharType="separate"/>
    </w:r>
    <w:r w:rsidRPr="00DC519C">
      <w:rPr>
        <w:rStyle w:val="PageNumber"/>
        <w:rFonts w:ascii="Arial" w:hAnsi="Arial" w:cs="Arial"/>
        <w:noProof/>
        <w:sz w:val="20"/>
        <w:szCs w:val="20"/>
      </w:rPr>
      <w:t>13</w:t>
    </w:r>
    <w:r w:rsidRPr="00DC519C">
      <w:rPr>
        <w:rStyle w:val="PageNumber"/>
        <w:rFonts w:ascii="Arial" w:hAnsi="Arial" w:cs="Arial"/>
        <w:sz w:val="20"/>
        <w:szCs w:val="20"/>
      </w:rPr>
      <w:fldChar w:fldCharType="end"/>
    </w:r>
  </w:p>
  <w:p w14:paraId="7EA1AEE2" w14:textId="77777777" w:rsidR="003D1909" w:rsidRPr="00AC783C" w:rsidRDefault="003D1909" w:rsidP="000D3DF2">
    <w:pPr>
      <w:pStyle w:val="Heade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86E1" w14:textId="75715FCE" w:rsidR="003D1909" w:rsidRPr="008829EF" w:rsidRDefault="003D1909" w:rsidP="000D3DF2">
    <w:pPr>
      <w:tabs>
        <w:tab w:val="center" w:pos="4536"/>
        <w:tab w:val="right" w:pos="9072"/>
      </w:tabs>
      <w:spacing w:after="520" w:line="240" w:lineRule="auto"/>
      <w:jc w:val="right"/>
      <w:rPr>
        <w:rFonts w:ascii="Arial" w:eastAsia="Times New Roman" w:hAnsi="Arial" w:cs="Arial"/>
        <w:b/>
        <w:color w:val="0070C0"/>
        <w:sz w:val="44"/>
        <w:szCs w:val="44"/>
        <w:lang w:val="pt-BR"/>
      </w:rPr>
    </w:pPr>
    <w:r w:rsidRPr="008829EF">
      <w:rPr>
        <w:noProof/>
        <w:color w:val="0070C0"/>
      </w:rPr>
      <w:drawing>
        <wp:anchor distT="0" distB="0" distL="114300" distR="114300" simplePos="0" relativeHeight="251657216" behindDoc="0" locked="0" layoutInCell="1" allowOverlap="1" wp14:anchorId="1DCC5838" wp14:editId="500F499A">
          <wp:simplePos x="0" y="0"/>
          <wp:positionH relativeFrom="page">
            <wp:posOffset>342900</wp:posOffset>
          </wp:positionH>
          <wp:positionV relativeFrom="page">
            <wp:posOffset>342900</wp:posOffset>
          </wp:positionV>
          <wp:extent cx="2037600" cy="1530000"/>
          <wp:effectExtent l="0" t="0" r="1270" b="0"/>
          <wp:wrapNone/>
          <wp:docPr id="12"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9EF">
      <w:rPr>
        <w:rFonts w:ascii="Arial" w:hAnsi="Arial"/>
        <w:b/>
        <w:color w:val="0070C0"/>
        <w:sz w:val="44"/>
        <w:szCs w:val="44"/>
        <w:lang w:val="pt-PT" w:eastAsia="fr-FR"/>
      </w:rPr>
      <w:t>15 COM</w:t>
    </w:r>
  </w:p>
  <w:p w14:paraId="617A2D85" w14:textId="7B0B79E6" w:rsidR="003D1909" w:rsidRPr="008829EF" w:rsidRDefault="003D1909" w:rsidP="000D3DF2">
    <w:pPr>
      <w:spacing w:after="0" w:line="240" w:lineRule="auto"/>
      <w:jc w:val="right"/>
      <w:rPr>
        <w:rFonts w:ascii="Arial" w:hAnsi="Arial"/>
        <w:b/>
        <w:color w:val="0070C0"/>
        <w:lang w:val="pt-PT" w:eastAsia="fr-FR"/>
      </w:rPr>
    </w:pPr>
    <w:r w:rsidRPr="008829EF">
      <w:rPr>
        <w:rFonts w:ascii="Arial" w:hAnsi="Arial"/>
        <w:b/>
        <w:color w:val="0070C0"/>
        <w:lang w:val="pt-PT" w:eastAsia="fr-FR"/>
      </w:rPr>
      <w:t>LHE/20/15.COM/</w:t>
    </w:r>
    <w:proofErr w:type="gramStart"/>
    <w:r w:rsidR="00DC519C">
      <w:rPr>
        <w:rFonts w:ascii="Arial" w:hAnsi="Arial"/>
        <w:b/>
        <w:color w:val="0070C0"/>
        <w:lang w:val="pt-PT" w:eastAsia="fr-FR"/>
      </w:rPr>
      <w:t>8.a</w:t>
    </w:r>
    <w:proofErr w:type="gramEnd"/>
  </w:p>
  <w:p w14:paraId="2731219B" w14:textId="722EC95E" w:rsidR="003D1909" w:rsidRPr="00615BB9" w:rsidRDefault="003D1909" w:rsidP="000D3DF2">
    <w:pPr>
      <w:spacing w:after="0" w:line="240" w:lineRule="auto"/>
      <w:jc w:val="right"/>
      <w:rPr>
        <w:rFonts w:ascii="Arial" w:eastAsia="Times New Roman" w:hAnsi="Arial" w:cs="Arial"/>
        <w:b/>
        <w:color w:val="0070C0"/>
        <w:lang w:val="pt-PT"/>
      </w:rPr>
    </w:pPr>
    <w:r w:rsidRPr="00615BB9">
      <w:rPr>
        <w:rFonts w:ascii="Arial" w:hAnsi="Arial"/>
        <w:b/>
        <w:color w:val="0070C0"/>
        <w:lang w:val="pt-PT" w:eastAsia="fr-FR"/>
      </w:rPr>
      <w:t xml:space="preserve">Paris, </w:t>
    </w:r>
    <w:proofErr w:type="spellStart"/>
    <w:r w:rsidRPr="00615BB9">
      <w:rPr>
        <w:rFonts w:ascii="Arial" w:hAnsi="Arial"/>
        <w:b/>
        <w:color w:val="0070C0"/>
        <w:lang w:val="pt-PT" w:eastAsia="fr-FR"/>
      </w:rPr>
      <w:t>le</w:t>
    </w:r>
    <w:proofErr w:type="spellEnd"/>
    <w:r w:rsidRPr="00615BB9">
      <w:rPr>
        <w:rFonts w:ascii="Arial" w:hAnsi="Arial"/>
        <w:b/>
        <w:color w:val="0070C0"/>
        <w:lang w:val="pt-PT" w:eastAsia="fr-FR"/>
      </w:rPr>
      <w:t xml:space="preserve"> </w:t>
    </w:r>
    <w:r w:rsidR="00DC519C" w:rsidRPr="00615BB9">
      <w:rPr>
        <w:rFonts w:ascii="Arial" w:hAnsi="Arial"/>
        <w:b/>
        <w:color w:val="0070C0"/>
        <w:lang w:val="pt-PT" w:eastAsia="fr-FR"/>
      </w:rPr>
      <w:t>16</w:t>
    </w:r>
    <w:r w:rsidR="007435A1" w:rsidRPr="00615BB9">
      <w:rPr>
        <w:rFonts w:ascii="Arial" w:hAnsi="Arial"/>
        <w:b/>
        <w:color w:val="0070C0"/>
        <w:lang w:val="pt-PT" w:eastAsia="fr-FR"/>
      </w:rPr>
      <w:t xml:space="preserve"> </w:t>
    </w:r>
    <w:proofErr w:type="spellStart"/>
    <w:r w:rsidR="00DC519C" w:rsidRPr="00615BB9">
      <w:rPr>
        <w:rFonts w:ascii="Arial" w:hAnsi="Arial"/>
        <w:b/>
        <w:color w:val="0070C0"/>
        <w:lang w:val="pt-PT" w:eastAsia="fr-FR"/>
      </w:rPr>
      <w:t>novembre</w:t>
    </w:r>
    <w:proofErr w:type="spellEnd"/>
    <w:r w:rsidR="007435A1" w:rsidRPr="00615BB9">
      <w:rPr>
        <w:rFonts w:ascii="Arial" w:hAnsi="Arial"/>
        <w:b/>
        <w:color w:val="0070C0"/>
        <w:lang w:val="pt-PT" w:eastAsia="fr-FR"/>
      </w:rPr>
      <w:t xml:space="preserve"> </w:t>
    </w:r>
    <w:r w:rsidRPr="00615BB9">
      <w:rPr>
        <w:rFonts w:ascii="Arial" w:hAnsi="Arial"/>
        <w:b/>
        <w:color w:val="0070C0"/>
        <w:lang w:val="pt-PT" w:eastAsia="fr-FR"/>
      </w:rPr>
      <w:t>2020</w:t>
    </w:r>
  </w:p>
  <w:p w14:paraId="22E30C6E" w14:textId="77777777" w:rsidR="003D1909" w:rsidRPr="008829EF" w:rsidRDefault="003D1909" w:rsidP="000D3DF2">
    <w:pPr>
      <w:pStyle w:val="Header"/>
      <w:jc w:val="right"/>
      <w:rPr>
        <w:color w:val="0070C0"/>
      </w:rPr>
    </w:pPr>
    <w:r w:rsidRPr="008829EF">
      <w:rPr>
        <w:rFonts w:ascii="Arial" w:hAnsi="Arial"/>
        <w:b/>
        <w:color w:val="0070C0"/>
        <w:lang w:eastAsia="fr-FR"/>
      </w:rPr>
      <w:t>Original : anglais</w:t>
    </w:r>
  </w:p>
  <w:p w14:paraId="7B60989F" w14:textId="77777777" w:rsidR="003D1909" w:rsidRPr="002B6C7D" w:rsidRDefault="003D1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EA7"/>
    <w:multiLevelType w:val="multilevel"/>
    <w:tmpl w:val="4E6A8C3A"/>
    <w:lvl w:ilvl="0">
      <w:start w:val="1"/>
      <w:numFmt w:val="none"/>
      <w:suff w:val="nothing"/>
      <w:lvlText w:val="%1"/>
      <w:lvlJc w:val="left"/>
      <w:pPr>
        <w:ind w:left="8146" w:firstLine="0"/>
      </w:pPr>
      <w:rPr>
        <w:rFonts w:ascii="Arial" w:hAnsi="Arial" w:hint="default"/>
        <w:color w:val="auto"/>
        <w:sz w:val="22"/>
      </w:rPr>
    </w:lvl>
    <w:lvl w:ilvl="1">
      <w:start w:val="6"/>
      <w:numFmt w:val="decimal"/>
      <w:lvlText w:val="%2."/>
      <w:lvlJc w:val="left"/>
      <w:pPr>
        <w:ind w:left="8722" w:hanging="576"/>
      </w:pPr>
      <w:rPr>
        <w:rFonts w:hint="default"/>
      </w:rPr>
    </w:lvl>
    <w:lvl w:ilvl="2">
      <w:start w:val="1"/>
      <w:numFmt w:val="lowerRoman"/>
      <w:lvlText w:val="%3)"/>
      <w:lvlJc w:val="left"/>
      <w:pPr>
        <w:ind w:left="9586" w:hanging="360"/>
      </w:pPr>
      <w:rPr>
        <w:rFonts w:hint="default"/>
      </w:rPr>
    </w:lvl>
    <w:lvl w:ilvl="3">
      <w:start w:val="1"/>
      <w:numFmt w:val="decimal"/>
      <w:lvlText w:val="(%4)"/>
      <w:lvlJc w:val="left"/>
      <w:pPr>
        <w:ind w:left="9946" w:hanging="360"/>
      </w:pPr>
      <w:rPr>
        <w:rFonts w:hint="default"/>
      </w:rPr>
    </w:lvl>
    <w:lvl w:ilvl="4">
      <w:start w:val="1"/>
      <w:numFmt w:val="lowerLetter"/>
      <w:lvlText w:val="(%5)"/>
      <w:lvlJc w:val="left"/>
      <w:pPr>
        <w:ind w:left="10306" w:hanging="360"/>
      </w:pPr>
      <w:rPr>
        <w:rFonts w:hint="default"/>
      </w:rPr>
    </w:lvl>
    <w:lvl w:ilvl="5">
      <w:start w:val="1"/>
      <w:numFmt w:val="lowerRoman"/>
      <w:lvlText w:val="(%6)"/>
      <w:lvlJc w:val="left"/>
      <w:pPr>
        <w:ind w:left="10666" w:hanging="360"/>
      </w:pPr>
      <w:rPr>
        <w:rFonts w:hint="default"/>
      </w:rPr>
    </w:lvl>
    <w:lvl w:ilvl="6">
      <w:start w:val="1"/>
      <w:numFmt w:val="decimal"/>
      <w:lvlText w:val="%7."/>
      <w:lvlJc w:val="left"/>
      <w:pPr>
        <w:ind w:left="11026" w:hanging="360"/>
      </w:pPr>
      <w:rPr>
        <w:rFonts w:hint="default"/>
      </w:rPr>
    </w:lvl>
    <w:lvl w:ilvl="7">
      <w:start w:val="1"/>
      <w:numFmt w:val="lowerLetter"/>
      <w:lvlText w:val="%8."/>
      <w:lvlJc w:val="left"/>
      <w:pPr>
        <w:ind w:left="11386" w:hanging="360"/>
      </w:pPr>
      <w:rPr>
        <w:rFonts w:hint="default"/>
      </w:rPr>
    </w:lvl>
    <w:lvl w:ilvl="8">
      <w:start w:val="1"/>
      <w:numFmt w:val="lowerRoman"/>
      <w:lvlText w:val="%9."/>
      <w:lvlJc w:val="left"/>
      <w:pPr>
        <w:ind w:left="11746" w:hanging="360"/>
      </w:pPr>
      <w:rPr>
        <w:rFonts w:hint="default"/>
      </w:rPr>
    </w:lvl>
  </w:abstractNum>
  <w:abstractNum w:abstractNumId="1" w15:restartNumberingAfterBreak="0">
    <w:nsid w:val="08AC6DF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CA1C00"/>
    <w:multiLevelType w:val="multilevel"/>
    <w:tmpl w:val="A7EA276C"/>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C001211"/>
    <w:multiLevelType w:val="multilevel"/>
    <w:tmpl w:val="A5BEE2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0D6823"/>
    <w:multiLevelType w:val="hybridMultilevel"/>
    <w:tmpl w:val="0DA84120"/>
    <w:lvl w:ilvl="0" w:tplc="E7F8C808">
      <w:start w:val="6"/>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16E61D4A"/>
    <w:multiLevelType w:val="hybridMultilevel"/>
    <w:tmpl w:val="281074DA"/>
    <w:lvl w:ilvl="0" w:tplc="0409000F">
      <w:start w:val="1"/>
      <w:numFmt w:val="decimal"/>
      <w:lvlText w:val="%1."/>
      <w:lvlJc w:val="left"/>
      <w:pPr>
        <w:ind w:left="786" w:hanging="360"/>
      </w:pPr>
    </w:lvl>
    <w:lvl w:ilvl="1" w:tplc="C6CAEED2">
      <w:start w:val="1"/>
      <w:numFmt w:val="decimal"/>
      <w:lvlText w:val="%2."/>
      <w:lvlJc w:val="left"/>
      <w:pPr>
        <w:ind w:left="1440" w:hanging="360"/>
      </w:pPr>
      <w:rPr>
        <w:rFonts w:ascii="Arial" w:eastAsiaTheme="minorEastAs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F1C0E"/>
    <w:multiLevelType w:val="hybridMultilevel"/>
    <w:tmpl w:val="2EBA0FEE"/>
    <w:lvl w:ilvl="0" w:tplc="DD14CB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48385C"/>
    <w:multiLevelType w:val="hybridMultilevel"/>
    <w:tmpl w:val="5E9E49BE"/>
    <w:lvl w:ilvl="0" w:tplc="90767C04">
      <w:start w:val="3"/>
      <w:numFmt w:val="decimal"/>
      <w:lvlText w:val="%1."/>
      <w:lvlJc w:val="left"/>
      <w:pPr>
        <w:ind w:left="720" w:hanging="360"/>
      </w:pPr>
      <w:rPr>
        <w:rFonts w:asciiTheme="minorBidi" w:hAnsiTheme="minorBidi" w:cstheme="minorBid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C174E"/>
    <w:multiLevelType w:val="multilevel"/>
    <w:tmpl w:val="EE9C9464"/>
    <w:lvl w:ilvl="0">
      <w:start w:val="1"/>
      <w:numFmt w:val="none"/>
      <w:suff w:val="nothing"/>
      <w:lvlText w:val="%1"/>
      <w:lvlJc w:val="left"/>
      <w:pPr>
        <w:ind w:left="0" w:firstLine="0"/>
      </w:pPr>
      <w:rPr>
        <w:rFonts w:ascii="Arial" w:hAnsi="Arial" w:hint="default"/>
        <w:color w:val="auto"/>
        <w:sz w:val="22"/>
      </w:rPr>
    </w:lvl>
    <w:lvl w:ilvl="1">
      <w:start w:val="6"/>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9FF1A39"/>
    <w:multiLevelType w:val="hybridMultilevel"/>
    <w:tmpl w:val="8A2E7A96"/>
    <w:lvl w:ilvl="0" w:tplc="C8E6BA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419E14D0"/>
    <w:multiLevelType w:val="hybridMultilevel"/>
    <w:tmpl w:val="281074DA"/>
    <w:lvl w:ilvl="0" w:tplc="0409000F">
      <w:start w:val="1"/>
      <w:numFmt w:val="decimal"/>
      <w:lvlText w:val="%1."/>
      <w:lvlJc w:val="left"/>
      <w:pPr>
        <w:ind w:left="720" w:hanging="360"/>
      </w:pPr>
    </w:lvl>
    <w:lvl w:ilvl="1" w:tplc="C6CAEED2">
      <w:start w:val="1"/>
      <w:numFmt w:val="decimal"/>
      <w:lvlText w:val="%2."/>
      <w:lvlJc w:val="left"/>
      <w:pPr>
        <w:ind w:left="1440" w:hanging="360"/>
      </w:pPr>
      <w:rPr>
        <w:rFonts w:ascii="Arial" w:eastAsiaTheme="minorEastAs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41F1068B"/>
    <w:multiLevelType w:val="hybridMultilevel"/>
    <w:tmpl w:val="281074DA"/>
    <w:lvl w:ilvl="0" w:tplc="0409000F">
      <w:start w:val="1"/>
      <w:numFmt w:val="decimal"/>
      <w:lvlText w:val="%1."/>
      <w:lvlJc w:val="left"/>
      <w:pPr>
        <w:ind w:left="720" w:hanging="360"/>
      </w:pPr>
    </w:lvl>
    <w:lvl w:ilvl="1" w:tplc="C6CAEED2">
      <w:start w:val="1"/>
      <w:numFmt w:val="decimal"/>
      <w:lvlText w:val="%2."/>
      <w:lvlJc w:val="left"/>
      <w:pPr>
        <w:ind w:left="1440" w:hanging="360"/>
      </w:pPr>
      <w:rPr>
        <w:rFonts w:ascii="Arial" w:eastAsiaTheme="minorEastAs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05816"/>
    <w:multiLevelType w:val="multilevel"/>
    <w:tmpl w:val="7FC65B32"/>
    <w:lvl w:ilvl="0">
      <w:start w:val="1"/>
      <w:numFmt w:val="decimal"/>
      <w:lvlText w:val="%1"/>
      <w:lvlJc w:val="left"/>
      <w:pPr>
        <w:ind w:left="0" w:firstLine="0"/>
      </w:pPr>
      <w:rPr>
        <w:rFonts w:ascii="Arial" w:eastAsia="Arial" w:hAnsi="Arial" w:cs="Arial"/>
        <w:color w:val="000000"/>
        <w:sz w:val="22"/>
        <w:szCs w:val="22"/>
      </w:rPr>
    </w:lvl>
    <w:lvl w:ilvl="1">
      <w:start w:val="1"/>
      <w:numFmt w:val="decimal"/>
      <w:lvlText w:val="%2."/>
      <w:lvlJc w:val="left"/>
      <w:pPr>
        <w:ind w:left="576" w:hanging="576"/>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48EE1119"/>
    <w:multiLevelType w:val="multilevel"/>
    <w:tmpl w:val="E70EBFF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1">
    <w:nsid w:val="4B720FDE"/>
    <w:multiLevelType w:val="hybridMultilevel"/>
    <w:tmpl w:val="6374E3F2"/>
    <w:lvl w:ilvl="0" w:tplc="5546CD64">
      <w:start w:val="1"/>
      <w:numFmt w:val="decimal"/>
      <w:lvlText w:val="%1."/>
      <w:lvlJc w:val="left"/>
      <w:pPr>
        <w:ind w:left="2520" w:hanging="360"/>
      </w:pPr>
      <w:rPr>
        <w:rFonts w:ascii="Arial" w:hAnsi="Arial" w:cs="Arial" w:hint="default"/>
      </w:rPr>
    </w:lvl>
    <w:lvl w:ilvl="1" w:tplc="C6CAEED2">
      <w:start w:val="1"/>
      <w:numFmt w:val="decimal"/>
      <w:lvlText w:val="%2."/>
      <w:lvlJc w:val="left"/>
      <w:pPr>
        <w:ind w:left="3240" w:hanging="360"/>
      </w:pPr>
      <w:rPr>
        <w:rFonts w:ascii="Arial" w:eastAsiaTheme="minorEastAsia" w:hAnsi="Arial" w:cs="Arial"/>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E7117AC"/>
    <w:multiLevelType w:val="multilevel"/>
    <w:tmpl w:val="E70EBFF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4FCC0E90"/>
    <w:multiLevelType w:val="hybridMultilevel"/>
    <w:tmpl w:val="C874A9CA"/>
    <w:lvl w:ilvl="0" w:tplc="0046F368">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1">
    <w:nsid w:val="57E81BA6"/>
    <w:multiLevelType w:val="hybridMultilevel"/>
    <w:tmpl w:val="281074DA"/>
    <w:lvl w:ilvl="0" w:tplc="0409000F">
      <w:start w:val="1"/>
      <w:numFmt w:val="decimal"/>
      <w:lvlText w:val="%1."/>
      <w:lvlJc w:val="left"/>
      <w:pPr>
        <w:ind w:left="2520" w:hanging="360"/>
      </w:pPr>
    </w:lvl>
    <w:lvl w:ilvl="1" w:tplc="C6CAEED2">
      <w:start w:val="1"/>
      <w:numFmt w:val="decimal"/>
      <w:lvlText w:val="%2."/>
      <w:lvlJc w:val="left"/>
      <w:pPr>
        <w:ind w:left="3240" w:hanging="360"/>
      </w:pPr>
      <w:rPr>
        <w:rFonts w:ascii="Arial" w:eastAsiaTheme="minorEastAsia" w:hAnsi="Arial" w:cs="Arial"/>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99597B"/>
    <w:multiLevelType w:val="hybridMultilevel"/>
    <w:tmpl w:val="08C4B470"/>
    <w:lvl w:ilvl="0" w:tplc="C6CAEED2">
      <w:start w:val="1"/>
      <w:numFmt w:val="decimal"/>
      <w:lvlText w:val="%1."/>
      <w:lvlJc w:val="left"/>
      <w:pPr>
        <w:ind w:left="1440" w:hanging="360"/>
      </w:pPr>
      <w:rPr>
        <w:rFonts w:ascii="Arial" w:eastAsiaTheme="minorEastAsia"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69360BA2"/>
    <w:multiLevelType w:val="multilevel"/>
    <w:tmpl w:val="326CA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BFA1CCC"/>
    <w:multiLevelType w:val="hybridMultilevel"/>
    <w:tmpl w:val="0F162A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6E1B46F7"/>
    <w:multiLevelType w:val="hybridMultilevel"/>
    <w:tmpl w:val="EE246E92"/>
    <w:lvl w:ilvl="0" w:tplc="4E8E0AD6">
      <w:start w:val="1"/>
      <w:numFmt w:val="decimal"/>
      <w:lvlText w:val="%1."/>
      <w:lvlJc w:val="left"/>
      <w:pPr>
        <w:ind w:left="720" w:hanging="360"/>
      </w:pPr>
      <w:rPr>
        <w:rFonts w:asciiTheme="minorBidi" w:hAnsiTheme="minorBidi" w:cstheme="minorBid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569131C"/>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77530290"/>
    <w:multiLevelType w:val="multilevel"/>
    <w:tmpl w:val="E70EBFF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1">
    <w:nsid w:val="793D5F4D"/>
    <w:multiLevelType w:val="hybridMultilevel"/>
    <w:tmpl w:val="281074DA"/>
    <w:lvl w:ilvl="0" w:tplc="0409000F">
      <w:start w:val="1"/>
      <w:numFmt w:val="decimal"/>
      <w:lvlText w:val="%1."/>
      <w:lvlJc w:val="left"/>
      <w:pPr>
        <w:ind w:left="2520" w:hanging="360"/>
      </w:pPr>
    </w:lvl>
    <w:lvl w:ilvl="1" w:tplc="C6CAEED2">
      <w:start w:val="1"/>
      <w:numFmt w:val="decimal"/>
      <w:lvlText w:val="%2."/>
      <w:lvlJc w:val="left"/>
      <w:pPr>
        <w:ind w:left="3240" w:hanging="360"/>
      </w:pPr>
      <w:rPr>
        <w:rFonts w:ascii="Arial" w:eastAsiaTheme="minorEastAsia" w:hAnsi="Arial" w:cs="Arial"/>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C2C0500"/>
    <w:multiLevelType w:val="multilevel"/>
    <w:tmpl w:val="E70EBFFC"/>
    <w:lvl w:ilvl="0">
      <w:start w:val="1"/>
      <w:numFmt w:val="none"/>
      <w:suff w:val="nothing"/>
      <w:lvlText w:val="%1"/>
      <w:lvlJc w:val="left"/>
      <w:pPr>
        <w:ind w:left="0" w:firstLine="0"/>
      </w:pPr>
      <w:rPr>
        <w:rFonts w:ascii="Arial" w:hAnsi="Arial" w:hint="default"/>
        <w:color w:val="auto"/>
        <w:sz w:val="22"/>
        <w:lang w:val="en-US"/>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18"/>
  </w:num>
  <w:num w:numId="2">
    <w:abstractNumId w:val="23"/>
  </w:num>
  <w:num w:numId="3">
    <w:abstractNumId w:val="5"/>
  </w:num>
  <w:num w:numId="4">
    <w:abstractNumId w:val="25"/>
  </w:num>
  <w:num w:numId="5">
    <w:abstractNumId w:val="9"/>
  </w:num>
  <w:num w:numId="6">
    <w:abstractNumId w:val="20"/>
  </w:num>
  <w:num w:numId="7">
    <w:abstractNumId w:val="15"/>
  </w:num>
  <w:num w:numId="8">
    <w:abstractNumId w:val="13"/>
  </w:num>
  <w:num w:numId="9">
    <w:abstractNumId w:val="1"/>
  </w:num>
  <w:num w:numId="10">
    <w:abstractNumId w:val="16"/>
  </w:num>
  <w:num w:numId="11">
    <w:abstractNumId w:val="3"/>
  </w:num>
  <w:num w:numId="12">
    <w:abstractNumId w:val="24"/>
  </w:num>
  <w:num w:numId="13">
    <w:abstractNumId w:val="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9"/>
  </w:num>
  <w:num w:numId="17">
    <w:abstractNumId w:val="12"/>
  </w:num>
  <w:num w:numId="18">
    <w:abstractNumId w:val="8"/>
  </w:num>
  <w:num w:numId="19">
    <w:abstractNumId w:val="27"/>
  </w:num>
  <w:num w:numId="20">
    <w:abstractNumId w:val="4"/>
  </w:num>
  <w:num w:numId="21">
    <w:abstractNumId w:val="11"/>
  </w:num>
  <w:num w:numId="22">
    <w:abstractNumId w:val="10"/>
  </w:num>
  <w:num w:numId="23">
    <w:abstractNumId w:val="17"/>
  </w:num>
  <w:num w:numId="24">
    <w:abstractNumId w:val="26"/>
  </w:num>
  <w:num w:numId="25">
    <w:abstractNumId w:val="14"/>
  </w:num>
  <w:num w:numId="26">
    <w:abstractNumId w:val="0"/>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F2"/>
    <w:rsid w:val="00022E16"/>
    <w:rsid w:val="000B7821"/>
    <w:rsid w:val="000D3DF2"/>
    <w:rsid w:val="000F7AC6"/>
    <w:rsid w:val="0010552C"/>
    <w:rsid w:val="00143A9E"/>
    <w:rsid w:val="00147BA1"/>
    <w:rsid w:val="001541FC"/>
    <w:rsid w:val="00193CC4"/>
    <w:rsid w:val="001946CF"/>
    <w:rsid w:val="001E2F27"/>
    <w:rsid w:val="001E6B9F"/>
    <w:rsid w:val="001F6B63"/>
    <w:rsid w:val="002076F0"/>
    <w:rsid w:val="00252275"/>
    <w:rsid w:val="00253DED"/>
    <w:rsid w:val="00290C70"/>
    <w:rsid w:val="002B3C25"/>
    <w:rsid w:val="002B6C7D"/>
    <w:rsid w:val="002C3161"/>
    <w:rsid w:val="002F2C3D"/>
    <w:rsid w:val="00316A01"/>
    <w:rsid w:val="0036168A"/>
    <w:rsid w:val="00376DE8"/>
    <w:rsid w:val="0039310A"/>
    <w:rsid w:val="003960E1"/>
    <w:rsid w:val="003B2AB8"/>
    <w:rsid w:val="003D1039"/>
    <w:rsid w:val="003D1909"/>
    <w:rsid w:val="003D6983"/>
    <w:rsid w:val="0041572D"/>
    <w:rsid w:val="00424CF5"/>
    <w:rsid w:val="004323A7"/>
    <w:rsid w:val="0043602D"/>
    <w:rsid w:val="00461D9C"/>
    <w:rsid w:val="004B2554"/>
    <w:rsid w:val="004D3860"/>
    <w:rsid w:val="004D4B68"/>
    <w:rsid w:val="004E13F4"/>
    <w:rsid w:val="004F1993"/>
    <w:rsid w:val="005060FE"/>
    <w:rsid w:val="00511682"/>
    <w:rsid w:val="0051255A"/>
    <w:rsid w:val="00545175"/>
    <w:rsid w:val="005548E5"/>
    <w:rsid w:val="005650FF"/>
    <w:rsid w:val="00565ADC"/>
    <w:rsid w:val="00567E41"/>
    <w:rsid w:val="00586912"/>
    <w:rsid w:val="005A05ED"/>
    <w:rsid w:val="005C444B"/>
    <w:rsid w:val="005D2EEC"/>
    <w:rsid w:val="005E0115"/>
    <w:rsid w:val="00615BB9"/>
    <w:rsid w:val="006406ED"/>
    <w:rsid w:val="00647158"/>
    <w:rsid w:val="006A3713"/>
    <w:rsid w:val="006A4537"/>
    <w:rsid w:val="006C6545"/>
    <w:rsid w:val="006C7427"/>
    <w:rsid w:val="006D32B2"/>
    <w:rsid w:val="006D35D9"/>
    <w:rsid w:val="00700FB1"/>
    <w:rsid w:val="00702EFA"/>
    <w:rsid w:val="00716226"/>
    <w:rsid w:val="007435A1"/>
    <w:rsid w:val="00755AED"/>
    <w:rsid w:val="0076285A"/>
    <w:rsid w:val="007A0988"/>
    <w:rsid w:val="007A341F"/>
    <w:rsid w:val="007A35EA"/>
    <w:rsid w:val="007B2D24"/>
    <w:rsid w:val="007B7B91"/>
    <w:rsid w:val="00816B6F"/>
    <w:rsid w:val="00821765"/>
    <w:rsid w:val="00824035"/>
    <w:rsid w:val="008503C8"/>
    <w:rsid w:val="00881504"/>
    <w:rsid w:val="008829EF"/>
    <w:rsid w:val="00887DB5"/>
    <w:rsid w:val="008A5ACE"/>
    <w:rsid w:val="0093737B"/>
    <w:rsid w:val="0094020A"/>
    <w:rsid w:val="00961372"/>
    <w:rsid w:val="00981249"/>
    <w:rsid w:val="00981D85"/>
    <w:rsid w:val="009879A7"/>
    <w:rsid w:val="009921A2"/>
    <w:rsid w:val="009B6CEB"/>
    <w:rsid w:val="009C4B85"/>
    <w:rsid w:val="009C598C"/>
    <w:rsid w:val="009C7AFC"/>
    <w:rsid w:val="009D2A77"/>
    <w:rsid w:val="009F6372"/>
    <w:rsid w:val="009F6C6C"/>
    <w:rsid w:val="00A156A8"/>
    <w:rsid w:val="00A209D4"/>
    <w:rsid w:val="00A93759"/>
    <w:rsid w:val="00AA18D2"/>
    <w:rsid w:val="00AB0638"/>
    <w:rsid w:val="00AB5FA6"/>
    <w:rsid w:val="00AB69F3"/>
    <w:rsid w:val="00AC783C"/>
    <w:rsid w:val="00B15D71"/>
    <w:rsid w:val="00B810EC"/>
    <w:rsid w:val="00BA678E"/>
    <w:rsid w:val="00BD548E"/>
    <w:rsid w:val="00BF6422"/>
    <w:rsid w:val="00BF7273"/>
    <w:rsid w:val="00C00D4E"/>
    <w:rsid w:val="00C04895"/>
    <w:rsid w:val="00C115C7"/>
    <w:rsid w:val="00C2157F"/>
    <w:rsid w:val="00C34688"/>
    <w:rsid w:val="00C44800"/>
    <w:rsid w:val="00CB0FEE"/>
    <w:rsid w:val="00CD0031"/>
    <w:rsid w:val="00CD76CE"/>
    <w:rsid w:val="00D02DE4"/>
    <w:rsid w:val="00D31C04"/>
    <w:rsid w:val="00D425D1"/>
    <w:rsid w:val="00D61C13"/>
    <w:rsid w:val="00DA2E45"/>
    <w:rsid w:val="00DA796F"/>
    <w:rsid w:val="00DC519C"/>
    <w:rsid w:val="00DD754C"/>
    <w:rsid w:val="00E530AB"/>
    <w:rsid w:val="00E675B9"/>
    <w:rsid w:val="00E7408A"/>
    <w:rsid w:val="00E86AB8"/>
    <w:rsid w:val="00EE2781"/>
    <w:rsid w:val="00EE2B83"/>
    <w:rsid w:val="00F1478B"/>
    <w:rsid w:val="00F24E1F"/>
    <w:rsid w:val="00F5678E"/>
    <w:rsid w:val="00F74C44"/>
    <w:rsid w:val="00F95260"/>
    <w:rsid w:val="00FF50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635276"/>
  <w15:chartTrackingRefBased/>
  <w15:docId w15:val="{3E61854D-38B4-447D-8419-553940B4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DF2"/>
    <w:rPr>
      <w:rFonts w:ascii="Segoe UI" w:hAnsi="Segoe UI" w:cs="Segoe UI"/>
      <w:sz w:val="18"/>
      <w:szCs w:val="18"/>
    </w:rPr>
  </w:style>
  <w:style w:type="paragraph" w:styleId="Header">
    <w:name w:val="header"/>
    <w:basedOn w:val="Normal"/>
    <w:link w:val="HeaderChar"/>
    <w:unhideWhenUsed/>
    <w:rsid w:val="000D3DF2"/>
    <w:pPr>
      <w:tabs>
        <w:tab w:val="center" w:pos="4680"/>
        <w:tab w:val="right" w:pos="9360"/>
      </w:tabs>
      <w:spacing w:after="0" w:line="240" w:lineRule="auto"/>
    </w:pPr>
  </w:style>
  <w:style w:type="character" w:customStyle="1" w:styleId="HeaderChar">
    <w:name w:val="Header Char"/>
    <w:basedOn w:val="DefaultParagraphFont"/>
    <w:link w:val="Header"/>
    <w:rsid w:val="000D3DF2"/>
  </w:style>
  <w:style w:type="paragraph" w:styleId="Footer">
    <w:name w:val="footer"/>
    <w:basedOn w:val="Normal"/>
    <w:link w:val="FooterChar"/>
    <w:uiPriority w:val="99"/>
    <w:unhideWhenUsed/>
    <w:rsid w:val="000D3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F2"/>
  </w:style>
  <w:style w:type="paragraph" w:customStyle="1" w:styleId="Sansinterligne2">
    <w:name w:val="Sans interligne2"/>
    <w:uiPriority w:val="1"/>
    <w:rsid w:val="000D3DF2"/>
    <w:pPr>
      <w:spacing w:after="0" w:line="240" w:lineRule="auto"/>
    </w:pPr>
    <w:rPr>
      <w:rFonts w:ascii="Times New Roman" w:eastAsia="Times New Roman" w:hAnsi="Times New Roman" w:cs="Times New Roman"/>
      <w:sz w:val="24"/>
      <w:szCs w:val="24"/>
      <w:lang w:eastAsia="fr-FR"/>
    </w:rPr>
  </w:style>
  <w:style w:type="paragraph" w:customStyle="1" w:styleId="Sansinterligne1">
    <w:name w:val="Sans interligne1"/>
    <w:uiPriority w:val="1"/>
    <w:rsid w:val="000D3DF2"/>
    <w:pPr>
      <w:spacing w:after="0" w:line="240" w:lineRule="auto"/>
    </w:pPr>
    <w:rPr>
      <w:rFonts w:ascii="Times New Roman" w:eastAsia="Times New Roman" w:hAnsi="Times New Roman" w:cs="Times New Roman"/>
      <w:sz w:val="24"/>
      <w:szCs w:val="24"/>
      <w:lang w:eastAsia="fr-FR"/>
    </w:rPr>
  </w:style>
  <w:style w:type="character" w:styleId="Hyperlink">
    <w:name w:val="Hyperlink"/>
    <w:uiPriority w:val="99"/>
    <w:rsid w:val="000D3DF2"/>
    <w:rPr>
      <w:color w:val="0563C1"/>
      <w:u w:val="single"/>
    </w:rPr>
  </w:style>
  <w:style w:type="character" w:styleId="PageNumber">
    <w:name w:val="page number"/>
    <w:basedOn w:val="DefaultParagraphFont"/>
    <w:semiHidden/>
    <w:rsid w:val="00AB69F3"/>
  </w:style>
  <w:style w:type="paragraph" w:styleId="ListParagraph">
    <w:name w:val="List Paragraph"/>
    <w:basedOn w:val="Normal"/>
    <w:uiPriority w:val="34"/>
    <w:qFormat/>
    <w:rsid w:val="00AB69F3"/>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NoSpacing1">
    <w:name w:val="No Spacing1"/>
    <w:rsid w:val="00AB69F3"/>
    <w:pPr>
      <w:spacing w:after="0" w:line="240" w:lineRule="auto"/>
    </w:pPr>
    <w:rPr>
      <w:rFonts w:ascii="Calibri" w:eastAsia="SimSun" w:hAnsi="Calibri" w:cs="Times New Roman"/>
      <w:lang w:eastAsia="fr-FR" w:bidi="fr-FR"/>
    </w:rPr>
  </w:style>
  <w:style w:type="paragraph" w:customStyle="1" w:styleId="Style1">
    <w:name w:val="Style1"/>
    <w:basedOn w:val="Normal"/>
    <w:link w:val="Style1Char"/>
    <w:qFormat/>
    <w:rsid w:val="006D35D9"/>
    <w:pPr>
      <w:tabs>
        <w:tab w:val="left" w:pos="1134"/>
        <w:tab w:val="left" w:pos="1701"/>
        <w:tab w:val="left" w:pos="2268"/>
      </w:tabs>
      <w:spacing w:before="120" w:after="120" w:line="240" w:lineRule="auto"/>
      <w:jc w:val="both"/>
    </w:pPr>
    <w:rPr>
      <w:rFonts w:ascii="Arial" w:eastAsia="Times New Roman" w:hAnsi="Arial" w:cs="Arial"/>
      <w:lang w:eastAsia="fr-FR"/>
    </w:rPr>
  </w:style>
  <w:style w:type="character" w:customStyle="1" w:styleId="Style1Char">
    <w:name w:val="Style1 Char"/>
    <w:basedOn w:val="DefaultParagraphFont"/>
    <w:link w:val="Style1"/>
    <w:rsid w:val="006D35D9"/>
    <w:rPr>
      <w:rFonts w:ascii="Arial" w:eastAsia="Times New Roman" w:hAnsi="Arial" w:cs="Arial"/>
      <w:lang w:val="fr-FR" w:eastAsia="fr-FR"/>
    </w:rPr>
  </w:style>
  <w:style w:type="numbering" w:customStyle="1" w:styleId="Headingsubdecision">
    <w:name w:val="Heading sub decision"/>
    <w:uiPriority w:val="99"/>
    <w:rsid w:val="006D35D9"/>
    <w:pPr>
      <w:numPr>
        <w:numId w:val="6"/>
      </w:numPr>
    </w:pPr>
  </w:style>
  <w:style w:type="character" w:styleId="FollowedHyperlink">
    <w:name w:val="FollowedHyperlink"/>
    <w:basedOn w:val="DefaultParagraphFont"/>
    <w:uiPriority w:val="99"/>
    <w:semiHidden/>
    <w:unhideWhenUsed/>
    <w:rsid w:val="006D35D9"/>
    <w:rPr>
      <w:color w:val="954F72" w:themeColor="followedHyperlink"/>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6D35D9"/>
    <w:rPr>
      <w:sz w:val="20"/>
      <w:szCs w:val="20"/>
    </w:rPr>
  </w:style>
  <w:style w:type="paragraph" w:styleId="CommentSubject">
    <w:name w:val="annotation subject"/>
    <w:basedOn w:val="CommentText"/>
    <w:next w:val="CommentText"/>
    <w:link w:val="CommentSubjectChar"/>
    <w:uiPriority w:val="99"/>
    <w:semiHidden/>
    <w:unhideWhenUsed/>
    <w:rsid w:val="006D35D9"/>
    <w:rPr>
      <w:b/>
      <w:bCs/>
    </w:rPr>
  </w:style>
  <w:style w:type="character" w:customStyle="1" w:styleId="CommentSubjectChar">
    <w:name w:val="Comment Subject Char"/>
    <w:basedOn w:val="CommentTextChar"/>
    <w:link w:val="CommentSubject"/>
    <w:uiPriority w:val="99"/>
    <w:semiHidden/>
    <w:rsid w:val="006D35D9"/>
    <w:rPr>
      <w:b/>
      <w:bCs/>
      <w:sz w:val="20"/>
      <w:szCs w:val="20"/>
    </w:rPr>
  </w:style>
  <w:style w:type="paragraph" w:styleId="Revision">
    <w:name w:val="Revision"/>
    <w:hidden/>
    <w:uiPriority w:val="99"/>
    <w:semiHidden/>
    <w:rsid w:val="006D35D9"/>
    <w:pPr>
      <w:spacing w:after="0" w:line="240" w:lineRule="auto"/>
    </w:pPr>
  </w:style>
  <w:style w:type="character" w:customStyle="1" w:styleId="UnresolvedMention1">
    <w:name w:val="Unresolved Mention1"/>
    <w:basedOn w:val="DefaultParagraphFont"/>
    <w:uiPriority w:val="99"/>
    <w:semiHidden/>
    <w:unhideWhenUsed/>
    <w:rsid w:val="006D35D9"/>
    <w:rPr>
      <w:color w:val="605E5C"/>
      <w:shd w:val="clear" w:color="auto" w:fill="E1DFDD"/>
    </w:rPr>
  </w:style>
  <w:style w:type="paragraph" w:styleId="NoSpacing">
    <w:name w:val="No Spacing"/>
    <w:link w:val="NoSpacingChar"/>
    <w:uiPriority w:val="1"/>
    <w:qFormat/>
    <w:rsid w:val="00DD754C"/>
    <w:pPr>
      <w:spacing w:after="0" w:line="240" w:lineRule="auto"/>
    </w:pPr>
    <w:rPr>
      <w:rFonts w:ascii="Calibri" w:eastAsia="SimSun" w:hAnsi="Calibri" w:cs="Times New Roman"/>
    </w:rPr>
  </w:style>
  <w:style w:type="character" w:customStyle="1" w:styleId="NoSpacingChar">
    <w:name w:val="No Spacing Char"/>
    <w:basedOn w:val="DefaultParagraphFont"/>
    <w:link w:val="NoSpacing"/>
    <w:uiPriority w:val="1"/>
    <w:rsid w:val="00DD754C"/>
    <w:rPr>
      <w:rFonts w:ascii="Calibri" w:eastAsia="SimSun" w:hAnsi="Calibri" w:cs="Times New Roman"/>
    </w:rPr>
  </w:style>
  <w:style w:type="character" w:styleId="UnresolvedMention">
    <w:name w:val="Unresolved Mention"/>
    <w:basedOn w:val="DefaultParagraphFont"/>
    <w:uiPriority w:val="99"/>
    <w:semiHidden/>
    <w:unhideWhenUsed/>
    <w:rsid w:val="00987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8a-liste-de-sauvegarde-urgente-01145" TargetMode="External"/><Relationship Id="rId13" Type="http://schemas.openxmlformats.org/officeDocument/2006/relationships/hyperlink" Target="#Recommandations"/><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h.unesco.org/doc/src/LHE-20-15.COM-8-FR.docx" TargetMode="External"/><Relationship Id="rId12" Type="http://schemas.openxmlformats.org/officeDocument/2006/relationships/hyperlink" Target="https://ich.unesco.org/fr/8a-liste-de-sauvegarde-urgente-0114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h.unesco.org/fr/8a-liste-de-sauvegarde-urgente-0114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ch.unesco.org/fr/8a-liste-de-sauvegarde-urgente-01145"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ich.unesco.org/fr/8a-liste-de-sauvegarde-urgente-01145" TargetMode="External"/><Relationship Id="rId1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18AEBD35FB42F18F5EFE2C726C0215"/>
        <w:category>
          <w:name w:val="General"/>
          <w:gallery w:val="placeholder"/>
        </w:category>
        <w:types>
          <w:type w:val="bbPlcHdr"/>
        </w:types>
        <w:behaviors>
          <w:behavior w:val="content"/>
        </w:behaviors>
        <w:guid w:val="{5E30D600-2857-4992-8845-231D9802FA9D}"/>
      </w:docPartPr>
      <w:docPartBody>
        <w:p w:rsidR="00682499" w:rsidRDefault="0007328B" w:rsidP="0007328B">
          <w:pPr>
            <w:pStyle w:val="B818AEBD35FB42F18F5EFE2C726C0215"/>
          </w:pPr>
          <w:r>
            <w:rPr>
              <w:color w:val="2F5496" w:themeColor="accent1" w:themeShade="BF"/>
              <w:sz w:val="24"/>
              <w:szCs w:val="24"/>
            </w:rPr>
            <w:t>[Nom de la société]</w:t>
          </w:r>
        </w:p>
      </w:docPartBody>
    </w:docPart>
    <w:docPart>
      <w:docPartPr>
        <w:name w:val="B4CE4C98C9214895BDD19AC89FFE84A0"/>
        <w:category>
          <w:name w:val="General"/>
          <w:gallery w:val="placeholder"/>
        </w:category>
        <w:types>
          <w:type w:val="bbPlcHdr"/>
        </w:types>
        <w:behaviors>
          <w:behavior w:val="content"/>
        </w:behaviors>
        <w:guid w:val="{4C206BA5-9CE2-4434-9C43-6D6396A53656}"/>
      </w:docPartPr>
      <w:docPartBody>
        <w:p w:rsidR="00682499" w:rsidRDefault="0007328B" w:rsidP="0007328B">
          <w:pPr>
            <w:pStyle w:val="B4CE4C98C9214895BDD19AC89FFE84A0"/>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8B"/>
    <w:rsid w:val="0007328B"/>
    <w:rsid w:val="00682499"/>
    <w:rsid w:val="00C90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18AEBD35FB42F18F5EFE2C726C0215">
    <w:name w:val="B818AEBD35FB42F18F5EFE2C726C0215"/>
    <w:rsid w:val="0007328B"/>
  </w:style>
  <w:style w:type="paragraph" w:customStyle="1" w:styleId="B4CE4C98C9214895BDD19AC89FFE84A0">
    <w:name w:val="B4CE4C98C9214895BDD19AC89FFE84A0"/>
    <w:rsid w:val="0007328B"/>
  </w:style>
  <w:style w:type="paragraph" w:customStyle="1" w:styleId="2262D8B5662A411F9E4CBEC752A559F6">
    <w:name w:val="2262D8B5662A411F9E4CBEC752A559F6"/>
    <w:rsid w:val="00073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15</Pages>
  <Words>7801</Words>
  <Characters>42910</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Examen des candidatures pour inscription sur la Liste du patrimoine culturel immatériel nécessitant une sauvegarde urgente</vt:lpstr>
    </vt:vector>
  </TitlesOfParts>
  <Company>POINT 8.A DE L’ORDRE DU JOUR PROVISOIRE</Company>
  <LinksUpToDate>false</LinksUpToDate>
  <CharactersWithSpaces>50610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candidatures pour inscription sur la Liste du patrimoine culturel immatériel nécessitant une sauvegarde urgente</dc:title>
  <dc:subject>Quinzième session, Comité intergouvernemental de sauvegarde du patrimoine culturel immatériel (En ligne, 14 – 19 décembre 2020)</dc:subject>
  <dc:creator>Thibault, Alice</dc:creator>
  <cp:keywords/>
  <dc:description/>
  <cp:lastModifiedBy>Nakata, Julien</cp:lastModifiedBy>
  <cp:revision>16</cp:revision>
  <dcterms:created xsi:type="dcterms:W3CDTF">2020-11-12T16:22:00Z</dcterms:created>
  <dcterms:modified xsi:type="dcterms:W3CDTF">2020-11-15T11:27:00Z</dcterms:modified>
</cp:coreProperties>
</file>