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9FF93" w14:textId="725D19B1"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6ADE5D80"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6FB5F30E" w14:textId="76C842D2" w:rsidR="00EC6F8D" w:rsidRPr="00293C60" w:rsidRDefault="00C5776D"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F</w:t>
      </w:r>
      <w:r w:rsidR="008253C5">
        <w:rPr>
          <w:rFonts w:ascii="Arial" w:eastAsiaTheme="minorEastAsia" w:hAnsi="Arial" w:cs="Arial"/>
          <w:b/>
          <w:sz w:val="22"/>
          <w:szCs w:val="22"/>
          <w:lang w:val="en-GB" w:eastAsia="ko-KR"/>
        </w:rPr>
        <w:t>ift</w:t>
      </w:r>
      <w:r w:rsidR="001D14FE">
        <w:rPr>
          <w:rFonts w:ascii="Arial" w:eastAsiaTheme="minorEastAsia" w:hAnsi="Arial" w:cs="Arial"/>
          <w:b/>
          <w:sz w:val="22"/>
          <w:szCs w:val="22"/>
          <w:lang w:val="en-GB" w:eastAsia="ko-KR"/>
        </w:rPr>
        <w:t>een</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0B009AF6" w14:textId="47D9942A" w:rsidR="00FC18D7" w:rsidRPr="00FD4562" w:rsidRDefault="00FC18D7" w:rsidP="00FC18D7">
      <w:pPr>
        <w:jc w:val="center"/>
        <w:rPr>
          <w:rFonts w:ascii="Arial" w:hAnsi="Arial" w:cs="Arial"/>
          <w:b/>
          <w:sz w:val="22"/>
          <w:szCs w:val="22"/>
          <w:lang w:val="en-GB"/>
        </w:rPr>
      </w:pPr>
      <w:r w:rsidRPr="00FD4562">
        <w:rPr>
          <w:rFonts w:ascii="Arial" w:hAnsi="Arial" w:cs="Arial"/>
          <w:b/>
          <w:sz w:val="22"/>
          <w:szCs w:val="22"/>
          <w:lang w:val="en-GB"/>
        </w:rPr>
        <w:t>Online</w:t>
      </w:r>
    </w:p>
    <w:p w14:paraId="01D527EE" w14:textId="0622C11C" w:rsidR="00EC6F8D" w:rsidRPr="00FD4562" w:rsidRDefault="00C5776D" w:rsidP="00C5776D">
      <w:pPr>
        <w:jc w:val="center"/>
        <w:rPr>
          <w:rFonts w:ascii="Arial" w:eastAsiaTheme="minorEastAsia" w:hAnsi="Arial" w:cs="Arial"/>
          <w:b/>
          <w:sz w:val="22"/>
          <w:szCs w:val="22"/>
          <w:lang w:val="en-GB" w:eastAsia="ko-KR"/>
        </w:rPr>
      </w:pPr>
      <w:r w:rsidRPr="00FD4562">
        <w:rPr>
          <w:rFonts w:ascii="Arial" w:hAnsi="Arial" w:cs="Arial"/>
          <w:b/>
          <w:sz w:val="22"/>
          <w:szCs w:val="22"/>
          <w:lang w:val="en-GB"/>
        </w:rPr>
        <w:t xml:space="preserve">14 </w:t>
      </w:r>
      <w:r w:rsidR="008253C5" w:rsidRPr="00FD4562">
        <w:rPr>
          <w:rFonts w:ascii="Arial" w:hAnsi="Arial" w:cs="Arial"/>
          <w:b/>
          <w:sz w:val="22"/>
          <w:szCs w:val="22"/>
          <w:lang w:val="en-GB"/>
        </w:rPr>
        <w:t xml:space="preserve">to 19 </w:t>
      </w:r>
      <w:r w:rsidRPr="00FD4562">
        <w:rPr>
          <w:rFonts w:ascii="Arial" w:hAnsi="Arial" w:cs="Arial"/>
          <w:b/>
          <w:sz w:val="22"/>
          <w:szCs w:val="22"/>
          <w:lang w:val="en-GB"/>
        </w:rPr>
        <w:t>December 20</w:t>
      </w:r>
      <w:r w:rsidR="008253C5" w:rsidRPr="00FD4562">
        <w:rPr>
          <w:rFonts w:ascii="Arial" w:hAnsi="Arial" w:cs="Arial"/>
          <w:b/>
          <w:sz w:val="22"/>
          <w:szCs w:val="22"/>
          <w:lang w:val="en-GB"/>
        </w:rPr>
        <w:t>20</w:t>
      </w:r>
    </w:p>
    <w:p w14:paraId="69698F4E" w14:textId="58D8D7DA" w:rsidR="00EC6F8D" w:rsidRPr="00293C60" w:rsidRDefault="00EC6F8D" w:rsidP="00EC6F8D">
      <w:pPr>
        <w:pStyle w:val="Sansinterligne2"/>
        <w:spacing w:before="1200"/>
        <w:jc w:val="center"/>
        <w:rPr>
          <w:rFonts w:ascii="Arial" w:hAnsi="Arial" w:cs="Arial"/>
          <w:b/>
          <w:sz w:val="22"/>
          <w:szCs w:val="22"/>
          <w:lang w:val="en-GB"/>
        </w:rPr>
      </w:pPr>
      <w:r w:rsidRPr="00FD4562">
        <w:rPr>
          <w:rFonts w:ascii="Arial" w:hAnsi="Arial" w:cs="Arial"/>
          <w:b/>
          <w:sz w:val="22"/>
          <w:szCs w:val="22"/>
          <w:u w:val="single"/>
          <w:lang w:val="en-GB"/>
        </w:rPr>
        <w:t xml:space="preserve">Item </w:t>
      </w:r>
      <w:r w:rsidR="00FC18D7" w:rsidRPr="00FD4562">
        <w:rPr>
          <w:rFonts w:ascii="Arial" w:hAnsi="Arial" w:cs="Arial"/>
          <w:b/>
          <w:sz w:val="22"/>
          <w:szCs w:val="22"/>
          <w:u w:val="single"/>
          <w:lang w:val="en-GB"/>
        </w:rPr>
        <w:t>7</w:t>
      </w:r>
      <w:r w:rsidR="00651A5B" w:rsidRPr="00FD4562">
        <w:rPr>
          <w:rFonts w:ascii="Arial" w:hAnsi="Arial" w:cs="Arial"/>
          <w:b/>
          <w:sz w:val="22"/>
          <w:szCs w:val="22"/>
          <w:u w:val="single"/>
          <w:lang w:val="en-GB"/>
        </w:rPr>
        <w:t xml:space="preserve"> </w:t>
      </w:r>
      <w:r w:rsidRPr="00FD4562">
        <w:rPr>
          <w:rFonts w:ascii="Arial" w:hAnsi="Arial" w:cs="Arial"/>
          <w:b/>
          <w:sz w:val="22"/>
          <w:szCs w:val="22"/>
          <w:u w:val="single"/>
          <w:lang w:val="en-GB"/>
        </w:rPr>
        <w:t>of the Provisional</w:t>
      </w:r>
      <w:r w:rsidRPr="00293C60">
        <w:rPr>
          <w:rFonts w:ascii="Arial" w:hAnsi="Arial" w:cs="Arial"/>
          <w:b/>
          <w:sz w:val="22"/>
          <w:szCs w:val="22"/>
          <w:u w:val="single"/>
          <w:lang w:val="en-GB"/>
        </w:rPr>
        <w:t xml:space="preserve"> Agenda</w:t>
      </w:r>
      <w:r w:rsidRPr="00293C60">
        <w:rPr>
          <w:rFonts w:ascii="Arial" w:hAnsi="Arial" w:cs="Arial"/>
          <w:b/>
          <w:sz w:val="22"/>
          <w:szCs w:val="22"/>
          <w:lang w:val="en-GB"/>
        </w:rPr>
        <w:t>:</w:t>
      </w:r>
    </w:p>
    <w:p w14:paraId="11AB85DF" w14:textId="77777777" w:rsidR="004A2875" w:rsidRPr="00293C60" w:rsidRDefault="004A2875" w:rsidP="009617B0">
      <w:pPr>
        <w:pStyle w:val="Sansinterligne2"/>
        <w:spacing w:after="600"/>
        <w:jc w:val="center"/>
        <w:rPr>
          <w:rFonts w:ascii="Arial" w:hAnsi="Arial" w:cs="Arial"/>
          <w:b/>
          <w:sz w:val="22"/>
          <w:szCs w:val="22"/>
          <w:lang w:val="en-GB"/>
        </w:rPr>
      </w:pPr>
      <w:r w:rsidRPr="002E373B">
        <w:rPr>
          <w:rFonts w:ascii="Arial" w:hAnsi="Arial" w:cs="Arial"/>
          <w:b/>
          <w:sz w:val="22"/>
          <w:szCs w:val="22"/>
          <w:lang w:val="en-GB"/>
        </w:rPr>
        <w:t>Examination of the reports of States Parties on the current status of elements</w:t>
      </w:r>
      <w:r w:rsidRPr="002E373B">
        <w:rPr>
          <w:rFonts w:ascii="Arial" w:hAnsi="Arial" w:cs="Arial"/>
          <w:b/>
          <w:sz w:val="22"/>
          <w:szCs w:val="22"/>
          <w:lang w:val="en-GB"/>
        </w:rPr>
        <w:br/>
        <w:t>inscribed on the List of Intangible Cultural Heritage in Need of Urgent Safeguarding</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7715D" w14:paraId="7638607C" w14:textId="77777777" w:rsidTr="00EC6F8D">
        <w:trPr>
          <w:jc w:val="center"/>
        </w:trPr>
        <w:tc>
          <w:tcPr>
            <w:tcW w:w="5670" w:type="dxa"/>
            <w:vAlign w:val="center"/>
          </w:tcPr>
          <w:p w14:paraId="7C3B8104" w14:textId="77777777" w:rsidR="00EC6F8D" w:rsidRPr="00293C60" w:rsidRDefault="00EC6F8D" w:rsidP="001417C7">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3E289764" w14:textId="619A667F" w:rsidR="00EC39B1" w:rsidRPr="00851CF8" w:rsidRDefault="004A2875" w:rsidP="00D06D30">
            <w:pPr>
              <w:pStyle w:val="Sansinterligne2"/>
              <w:spacing w:before="200" w:after="200"/>
              <w:jc w:val="both"/>
              <w:rPr>
                <w:rFonts w:ascii="Arial" w:hAnsi="Arial" w:cs="Arial"/>
                <w:sz w:val="22"/>
                <w:szCs w:val="22"/>
                <w:lang w:val="en-GB"/>
              </w:rPr>
            </w:pPr>
            <w:r w:rsidRPr="002E373B">
              <w:rPr>
                <w:rFonts w:ascii="Arial" w:hAnsi="Arial" w:cs="Arial"/>
                <w:sz w:val="22"/>
                <w:szCs w:val="22"/>
                <w:lang w:val="en-GB"/>
              </w:rPr>
              <w:t xml:space="preserve">Paragraph 160 of the Operational Directives stipulates that ‘Each State Party shall submit to the Committee reports on the status of elements of intangible cultural heritage present in its territory that have been inscribed on the List of Intangible Cultural Heritage in Need of Urgent Safeguarding’. </w:t>
            </w:r>
            <w:r w:rsidR="001A7686">
              <w:rPr>
                <w:rFonts w:ascii="Arial" w:hAnsi="Arial" w:cs="Arial"/>
                <w:sz w:val="22"/>
                <w:szCs w:val="22"/>
                <w:lang w:val="en-GB"/>
              </w:rPr>
              <w:t xml:space="preserve">This document covers </w:t>
            </w:r>
            <w:r w:rsidR="006A27C9">
              <w:rPr>
                <w:rFonts w:ascii="Arial" w:hAnsi="Arial" w:cs="Arial"/>
                <w:sz w:val="22"/>
                <w:szCs w:val="22"/>
                <w:lang w:val="en-GB"/>
              </w:rPr>
              <w:t>the</w:t>
            </w:r>
            <w:r w:rsidR="00EC39B1" w:rsidRPr="00C64C6F">
              <w:rPr>
                <w:rFonts w:ascii="Arial" w:hAnsi="Arial" w:cs="Arial"/>
                <w:sz w:val="22"/>
                <w:szCs w:val="22"/>
                <w:lang w:val="en-GB"/>
              </w:rPr>
              <w:t xml:space="preserve"> reporting on </w:t>
            </w:r>
            <w:r w:rsidR="00822AFC">
              <w:rPr>
                <w:rFonts w:ascii="Arial" w:hAnsi="Arial" w:cs="Arial"/>
                <w:sz w:val="22"/>
                <w:szCs w:val="22"/>
                <w:lang w:val="en-GB"/>
              </w:rPr>
              <w:t>seven</w:t>
            </w:r>
            <w:r w:rsidR="00EC39B1" w:rsidRPr="00C64C6F">
              <w:rPr>
                <w:rFonts w:ascii="Arial" w:hAnsi="Arial" w:cs="Arial"/>
                <w:sz w:val="22"/>
                <w:szCs w:val="22"/>
                <w:lang w:val="en-GB"/>
              </w:rPr>
              <w:t xml:space="preserve"> elements inscribed in 20</w:t>
            </w:r>
            <w:r w:rsidR="00822AFC">
              <w:rPr>
                <w:rFonts w:ascii="Arial" w:hAnsi="Arial" w:cs="Arial"/>
                <w:sz w:val="22"/>
                <w:szCs w:val="22"/>
                <w:lang w:val="en-GB"/>
              </w:rPr>
              <w:t>11 and two elements inscribed in 2015</w:t>
            </w:r>
            <w:r w:rsidR="00EC39B1" w:rsidRPr="00C64C6F">
              <w:rPr>
                <w:rFonts w:ascii="Arial" w:hAnsi="Arial" w:cs="Arial"/>
                <w:sz w:val="22"/>
                <w:szCs w:val="22"/>
                <w:lang w:val="en-GB"/>
              </w:rPr>
              <w:t>.</w:t>
            </w:r>
            <w:r w:rsidR="00EC39B1">
              <w:rPr>
                <w:rFonts w:ascii="Arial" w:hAnsi="Arial" w:cs="Arial"/>
                <w:sz w:val="22"/>
                <w:szCs w:val="22"/>
                <w:lang w:val="en-GB"/>
              </w:rPr>
              <w:t xml:space="preserve"> The </w:t>
            </w:r>
            <w:r w:rsidR="00BC121D">
              <w:rPr>
                <w:rFonts w:ascii="Arial" w:hAnsi="Arial" w:cs="Arial"/>
                <w:sz w:val="22"/>
                <w:szCs w:val="22"/>
                <w:lang w:val="en-GB"/>
              </w:rPr>
              <w:t>nine</w:t>
            </w:r>
            <w:r w:rsidR="00EC39B1" w:rsidRPr="002E373B">
              <w:rPr>
                <w:rFonts w:ascii="Arial" w:hAnsi="Arial" w:cs="Arial"/>
                <w:sz w:val="22"/>
                <w:szCs w:val="22"/>
                <w:lang w:val="en-GB"/>
              </w:rPr>
              <w:t xml:space="preserve"> reports </w:t>
            </w:r>
            <w:r w:rsidR="00854FA3" w:rsidRPr="002E373B">
              <w:rPr>
                <w:rFonts w:ascii="Arial" w:hAnsi="Arial" w:cs="Arial"/>
                <w:sz w:val="22"/>
                <w:szCs w:val="22"/>
                <w:lang w:val="en-GB"/>
              </w:rPr>
              <w:t>submitted by States Parties</w:t>
            </w:r>
            <w:r w:rsidR="00854FA3">
              <w:rPr>
                <w:rFonts w:ascii="Arial" w:hAnsi="Arial" w:cs="Arial"/>
                <w:sz w:val="22"/>
                <w:szCs w:val="22"/>
                <w:lang w:val="en-GB"/>
              </w:rPr>
              <w:t>,</w:t>
            </w:r>
            <w:r w:rsidR="00854FA3" w:rsidRPr="002E373B">
              <w:rPr>
                <w:rFonts w:ascii="Arial" w:hAnsi="Arial" w:cs="Arial"/>
                <w:sz w:val="22"/>
                <w:szCs w:val="22"/>
                <w:lang w:val="en-GB"/>
              </w:rPr>
              <w:t xml:space="preserve"> </w:t>
            </w:r>
            <w:r w:rsidR="00D06D30">
              <w:rPr>
                <w:rFonts w:ascii="Arial" w:hAnsi="Arial" w:cs="Arial"/>
                <w:sz w:val="22"/>
                <w:szCs w:val="22"/>
                <w:lang w:val="en-GB"/>
              </w:rPr>
              <w:t>out of the fifteen</w:t>
            </w:r>
            <w:r w:rsidR="00004750">
              <w:rPr>
                <w:rFonts w:ascii="Arial" w:hAnsi="Arial" w:cs="Arial"/>
                <w:sz w:val="22"/>
                <w:szCs w:val="22"/>
                <w:lang w:val="en-GB"/>
              </w:rPr>
              <w:t xml:space="preserve"> expected for </w:t>
            </w:r>
            <w:r w:rsidR="0020656F">
              <w:rPr>
                <w:rFonts w:ascii="Arial" w:hAnsi="Arial" w:cs="Arial"/>
                <w:sz w:val="22"/>
                <w:szCs w:val="22"/>
                <w:lang w:val="en-GB"/>
              </w:rPr>
              <w:t>this cycle</w:t>
            </w:r>
            <w:r w:rsidR="00D06D30">
              <w:rPr>
                <w:rFonts w:ascii="Arial" w:hAnsi="Arial" w:cs="Arial"/>
                <w:sz w:val="22"/>
                <w:szCs w:val="22"/>
                <w:lang w:val="en-GB"/>
              </w:rPr>
              <w:t xml:space="preserve">, </w:t>
            </w:r>
            <w:r w:rsidR="00B808C5">
              <w:rPr>
                <w:rFonts w:ascii="Arial" w:hAnsi="Arial" w:cs="Arial"/>
                <w:sz w:val="22"/>
                <w:szCs w:val="22"/>
                <w:lang w:val="en-GB"/>
              </w:rPr>
              <w:t>are</w:t>
            </w:r>
            <w:r w:rsidR="00004750">
              <w:rPr>
                <w:rFonts w:ascii="Arial" w:hAnsi="Arial" w:cs="Arial"/>
                <w:sz w:val="22"/>
                <w:szCs w:val="22"/>
                <w:lang w:val="en-GB"/>
              </w:rPr>
              <w:t xml:space="preserve"> presented to the Committee for its examination at</w:t>
            </w:r>
            <w:r w:rsidR="00D06D30">
              <w:rPr>
                <w:rFonts w:ascii="Arial" w:hAnsi="Arial" w:cs="Arial"/>
                <w:sz w:val="22"/>
                <w:szCs w:val="22"/>
                <w:lang w:val="en-GB"/>
              </w:rPr>
              <w:t xml:space="preserve"> this session</w:t>
            </w:r>
            <w:r w:rsidR="00EC39B1">
              <w:rPr>
                <w:rFonts w:ascii="Arial" w:hAnsi="Arial" w:cs="Arial"/>
                <w:sz w:val="22"/>
                <w:szCs w:val="22"/>
                <w:lang w:val="en-GB"/>
              </w:rPr>
              <w:t xml:space="preserve">. </w:t>
            </w:r>
            <w:r w:rsidR="00EC39B1" w:rsidRPr="00C32A90">
              <w:rPr>
                <w:rFonts w:ascii="Arial" w:hAnsi="Arial" w:cs="Arial"/>
                <w:sz w:val="22"/>
                <w:szCs w:val="22"/>
                <w:lang w:val="en-GB"/>
              </w:rPr>
              <w:t xml:space="preserve">The present document includes background information (Part A), general observations on the reports </w:t>
            </w:r>
            <w:r w:rsidR="0020656F">
              <w:rPr>
                <w:rFonts w:ascii="Arial" w:hAnsi="Arial" w:cs="Arial"/>
                <w:sz w:val="22"/>
                <w:szCs w:val="22"/>
                <w:lang w:val="en-GB"/>
              </w:rPr>
              <w:t xml:space="preserve">and a draft overall decision </w:t>
            </w:r>
            <w:r w:rsidR="00EC39B1" w:rsidRPr="00C32A90">
              <w:rPr>
                <w:rFonts w:ascii="Arial" w:hAnsi="Arial" w:cs="Arial"/>
                <w:sz w:val="22"/>
                <w:szCs w:val="22"/>
                <w:lang w:val="en-GB"/>
              </w:rPr>
              <w:t>(Part B)</w:t>
            </w:r>
            <w:r w:rsidR="0020656F">
              <w:rPr>
                <w:rFonts w:ascii="Arial" w:hAnsi="Arial" w:cs="Arial"/>
                <w:sz w:val="22"/>
                <w:szCs w:val="22"/>
                <w:lang w:val="en-GB"/>
              </w:rPr>
              <w:t>, as well as</w:t>
            </w:r>
            <w:r w:rsidR="00EC39B1" w:rsidRPr="00C32A90">
              <w:rPr>
                <w:rFonts w:ascii="Arial" w:hAnsi="Arial" w:cs="Arial"/>
                <w:sz w:val="22"/>
                <w:szCs w:val="22"/>
                <w:lang w:val="en-GB"/>
              </w:rPr>
              <w:t xml:space="preserve"> </w:t>
            </w:r>
            <w:r w:rsidR="00335331">
              <w:rPr>
                <w:rFonts w:ascii="Arial" w:hAnsi="Arial" w:cs="Arial"/>
                <w:sz w:val="22"/>
                <w:szCs w:val="22"/>
                <w:lang w:val="en-GB"/>
              </w:rPr>
              <w:t xml:space="preserve">a set of assessments and a draft decision for each report for the Committee’s consideration </w:t>
            </w:r>
            <w:r w:rsidR="00EC39B1" w:rsidRPr="00C32A90">
              <w:rPr>
                <w:rFonts w:ascii="Arial" w:hAnsi="Arial" w:cs="Arial"/>
                <w:sz w:val="22"/>
                <w:szCs w:val="22"/>
                <w:lang w:val="en-GB"/>
              </w:rPr>
              <w:t>(Part C).</w:t>
            </w:r>
          </w:p>
          <w:p w14:paraId="2D6E296F" w14:textId="243F8833" w:rsidR="00EC6F8D" w:rsidRPr="00293C60" w:rsidRDefault="00EC6F8D" w:rsidP="002F65D4">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Decision</w:t>
            </w:r>
            <w:r w:rsidR="00E01419">
              <w:rPr>
                <w:rFonts w:ascii="Arial" w:hAnsi="Arial" w:cs="Arial"/>
                <w:b/>
                <w:sz w:val="22"/>
                <w:szCs w:val="22"/>
                <w:lang w:val="en-GB"/>
              </w:rPr>
              <w:t>s</w:t>
            </w:r>
            <w:r w:rsidRPr="00293C60">
              <w:rPr>
                <w:rFonts w:ascii="Arial" w:hAnsi="Arial" w:cs="Arial"/>
                <w:b/>
                <w:sz w:val="22"/>
                <w:szCs w:val="22"/>
                <w:lang w:val="en-GB"/>
              </w:rPr>
              <w:t xml:space="preserve"> required: </w:t>
            </w:r>
            <w:r w:rsidRPr="00DF12BC">
              <w:rPr>
                <w:rFonts w:ascii="Arial" w:hAnsi="Arial" w:cs="Arial"/>
                <w:bCs/>
                <w:sz w:val="22"/>
                <w:szCs w:val="22"/>
                <w:lang w:val="en-GB"/>
              </w:rPr>
              <w:t>paragraph</w:t>
            </w:r>
            <w:r w:rsidR="00E01419" w:rsidRPr="00DF12BC">
              <w:rPr>
                <w:rFonts w:ascii="Arial" w:hAnsi="Arial" w:cs="Arial"/>
                <w:bCs/>
                <w:sz w:val="22"/>
                <w:szCs w:val="22"/>
                <w:lang w:val="en-GB"/>
              </w:rPr>
              <w:t>s</w:t>
            </w:r>
            <w:r w:rsidRPr="00DF12BC">
              <w:rPr>
                <w:rFonts w:ascii="Arial" w:hAnsi="Arial" w:cs="Arial"/>
                <w:bCs/>
                <w:sz w:val="22"/>
                <w:szCs w:val="22"/>
                <w:lang w:val="en-GB"/>
              </w:rPr>
              <w:t xml:space="preserve"> </w:t>
            </w:r>
            <w:r w:rsidR="003F6662" w:rsidRPr="00CC7CD4">
              <w:rPr>
                <w:rFonts w:ascii="Arial" w:hAnsi="Arial" w:cs="Arial"/>
                <w:bCs/>
                <w:sz w:val="22"/>
                <w:szCs w:val="22"/>
                <w:lang w:val="en-GB"/>
              </w:rPr>
              <w:t>1</w:t>
            </w:r>
            <w:r w:rsidR="00C67643" w:rsidRPr="00CC7CD4">
              <w:rPr>
                <w:rFonts w:ascii="Arial" w:hAnsi="Arial" w:cs="Arial"/>
                <w:bCs/>
                <w:sz w:val="22"/>
                <w:szCs w:val="22"/>
                <w:lang w:val="en-GB"/>
              </w:rPr>
              <w:t>6</w:t>
            </w:r>
            <w:r w:rsidR="00631D20" w:rsidRPr="00CC7CD4">
              <w:rPr>
                <w:rFonts w:ascii="Arial" w:hAnsi="Arial" w:cs="Arial"/>
                <w:bCs/>
                <w:sz w:val="22"/>
                <w:szCs w:val="22"/>
                <w:lang w:val="en-GB"/>
              </w:rPr>
              <w:t xml:space="preserve">, </w:t>
            </w:r>
            <w:r w:rsidR="00FA5AFE" w:rsidRPr="00CC7CD4">
              <w:rPr>
                <w:rFonts w:ascii="Arial" w:hAnsi="Arial" w:cs="Arial"/>
                <w:bCs/>
                <w:sz w:val="22"/>
                <w:szCs w:val="22"/>
                <w:lang w:val="en-GB"/>
              </w:rPr>
              <w:t>2</w:t>
            </w:r>
            <w:r w:rsidR="00C67643" w:rsidRPr="00CC7CD4">
              <w:rPr>
                <w:rFonts w:ascii="Arial" w:hAnsi="Arial" w:cs="Arial"/>
                <w:bCs/>
                <w:sz w:val="22"/>
                <w:szCs w:val="22"/>
                <w:lang w:val="en-GB"/>
              </w:rPr>
              <w:t>3</w:t>
            </w:r>
            <w:r w:rsidR="00DF12BC" w:rsidRPr="00CC7CD4">
              <w:rPr>
                <w:rFonts w:ascii="Arial" w:hAnsi="Arial" w:cs="Arial"/>
                <w:bCs/>
                <w:sz w:val="22"/>
                <w:szCs w:val="22"/>
                <w:lang w:val="en-GB"/>
              </w:rPr>
              <w:t>,</w:t>
            </w:r>
            <w:r w:rsidR="00631D20" w:rsidRPr="00CC7CD4">
              <w:rPr>
                <w:rFonts w:ascii="Arial" w:hAnsi="Arial" w:cs="Arial"/>
                <w:bCs/>
                <w:sz w:val="22"/>
                <w:szCs w:val="22"/>
                <w:lang w:val="en-GB"/>
              </w:rPr>
              <w:t xml:space="preserve"> </w:t>
            </w:r>
            <w:r w:rsidR="00C67643" w:rsidRPr="00CC7CD4">
              <w:rPr>
                <w:rFonts w:ascii="Arial" w:hAnsi="Arial" w:cs="Arial"/>
                <w:bCs/>
                <w:sz w:val="22"/>
                <w:szCs w:val="22"/>
                <w:lang w:val="en-GB"/>
              </w:rPr>
              <w:t>30</w:t>
            </w:r>
            <w:r w:rsidR="00631D20" w:rsidRPr="00CC7CD4">
              <w:rPr>
                <w:rFonts w:ascii="Arial" w:hAnsi="Arial" w:cs="Arial"/>
                <w:bCs/>
                <w:sz w:val="22"/>
                <w:szCs w:val="22"/>
                <w:lang w:val="en-GB"/>
              </w:rPr>
              <w:t xml:space="preserve">, </w:t>
            </w:r>
            <w:r w:rsidR="00182C65" w:rsidRPr="00CC7CD4">
              <w:rPr>
                <w:rFonts w:ascii="Arial" w:hAnsi="Arial" w:cs="Arial"/>
                <w:bCs/>
                <w:sz w:val="22"/>
                <w:szCs w:val="22"/>
                <w:lang w:val="en-GB"/>
              </w:rPr>
              <w:t>3</w:t>
            </w:r>
            <w:r w:rsidR="00C67643" w:rsidRPr="00CC7CD4">
              <w:rPr>
                <w:rFonts w:ascii="Arial" w:hAnsi="Arial" w:cs="Arial"/>
                <w:bCs/>
                <w:sz w:val="22"/>
                <w:szCs w:val="22"/>
                <w:lang w:val="en-GB"/>
              </w:rPr>
              <w:t>7</w:t>
            </w:r>
            <w:r w:rsidR="00DF12BC" w:rsidRPr="00CC7CD4">
              <w:rPr>
                <w:rFonts w:ascii="Arial" w:hAnsi="Arial" w:cs="Arial"/>
                <w:bCs/>
                <w:sz w:val="22"/>
                <w:szCs w:val="22"/>
                <w:lang w:val="en-GB"/>
              </w:rPr>
              <w:t xml:space="preserve">, </w:t>
            </w:r>
            <w:r w:rsidR="00182C65" w:rsidRPr="00CC7CD4">
              <w:rPr>
                <w:rFonts w:ascii="Arial" w:hAnsi="Arial" w:cs="Arial"/>
                <w:bCs/>
                <w:sz w:val="22"/>
                <w:szCs w:val="22"/>
                <w:lang w:val="en-GB"/>
              </w:rPr>
              <w:t>4</w:t>
            </w:r>
            <w:r w:rsidR="00C67643" w:rsidRPr="00CC7CD4">
              <w:rPr>
                <w:rFonts w:ascii="Arial" w:hAnsi="Arial" w:cs="Arial"/>
                <w:bCs/>
                <w:sz w:val="22"/>
                <w:szCs w:val="22"/>
                <w:lang w:val="en-GB"/>
              </w:rPr>
              <w:t>4</w:t>
            </w:r>
            <w:r w:rsidR="00DF12BC" w:rsidRPr="00CC7CD4">
              <w:rPr>
                <w:rFonts w:ascii="Arial" w:hAnsi="Arial" w:cs="Arial"/>
                <w:bCs/>
                <w:sz w:val="22"/>
                <w:szCs w:val="22"/>
                <w:lang w:val="en-GB"/>
              </w:rPr>
              <w:t xml:space="preserve">, </w:t>
            </w:r>
            <w:r w:rsidR="003F6662" w:rsidRPr="00CC7CD4">
              <w:rPr>
                <w:rFonts w:ascii="Arial" w:hAnsi="Arial" w:cs="Arial"/>
                <w:bCs/>
                <w:sz w:val="22"/>
                <w:szCs w:val="22"/>
                <w:lang w:val="en-GB"/>
              </w:rPr>
              <w:t>5</w:t>
            </w:r>
            <w:r w:rsidR="00C67643" w:rsidRPr="00CC7CD4">
              <w:rPr>
                <w:rFonts w:ascii="Arial" w:hAnsi="Arial" w:cs="Arial"/>
                <w:bCs/>
                <w:sz w:val="22"/>
                <w:szCs w:val="22"/>
                <w:lang w:val="en-GB"/>
              </w:rPr>
              <w:t>1</w:t>
            </w:r>
            <w:r w:rsidR="00DF12BC" w:rsidRPr="00CC7CD4">
              <w:rPr>
                <w:rFonts w:ascii="Arial" w:hAnsi="Arial" w:cs="Arial"/>
                <w:bCs/>
                <w:sz w:val="22"/>
                <w:szCs w:val="22"/>
                <w:lang w:val="en-GB"/>
              </w:rPr>
              <w:t xml:space="preserve">, </w:t>
            </w:r>
            <w:r w:rsidR="007245A3" w:rsidRPr="00CC7CD4">
              <w:rPr>
                <w:rFonts w:ascii="Arial" w:hAnsi="Arial" w:cs="Arial"/>
                <w:bCs/>
                <w:sz w:val="22"/>
                <w:szCs w:val="22"/>
                <w:lang w:val="en-GB"/>
              </w:rPr>
              <w:t>5</w:t>
            </w:r>
            <w:r w:rsidR="00C67643" w:rsidRPr="00CC7CD4">
              <w:rPr>
                <w:rFonts w:ascii="Arial" w:hAnsi="Arial" w:cs="Arial"/>
                <w:bCs/>
                <w:sz w:val="22"/>
                <w:szCs w:val="22"/>
                <w:lang w:val="en-GB"/>
              </w:rPr>
              <w:t>8</w:t>
            </w:r>
            <w:r w:rsidR="00DF12BC" w:rsidRPr="00CC7CD4">
              <w:rPr>
                <w:rFonts w:ascii="Arial" w:hAnsi="Arial" w:cs="Arial"/>
                <w:bCs/>
                <w:sz w:val="22"/>
                <w:szCs w:val="22"/>
                <w:lang w:val="en-GB"/>
              </w:rPr>
              <w:t xml:space="preserve">, </w:t>
            </w:r>
            <w:r w:rsidR="00895880" w:rsidRPr="00CC7CD4">
              <w:rPr>
                <w:rFonts w:ascii="Arial" w:hAnsi="Arial" w:cs="Arial"/>
                <w:bCs/>
                <w:sz w:val="22"/>
                <w:szCs w:val="22"/>
                <w:lang w:val="en-GB"/>
              </w:rPr>
              <w:t>6</w:t>
            </w:r>
            <w:r w:rsidR="00C67643" w:rsidRPr="00CC7CD4">
              <w:rPr>
                <w:rFonts w:ascii="Arial" w:hAnsi="Arial" w:cs="Arial"/>
                <w:bCs/>
                <w:sz w:val="22"/>
                <w:szCs w:val="22"/>
                <w:lang w:val="en-GB"/>
              </w:rPr>
              <w:t>4</w:t>
            </w:r>
            <w:r w:rsidR="00DF12BC" w:rsidRPr="00CC7CD4">
              <w:rPr>
                <w:rFonts w:ascii="Arial" w:hAnsi="Arial" w:cs="Arial"/>
                <w:bCs/>
                <w:sz w:val="22"/>
                <w:szCs w:val="22"/>
                <w:lang w:val="en-GB"/>
              </w:rPr>
              <w:t xml:space="preserve">, </w:t>
            </w:r>
            <w:r w:rsidR="00C67643" w:rsidRPr="00CC7CD4">
              <w:rPr>
                <w:rFonts w:ascii="Arial" w:hAnsi="Arial" w:cs="Arial"/>
                <w:bCs/>
                <w:sz w:val="22"/>
                <w:szCs w:val="22"/>
                <w:lang w:val="en-GB"/>
              </w:rPr>
              <w:t>70</w:t>
            </w:r>
            <w:r w:rsidR="00C705DF" w:rsidRPr="00CC7CD4">
              <w:rPr>
                <w:rFonts w:ascii="Arial" w:hAnsi="Arial" w:cs="Arial"/>
                <w:bCs/>
                <w:sz w:val="22"/>
                <w:szCs w:val="22"/>
                <w:lang w:val="en-GB"/>
              </w:rPr>
              <w:t xml:space="preserve"> and</w:t>
            </w:r>
            <w:r w:rsidR="00631D20" w:rsidRPr="00CC7CD4">
              <w:rPr>
                <w:rFonts w:ascii="Arial" w:hAnsi="Arial" w:cs="Arial"/>
                <w:bCs/>
                <w:sz w:val="22"/>
                <w:szCs w:val="22"/>
                <w:lang w:val="en-GB"/>
              </w:rPr>
              <w:t xml:space="preserve"> </w:t>
            </w:r>
            <w:r w:rsidR="00390EE9" w:rsidRPr="00CC7CD4">
              <w:rPr>
                <w:rFonts w:ascii="Arial" w:hAnsi="Arial" w:cs="Arial"/>
                <w:bCs/>
                <w:sz w:val="22"/>
                <w:szCs w:val="22"/>
                <w:lang w:val="en-GB"/>
              </w:rPr>
              <w:t>7</w:t>
            </w:r>
            <w:r w:rsidR="00C67643" w:rsidRPr="00CC7CD4">
              <w:rPr>
                <w:rFonts w:ascii="Arial" w:hAnsi="Arial" w:cs="Arial"/>
                <w:bCs/>
                <w:sz w:val="22"/>
                <w:szCs w:val="22"/>
                <w:lang w:val="en-GB"/>
              </w:rPr>
              <w:t>7</w:t>
            </w:r>
          </w:p>
        </w:tc>
      </w:tr>
    </w:tbl>
    <w:p w14:paraId="6BDA7B17" w14:textId="77777777" w:rsidR="004A2875" w:rsidRPr="009B4638"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DF12BC">
        <w:rPr>
          <w:lang w:val="en-US"/>
        </w:rPr>
        <w:br w:type="page"/>
      </w:r>
      <w:r w:rsidR="004A2875">
        <w:rPr>
          <w:rFonts w:ascii="Arial" w:hAnsi="Arial" w:cs="Arial"/>
          <w:b/>
          <w:snapToGrid w:val="0"/>
          <w:sz w:val="22"/>
          <w:szCs w:val="22"/>
          <w:lang w:val="en-GB" w:eastAsia="en-US"/>
        </w:rPr>
        <w:lastRenderedPageBreak/>
        <w:t>B</w:t>
      </w:r>
      <w:r w:rsidR="004A2875" w:rsidRPr="009B4638">
        <w:rPr>
          <w:rFonts w:ascii="Arial" w:hAnsi="Arial" w:cs="Arial"/>
          <w:b/>
          <w:snapToGrid w:val="0"/>
          <w:sz w:val="22"/>
          <w:szCs w:val="22"/>
          <w:lang w:val="en-GB" w:eastAsia="en-US"/>
        </w:rPr>
        <w:t>ackground information</w:t>
      </w:r>
    </w:p>
    <w:p w14:paraId="37B11FE9" w14:textId="78831D75" w:rsidR="00EF3E78" w:rsidRPr="005C4EC7" w:rsidRDefault="00EF3E78" w:rsidP="00EF3E78">
      <w:pPr>
        <w:pStyle w:val="COMPara"/>
        <w:numPr>
          <w:ilvl w:val="0"/>
          <w:numId w:val="14"/>
        </w:numPr>
        <w:ind w:left="567" w:hanging="567"/>
        <w:jc w:val="both"/>
      </w:pPr>
      <w:r>
        <w:t>In accordance with paragraph</w:t>
      </w:r>
      <w:r w:rsidR="006A27C9">
        <w:t>s</w:t>
      </w:r>
      <w:r>
        <w:t xml:space="preserve"> 160 to 164 of the Operational Directives, each State Party </w:t>
      </w:r>
      <w:r w:rsidR="006A27C9">
        <w:t xml:space="preserve">with </w:t>
      </w:r>
      <w:r>
        <w:t xml:space="preserve">an element inscribed on the List of Intangible Cultural Heritage in Need of Urgent Safeguarding </w:t>
      </w:r>
      <w:r w:rsidR="00A41602">
        <w:t xml:space="preserve">(hereafter, ‘the Urgent Safeguarding List’) </w:t>
      </w:r>
      <w:r>
        <w:t>shall submit to the Committee regular reports on</w:t>
      </w:r>
      <w:r w:rsidR="006A27C9">
        <w:t xml:space="preserve"> the</w:t>
      </w:r>
      <w:r>
        <w:t xml:space="preserve"> status</w:t>
      </w:r>
      <w:r w:rsidR="006A27C9">
        <w:t xml:space="preserve"> of the element in question</w:t>
      </w:r>
      <w:r>
        <w:t xml:space="preserve">. These reports are normally submitted by 15 December of the fourth year following the year in which the element was inscribed, and every fourth year thereafter. </w:t>
      </w:r>
      <w:r w:rsidR="006A27C9">
        <w:t>Upon submission, t</w:t>
      </w:r>
      <w:r>
        <w:t>he</w:t>
      </w:r>
      <w:r w:rsidR="00BD550F">
        <w:t>y are received and processed</w:t>
      </w:r>
      <w:r>
        <w:t xml:space="preserve"> by the Secretariat</w:t>
      </w:r>
      <w:r w:rsidR="00FD4331">
        <w:t>,</w:t>
      </w:r>
      <w:r>
        <w:t xml:space="preserve"> as described in paragraph</w:t>
      </w:r>
      <w:r w:rsidR="006A27C9">
        <w:t>s</w:t>
      </w:r>
      <w:r>
        <w:t xml:space="preserve"> </w:t>
      </w:r>
      <w:r w:rsidRPr="000C6F3A">
        <w:t xml:space="preserve">165 </w:t>
      </w:r>
      <w:r w:rsidR="00694057" w:rsidRPr="000C6F3A">
        <w:t xml:space="preserve">and </w:t>
      </w:r>
      <w:r w:rsidRPr="000C6F3A">
        <w:t>16</w:t>
      </w:r>
      <w:r w:rsidR="00694057" w:rsidRPr="000C6F3A">
        <w:t>6</w:t>
      </w:r>
      <w:r>
        <w:t xml:space="preserve"> of the Operational Directives.</w:t>
      </w:r>
    </w:p>
    <w:p w14:paraId="2121FF8B" w14:textId="0A65AE8A" w:rsidR="00EA4C53" w:rsidRDefault="00BD550F" w:rsidP="00EA4C53">
      <w:pPr>
        <w:pStyle w:val="COMPara"/>
        <w:numPr>
          <w:ilvl w:val="0"/>
          <w:numId w:val="14"/>
        </w:numPr>
        <w:ind w:left="567" w:hanging="567"/>
        <w:jc w:val="both"/>
      </w:pPr>
      <w:r>
        <w:t xml:space="preserve">One of </w:t>
      </w:r>
      <w:r w:rsidR="0000201B">
        <w:t>the Committee’s duties</w:t>
      </w:r>
      <w:r w:rsidR="00FD4331">
        <w:t>, as</w:t>
      </w:r>
      <w:r w:rsidR="0000201B">
        <w:t xml:space="preserve"> </w:t>
      </w:r>
      <w:r w:rsidR="007E6560">
        <w:t>identified in Article 7(f) of the Convention</w:t>
      </w:r>
      <w:r w:rsidR="00FD4331">
        <w:t>,</w:t>
      </w:r>
      <w:r w:rsidR="007E6560">
        <w:t xml:space="preserve"> </w:t>
      </w:r>
      <w:r w:rsidR="00FD4331">
        <w:t>is to</w:t>
      </w:r>
      <w:r w:rsidR="0000201B">
        <w:t xml:space="preserve"> </w:t>
      </w:r>
      <w:r w:rsidR="0000201B" w:rsidRPr="000D474B">
        <w:t>‘examine, in accordance with Article 29, the reports submitted by States Parties, and to summarize them for the General Assembly’</w:t>
      </w:r>
      <w:r w:rsidR="0000201B">
        <w:t>. Furthermore,</w:t>
      </w:r>
      <w:r w:rsidR="00A310F3">
        <w:t xml:space="preserve"> in accordance with</w:t>
      </w:r>
      <w:r w:rsidR="0000201B">
        <w:t xml:space="preserve"> Article 29</w:t>
      </w:r>
      <w:r w:rsidR="006A27C9">
        <w:t>,</w:t>
      </w:r>
      <w:r w:rsidR="0000201B">
        <w:t xml:space="preserve"> ‘</w:t>
      </w:r>
      <w:r w:rsidR="0000201B" w:rsidRPr="002E373B">
        <w:t xml:space="preserve">the States Parties shall submit to the Committee […] reports on the legislative, regulatory and other measures taken for the implementation of this Convention’. </w:t>
      </w:r>
      <w:r w:rsidR="007E6560">
        <w:t>In conformity with Article </w:t>
      </w:r>
      <w:r w:rsidR="007E6560" w:rsidRPr="002E373B">
        <w:t>30</w:t>
      </w:r>
      <w:r w:rsidR="007E6560">
        <w:t xml:space="preserve">, </w:t>
      </w:r>
      <w:r w:rsidR="0000201B" w:rsidRPr="002E373B">
        <w:t xml:space="preserve">the Committee then submits its </w:t>
      </w:r>
      <w:r w:rsidR="0000201B">
        <w:t xml:space="preserve">own </w:t>
      </w:r>
      <w:r w:rsidR="0000201B" w:rsidRPr="002E373B">
        <w:t>report</w:t>
      </w:r>
      <w:r w:rsidR="007E6560">
        <w:t xml:space="preserve">, </w:t>
      </w:r>
      <w:r w:rsidR="007E6560" w:rsidRPr="00044589">
        <w:t>based in part on these reports,</w:t>
      </w:r>
      <w:r w:rsidR="007E6560" w:rsidRPr="002E373B">
        <w:t xml:space="preserve"> </w:t>
      </w:r>
      <w:r w:rsidR="0000201B" w:rsidRPr="002E373B">
        <w:t>to the General Assembly</w:t>
      </w:r>
      <w:r w:rsidR="0000201B">
        <w:t>.</w:t>
      </w:r>
    </w:p>
    <w:p w14:paraId="30553F6E" w14:textId="6F153BE7" w:rsidR="0057439C" w:rsidRDefault="007E17B3" w:rsidP="00F85447">
      <w:pPr>
        <w:pStyle w:val="COMPara"/>
        <w:numPr>
          <w:ilvl w:val="0"/>
          <w:numId w:val="14"/>
        </w:numPr>
        <w:ind w:left="567" w:hanging="567"/>
        <w:jc w:val="both"/>
      </w:pPr>
      <w:r>
        <w:t xml:space="preserve">The present document concerns the </w:t>
      </w:r>
      <w:r w:rsidR="006116F5">
        <w:t>seventh</w:t>
      </w:r>
      <w:r>
        <w:t xml:space="preserve"> cycle of ordinary reporting, covering the period from the date of inscription or the date of the previous report until December 201</w:t>
      </w:r>
      <w:r w:rsidR="006116F5">
        <w:t>9</w:t>
      </w:r>
      <w:r>
        <w:t xml:space="preserve">. </w:t>
      </w:r>
      <w:r w:rsidR="00044589" w:rsidRPr="005F2EFF">
        <w:t>Fifteen</w:t>
      </w:r>
      <w:r w:rsidR="008E00D2" w:rsidRPr="005F2EFF">
        <w:t xml:space="preserve"> </w:t>
      </w:r>
      <w:r w:rsidRPr="005F2EFF">
        <w:t xml:space="preserve">reports were expected to be examined by the Committee at its present session. These include </w:t>
      </w:r>
      <w:r w:rsidR="00044589" w:rsidRPr="005F2EFF">
        <w:t>ten</w:t>
      </w:r>
      <w:r w:rsidRPr="005F2EFF">
        <w:t xml:space="preserve"> repo</w:t>
      </w:r>
      <w:r w:rsidR="008E00D2" w:rsidRPr="005F2EFF">
        <w:t>rts on elements inscribed in 201</w:t>
      </w:r>
      <w:r w:rsidR="006116F5" w:rsidRPr="005F2EFF">
        <w:t>1</w:t>
      </w:r>
      <w:r w:rsidR="008E00D2" w:rsidRPr="005F2EFF">
        <w:t xml:space="preserve"> (second ordinary cycle)</w:t>
      </w:r>
      <w:r w:rsidR="006116F5" w:rsidRPr="005F2EFF">
        <w:t xml:space="preserve"> and</w:t>
      </w:r>
      <w:r w:rsidR="008E00D2" w:rsidRPr="005F2EFF">
        <w:t xml:space="preserve"> </w:t>
      </w:r>
      <w:r w:rsidR="00044589" w:rsidRPr="005F2EFF">
        <w:t>five</w:t>
      </w:r>
      <w:r w:rsidR="008E00D2">
        <w:t xml:space="preserve"> on elements inscribed in 201</w:t>
      </w:r>
      <w:r w:rsidR="006116F5">
        <w:t>5</w:t>
      </w:r>
      <w:r w:rsidR="008E00D2">
        <w:t xml:space="preserve"> (first ordinary cycle).</w:t>
      </w:r>
    </w:p>
    <w:p w14:paraId="4C6827B0" w14:textId="2CE81B59" w:rsidR="00C52762" w:rsidRPr="00D61EBE" w:rsidRDefault="00534733" w:rsidP="004A4936">
      <w:pPr>
        <w:pStyle w:val="COMPara"/>
        <w:numPr>
          <w:ilvl w:val="0"/>
          <w:numId w:val="14"/>
        </w:numPr>
        <w:ind w:left="567" w:hanging="567"/>
        <w:jc w:val="both"/>
        <w:rPr>
          <w:lang w:val="en-US"/>
        </w:rPr>
      </w:pPr>
      <w:r>
        <w:t>Out of t</w:t>
      </w:r>
      <w:r w:rsidR="008E00D2">
        <w:t xml:space="preserve">he </w:t>
      </w:r>
      <w:r>
        <w:t xml:space="preserve">five </w:t>
      </w:r>
      <w:r w:rsidR="008E00D2">
        <w:t xml:space="preserve">reports expected on elements inscribed </w:t>
      </w:r>
      <w:r w:rsidR="00135091">
        <w:t>in 201</w:t>
      </w:r>
      <w:r>
        <w:t>5</w:t>
      </w:r>
      <w:r w:rsidR="00765F81">
        <w:t xml:space="preserve">, </w:t>
      </w:r>
      <w:r w:rsidR="00E7413C">
        <w:t xml:space="preserve">Mongolia and Uganda </w:t>
      </w:r>
      <w:r w:rsidR="00135091">
        <w:t xml:space="preserve">submitted </w:t>
      </w:r>
      <w:r w:rsidR="00BD550F" w:rsidRPr="00A86C3B">
        <w:t>their</w:t>
      </w:r>
      <w:r w:rsidR="00E7413C" w:rsidRPr="00A86C3B">
        <w:t xml:space="preserve"> </w:t>
      </w:r>
      <w:r w:rsidR="003600FE">
        <w:t xml:space="preserve">first </w:t>
      </w:r>
      <w:r w:rsidR="00E7413C" w:rsidRPr="00A86C3B">
        <w:t>report</w:t>
      </w:r>
      <w:r w:rsidR="00E7413C">
        <w:t xml:space="preserve"> </w:t>
      </w:r>
      <w:r w:rsidR="00135091">
        <w:t xml:space="preserve">on time. Of the </w:t>
      </w:r>
      <w:r w:rsidR="00C83043">
        <w:t xml:space="preserve">ten </w:t>
      </w:r>
      <w:r w:rsidR="0005055F">
        <w:t xml:space="preserve">reports </w:t>
      </w:r>
      <w:r w:rsidR="00EF3E78">
        <w:t xml:space="preserve">expected </w:t>
      </w:r>
      <w:r w:rsidR="0005055F">
        <w:t>on element</w:t>
      </w:r>
      <w:r w:rsidR="00EF3E78">
        <w:t>s</w:t>
      </w:r>
      <w:r w:rsidR="00C83043">
        <w:t xml:space="preserve"> inscribed in 2011</w:t>
      </w:r>
      <w:r w:rsidR="0005055F">
        <w:t xml:space="preserve">, </w:t>
      </w:r>
      <w:r w:rsidR="00E7413C">
        <w:t>Indonesia, Iran (two reports), Mali, Mongolia and United Arab Emirates</w:t>
      </w:r>
      <w:r w:rsidR="00BD550F">
        <w:t xml:space="preserve"> submitted their second </w:t>
      </w:r>
      <w:r w:rsidR="00BD550F" w:rsidRPr="00D61EBE">
        <w:t>report on time</w:t>
      </w:r>
      <w:r w:rsidR="001F7CBE" w:rsidRPr="00D61EBE">
        <w:t xml:space="preserve">, </w:t>
      </w:r>
      <w:r w:rsidR="00BD550F" w:rsidRPr="00D61EBE">
        <w:t>and</w:t>
      </w:r>
      <w:r w:rsidR="001F7CBE" w:rsidRPr="00D61EBE">
        <w:t xml:space="preserve"> Brazil </w:t>
      </w:r>
      <w:r w:rsidR="00BD550F" w:rsidRPr="00D61EBE">
        <w:t>submitted a third report, having</w:t>
      </w:r>
      <w:r w:rsidR="001F7CBE" w:rsidRPr="00D61EBE">
        <w:t xml:space="preserve"> also submitted an extraordinary report two years after</w:t>
      </w:r>
      <w:r w:rsidR="00BD550F" w:rsidRPr="00D61EBE">
        <w:t xml:space="preserve"> the</w:t>
      </w:r>
      <w:r w:rsidR="001F7CBE" w:rsidRPr="00D61EBE">
        <w:t xml:space="preserve"> inscription</w:t>
      </w:r>
      <w:r w:rsidR="00BC2E2F" w:rsidRPr="00D61EBE">
        <w:t xml:space="preserve"> of its element in 2011</w:t>
      </w:r>
      <w:r w:rsidR="00E7413C" w:rsidRPr="00D61EBE">
        <w:t>.</w:t>
      </w:r>
    </w:p>
    <w:p w14:paraId="460EC1D0" w14:textId="5F6DE372" w:rsidR="00E01E12" w:rsidRPr="00D61EBE" w:rsidRDefault="009F6C84" w:rsidP="00347D1E">
      <w:pPr>
        <w:pStyle w:val="COMPara"/>
        <w:numPr>
          <w:ilvl w:val="0"/>
          <w:numId w:val="14"/>
        </w:numPr>
        <w:ind w:left="567" w:hanging="567"/>
        <w:jc w:val="both"/>
      </w:pPr>
      <w:r w:rsidRPr="00D61EBE">
        <w:t xml:space="preserve">Three reports were overdue </w:t>
      </w:r>
      <w:r w:rsidR="00BD550F" w:rsidRPr="00D61EBE">
        <w:t xml:space="preserve">by </w:t>
      </w:r>
      <w:r w:rsidR="00BD550F" w:rsidRPr="00D61EBE">
        <w:rPr>
          <w:lang w:val="en-US"/>
        </w:rPr>
        <w:t>China, Mauritania and Peru</w:t>
      </w:r>
      <w:r w:rsidR="00BD550F" w:rsidRPr="00D61EBE">
        <w:t xml:space="preserve"> </w:t>
      </w:r>
      <w:r w:rsidRPr="00D61EBE">
        <w:t xml:space="preserve">for elements inscribed in 2011, while three reports for elements inscribed in 2015 </w:t>
      </w:r>
      <w:r w:rsidR="0013664F" w:rsidRPr="00D61EBE">
        <w:t xml:space="preserve">were overdue </w:t>
      </w:r>
      <w:r w:rsidRPr="00D61EBE">
        <w:t xml:space="preserve">by </w:t>
      </w:r>
      <w:r w:rsidRPr="00D61EBE">
        <w:rPr>
          <w:lang w:val="en-US"/>
        </w:rPr>
        <w:t>Colombia, North Macedonia</w:t>
      </w:r>
      <w:r w:rsidR="0013664F" w:rsidRPr="00D61EBE">
        <w:rPr>
          <w:lang w:val="en-US"/>
        </w:rPr>
        <w:t xml:space="preserve"> and</w:t>
      </w:r>
      <w:r w:rsidRPr="00D61EBE">
        <w:rPr>
          <w:lang w:val="en-US"/>
        </w:rPr>
        <w:t xml:space="preserve"> Portugal.</w:t>
      </w:r>
      <w:r w:rsidR="00C52762" w:rsidRPr="00D61EBE">
        <w:rPr>
          <w:lang w:val="en-US"/>
        </w:rPr>
        <w:t xml:space="preserve"> </w:t>
      </w:r>
      <w:r w:rsidR="00EA272A" w:rsidRPr="00D61EBE">
        <w:rPr>
          <w:lang w:val="en-US"/>
        </w:rPr>
        <w:t xml:space="preserve">In addition, </w:t>
      </w:r>
      <w:r w:rsidR="001F44F2" w:rsidRPr="00D61EBE">
        <w:rPr>
          <w:lang w:val="en-US"/>
        </w:rPr>
        <w:t xml:space="preserve">the second </w:t>
      </w:r>
      <w:r w:rsidR="00EA272A" w:rsidRPr="00D61EBE">
        <w:rPr>
          <w:lang w:val="en-US"/>
        </w:rPr>
        <w:t>reports</w:t>
      </w:r>
      <w:r w:rsidR="00EA272A" w:rsidRPr="00D61EBE">
        <w:t xml:space="preserve"> </w:t>
      </w:r>
      <w:r w:rsidR="00BD550F" w:rsidRPr="00D61EBE">
        <w:t xml:space="preserve">by China </w:t>
      </w:r>
      <w:r w:rsidR="00EA272A" w:rsidRPr="00D61EBE">
        <w:t xml:space="preserve">on </w:t>
      </w:r>
      <w:r w:rsidR="00123B3C" w:rsidRPr="00D61EBE">
        <w:t xml:space="preserve">three </w:t>
      </w:r>
      <w:r w:rsidR="00EA272A" w:rsidRPr="00D61EBE">
        <w:t xml:space="preserve">elements inscribed in </w:t>
      </w:r>
      <w:r w:rsidR="00123B3C" w:rsidRPr="00D61EBE">
        <w:t>2009 and three elements inscribed in 2010</w:t>
      </w:r>
      <w:r w:rsidR="001F44F2" w:rsidRPr="00D61EBE">
        <w:t>,</w:t>
      </w:r>
      <w:r w:rsidR="00EA272A" w:rsidRPr="00D61EBE">
        <w:t xml:space="preserve"> which </w:t>
      </w:r>
      <w:r w:rsidR="001F44F2" w:rsidRPr="00D61EBE">
        <w:t xml:space="preserve">have been due </w:t>
      </w:r>
      <w:r w:rsidR="00BD550F" w:rsidRPr="00D61EBE">
        <w:t xml:space="preserve">since </w:t>
      </w:r>
      <w:r w:rsidR="001F44F2" w:rsidRPr="00D61EBE">
        <w:t>2017</w:t>
      </w:r>
      <w:r w:rsidR="00EA272A" w:rsidRPr="00D61EBE">
        <w:t>, are still pending.</w:t>
      </w:r>
      <w:r w:rsidR="00853D81" w:rsidRPr="00D61EBE">
        <w:t xml:space="preserve"> </w:t>
      </w:r>
      <w:r w:rsidR="00E01E12" w:rsidRPr="00D61EBE">
        <w:t xml:space="preserve">The </w:t>
      </w:r>
      <w:r w:rsidR="00584D79" w:rsidRPr="00D61EBE">
        <w:t xml:space="preserve">submission of </w:t>
      </w:r>
      <w:r w:rsidR="00D40637" w:rsidRPr="00D61EBE">
        <w:t xml:space="preserve">all overdue </w:t>
      </w:r>
      <w:r w:rsidR="00E01E12" w:rsidRPr="00D61EBE">
        <w:t>report</w:t>
      </w:r>
      <w:r w:rsidR="00584D79" w:rsidRPr="00D61EBE">
        <w:t>s</w:t>
      </w:r>
      <w:r w:rsidR="00E01E12" w:rsidRPr="00D61EBE">
        <w:t xml:space="preserve"> indicated in the table below is expected in December 20</w:t>
      </w:r>
      <w:r w:rsidR="001F44F2" w:rsidRPr="00D61EBE">
        <w:t>20</w:t>
      </w:r>
      <w:r w:rsidR="00E01E12" w:rsidRPr="00D61EBE">
        <w:t xml:space="preserve"> at the latest, for examination by the Committee during its </w:t>
      </w:r>
      <w:r w:rsidR="001F44F2" w:rsidRPr="00D61EBE">
        <w:t>sixteenth</w:t>
      </w:r>
      <w:r w:rsidR="00E01E12" w:rsidRPr="00D61EBE">
        <w:t xml:space="preserve"> session in 202</w:t>
      </w:r>
      <w:r w:rsidR="001F44F2" w:rsidRPr="00D61EBE">
        <w:t>1</w:t>
      </w:r>
      <w:r w:rsidR="00E01E12" w:rsidRPr="00D61EBE">
        <w:t>.</w:t>
      </w: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4A0" w:firstRow="1" w:lastRow="0" w:firstColumn="1" w:lastColumn="0" w:noHBand="0" w:noVBand="1"/>
      </w:tblPr>
      <w:tblGrid>
        <w:gridCol w:w="1159"/>
        <w:gridCol w:w="5599"/>
        <w:gridCol w:w="1138"/>
        <w:gridCol w:w="1176"/>
      </w:tblGrid>
      <w:tr w:rsidR="00E01E12" w:rsidRPr="002E373B" w14:paraId="1B9BB960" w14:textId="77777777" w:rsidTr="00BD550F">
        <w:trPr>
          <w:cantSplit/>
          <w:tblHeader/>
        </w:trPr>
        <w:tc>
          <w:tcPr>
            <w:tcW w:w="639" w:type="pct"/>
            <w:shd w:val="clear" w:color="auto" w:fill="BFBFBF"/>
            <w:vAlign w:val="center"/>
            <w:hideMark/>
          </w:tcPr>
          <w:p w14:paraId="3F2E22ED"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b/>
                <w:bCs/>
                <w:color w:val="000000"/>
                <w:sz w:val="20"/>
                <w:szCs w:val="20"/>
                <w:lang w:val="en-GB" w:eastAsia="en-GB"/>
              </w:rPr>
              <w:t>Submitting State</w:t>
            </w:r>
          </w:p>
        </w:tc>
        <w:tc>
          <w:tcPr>
            <w:tcW w:w="3086" w:type="pct"/>
            <w:shd w:val="clear" w:color="auto" w:fill="BFBFBF"/>
            <w:vAlign w:val="center"/>
            <w:hideMark/>
          </w:tcPr>
          <w:p w14:paraId="67FEBA2F"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b/>
                <w:bCs/>
                <w:color w:val="000000"/>
                <w:sz w:val="20"/>
                <w:szCs w:val="20"/>
                <w:lang w:val="en-GB" w:eastAsia="en-GB"/>
              </w:rPr>
              <w:t>Element</w:t>
            </w:r>
          </w:p>
        </w:tc>
        <w:tc>
          <w:tcPr>
            <w:tcW w:w="627" w:type="pct"/>
            <w:shd w:val="clear" w:color="auto" w:fill="BFBFBF"/>
          </w:tcPr>
          <w:p w14:paraId="32397FFB" w14:textId="77777777" w:rsidR="00E01E12" w:rsidRPr="002A7211" w:rsidRDefault="00E01E12" w:rsidP="00BD550F">
            <w:pPr>
              <w:spacing w:before="120" w:after="120"/>
              <w:jc w:val="center"/>
              <w:rPr>
                <w:rFonts w:ascii="Arial" w:hAnsi="Arial" w:cs="Arial"/>
                <w:b/>
                <w:bCs/>
                <w:color w:val="000000"/>
                <w:sz w:val="20"/>
                <w:szCs w:val="20"/>
                <w:lang w:val="en-GB" w:eastAsia="en-GB"/>
              </w:rPr>
            </w:pPr>
            <w:r w:rsidRPr="002A7211">
              <w:rPr>
                <w:rFonts w:ascii="Arial" w:hAnsi="Arial" w:cs="Arial"/>
                <w:b/>
                <w:bCs/>
                <w:color w:val="000000"/>
                <w:sz w:val="20"/>
                <w:szCs w:val="20"/>
                <w:lang w:val="en-GB" w:eastAsia="en-GB"/>
              </w:rPr>
              <w:t xml:space="preserve">Year of inscription </w:t>
            </w:r>
          </w:p>
        </w:tc>
        <w:tc>
          <w:tcPr>
            <w:tcW w:w="648" w:type="pct"/>
            <w:shd w:val="clear" w:color="auto" w:fill="BFBFBF"/>
            <w:vAlign w:val="center"/>
            <w:hideMark/>
          </w:tcPr>
          <w:p w14:paraId="62EF9108"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b/>
                <w:bCs/>
                <w:color w:val="000000"/>
                <w:sz w:val="20"/>
                <w:szCs w:val="20"/>
                <w:lang w:val="en-GB" w:eastAsia="en-GB"/>
              </w:rPr>
              <w:t>File No.</w:t>
            </w:r>
          </w:p>
        </w:tc>
      </w:tr>
      <w:tr w:rsidR="00E01E12" w:rsidRPr="002E373B" w14:paraId="1DC1E04D" w14:textId="77777777" w:rsidTr="00BD550F">
        <w:trPr>
          <w:cantSplit/>
        </w:trPr>
        <w:tc>
          <w:tcPr>
            <w:tcW w:w="639" w:type="pct"/>
          </w:tcPr>
          <w:p w14:paraId="402346B5" w14:textId="77777777" w:rsidR="00E01E12" w:rsidRPr="002A7211" w:rsidRDefault="00E01E12" w:rsidP="00BD550F">
            <w:pPr>
              <w:spacing w:before="120" w:after="120"/>
              <w:rPr>
                <w:rFonts w:ascii="Arial" w:hAnsi="Arial" w:cs="Arial"/>
                <w:color w:val="000000"/>
                <w:sz w:val="20"/>
                <w:szCs w:val="20"/>
                <w:lang w:val="en-GB"/>
              </w:rPr>
            </w:pPr>
            <w:r w:rsidRPr="002A7211">
              <w:rPr>
                <w:rFonts w:ascii="Arial" w:hAnsi="Arial" w:cs="Arial"/>
                <w:color w:val="000000"/>
                <w:sz w:val="20"/>
                <w:szCs w:val="20"/>
                <w:lang w:val="en-GB"/>
              </w:rPr>
              <w:t>China</w:t>
            </w:r>
          </w:p>
        </w:tc>
        <w:tc>
          <w:tcPr>
            <w:tcW w:w="3086" w:type="pct"/>
          </w:tcPr>
          <w:p w14:paraId="245C5563" w14:textId="77777777" w:rsidR="00E01E12" w:rsidRPr="002A7211" w:rsidRDefault="00E01E12" w:rsidP="00BD550F">
            <w:pPr>
              <w:spacing w:before="120" w:after="120"/>
              <w:rPr>
                <w:rFonts w:ascii="Arial" w:hAnsi="Arial" w:cs="Arial"/>
                <w:color w:val="000000"/>
                <w:sz w:val="20"/>
                <w:szCs w:val="20"/>
                <w:lang w:val="en-GB"/>
              </w:rPr>
            </w:pPr>
            <w:r w:rsidRPr="002A7211">
              <w:rPr>
                <w:rFonts w:ascii="Arial" w:hAnsi="Arial" w:cs="Arial"/>
                <w:color w:val="000000"/>
                <w:sz w:val="20"/>
                <w:szCs w:val="20"/>
                <w:lang w:val="en-GB"/>
              </w:rPr>
              <w:t>Traditional Li textile techniques: spinning, dyeing, weaving and embroidering</w:t>
            </w:r>
          </w:p>
        </w:tc>
        <w:tc>
          <w:tcPr>
            <w:tcW w:w="627" w:type="pct"/>
          </w:tcPr>
          <w:p w14:paraId="05448352"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color w:val="000000"/>
                <w:sz w:val="20"/>
                <w:szCs w:val="20"/>
                <w:lang w:val="en-GB"/>
              </w:rPr>
              <w:t>2009</w:t>
            </w:r>
          </w:p>
        </w:tc>
        <w:tc>
          <w:tcPr>
            <w:tcW w:w="648" w:type="pct"/>
          </w:tcPr>
          <w:p w14:paraId="306E97CA" w14:textId="77777777" w:rsidR="00E01E12" w:rsidRPr="002A7211" w:rsidRDefault="00963952" w:rsidP="00BD550F">
            <w:pPr>
              <w:spacing w:before="120" w:after="120"/>
              <w:jc w:val="center"/>
              <w:rPr>
                <w:rFonts w:ascii="Arial" w:hAnsi="Arial" w:cs="Arial"/>
                <w:sz w:val="20"/>
                <w:szCs w:val="20"/>
                <w:lang w:val="en-GB"/>
              </w:rPr>
            </w:pPr>
            <w:hyperlink r:id="rId8" w:history="1">
              <w:r w:rsidR="00E01E12" w:rsidRPr="002A7211">
                <w:rPr>
                  <w:rStyle w:val="Lienhypertexte"/>
                  <w:rFonts w:ascii="Arial" w:hAnsi="Arial" w:cs="Arial"/>
                  <w:sz w:val="20"/>
                  <w:szCs w:val="20"/>
                  <w:lang w:val="en-GB"/>
                </w:rPr>
                <w:t>00302</w:t>
              </w:r>
            </w:hyperlink>
          </w:p>
        </w:tc>
      </w:tr>
      <w:tr w:rsidR="00E01E12" w:rsidRPr="002E373B" w14:paraId="0F3A0A26" w14:textId="77777777" w:rsidTr="00BD550F">
        <w:trPr>
          <w:cantSplit/>
        </w:trPr>
        <w:tc>
          <w:tcPr>
            <w:tcW w:w="639" w:type="pct"/>
          </w:tcPr>
          <w:p w14:paraId="31C69B20" w14:textId="77777777" w:rsidR="00E01E12" w:rsidRPr="002A7211" w:rsidRDefault="00E01E12" w:rsidP="00BD550F">
            <w:pPr>
              <w:spacing w:before="120" w:after="120"/>
              <w:rPr>
                <w:rFonts w:ascii="Arial" w:hAnsi="Arial" w:cs="Arial"/>
                <w:color w:val="000000"/>
                <w:sz w:val="20"/>
                <w:szCs w:val="20"/>
                <w:lang w:val="en-GB"/>
              </w:rPr>
            </w:pPr>
            <w:r w:rsidRPr="002A7211">
              <w:rPr>
                <w:rFonts w:ascii="Arial" w:hAnsi="Arial" w:cs="Arial"/>
                <w:color w:val="000000"/>
                <w:sz w:val="20"/>
                <w:szCs w:val="20"/>
                <w:lang w:val="en-GB"/>
              </w:rPr>
              <w:t>China</w:t>
            </w:r>
          </w:p>
        </w:tc>
        <w:tc>
          <w:tcPr>
            <w:tcW w:w="3086" w:type="pct"/>
          </w:tcPr>
          <w:p w14:paraId="2B39FA76" w14:textId="77777777" w:rsidR="00E01E12" w:rsidRPr="002A7211" w:rsidRDefault="00E01E12" w:rsidP="00BD550F">
            <w:pPr>
              <w:spacing w:before="120" w:after="120"/>
              <w:rPr>
                <w:rFonts w:ascii="Arial" w:hAnsi="Arial" w:cs="Arial"/>
                <w:color w:val="000000"/>
                <w:sz w:val="20"/>
                <w:szCs w:val="20"/>
                <w:lang w:val="en-US"/>
              </w:rPr>
            </w:pPr>
            <w:r w:rsidRPr="002A7211">
              <w:rPr>
                <w:rFonts w:ascii="Arial" w:hAnsi="Arial" w:cs="Arial"/>
                <w:color w:val="000000"/>
                <w:sz w:val="20"/>
                <w:szCs w:val="20"/>
                <w:lang w:val="en-GB"/>
              </w:rPr>
              <w:t>Traditional design and practices for building Chinese wooden arch bridges</w:t>
            </w:r>
          </w:p>
        </w:tc>
        <w:tc>
          <w:tcPr>
            <w:tcW w:w="627" w:type="pct"/>
          </w:tcPr>
          <w:p w14:paraId="6A4A408E"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color w:val="000000"/>
                <w:sz w:val="20"/>
                <w:szCs w:val="20"/>
                <w:lang w:val="en-GB"/>
              </w:rPr>
              <w:t>2009</w:t>
            </w:r>
          </w:p>
        </w:tc>
        <w:tc>
          <w:tcPr>
            <w:tcW w:w="648" w:type="pct"/>
          </w:tcPr>
          <w:p w14:paraId="3D9B7090" w14:textId="77777777" w:rsidR="00E01E12" w:rsidRPr="002A7211" w:rsidRDefault="00963952" w:rsidP="00BD550F">
            <w:pPr>
              <w:spacing w:before="120" w:after="120"/>
              <w:jc w:val="center"/>
              <w:rPr>
                <w:rFonts w:ascii="Arial" w:hAnsi="Arial" w:cs="Arial"/>
                <w:sz w:val="20"/>
                <w:szCs w:val="20"/>
                <w:lang w:val="en-GB"/>
              </w:rPr>
            </w:pPr>
            <w:hyperlink r:id="rId9" w:history="1">
              <w:r w:rsidR="00E01E12" w:rsidRPr="002A7211">
                <w:rPr>
                  <w:rStyle w:val="Lienhypertexte"/>
                  <w:rFonts w:ascii="Arial" w:hAnsi="Arial" w:cs="Arial"/>
                  <w:sz w:val="20"/>
                  <w:szCs w:val="20"/>
                  <w:lang w:val="en-GB"/>
                </w:rPr>
                <w:t>00303</w:t>
              </w:r>
            </w:hyperlink>
          </w:p>
        </w:tc>
      </w:tr>
      <w:tr w:rsidR="00E01E12" w:rsidRPr="002E373B" w14:paraId="072B9AF7" w14:textId="77777777" w:rsidTr="00BD550F">
        <w:trPr>
          <w:cantSplit/>
        </w:trPr>
        <w:tc>
          <w:tcPr>
            <w:tcW w:w="639" w:type="pct"/>
          </w:tcPr>
          <w:p w14:paraId="40A4125F" w14:textId="77777777" w:rsidR="00E01E12" w:rsidRPr="002A7211" w:rsidRDefault="00E01E12" w:rsidP="00BD550F">
            <w:pPr>
              <w:spacing w:before="120" w:after="120"/>
              <w:rPr>
                <w:rFonts w:ascii="Arial" w:hAnsi="Arial" w:cs="Arial"/>
                <w:color w:val="000000"/>
                <w:sz w:val="20"/>
                <w:szCs w:val="20"/>
                <w:lang w:val="en-GB"/>
              </w:rPr>
            </w:pPr>
            <w:r w:rsidRPr="002A7211">
              <w:rPr>
                <w:rFonts w:ascii="Arial" w:hAnsi="Arial" w:cs="Arial"/>
                <w:color w:val="000000"/>
                <w:sz w:val="20"/>
                <w:szCs w:val="20"/>
                <w:lang w:val="en-GB"/>
              </w:rPr>
              <w:t>China</w:t>
            </w:r>
          </w:p>
        </w:tc>
        <w:tc>
          <w:tcPr>
            <w:tcW w:w="3086" w:type="pct"/>
          </w:tcPr>
          <w:p w14:paraId="716193AF" w14:textId="77777777" w:rsidR="00E01E12" w:rsidRPr="002A7211" w:rsidRDefault="00E01E12" w:rsidP="00BD550F">
            <w:pPr>
              <w:spacing w:before="120" w:after="120"/>
              <w:rPr>
                <w:rFonts w:ascii="Arial" w:hAnsi="Arial" w:cs="Arial"/>
                <w:color w:val="000000"/>
                <w:sz w:val="20"/>
                <w:szCs w:val="20"/>
                <w:lang w:val="en-US"/>
              </w:rPr>
            </w:pPr>
            <w:r w:rsidRPr="002A7211">
              <w:rPr>
                <w:rFonts w:ascii="Arial" w:hAnsi="Arial" w:cs="Arial"/>
                <w:color w:val="000000"/>
                <w:sz w:val="20"/>
                <w:szCs w:val="20"/>
                <w:lang w:val="en-GB"/>
              </w:rPr>
              <w:t>Qiang New Year festival</w:t>
            </w:r>
          </w:p>
        </w:tc>
        <w:tc>
          <w:tcPr>
            <w:tcW w:w="627" w:type="pct"/>
          </w:tcPr>
          <w:p w14:paraId="476BA439" w14:textId="77777777" w:rsidR="00E01E12" w:rsidRPr="002A7211" w:rsidRDefault="00E01E12" w:rsidP="00BD550F">
            <w:pPr>
              <w:spacing w:before="120" w:after="120"/>
              <w:jc w:val="center"/>
              <w:rPr>
                <w:rFonts w:ascii="Arial" w:hAnsi="Arial" w:cs="Arial"/>
                <w:color w:val="000000"/>
                <w:sz w:val="20"/>
                <w:szCs w:val="20"/>
                <w:lang w:val="en-GB"/>
              </w:rPr>
            </w:pPr>
            <w:r w:rsidRPr="002A7211">
              <w:rPr>
                <w:rFonts w:ascii="Arial" w:hAnsi="Arial" w:cs="Arial"/>
                <w:color w:val="000000"/>
                <w:sz w:val="20"/>
                <w:szCs w:val="20"/>
                <w:lang w:val="en-GB"/>
              </w:rPr>
              <w:t>2009</w:t>
            </w:r>
          </w:p>
        </w:tc>
        <w:tc>
          <w:tcPr>
            <w:tcW w:w="648" w:type="pct"/>
          </w:tcPr>
          <w:p w14:paraId="0787FE18" w14:textId="77777777" w:rsidR="00E01E12" w:rsidRPr="002A7211" w:rsidRDefault="00963952" w:rsidP="00BD550F">
            <w:pPr>
              <w:spacing w:before="120" w:after="120"/>
              <w:jc w:val="center"/>
              <w:rPr>
                <w:rFonts w:ascii="Arial" w:hAnsi="Arial" w:cs="Arial"/>
                <w:sz w:val="20"/>
                <w:szCs w:val="20"/>
                <w:lang w:val="en-GB"/>
              </w:rPr>
            </w:pPr>
            <w:hyperlink r:id="rId10" w:history="1">
              <w:r w:rsidR="00E01E12" w:rsidRPr="002A7211">
                <w:rPr>
                  <w:rStyle w:val="Lienhypertexte"/>
                  <w:rFonts w:ascii="Arial" w:hAnsi="Arial" w:cs="Arial"/>
                  <w:sz w:val="20"/>
                  <w:szCs w:val="20"/>
                  <w:lang w:val="en-GB"/>
                </w:rPr>
                <w:t>00305</w:t>
              </w:r>
            </w:hyperlink>
          </w:p>
        </w:tc>
      </w:tr>
      <w:tr w:rsidR="00E01E12" w:rsidRPr="002E373B" w14:paraId="26C79959" w14:textId="77777777" w:rsidTr="00BD550F">
        <w:trPr>
          <w:cantSplit/>
        </w:trPr>
        <w:tc>
          <w:tcPr>
            <w:tcW w:w="639" w:type="pct"/>
          </w:tcPr>
          <w:p w14:paraId="2EE4AAB5"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China</w:t>
            </w:r>
          </w:p>
        </w:tc>
        <w:tc>
          <w:tcPr>
            <w:tcW w:w="3086" w:type="pct"/>
          </w:tcPr>
          <w:p w14:paraId="1575A558"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Meshrep</w:t>
            </w:r>
          </w:p>
        </w:tc>
        <w:tc>
          <w:tcPr>
            <w:tcW w:w="627" w:type="pct"/>
          </w:tcPr>
          <w:p w14:paraId="5D54CE4D" w14:textId="77777777" w:rsidR="00E01E12" w:rsidRPr="002E373B" w:rsidRDefault="00E01E12" w:rsidP="00BD550F">
            <w:pPr>
              <w:spacing w:before="120" w:after="120"/>
              <w:jc w:val="center"/>
              <w:rPr>
                <w:rFonts w:ascii="Arial" w:hAnsi="Arial" w:cs="Arial"/>
                <w:color w:val="000000"/>
                <w:sz w:val="20"/>
                <w:szCs w:val="20"/>
                <w:lang w:val="en-GB"/>
              </w:rPr>
            </w:pPr>
            <w:r w:rsidRPr="002E373B">
              <w:rPr>
                <w:rFonts w:ascii="Arial" w:hAnsi="Arial" w:cs="Arial"/>
                <w:color w:val="000000"/>
                <w:sz w:val="20"/>
                <w:szCs w:val="20"/>
                <w:lang w:val="en-GB"/>
              </w:rPr>
              <w:t>2010</w:t>
            </w:r>
          </w:p>
        </w:tc>
        <w:tc>
          <w:tcPr>
            <w:tcW w:w="648" w:type="pct"/>
          </w:tcPr>
          <w:p w14:paraId="197B35B1" w14:textId="77777777" w:rsidR="00E01E12" w:rsidRPr="002E373B" w:rsidRDefault="00963952" w:rsidP="00BD550F">
            <w:pPr>
              <w:spacing w:before="120" w:after="120"/>
              <w:jc w:val="center"/>
              <w:rPr>
                <w:rFonts w:ascii="Arial" w:hAnsi="Arial" w:cs="Arial"/>
                <w:color w:val="000000"/>
                <w:sz w:val="20"/>
                <w:szCs w:val="20"/>
                <w:lang w:val="en-GB"/>
              </w:rPr>
            </w:pPr>
            <w:hyperlink r:id="rId11" w:history="1">
              <w:r w:rsidR="00E01E12" w:rsidRPr="002E373B">
                <w:rPr>
                  <w:rStyle w:val="Lienhypertexte"/>
                  <w:rFonts w:ascii="Arial" w:hAnsi="Arial" w:cs="Arial"/>
                  <w:sz w:val="20"/>
                  <w:szCs w:val="20"/>
                  <w:lang w:val="en-GB"/>
                </w:rPr>
                <w:t>00304</w:t>
              </w:r>
            </w:hyperlink>
          </w:p>
        </w:tc>
      </w:tr>
      <w:tr w:rsidR="00E01E12" w:rsidRPr="002E373B" w14:paraId="1F6F6511" w14:textId="77777777" w:rsidTr="00BD550F">
        <w:trPr>
          <w:cantSplit/>
        </w:trPr>
        <w:tc>
          <w:tcPr>
            <w:tcW w:w="639" w:type="pct"/>
          </w:tcPr>
          <w:p w14:paraId="5252C133"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China</w:t>
            </w:r>
          </w:p>
        </w:tc>
        <w:tc>
          <w:tcPr>
            <w:tcW w:w="3086" w:type="pct"/>
          </w:tcPr>
          <w:p w14:paraId="4BCAA183"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Watertight-bulkhead technology of Chinese junks</w:t>
            </w:r>
          </w:p>
        </w:tc>
        <w:tc>
          <w:tcPr>
            <w:tcW w:w="627" w:type="pct"/>
          </w:tcPr>
          <w:p w14:paraId="37A2EC37" w14:textId="77777777" w:rsidR="00E01E12" w:rsidRPr="002E373B" w:rsidRDefault="00E01E12" w:rsidP="00BD550F">
            <w:pPr>
              <w:spacing w:before="120" w:after="120"/>
              <w:jc w:val="center"/>
              <w:rPr>
                <w:rFonts w:ascii="Arial" w:hAnsi="Arial" w:cs="Arial"/>
                <w:color w:val="000000"/>
                <w:sz w:val="20"/>
                <w:szCs w:val="20"/>
                <w:lang w:val="en-GB"/>
              </w:rPr>
            </w:pPr>
            <w:r w:rsidRPr="002E373B">
              <w:rPr>
                <w:rFonts w:ascii="Arial" w:hAnsi="Arial" w:cs="Arial"/>
                <w:color w:val="000000"/>
                <w:sz w:val="20"/>
                <w:szCs w:val="20"/>
                <w:lang w:val="en-GB"/>
              </w:rPr>
              <w:t>2010</w:t>
            </w:r>
          </w:p>
        </w:tc>
        <w:tc>
          <w:tcPr>
            <w:tcW w:w="648" w:type="pct"/>
          </w:tcPr>
          <w:p w14:paraId="004CDAB8" w14:textId="77777777" w:rsidR="00E01E12" w:rsidRPr="002E373B" w:rsidRDefault="00963952" w:rsidP="00BD550F">
            <w:pPr>
              <w:spacing w:before="120" w:after="120"/>
              <w:jc w:val="center"/>
              <w:rPr>
                <w:rFonts w:ascii="Arial" w:hAnsi="Arial" w:cs="Arial"/>
                <w:color w:val="000000"/>
                <w:sz w:val="20"/>
                <w:szCs w:val="20"/>
                <w:lang w:val="en-GB"/>
              </w:rPr>
            </w:pPr>
            <w:hyperlink r:id="rId12" w:history="1">
              <w:r w:rsidR="00E01E12" w:rsidRPr="002E373B">
                <w:rPr>
                  <w:rStyle w:val="Lienhypertexte"/>
                  <w:rFonts w:ascii="Arial" w:hAnsi="Arial" w:cs="Arial"/>
                  <w:sz w:val="20"/>
                  <w:szCs w:val="20"/>
                  <w:lang w:val="en-GB"/>
                </w:rPr>
                <w:t>00321</w:t>
              </w:r>
            </w:hyperlink>
          </w:p>
        </w:tc>
      </w:tr>
      <w:tr w:rsidR="00E01E12" w:rsidRPr="002E373B" w14:paraId="383C6CC4" w14:textId="77777777" w:rsidTr="00BD550F">
        <w:trPr>
          <w:cantSplit/>
        </w:trPr>
        <w:tc>
          <w:tcPr>
            <w:tcW w:w="639" w:type="pct"/>
          </w:tcPr>
          <w:p w14:paraId="0F84F4B4"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China</w:t>
            </w:r>
          </w:p>
        </w:tc>
        <w:tc>
          <w:tcPr>
            <w:tcW w:w="3086" w:type="pct"/>
          </w:tcPr>
          <w:p w14:paraId="7AAC4FBD" w14:textId="77777777" w:rsidR="00E01E12" w:rsidRPr="002E373B" w:rsidRDefault="00E01E12" w:rsidP="00BD550F">
            <w:pPr>
              <w:spacing w:before="120" w:after="120"/>
              <w:rPr>
                <w:rFonts w:ascii="Arial" w:hAnsi="Arial" w:cs="Arial"/>
                <w:color w:val="000000"/>
                <w:sz w:val="20"/>
                <w:szCs w:val="20"/>
                <w:lang w:val="en-GB"/>
              </w:rPr>
            </w:pPr>
            <w:r w:rsidRPr="002E373B">
              <w:rPr>
                <w:rFonts w:ascii="Arial" w:hAnsi="Arial" w:cs="Arial"/>
                <w:color w:val="000000"/>
                <w:sz w:val="20"/>
                <w:szCs w:val="20"/>
                <w:lang w:val="en-GB"/>
              </w:rPr>
              <w:t>Wooden movable-type printing of China</w:t>
            </w:r>
          </w:p>
        </w:tc>
        <w:tc>
          <w:tcPr>
            <w:tcW w:w="627" w:type="pct"/>
          </w:tcPr>
          <w:p w14:paraId="3F7C0843" w14:textId="77777777" w:rsidR="00E01E12" w:rsidRPr="002E373B" w:rsidRDefault="00E01E12" w:rsidP="00BD550F">
            <w:pPr>
              <w:spacing w:before="120" w:after="120"/>
              <w:jc w:val="center"/>
              <w:rPr>
                <w:rFonts w:ascii="Arial" w:hAnsi="Arial" w:cs="Arial"/>
                <w:color w:val="000000"/>
                <w:sz w:val="20"/>
                <w:szCs w:val="20"/>
                <w:lang w:val="en-GB"/>
              </w:rPr>
            </w:pPr>
            <w:r w:rsidRPr="002E373B">
              <w:rPr>
                <w:rFonts w:ascii="Arial" w:hAnsi="Arial" w:cs="Arial"/>
                <w:color w:val="000000"/>
                <w:sz w:val="20"/>
                <w:szCs w:val="20"/>
                <w:lang w:val="en-GB"/>
              </w:rPr>
              <w:t>2010</w:t>
            </w:r>
          </w:p>
        </w:tc>
        <w:tc>
          <w:tcPr>
            <w:tcW w:w="648" w:type="pct"/>
          </w:tcPr>
          <w:p w14:paraId="1455BCE6" w14:textId="77777777" w:rsidR="00E01E12" w:rsidRPr="002E373B" w:rsidRDefault="00963952" w:rsidP="00BD550F">
            <w:pPr>
              <w:spacing w:before="120" w:after="120"/>
              <w:jc w:val="center"/>
              <w:rPr>
                <w:rFonts w:ascii="Arial" w:hAnsi="Arial" w:cs="Arial"/>
                <w:color w:val="000000"/>
                <w:sz w:val="20"/>
                <w:szCs w:val="20"/>
                <w:lang w:val="en-GB"/>
              </w:rPr>
            </w:pPr>
            <w:hyperlink r:id="rId13" w:history="1">
              <w:r w:rsidR="00E01E12" w:rsidRPr="002E373B">
                <w:rPr>
                  <w:rStyle w:val="Lienhypertexte"/>
                  <w:rFonts w:ascii="Arial" w:hAnsi="Arial" w:cs="Arial"/>
                  <w:sz w:val="20"/>
                  <w:szCs w:val="20"/>
                  <w:lang w:val="en-GB"/>
                </w:rPr>
                <w:t>00322</w:t>
              </w:r>
            </w:hyperlink>
          </w:p>
        </w:tc>
      </w:tr>
      <w:tr w:rsidR="005B6B08" w:rsidRPr="002E373B" w14:paraId="4DC7AC2E" w14:textId="77777777" w:rsidTr="00BD550F">
        <w:trPr>
          <w:cantSplit/>
        </w:trPr>
        <w:tc>
          <w:tcPr>
            <w:tcW w:w="639" w:type="pct"/>
          </w:tcPr>
          <w:p w14:paraId="7BD5F14A" w14:textId="3C05A58E" w:rsidR="005B6B08" w:rsidRPr="002E373B" w:rsidRDefault="005B6B08" w:rsidP="00BD550F">
            <w:pPr>
              <w:spacing w:before="120" w:after="120"/>
              <w:rPr>
                <w:rFonts w:ascii="Arial" w:hAnsi="Arial" w:cs="Arial"/>
                <w:color w:val="000000"/>
                <w:sz w:val="20"/>
                <w:szCs w:val="20"/>
                <w:lang w:val="en-GB"/>
              </w:rPr>
            </w:pPr>
            <w:r>
              <w:rPr>
                <w:rFonts w:ascii="Arial" w:hAnsi="Arial" w:cs="Arial"/>
                <w:color w:val="000000"/>
                <w:sz w:val="20"/>
                <w:szCs w:val="20"/>
                <w:lang w:val="en-GB"/>
              </w:rPr>
              <w:t>China</w:t>
            </w:r>
          </w:p>
        </w:tc>
        <w:tc>
          <w:tcPr>
            <w:tcW w:w="3086" w:type="pct"/>
          </w:tcPr>
          <w:p w14:paraId="5996A2A9" w14:textId="14219AA4" w:rsidR="005B6B08" w:rsidRPr="002E373B" w:rsidRDefault="00721F34" w:rsidP="00BD550F">
            <w:pPr>
              <w:spacing w:before="120" w:after="120"/>
              <w:rPr>
                <w:rFonts w:ascii="Arial" w:hAnsi="Arial" w:cs="Arial"/>
                <w:color w:val="000000"/>
                <w:sz w:val="20"/>
                <w:szCs w:val="20"/>
                <w:lang w:val="en-GB"/>
              </w:rPr>
            </w:pPr>
            <w:r w:rsidRPr="00721F34">
              <w:rPr>
                <w:rFonts w:ascii="Arial" w:hAnsi="Arial" w:cs="Arial"/>
                <w:color w:val="000000"/>
                <w:sz w:val="20"/>
                <w:szCs w:val="20"/>
                <w:lang w:val="en-GB"/>
              </w:rPr>
              <w:t>Hezhen Yimakan storytelling</w:t>
            </w:r>
          </w:p>
        </w:tc>
        <w:tc>
          <w:tcPr>
            <w:tcW w:w="627" w:type="pct"/>
          </w:tcPr>
          <w:p w14:paraId="02EB1420" w14:textId="4EF0B06F" w:rsidR="005B6B08" w:rsidRPr="002E373B" w:rsidRDefault="00835538"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2011</w:t>
            </w:r>
          </w:p>
        </w:tc>
        <w:tc>
          <w:tcPr>
            <w:tcW w:w="648" w:type="pct"/>
          </w:tcPr>
          <w:p w14:paraId="0F6FC43A" w14:textId="464A7BE6" w:rsidR="005B6B08" w:rsidRDefault="00963952" w:rsidP="00BD550F">
            <w:pPr>
              <w:spacing w:before="120" w:after="120"/>
              <w:jc w:val="center"/>
            </w:pPr>
            <w:hyperlink r:id="rId14" w:history="1">
              <w:r w:rsidR="00835538" w:rsidRPr="00571724">
                <w:rPr>
                  <w:rStyle w:val="Lienhypertexte"/>
                  <w:rFonts w:ascii="Arial" w:hAnsi="Arial" w:cs="Arial"/>
                  <w:sz w:val="20"/>
                  <w:szCs w:val="20"/>
                  <w:lang w:val="en-GB"/>
                </w:rPr>
                <w:t>00530</w:t>
              </w:r>
            </w:hyperlink>
          </w:p>
        </w:tc>
      </w:tr>
      <w:tr w:rsidR="00AC1215" w:rsidRPr="002E373B" w14:paraId="3BD3B9D8" w14:textId="77777777" w:rsidTr="00BD550F">
        <w:trPr>
          <w:cantSplit/>
        </w:trPr>
        <w:tc>
          <w:tcPr>
            <w:tcW w:w="639" w:type="pct"/>
          </w:tcPr>
          <w:p w14:paraId="6EFFB659" w14:textId="0021938A" w:rsidR="00AC1215" w:rsidRDefault="00AC1215" w:rsidP="00BD550F">
            <w:pPr>
              <w:spacing w:before="120" w:after="120"/>
              <w:rPr>
                <w:rFonts w:ascii="Arial" w:hAnsi="Arial" w:cs="Arial"/>
                <w:color w:val="000000"/>
                <w:sz w:val="20"/>
                <w:szCs w:val="20"/>
                <w:lang w:val="en-GB"/>
              </w:rPr>
            </w:pPr>
            <w:r>
              <w:rPr>
                <w:rFonts w:ascii="Arial" w:hAnsi="Arial" w:cs="Arial"/>
                <w:color w:val="000000"/>
                <w:sz w:val="20"/>
                <w:szCs w:val="20"/>
                <w:lang w:val="en-GB"/>
              </w:rPr>
              <w:t>Colombia</w:t>
            </w:r>
          </w:p>
        </w:tc>
        <w:tc>
          <w:tcPr>
            <w:tcW w:w="3086" w:type="pct"/>
          </w:tcPr>
          <w:p w14:paraId="630376A1" w14:textId="69D863FD" w:rsidR="00AC1215" w:rsidRPr="00FF7A88" w:rsidRDefault="00FF7A88" w:rsidP="00D00D28">
            <w:pPr>
              <w:spacing w:before="120" w:after="120"/>
              <w:rPr>
                <w:rFonts w:ascii="Arial" w:hAnsi="Arial" w:cs="Arial"/>
                <w:sz w:val="20"/>
                <w:szCs w:val="20"/>
                <w:lang w:val="en-GB"/>
              </w:rPr>
            </w:pPr>
            <w:r w:rsidRPr="00D00D28">
              <w:rPr>
                <w:rFonts w:ascii="Arial" w:hAnsi="Arial" w:cs="Arial"/>
                <w:color w:val="000000"/>
                <w:sz w:val="20"/>
                <w:szCs w:val="20"/>
                <w:lang w:val="en-GB"/>
              </w:rPr>
              <w:t>Traditional Vallenato music of the Greater Magdalena region</w:t>
            </w:r>
          </w:p>
        </w:tc>
        <w:tc>
          <w:tcPr>
            <w:tcW w:w="627" w:type="pct"/>
          </w:tcPr>
          <w:p w14:paraId="16EAF9E6" w14:textId="1AFC5927" w:rsidR="00AC1215" w:rsidRDefault="0003357A"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2015</w:t>
            </w:r>
          </w:p>
        </w:tc>
        <w:tc>
          <w:tcPr>
            <w:tcW w:w="648" w:type="pct"/>
          </w:tcPr>
          <w:p w14:paraId="4F81A640" w14:textId="7B2235D0" w:rsidR="00AC1215" w:rsidRPr="002A7132" w:rsidRDefault="00963952" w:rsidP="00BD550F">
            <w:pPr>
              <w:spacing w:before="120" w:after="120"/>
              <w:jc w:val="center"/>
            </w:pPr>
            <w:hyperlink r:id="rId15" w:history="1">
              <w:r w:rsidR="000E3DF4" w:rsidRPr="0022231E">
                <w:rPr>
                  <w:rStyle w:val="Lienhypertexte"/>
                  <w:rFonts w:ascii="Arial" w:hAnsi="Arial" w:cs="Arial"/>
                  <w:sz w:val="20"/>
                  <w:szCs w:val="20"/>
                  <w:lang w:val="en-GB"/>
                </w:rPr>
                <w:t>01095</w:t>
              </w:r>
            </w:hyperlink>
          </w:p>
        </w:tc>
      </w:tr>
      <w:tr w:rsidR="00AC1215" w:rsidRPr="002E373B" w14:paraId="0E8F1505" w14:textId="77777777" w:rsidTr="00BD550F">
        <w:trPr>
          <w:cantSplit/>
        </w:trPr>
        <w:tc>
          <w:tcPr>
            <w:tcW w:w="639" w:type="pct"/>
          </w:tcPr>
          <w:p w14:paraId="6739A252" w14:textId="6BCF4AF9" w:rsidR="00AC1215" w:rsidRDefault="00AC1215" w:rsidP="00BD550F">
            <w:pPr>
              <w:spacing w:before="120" w:after="120"/>
              <w:rPr>
                <w:rFonts w:ascii="Arial" w:hAnsi="Arial" w:cs="Arial"/>
                <w:color w:val="000000"/>
                <w:sz w:val="20"/>
                <w:szCs w:val="20"/>
                <w:lang w:val="en-GB"/>
              </w:rPr>
            </w:pPr>
            <w:r>
              <w:rPr>
                <w:rFonts w:ascii="Arial" w:hAnsi="Arial" w:cs="Arial"/>
                <w:color w:val="000000"/>
                <w:sz w:val="20"/>
                <w:szCs w:val="20"/>
                <w:lang w:val="en-GB"/>
              </w:rPr>
              <w:t>Mauritania</w:t>
            </w:r>
          </w:p>
        </w:tc>
        <w:tc>
          <w:tcPr>
            <w:tcW w:w="3086" w:type="pct"/>
          </w:tcPr>
          <w:p w14:paraId="29152019" w14:textId="5F238047" w:rsidR="00AC1215" w:rsidRPr="00721F34" w:rsidRDefault="007F7735" w:rsidP="00D00D28">
            <w:pPr>
              <w:spacing w:before="120" w:after="120"/>
              <w:rPr>
                <w:rFonts w:ascii="Arial" w:hAnsi="Arial" w:cs="Arial"/>
                <w:color w:val="000000"/>
                <w:sz w:val="20"/>
                <w:szCs w:val="20"/>
                <w:lang w:val="en-GB"/>
              </w:rPr>
            </w:pPr>
            <w:r>
              <w:rPr>
                <w:rFonts w:ascii="Arial" w:hAnsi="Arial" w:cs="Arial"/>
                <w:color w:val="000000"/>
                <w:sz w:val="20"/>
                <w:szCs w:val="20"/>
                <w:lang w:val="en-GB"/>
              </w:rPr>
              <w:t>Moorish epic</w:t>
            </w:r>
            <w:r w:rsidR="005223B1" w:rsidRPr="00D00D28">
              <w:rPr>
                <w:rFonts w:ascii="Arial" w:hAnsi="Arial" w:cs="Arial"/>
                <w:color w:val="000000"/>
                <w:sz w:val="20"/>
                <w:szCs w:val="20"/>
                <w:lang w:val="en-GB"/>
              </w:rPr>
              <w:t xml:space="preserve"> T’heydinn</w:t>
            </w:r>
          </w:p>
        </w:tc>
        <w:tc>
          <w:tcPr>
            <w:tcW w:w="627" w:type="pct"/>
          </w:tcPr>
          <w:p w14:paraId="2A7D1FAC" w14:textId="148614CB" w:rsidR="00AC1215" w:rsidRDefault="0003357A"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2011</w:t>
            </w:r>
          </w:p>
        </w:tc>
        <w:tc>
          <w:tcPr>
            <w:tcW w:w="648" w:type="pct"/>
          </w:tcPr>
          <w:p w14:paraId="1D34D2FE" w14:textId="44585EC2" w:rsidR="00AC1215" w:rsidRPr="002A7132" w:rsidRDefault="00963952" w:rsidP="00BD550F">
            <w:pPr>
              <w:spacing w:before="120" w:after="120"/>
              <w:jc w:val="center"/>
            </w:pPr>
            <w:hyperlink r:id="rId16" w:history="1">
              <w:r w:rsidR="00C06DCB" w:rsidRPr="007F7735">
                <w:rPr>
                  <w:rStyle w:val="Lienhypertexte"/>
                  <w:rFonts w:ascii="Arial" w:hAnsi="Arial" w:cs="Arial"/>
                  <w:sz w:val="20"/>
                  <w:szCs w:val="20"/>
                  <w:lang w:val="en-GB"/>
                </w:rPr>
                <w:t>00524</w:t>
              </w:r>
            </w:hyperlink>
          </w:p>
        </w:tc>
      </w:tr>
      <w:tr w:rsidR="00AC1215" w:rsidRPr="002E373B" w14:paraId="39C42367" w14:textId="77777777" w:rsidTr="00BD550F">
        <w:trPr>
          <w:cantSplit/>
        </w:trPr>
        <w:tc>
          <w:tcPr>
            <w:tcW w:w="639" w:type="pct"/>
          </w:tcPr>
          <w:p w14:paraId="43553961" w14:textId="37282E56" w:rsidR="00AC1215" w:rsidRDefault="00AC1215" w:rsidP="00BD550F">
            <w:pPr>
              <w:spacing w:before="120" w:after="120"/>
              <w:rPr>
                <w:rFonts w:ascii="Arial" w:hAnsi="Arial" w:cs="Arial"/>
                <w:color w:val="000000"/>
                <w:sz w:val="20"/>
                <w:szCs w:val="20"/>
                <w:lang w:val="en-GB"/>
              </w:rPr>
            </w:pPr>
            <w:r>
              <w:rPr>
                <w:rFonts w:ascii="Arial" w:hAnsi="Arial" w:cs="Arial"/>
                <w:color w:val="000000"/>
                <w:sz w:val="20"/>
                <w:szCs w:val="20"/>
                <w:lang w:val="en-GB"/>
              </w:rPr>
              <w:lastRenderedPageBreak/>
              <w:t>North Macedonia</w:t>
            </w:r>
          </w:p>
        </w:tc>
        <w:tc>
          <w:tcPr>
            <w:tcW w:w="3086" w:type="pct"/>
          </w:tcPr>
          <w:p w14:paraId="0474224F" w14:textId="77777777" w:rsidR="005223B1" w:rsidRPr="00D00D28" w:rsidRDefault="005223B1" w:rsidP="00D00D28">
            <w:pPr>
              <w:spacing w:before="120" w:after="120"/>
              <w:rPr>
                <w:rFonts w:ascii="Arial" w:hAnsi="Arial" w:cs="Arial"/>
                <w:color w:val="000000"/>
                <w:sz w:val="20"/>
                <w:szCs w:val="20"/>
                <w:lang w:val="en-GB"/>
              </w:rPr>
            </w:pPr>
            <w:r w:rsidRPr="00D00D28">
              <w:rPr>
                <w:rFonts w:ascii="Arial" w:hAnsi="Arial" w:cs="Arial"/>
                <w:color w:val="000000"/>
                <w:sz w:val="20"/>
                <w:szCs w:val="20"/>
                <w:lang w:val="en-GB"/>
              </w:rPr>
              <w:t>Glasoechko, male two-part singing in Dolni Polog</w:t>
            </w:r>
          </w:p>
          <w:p w14:paraId="37871DC6" w14:textId="77777777" w:rsidR="00AC1215" w:rsidRPr="00721F34" w:rsidRDefault="00AC1215" w:rsidP="00D00D28">
            <w:pPr>
              <w:spacing w:before="120" w:after="120"/>
              <w:rPr>
                <w:rFonts w:ascii="Arial" w:hAnsi="Arial" w:cs="Arial"/>
                <w:color w:val="000000"/>
                <w:sz w:val="20"/>
                <w:szCs w:val="20"/>
                <w:lang w:val="en-GB"/>
              </w:rPr>
            </w:pPr>
          </w:p>
        </w:tc>
        <w:tc>
          <w:tcPr>
            <w:tcW w:w="627" w:type="pct"/>
          </w:tcPr>
          <w:p w14:paraId="558DFF1C" w14:textId="38F6FB8B" w:rsidR="00AC1215" w:rsidRDefault="0003357A"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2015</w:t>
            </w:r>
          </w:p>
        </w:tc>
        <w:tc>
          <w:tcPr>
            <w:tcW w:w="648" w:type="pct"/>
          </w:tcPr>
          <w:p w14:paraId="4380A844" w14:textId="01EF00DA" w:rsidR="00AC1215" w:rsidRPr="002A7132" w:rsidRDefault="00963952" w:rsidP="00BD550F">
            <w:pPr>
              <w:spacing w:before="120" w:after="120"/>
              <w:jc w:val="center"/>
            </w:pPr>
            <w:hyperlink r:id="rId17" w:history="1">
              <w:r w:rsidR="002A7132" w:rsidRPr="006D6BBD">
                <w:rPr>
                  <w:rStyle w:val="Lienhypertexte"/>
                  <w:rFonts w:ascii="Arial" w:hAnsi="Arial" w:cs="Arial"/>
                  <w:sz w:val="20"/>
                  <w:szCs w:val="20"/>
                  <w:lang w:val="en-GB"/>
                </w:rPr>
                <w:t>01104</w:t>
              </w:r>
            </w:hyperlink>
          </w:p>
        </w:tc>
      </w:tr>
      <w:tr w:rsidR="00AC1215" w:rsidRPr="002E373B" w14:paraId="6B37EF30" w14:textId="77777777" w:rsidTr="00BD550F">
        <w:trPr>
          <w:cantSplit/>
        </w:trPr>
        <w:tc>
          <w:tcPr>
            <w:tcW w:w="639" w:type="pct"/>
          </w:tcPr>
          <w:p w14:paraId="508E0F93" w14:textId="600298DB" w:rsidR="00AC1215" w:rsidRDefault="00AC1215" w:rsidP="00BD550F">
            <w:pPr>
              <w:spacing w:before="120" w:after="120"/>
              <w:rPr>
                <w:rFonts w:ascii="Arial" w:hAnsi="Arial" w:cs="Arial"/>
                <w:color w:val="000000"/>
                <w:sz w:val="20"/>
                <w:szCs w:val="20"/>
                <w:lang w:val="en-GB"/>
              </w:rPr>
            </w:pPr>
            <w:r>
              <w:rPr>
                <w:rFonts w:ascii="Arial" w:hAnsi="Arial" w:cs="Arial"/>
                <w:color w:val="000000"/>
                <w:sz w:val="20"/>
                <w:szCs w:val="20"/>
                <w:lang w:val="en-GB"/>
              </w:rPr>
              <w:t>Peru</w:t>
            </w:r>
          </w:p>
        </w:tc>
        <w:tc>
          <w:tcPr>
            <w:tcW w:w="3086" w:type="pct"/>
          </w:tcPr>
          <w:p w14:paraId="74F86566" w14:textId="71C909FC" w:rsidR="00AC1215" w:rsidRPr="00721F34" w:rsidRDefault="005223B1" w:rsidP="00D00D28">
            <w:pPr>
              <w:spacing w:before="120" w:after="120"/>
              <w:rPr>
                <w:rFonts w:ascii="Arial" w:hAnsi="Arial" w:cs="Arial"/>
                <w:color w:val="000000"/>
                <w:sz w:val="20"/>
                <w:szCs w:val="20"/>
                <w:lang w:val="en-GB"/>
              </w:rPr>
            </w:pPr>
            <w:bookmarkStart w:id="0" w:name="_Hlk55576582"/>
            <w:r w:rsidRPr="00D00D28">
              <w:rPr>
                <w:rFonts w:ascii="Arial" w:hAnsi="Arial" w:cs="Arial"/>
                <w:color w:val="000000"/>
                <w:sz w:val="20"/>
                <w:szCs w:val="20"/>
                <w:lang w:val="en-GB"/>
              </w:rPr>
              <w:t>Eshuva, Harákmbut sung prayers of Peru’s Huachipaire people</w:t>
            </w:r>
            <w:bookmarkEnd w:id="0"/>
          </w:p>
        </w:tc>
        <w:tc>
          <w:tcPr>
            <w:tcW w:w="627" w:type="pct"/>
          </w:tcPr>
          <w:p w14:paraId="7856E294" w14:textId="5332C514" w:rsidR="00AC1215" w:rsidRDefault="0003357A"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2011</w:t>
            </w:r>
          </w:p>
        </w:tc>
        <w:tc>
          <w:tcPr>
            <w:tcW w:w="648" w:type="pct"/>
          </w:tcPr>
          <w:p w14:paraId="383F3097" w14:textId="4202B0E5" w:rsidR="00AC1215" w:rsidRPr="002A7132" w:rsidRDefault="00963952" w:rsidP="00BD550F">
            <w:pPr>
              <w:spacing w:before="120" w:after="120"/>
              <w:jc w:val="center"/>
            </w:pPr>
            <w:hyperlink r:id="rId18" w:history="1">
              <w:r w:rsidR="002A7132" w:rsidRPr="00B9449E">
                <w:rPr>
                  <w:rStyle w:val="Lienhypertexte"/>
                  <w:rFonts w:ascii="Arial" w:hAnsi="Arial" w:cs="Arial"/>
                  <w:sz w:val="20"/>
                  <w:szCs w:val="20"/>
                  <w:lang w:val="en-GB"/>
                </w:rPr>
                <w:t>00531</w:t>
              </w:r>
            </w:hyperlink>
          </w:p>
        </w:tc>
      </w:tr>
      <w:tr w:rsidR="00AC1215" w:rsidRPr="002E373B" w14:paraId="3E499D3C" w14:textId="77777777" w:rsidTr="00BD550F">
        <w:trPr>
          <w:cantSplit/>
        </w:trPr>
        <w:tc>
          <w:tcPr>
            <w:tcW w:w="639" w:type="pct"/>
          </w:tcPr>
          <w:p w14:paraId="2794553E" w14:textId="1350D407" w:rsidR="00AC1215" w:rsidRDefault="00AC1215" w:rsidP="00BD550F">
            <w:pPr>
              <w:spacing w:before="120" w:after="120"/>
              <w:rPr>
                <w:rFonts w:ascii="Arial" w:hAnsi="Arial" w:cs="Arial"/>
                <w:color w:val="000000"/>
                <w:sz w:val="20"/>
                <w:szCs w:val="20"/>
                <w:lang w:val="en-GB"/>
              </w:rPr>
            </w:pPr>
            <w:r>
              <w:rPr>
                <w:rFonts w:ascii="Arial" w:hAnsi="Arial" w:cs="Arial"/>
                <w:color w:val="000000"/>
                <w:sz w:val="20"/>
                <w:szCs w:val="20"/>
                <w:lang w:val="en-GB"/>
              </w:rPr>
              <w:t>Portugal</w:t>
            </w:r>
          </w:p>
        </w:tc>
        <w:tc>
          <w:tcPr>
            <w:tcW w:w="3086" w:type="pct"/>
          </w:tcPr>
          <w:p w14:paraId="0096E90B" w14:textId="48910FA4" w:rsidR="00AC1215" w:rsidRPr="00721F34" w:rsidRDefault="005223B1" w:rsidP="00D00D28">
            <w:pPr>
              <w:spacing w:before="120" w:after="120"/>
              <w:rPr>
                <w:rFonts w:ascii="Arial" w:hAnsi="Arial" w:cs="Arial"/>
                <w:color w:val="000000"/>
                <w:sz w:val="20"/>
                <w:szCs w:val="20"/>
                <w:lang w:val="en-GB"/>
              </w:rPr>
            </w:pPr>
            <w:r w:rsidRPr="00D00D28">
              <w:rPr>
                <w:rFonts w:ascii="Arial" w:hAnsi="Arial" w:cs="Arial"/>
                <w:color w:val="000000"/>
                <w:sz w:val="20"/>
                <w:szCs w:val="20"/>
                <w:lang w:val="en-GB"/>
              </w:rPr>
              <w:t>Manufacture of cowbells</w:t>
            </w:r>
          </w:p>
        </w:tc>
        <w:tc>
          <w:tcPr>
            <w:tcW w:w="627" w:type="pct"/>
          </w:tcPr>
          <w:p w14:paraId="38770358" w14:textId="1BCAE5B1" w:rsidR="00AC1215" w:rsidRDefault="0003357A" w:rsidP="00BD550F">
            <w:pPr>
              <w:spacing w:before="120" w:after="120"/>
              <w:jc w:val="center"/>
              <w:rPr>
                <w:rFonts w:ascii="Arial" w:hAnsi="Arial" w:cs="Arial"/>
                <w:color w:val="000000"/>
                <w:sz w:val="20"/>
                <w:szCs w:val="20"/>
                <w:lang w:val="en-GB"/>
              </w:rPr>
            </w:pPr>
            <w:r>
              <w:rPr>
                <w:rFonts w:ascii="Arial" w:hAnsi="Arial" w:cs="Arial"/>
                <w:color w:val="000000"/>
                <w:sz w:val="20"/>
                <w:szCs w:val="20"/>
                <w:lang w:val="en-GB"/>
              </w:rPr>
              <w:t>2015</w:t>
            </w:r>
          </w:p>
        </w:tc>
        <w:tc>
          <w:tcPr>
            <w:tcW w:w="648" w:type="pct"/>
          </w:tcPr>
          <w:p w14:paraId="48C81139" w14:textId="7ABCCCE3" w:rsidR="00AC1215" w:rsidRPr="002A7132" w:rsidRDefault="00963952" w:rsidP="00BD550F">
            <w:pPr>
              <w:spacing w:before="120" w:after="120"/>
              <w:jc w:val="center"/>
            </w:pPr>
            <w:hyperlink r:id="rId19" w:history="1">
              <w:r w:rsidR="002A7132" w:rsidRPr="00B9449E">
                <w:rPr>
                  <w:rStyle w:val="Lienhypertexte"/>
                  <w:rFonts w:ascii="Arial" w:hAnsi="Arial" w:cs="Arial"/>
                  <w:sz w:val="20"/>
                  <w:szCs w:val="20"/>
                  <w:lang w:val="en-GB"/>
                </w:rPr>
                <w:t>01065</w:t>
              </w:r>
            </w:hyperlink>
          </w:p>
        </w:tc>
      </w:tr>
    </w:tbl>
    <w:p w14:paraId="46F35D27" w14:textId="0D82C179" w:rsidR="00590976" w:rsidRPr="00590976" w:rsidRDefault="00907146" w:rsidP="00590976">
      <w:pPr>
        <w:pStyle w:val="COMPara"/>
        <w:numPr>
          <w:ilvl w:val="0"/>
          <w:numId w:val="9"/>
        </w:numPr>
        <w:spacing w:before="360"/>
        <w:ind w:left="567" w:hanging="567"/>
        <w:jc w:val="both"/>
      </w:pPr>
      <w:r>
        <w:t xml:space="preserve">The Secretariat registered and acknowledged receipt of </w:t>
      </w:r>
      <w:r w:rsidR="008F66E6">
        <w:t xml:space="preserve">the </w:t>
      </w:r>
      <w:r w:rsidR="001469E7">
        <w:t>nine</w:t>
      </w:r>
      <w:r w:rsidR="008F66E6">
        <w:t xml:space="preserve"> reports duly submitted by the deadline of 15 December 201</w:t>
      </w:r>
      <w:r w:rsidR="001469E7">
        <w:t>9</w:t>
      </w:r>
      <w:r w:rsidR="008F66E6">
        <w:t xml:space="preserve">, in compliance with paragraph 165 of the Operational Directives. The final reports are available at: </w:t>
      </w:r>
      <w:hyperlink r:id="rId20" w:history="1">
        <w:r w:rsidR="00590976" w:rsidRPr="00B05CBB">
          <w:rPr>
            <w:rStyle w:val="Lienhypertexte"/>
            <w:snapToGrid/>
          </w:rPr>
          <w:t>https://ich.unesco.org/en/7-periodic-reporting-usl-01144</w:t>
        </w:r>
      </w:hyperlink>
      <w:r w:rsidR="00A82520" w:rsidRPr="00B05CBB">
        <w:t>. The pr</w:t>
      </w:r>
      <w:r w:rsidR="00A82520" w:rsidRPr="002E373B">
        <w:t>esent document includes an overview of the reports received and a set of draft decisi</w:t>
      </w:r>
      <w:r w:rsidR="00A82520" w:rsidRPr="006367FD">
        <w:t xml:space="preserve">ons for the Committee’s consideration, </w:t>
      </w:r>
      <w:r w:rsidR="006A27C9" w:rsidRPr="006367FD">
        <w:t xml:space="preserve">with </w:t>
      </w:r>
      <w:r w:rsidR="00A82520" w:rsidRPr="006367FD">
        <w:t>one for each report as follows:</w:t>
      </w:r>
    </w:p>
    <w:p w14:paraId="74156B9F" w14:textId="77777777" w:rsidR="006A45BB" w:rsidRPr="006367FD" w:rsidRDefault="006A45BB" w:rsidP="006A45BB">
      <w:pPr>
        <w:pStyle w:val="COMPara"/>
        <w:spacing w:before="120"/>
        <w:ind w:left="567"/>
        <w:jc w:val="both"/>
      </w:pP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1414"/>
        <w:gridCol w:w="1416"/>
        <w:gridCol w:w="4433"/>
        <w:gridCol w:w="1138"/>
        <w:gridCol w:w="671"/>
      </w:tblGrid>
      <w:tr w:rsidR="00A82520" w:rsidRPr="006367FD" w14:paraId="4C88EE61" w14:textId="77777777" w:rsidTr="00AA60CC">
        <w:trPr>
          <w:cantSplit/>
          <w:tblHeader/>
        </w:trPr>
        <w:tc>
          <w:tcPr>
            <w:tcW w:w="779" w:type="pct"/>
            <w:tcBorders>
              <w:top w:val="single" w:sz="4" w:space="0" w:color="auto"/>
              <w:left w:val="single" w:sz="4" w:space="0" w:color="auto"/>
              <w:bottom w:val="single" w:sz="4" w:space="0" w:color="auto"/>
              <w:right w:val="nil"/>
            </w:tcBorders>
            <w:shd w:val="clear" w:color="auto" w:fill="BFBFBF"/>
            <w:vAlign w:val="center"/>
            <w:hideMark/>
          </w:tcPr>
          <w:p w14:paraId="4F3EA923" w14:textId="466BFCB0" w:rsidR="00A82520" w:rsidRPr="006367FD" w:rsidRDefault="000C677D" w:rsidP="004A319E">
            <w:pPr>
              <w:spacing w:before="120" w:after="120"/>
              <w:jc w:val="center"/>
              <w:rPr>
                <w:rFonts w:ascii="Arial" w:hAnsi="Arial" w:cs="Arial"/>
                <w:color w:val="000000"/>
                <w:sz w:val="20"/>
                <w:szCs w:val="20"/>
                <w:lang w:val="en-GB"/>
              </w:rPr>
            </w:pPr>
            <w:bookmarkStart w:id="1" w:name="Draftdecision"/>
            <w:r>
              <w:rPr>
                <w:rFonts w:ascii="Arial" w:hAnsi="Arial" w:cs="Arial"/>
                <w:b/>
                <w:bCs/>
                <w:color w:val="000000"/>
                <w:sz w:val="20"/>
                <w:szCs w:val="20"/>
                <w:lang w:val="en-GB" w:eastAsia="en-GB"/>
              </w:rPr>
              <w:t>Draft d</w:t>
            </w:r>
            <w:r w:rsidR="00A82520" w:rsidRPr="006367FD">
              <w:rPr>
                <w:rFonts w:ascii="Arial" w:hAnsi="Arial" w:cs="Arial"/>
                <w:b/>
                <w:bCs/>
                <w:color w:val="000000"/>
                <w:sz w:val="20"/>
                <w:szCs w:val="20"/>
                <w:lang w:val="en-GB" w:eastAsia="en-GB"/>
              </w:rPr>
              <w:t>ecision</w:t>
            </w:r>
            <w:bookmarkEnd w:id="1"/>
          </w:p>
        </w:tc>
        <w:tc>
          <w:tcPr>
            <w:tcW w:w="780" w:type="pct"/>
            <w:tcBorders>
              <w:top w:val="single" w:sz="4" w:space="0" w:color="auto"/>
              <w:left w:val="nil"/>
              <w:bottom w:val="single" w:sz="4" w:space="0" w:color="auto"/>
              <w:right w:val="nil"/>
            </w:tcBorders>
            <w:shd w:val="clear" w:color="auto" w:fill="BFBFBF"/>
            <w:vAlign w:val="center"/>
            <w:hideMark/>
          </w:tcPr>
          <w:p w14:paraId="5CC1AEF6" w14:textId="77777777" w:rsidR="006A6E59" w:rsidRPr="006367FD" w:rsidRDefault="00A82520" w:rsidP="004A319E">
            <w:pPr>
              <w:spacing w:before="120" w:after="120"/>
              <w:jc w:val="center"/>
              <w:rPr>
                <w:rFonts w:ascii="Arial" w:hAnsi="Arial" w:cs="Arial"/>
                <w:b/>
                <w:bCs/>
                <w:color w:val="000000"/>
                <w:sz w:val="20"/>
                <w:szCs w:val="20"/>
                <w:lang w:val="en-GB" w:eastAsia="en-GB"/>
              </w:rPr>
            </w:pPr>
            <w:r w:rsidRPr="006367FD">
              <w:rPr>
                <w:rFonts w:ascii="Arial" w:hAnsi="Arial" w:cs="Arial"/>
                <w:b/>
                <w:bCs/>
                <w:color w:val="000000"/>
                <w:sz w:val="20"/>
                <w:szCs w:val="20"/>
                <w:lang w:val="en-GB" w:eastAsia="en-GB"/>
              </w:rPr>
              <w:t xml:space="preserve">Submitting </w:t>
            </w:r>
          </w:p>
          <w:p w14:paraId="31EB8D24" w14:textId="109FC7D3" w:rsidR="00A82520" w:rsidRPr="006367FD" w:rsidRDefault="00A82520" w:rsidP="004A319E">
            <w:pPr>
              <w:spacing w:before="120" w:after="120"/>
              <w:jc w:val="center"/>
              <w:rPr>
                <w:rFonts w:ascii="Arial" w:hAnsi="Arial" w:cs="Arial"/>
                <w:color w:val="000000"/>
                <w:sz w:val="20"/>
                <w:szCs w:val="20"/>
                <w:lang w:val="en-GB"/>
              </w:rPr>
            </w:pPr>
            <w:r w:rsidRPr="006367FD">
              <w:rPr>
                <w:rFonts w:ascii="Arial" w:hAnsi="Arial" w:cs="Arial"/>
                <w:b/>
                <w:bCs/>
                <w:color w:val="000000"/>
                <w:sz w:val="20"/>
                <w:szCs w:val="20"/>
                <w:lang w:val="en-GB" w:eastAsia="en-GB"/>
              </w:rPr>
              <w:t>State</w:t>
            </w:r>
          </w:p>
        </w:tc>
        <w:tc>
          <w:tcPr>
            <w:tcW w:w="2443" w:type="pct"/>
            <w:tcBorders>
              <w:top w:val="single" w:sz="4" w:space="0" w:color="auto"/>
              <w:left w:val="nil"/>
              <w:bottom w:val="single" w:sz="4" w:space="0" w:color="auto"/>
              <w:right w:val="nil"/>
            </w:tcBorders>
            <w:shd w:val="clear" w:color="auto" w:fill="BFBFBF"/>
            <w:vAlign w:val="center"/>
            <w:hideMark/>
          </w:tcPr>
          <w:p w14:paraId="3492675C" w14:textId="77777777" w:rsidR="00A82520" w:rsidRPr="006367FD" w:rsidRDefault="00A82520" w:rsidP="004A319E">
            <w:pPr>
              <w:spacing w:before="120" w:after="120"/>
              <w:jc w:val="center"/>
              <w:rPr>
                <w:rFonts w:ascii="Arial" w:hAnsi="Arial" w:cs="Arial"/>
                <w:color w:val="000000"/>
                <w:sz w:val="20"/>
                <w:szCs w:val="20"/>
                <w:lang w:val="en-GB"/>
              </w:rPr>
            </w:pPr>
            <w:r w:rsidRPr="006367FD">
              <w:rPr>
                <w:rFonts w:ascii="Arial" w:hAnsi="Arial" w:cs="Arial"/>
                <w:b/>
                <w:bCs/>
                <w:color w:val="000000"/>
                <w:sz w:val="20"/>
                <w:szCs w:val="20"/>
                <w:lang w:val="en-GB" w:eastAsia="en-GB"/>
              </w:rPr>
              <w:t>Element</w:t>
            </w:r>
          </w:p>
        </w:tc>
        <w:tc>
          <w:tcPr>
            <w:tcW w:w="627" w:type="pct"/>
            <w:tcBorders>
              <w:top w:val="single" w:sz="4" w:space="0" w:color="auto"/>
              <w:left w:val="nil"/>
              <w:bottom w:val="single" w:sz="4" w:space="0" w:color="auto"/>
              <w:right w:val="nil"/>
            </w:tcBorders>
            <w:shd w:val="clear" w:color="auto" w:fill="BFBFBF"/>
          </w:tcPr>
          <w:p w14:paraId="6F94009F" w14:textId="77777777" w:rsidR="00A82520" w:rsidRPr="006367FD" w:rsidRDefault="00A82520" w:rsidP="004A319E">
            <w:pPr>
              <w:spacing w:before="120" w:after="120"/>
              <w:jc w:val="center"/>
              <w:rPr>
                <w:rFonts w:ascii="Arial" w:hAnsi="Arial" w:cs="Arial"/>
                <w:b/>
                <w:bCs/>
                <w:color w:val="000000"/>
                <w:sz w:val="20"/>
                <w:szCs w:val="20"/>
                <w:lang w:val="en-GB" w:eastAsia="en-GB"/>
              </w:rPr>
            </w:pPr>
            <w:r w:rsidRPr="006367FD">
              <w:rPr>
                <w:rFonts w:ascii="Arial" w:hAnsi="Arial" w:cs="Arial"/>
                <w:b/>
                <w:bCs/>
                <w:color w:val="000000"/>
                <w:sz w:val="20"/>
                <w:szCs w:val="20"/>
                <w:lang w:val="en-GB" w:eastAsia="en-GB"/>
              </w:rPr>
              <w:t>Year of inscription</w:t>
            </w:r>
          </w:p>
        </w:tc>
        <w:tc>
          <w:tcPr>
            <w:tcW w:w="370" w:type="pct"/>
            <w:tcBorders>
              <w:top w:val="single" w:sz="4" w:space="0" w:color="auto"/>
              <w:left w:val="nil"/>
              <w:bottom w:val="single" w:sz="4" w:space="0" w:color="auto"/>
              <w:right w:val="single" w:sz="4" w:space="0" w:color="auto"/>
            </w:tcBorders>
            <w:shd w:val="clear" w:color="auto" w:fill="BFBFBF"/>
            <w:vAlign w:val="center"/>
            <w:hideMark/>
          </w:tcPr>
          <w:p w14:paraId="1BE8C98D" w14:textId="77777777" w:rsidR="00A82520" w:rsidRPr="006367FD" w:rsidRDefault="00A82520" w:rsidP="004A319E">
            <w:pPr>
              <w:spacing w:before="120" w:after="120"/>
              <w:jc w:val="center"/>
              <w:rPr>
                <w:rFonts w:ascii="Arial" w:hAnsi="Arial" w:cs="Arial"/>
                <w:color w:val="000000"/>
                <w:sz w:val="20"/>
                <w:szCs w:val="20"/>
                <w:lang w:val="en-GB"/>
              </w:rPr>
            </w:pPr>
            <w:r w:rsidRPr="006367FD">
              <w:rPr>
                <w:rFonts w:ascii="Arial" w:hAnsi="Arial" w:cs="Arial"/>
                <w:b/>
                <w:bCs/>
                <w:color w:val="000000"/>
                <w:sz w:val="20"/>
                <w:szCs w:val="20"/>
                <w:lang w:val="en-GB" w:eastAsia="en-GB"/>
              </w:rPr>
              <w:t>File No.</w:t>
            </w:r>
          </w:p>
        </w:tc>
      </w:tr>
      <w:tr w:rsidR="00A82520" w:rsidRPr="006367FD" w14:paraId="466FE55B"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3C2DD601" w14:textId="743B5598" w:rsidR="00A82520" w:rsidRPr="0054700E" w:rsidRDefault="00963952" w:rsidP="00877B23">
            <w:pPr>
              <w:spacing w:before="120" w:after="120"/>
              <w:rPr>
                <w:rFonts w:ascii="Arial" w:hAnsi="Arial" w:cs="Arial"/>
                <w:bCs/>
                <w:color w:val="0000FF"/>
                <w:sz w:val="20"/>
                <w:szCs w:val="20"/>
                <w:u w:val="single"/>
                <w:lang w:val="en-GB" w:eastAsia="en-GB"/>
              </w:rPr>
            </w:pPr>
            <w:hyperlink w:anchor="Dec15COM7_1"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.1</w:t>
              </w:r>
            </w:hyperlink>
          </w:p>
        </w:tc>
        <w:tc>
          <w:tcPr>
            <w:tcW w:w="780" w:type="pct"/>
            <w:tcBorders>
              <w:top w:val="single" w:sz="4" w:space="0" w:color="auto"/>
              <w:left w:val="nil"/>
              <w:bottom w:val="single" w:sz="4" w:space="0" w:color="auto"/>
              <w:right w:val="nil"/>
            </w:tcBorders>
          </w:tcPr>
          <w:p w14:paraId="4577CB3D" w14:textId="592408A5"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 xml:space="preserve">Brazil </w:t>
            </w:r>
          </w:p>
        </w:tc>
        <w:tc>
          <w:tcPr>
            <w:tcW w:w="2443" w:type="pct"/>
            <w:tcBorders>
              <w:top w:val="single" w:sz="4" w:space="0" w:color="auto"/>
              <w:left w:val="nil"/>
              <w:bottom w:val="single" w:sz="4" w:space="0" w:color="auto"/>
              <w:right w:val="nil"/>
            </w:tcBorders>
          </w:tcPr>
          <w:p w14:paraId="1FBCCC10" w14:textId="0E8E5473" w:rsidR="00A82520" w:rsidRPr="006367FD" w:rsidRDefault="00C024A0" w:rsidP="004A319E">
            <w:pPr>
              <w:spacing w:before="120" w:after="120"/>
              <w:rPr>
                <w:rFonts w:ascii="Arial" w:hAnsi="Arial" w:cs="Arial"/>
                <w:color w:val="000000"/>
                <w:sz w:val="20"/>
                <w:szCs w:val="20"/>
                <w:lang w:val="en-US"/>
              </w:rPr>
            </w:pPr>
            <w:r w:rsidRPr="006367FD">
              <w:rPr>
                <w:rFonts w:ascii="Arial" w:hAnsi="Arial" w:cs="Arial"/>
                <w:color w:val="000000"/>
                <w:sz w:val="20"/>
                <w:szCs w:val="20"/>
                <w:lang w:val="en-GB"/>
              </w:rPr>
              <w:t>Yaokwa, the Enawene Nawe people's ritual for the maintenance of social and cosmic order</w:t>
            </w:r>
          </w:p>
        </w:tc>
        <w:tc>
          <w:tcPr>
            <w:tcW w:w="627" w:type="pct"/>
            <w:tcBorders>
              <w:top w:val="single" w:sz="4" w:space="0" w:color="auto"/>
              <w:left w:val="nil"/>
              <w:bottom w:val="single" w:sz="4" w:space="0" w:color="auto"/>
              <w:right w:val="nil"/>
            </w:tcBorders>
          </w:tcPr>
          <w:p w14:paraId="28ED40AE" w14:textId="3D57B62C"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30D715E6" w14:textId="75FD956E" w:rsidR="00A82520" w:rsidRPr="00782EDC" w:rsidRDefault="00963952" w:rsidP="00782EDC">
            <w:pPr>
              <w:spacing w:before="120" w:after="120"/>
              <w:jc w:val="center"/>
              <w:rPr>
                <w:rStyle w:val="Lienhypertexte"/>
                <w:rFonts w:ascii="Arial" w:hAnsi="Arial" w:cs="Arial"/>
                <w:sz w:val="20"/>
                <w:szCs w:val="20"/>
                <w:lang w:val="en-GB"/>
              </w:rPr>
            </w:pPr>
            <w:hyperlink r:id="rId21" w:history="1">
              <w:r w:rsidR="006166DC" w:rsidRPr="00782EDC">
                <w:rPr>
                  <w:rStyle w:val="Lienhypertexte"/>
                  <w:rFonts w:ascii="Arial" w:hAnsi="Arial" w:cs="Arial"/>
                  <w:sz w:val="20"/>
                  <w:szCs w:val="20"/>
                  <w:lang w:val="en-GB"/>
                </w:rPr>
                <w:t>00521</w:t>
              </w:r>
            </w:hyperlink>
          </w:p>
        </w:tc>
      </w:tr>
      <w:tr w:rsidR="00A82520" w:rsidRPr="006367FD" w14:paraId="4415091B"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4DBEB4DE" w14:textId="37238F31" w:rsidR="00A82520" w:rsidRPr="0054700E" w:rsidRDefault="00963952" w:rsidP="00877B23">
            <w:pPr>
              <w:spacing w:before="120" w:after="120"/>
              <w:rPr>
                <w:rStyle w:val="Lienhypertexte"/>
                <w:rFonts w:ascii="Arial" w:hAnsi="Arial" w:cs="Arial"/>
                <w:bCs/>
                <w:sz w:val="20"/>
                <w:szCs w:val="20"/>
                <w:lang w:val="en-GB" w:eastAsia="en-GB"/>
              </w:rPr>
            </w:pPr>
            <w:hyperlink w:anchor="Dec15COM7_2"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.2</w:t>
              </w:r>
            </w:hyperlink>
          </w:p>
        </w:tc>
        <w:tc>
          <w:tcPr>
            <w:tcW w:w="780" w:type="pct"/>
            <w:tcBorders>
              <w:top w:val="single" w:sz="4" w:space="0" w:color="auto"/>
              <w:left w:val="nil"/>
              <w:bottom w:val="single" w:sz="4" w:space="0" w:color="auto"/>
              <w:right w:val="nil"/>
            </w:tcBorders>
          </w:tcPr>
          <w:p w14:paraId="282D7633" w14:textId="3E479768"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Indonesia</w:t>
            </w:r>
          </w:p>
        </w:tc>
        <w:tc>
          <w:tcPr>
            <w:tcW w:w="2443" w:type="pct"/>
            <w:tcBorders>
              <w:top w:val="single" w:sz="4" w:space="0" w:color="auto"/>
              <w:left w:val="nil"/>
              <w:bottom w:val="single" w:sz="4" w:space="0" w:color="auto"/>
              <w:right w:val="nil"/>
            </w:tcBorders>
          </w:tcPr>
          <w:p w14:paraId="731C5C4A" w14:textId="742C22B0" w:rsidR="00A82520" w:rsidRPr="006367FD" w:rsidRDefault="00597E66" w:rsidP="004A319E">
            <w:pPr>
              <w:spacing w:before="120" w:after="120"/>
              <w:rPr>
                <w:rFonts w:ascii="Arial" w:hAnsi="Arial" w:cs="Arial"/>
                <w:color w:val="000000"/>
                <w:sz w:val="20"/>
                <w:szCs w:val="20"/>
                <w:lang w:val="en-GB"/>
              </w:rPr>
            </w:pPr>
            <w:r w:rsidRPr="006367FD">
              <w:rPr>
                <w:rFonts w:ascii="Arial" w:hAnsi="Arial" w:cs="Arial"/>
                <w:color w:val="000000"/>
                <w:sz w:val="20"/>
                <w:szCs w:val="20"/>
                <w:lang w:val="en-GB"/>
              </w:rPr>
              <w:t>Saman dance</w:t>
            </w:r>
          </w:p>
        </w:tc>
        <w:tc>
          <w:tcPr>
            <w:tcW w:w="627" w:type="pct"/>
            <w:tcBorders>
              <w:top w:val="single" w:sz="4" w:space="0" w:color="auto"/>
              <w:left w:val="nil"/>
              <w:bottom w:val="single" w:sz="4" w:space="0" w:color="auto"/>
              <w:right w:val="nil"/>
            </w:tcBorders>
          </w:tcPr>
          <w:p w14:paraId="220D73F4" w14:textId="75AB446E"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79260EDC" w14:textId="63758E1F" w:rsidR="00A82520" w:rsidRPr="00782EDC" w:rsidRDefault="00963952" w:rsidP="00782EDC">
            <w:pPr>
              <w:spacing w:before="120" w:after="120"/>
              <w:jc w:val="center"/>
              <w:rPr>
                <w:rStyle w:val="Lienhypertexte"/>
                <w:rFonts w:ascii="Arial" w:hAnsi="Arial" w:cs="Arial"/>
                <w:sz w:val="20"/>
                <w:szCs w:val="20"/>
                <w:lang w:val="en-GB"/>
              </w:rPr>
            </w:pPr>
            <w:hyperlink r:id="rId22" w:history="1">
              <w:r w:rsidR="001544DB" w:rsidRPr="00782EDC">
                <w:rPr>
                  <w:rStyle w:val="Lienhypertexte"/>
                  <w:rFonts w:ascii="Arial" w:hAnsi="Arial" w:cs="Arial"/>
                  <w:sz w:val="20"/>
                  <w:szCs w:val="20"/>
                  <w:lang w:val="en-GB"/>
                </w:rPr>
                <w:t>00509</w:t>
              </w:r>
            </w:hyperlink>
          </w:p>
        </w:tc>
      </w:tr>
      <w:tr w:rsidR="00A82520" w:rsidRPr="006367FD" w14:paraId="1425BF6E"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760B1BF5" w14:textId="1896AF7B" w:rsidR="00A82520" w:rsidRPr="0054700E" w:rsidRDefault="00963952" w:rsidP="00877B23">
            <w:pPr>
              <w:spacing w:before="120" w:after="120"/>
              <w:rPr>
                <w:rStyle w:val="Lienhypertexte"/>
                <w:rFonts w:ascii="Arial" w:hAnsi="Arial" w:cs="Arial"/>
                <w:bCs/>
                <w:sz w:val="20"/>
                <w:szCs w:val="20"/>
                <w:lang w:val="en-GB" w:eastAsia="en-GB"/>
              </w:rPr>
            </w:pPr>
            <w:hyperlink w:anchor="Dec15COM7_3"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.3</w:t>
              </w:r>
            </w:hyperlink>
          </w:p>
        </w:tc>
        <w:tc>
          <w:tcPr>
            <w:tcW w:w="780" w:type="pct"/>
            <w:tcBorders>
              <w:top w:val="single" w:sz="4" w:space="0" w:color="auto"/>
              <w:left w:val="nil"/>
              <w:bottom w:val="single" w:sz="4" w:space="0" w:color="auto"/>
              <w:right w:val="nil"/>
            </w:tcBorders>
          </w:tcPr>
          <w:p w14:paraId="2F6E1DDA" w14:textId="77777777" w:rsidR="00A82520"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Iran</w:t>
            </w:r>
          </w:p>
          <w:p w14:paraId="233C8D54" w14:textId="171E258D" w:rsidR="00794168" w:rsidRPr="006367FD" w:rsidRDefault="00794168" w:rsidP="004A319E">
            <w:pPr>
              <w:spacing w:before="120" w:after="120"/>
              <w:jc w:val="center"/>
              <w:rPr>
                <w:rFonts w:ascii="Arial" w:hAnsi="Arial" w:cs="Arial"/>
                <w:color w:val="000000"/>
                <w:sz w:val="20"/>
                <w:szCs w:val="20"/>
                <w:lang w:val="en-GB"/>
              </w:rPr>
            </w:pPr>
            <w:r w:rsidRPr="00730DAA">
              <w:rPr>
                <w:rFonts w:ascii="Arial" w:hAnsi="Arial" w:cs="Arial"/>
                <w:color w:val="000000"/>
                <w:sz w:val="20"/>
                <w:szCs w:val="20"/>
                <w:lang w:val="en-GB"/>
              </w:rPr>
              <w:t>(Islamic Republic of)</w:t>
            </w:r>
          </w:p>
        </w:tc>
        <w:tc>
          <w:tcPr>
            <w:tcW w:w="2443" w:type="pct"/>
            <w:tcBorders>
              <w:top w:val="single" w:sz="4" w:space="0" w:color="auto"/>
              <w:left w:val="nil"/>
              <w:bottom w:val="single" w:sz="4" w:space="0" w:color="auto"/>
              <w:right w:val="nil"/>
            </w:tcBorders>
          </w:tcPr>
          <w:p w14:paraId="650684CA" w14:textId="787A4110" w:rsidR="00A82520" w:rsidRPr="006367FD" w:rsidRDefault="00597E66" w:rsidP="004A319E">
            <w:pPr>
              <w:spacing w:before="120" w:after="120"/>
              <w:rPr>
                <w:rFonts w:ascii="Arial" w:hAnsi="Arial" w:cs="Arial"/>
                <w:color w:val="000000"/>
                <w:sz w:val="20"/>
                <w:szCs w:val="20"/>
                <w:lang w:val="en-GB"/>
              </w:rPr>
            </w:pPr>
            <w:r w:rsidRPr="006367FD">
              <w:rPr>
                <w:rFonts w:ascii="Arial" w:hAnsi="Arial" w:cs="Arial"/>
                <w:color w:val="000000"/>
                <w:sz w:val="20"/>
                <w:szCs w:val="20"/>
                <w:lang w:val="en-GB"/>
              </w:rPr>
              <w:t>Naqqāli, Iranian dramatic story-telling</w:t>
            </w:r>
          </w:p>
        </w:tc>
        <w:tc>
          <w:tcPr>
            <w:tcW w:w="627" w:type="pct"/>
            <w:tcBorders>
              <w:top w:val="single" w:sz="4" w:space="0" w:color="auto"/>
              <w:left w:val="nil"/>
              <w:bottom w:val="single" w:sz="4" w:space="0" w:color="auto"/>
              <w:right w:val="nil"/>
            </w:tcBorders>
          </w:tcPr>
          <w:p w14:paraId="462118D7" w14:textId="2260B156"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7EC2D9AD" w14:textId="5C778F66" w:rsidR="00A82520" w:rsidRPr="006367FD" w:rsidRDefault="00963952" w:rsidP="00A82520">
            <w:pPr>
              <w:spacing w:before="120" w:after="120"/>
              <w:jc w:val="center"/>
              <w:rPr>
                <w:rFonts w:ascii="Arial" w:hAnsi="Arial" w:cs="Arial"/>
                <w:color w:val="000000"/>
                <w:sz w:val="20"/>
                <w:szCs w:val="20"/>
                <w:lang w:val="en-GB"/>
              </w:rPr>
            </w:pPr>
            <w:hyperlink r:id="rId23" w:history="1">
              <w:r w:rsidR="0040393D" w:rsidRPr="006367FD">
                <w:rPr>
                  <w:rStyle w:val="Lienhypertexte"/>
                  <w:rFonts w:ascii="Arial" w:hAnsi="Arial" w:cs="Arial"/>
                  <w:sz w:val="20"/>
                  <w:szCs w:val="20"/>
                  <w:lang w:val="en-GB"/>
                </w:rPr>
                <w:t>00535</w:t>
              </w:r>
            </w:hyperlink>
          </w:p>
        </w:tc>
      </w:tr>
      <w:tr w:rsidR="00A82520" w:rsidRPr="006367FD" w14:paraId="185EB001"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072DA2ED" w14:textId="3C26D514" w:rsidR="00A82520" w:rsidRPr="0054700E" w:rsidRDefault="00963952" w:rsidP="00877B23">
            <w:pPr>
              <w:spacing w:before="120" w:after="120"/>
              <w:rPr>
                <w:rStyle w:val="Lienhypertexte"/>
                <w:rFonts w:ascii="Arial" w:hAnsi="Arial" w:cs="Arial"/>
                <w:bCs/>
                <w:sz w:val="20"/>
                <w:szCs w:val="20"/>
                <w:lang w:val="en-GB" w:eastAsia="en-GB"/>
              </w:rPr>
            </w:pPr>
            <w:hyperlink w:anchor="Dec15COM7_4"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.4</w:t>
              </w:r>
            </w:hyperlink>
          </w:p>
        </w:tc>
        <w:tc>
          <w:tcPr>
            <w:tcW w:w="780" w:type="pct"/>
            <w:tcBorders>
              <w:top w:val="single" w:sz="4" w:space="0" w:color="auto"/>
              <w:left w:val="nil"/>
              <w:bottom w:val="single" w:sz="4" w:space="0" w:color="auto"/>
              <w:right w:val="nil"/>
            </w:tcBorders>
          </w:tcPr>
          <w:p w14:paraId="76DFCC85" w14:textId="77777777" w:rsidR="00A82520" w:rsidRDefault="00662896" w:rsidP="00662896">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Iran</w:t>
            </w:r>
          </w:p>
          <w:p w14:paraId="7CD007E7" w14:textId="75A803C0" w:rsidR="00794168" w:rsidRPr="006367FD" w:rsidRDefault="00794168" w:rsidP="00662896">
            <w:pPr>
              <w:spacing w:before="120" w:after="120"/>
              <w:jc w:val="center"/>
              <w:rPr>
                <w:rFonts w:ascii="Arial" w:hAnsi="Arial" w:cs="Arial"/>
                <w:color w:val="000000"/>
                <w:sz w:val="20"/>
                <w:szCs w:val="20"/>
                <w:lang w:val="en-GB"/>
              </w:rPr>
            </w:pPr>
            <w:r w:rsidRPr="00730DAA">
              <w:rPr>
                <w:rFonts w:ascii="Arial" w:hAnsi="Arial" w:cs="Arial"/>
                <w:color w:val="000000"/>
                <w:sz w:val="20"/>
                <w:szCs w:val="20"/>
                <w:lang w:val="en-GB"/>
              </w:rPr>
              <w:t>(Islamic Republic of)</w:t>
            </w:r>
          </w:p>
        </w:tc>
        <w:tc>
          <w:tcPr>
            <w:tcW w:w="2443" w:type="pct"/>
            <w:tcBorders>
              <w:top w:val="single" w:sz="4" w:space="0" w:color="auto"/>
              <w:left w:val="nil"/>
              <w:bottom w:val="single" w:sz="4" w:space="0" w:color="auto"/>
              <w:right w:val="nil"/>
            </w:tcBorders>
          </w:tcPr>
          <w:p w14:paraId="53CC36C2" w14:textId="4C4D1080" w:rsidR="00A82520" w:rsidRPr="006367FD" w:rsidRDefault="00597E66" w:rsidP="004A319E">
            <w:pPr>
              <w:spacing w:before="120" w:after="120"/>
              <w:rPr>
                <w:rFonts w:ascii="Arial" w:hAnsi="Arial" w:cs="Arial"/>
                <w:color w:val="000000"/>
                <w:sz w:val="20"/>
                <w:szCs w:val="20"/>
                <w:lang w:val="en-GB"/>
              </w:rPr>
            </w:pPr>
            <w:r w:rsidRPr="006367FD">
              <w:rPr>
                <w:rFonts w:ascii="Arial" w:hAnsi="Arial" w:cs="Arial"/>
                <w:color w:val="000000"/>
                <w:sz w:val="20"/>
                <w:szCs w:val="20"/>
                <w:lang w:val="en-GB"/>
              </w:rPr>
              <w:t>Traditional skills of building and sailing Iranian Lenj boats in the Persian Gulf</w:t>
            </w:r>
          </w:p>
        </w:tc>
        <w:tc>
          <w:tcPr>
            <w:tcW w:w="627" w:type="pct"/>
            <w:tcBorders>
              <w:top w:val="single" w:sz="4" w:space="0" w:color="auto"/>
              <w:left w:val="nil"/>
              <w:bottom w:val="single" w:sz="4" w:space="0" w:color="auto"/>
              <w:right w:val="nil"/>
            </w:tcBorders>
          </w:tcPr>
          <w:p w14:paraId="5C5D8478" w14:textId="381DC6CC" w:rsidR="00A82520" w:rsidRPr="006367FD" w:rsidRDefault="006A45BB"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0AAFE130" w14:textId="57329919" w:rsidR="00A82520" w:rsidRPr="006367FD" w:rsidRDefault="00963952" w:rsidP="00A82520">
            <w:pPr>
              <w:spacing w:before="120" w:after="120"/>
              <w:jc w:val="center"/>
              <w:rPr>
                <w:rFonts w:ascii="Arial" w:hAnsi="Arial" w:cs="Arial"/>
                <w:color w:val="000000"/>
                <w:sz w:val="20"/>
                <w:szCs w:val="20"/>
                <w:lang w:val="en-GB"/>
              </w:rPr>
            </w:pPr>
            <w:hyperlink r:id="rId24" w:history="1">
              <w:r w:rsidR="009F2F2D" w:rsidRPr="006367FD">
                <w:rPr>
                  <w:rStyle w:val="Lienhypertexte"/>
                  <w:rFonts w:ascii="Arial" w:hAnsi="Arial" w:cs="Arial"/>
                  <w:sz w:val="20"/>
                  <w:szCs w:val="20"/>
                  <w:lang w:val="en-GB"/>
                </w:rPr>
                <w:t>00534</w:t>
              </w:r>
            </w:hyperlink>
          </w:p>
        </w:tc>
      </w:tr>
      <w:tr w:rsidR="006A45BB" w:rsidRPr="006367FD" w14:paraId="7E63F95A"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32DEC5EE" w14:textId="3C91B6E6" w:rsidR="006A45BB" w:rsidRPr="0054700E" w:rsidRDefault="00963952" w:rsidP="00877B23">
            <w:pPr>
              <w:spacing w:before="120" w:after="120"/>
              <w:rPr>
                <w:rStyle w:val="Lienhypertexte"/>
                <w:rFonts w:ascii="Arial" w:hAnsi="Arial" w:cs="Arial"/>
                <w:bCs/>
                <w:sz w:val="20"/>
                <w:szCs w:val="20"/>
                <w:lang w:val="en-GB" w:eastAsia="en-GB"/>
              </w:rPr>
            </w:pPr>
            <w:hyperlink w:anchor="Dec15COM7_5"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.5</w:t>
              </w:r>
            </w:hyperlink>
          </w:p>
        </w:tc>
        <w:tc>
          <w:tcPr>
            <w:tcW w:w="780" w:type="pct"/>
            <w:tcBorders>
              <w:top w:val="single" w:sz="4" w:space="0" w:color="auto"/>
              <w:left w:val="nil"/>
              <w:bottom w:val="single" w:sz="4" w:space="0" w:color="auto"/>
              <w:right w:val="nil"/>
            </w:tcBorders>
          </w:tcPr>
          <w:p w14:paraId="275BFA41" w14:textId="25361F28" w:rsidR="006A45BB" w:rsidRPr="006367FD" w:rsidRDefault="00662896"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Mali</w:t>
            </w:r>
          </w:p>
        </w:tc>
        <w:tc>
          <w:tcPr>
            <w:tcW w:w="2443" w:type="pct"/>
            <w:tcBorders>
              <w:top w:val="single" w:sz="4" w:space="0" w:color="auto"/>
              <w:left w:val="nil"/>
              <w:bottom w:val="single" w:sz="4" w:space="0" w:color="auto"/>
              <w:right w:val="nil"/>
            </w:tcBorders>
          </w:tcPr>
          <w:p w14:paraId="0E9C4B56" w14:textId="3A597259" w:rsidR="006A45BB" w:rsidRPr="006367FD" w:rsidRDefault="00597E66" w:rsidP="004A319E">
            <w:pPr>
              <w:spacing w:before="120" w:after="120"/>
              <w:rPr>
                <w:rFonts w:ascii="Arial" w:hAnsi="Arial" w:cs="Arial"/>
                <w:color w:val="000000"/>
                <w:sz w:val="20"/>
                <w:szCs w:val="20"/>
                <w:lang w:val="en-GB"/>
              </w:rPr>
            </w:pPr>
            <w:r w:rsidRPr="006367FD">
              <w:rPr>
                <w:rFonts w:ascii="Arial" w:hAnsi="Arial" w:cs="Arial"/>
                <w:color w:val="000000"/>
                <w:sz w:val="20"/>
                <w:szCs w:val="20"/>
                <w:lang w:val="en-GB"/>
              </w:rPr>
              <w:t>Secret society of the Kôrêdugaw, the rite of wisdom in Mali</w:t>
            </w:r>
          </w:p>
        </w:tc>
        <w:tc>
          <w:tcPr>
            <w:tcW w:w="627" w:type="pct"/>
            <w:tcBorders>
              <w:top w:val="single" w:sz="4" w:space="0" w:color="auto"/>
              <w:left w:val="nil"/>
              <w:bottom w:val="single" w:sz="4" w:space="0" w:color="auto"/>
              <w:right w:val="nil"/>
            </w:tcBorders>
          </w:tcPr>
          <w:p w14:paraId="1D02CCCE" w14:textId="6BE98598" w:rsidR="006A45BB" w:rsidRPr="006367FD" w:rsidRDefault="006F5285"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0F77B4E9" w14:textId="328A934D" w:rsidR="006A45BB" w:rsidRPr="006367FD" w:rsidRDefault="00963952" w:rsidP="00A82520">
            <w:pPr>
              <w:spacing w:before="120" w:after="120"/>
              <w:jc w:val="center"/>
            </w:pPr>
            <w:hyperlink r:id="rId25" w:history="1">
              <w:r w:rsidR="00FF1728" w:rsidRPr="006367FD">
                <w:rPr>
                  <w:rStyle w:val="Lienhypertexte"/>
                  <w:rFonts w:ascii="Arial" w:hAnsi="Arial" w:cs="Arial"/>
                  <w:sz w:val="20"/>
                  <w:szCs w:val="20"/>
                  <w:lang w:val="en-GB"/>
                </w:rPr>
                <w:t>00520</w:t>
              </w:r>
            </w:hyperlink>
          </w:p>
        </w:tc>
      </w:tr>
      <w:tr w:rsidR="006A45BB" w:rsidRPr="006367FD" w14:paraId="62E30FEF"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415424B4" w14:textId="1BC935AE" w:rsidR="006A45BB" w:rsidRPr="0054700E" w:rsidRDefault="00963952" w:rsidP="00877B23">
            <w:pPr>
              <w:spacing w:before="120" w:after="120"/>
              <w:rPr>
                <w:rStyle w:val="Lienhypertexte"/>
                <w:rFonts w:ascii="Arial" w:hAnsi="Arial" w:cs="Arial"/>
                <w:bCs/>
                <w:sz w:val="20"/>
                <w:szCs w:val="20"/>
                <w:lang w:val="en-GB" w:eastAsia="en-GB"/>
              </w:rPr>
            </w:pPr>
            <w:hyperlink w:anchor="Dec15COM7_6"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.6</w:t>
              </w:r>
            </w:hyperlink>
          </w:p>
        </w:tc>
        <w:tc>
          <w:tcPr>
            <w:tcW w:w="780" w:type="pct"/>
            <w:tcBorders>
              <w:top w:val="single" w:sz="4" w:space="0" w:color="auto"/>
              <w:left w:val="nil"/>
              <w:bottom w:val="single" w:sz="4" w:space="0" w:color="auto"/>
              <w:right w:val="nil"/>
            </w:tcBorders>
          </w:tcPr>
          <w:p w14:paraId="5410E97A" w14:textId="1DD11F22" w:rsidR="006A45BB" w:rsidRPr="006367FD" w:rsidRDefault="00662896"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Mongolia</w:t>
            </w:r>
          </w:p>
        </w:tc>
        <w:tc>
          <w:tcPr>
            <w:tcW w:w="2443" w:type="pct"/>
            <w:tcBorders>
              <w:top w:val="single" w:sz="4" w:space="0" w:color="auto"/>
              <w:left w:val="nil"/>
              <w:bottom w:val="single" w:sz="4" w:space="0" w:color="auto"/>
              <w:right w:val="nil"/>
            </w:tcBorders>
          </w:tcPr>
          <w:p w14:paraId="27D9D03A" w14:textId="50E4B010" w:rsidR="006A45BB" w:rsidRPr="006367FD" w:rsidRDefault="00597E66" w:rsidP="004A319E">
            <w:pPr>
              <w:spacing w:before="120" w:after="120"/>
              <w:rPr>
                <w:rFonts w:ascii="Arial" w:hAnsi="Arial" w:cs="Arial"/>
                <w:color w:val="000000"/>
                <w:sz w:val="20"/>
                <w:szCs w:val="20"/>
                <w:lang w:val="en-GB"/>
              </w:rPr>
            </w:pPr>
            <w:r w:rsidRPr="006367FD">
              <w:rPr>
                <w:rFonts w:ascii="Arial" w:hAnsi="Arial" w:cs="Arial"/>
                <w:color w:val="000000"/>
                <w:sz w:val="20"/>
                <w:szCs w:val="20"/>
                <w:lang w:val="en-GB"/>
              </w:rPr>
              <w:t>Folk long song performance technique of Limbe performances - circular breathing</w:t>
            </w:r>
          </w:p>
        </w:tc>
        <w:tc>
          <w:tcPr>
            <w:tcW w:w="627" w:type="pct"/>
            <w:tcBorders>
              <w:top w:val="single" w:sz="4" w:space="0" w:color="auto"/>
              <w:left w:val="nil"/>
              <w:bottom w:val="single" w:sz="4" w:space="0" w:color="auto"/>
              <w:right w:val="nil"/>
            </w:tcBorders>
          </w:tcPr>
          <w:p w14:paraId="6A1611EA" w14:textId="3F8D93C7" w:rsidR="006A45BB" w:rsidRPr="006367FD" w:rsidRDefault="006F5285" w:rsidP="004A319E">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6BBA3DD5" w14:textId="26EC7182" w:rsidR="006A45BB" w:rsidRPr="006367FD" w:rsidRDefault="00963952" w:rsidP="00A82520">
            <w:pPr>
              <w:spacing w:before="120" w:after="120"/>
              <w:jc w:val="center"/>
            </w:pPr>
            <w:hyperlink r:id="rId26" w:history="1">
              <w:r w:rsidR="00536A83" w:rsidRPr="006367FD">
                <w:rPr>
                  <w:rStyle w:val="Lienhypertexte"/>
                  <w:rFonts w:ascii="Arial" w:hAnsi="Arial" w:cs="Arial"/>
                  <w:sz w:val="20"/>
                  <w:szCs w:val="20"/>
                  <w:lang w:val="en-GB"/>
                </w:rPr>
                <w:t>00543</w:t>
              </w:r>
            </w:hyperlink>
          </w:p>
        </w:tc>
      </w:tr>
      <w:tr w:rsidR="005C67F7" w:rsidRPr="006367FD" w14:paraId="283DC9FA"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34D13F3F" w14:textId="4080D727" w:rsidR="005C67F7" w:rsidRPr="0054700E" w:rsidRDefault="00963952" w:rsidP="00877B23">
            <w:pPr>
              <w:spacing w:before="120" w:after="120"/>
              <w:rPr>
                <w:rStyle w:val="Lienhypertexte"/>
                <w:rFonts w:ascii="Arial" w:hAnsi="Arial" w:cs="Arial"/>
                <w:bCs/>
                <w:sz w:val="20"/>
                <w:szCs w:val="20"/>
                <w:lang w:val="en-GB" w:eastAsia="en-GB"/>
              </w:rPr>
            </w:pPr>
            <w:hyperlink w:anchor="Dec15COM7_7"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.7</w:t>
              </w:r>
            </w:hyperlink>
          </w:p>
        </w:tc>
        <w:tc>
          <w:tcPr>
            <w:tcW w:w="780" w:type="pct"/>
            <w:tcBorders>
              <w:top w:val="single" w:sz="4" w:space="0" w:color="auto"/>
              <w:left w:val="nil"/>
              <w:bottom w:val="single" w:sz="4" w:space="0" w:color="auto"/>
              <w:right w:val="nil"/>
            </w:tcBorders>
          </w:tcPr>
          <w:p w14:paraId="5A741AB1" w14:textId="22609F1B"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 xml:space="preserve">Mongolia </w:t>
            </w:r>
          </w:p>
        </w:tc>
        <w:tc>
          <w:tcPr>
            <w:tcW w:w="2443" w:type="pct"/>
            <w:tcBorders>
              <w:top w:val="single" w:sz="4" w:space="0" w:color="auto"/>
              <w:left w:val="nil"/>
              <w:bottom w:val="single" w:sz="4" w:space="0" w:color="auto"/>
              <w:right w:val="nil"/>
            </w:tcBorders>
          </w:tcPr>
          <w:p w14:paraId="3330EB18" w14:textId="6FC48488" w:rsidR="005C67F7" w:rsidRPr="006367FD" w:rsidRDefault="005C67F7" w:rsidP="005C67F7">
            <w:pPr>
              <w:spacing w:before="120" w:after="120"/>
              <w:rPr>
                <w:rFonts w:ascii="Arial" w:hAnsi="Arial" w:cs="Arial"/>
                <w:color w:val="000000"/>
                <w:sz w:val="20"/>
                <w:szCs w:val="20"/>
                <w:lang w:val="en-GB"/>
              </w:rPr>
            </w:pPr>
            <w:r w:rsidRPr="006367FD">
              <w:rPr>
                <w:rFonts w:ascii="Arial" w:hAnsi="Arial" w:cs="Arial"/>
                <w:color w:val="000000"/>
                <w:sz w:val="20"/>
                <w:szCs w:val="20"/>
                <w:lang w:val="en-GB"/>
              </w:rPr>
              <w:t>Coaxing ritual for camels</w:t>
            </w:r>
          </w:p>
        </w:tc>
        <w:tc>
          <w:tcPr>
            <w:tcW w:w="627" w:type="pct"/>
            <w:tcBorders>
              <w:top w:val="single" w:sz="4" w:space="0" w:color="auto"/>
              <w:left w:val="nil"/>
              <w:bottom w:val="single" w:sz="4" w:space="0" w:color="auto"/>
              <w:right w:val="nil"/>
            </w:tcBorders>
          </w:tcPr>
          <w:p w14:paraId="76B7B5AE" w14:textId="611D384F"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2015</w:t>
            </w:r>
          </w:p>
        </w:tc>
        <w:tc>
          <w:tcPr>
            <w:tcW w:w="370" w:type="pct"/>
            <w:tcBorders>
              <w:top w:val="single" w:sz="4" w:space="0" w:color="auto"/>
              <w:left w:val="nil"/>
              <w:bottom w:val="single" w:sz="4" w:space="0" w:color="auto"/>
              <w:right w:val="single" w:sz="4" w:space="0" w:color="auto"/>
            </w:tcBorders>
          </w:tcPr>
          <w:p w14:paraId="00C1DCBC" w14:textId="390625E9" w:rsidR="005C67F7" w:rsidRPr="006367FD" w:rsidRDefault="00963952" w:rsidP="005C67F7">
            <w:pPr>
              <w:spacing w:before="120" w:after="120"/>
              <w:jc w:val="center"/>
            </w:pPr>
            <w:hyperlink r:id="rId27" w:history="1">
              <w:r w:rsidR="005C67F7" w:rsidRPr="006367FD">
                <w:rPr>
                  <w:rStyle w:val="Lienhypertexte"/>
                  <w:rFonts w:ascii="Arial" w:hAnsi="Arial" w:cs="Arial"/>
                  <w:sz w:val="20"/>
                  <w:szCs w:val="20"/>
                  <w:lang w:val="en-GB"/>
                </w:rPr>
                <w:t>01061</w:t>
              </w:r>
            </w:hyperlink>
          </w:p>
        </w:tc>
      </w:tr>
      <w:tr w:rsidR="005C67F7" w:rsidRPr="006367FD" w14:paraId="4F60EFA4"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2BF2CECD" w14:textId="4A36CC7A" w:rsidR="005C67F7" w:rsidRPr="0054700E" w:rsidRDefault="00963952" w:rsidP="00877B23">
            <w:pPr>
              <w:spacing w:before="120" w:after="120"/>
              <w:rPr>
                <w:rStyle w:val="Lienhypertexte"/>
                <w:rFonts w:ascii="Arial" w:hAnsi="Arial" w:cs="Arial"/>
                <w:bCs/>
                <w:sz w:val="20"/>
                <w:szCs w:val="20"/>
                <w:lang w:val="en-GB" w:eastAsia="en-GB"/>
              </w:rPr>
            </w:pPr>
            <w:hyperlink w:anchor="Dec15COM7_8"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.8</w:t>
              </w:r>
            </w:hyperlink>
          </w:p>
        </w:tc>
        <w:tc>
          <w:tcPr>
            <w:tcW w:w="780" w:type="pct"/>
            <w:tcBorders>
              <w:top w:val="single" w:sz="4" w:space="0" w:color="auto"/>
              <w:left w:val="nil"/>
              <w:bottom w:val="single" w:sz="4" w:space="0" w:color="auto"/>
              <w:right w:val="nil"/>
            </w:tcBorders>
          </w:tcPr>
          <w:p w14:paraId="1CF449F8" w14:textId="3A30045E"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Uganda</w:t>
            </w:r>
          </w:p>
        </w:tc>
        <w:tc>
          <w:tcPr>
            <w:tcW w:w="2443" w:type="pct"/>
            <w:tcBorders>
              <w:top w:val="single" w:sz="4" w:space="0" w:color="auto"/>
              <w:left w:val="nil"/>
              <w:bottom w:val="single" w:sz="4" w:space="0" w:color="auto"/>
              <w:right w:val="nil"/>
            </w:tcBorders>
          </w:tcPr>
          <w:p w14:paraId="62C66B1C" w14:textId="5F245394" w:rsidR="005C67F7" w:rsidRPr="006367FD" w:rsidRDefault="005C67F7" w:rsidP="005C67F7">
            <w:pPr>
              <w:spacing w:before="120" w:after="120"/>
              <w:rPr>
                <w:rFonts w:ascii="Arial" w:hAnsi="Arial" w:cs="Arial"/>
                <w:color w:val="000000"/>
                <w:sz w:val="20"/>
                <w:szCs w:val="20"/>
                <w:lang w:val="en-GB"/>
              </w:rPr>
            </w:pPr>
            <w:r w:rsidRPr="006367FD">
              <w:rPr>
                <w:rFonts w:ascii="Arial" w:hAnsi="Arial" w:cs="Arial"/>
                <w:color w:val="000000"/>
                <w:sz w:val="20"/>
                <w:szCs w:val="20"/>
                <w:lang w:val="en-GB"/>
              </w:rPr>
              <w:t>Koogere oral tradition of the Basongora, Banyabindi and Batooro peoples</w:t>
            </w:r>
          </w:p>
        </w:tc>
        <w:tc>
          <w:tcPr>
            <w:tcW w:w="627" w:type="pct"/>
            <w:tcBorders>
              <w:top w:val="single" w:sz="4" w:space="0" w:color="auto"/>
              <w:left w:val="nil"/>
              <w:bottom w:val="single" w:sz="4" w:space="0" w:color="auto"/>
              <w:right w:val="nil"/>
            </w:tcBorders>
          </w:tcPr>
          <w:p w14:paraId="7107FDF7" w14:textId="0FA72EE8"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2015</w:t>
            </w:r>
          </w:p>
        </w:tc>
        <w:tc>
          <w:tcPr>
            <w:tcW w:w="370" w:type="pct"/>
            <w:tcBorders>
              <w:top w:val="single" w:sz="4" w:space="0" w:color="auto"/>
              <w:left w:val="nil"/>
              <w:bottom w:val="single" w:sz="4" w:space="0" w:color="auto"/>
              <w:right w:val="single" w:sz="4" w:space="0" w:color="auto"/>
            </w:tcBorders>
          </w:tcPr>
          <w:p w14:paraId="5AA6E30A" w14:textId="1BBF4177" w:rsidR="005C67F7" w:rsidRPr="006367FD" w:rsidRDefault="00963952" w:rsidP="005C67F7">
            <w:pPr>
              <w:spacing w:before="120" w:after="120"/>
              <w:jc w:val="center"/>
            </w:pPr>
            <w:hyperlink r:id="rId28" w:history="1">
              <w:r w:rsidR="005C67F7" w:rsidRPr="006367FD">
                <w:rPr>
                  <w:rStyle w:val="Lienhypertexte"/>
                  <w:rFonts w:ascii="Arial" w:hAnsi="Arial" w:cs="Arial"/>
                  <w:sz w:val="20"/>
                  <w:szCs w:val="20"/>
                  <w:lang w:val="en-GB"/>
                </w:rPr>
                <w:t>00911</w:t>
              </w:r>
            </w:hyperlink>
          </w:p>
        </w:tc>
      </w:tr>
      <w:tr w:rsidR="005C67F7" w:rsidRPr="006367FD" w14:paraId="03EE44BC" w14:textId="77777777" w:rsidTr="00AA60CC">
        <w:trPr>
          <w:cantSplit/>
        </w:trPr>
        <w:tc>
          <w:tcPr>
            <w:tcW w:w="779" w:type="pct"/>
            <w:tcBorders>
              <w:top w:val="single" w:sz="4" w:space="0" w:color="auto"/>
              <w:left w:val="single" w:sz="4" w:space="0" w:color="auto"/>
              <w:bottom w:val="single" w:sz="4" w:space="0" w:color="auto"/>
              <w:right w:val="nil"/>
            </w:tcBorders>
            <w:shd w:val="clear" w:color="auto" w:fill="auto"/>
          </w:tcPr>
          <w:p w14:paraId="523AFF94" w14:textId="5F183354" w:rsidR="005C67F7" w:rsidRPr="0054700E" w:rsidRDefault="00963952" w:rsidP="00877B23">
            <w:pPr>
              <w:spacing w:before="120" w:after="120"/>
              <w:rPr>
                <w:rStyle w:val="Lienhypertexte"/>
                <w:rFonts w:ascii="Arial" w:hAnsi="Arial" w:cs="Arial"/>
                <w:bCs/>
                <w:sz w:val="20"/>
                <w:szCs w:val="20"/>
                <w:lang w:val="en-GB" w:eastAsia="en-GB"/>
              </w:rPr>
            </w:pPr>
            <w:hyperlink w:anchor="Dec15COM7_9" w:history="1">
              <w:r w:rsidR="00877B23" w:rsidRPr="0054700E">
                <w:rPr>
                  <w:rStyle w:val="Lienhypertexte"/>
                  <w:rFonts w:ascii="Arial" w:hAnsi="Arial" w:cs="Arial"/>
                  <w:bCs/>
                  <w:sz w:val="20"/>
                  <w:szCs w:val="20"/>
                  <w:lang w:val="en-GB" w:eastAsia="en-GB"/>
                </w:rPr>
                <w:t>15.COM </w:t>
              </w:r>
              <w:r w:rsidR="00A22BEB" w:rsidRPr="0054700E">
                <w:rPr>
                  <w:rStyle w:val="Lienhypertexte"/>
                  <w:rFonts w:ascii="Arial" w:hAnsi="Arial" w:cs="Arial"/>
                  <w:bCs/>
                  <w:sz w:val="20"/>
                  <w:szCs w:val="20"/>
                  <w:lang w:val="en-GB" w:eastAsia="en-GB"/>
                </w:rPr>
                <w:t>7</w:t>
              </w:r>
              <w:r w:rsidR="00877B23" w:rsidRPr="0054700E">
                <w:rPr>
                  <w:rStyle w:val="Lienhypertexte"/>
                  <w:rFonts w:ascii="Arial" w:hAnsi="Arial" w:cs="Arial"/>
                  <w:bCs/>
                  <w:sz w:val="20"/>
                  <w:szCs w:val="20"/>
                  <w:lang w:val="en-GB" w:eastAsia="en-GB"/>
                </w:rPr>
                <w:t>.9</w:t>
              </w:r>
            </w:hyperlink>
          </w:p>
        </w:tc>
        <w:tc>
          <w:tcPr>
            <w:tcW w:w="780" w:type="pct"/>
            <w:tcBorders>
              <w:top w:val="single" w:sz="4" w:space="0" w:color="auto"/>
              <w:left w:val="nil"/>
              <w:bottom w:val="single" w:sz="4" w:space="0" w:color="auto"/>
              <w:right w:val="nil"/>
            </w:tcBorders>
          </w:tcPr>
          <w:p w14:paraId="3C6BA97C" w14:textId="70F69FAB"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United Arab Emirates</w:t>
            </w:r>
          </w:p>
        </w:tc>
        <w:tc>
          <w:tcPr>
            <w:tcW w:w="2443" w:type="pct"/>
            <w:tcBorders>
              <w:top w:val="single" w:sz="4" w:space="0" w:color="auto"/>
              <w:left w:val="nil"/>
              <w:bottom w:val="single" w:sz="4" w:space="0" w:color="auto"/>
              <w:right w:val="nil"/>
            </w:tcBorders>
          </w:tcPr>
          <w:p w14:paraId="0951BB63" w14:textId="40586040" w:rsidR="005C67F7" w:rsidRPr="006367FD" w:rsidRDefault="005C67F7" w:rsidP="005C67F7">
            <w:pPr>
              <w:spacing w:before="120" w:after="120"/>
              <w:rPr>
                <w:rFonts w:ascii="Arial" w:hAnsi="Arial" w:cs="Arial"/>
                <w:color w:val="000000"/>
                <w:sz w:val="20"/>
                <w:szCs w:val="20"/>
                <w:lang w:val="en-GB"/>
              </w:rPr>
            </w:pPr>
            <w:r w:rsidRPr="006367FD">
              <w:rPr>
                <w:rFonts w:ascii="Arial" w:hAnsi="Arial" w:cs="Arial"/>
                <w:color w:val="000000"/>
                <w:sz w:val="20"/>
                <w:szCs w:val="20"/>
                <w:lang w:val="en-GB"/>
              </w:rPr>
              <w:t>Al Sadu, traditional weaving skills in the United Arab Emirates</w:t>
            </w:r>
          </w:p>
        </w:tc>
        <w:tc>
          <w:tcPr>
            <w:tcW w:w="627" w:type="pct"/>
            <w:tcBorders>
              <w:top w:val="single" w:sz="4" w:space="0" w:color="auto"/>
              <w:left w:val="nil"/>
              <w:bottom w:val="single" w:sz="4" w:space="0" w:color="auto"/>
              <w:right w:val="nil"/>
            </w:tcBorders>
          </w:tcPr>
          <w:p w14:paraId="1F8E876E" w14:textId="19715E47" w:rsidR="005C67F7" w:rsidRPr="006367FD" w:rsidRDefault="005C67F7" w:rsidP="005C67F7">
            <w:pPr>
              <w:spacing w:before="120" w:after="120"/>
              <w:jc w:val="center"/>
              <w:rPr>
                <w:rFonts w:ascii="Arial" w:hAnsi="Arial" w:cs="Arial"/>
                <w:color w:val="000000"/>
                <w:sz w:val="20"/>
                <w:szCs w:val="20"/>
                <w:lang w:val="en-GB"/>
              </w:rPr>
            </w:pPr>
            <w:r w:rsidRPr="006367FD">
              <w:rPr>
                <w:rFonts w:ascii="Arial" w:hAnsi="Arial" w:cs="Arial"/>
                <w:color w:val="000000"/>
                <w:sz w:val="20"/>
                <w:szCs w:val="20"/>
                <w:lang w:val="en-GB"/>
              </w:rPr>
              <w:t>2011</w:t>
            </w:r>
          </w:p>
        </w:tc>
        <w:tc>
          <w:tcPr>
            <w:tcW w:w="370" w:type="pct"/>
            <w:tcBorders>
              <w:top w:val="single" w:sz="4" w:space="0" w:color="auto"/>
              <w:left w:val="nil"/>
              <w:bottom w:val="single" w:sz="4" w:space="0" w:color="auto"/>
              <w:right w:val="single" w:sz="4" w:space="0" w:color="auto"/>
            </w:tcBorders>
          </w:tcPr>
          <w:p w14:paraId="39EE3EDC" w14:textId="2D3A9A44" w:rsidR="005C67F7" w:rsidRPr="006367FD" w:rsidRDefault="00963952" w:rsidP="005C67F7">
            <w:pPr>
              <w:spacing w:before="120" w:after="120"/>
              <w:jc w:val="center"/>
            </w:pPr>
            <w:hyperlink r:id="rId29" w:history="1">
              <w:r w:rsidR="005C67F7" w:rsidRPr="006367FD">
                <w:rPr>
                  <w:rStyle w:val="Lienhypertexte"/>
                  <w:rFonts w:ascii="Arial" w:hAnsi="Arial" w:cs="Arial"/>
                  <w:sz w:val="20"/>
                  <w:szCs w:val="20"/>
                  <w:lang w:val="en-GB"/>
                </w:rPr>
                <w:t>00517</w:t>
              </w:r>
            </w:hyperlink>
          </w:p>
        </w:tc>
      </w:tr>
    </w:tbl>
    <w:p w14:paraId="4232EFC1" w14:textId="15BB7C82" w:rsidR="00594BD1" w:rsidRPr="006367FD" w:rsidRDefault="004E1CD5" w:rsidP="0022017F">
      <w:pPr>
        <w:pStyle w:val="COMPara"/>
        <w:numPr>
          <w:ilvl w:val="0"/>
          <w:numId w:val="9"/>
        </w:numPr>
        <w:spacing w:before="240"/>
        <w:ind w:left="567" w:hanging="567"/>
        <w:jc w:val="both"/>
      </w:pPr>
      <w:r w:rsidRPr="006367FD">
        <w:t xml:space="preserve">Despite the availability of the online </w:t>
      </w:r>
      <w:r w:rsidR="00DF486A" w:rsidRPr="006367FD">
        <w:t xml:space="preserve">interface of Form ICH-11 </w:t>
      </w:r>
      <w:r w:rsidRPr="006367FD">
        <w:t>for reporting on the status of elements inscribed on the Urgent Safeguarding</w:t>
      </w:r>
      <w:r w:rsidR="00A41602" w:rsidRPr="006367FD">
        <w:t xml:space="preserve"> List</w:t>
      </w:r>
      <w:r w:rsidRPr="006367FD">
        <w:t xml:space="preserve">, </w:t>
      </w:r>
      <w:r w:rsidR="0065341E">
        <w:t>regrettabl</w:t>
      </w:r>
      <w:r w:rsidR="00D56D00">
        <w:t>y</w:t>
      </w:r>
      <w:r w:rsidR="0065341E">
        <w:t xml:space="preserve"> </w:t>
      </w:r>
      <w:r w:rsidRPr="006367FD">
        <w:t xml:space="preserve">none of the </w:t>
      </w:r>
      <w:r w:rsidR="00F25280" w:rsidRPr="006367FD">
        <w:t>nine</w:t>
      </w:r>
      <w:r w:rsidRPr="006367FD">
        <w:t xml:space="preserve"> reports in the current cycle w</w:t>
      </w:r>
      <w:r w:rsidR="006A27C9" w:rsidRPr="006367FD">
        <w:t>ere</w:t>
      </w:r>
      <w:r w:rsidRPr="006367FD">
        <w:t xml:space="preserve"> submitted using </w:t>
      </w:r>
      <w:r w:rsidR="006A27C9" w:rsidRPr="006367FD">
        <w:t xml:space="preserve">this </w:t>
      </w:r>
      <w:r w:rsidR="00DF486A" w:rsidRPr="006367FD">
        <w:t>interface</w:t>
      </w:r>
      <w:r w:rsidRPr="006367FD">
        <w:t xml:space="preserve">. </w:t>
      </w:r>
      <w:r w:rsidR="008D554D">
        <w:t xml:space="preserve">This year, </w:t>
      </w:r>
      <w:r w:rsidR="00DF486A" w:rsidRPr="006367FD">
        <w:t xml:space="preserve">the </w:t>
      </w:r>
      <w:r w:rsidR="00594BD1" w:rsidRPr="006367FD">
        <w:t xml:space="preserve">implementation of the </w:t>
      </w:r>
      <w:r w:rsidR="00DF486A" w:rsidRPr="006367FD">
        <w:t>new per</w:t>
      </w:r>
      <w:r w:rsidR="00594BD1" w:rsidRPr="006367FD">
        <w:t>iodic reporting mechanism of the</w:t>
      </w:r>
      <w:r w:rsidR="00DF486A" w:rsidRPr="006367FD">
        <w:t xml:space="preserve"> 2003 Convention </w:t>
      </w:r>
      <w:r w:rsidR="00A30E4C">
        <w:t>was</w:t>
      </w:r>
      <w:r w:rsidR="00594BD1" w:rsidRPr="006367FD">
        <w:t xml:space="preserve"> initiated</w:t>
      </w:r>
      <w:r w:rsidR="008D554D">
        <w:t>,</w:t>
      </w:r>
      <w:r w:rsidR="00594BD1" w:rsidRPr="006367FD">
        <w:t xml:space="preserve"> </w:t>
      </w:r>
      <w:r w:rsidR="005462F6" w:rsidRPr="006367FD">
        <w:t>with</w:t>
      </w:r>
      <w:r w:rsidR="00A30E4C">
        <w:t xml:space="preserve"> the launch of the</w:t>
      </w:r>
      <w:r w:rsidR="005462F6" w:rsidRPr="006367FD">
        <w:t xml:space="preserve"> regional cycle of reporting </w:t>
      </w:r>
      <w:r w:rsidR="00DF486A" w:rsidRPr="006367FD">
        <w:t>in Latin America and the Caribbean</w:t>
      </w:r>
      <w:r w:rsidR="008D554D">
        <w:t xml:space="preserve"> and </w:t>
      </w:r>
      <w:r w:rsidR="008D554D" w:rsidRPr="006367FD">
        <w:t>the revised online periodic reporting Form ICH-10</w:t>
      </w:r>
      <w:r w:rsidR="008D554D">
        <w:t xml:space="preserve">. </w:t>
      </w:r>
      <w:r w:rsidR="00914028">
        <w:t xml:space="preserve">In accordance with the rollout of the online </w:t>
      </w:r>
      <w:r w:rsidR="00914028" w:rsidRPr="006367FD">
        <w:t>Form ICH-10</w:t>
      </w:r>
      <w:r w:rsidR="00914028">
        <w:t xml:space="preserve"> for periodic reporting, </w:t>
      </w:r>
      <w:r w:rsidR="00B24E21">
        <w:t>t</w:t>
      </w:r>
      <w:r w:rsidR="005462F6" w:rsidRPr="006367FD">
        <w:t xml:space="preserve">he </w:t>
      </w:r>
      <w:r w:rsidR="00A30E4C">
        <w:t xml:space="preserve">use of the </w:t>
      </w:r>
      <w:r w:rsidR="005462F6" w:rsidRPr="006367FD">
        <w:t xml:space="preserve">online </w:t>
      </w:r>
      <w:r w:rsidR="00A30E4C" w:rsidRPr="006367FD">
        <w:t xml:space="preserve">Form ICH-11 </w:t>
      </w:r>
      <w:r w:rsidR="005462F6" w:rsidRPr="006367FD">
        <w:t xml:space="preserve">is considered to be timely and pertinent. </w:t>
      </w:r>
      <w:r w:rsidR="00F42E26">
        <w:t>To this end</w:t>
      </w:r>
      <w:r w:rsidR="00627984">
        <w:t>,</w:t>
      </w:r>
      <w:r w:rsidR="00F42E26">
        <w:t xml:space="preserve"> </w:t>
      </w:r>
      <w:r w:rsidR="00966846">
        <w:t xml:space="preserve">the Secretariat </w:t>
      </w:r>
      <w:r w:rsidR="00D56D00">
        <w:t xml:space="preserve">issued a letter </w:t>
      </w:r>
      <w:r w:rsidR="00966846">
        <w:t xml:space="preserve">in March 2020 to </w:t>
      </w:r>
      <w:r w:rsidR="00966846" w:rsidRPr="00FA4117">
        <w:t>inform the State Part</w:t>
      </w:r>
      <w:r w:rsidR="00846FE4">
        <w:t>ies</w:t>
      </w:r>
      <w:r w:rsidR="00966846" w:rsidRPr="00FA4117">
        <w:t xml:space="preserve"> </w:t>
      </w:r>
      <w:r w:rsidR="00846FE4">
        <w:t xml:space="preserve">concerned </w:t>
      </w:r>
      <w:r w:rsidR="00966846" w:rsidRPr="00FA4117">
        <w:t xml:space="preserve">about </w:t>
      </w:r>
      <w:r w:rsidR="00966846" w:rsidRPr="00FA4117">
        <w:lastRenderedPageBreak/>
        <w:t xml:space="preserve">the required submission of </w:t>
      </w:r>
      <w:r w:rsidR="00AD16B9">
        <w:t>their</w:t>
      </w:r>
      <w:r w:rsidR="00AD16B9" w:rsidRPr="00FA4117">
        <w:t xml:space="preserve"> </w:t>
      </w:r>
      <w:r w:rsidR="00966846" w:rsidRPr="00FA4117">
        <w:t>next report</w:t>
      </w:r>
      <w:r w:rsidR="00627984">
        <w:t xml:space="preserve"> and </w:t>
      </w:r>
      <w:r w:rsidR="00B24E21">
        <w:t>encourag</w:t>
      </w:r>
      <w:r w:rsidR="00206C8C">
        <w:t>e</w:t>
      </w:r>
      <w:r w:rsidR="00627984">
        <w:t xml:space="preserve"> them </w:t>
      </w:r>
      <w:r w:rsidR="00481487">
        <w:t xml:space="preserve">to </w:t>
      </w:r>
      <w:r w:rsidR="00B24E21">
        <w:t xml:space="preserve">use the online </w:t>
      </w:r>
      <w:r w:rsidR="00B24E21" w:rsidRPr="006367FD">
        <w:t>Form ICH-11</w:t>
      </w:r>
      <w:r w:rsidR="00D56D00">
        <w:t>.</w:t>
      </w:r>
      <w:r w:rsidR="00B24E21">
        <w:t xml:space="preserve"> A reminder letter was </w:t>
      </w:r>
      <w:r w:rsidR="00206C8C">
        <w:t xml:space="preserve">also </w:t>
      </w:r>
      <w:r w:rsidR="007454E8">
        <w:t xml:space="preserve">sent to </w:t>
      </w:r>
      <w:r w:rsidR="00D56D00">
        <w:t xml:space="preserve">the </w:t>
      </w:r>
      <w:r w:rsidR="007454E8">
        <w:t xml:space="preserve">States Parties concerned </w:t>
      </w:r>
      <w:r w:rsidR="00FB5CB7">
        <w:t>in October 2020</w:t>
      </w:r>
      <w:r w:rsidR="00D56D00">
        <w:t>,</w:t>
      </w:r>
      <w:r w:rsidR="00FB5CB7">
        <w:t xml:space="preserve"> requesting </w:t>
      </w:r>
      <w:r w:rsidR="00D56D00">
        <w:t xml:space="preserve">the </w:t>
      </w:r>
      <w:r w:rsidR="00FB5CB7">
        <w:t xml:space="preserve">contact information of the person in charge of coordinating the preparation of the report </w:t>
      </w:r>
      <w:r w:rsidR="00D56D00">
        <w:t xml:space="preserve">so that they could be </w:t>
      </w:r>
      <w:r w:rsidR="00FB5CB7">
        <w:t>provide</w:t>
      </w:r>
      <w:r w:rsidR="00D56D00">
        <w:t>d</w:t>
      </w:r>
      <w:r w:rsidR="00FB5CB7">
        <w:t xml:space="preserve"> with direct access to the online interface and practical guidance </w:t>
      </w:r>
      <w:r w:rsidR="00D56D00">
        <w:t xml:space="preserve">for </w:t>
      </w:r>
      <w:r w:rsidR="00FB5CB7">
        <w:t>prepar</w:t>
      </w:r>
      <w:r w:rsidR="00D56D00">
        <w:t>ing</w:t>
      </w:r>
      <w:r w:rsidR="00FB5CB7">
        <w:t xml:space="preserve"> the country’s report.</w:t>
      </w:r>
      <w:r w:rsidR="00B24E21">
        <w:t xml:space="preserve"> </w:t>
      </w:r>
      <w:r w:rsidR="00DD0482">
        <w:t>The use of the online interface</w:t>
      </w:r>
      <w:r w:rsidR="00C85A8B" w:rsidRPr="006367FD">
        <w:t xml:space="preserve"> </w:t>
      </w:r>
      <w:r w:rsidR="008342C3" w:rsidRPr="006367FD">
        <w:t xml:space="preserve">is expected to </w:t>
      </w:r>
      <w:r w:rsidR="00594BD1" w:rsidRPr="00A3214B">
        <w:rPr>
          <w:lang w:val="en-US"/>
        </w:rPr>
        <w:t>facilitate and optimize the reporting</w:t>
      </w:r>
      <w:r w:rsidR="00D56D00">
        <w:rPr>
          <w:lang w:val="en-US"/>
        </w:rPr>
        <w:t xml:space="preserve"> process</w:t>
      </w:r>
      <w:r w:rsidR="00594BD1" w:rsidRPr="00A3214B">
        <w:rPr>
          <w:lang w:val="en-US"/>
        </w:rPr>
        <w:t>, a</w:t>
      </w:r>
      <w:r w:rsidR="00D56D00">
        <w:rPr>
          <w:lang w:val="en-US"/>
        </w:rPr>
        <w:t>s well as to</w:t>
      </w:r>
      <w:r w:rsidR="008342C3" w:rsidRPr="00A3214B">
        <w:rPr>
          <w:lang w:val="en-US"/>
        </w:rPr>
        <w:t xml:space="preserve"> </w:t>
      </w:r>
      <w:r w:rsidR="00594BD1" w:rsidRPr="00A3214B">
        <w:rPr>
          <w:lang w:val="en-US"/>
        </w:rPr>
        <w:t>enhance the assessment of the reports</w:t>
      </w:r>
      <w:r w:rsidR="00C85A8B" w:rsidRPr="00A3214B">
        <w:rPr>
          <w:lang w:val="en-US"/>
        </w:rPr>
        <w:t xml:space="preserve"> submitted by States</w:t>
      </w:r>
      <w:r w:rsidR="008342C3" w:rsidRPr="00A3214B">
        <w:rPr>
          <w:lang w:val="en-US"/>
        </w:rPr>
        <w:t xml:space="preserve"> through </w:t>
      </w:r>
      <w:r w:rsidR="00594BD1" w:rsidRPr="006367FD">
        <w:t xml:space="preserve">data generation and </w:t>
      </w:r>
      <w:r w:rsidR="008342C3" w:rsidRPr="006367FD">
        <w:t>results-based reporting.</w:t>
      </w:r>
    </w:p>
    <w:p w14:paraId="2EB6167B" w14:textId="77777777" w:rsidR="0098525A" w:rsidRPr="0034083A" w:rsidRDefault="0098525A" w:rsidP="0098525A">
      <w:pPr>
        <w:pStyle w:val="Paragraphedeliste"/>
        <w:keepNext/>
        <w:numPr>
          <w:ilvl w:val="0"/>
          <w:numId w:val="13"/>
        </w:numPr>
        <w:spacing w:before="240" w:after="240"/>
        <w:ind w:left="567" w:hanging="567"/>
        <w:contextualSpacing w:val="0"/>
        <w:rPr>
          <w:rFonts w:ascii="Arial" w:hAnsi="Arial" w:cs="Arial"/>
          <w:b/>
          <w:sz w:val="22"/>
          <w:szCs w:val="22"/>
          <w:lang w:val="en-GB"/>
        </w:rPr>
      </w:pPr>
      <w:r w:rsidRPr="0034083A">
        <w:rPr>
          <w:rFonts w:ascii="Arial" w:hAnsi="Arial" w:cs="Arial"/>
          <w:b/>
          <w:sz w:val="22"/>
          <w:szCs w:val="22"/>
          <w:lang w:val="en-GB"/>
        </w:rPr>
        <w:t xml:space="preserve">General </w:t>
      </w:r>
      <w:r w:rsidRPr="0034083A">
        <w:rPr>
          <w:rFonts w:ascii="Arial" w:hAnsi="Arial" w:cs="Arial"/>
          <w:b/>
          <w:snapToGrid w:val="0"/>
          <w:sz w:val="22"/>
          <w:szCs w:val="22"/>
          <w:lang w:val="en-GB" w:eastAsia="en-US"/>
        </w:rPr>
        <w:t>observations</w:t>
      </w:r>
      <w:r w:rsidRPr="0034083A">
        <w:rPr>
          <w:rFonts w:ascii="Arial" w:hAnsi="Arial" w:cs="Arial"/>
          <w:b/>
          <w:sz w:val="22"/>
          <w:szCs w:val="22"/>
          <w:lang w:val="en-GB"/>
        </w:rPr>
        <w:t xml:space="preserve"> on the reports submitted for examination in 2020</w:t>
      </w:r>
    </w:p>
    <w:p w14:paraId="7B9A98D3" w14:textId="54A456E0" w:rsidR="004836D4" w:rsidRDefault="004836D4" w:rsidP="004836D4">
      <w:pPr>
        <w:pStyle w:val="COMPara"/>
        <w:numPr>
          <w:ilvl w:val="0"/>
          <w:numId w:val="9"/>
        </w:numPr>
        <w:ind w:left="567" w:hanging="567"/>
        <w:jc w:val="both"/>
      </w:pPr>
      <w:r w:rsidRPr="00F170CB">
        <w:t xml:space="preserve">This part of the report </w:t>
      </w:r>
      <w:r>
        <w:t xml:space="preserve">presents </w:t>
      </w:r>
      <w:r w:rsidRPr="00F170CB">
        <w:t xml:space="preserve">the </w:t>
      </w:r>
      <w:r w:rsidRPr="004836D4">
        <w:t xml:space="preserve">general observations and findings </w:t>
      </w:r>
      <w:r w:rsidR="00D56D00">
        <w:t>concerning</w:t>
      </w:r>
      <w:r w:rsidR="00D56D00" w:rsidRPr="004836D4">
        <w:t xml:space="preserve"> </w:t>
      </w:r>
      <w:r w:rsidRPr="004836D4">
        <w:t xml:space="preserve">the nine reports </w:t>
      </w:r>
      <w:r>
        <w:t>that were</w:t>
      </w:r>
      <w:r w:rsidRPr="004836D4">
        <w:t xml:space="preserve"> submitted for examination</w:t>
      </w:r>
      <w:r w:rsidRPr="00F170CB">
        <w:t xml:space="preserve"> </w:t>
      </w:r>
      <w:r>
        <w:t xml:space="preserve">at this Committee session. It outlines the </w:t>
      </w:r>
      <w:r w:rsidRPr="004836D4">
        <w:t>common trends</w:t>
      </w:r>
      <w:r w:rsidR="001163C3">
        <w:t xml:space="preserve"> and specific aspects </w:t>
      </w:r>
      <w:r w:rsidR="00347BCF">
        <w:t>related to</w:t>
      </w:r>
      <w:r w:rsidR="00FD307A">
        <w:t xml:space="preserve"> safeguarding plans</w:t>
      </w:r>
      <w:r w:rsidR="001163C3">
        <w:t xml:space="preserve">, </w:t>
      </w:r>
      <w:r>
        <w:t xml:space="preserve">and highlights some of the issues </w:t>
      </w:r>
      <w:r w:rsidRPr="004836D4">
        <w:t>and challenges States</w:t>
      </w:r>
      <w:r>
        <w:t xml:space="preserve"> encounter while safeguarding their elements.</w:t>
      </w:r>
    </w:p>
    <w:p w14:paraId="1A892D46" w14:textId="169908AA" w:rsidR="0098525A" w:rsidRPr="00963952" w:rsidRDefault="0098525A" w:rsidP="0098525A">
      <w:pPr>
        <w:pStyle w:val="Marge"/>
        <w:numPr>
          <w:ilvl w:val="0"/>
          <w:numId w:val="9"/>
        </w:numPr>
        <w:spacing w:before="120" w:after="120"/>
        <w:ind w:left="567" w:hanging="567"/>
        <w:rPr>
          <w:lang w:val="en-US"/>
        </w:rPr>
      </w:pPr>
      <w:r w:rsidRPr="0034083A">
        <w:rPr>
          <w:lang w:val="en-US"/>
        </w:rPr>
        <w:t>This year being the seventh ordinary cycle of reports</w:t>
      </w:r>
      <w:r>
        <w:rPr>
          <w:lang w:val="en-US"/>
        </w:rPr>
        <w:t xml:space="preserve">, </w:t>
      </w:r>
      <w:r w:rsidRPr="0034083A">
        <w:rPr>
          <w:lang w:val="en-US"/>
        </w:rPr>
        <w:t>the Committee is examin</w:t>
      </w:r>
      <w:r w:rsidR="00AB7C09">
        <w:rPr>
          <w:lang w:val="en-US"/>
        </w:rPr>
        <w:t>ing</w:t>
      </w:r>
      <w:r w:rsidRPr="0034083A">
        <w:rPr>
          <w:lang w:val="en-US"/>
        </w:rPr>
        <w:t xml:space="preserve"> a set of </w:t>
      </w:r>
      <w:r>
        <w:rPr>
          <w:lang w:val="en-US"/>
        </w:rPr>
        <w:t xml:space="preserve">first ordinary reports for elements inscribed in 2015, as well as </w:t>
      </w:r>
      <w:r w:rsidR="001535AC">
        <w:rPr>
          <w:lang w:val="en-US"/>
        </w:rPr>
        <w:t xml:space="preserve">a set of </w:t>
      </w:r>
      <w:r w:rsidRPr="0034083A">
        <w:rPr>
          <w:lang w:val="en-US"/>
        </w:rPr>
        <w:t xml:space="preserve">second ordinary reports for elements inscribed in 2011 </w:t>
      </w:r>
      <w:r>
        <w:rPr>
          <w:lang w:val="en-US"/>
        </w:rPr>
        <w:t xml:space="preserve">and </w:t>
      </w:r>
      <w:r w:rsidRPr="0034083A">
        <w:rPr>
          <w:lang w:val="en-US"/>
        </w:rPr>
        <w:t xml:space="preserve">one third report </w:t>
      </w:r>
      <w:r w:rsidR="00D56D00">
        <w:rPr>
          <w:lang w:val="en-US"/>
        </w:rPr>
        <w:t>following the submission of</w:t>
      </w:r>
      <w:r w:rsidR="00D56D00" w:rsidRPr="0034083A">
        <w:rPr>
          <w:lang w:val="en-US"/>
        </w:rPr>
        <w:t xml:space="preserve"> </w:t>
      </w:r>
      <w:r w:rsidRPr="0034083A">
        <w:rPr>
          <w:lang w:val="en-US"/>
        </w:rPr>
        <w:t xml:space="preserve">an extraordinary report two years after </w:t>
      </w:r>
      <w:r w:rsidR="00D56D00">
        <w:rPr>
          <w:lang w:val="en-US"/>
        </w:rPr>
        <w:t xml:space="preserve">the </w:t>
      </w:r>
      <w:r w:rsidRPr="0034083A">
        <w:rPr>
          <w:lang w:val="en-US"/>
        </w:rPr>
        <w:t>inscription</w:t>
      </w:r>
      <w:r w:rsidR="00D56D00">
        <w:rPr>
          <w:lang w:val="en-US"/>
        </w:rPr>
        <w:t xml:space="preserve"> of the element</w:t>
      </w:r>
      <w:r w:rsidRPr="0034083A">
        <w:rPr>
          <w:lang w:val="en-US"/>
        </w:rPr>
        <w:t xml:space="preserve">. </w:t>
      </w:r>
      <w:r w:rsidR="006A1F80">
        <w:rPr>
          <w:lang w:val="en-US"/>
        </w:rPr>
        <w:t>As the cycle of reports progress</w:t>
      </w:r>
      <w:r w:rsidR="00D56D00">
        <w:rPr>
          <w:lang w:val="en-US"/>
        </w:rPr>
        <w:t>es</w:t>
      </w:r>
      <w:r w:rsidR="006A1F80">
        <w:rPr>
          <w:lang w:val="en-US"/>
        </w:rPr>
        <w:t xml:space="preserve"> and accumulate</w:t>
      </w:r>
      <w:r w:rsidR="00D56D00">
        <w:rPr>
          <w:lang w:val="en-US"/>
        </w:rPr>
        <w:t>s</w:t>
      </w:r>
      <w:r w:rsidR="006A1F80">
        <w:rPr>
          <w:lang w:val="en-US"/>
        </w:rPr>
        <w:t xml:space="preserve">, </w:t>
      </w:r>
      <w:r w:rsidR="001535AC">
        <w:rPr>
          <w:lang w:val="en-US"/>
        </w:rPr>
        <w:t>i</w:t>
      </w:r>
      <w:r w:rsidRPr="0034083A">
        <w:rPr>
          <w:lang w:val="en-US"/>
        </w:rPr>
        <w:t xml:space="preserve">t is important to ensure that the reports take into </w:t>
      </w:r>
      <w:r w:rsidR="00D56D00">
        <w:rPr>
          <w:lang w:val="en-US"/>
        </w:rPr>
        <w:t xml:space="preserve">careful </w:t>
      </w:r>
      <w:r w:rsidR="003C5E23">
        <w:rPr>
          <w:lang w:val="en-US"/>
        </w:rPr>
        <w:t>consideration</w:t>
      </w:r>
      <w:r w:rsidRPr="0034083A">
        <w:rPr>
          <w:lang w:val="en-US"/>
        </w:rPr>
        <w:t xml:space="preserve"> the concerns raised by the Committee</w:t>
      </w:r>
      <w:r w:rsidR="00D56D00">
        <w:rPr>
          <w:lang w:val="en-US"/>
        </w:rPr>
        <w:t xml:space="preserve"> regarding</w:t>
      </w:r>
      <w:r w:rsidRPr="0034083A">
        <w:rPr>
          <w:lang w:val="en-US"/>
        </w:rPr>
        <w:t xml:space="preserve"> the reports on the same element submitted in previous cycles. </w:t>
      </w:r>
      <w:r w:rsidR="005A7BBE">
        <w:rPr>
          <w:lang w:val="en-US"/>
        </w:rPr>
        <w:t>I</w:t>
      </w:r>
      <w:r w:rsidR="0044323E">
        <w:rPr>
          <w:lang w:val="en-US"/>
        </w:rPr>
        <w:t xml:space="preserve">t has become crucial </w:t>
      </w:r>
      <w:r w:rsidRPr="0034083A">
        <w:rPr>
          <w:lang w:val="en-US"/>
        </w:rPr>
        <w:t xml:space="preserve">for States to include updated information in their reports </w:t>
      </w:r>
      <w:r>
        <w:rPr>
          <w:lang w:val="en-US"/>
        </w:rPr>
        <w:t>on the present viability of the element</w:t>
      </w:r>
      <w:r w:rsidRPr="0034083A">
        <w:rPr>
          <w:lang w:val="en-US"/>
        </w:rPr>
        <w:t xml:space="preserve"> </w:t>
      </w:r>
      <w:r w:rsidR="00D56D00">
        <w:rPr>
          <w:lang w:val="en-US"/>
        </w:rPr>
        <w:t xml:space="preserve">in question </w:t>
      </w:r>
      <w:r>
        <w:rPr>
          <w:lang w:val="en-US"/>
        </w:rPr>
        <w:t xml:space="preserve">and </w:t>
      </w:r>
      <w:r w:rsidRPr="0034083A">
        <w:rPr>
          <w:lang w:val="en-US"/>
        </w:rPr>
        <w:t>on</w:t>
      </w:r>
      <w:r w:rsidR="009D6830">
        <w:rPr>
          <w:lang w:val="en-US"/>
        </w:rPr>
        <w:t xml:space="preserve"> the</w:t>
      </w:r>
      <w:r w:rsidRPr="0034083A">
        <w:rPr>
          <w:lang w:val="en-US"/>
        </w:rPr>
        <w:t xml:space="preserve"> </w:t>
      </w:r>
      <w:r>
        <w:rPr>
          <w:lang w:val="en-US"/>
        </w:rPr>
        <w:t xml:space="preserve">progress of the implementation of </w:t>
      </w:r>
      <w:r w:rsidRPr="0034083A">
        <w:rPr>
          <w:lang w:val="en-US"/>
        </w:rPr>
        <w:t>the safeguarding plan</w:t>
      </w:r>
      <w:r w:rsidR="0044323E">
        <w:rPr>
          <w:lang w:val="en-US"/>
        </w:rPr>
        <w:t xml:space="preserve"> in order to </w:t>
      </w:r>
      <w:r w:rsidR="00AB7C09">
        <w:rPr>
          <w:lang w:val="en-US"/>
        </w:rPr>
        <w:t xml:space="preserve">appropriately </w:t>
      </w:r>
      <w:r w:rsidR="005A7BBE">
        <w:rPr>
          <w:lang w:val="en-US"/>
        </w:rPr>
        <w:t xml:space="preserve">evaluate </w:t>
      </w:r>
      <w:r w:rsidR="0044323E">
        <w:rPr>
          <w:lang w:val="en-US"/>
        </w:rPr>
        <w:t>the stat</w:t>
      </w:r>
      <w:r w:rsidR="005A7BBE">
        <w:rPr>
          <w:lang w:val="en-US"/>
        </w:rPr>
        <w:t>us</w:t>
      </w:r>
      <w:r w:rsidR="0044323E">
        <w:rPr>
          <w:lang w:val="en-US"/>
        </w:rPr>
        <w:t xml:space="preserve"> of safeguarding of the element</w:t>
      </w:r>
      <w:r w:rsidR="005A7BBE">
        <w:rPr>
          <w:lang w:val="en-US"/>
        </w:rPr>
        <w:t xml:space="preserve"> and </w:t>
      </w:r>
      <w:r w:rsidR="00D56D00">
        <w:rPr>
          <w:lang w:val="en-US"/>
        </w:rPr>
        <w:t xml:space="preserve">to </w:t>
      </w:r>
      <w:r w:rsidR="005A7BBE" w:rsidRPr="0034083A">
        <w:rPr>
          <w:lang w:val="en-US"/>
        </w:rPr>
        <w:t xml:space="preserve">allow the Committee to offer States </w:t>
      </w:r>
      <w:r w:rsidR="006878DB">
        <w:rPr>
          <w:lang w:val="en-US"/>
        </w:rPr>
        <w:t xml:space="preserve">further </w:t>
      </w:r>
      <w:r w:rsidR="005A7BBE" w:rsidRPr="0034083A">
        <w:rPr>
          <w:lang w:val="en-US"/>
        </w:rPr>
        <w:t>guidance and suggestions as necessary</w:t>
      </w:r>
      <w:r w:rsidR="0044323E">
        <w:rPr>
          <w:lang w:val="en-US"/>
        </w:rPr>
        <w:t>. Furthermore,</w:t>
      </w:r>
      <w:r w:rsidRPr="0034083A">
        <w:rPr>
          <w:lang w:val="en-US"/>
        </w:rPr>
        <w:t xml:space="preserve"> </w:t>
      </w:r>
      <w:r w:rsidR="005A7BBE">
        <w:rPr>
          <w:lang w:val="en-US"/>
        </w:rPr>
        <w:t xml:space="preserve">by fulfilling their reporting obligations, States Parties will be able </w:t>
      </w:r>
      <w:r w:rsidRPr="0034083A">
        <w:rPr>
          <w:lang w:val="en-US"/>
        </w:rPr>
        <w:t>to self-assess and re-orient their safeguarding efforts.</w:t>
      </w:r>
    </w:p>
    <w:p w14:paraId="1B9A9FF0" w14:textId="75B0CD5A" w:rsidR="0098525A" w:rsidRPr="00BE0634" w:rsidRDefault="0098525A" w:rsidP="0098525A">
      <w:pPr>
        <w:pStyle w:val="Marge"/>
        <w:numPr>
          <w:ilvl w:val="0"/>
          <w:numId w:val="9"/>
        </w:numPr>
        <w:spacing w:before="120" w:after="120"/>
        <w:ind w:left="567" w:hanging="567"/>
        <w:rPr>
          <w:lang w:val="en-US"/>
        </w:rPr>
      </w:pPr>
      <w:r w:rsidRPr="00F219F8">
        <w:rPr>
          <w:b/>
          <w:bCs/>
          <w:lang w:val="en-GB"/>
        </w:rPr>
        <w:t>Effectiveness of the safeguarding plan</w:t>
      </w:r>
      <w:r w:rsidRPr="00F219F8">
        <w:rPr>
          <w:bCs/>
          <w:lang w:val="en-GB"/>
        </w:rPr>
        <w:t>.</w:t>
      </w:r>
      <w:r>
        <w:rPr>
          <w:color w:val="0070C0"/>
          <w:lang w:val="en-US"/>
        </w:rPr>
        <w:t xml:space="preserve"> </w:t>
      </w:r>
      <w:r>
        <w:rPr>
          <w:lang w:val="en-GB"/>
        </w:rPr>
        <w:t>T</w:t>
      </w:r>
      <w:r w:rsidRPr="00655046">
        <w:rPr>
          <w:szCs w:val="22"/>
          <w:lang w:val="en-GB"/>
        </w:rPr>
        <w:t>he reports received this year demonstrate the growing role of formal</w:t>
      </w:r>
      <w:r>
        <w:rPr>
          <w:szCs w:val="22"/>
          <w:lang w:val="en-GB"/>
        </w:rPr>
        <w:t xml:space="preserve"> and non-formal</w:t>
      </w:r>
      <w:r w:rsidRPr="00655046">
        <w:rPr>
          <w:szCs w:val="22"/>
          <w:lang w:val="en-GB"/>
        </w:rPr>
        <w:t xml:space="preserve"> </w:t>
      </w:r>
      <w:r w:rsidRPr="00A65FB9">
        <w:rPr>
          <w:szCs w:val="22"/>
          <w:lang w:val="en-GB"/>
        </w:rPr>
        <w:t>education</w:t>
      </w:r>
      <w:r w:rsidRPr="00655046">
        <w:rPr>
          <w:szCs w:val="22"/>
          <w:lang w:val="en-GB"/>
        </w:rPr>
        <w:t xml:space="preserve"> in the transmission of intangible cultural heritage.</w:t>
      </w:r>
      <w:r>
        <w:rPr>
          <w:szCs w:val="22"/>
          <w:lang w:val="en-GB"/>
        </w:rPr>
        <w:t xml:space="preserve"> D</w:t>
      </w:r>
      <w:r w:rsidRPr="00655046">
        <w:rPr>
          <w:szCs w:val="22"/>
          <w:lang w:val="en-GB"/>
        </w:rPr>
        <w:t>ue to diverse social and economic changes</w:t>
      </w:r>
      <w:r>
        <w:rPr>
          <w:szCs w:val="22"/>
          <w:lang w:val="en-GB"/>
        </w:rPr>
        <w:t>,</w:t>
      </w:r>
      <w:r w:rsidRPr="00655046">
        <w:rPr>
          <w:szCs w:val="22"/>
          <w:lang w:val="en-GB"/>
        </w:rPr>
        <w:t xml:space="preserve"> transmission processes ha</w:t>
      </w:r>
      <w:r>
        <w:rPr>
          <w:szCs w:val="22"/>
          <w:lang w:val="en-GB"/>
        </w:rPr>
        <w:t>ve</w:t>
      </w:r>
      <w:r w:rsidRPr="00655046">
        <w:rPr>
          <w:szCs w:val="22"/>
          <w:lang w:val="en-GB"/>
        </w:rPr>
        <w:t xml:space="preserve"> been weakening in families, traditional </w:t>
      </w:r>
      <w:r>
        <w:rPr>
          <w:szCs w:val="22"/>
          <w:lang w:val="en-GB"/>
        </w:rPr>
        <w:t xml:space="preserve">community </w:t>
      </w:r>
      <w:r w:rsidRPr="00655046">
        <w:rPr>
          <w:szCs w:val="22"/>
          <w:lang w:val="en-GB"/>
        </w:rPr>
        <w:t xml:space="preserve">institutions </w:t>
      </w:r>
      <w:r w:rsidR="00D56D00">
        <w:rPr>
          <w:szCs w:val="22"/>
          <w:lang w:val="en-GB"/>
        </w:rPr>
        <w:t>and</w:t>
      </w:r>
      <w:r w:rsidRPr="00655046">
        <w:rPr>
          <w:szCs w:val="22"/>
          <w:lang w:val="en-GB"/>
        </w:rPr>
        <w:t xml:space="preserve"> other informal social contexts</w:t>
      </w:r>
      <w:r>
        <w:rPr>
          <w:szCs w:val="22"/>
          <w:lang w:val="en-GB"/>
        </w:rPr>
        <w:t xml:space="preserve">, resulting in the development of </w:t>
      </w:r>
      <w:r w:rsidR="00026FD5">
        <w:rPr>
          <w:szCs w:val="22"/>
          <w:lang w:val="en-GB"/>
        </w:rPr>
        <w:t>various</w:t>
      </w:r>
      <w:r w:rsidRPr="00655046">
        <w:rPr>
          <w:szCs w:val="22"/>
          <w:lang w:val="en-GB"/>
        </w:rPr>
        <w:t xml:space="preserve"> education and training measures. States are </w:t>
      </w:r>
      <w:r>
        <w:rPr>
          <w:szCs w:val="22"/>
          <w:lang w:val="en-GB"/>
        </w:rPr>
        <w:t>also</w:t>
      </w:r>
      <w:r w:rsidRPr="00655046">
        <w:rPr>
          <w:szCs w:val="22"/>
          <w:lang w:val="en-GB"/>
        </w:rPr>
        <w:t xml:space="preserve"> fac</w:t>
      </w:r>
      <w:r w:rsidR="00D56D00">
        <w:rPr>
          <w:szCs w:val="22"/>
          <w:lang w:val="en-GB"/>
        </w:rPr>
        <w:t xml:space="preserve">ed with the need </w:t>
      </w:r>
      <w:r w:rsidRPr="00655046">
        <w:rPr>
          <w:szCs w:val="22"/>
          <w:lang w:val="en-GB"/>
        </w:rPr>
        <w:t xml:space="preserve">to adapt to contemporary methods of learning and transmission. </w:t>
      </w:r>
      <w:r>
        <w:rPr>
          <w:szCs w:val="22"/>
          <w:lang w:val="en-GB"/>
        </w:rPr>
        <w:t xml:space="preserve">In addition, </w:t>
      </w:r>
      <w:r w:rsidRPr="00756000">
        <w:rPr>
          <w:szCs w:val="22"/>
          <w:lang w:val="en-GB"/>
        </w:rPr>
        <w:t xml:space="preserve">various institutions and organizations </w:t>
      </w:r>
      <w:r>
        <w:rPr>
          <w:szCs w:val="22"/>
          <w:lang w:val="en-GB"/>
        </w:rPr>
        <w:t>are playing an important</w:t>
      </w:r>
      <w:r w:rsidRPr="00756000">
        <w:rPr>
          <w:szCs w:val="22"/>
          <w:lang w:val="en-GB"/>
        </w:rPr>
        <w:t xml:space="preserve"> role in safeguarding </w:t>
      </w:r>
      <w:r>
        <w:rPr>
          <w:szCs w:val="22"/>
          <w:lang w:val="en-GB"/>
        </w:rPr>
        <w:t>efforts</w:t>
      </w:r>
      <w:r w:rsidRPr="00756000">
        <w:rPr>
          <w:szCs w:val="22"/>
          <w:lang w:val="en-GB"/>
        </w:rPr>
        <w:t xml:space="preserve">, </w:t>
      </w:r>
      <w:r>
        <w:rPr>
          <w:szCs w:val="22"/>
          <w:lang w:val="en-GB"/>
        </w:rPr>
        <w:t xml:space="preserve">including </w:t>
      </w:r>
      <w:r w:rsidRPr="00756000">
        <w:rPr>
          <w:szCs w:val="22"/>
          <w:lang w:val="en-GB"/>
        </w:rPr>
        <w:t>cultural houses</w:t>
      </w:r>
      <w:r>
        <w:rPr>
          <w:szCs w:val="22"/>
          <w:lang w:val="en-GB"/>
        </w:rPr>
        <w:t xml:space="preserve"> and</w:t>
      </w:r>
      <w:r w:rsidRPr="00756000">
        <w:rPr>
          <w:szCs w:val="22"/>
          <w:lang w:val="en-GB"/>
        </w:rPr>
        <w:t xml:space="preserve"> heritage interpretation centres, </w:t>
      </w:r>
      <w:r>
        <w:rPr>
          <w:szCs w:val="22"/>
          <w:lang w:val="en-GB"/>
        </w:rPr>
        <w:t>among</w:t>
      </w:r>
      <w:r w:rsidRPr="00756000">
        <w:rPr>
          <w:szCs w:val="22"/>
          <w:lang w:val="en-GB"/>
        </w:rPr>
        <w:t xml:space="preserve"> other</w:t>
      </w:r>
      <w:r>
        <w:rPr>
          <w:szCs w:val="22"/>
          <w:lang w:val="en-GB"/>
        </w:rPr>
        <w:t>s</w:t>
      </w:r>
      <w:r w:rsidRPr="00756000">
        <w:rPr>
          <w:szCs w:val="22"/>
          <w:lang w:val="en-GB"/>
        </w:rPr>
        <w:t>.</w:t>
      </w:r>
      <w:r>
        <w:rPr>
          <w:szCs w:val="22"/>
          <w:lang w:val="en-GB"/>
        </w:rPr>
        <w:t xml:space="preserve"> T</w:t>
      </w:r>
      <w:r w:rsidRPr="00756000">
        <w:rPr>
          <w:szCs w:val="22"/>
          <w:lang w:val="en-GB"/>
        </w:rPr>
        <w:t xml:space="preserve">he role of </w:t>
      </w:r>
      <w:r w:rsidRPr="00A65FB9">
        <w:rPr>
          <w:szCs w:val="22"/>
          <w:lang w:val="en-GB"/>
        </w:rPr>
        <w:t>museums</w:t>
      </w:r>
      <w:r w:rsidRPr="00756000">
        <w:rPr>
          <w:szCs w:val="22"/>
          <w:lang w:val="en-GB"/>
        </w:rPr>
        <w:t xml:space="preserve"> is prominent in </w:t>
      </w:r>
      <w:r>
        <w:rPr>
          <w:szCs w:val="22"/>
          <w:lang w:val="en-GB"/>
        </w:rPr>
        <w:t>several</w:t>
      </w:r>
      <w:r w:rsidRPr="00756000">
        <w:rPr>
          <w:szCs w:val="22"/>
          <w:lang w:val="en-GB"/>
        </w:rPr>
        <w:t xml:space="preserve"> </w:t>
      </w:r>
      <w:r>
        <w:rPr>
          <w:szCs w:val="22"/>
          <w:lang w:val="en-GB"/>
        </w:rPr>
        <w:t>reports</w:t>
      </w:r>
      <w:r w:rsidRPr="00756000">
        <w:rPr>
          <w:szCs w:val="22"/>
          <w:lang w:val="en-GB"/>
        </w:rPr>
        <w:t>, serv</w:t>
      </w:r>
      <w:r>
        <w:rPr>
          <w:szCs w:val="22"/>
          <w:lang w:val="en-GB"/>
        </w:rPr>
        <w:t>ing</w:t>
      </w:r>
      <w:r w:rsidRPr="00756000">
        <w:rPr>
          <w:szCs w:val="22"/>
          <w:lang w:val="en-GB"/>
        </w:rPr>
        <w:t xml:space="preserve"> </w:t>
      </w:r>
      <w:r w:rsidRPr="00756000">
        <w:rPr>
          <w:lang w:val="en-GB"/>
        </w:rPr>
        <w:t>as a cultural space for performance practices</w:t>
      </w:r>
      <w:r w:rsidRPr="00756000">
        <w:rPr>
          <w:shd w:val="clear" w:color="auto" w:fill="FFFFFF"/>
          <w:lang w:val="en-GB"/>
        </w:rPr>
        <w:t xml:space="preserve"> </w:t>
      </w:r>
      <w:r>
        <w:rPr>
          <w:shd w:val="clear" w:color="auto" w:fill="FFFFFF"/>
          <w:lang w:val="en-GB"/>
        </w:rPr>
        <w:t xml:space="preserve">and </w:t>
      </w:r>
      <w:r w:rsidRPr="00756000">
        <w:rPr>
          <w:shd w:val="clear" w:color="auto" w:fill="FFFFFF"/>
          <w:lang w:val="en-GB"/>
        </w:rPr>
        <w:t>educational</w:t>
      </w:r>
      <w:r>
        <w:rPr>
          <w:shd w:val="clear" w:color="auto" w:fill="FFFFFF"/>
          <w:lang w:val="en-GB"/>
        </w:rPr>
        <w:t>, training</w:t>
      </w:r>
      <w:r w:rsidRPr="00756000">
        <w:rPr>
          <w:shd w:val="clear" w:color="auto" w:fill="FFFFFF"/>
          <w:lang w:val="en-GB"/>
        </w:rPr>
        <w:t xml:space="preserve"> and awareness</w:t>
      </w:r>
      <w:r>
        <w:rPr>
          <w:shd w:val="clear" w:color="auto" w:fill="FFFFFF"/>
          <w:lang w:val="en-GB"/>
        </w:rPr>
        <w:t>-</w:t>
      </w:r>
      <w:r w:rsidRPr="00756000">
        <w:rPr>
          <w:shd w:val="clear" w:color="auto" w:fill="FFFFFF"/>
          <w:lang w:val="en-GB"/>
        </w:rPr>
        <w:t xml:space="preserve">raising activities, including through exhibitions. </w:t>
      </w:r>
      <w:r w:rsidRPr="000B14FE">
        <w:rPr>
          <w:szCs w:val="22"/>
          <w:lang w:val="en-GB"/>
        </w:rPr>
        <w:t xml:space="preserve">The organization of festivals of </w:t>
      </w:r>
      <w:r>
        <w:rPr>
          <w:szCs w:val="22"/>
          <w:lang w:val="en-GB"/>
        </w:rPr>
        <w:t xml:space="preserve">a </w:t>
      </w:r>
      <w:r w:rsidRPr="000B14FE">
        <w:rPr>
          <w:szCs w:val="22"/>
          <w:lang w:val="en-GB"/>
        </w:rPr>
        <w:t xml:space="preserve">different scale is </w:t>
      </w:r>
      <w:r>
        <w:rPr>
          <w:szCs w:val="22"/>
          <w:lang w:val="en-GB"/>
        </w:rPr>
        <w:t xml:space="preserve">considered as </w:t>
      </w:r>
      <w:r w:rsidRPr="000B14FE">
        <w:rPr>
          <w:szCs w:val="22"/>
          <w:lang w:val="en-GB"/>
        </w:rPr>
        <w:t>a widespread safeguarding measure</w:t>
      </w:r>
      <w:r w:rsidR="00D56D00">
        <w:rPr>
          <w:szCs w:val="22"/>
          <w:lang w:val="en-GB"/>
        </w:rPr>
        <w:t xml:space="preserve"> which is being increasingly applied; this is</w:t>
      </w:r>
      <w:r w:rsidRPr="000B14FE">
        <w:rPr>
          <w:szCs w:val="22"/>
          <w:lang w:val="en-GB"/>
        </w:rPr>
        <w:t xml:space="preserve"> particularly relevant for </w:t>
      </w:r>
      <w:r>
        <w:rPr>
          <w:szCs w:val="22"/>
          <w:lang w:val="en-GB"/>
        </w:rPr>
        <w:t xml:space="preserve">traditional </w:t>
      </w:r>
      <w:r w:rsidRPr="000B14FE">
        <w:rPr>
          <w:szCs w:val="22"/>
          <w:lang w:val="en-GB"/>
        </w:rPr>
        <w:t xml:space="preserve">performing arts or oral traditions and expressions, while </w:t>
      </w:r>
      <w:r>
        <w:rPr>
          <w:szCs w:val="22"/>
          <w:lang w:val="en-GB"/>
        </w:rPr>
        <w:t xml:space="preserve">it is less </w:t>
      </w:r>
      <w:r w:rsidR="003C7D09">
        <w:rPr>
          <w:szCs w:val="22"/>
          <w:lang w:val="en-GB"/>
        </w:rPr>
        <w:t xml:space="preserve">suitable </w:t>
      </w:r>
      <w:r>
        <w:rPr>
          <w:szCs w:val="22"/>
          <w:lang w:val="en-GB"/>
        </w:rPr>
        <w:t>for</w:t>
      </w:r>
      <w:r w:rsidRPr="000B14FE">
        <w:rPr>
          <w:szCs w:val="22"/>
          <w:lang w:val="en-GB"/>
        </w:rPr>
        <w:t xml:space="preserve"> social practices and rituals.</w:t>
      </w:r>
    </w:p>
    <w:p w14:paraId="15F674EF" w14:textId="1AC2FA65" w:rsidR="0098525A" w:rsidRPr="00490C43" w:rsidRDefault="0098525A" w:rsidP="009723CF">
      <w:pPr>
        <w:pStyle w:val="Marge"/>
        <w:numPr>
          <w:ilvl w:val="0"/>
          <w:numId w:val="9"/>
        </w:numPr>
        <w:spacing w:before="120" w:after="120"/>
        <w:ind w:left="567" w:hanging="567"/>
        <w:rPr>
          <w:lang w:val="en-US"/>
        </w:rPr>
      </w:pPr>
      <w:r w:rsidRPr="00490C43">
        <w:rPr>
          <w:lang w:val="en-GB"/>
        </w:rPr>
        <w:t>A number of reports address</w:t>
      </w:r>
      <w:r w:rsidR="008D2979" w:rsidRPr="00490C43">
        <w:rPr>
          <w:lang w:val="en-GB"/>
        </w:rPr>
        <w:t>ed</w:t>
      </w:r>
      <w:r w:rsidRPr="00490C43">
        <w:rPr>
          <w:lang w:val="en-GB"/>
        </w:rPr>
        <w:t xml:space="preserve"> </w:t>
      </w:r>
      <w:r w:rsidR="00C8616D" w:rsidRPr="00490C43">
        <w:rPr>
          <w:lang w:val="en-GB"/>
        </w:rPr>
        <w:t>a</w:t>
      </w:r>
      <w:r w:rsidR="0007255D" w:rsidRPr="00490C43">
        <w:rPr>
          <w:lang w:val="en-GB"/>
        </w:rPr>
        <w:t xml:space="preserve"> </w:t>
      </w:r>
      <w:r w:rsidR="00016EAF" w:rsidRPr="00490C43">
        <w:rPr>
          <w:lang w:val="en-GB"/>
        </w:rPr>
        <w:t>broad</w:t>
      </w:r>
      <w:r w:rsidR="00C8616D" w:rsidRPr="00490C43">
        <w:rPr>
          <w:lang w:val="en-GB"/>
        </w:rPr>
        <w:t xml:space="preserve"> scope of issues related to the </w:t>
      </w:r>
      <w:r w:rsidR="005A49EF" w:rsidRPr="00490C43">
        <w:rPr>
          <w:lang w:val="en-GB"/>
        </w:rPr>
        <w:t>safeguarding</w:t>
      </w:r>
      <w:r w:rsidR="00C8616D" w:rsidRPr="00490C43">
        <w:rPr>
          <w:lang w:val="en-GB"/>
        </w:rPr>
        <w:t xml:space="preserve"> of</w:t>
      </w:r>
      <w:r w:rsidRPr="00490C43">
        <w:rPr>
          <w:lang w:val="en-GB"/>
        </w:rPr>
        <w:t xml:space="preserve"> </w:t>
      </w:r>
      <w:r w:rsidR="003C7D09" w:rsidRPr="00490C43">
        <w:rPr>
          <w:lang w:val="en-GB"/>
        </w:rPr>
        <w:t xml:space="preserve">elements of </w:t>
      </w:r>
      <w:r w:rsidRPr="00490C43">
        <w:rPr>
          <w:lang w:val="en-GB"/>
        </w:rPr>
        <w:t xml:space="preserve">intangible cultural heritage. For instance, </w:t>
      </w:r>
      <w:r w:rsidR="003C7D09" w:rsidRPr="00490C43">
        <w:rPr>
          <w:lang w:val="en-GB"/>
        </w:rPr>
        <w:t xml:space="preserve">the </w:t>
      </w:r>
      <w:r w:rsidRPr="00490C43">
        <w:rPr>
          <w:lang w:val="en-GB"/>
        </w:rPr>
        <w:t xml:space="preserve">transmission of the knowledge of making and playing traditional musical instruments proved to be significant for safeguarding related performing arts and rituals. </w:t>
      </w:r>
      <w:r w:rsidR="00C459DF" w:rsidRPr="00490C43">
        <w:rPr>
          <w:lang w:val="en-GB"/>
        </w:rPr>
        <w:t xml:space="preserve">The importance </w:t>
      </w:r>
      <w:r w:rsidRPr="00490C43">
        <w:rPr>
          <w:szCs w:val="22"/>
          <w:lang w:val="en-GB"/>
        </w:rPr>
        <w:t xml:space="preserve">of </w:t>
      </w:r>
      <w:r w:rsidR="00C459DF" w:rsidRPr="00490C43">
        <w:rPr>
          <w:szCs w:val="22"/>
          <w:lang w:val="en-GB"/>
        </w:rPr>
        <w:t xml:space="preserve">safeguarding </w:t>
      </w:r>
      <w:r w:rsidRPr="00490C43">
        <w:rPr>
          <w:szCs w:val="22"/>
          <w:lang w:val="en-GB"/>
        </w:rPr>
        <w:t xml:space="preserve">local languages as vehicles of intangible cultural heritage was </w:t>
      </w:r>
      <w:r w:rsidR="00C459DF" w:rsidRPr="00490C43">
        <w:rPr>
          <w:szCs w:val="22"/>
          <w:lang w:val="en-GB"/>
        </w:rPr>
        <w:t xml:space="preserve">also </w:t>
      </w:r>
      <w:r w:rsidRPr="00490C43">
        <w:rPr>
          <w:szCs w:val="22"/>
          <w:lang w:val="en-GB"/>
        </w:rPr>
        <w:t xml:space="preserve">recognised in </w:t>
      </w:r>
      <w:r w:rsidR="00D8146A" w:rsidRPr="00490C43">
        <w:rPr>
          <w:szCs w:val="22"/>
          <w:lang w:val="en-GB"/>
        </w:rPr>
        <w:t xml:space="preserve">a number </w:t>
      </w:r>
      <w:r w:rsidRPr="00490C43">
        <w:rPr>
          <w:szCs w:val="22"/>
          <w:lang w:val="en-GB"/>
        </w:rPr>
        <w:t xml:space="preserve">of </w:t>
      </w:r>
      <w:r w:rsidR="001C319E" w:rsidRPr="00490C43">
        <w:rPr>
          <w:szCs w:val="22"/>
          <w:lang w:val="en-GB"/>
        </w:rPr>
        <w:t>cases</w:t>
      </w:r>
      <w:r w:rsidRPr="00490C43">
        <w:rPr>
          <w:szCs w:val="22"/>
          <w:lang w:val="en-GB"/>
        </w:rPr>
        <w:t xml:space="preserve">. As witnessed in several reports, States are also making </w:t>
      </w:r>
      <w:r w:rsidR="003C7D09" w:rsidRPr="00490C43">
        <w:rPr>
          <w:szCs w:val="22"/>
          <w:lang w:val="en-GB"/>
        </w:rPr>
        <w:t xml:space="preserve">a </w:t>
      </w:r>
      <w:r w:rsidRPr="00490C43">
        <w:rPr>
          <w:szCs w:val="22"/>
          <w:lang w:val="en-GB"/>
        </w:rPr>
        <w:t xml:space="preserve">great effort to ensure </w:t>
      </w:r>
      <w:r w:rsidR="009D6830" w:rsidRPr="00490C43">
        <w:rPr>
          <w:szCs w:val="22"/>
          <w:lang w:val="en-GB"/>
        </w:rPr>
        <w:t>the</w:t>
      </w:r>
      <w:r w:rsidRPr="00490C43">
        <w:rPr>
          <w:szCs w:val="22"/>
          <w:lang w:val="en-GB"/>
        </w:rPr>
        <w:t xml:space="preserve"> economic</w:t>
      </w:r>
      <w:r w:rsidRPr="00490C43">
        <w:rPr>
          <w:b/>
          <w:bCs/>
          <w:szCs w:val="22"/>
          <w:lang w:val="en-GB"/>
        </w:rPr>
        <w:t xml:space="preserve"> </w:t>
      </w:r>
      <w:r w:rsidRPr="00490C43">
        <w:rPr>
          <w:szCs w:val="22"/>
          <w:lang w:val="en-GB"/>
        </w:rPr>
        <w:t xml:space="preserve">sustainability of elements, </w:t>
      </w:r>
      <w:r w:rsidR="00871CD5" w:rsidRPr="00490C43">
        <w:rPr>
          <w:szCs w:val="22"/>
          <w:lang w:val="en-GB"/>
        </w:rPr>
        <w:t>especially</w:t>
      </w:r>
      <w:r w:rsidRPr="00490C43">
        <w:rPr>
          <w:szCs w:val="22"/>
          <w:lang w:val="en-GB"/>
        </w:rPr>
        <w:t xml:space="preserve"> in terms of the livelihood of tradition bearers. This is more </w:t>
      </w:r>
      <w:r w:rsidR="0067677A" w:rsidRPr="00490C43">
        <w:rPr>
          <w:szCs w:val="22"/>
          <w:lang w:val="en-GB"/>
        </w:rPr>
        <w:t>prominent</w:t>
      </w:r>
      <w:r w:rsidRPr="00490C43">
        <w:rPr>
          <w:szCs w:val="22"/>
          <w:lang w:val="en-GB"/>
        </w:rPr>
        <w:t xml:space="preserve"> in cases of traditional craftsmanship</w:t>
      </w:r>
      <w:r w:rsidR="003C7D09" w:rsidRPr="00490C43">
        <w:rPr>
          <w:szCs w:val="22"/>
          <w:lang w:val="en-GB"/>
        </w:rPr>
        <w:t>,</w:t>
      </w:r>
      <w:r w:rsidRPr="00490C43">
        <w:rPr>
          <w:szCs w:val="22"/>
          <w:lang w:val="en-GB"/>
        </w:rPr>
        <w:t xml:space="preserve"> </w:t>
      </w:r>
      <w:r w:rsidR="003C7D09" w:rsidRPr="00490C43">
        <w:rPr>
          <w:szCs w:val="22"/>
          <w:lang w:val="en-GB"/>
        </w:rPr>
        <w:t xml:space="preserve">but it is </w:t>
      </w:r>
      <w:r w:rsidRPr="00490C43">
        <w:rPr>
          <w:szCs w:val="22"/>
          <w:lang w:val="en-GB"/>
        </w:rPr>
        <w:t>also relevant for performing arts</w:t>
      </w:r>
      <w:r w:rsidR="00A73B0C" w:rsidRPr="00490C43">
        <w:rPr>
          <w:szCs w:val="22"/>
          <w:lang w:val="en-GB"/>
        </w:rPr>
        <w:t xml:space="preserve"> and</w:t>
      </w:r>
      <w:r w:rsidRPr="00490C43">
        <w:rPr>
          <w:szCs w:val="22"/>
          <w:lang w:val="en-GB"/>
        </w:rPr>
        <w:t xml:space="preserve"> other domains. Various funding schemes for practitioners have been put in place by central governments, local administrations, private bodies or non-governmental organizations, </w:t>
      </w:r>
      <w:r w:rsidR="00567145" w:rsidRPr="00490C43">
        <w:rPr>
          <w:szCs w:val="22"/>
          <w:lang w:val="en-GB"/>
        </w:rPr>
        <w:t>includ</w:t>
      </w:r>
      <w:r w:rsidR="002140E7" w:rsidRPr="00490C43">
        <w:rPr>
          <w:szCs w:val="22"/>
          <w:lang w:val="en-GB"/>
        </w:rPr>
        <w:t>ing</w:t>
      </w:r>
      <w:r w:rsidR="00567145" w:rsidRPr="00490C43">
        <w:rPr>
          <w:szCs w:val="22"/>
          <w:lang w:val="en-GB"/>
        </w:rPr>
        <w:t xml:space="preserve"> support for the continued practice of </w:t>
      </w:r>
      <w:r w:rsidR="00A35C24" w:rsidRPr="00490C43">
        <w:rPr>
          <w:szCs w:val="22"/>
          <w:lang w:val="en-GB"/>
        </w:rPr>
        <w:t xml:space="preserve">intangible cultural heritage </w:t>
      </w:r>
      <w:r w:rsidR="00567145" w:rsidRPr="00490C43">
        <w:rPr>
          <w:szCs w:val="22"/>
          <w:lang w:val="en-GB"/>
        </w:rPr>
        <w:t>as an income-generating economic and professional activity</w:t>
      </w:r>
      <w:r w:rsidR="0015084A" w:rsidRPr="00490C43">
        <w:rPr>
          <w:szCs w:val="22"/>
          <w:lang w:val="en-GB"/>
        </w:rPr>
        <w:t>.</w:t>
      </w:r>
      <w:r w:rsidR="00567145" w:rsidRPr="00490C43">
        <w:rPr>
          <w:szCs w:val="22"/>
          <w:lang w:val="en-GB"/>
        </w:rPr>
        <w:t xml:space="preserve"> </w:t>
      </w:r>
      <w:r w:rsidR="00F97F79" w:rsidRPr="00490C43">
        <w:rPr>
          <w:szCs w:val="22"/>
          <w:lang w:val="en-GB"/>
        </w:rPr>
        <w:t>E</w:t>
      </w:r>
      <w:r w:rsidRPr="00490C43">
        <w:rPr>
          <w:szCs w:val="22"/>
          <w:lang w:val="en-GB"/>
        </w:rPr>
        <w:t xml:space="preserve">fforts have </w:t>
      </w:r>
      <w:r w:rsidR="00F97F79" w:rsidRPr="00490C43">
        <w:rPr>
          <w:szCs w:val="22"/>
          <w:lang w:val="en-GB"/>
        </w:rPr>
        <w:t xml:space="preserve">also </w:t>
      </w:r>
      <w:r w:rsidRPr="00490C43">
        <w:rPr>
          <w:szCs w:val="22"/>
          <w:lang w:val="en-GB"/>
        </w:rPr>
        <w:t xml:space="preserve">been made to increase </w:t>
      </w:r>
      <w:r w:rsidR="003C7D09" w:rsidRPr="00490C43">
        <w:rPr>
          <w:szCs w:val="22"/>
          <w:lang w:val="en-GB"/>
        </w:rPr>
        <w:t xml:space="preserve">the </w:t>
      </w:r>
      <w:r w:rsidRPr="00490C43">
        <w:rPr>
          <w:szCs w:val="22"/>
          <w:lang w:val="en-GB"/>
        </w:rPr>
        <w:t>market demand for related products or services.</w:t>
      </w:r>
      <w:r w:rsidRPr="00490C43">
        <w:rPr>
          <w:lang w:val="en-GB"/>
        </w:rPr>
        <w:t xml:space="preserve"> </w:t>
      </w:r>
      <w:r w:rsidRPr="00490C43">
        <w:rPr>
          <w:szCs w:val="22"/>
          <w:lang w:val="en-GB"/>
        </w:rPr>
        <w:t xml:space="preserve">Altogether, improving </w:t>
      </w:r>
      <w:r w:rsidR="003C7D09" w:rsidRPr="00490C43">
        <w:rPr>
          <w:szCs w:val="22"/>
          <w:lang w:val="en-GB"/>
        </w:rPr>
        <w:t xml:space="preserve">the </w:t>
      </w:r>
      <w:r w:rsidRPr="00490C43">
        <w:rPr>
          <w:szCs w:val="22"/>
          <w:lang w:val="en-GB"/>
        </w:rPr>
        <w:t>economic conditions and social esteem of practitioners and bearers of element</w:t>
      </w:r>
      <w:r w:rsidR="003C7D09" w:rsidRPr="00490C43">
        <w:rPr>
          <w:szCs w:val="22"/>
          <w:lang w:val="en-GB"/>
        </w:rPr>
        <w:t>s</w:t>
      </w:r>
      <w:r w:rsidRPr="00490C43">
        <w:rPr>
          <w:szCs w:val="22"/>
          <w:lang w:val="en-GB"/>
        </w:rPr>
        <w:t xml:space="preserve"> has prove</w:t>
      </w:r>
      <w:r w:rsidR="0060436B" w:rsidRPr="00490C43">
        <w:rPr>
          <w:szCs w:val="22"/>
          <w:lang w:val="en-GB"/>
        </w:rPr>
        <w:t>n</w:t>
      </w:r>
      <w:r w:rsidRPr="00490C43">
        <w:rPr>
          <w:szCs w:val="22"/>
          <w:lang w:val="en-GB"/>
        </w:rPr>
        <w:t xml:space="preserve"> to be efficient in continuing their traditional practice.</w:t>
      </w:r>
    </w:p>
    <w:p w14:paraId="2AF0B7E3" w14:textId="1FE0E0A1" w:rsidR="0098525A" w:rsidRPr="00205A06" w:rsidRDefault="0098525A" w:rsidP="0098525A">
      <w:pPr>
        <w:pStyle w:val="Marge"/>
        <w:numPr>
          <w:ilvl w:val="0"/>
          <w:numId w:val="9"/>
        </w:numPr>
        <w:spacing w:before="120" w:after="120"/>
        <w:ind w:left="567" w:hanging="567"/>
        <w:rPr>
          <w:lang w:val="en-GB"/>
        </w:rPr>
      </w:pPr>
      <w:r w:rsidRPr="00205A06">
        <w:rPr>
          <w:lang w:val="en-US"/>
        </w:rPr>
        <w:lastRenderedPageBreak/>
        <w:t xml:space="preserve">Regarding the availability of </w:t>
      </w:r>
      <w:r w:rsidRPr="00A65FB9">
        <w:rPr>
          <w:lang w:val="en-US"/>
        </w:rPr>
        <w:t>financial resources and fundraising</w:t>
      </w:r>
      <w:r w:rsidRPr="00205A06">
        <w:rPr>
          <w:lang w:val="en-US"/>
        </w:rPr>
        <w:t>, States have expressed concerns about the</w:t>
      </w:r>
      <w:r w:rsidRPr="00205A06">
        <w:rPr>
          <w:szCs w:val="22"/>
          <w:lang w:val="en-GB"/>
        </w:rPr>
        <w:t xml:space="preserve"> existing constraints and funding priorities. As reported, funding is not equally accessible </w:t>
      </w:r>
      <w:r w:rsidR="003C7D09">
        <w:rPr>
          <w:szCs w:val="22"/>
          <w:lang w:val="en-GB"/>
        </w:rPr>
        <w:t>for</w:t>
      </w:r>
      <w:r w:rsidR="003C7D09" w:rsidRPr="00205A06">
        <w:rPr>
          <w:szCs w:val="22"/>
          <w:lang w:val="en-GB"/>
        </w:rPr>
        <w:t xml:space="preserve"> </w:t>
      </w:r>
      <w:r w:rsidR="00F1600C">
        <w:rPr>
          <w:szCs w:val="22"/>
          <w:lang w:val="en-GB"/>
        </w:rPr>
        <w:t xml:space="preserve">the </w:t>
      </w:r>
      <w:r w:rsidRPr="00205A06">
        <w:rPr>
          <w:szCs w:val="22"/>
          <w:lang w:val="en-GB"/>
        </w:rPr>
        <w:t xml:space="preserve">different </w:t>
      </w:r>
      <w:r w:rsidR="00F1600C">
        <w:rPr>
          <w:szCs w:val="22"/>
          <w:lang w:val="en-GB"/>
        </w:rPr>
        <w:t>type</w:t>
      </w:r>
      <w:r w:rsidR="003C7D09">
        <w:rPr>
          <w:szCs w:val="22"/>
          <w:lang w:val="en-GB"/>
        </w:rPr>
        <w:t>s</w:t>
      </w:r>
      <w:r w:rsidR="00F1600C">
        <w:rPr>
          <w:szCs w:val="22"/>
          <w:lang w:val="en-GB"/>
        </w:rPr>
        <w:t xml:space="preserve"> </w:t>
      </w:r>
      <w:r w:rsidRPr="00205A06">
        <w:rPr>
          <w:szCs w:val="22"/>
          <w:lang w:val="en-GB"/>
        </w:rPr>
        <w:t>of safeguarding</w:t>
      </w:r>
      <w:r w:rsidR="00F1600C">
        <w:rPr>
          <w:szCs w:val="22"/>
          <w:lang w:val="en-GB"/>
        </w:rPr>
        <w:t xml:space="preserve"> activities</w:t>
      </w:r>
      <w:r w:rsidRPr="00205A06">
        <w:rPr>
          <w:szCs w:val="22"/>
          <w:lang w:val="en-GB"/>
        </w:rPr>
        <w:t xml:space="preserve">. </w:t>
      </w:r>
      <w:r>
        <w:rPr>
          <w:szCs w:val="22"/>
          <w:lang w:val="en-GB"/>
        </w:rPr>
        <w:t xml:space="preserve">For instance, </w:t>
      </w:r>
      <w:r w:rsidRPr="00205A06">
        <w:rPr>
          <w:szCs w:val="22"/>
          <w:lang w:val="en-GB"/>
        </w:rPr>
        <w:t>funding</w:t>
      </w:r>
      <w:r>
        <w:rPr>
          <w:szCs w:val="22"/>
          <w:lang w:val="en-GB"/>
        </w:rPr>
        <w:t xml:space="preserve"> may be</w:t>
      </w:r>
      <w:r w:rsidRPr="00205A06">
        <w:rPr>
          <w:szCs w:val="22"/>
          <w:lang w:val="en-GB"/>
        </w:rPr>
        <w:t xml:space="preserve"> available for research and documentation</w:t>
      </w:r>
      <w:r w:rsidR="0012389D">
        <w:rPr>
          <w:szCs w:val="22"/>
          <w:lang w:val="en-GB"/>
        </w:rPr>
        <w:t xml:space="preserve"> activities</w:t>
      </w:r>
      <w:r w:rsidR="003C7D09">
        <w:rPr>
          <w:szCs w:val="22"/>
          <w:lang w:val="en-GB"/>
        </w:rPr>
        <w:t xml:space="preserve"> while </w:t>
      </w:r>
      <w:r>
        <w:rPr>
          <w:szCs w:val="22"/>
          <w:lang w:val="en-GB"/>
        </w:rPr>
        <w:t>lacking</w:t>
      </w:r>
      <w:r w:rsidRPr="00205A06">
        <w:rPr>
          <w:szCs w:val="22"/>
          <w:lang w:val="en-GB"/>
        </w:rPr>
        <w:t xml:space="preserve"> for </w:t>
      </w:r>
      <w:r>
        <w:rPr>
          <w:szCs w:val="22"/>
          <w:lang w:val="en-GB"/>
        </w:rPr>
        <w:t>ensuring the</w:t>
      </w:r>
      <w:r w:rsidRPr="00205A06">
        <w:rPr>
          <w:szCs w:val="22"/>
          <w:lang w:val="en-GB"/>
        </w:rPr>
        <w:t xml:space="preserve"> livelihood of practitioners. </w:t>
      </w:r>
      <w:r>
        <w:rPr>
          <w:szCs w:val="22"/>
          <w:lang w:val="en-GB"/>
        </w:rPr>
        <w:t>I</w:t>
      </w:r>
      <w:r w:rsidRPr="00205A06">
        <w:rPr>
          <w:szCs w:val="22"/>
          <w:lang w:val="en-GB"/>
        </w:rPr>
        <w:t>n other cases</w:t>
      </w:r>
      <w:r>
        <w:rPr>
          <w:szCs w:val="22"/>
          <w:lang w:val="en-GB"/>
        </w:rPr>
        <w:t xml:space="preserve">, </w:t>
      </w:r>
      <w:r w:rsidRPr="00205A06">
        <w:rPr>
          <w:szCs w:val="22"/>
          <w:lang w:val="en-GB"/>
        </w:rPr>
        <w:t>research, capacity</w:t>
      </w:r>
      <w:r>
        <w:rPr>
          <w:szCs w:val="22"/>
          <w:lang w:val="en-GB"/>
        </w:rPr>
        <w:t>-</w:t>
      </w:r>
      <w:r w:rsidRPr="00205A06">
        <w:rPr>
          <w:szCs w:val="22"/>
          <w:lang w:val="en-GB"/>
        </w:rPr>
        <w:t>building and documentation</w:t>
      </w:r>
      <w:r>
        <w:rPr>
          <w:szCs w:val="22"/>
          <w:lang w:val="en-GB"/>
        </w:rPr>
        <w:t xml:space="preserve"> activities </w:t>
      </w:r>
      <w:r w:rsidRPr="00205A06">
        <w:rPr>
          <w:szCs w:val="22"/>
          <w:lang w:val="en-GB"/>
        </w:rPr>
        <w:t>may not attract</w:t>
      </w:r>
      <w:r>
        <w:rPr>
          <w:szCs w:val="22"/>
          <w:lang w:val="en-GB"/>
        </w:rPr>
        <w:t xml:space="preserve"> external</w:t>
      </w:r>
      <w:r w:rsidRPr="00205A06">
        <w:rPr>
          <w:szCs w:val="22"/>
          <w:lang w:val="en-GB"/>
        </w:rPr>
        <w:t xml:space="preserve"> </w:t>
      </w:r>
      <w:r>
        <w:rPr>
          <w:szCs w:val="22"/>
          <w:lang w:val="en-GB"/>
        </w:rPr>
        <w:t xml:space="preserve">funding, while support </w:t>
      </w:r>
      <w:r w:rsidR="003C7D09">
        <w:rPr>
          <w:szCs w:val="22"/>
          <w:lang w:val="en-GB"/>
        </w:rPr>
        <w:t>may be</w:t>
      </w:r>
      <w:r>
        <w:rPr>
          <w:szCs w:val="22"/>
          <w:lang w:val="en-GB"/>
        </w:rPr>
        <w:t xml:space="preserve"> available for </w:t>
      </w:r>
      <w:r w:rsidRPr="00205A06">
        <w:rPr>
          <w:szCs w:val="22"/>
          <w:lang w:val="en-GB"/>
        </w:rPr>
        <w:t xml:space="preserve">festivals and </w:t>
      </w:r>
      <w:r>
        <w:rPr>
          <w:szCs w:val="22"/>
          <w:lang w:val="en-GB"/>
        </w:rPr>
        <w:t>communication activitie</w:t>
      </w:r>
      <w:r w:rsidRPr="0024308C">
        <w:rPr>
          <w:szCs w:val="22"/>
          <w:lang w:val="en-GB"/>
        </w:rPr>
        <w:t xml:space="preserve">s. </w:t>
      </w:r>
      <w:r w:rsidRPr="00312956">
        <w:rPr>
          <w:lang w:val="en-US"/>
        </w:rPr>
        <w:t xml:space="preserve">In cases where financial resources </w:t>
      </w:r>
      <w:r w:rsidR="0012389D">
        <w:rPr>
          <w:lang w:val="en-US"/>
        </w:rPr>
        <w:t>are required for</w:t>
      </w:r>
      <w:r w:rsidRPr="00312956">
        <w:rPr>
          <w:lang w:val="en-US"/>
        </w:rPr>
        <w:t xml:space="preserve"> strengthening the viability of inscribed elements, States may consider requesting International Assistance from the Intangible Cultural Heritage Fund, as suggested by Article 20 (a) of the Convention.</w:t>
      </w:r>
      <w:r>
        <w:rPr>
          <w:lang w:val="en-US"/>
        </w:rPr>
        <w:t xml:space="preserve"> </w:t>
      </w:r>
      <w:r w:rsidRPr="0024308C">
        <w:rPr>
          <w:lang w:val="en-US"/>
        </w:rPr>
        <w:t xml:space="preserve">This year, </w:t>
      </w:r>
      <w:r>
        <w:rPr>
          <w:lang w:val="en-US"/>
        </w:rPr>
        <w:t xml:space="preserve">there was </w:t>
      </w:r>
      <w:r w:rsidRPr="00AA581C">
        <w:rPr>
          <w:lang w:val="en-US"/>
        </w:rPr>
        <w:t xml:space="preserve">one </w:t>
      </w:r>
      <w:r>
        <w:rPr>
          <w:lang w:val="en-US"/>
        </w:rPr>
        <w:t>case</w:t>
      </w:r>
      <w:r w:rsidRPr="00AA581C">
        <w:rPr>
          <w:lang w:val="en-US"/>
        </w:rPr>
        <w:t xml:space="preserve"> </w:t>
      </w:r>
      <w:r>
        <w:rPr>
          <w:lang w:val="en-US"/>
        </w:rPr>
        <w:t xml:space="preserve">where the use of </w:t>
      </w:r>
      <w:r w:rsidRPr="0024308C">
        <w:rPr>
          <w:lang w:val="en-US"/>
        </w:rPr>
        <w:t xml:space="preserve">International Assistance </w:t>
      </w:r>
      <w:r w:rsidR="003C7D09">
        <w:rPr>
          <w:lang w:val="en-US"/>
        </w:rPr>
        <w:t>was</w:t>
      </w:r>
      <w:r w:rsidRPr="00312956">
        <w:rPr>
          <w:lang w:val="en-US"/>
        </w:rPr>
        <w:t xml:space="preserve"> reported, </w:t>
      </w:r>
      <w:r w:rsidRPr="00AA581C">
        <w:rPr>
          <w:lang w:val="en-US"/>
        </w:rPr>
        <w:t>explaining its</w:t>
      </w:r>
      <w:r>
        <w:rPr>
          <w:lang w:val="en-US"/>
        </w:rPr>
        <w:t xml:space="preserve"> contribution to the safeguarding of the element and allowing the Committee to e</w:t>
      </w:r>
      <w:r w:rsidRPr="0024308C">
        <w:rPr>
          <w:lang w:val="en-US"/>
        </w:rPr>
        <w:t>valuat</w:t>
      </w:r>
      <w:r>
        <w:rPr>
          <w:lang w:val="en-US"/>
        </w:rPr>
        <w:t>e</w:t>
      </w:r>
      <w:r w:rsidRPr="0024308C">
        <w:rPr>
          <w:lang w:val="en-US"/>
        </w:rPr>
        <w:t xml:space="preserve"> the impact </w:t>
      </w:r>
      <w:r>
        <w:rPr>
          <w:lang w:val="en-US"/>
        </w:rPr>
        <w:t xml:space="preserve">of </w:t>
      </w:r>
      <w:r w:rsidRPr="0024308C">
        <w:rPr>
          <w:lang w:val="en-US"/>
        </w:rPr>
        <w:t xml:space="preserve">this international cooperation mechanism on the </w:t>
      </w:r>
      <w:r>
        <w:rPr>
          <w:lang w:val="en-US"/>
        </w:rPr>
        <w:t>viability</w:t>
      </w:r>
      <w:r w:rsidRPr="0024308C">
        <w:rPr>
          <w:lang w:val="en-US"/>
        </w:rPr>
        <w:t xml:space="preserve"> of </w:t>
      </w:r>
      <w:r>
        <w:rPr>
          <w:lang w:val="en-US"/>
        </w:rPr>
        <w:t xml:space="preserve">the </w:t>
      </w:r>
      <w:r w:rsidRPr="0024308C">
        <w:rPr>
          <w:lang w:val="en-US"/>
        </w:rPr>
        <w:t>element</w:t>
      </w:r>
      <w:r>
        <w:rPr>
          <w:lang w:val="en-US"/>
        </w:rPr>
        <w:t>.</w:t>
      </w:r>
    </w:p>
    <w:p w14:paraId="6FCB48BE" w14:textId="450CC28B" w:rsidR="0098525A" w:rsidRPr="008D04E6" w:rsidRDefault="0098525A" w:rsidP="0098525A">
      <w:pPr>
        <w:pStyle w:val="Marge"/>
        <w:numPr>
          <w:ilvl w:val="0"/>
          <w:numId w:val="9"/>
        </w:numPr>
        <w:spacing w:before="120" w:after="120"/>
        <w:ind w:left="567" w:hanging="567"/>
        <w:rPr>
          <w:lang w:val="en-GB"/>
        </w:rPr>
      </w:pPr>
      <w:r w:rsidRPr="008D04E6">
        <w:rPr>
          <w:b/>
          <w:bCs/>
          <w:lang w:val="en-GB"/>
        </w:rPr>
        <w:t>Community participation</w:t>
      </w:r>
      <w:r w:rsidRPr="008D04E6">
        <w:rPr>
          <w:bCs/>
          <w:lang w:val="en-GB"/>
        </w:rPr>
        <w:t xml:space="preserve">. Several States have reported </w:t>
      </w:r>
      <w:r w:rsidRPr="008D04E6">
        <w:rPr>
          <w:szCs w:val="22"/>
          <w:lang w:val="en-GB"/>
        </w:rPr>
        <w:t xml:space="preserve">that the inscription of elements on </w:t>
      </w:r>
      <w:r w:rsidRPr="008D04E6">
        <w:rPr>
          <w:rStyle w:val="hps"/>
          <w:rFonts w:cs="Arial"/>
          <w:szCs w:val="22"/>
          <w:lang w:val="en-GB"/>
        </w:rPr>
        <w:t xml:space="preserve">the Urgent Safeguarding </w:t>
      </w:r>
      <w:r w:rsidRPr="008D04E6">
        <w:rPr>
          <w:lang w:val="en-US"/>
        </w:rPr>
        <w:t xml:space="preserve">List has enhanced community stewardship over intangible cultural heritage and </w:t>
      </w:r>
      <w:r w:rsidR="00C72314" w:rsidRPr="008D04E6">
        <w:rPr>
          <w:lang w:val="en-US"/>
        </w:rPr>
        <w:t>communities’</w:t>
      </w:r>
      <w:r w:rsidRPr="008D04E6">
        <w:rPr>
          <w:lang w:val="en-US"/>
        </w:rPr>
        <w:t xml:space="preserve"> commitment to its safeguarding.</w:t>
      </w:r>
      <w:r w:rsidRPr="008D04E6">
        <w:rPr>
          <w:szCs w:val="22"/>
          <w:lang w:val="en-GB"/>
        </w:rPr>
        <w:t xml:space="preserve"> Diverse participatory safeguarding measures are being </w:t>
      </w:r>
      <w:r w:rsidRPr="008D04E6">
        <w:rPr>
          <w:rFonts w:cs="Arial"/>
          <w:szCs w:val="22"/>
          <w:lang w:val="en-GB"/>
        </w:rPr>
        <w:t>developed</w:t>
      </w:r>
      <w:r w:rsidRPr="008D04E6">
        <w:rPr>
          <w:szCs w:val="22"/>
          <w:lang w:val="en-GB"/>
        </w:rPr>
        <w:t xml:space="preserve">, for instance </w:t>
      </w:r>
      <w:r w:rsidR="003A2100" w:rsidRPr="008D04E6">
        <w:rPr>
          <w:szCs w:val="22"/>
          <w:lang w:val="en-GB"/>
        </w:rPr>
        <w:t xml:space="preserve">ensuring </w:t>
      </w:r>
      <w:r w:rsidRPr="008D04E6">
        <w:rPr>
          <w:szCs w:val="22"/>
          <w:lang w:val="en-GB"/>
        </w:rPr>
        <w:t xml:space="preserve">community participation in the management structures for intangible cultural heritage safeguarding, or involving community members as researchers in documentation projects. The issue of gender balance </w:t>
      </w:r>
      <w:r w:rsidR="00023498" w:rsidRPr="008D04E6">
        <w:rPr>
          <w:szCs w:val="22"/>
          <w:lang w:val="en-GB"/>
        </w:rPr>
        <w:t>is</w:t>
      </w:r>
      <w:r w:rsidRPr="008D04E6">
        <w:rPr>
          <w:szCs w:val="22"/>
          <w:lang w:val="en-GB"/>
        </w:rPr>
        <w:t xml:space="preserve"> addressed in some reports</w:t>
      </w:r>
      <w:r w:rsidR="00BF4029" w:rsidRPr="008D04E6">
        <w:rPr>
          <w:szCs w:val="22"/>
          <w:lang w:val="en-GB"/>
        </w:rPr>
        <w:t xml:space="preserve">. </w:t>
      </w:r>
      <w:r w:rsidR="00D82589" w:rsidRPr="008D04E6">
        <w:rPr>
          <w:szCs w:val="22"/>
          <w:lang w:val="en-GB"/>
        </w:rPr>
        <w:t>In some cases, t</w:t>
      </w:r>
      <w:r w:rsidR="003D7EDD" w:rsidRPr="008D04E6">
        <w:rPr>
          <w:rFonts w:asciiTheme="minorBidi" w:hAnsiTheme="minorBidi"/>
          <w:bCs/>
          <w:lang w:val="en-GB"/>
        </w:rPr>
        <w:t xml:space="preserve">he loss of gender balance among practitioners has been identified as a risk for the </w:t>
      </w:r>
      <w:r w:rsidR="002E0129" w:rsidRPr="008D04E6">
        <w:rPr>
          <w:rFonts w:asciiTheme="minorBidi" w:hAnsiTheme="minorBidi"/>
          <w:bCs/>
          <w:lang w:val="en-GB"/>
        </w:rPr>
        <w:t>transmission</w:t>
      </w:r>
      <w:r w:rsidR="003D7EDD" w:rsidRPr="008D04E6">
        <w:rPr>
          <w:rFonts w:asciiTheme="minorBidi" w:hAnsiTheme="minorBidi"/>
          <w:bCs/>
          <w:lang w:val="en-GB"/>
        </w:rPr>
        <w:t xml:space="preserve"> of the element, </w:t>
      </w:r>
      <w:r w:rsidR="003D0C4A" w:rsidRPr="008D04E6">
        <w:rPr>
          <w:rFonts w:asciiTheme="minorBidi" w:hAnsiTheme="minorBidi"/>
          <w:bCs/>
          <w:lang w:val="en-GB"/>
        </w:rPr>
        <w:t xml:space="preserve">therefore </w:t>
      </w:r>
      <w:r w:rsidR="003D7EDD" w:rsidRPr="008D04E6">
        <w:rPr>
          <w:rFonts w:asciiTheme="minorBidi" w:hAnsiTheme="minorBidi"/>
          <w:bCs/>
          <w:lang w:val="en-GB"/>
        </w:rPr>
        <w:t>requir</w:t>
      </w:r>
      <w:r w:rsidR="00D82589" w:rsidRPr="008D04E6">
        <w:rPr>
          <w:rFonts w:asciiTheme="minorBidi" w:hAnsiTheme="minorBidi"/>
          <w:bCs/>
          <w:lang w:val="en-GB"/>
        </w:rPr>
        <w:t>ing</w:t>
      </w:r>
      <w:r w:rsidR="003D7EDD" w:rsidRPr="008D04E6">
        <w:rPr>
          <w:rFonts w:asciiTheme="minorBidi" w:hAnsiTheme="minorBidi"/>
          <w:bCs/>
          <w:lang w:val="en-GB"/>
        </w:rPr>
        <w:t xml:space="preserve"> safeguarding </w:t>
      </w:r>
      <w:r w:rsidR="00D82589" w:rsidRPr="008D04E6">
        <w:rPr>
          <w:rFonts w:asciiTheme="minorBidi" w:hAnsiTheme="minorBidi"/>
          <w:bCs/>
          <w:lang w:val="en-GB"/>
        </w:rPr>
        <w:t>efforts</w:t>
      </w:r>
      <w:r w:rsidR="003D7EDD" w:rsidRPr="008D04E6">
        <w:rPr>
          <w:rFonts w:asciiTheme="minorBidi" w:hAnsiTheme="minorBidi"/>
          <w:bCs/>
          <w:lang w:val="en-GB"/>
        </w:rPr>
        <w:t xml:space="preserve"> with due attention to gender balance. </w:t>
      </w:r>
      <w:r w:rsidR="00D82589" w:rsidRPr="008D04E6">
        <w:rPr>
          <w:rFonts w:asciiTheme="minorBidi" w:hAnsiTheme="minorBidi"/>
          <w:bCs/>
          <w:lang w:val="en-GB"/>
        </w:rPr>
        <w:t>Other</w:t>
      </w:r>
      <w:r w:rsidR="003C7D09" w:rsidRPr="008D04E6">
        <w:rPr>
          <w:szCs w:val="22"/>
          <w:lang w:val="en-GB"/>
        </w:rPr>
        <w:t xml:space="preserve"> reports suggest</w:t>
      </w:r>
      <w:r w:rsidR="00D82589" w:rsidRPr="008D04E6">
        <w:rPr>
          <w:szCs w:val="22"/>
          <w:lang w:val="en-GB"/>
        </w:rPr>
        <w:t>ed</w:t>
      </w:r>
      <w:r w:rsidRPr="008D04E6">
        <w:rPr>
          <w:szCs w:val="22"/>
          <w:lang w:val="en-GB"/>
        </w:rPr>
        <w:t xml:space="preserve"> that </w:t>
      </w:r>
      <w:r w:rsidR="00D82589" w:rsidRPr="008D04E6">
        <w:rPr>
          <w:rFonts w:asciiTheme="minorBidi" w:hAnsiTheme="minorBidi"/>
          <w:shd w:val="clear" w:color="auto" w:fill="FFFFFF"/>
          <w:lang w:val="en-GB"/>
        </w:rPr>
        <w:t>an increased number of practitioners</w:t>
      </w:r>
      <w:r w:rsidR="001C319E" w:rsidRPr="008D04E6">
        <w:rPr>
          <w:rFonts w:asciiTheme="minorBidi" w:hAnsiTheme="minorBidi"/>
          <w:shd w:val="clear" w:color="auto" w:fill="FFFFFF"/>
          <w:lang w:val="en-GB"/>
        </w:rPr>
        <w:t>,</w:t>
      </w:r>
      <w:r w:rsidR="00D82589" w:rsidRPr="008D04E6">
        <w:rPr>
          <w:rFonts w:asciiTheme="minorBidi" w:hAnsiTheme="minorBidi"/>
          <w:shd w:val="clear" w:color="auto" w:fill="FFFFFF"/>
          <w:lang w:val="en-GB"/>
        </w:rPr>
        <w:t xml:space="preserve"> and greater gender balance in its practice</w:t>
      </w:r>
      <w:r w:rsidR="001C319E" w:rsidRPr="008D04E6">
        <w:rPr>
          <w:rFonts w:asciiTheme="minorBidi" w:hAnsiTheme="minorBidi"/>
          <w:shd w:val="clear" w:color="auto" w:fill="FFFFFF"/>
          <w:lang w:val="en-GB"/>
        </w:rPr>
        <w:t>,</w:t>
      </w:r>
      <w:r w:rsidR="00D82589" w:rsidRPr="008D04E6">
        <w:rPr>
          <w:rFonts w:asciiTheme="minorBidi" w:hAnsiTheme="minorBidi"/>
          <w:shd w:val="clear" w:color="auto" w:fill="FFFFFF"/>
          <w:lang w:val="en-GB"/>
        </w:rPr>
        <w:t xml:space="preserve"> has led to an enhanced appreciation of the element in society, including among youth</w:t>
      </w:r>
      <w:r w:rsidRPr="008D04E6">
        <w:rPr>
          <w:szCs w:val="22"/>
          <w:lang w:val="en-GB"/>
        </w:rPr>
        <w:t>. In this cycle, the safeguarding of the intangible cultural heritage of indigenous peoples is also addressed</w:t>
      </w:r>
      <w:r w:rsidRPr="008D04E6">
        <w:rPr>
          <w:rFonts w:cs="Arial"/>
          <w:szCs w:val="22"/>
          <w:lang w:val="en-GB"/>
        </w:rPr>
        <w:t xml:space="preserve">, </w:t>
      </w:r>
      <w:r w:rsidRPr="008D04E6">
        <w:rPr>
          <w:szCs w:val="22"/>
          <w:lang w:val="en-GB"/>
        </w:rPr>
        <w:t xml:space="preserve">demonstrating the role of intangible cultural heritage in raising a broader awareness in society about the ways of life of indigenous communities. </w:t>
      </w:r>
      <w:r w:rsidR="00023498" w:rsidRPr="008D04E6">
        <w:rPr>
          <w:szCs w:val="22"/>
          <w:lang w:val="en-GB"/>
        </w:rPr>
        <w:t>I</w:t>
      </w:r>
      <w:r w:rsidRPr="008D04E6">
        <w:rPr>
          <w:szCs w:val="22"/>
          <w:lang w:val="en-GB"/>
        </w:rPr>
        <w:t xml:space="preserve">ndigenous communities are also seen as bearers of knowledge </w:t>
      </w:r>
      <w:r w:rsidR="0058112E" w:rsidRPr="008D04E6">
        <w:rPr>
          <w:szCs w:val="22"/>
          <w:lang w:val="en-GB"/>
        </w:rPr>
        <w:t xml:space="preserve">and oral traditions associated </w:t>
      </w:r>
      <w:r w:rsidR="00023498" w:rsidRPr="008D04E6">
        <w:rPr>
          <w:szCs w:val="22"/>
          <w:lang w:val="en-GB"/>
        </w:rPr>
        <w:t xml:space="preserve">with </w:t>
      </w:r>
      <w:r w:rsidR="00E134A2" w:rsidRPr="008D04E6">
        <w:rPr>
          <w:szCs w:val="22"/>
          <w:lang w:val="en-GB"/>
        </w:rPr>
        <w:t>specific</w:t>
      </w:r>
      <w:r w:rsidR="0058112E" w:rsidRPr="008D04E6">
        <w:rPr>
          <w:szCs w:val="22"/>
          <w:lang w:val="en-GB"/>
        </w:rPr>
        <w:t xml:space="preserve"> </w:t>
      </w:r>
      <w:r w:rsidR="005A3D14" w:rsidRPr="008D04E6">
        <w:rPr>
          <w:szCs w:val="22"/>
          <w:lang w:val="en-GB"/>
        </w:rPr>
        <w:t xml:space="preserve">cultural and </w:t>
      </w:r>
      <w:r w:rsidRPr="008D04E6">
        <w:rPr>
          <w:szCs w:val="22"/>
          <w:lang w:val="en-GB"/>
        </w:rPr>
        <w:t xml:space="preserve">natural </w:t>
      </w:r>
      <w:r w:rsidR="003F40F3" w:rsidRPr="008D04E6">
        <w:rPr>
          <w:szCs w:val="22"/>
          <w:lang w:val="en-GB"/>
        </w:rPr>
        <w:t>spaces</w:t>
      </w:r>
      <w:r w:rsidRPr="008D04E6">
        <w:rPr>
          <w:szCs w:val="22"/>
          <w:lang w:val="en-GB"/>
        </w:rPr>
        <w:t>.</w:t>
      </w:r>
    </w:p>
    <w:p w14:paraId="64B29396" w14:textId="5F7C0D80" w:rsidR="0098525A" w:rsidRPr="0034748B" w:rsidRDefault="0098525A" w:rsidP="0098525A">
      <w:pPr>
        <w:pStyle w:val="Marge"/>
        <w:numPr>
          <w:ilvl w:val="0"/>
          <w:numId w:val="9"/>
        </w:numPr>
        <w:spacing w:before="120" w:after="120"/>
        <w:ind w:left="567" w:hanging="567"/>
        <w:rPr>
          <w:lang w:val="en-GB"/>
        </w:rPr>
      </w:pPr>
      <w:r w:rsidRPr="00F219F8">
        <w:rPr>
          <w:b/>
          <w:bCs/>
          <w:lang w:val="en-GB"/>
        </w:rPr>
        <w:t>Viability and current risks</w:t>
      </w:r>
      <w:r w:rsidRPr="00F219F8">
        <w:rPr>
          <w:bCs/>
          <w:lang w:val="en-GB"/>
        </w:rPr>
        <w:t xml:space="preserve">. </w:t>
      </w:r>
      <w:r w:rsidRPr="005B6F59">
        <w:rPr>
          <w:lang w:val="en-GB"/>
        </w:rPr>
        <w:t xml:space="preserve">In </w:t>
      </w:r>
      <w:r>
        <w:rPr>
          <w:lang w:val="en-GB"/>
        </w:rPr>
        <w:t>several</w:t>
      </w:r>
      <w:r w:rsidRPr="005B6F59">
        <w:rPr>
          <w:lang w:val="en-GB"/>
        </w:rPr>
        <w:t xml:space="preserve"> cases, </w:t>
      </w:r>
      <w:r>
        <w:rPr>
          <w:lang w:val="en-GB"/>
        </w:rPr>
        <w:t xml:space="preserve">the viability of inscribed elements </w:t>
      </w:r>
      <w:r w:rsidR="0029765D">
        <w:rPr>
          <w:lang w:val="en-GB"/>
        </w:rPr>
        <w:t>is threatened by</w:t>
      </w:r>
      <w:r>
        <w:rPr>
          <w:lang w:val="en-GB"/>
        </w:rPr>
        <w:t xml:space="preserve"> </w:t>
      </w:r>
      <w:r w:rsidRPr="005B6F59">
        <w:rPr>
          <w:lang w:val="en-GB"/>
        </w:rPr>
        <w:t>broad environmental and socio-economic changes, such as urbanization</w:t>
      </w:r>
      <w:r>
        <w:rPr>
          <w:lang w:val="en-GB"/>
        </w:rPr>
        <w:t>,</w:t>
      </w:r>
      <w:r w:rsidRPr="005B6F59">
        <w:rPr>
          <w:lang w:val="en-GB"/>
        </w:rPr>
        <w:t xml:space="preserve"> migration</w:t>
      </w:r>
      <w:r>
        <w:rPr>
          <w:lang w:val="en-GB"/>
        </w:rPr>
        <w:t xml:space="preserve">, </w:t>
      </w:r>
      <w:r w:rsidRPr="0034748B">
        <w:rPr>
          <w:lang w:val="en-GB"/>
        </w:rPr>
        <w:t>change</w:t>
      </w:r>
      <w:r w:rsidR="00023498" w:rsidRPr="0034748B">
        <w:rPr>
          <w:lang w:val="en-GB"/>
        </w:rPr>
        <w:t>s</w:t>
      </w:r>
      <w:r w:rsidRPr="0034748B">
        <w:rPr>
          <w:lang w:val="en-GB"/>
        </w:rPr>
        <w:t xml:space="preserve"> in social practices and economic activities, </w:t>
      </w:r>
      <w:r w:rsidR="00023498" w:rsidRPr="0034748B">
        <w:rPr>
          <w:lang w:val="en-GB"/>
        </w:rPr>
        <w:t xml:space="preserve">and </w:t>
      </w:r>
      <w:r w:rsidRPr="0034748B">
        <w:rPr>
          <w:lang w:val="en-GB"/>
        </w:rPr>
        <w:t>deforestation</w:t>
      </w:r>
      <w:r w:rsidRPr="0034748B">
        <w:rPr>
          <w:szCs w:val="22"/>
          <w:lang w:val="en-GB"/>
        </w:rPr>
        <w:t xml:space="preserve">. </w:t>
      </w:r>
      <w:r w:rsidRPr="0034748B">
        <w:rPr>
          <w:rFonts w:cs="Arial"/>
          <w:szCs w:val="22"/>
          <w:lang w:val="en-GB"/>
        </w:rPr>
        <w:t>As observed in several reports,</w:t>
      </w:r>
      <w:r w:rsidRPr="0034748B">
        <w:rPr>
          <w:rFonts w:cs="Arial"/>
          <w:color w:val="0070C0"/>
          <w:szCs w:val="22"/>
          <w:lang w:val="en-GB"/>
        </w:rPr>
        <w:t xml:space="preserve"> </w:t>
      </w:r>
      <w:r w:rsidRPr="0034748B">
        <w:rPr>
          <w:rFonts w:cs="Arial"/>
          <w:szCs w:val="22"/>
          <w:lang w:val="en-GB"/>
        </w:rPr>
        <w:t xml:space="preserve">the </w:t>
      </w:r>
      <w:r w:rsidRPr="0034748B">
        <w:rPr>
          <w:lang w:val="en-GB"/>
        </w:rPr>
        <w:t xml:space="preserve">sustainability of </w:t>
      </w:r>
      <w:r w:rsidR="00023498" w:rsidRPr="0034748B">
        <w:rPr>
          <w:lang w:val="en-GB"/>
        </w:rPr>
        <w:t xml:space="preserve">elements of </w:t>
      </w:r>
      <w:r w:rsidRPr="0034748B">
        <w:rPr>
          <w:lang w:val="en-GB"/>
        </w:rPr>
        <w:t>intangible cultural heritage may also depend on such factors as access to natural resources and raw material</w:t>
      </w:r>
      <w:r w:rsidR="00023498" w:rsidRPr="0034748B">
        <w:rPr>
          <w:lang w:val="en-GB"/>
        </w:rPr>
        <w:t>s</w:t>
      </w:r>
      <w:r w:rsidRPr="0034748B">
        <w:rPr>
          <w:lang w:val="en-GB"/>
        </w:rPr>
        <w:t xml:space="preserve"> or their association with </w:t>
      </w:r>
      <w:r w:rsidR="009643F2" w:rsidRPr="0034748B">
        <w:rPr>
          <w:lang w:val="en-GB"/>
        </w:rPr>
        <w:t xml:space="preserve">the </w:t>
      </w:r>
      <w:r w:rsidRPr="0034748B">
        <w:rPr>
          <w:lang w:val="en-GB"/>
        </w:rPr>
        <w:t>natural</w:t>
      </w:r>
      <w:r w:rsidR="009643F2" w:rsidRPr="0034748B">
        <w:rPr>
          <w:lang w:val="en-GB"/>
        </w:rPr>
        <w:t xml:space="preserve"> </w:t>
      </w:r>
      <w:r w:rsidR="00310326" w:rsidRPr="0034748B">
        <w:rPr>
          <w:lang w:val="en-GB"/>
        </w:rPr>
        <w:t>environment</w:t>
      </w:r>
      <w:r w:rsidRPr="0034748B">
        <w:rPr>
          <w:szCs w:val="22"/>
          <w:lang w:val="en-GB"/>
        </w:rPr>
        <w:t xml:space="preserve">. </w:t>
      </w:r>
      <w:r w:rsidRPr="0034748B">
        <w:rPr>
          <w:lang w:val="en-GB"/>
        </w:rPr>
        <w:t xml:space="preserve">The outflow of local community members, especially youth, to urban areas </w:t>
      </w:r>
      <w:r w:rsidR="00023498" w:rsidRPr="0034748B">
        <w:rPr>
          <w:lang w:val="en-GB"/>
        </w:rPr>
        <w:t>is also</w:t>
      </w:r>
      <w:r w:rsidRPr="0034748B">
        <w:rPr>
          <w:lang w:val="en-GB"/>
        </w:rPr>
        <w:t xml:space="preserve"> reported</w:t>
      </w:r>
      <w:r w:rsidR="006B29DA" w:rsidRPr="0034748B">
        <w:rPr>
          <w:lang w:val="en-GB"/>
        </w:rPr>
        <w:t xml:space="preserve"> in many instances</w:t>
      </w:r>
      <w:r w:rsidRPr="0034748B">
        <w:rPr>
          <w:lang w:val="en-GB"/>
        </w:rPr>
        <w:t xml:space="preserve">. In some cases, this has led to </w:t>
      </w:r>
      <w:r w:rsidR="00023498" w:rsidRPr="0034748B">
        <w:rPr>
          <w:lang w:val="en-GB"/>
        </w:rPr>
        <w:t>an</w:t>
      </w:r>
      <w:r w:rsidRPr="0034748B">
        <w:rPr>
          <w:lang w:val="en-GB"/>
        </w:rPr>
        <w:t xml:space="preserve"> </w:t>
      </w:r>
      <w:r w:rsidR="00023498" w:rsidRPr="0034748B">
        <w:rPr>
          <w:lang w:val="en-GB"/>
        </w:rPr>
        <w:t xml:space="preserve">enhanced </w:t>
      </w:r>
      <w:r w:rsidRPr="0034748B">
        <w:rPr>
          <w:lang w:val="en-GB"/>
        </w:rPr>
        <w:t xml:space="preserve">promotion of </w:t>
      </w:r>
      <w:r w:rsidR="00023498" w:rsidRPr="0034748B">
        <w:rPr>
          <w:lang w:val="en-GB"/>
        </w:rPr>
        <w:t xml:space="preserve">elements of </w:t>
      </w:r>
      <w:r w:rsidRPr="0034748B">
        <w:rPr>
          <w:lang w:val="en-GB"/>
        </w:rPr>
        <w:t xml:space="preserve">intangible cultural heritage through extensive dissemination measures. As a consequence, some elements that </w:t>
      </w:r>
      <w:r w:rsidR="00023498" w:rsidRPr="0034748B">
        <w:rPr>
          <w:lang w:val="en-GB"/>
        </w:rPr>
        <w:t xml:space="preserve">were </w:t>
      </w:r>
      <w:r w:rsidRPr="0034748B">
        <w:rPr>
          <w:lang w:val="en-GB"/>
        </w:rPr>
        <w:t xml:space="preserve">traditionally </w:t>
      </w:r>
      <w:r w:rsidR="00023498" w:rsidRPr="0034748B">
        <w:rPr>
          <w:lang w:val="en-GB"/>
        </w:rPr>
        <w:t xml:space="preserve">practised </w:t>
      </w:r>
      <w:r w:rsidRPr="0034748B">
        <w:rPr>
          <w:lang w:val="en-GB"/>
        </w:rPr>
        <w:t xml:space="preserve">by local communities at </w:t>
      </w:r>
      <w:r w:rsidR="00023498" w:rsidRPr="0034748B">
        <w:rPr>
          <w:lang w:val="en-GB"/>
        </w:rPr>
        <w:t xml:space="preserve">the </w:t>
      </w:r>
      <w:r w:rsidRPr="0034748B">
        <w:rPr>
          <w:lang w:val="en-GB"/>
        </w:rPr>
        <w:t>regional level</w:t>
      </w:r>
      <w:r w:rsidR="00023498" w:rsidRPr="0034748B">
        <w:rPr>
          <w:lang w:val="en-GB"/>
        </w:rPr>
        <w:t xml:space="preserve"> are now</w:t>
      </w:r>
      <w:r w:rsidRPr="0034748B">
        <w:rPr>
          <w:lang w:val="en-GB"/>
        </w:rPr>
        <w:t xml:space="preserve"> practi</w:t>
      </w:r>
      <w:r w:rsidR="00023498" w:rsidRPr="0034748B">
        <w:rPr>
          <w:lang w:val="en-GB"/>
        </w:rPr>
        <w:t>s</w:t>
      </w:r>
      <w:r w:rsidRPr="0034748B">
        <w:rPr>
          <w:lang w:val="en-GB"/>
        </w:rPr>
        <w:t xml:space="preserve">ed nation-wide, </w:t>
      </w:r>
      <w:r w:rsidR="00023498" w:rsidRPr="0034748B">
        <w:rPr>
          <w:lang w:val="en-GB"/>
        </w:rPr>
        <w:t xml:space="preserve">which has substantially amplified and diversified </w:t>
      </w:r>
      <w:r w:rsidRPr="0034748B">
        <w:rPr>
          <w:lang w:val="en-GB"/>
        </w:rPr>
        <w:t xml:space="preserve">the scope of the community </w:t>
      </w:r>
      <w:r w:rsidR="00023498" w:rsidRPr="0034748B">
        <w:rPr>
          <w:lang w:val="en-GB"/>
        </w:rPr>
        <w:t>concerned</w:t>
      </w:r>
      <w:r w:rsidRPr="0034748B">
        <w:rPr>
          <w:lang w:val="en-GB"/>
        </w:rPr>
        <w:t>.</w:t>
      </w:r>
      <w:r w:rsidR="0010262A" w:rsidRPr="0034748B">
        <w:rPr>
          <w:rFonts w:cs="Arial"/>
          <w:szCs w:val="22"/>
          <w:lang w:val="en-GB"/>
        </w:rPr>
        <w:t xml:space="preserve"> In the context of a nation-wide dissemination of elements</w:t>
      </w:r>
      <w:r w:rsidR="0010262A" w:rsidRPr="0034748B">
        <w:rPr>
          <w:lang w:val="en-GB"/>
        </w:rPr>
        <w:t xml:space="preserve">, however, States Parties are asked to ensure that the communities concerned remain </w:t>
      </w:r>
      <w:r w:rsidR="0010262A" w:rsidRPr="0034748B">
        <w:rPr>
          <w:rFonts w:cs="Arial"/>
          <w:szCs w:val="22"/>
          <w:lang w:val="en-GB"/>
        </w:rPr>
        <w:t>at the centre of the safeguarding efforts.</w:t>
      </w:r>
    </w:p>
    <w:p w14:paraId="50EA8530" w14:textId="076F22F1" w:rsidR="00617E72" w:rsidRPr="00617E72" w:rsidRDefault="00476568" w:rsidP="004A4936">
      <w:pPr>
        <w:pStyle w:val="Marge"/>
        <w:numPr>
          <w:ilvl w:val="0"/>
          <w:numId w:val="9"/>
        </w:numPr>
        <w:tabs>
          <w:tab w:val="clear" w:pos="567"/>
        </w:tabs>
        <w:autoSpaceDE w:val="0"/>
        <w:autoSpaceDN w:val="0"/>
        <w:adjustRightInd w:val="0"/>
        <w:spacing w:before="120" w:after="120"/>
        <w:ind w:left="567" w:hanging="567"/>
        <w:rPr>
          <w:szCs w:val="22"/>
          <w:lang w:val="en-US"/>
        </w:rPr>
      </w:pPr>
      <w:r>
        <w:rPr>
          <w:lang w:val="en-US"/>
        </w:rPr>
        <w:t xml:space="preserve">While </w:t>
      </w:r>
      <w:r w:rsidR="005F5E27">
        <w:rPr>
          <w:lang w:val="en-US"/>
        </w:rPr>
        <w:t>presenting</w:t>
      </w:r>
      <w:r w:rsidR="0098525A" w:rsidRPr="00617E72">
        <w:rPr>
          <w:lang w:val="en-US"/>
        </w:rPr>
        <w:t xml:space="preserve"> the enhanced viability of </w:t>
      </w:r>
      <w:r>
        <w:rPr>
          <w:lang w:val="en-US"/>
        </w:rPr>
        <w:t xml:space="preserve">the </w:t>
      </w:r>
      <w:r w:rsidR="0098525A" w:rsidRPr="00617E72">
        <w:rPr>
          <w:lang w:val="en-US"/>
        </w:rPr>
        <w:t>inscribed element</w:t>
      </w:r>
      <w:r>
        <w:rPr>
          <w:lang w:val="en-US"/>
        </w:rPr>
        <w:t xml:space="preserve"> </w:t>
      </w:r>
      <w:r w:rsidR="005F5E27">
        <w:rPr>
          <w:lang w:val="en-US"/>
        </w:rPr>
        <w:t>in</w:t>
      </w:r>
      <w:r>
        <w:rPr>
          <w:lang w:val="en-US"/>
        </w:rPr>
        <w:t xml:space="preserve"> the</w:t>
      </w:r>
      <w:r w:rsidR="00023498">
        <w:rPr>
          <w:lang w:val="en-US"/>
        </w:rPr>
        <w:t>ir</w:t>
      </w:r>
      <w:r>
        <w:rPr>
          <w:lang w:val="en-US"/>
        </w:rPr>
        <w:t xml:space="preserve"> report, </w:t>
      </w:r>
      <w:r w:rsidR="00B275EC">
        <w:rPr>
          <w:lang w:val="en-US"/>
        </w:rPr>
        <w:t>s</w:t>
      </w:r>
      <w:r w:rsidRPr="00617E72">
        <w:rPr>
          <w:lang w:val="en-US"/>
        </w:rPr>
        <w:t xml:space="preserve">everal </w:t>
      </w:r>
      <w:r w:rsidRPr="00617E72">
        <w:rPr>
          <w:lang w:val="en-GB"/>
        </w:rPr>
        <w:t xml:space="preserve">States </w:t>
      </w:r>
      <w:r w:rsidRPr="00617E72">
        <w:rPr>
          <w:lang w:val="en-US"/>
        </w:rPr>
        <w:t xml:space="preserve">have </w:t>
      </w:r>
      <w:r w:rsidR="00B275EC">
        <w:rPr>
          <w:lang w:val="en-US"/>
        </w:rPr>
        <w:t xml:space="preserve">expressed their </w:t>
      </w:r>
      <w:r w:rsidR="00C906AF">
        <w:rPr>
          <w:lang w:val="en-US"/>
        </w:rPr>
        <w:t>desire</w:t>
      </w:r>
      <w:r w:rsidR="0098525A" w:rsidRPr="00617E72">
        <w:rPr>
          <w:lang w:val="en-US"/>
        </w:rPr>
        <w:t xml:space="preserve"> </w:t>
      </w:r>
      <w:r w:rsidR="00023498">
        <w:rPr>
          <w:lang w:val="en-US"/>
        </w:rPr>
        <w:t>to</w:t>
      </w:r>
      <w:r w:rsidR="0098525A" w:rsidRPr="00617E72">
        <w:rPr>
          <w:lang w:val="en-US"/>
        </w:rPr>
        <w:t xml:space="preserve"> transfer </w:t>
      </w:r>
      <w:r w:rsidR="00B275EC">
        <w:rPr>
          <w:lang w:val="en-US"/>
        </w:rPr>
        <w:t xml:space="preserve">the element </w:t>
      </w:r>
      <w:r w:rsidR="0098525A" w:rsidRPr="00617E72">
        <w:rPr>
          <w:lang w:val="en-US"/>
        </w:rPr>
        <w:t xml:space="preserve">from </w:t>
      </w:r>
      <w:r w:rsidR="0098525A" w:rsidRPr="00617E72">
        <w:rPr>
          <w:rStyle w:val="hps"/>
          <w:rFonts w:cs="Arial"/>
          <w:szCs w:val="22"/>
          <w:lang w:val="en-GB"/>
        </w:rPr>
        <w:t xml:space="preserve">the </w:t>
      </w:r>
      <w:r w:rsidR="0098525A" w:rsidRPr="00617E72">
        <w:rPr>
          <w:lang w:val="en-US"/>
        </w:rPr>
        <w:t>Urgent Safeguarding</w:t>
      </w:r>
      <w:r w:rsidR="00023498">
        <w:rPr>
          <w:lang w:val="en-US"/>
        </w:rPr>
        <w:t xml:space="preserve"> List</w:t>
      </w:r>
      <w:r w:rsidR="0098525A" w:rsidRPr="00617E72" w:rsidDel="002538F2">
        <w:rPr>
          <w:rStyle w:val="hps"/>
          <w:rFonts w:cs="Arial"/>
          <w:szCs w:val="22"/>
          <w:lang w:val="en-GB"/>
        </w:rPr>
        <w:t xml:space="preserve"> </w:t>
      </w:r>
      <w:r w:rsidR="0098525A" w:rsidRPr="00617E72">
        <w:rPr>
          <w:rStyle w:val="hps"/>
          <w:rFonts w:cs="Arial"/>
          <w:szCs w:val="22"/>
          <w:lang w:val="en-GB"/>
        </w:rPr>
        <w:t>to the</w:t>
      </w:r>
      <w:r w:rsidR="0098525A" w:rsidRPr="00617E72">
        <w:rPr>
          <w:lang w:val="en-US"/>
        </w:rPr>
        <w:t xml:space="preserve"> </w:t>
      </w:r>
      <w:r w:rsidR="0098525A" w:rsidRPr="00617E72">
        <w:rPr>
          <w:rStyle w:val="hps"/>
          <w:rFonts w:cs="Arial"/>
          <w:szCs w:val="22"/>
          <w:lang w:val="en-GB"/>
        </w:rPr>
        <w:t>Representative List</w:t>
      </w:r>
      <w:r w:rsidR="0098525A" w:rsidRPr="00617E72">
        <w:rPr>
          <w:lang w:val="en-US"/>
        </w:rPr>
        <w:t xml:space="preserve">. This issue </w:t>
      </w:r>
      <w:r w:rsidR="00023498">
        <w:rPr>
          <w:lang w:val="en-US"/>
        </w:rPr>
        <w:t>is</w:t>
      </w:r>
      <w:r w:rsidR="0098525A" w:rsidRPr="00617E72">
        <w:rPr>
          <w:lang w:val="en-US"/>
        </w:rPr>
        <w:t xml:space="preserve"> addressed in three reports in this cycle</w:t>
      </w:r>
      <w:r w:rsidR="00023498">
        <w:rPr>
          <w:lang w:val="en-US"/>
        </w:rPr>
        <w:t>:</w:t>
      </w:r>
      <w:r w:rsidR="00023498" w:rsidRPr="00617E72">
        <w:rPr>
          <w:lang w:val="en-US"/>
        </w:rPr>
        <w:t xml:space="preserve"> </w:t>
      </w:r>
      <w:r w:rsidR="00023498">
        <w:rPr>
          <w:lang w:val="en-US"/>
        </w:rPr>
        <w:t xml:space="preserve">some </w:t>
      </w:r>
      <w:r w:rsidR="00023498" w:rsidRPr="00617E72">
        <w:rPr>
          <w:lang w:val="en-US"/>
        </w:rPr>
        <w:t>acknowledg</w:t>
      </w:r>
      <w:r w:rsidR="00023498">
        <w:rPr>
          <w:lang w:val="en-US"/>
        </w:rPr>
        <w:t>e</w:t>
      </w:r>
      <w:r w:rsidR="00023498" w:rsidRPr="00617E72">
        <w:rPr>
          <w:lang w:val="en-US"/>
        </w:rPr>
        <w:t xml:space="preserve"> </w:t>
      </w:r>
      <w:r w:rsidR="0098525A" w:rsidRPr="00617E72">
        <w:rPr>
          <w:lang w:val="en-US"/>
        </w:rPr>
        <w:t xml:space="preserve">that </w:t>
      </w:r>
      <w:r w:rsidR="00023498">
        <w:rPr>
          <w:lang w:val="en-US"/>
        </w:rPr>
        <w:t xml:space="preserve">the </w:t>
      </w:r>
      <w:r w:rsidR="0098525A" w:rsidRPr="00617E72">
        <w:rPr>
          <w:lang w:val="en-US"/>
        </w:rPr>
        <w:t>element</w:t>
      </w:r>
      <w:r w:rsidR="00023498">
        <w:rPr>
          <w:lang w:val="en-US"/>
        </w:rPr>
        <w:t xml:space="preserve"> concerned is </w:t>
      </w:r>
      <w:r w:rsidR="0098525A" w:rsidRPr="00617E72">
        <w:rPr>
          <w:lang w:val="en-US"/>
        </w:rPr>
        <w:t xml:space="preserve">no </w:t>
      </w:r>
      <w:r w:rsidR="00023498">
        <w:rPr>
          <w:lang w:val="en-US"/>
        </w:rPr>
        <w:t>longer</w:t>
      </w:r>
      <w:r w:rsidR="00023498" w:rsidRPr="00617E72">
        <w:rPr>
          <w:lang w:val="en-US"/>
        </w:rPr>
        <w:t xml:space="preserve"> </w:t>
      </w:r>
      <w:r w:rsidR="0098525A" w:rsidRPr="00617E72">
        <w:rPr>
          <w:lang w:val="en-US"/>
        </w:rPr>
        <w:t xml:space="preserve">in need of urgent safeguarding and therefore </w:t>
      </w:r>
      <w:r w:rsidR="00023498">
        <w:rPr>
          <w:lang w:val="en-US"/>
        </w:rPr>
        <w:t>point to</w:t>
      </w:r>
      <w:r w:rsidR="0098525A" w:rsidRPr="00617E72">
        <w:rPr>
          <w:lang w:val="en-US"/>
        </w:rPr>
        <w:t xml:space="preserve"> the States’ will to proceed</w:t>
      </w:r>
      <w:r w:rsidR="00023498">
        <w:rPr>
          <w:lang w:val="en-US"/>
        </w:rPr>
        <w:t xml:space="preserve"> with its</w:t>
      </w:r>
      <w:r w:rsidR="00023498" w:rsidRPr="00617E72">
        <w:rPr>
          <w:lang w:val="en-US"/>
        </w:rPr>
        <w:t xml:space="preserve"> </w:t>
      </w:r>
      <w:r w:rsidR="0098525A" w:rsidRPr="00617E72">
        <w:rPr>
          <w:lang w:val="en-US"/>
        </w:rPr>
        <w:t>transfer</w:t>
      </w:r>
      <w:r w:rsidR="00023498">
        <w:rPr>
          <w:lang w:val="en-US"/>
        </w:rPr>
        <w:t>, while others</w:t>
      </w:r>
      <w:r w:rsidR="0098525A" w:rsidRPr="00617E72">
        <w:rPr>
          <w:lang w:val="en-US"/>
        </w:rPr>
        <w:t xml:space="preserve"> </w:t>
      </w:r>
      <w:r w:rsidR="00023498" w:rsidRPr="00617E72">
        <w:rPr>
          <w:lang w:val="en-US"/>
        </w:rPr>
        <w:t>mention</w:t>
      </w:r>
      <w:r w:rsidR="00023498">
        <w:rPr>
          <w:lang w:val="en-US"/>
        </w:rPr>
        <w:t xml:space="preserve"> such a</w:t>
      </w:r>
      <w:r w:rsidR="00023498" w:rsidRPr="00617E72">
        <w:rPr>
          <w:lang w:val="en-US"/>
        </w:rPr>
        <w:t xml:space="preserve"> </w:t>
      </w:r>
      <w:r w:rsidR="0098525A" w:rsidRPr="00617E72">
        <w:rPr>
          <w:lang w:val="en-US"/>
        </w:rPr>
        <w:t xml:space="preserve">transfer as an objective </w:t>
      </w:r>
      <w:r w:rsidR="00023498">
        <w:rPr>
          <w:lang w:val="en-US"/>
        </w:rPr>
        <w:t>of</w:t>
      </w:r>
      <w:r w:rsidR="00023498" w:rsidRPr="00617E72">
        <w:rPr>
          <w:lang w:val="en-US"/>
        </w:rPr>
        <w:t xml:space="preserve"> </w:t>
      </w:r>
      <w:r w:rsidR="0098525A" w:rsidRPr="00617E72">
        <w:rPr>
          <w:lang w:val="en-US"/>
        </w:rPr>
        <w:t xml:space="preserve">the updated safeguarding plan. </w:t>
      </w:r>
      <w:r w:rsidR="00023498">
        <w:rPr>
          <w:lang w:val="en-US"/>
        </w:rPr>
        <w:t>Other</w:t>
      </w:r>
      <w:r w:rsidR="0098525A" w:rsidRPr="00617E72">
        <w:rPr>
          <w:lang w:val="en-US"/>
        </w:rPr>
        <w:t xml:space="preserve"> reports in this cycle </w:t>
      </w:r>
      <w:r w:rsidR="00023498">
        <w:rPr>
          <w:lang w:val="en-US"/>
        </w:rPr>
        <w:t>demonstrate that the viability of</w:t>
      </w:r>
      <w:r w:rsidR="0098525A" w:rsidRPr="00617E72">
        <w:rPr>
          <w:szCs w:val="22"/>
          <w:lang w:val="en-GB"/>
        </w:rPr>
        <w:t xml:space="preserve"> the element</w:t>
      </w:r>
      <w:r w:rsidR="00023498">
        <w:rPr>
          <w:szCs w:val="22"/>
          <w:lang w:val="en-GB"/>
        </w:rPr>
        <w:t xml:space="preserve"> in question has been considerably enhanced</w:t>
      </w:r>
      <w:r w:rsidR="0098525A" w:rsidRPr="00617E72">
        <w:rPr>
          <w:szCs w:val="22"/>
          <w:lang w:val="en-GB"/>
        </w:rPr>
        <w:t xml:space="preserve">, </w:t>
      </w:r>
      <w:r w:rsidR="00023498">
        <w:rPr>
          <w:szCs w:val="22"/>
          <w:lang w:val="en-GB"/>
        </w:rPr>
        <w:t>yet</w:t>
      </w:r>
      <w:r w:rsidR="00023498" w:rsidRPr="00617E72">
        <w:rPr>
          <w:szCs w:val="22"/>
          <w:lang w:val="en-GB"/>
        </w:rPr>
        <w:t xml:space="preserve"> </w:t>
      </w:r>
      <w:r w:rsidR="0098525A" w:rsidRPr="00617E72">
        <w:rPr>
          <w:szCs w:val="22"/>
          <w:lang w:val="en-GB"/>
        </w:rPr>
        <w:t>without envisaging</w:t>
      </w:r>
      <w:r w:rsidR="00023498">
        <w:rPr>
          <w:szCs w:val="22"/>
          <w:lang w:val="en-GB"/>
        </w:rPr>
        <w:t xml:space="preserve"> its </w:t>
      </w:r>
      <w:r w:rsidR="0098525A" w:rsidRPr="00617E72">
        <w:rPr>
          <w:szCs w:val="22"/>
          <w:lang w:val="en-GB"/>
        </w:rPr>
        <w:t>possible transfer in the near future</w:t>
      </w:r>
      <w:r w:rsidR="0098525A" w:rsidRPr="00617E72">
        <w:rPr>
          <w:rStyle w:val="hps"/>
          <w:rFonts w:cs="Arial"/>
          <w:szCs w:val="22"/>
          <w:lang w:val="en-GB"/>
        </w:rPr>
        <w:t>.</w:t>
      </w:r>
      <w:r w:rsidR="0098525A" w:rsidRPr="00617E72">
        <w:rPr>
          <w:lang w:val="en-US"/>
        </w:rPr>
        <w:t xml:space="preserve"> It is important to note that, in its </w:t>
      </w:r>
      <w:hyperlink r:id="rId30" w:history="1">
        <w:r w:rsidR="0098525A" w:rsidRPr="00617E72">
          <w:rPr>
            <w:rStyle w:val="Lienhypertexte"/>
            <w:rFonts w:cs="Arial"/>
            <w:bCs/>
            <w:snapToGrid/>
            <w:szCs w:val="22"/>
            <w:lang w:val="en-GB" w:eastAsia="en-GB"/>
          </w:rPr>
          <w:t>Decision 12.COM 14</w:t>
        </w:r>
      </w:hyperlink>
      <w:r w:rsidR="0098525A" w:rsidRPr="00617E72">
        <w:rPr>
          <w:lang w:val="en-US"/>
        </w:rPr>
        <w:t xml:space="preserve">, the Committee invited States Parties to refrain from submitting requests for the transfer of an element from one List to the other </w:t>
      </w:r>
      <w:r w:rsidR="00F05EC5">
        <w:rPr>
          <w:lang w:val="en-US"/>
        </w:rPr>
        <w:t>or for</w:t>
      </w:r>
      <w:r w:rsidR="00F05EC5" w:rsidRPr="00617E72">
        <w:rPr>
          <w:lang w:val="en-US"/>
        </w:rPr>
        <w:t xml:space="preserve"> </w:t>
      </w:r>
      <w:r w:rsidR="0098525A" w:rsidRPr="00617E72">
        <w:rPr>
          <w:lang w:val="en-US"/>
        </w:rPr>
        <w:t>the removal of an element from a List until clear and specific procedures and criteria have been created. Such procedures will be co</w:t>
      </w:r>
      <w:r w:rsidR="0098525A" w:rsidRPr="00617E72">
        <w:rPr>
          <w:szCs w:val="22"/>
          <w:lang w:val="en-US"/>
        </w:rPr>
        <w:t xml:space="preserve">nsidered and discussed in line with the </w:t>
      </w:r>
      <w:r w:rsidR="0098525A" w:rsidRPr="00617E72">
        <w:rPr>
          <w:rFonts w:cs="Arial"/>
          <w:szCs w:val="22"/>
          <w:shd w:val="clear" w:color="auto" w:fill="FFFFFF"/>
          <w:lang w:val="en-US"/>
        </w:rPr>
        <w:t xml:space="preserve">ongoing global reflection on the listing mechanisms of the 2003 Convention, which will </w:t>
      </w:r>
      <w:r w:rsidR="00F05EC5">
        <w:rPr>
          <w:rFonts w:cs="Arial"/>
          <w:szCs w:val="22"/>
          <w:shd w:val="clear" w:color="auto" w:fill="FFFFFF"/>
          <w:lang w:val="en-US"/>
        </w:rPr>
        <w:t>continue until</w:t>
      </w:r>
      <w:r w:rsidR="0098525A" w:rsidRPr="00617E72">
        <w:rPr>
          <w:rFonts w:cs="Arial"/>
          <w:szCs w:val="22"/>
          <w:shd w:val="clear" w:color="auto" w:fill="FFFFFF"/>
          <w:lang w:val="en-US"/>
        </w:rPr>
        <w:t xml:space="preserve"> 2022</w:t>
      </w:r>
      <w:r w:rsidR="0098525A" w:rsidRPr="00617E72">
        <w:rPr>
          <w:szCs w:val="22"/>
          <w:lang w:val="en-US"/>
        </w:rPr>
        <w:t>.</w:t>
      </w:r>
      <w:r w:rsidR="00617E72" w:rsidRPr="00617E72">
        <w:rPr>
          <w:szCs w:val="22"/>
          <w:lang w:val="en-US"/>
        </w:rPr>
        <w:t xml:space="preserve"> This reflection will allow </w:t>
      </w:r>
      <w:r w:rsidR="00617E72" w:rsidRPr="00617E72">
        <w:rPr>
          <w:lang w:val="en-US"/>
        </w:rPr>
        <w:t xml:space="preserve">the Committee and the General Assembly to take an informed decision on the effective use and examination of </w:t>
      </w:r>
      <w:r w:rsidR="00617E72">
        <w:rPr>
          <w:lang w:val="en-US"/>
        </w:rPr>
        <w:t xml:space="preserve">this </w:t>
      </w:r>
      <w:r w:rsidR="00617E72" w:rsidRPr="00617E72">
        <w:rPr>
          <w:lang w:val="en-US"/>
        </w:rPr>
        <w:t>report</w:t>
      </w:r>
      <w:r w:rsidR="00617E72">
        <w:rPr>
          <w:lang w:val="en-US"/>
        </w:rPr>
        <w:t xml:space="preserve">ing mechanism to determine the relevant </w:t>
      </w:r>
      <w:r w:rsidR="00040410">
        <w:rPr>
          <w:lang w:val="en-US"/>
        </w:rPr>
        <w:t>procedures</w:t>
      </w:r>
      <w:r w:rsidR="00617E72">
        <w:rPr>
          <w:lang w:val="en-US"/>
        </w:rPr>
        <w:t xml:space="preserve"> for </w:t>
      </w:r>
      <w:r w:rsidR="00617E72" w:rsidRPr="00617E72">
        <w:rPr>
          <w:lang w:val="en-US"/>
        </w:rPr>
        <w:t xml:space="preserve">the transfer and removal of </w:t>
      </w:r>
      <w:r w:rsidR="00F05EC5">
        <w:rPr>
          <w:lang w:val="en-US"/>
        </w:rPr>
        <w:t xml:space="preserve">elements </w:t>
      </w:r>
      <w:r w:rsidR="00617E72" w:rsidRPr="00617E72">
        <w:rPr>
          <w:lang w:val="en-US"/>
        </w:rPr>
        <w:t>already inscribed</w:t>
      </w:r>
      <w:r w:rsidR="00617E72">
        <w:rPr>
          <w:lang w:val="en-US"/>
        </w:rPr>
        <w:t>.</w:t>
      </w:r>
    </w:p>
    <w:p w14:paraId="30F7330C" w14:textId="4D509D88" w:rsidR="00D95C4C" w:rsidRPr="00EA528C" w:rsidRDefault="000B1C8F" w:rsidP="001417C7">
      <w:pPr>
        <w:pStyle w:val="COMPara"/>
        <w:numPr>
          <w:ilvl w:val="0"/>
          <w:numId w:val="9"/>
        </w:numPr>
        <w:spacing w:before="120"/>
        <w:ind w:left="567" w:hanging="567"/>
        <w:jc w:val="both"/>
      </w:pPr>
      <w:r w:rsidRPr="000B1C8F">
        <w:lastRenderedPageBreak/>
        <w:t xml:space="preserve">The Committee may wish </w:t>
      </w:r>
      <w:r>
        <w:t xml:space="preserve">to adopt the following </w:t>
      </w:r>
      <w:r w:rsidR="009A7FCB">
        <w:t xml:space="preserve">overall </w:t>
      </w:r>
      <w:r>
        <w:t>decision</w:t>
      </w:r>
      <w:r w:rsidR="00D95C4C" w:rsidRPr="00EA528C">
        <w:t>:</w:t>
      </w:r>
    </w:p>
    <w:p w14:paraId="166E1B4B" w14:textId="4D5D2DA0" w:rsidR="00D95C4C" w:rsidRPr="007E79B2" w:rsidRDefault="004A34A0" w:rsidP="001D14FE">
      <w:pPr>
        <w:pStyle w:val="COMTitleDecision"/>
        <w:rPr>
          <w:rFonts w:eastAsia="SimSun"/>
        </w:rPr>
      </w:pPr>
      <w:bookmarkStart w:id="2" w:name="Dec15COM7"/>
      <w:r>
        <w:t xml:space="preserve">DRAFT </w:t>
      </w:r>
      <w:r w:rsidR="00CB0542">
        <w:t>DECISION 1</w:t>
      </w:r>
      <w:r w:rsidR="00BF591B">
        <w:t>5</w:t>
      </w:r>
      <w:r w:rsidR="00EC6F8D">
        <w:t>.</w:t>
      </w:r>
      <w:r w:rsidR="00EC6F8D" w:rsidRPr="007E79B2">
        <w:t>COM</w:t>
      </w:r>
      <w:r w:rsidR="00BF591B" w:rsidRPr="007E79B2">
        <w:t> </w:t>
      </w:r>
      <w:r w:rsidR="00A174E0" w:rsidRPr="007E79B2">
        <w:t>7</w:t>
      </w:r>
    </w:p>
    <w:bookmarkEnd w:id="2"/>
    <w:p w14:paraId="1919CE1C" w14:textId="77777777" w:rsidR="00D95C4C" w:rsidRPr="007E79B2" w:rsidRDefault="00285BB4" w:rsidP="00285BB4">
      <w:pPr>
        <w:pStyle w:val="COMPreambulaDecisions"/>
        <w:rPr>
          <w:rFonts w:eastAsia="SimSun"/>
        </w:rPr>
      </w:pPr>
      <w:r w:rsidRPr="007E79B2">
        <w:t>The Committee,</w:t>
      </w:r>
    </w:p>
    <w:p w14:paraId="0E04D50D" w14:textId="0B77C291" w:rsidR="0057439C" w:rsidRPr="007E79B2" w:rsidRDefault="00D95C4C" w:rsidP="00AE77E0">
      <w:pPr>
        <w:pStyle w:val="COMParaDecision"/>
        <w:numPr>
          <w:ilvl w:val="0"/>
          <w:numId w:val="19"/>
        </w:numPr>
        <w:ind w:left="1134" w:hanging="567"/>
        <w:rPr>
          <w:lang w:val="pt-PT"/>
        </w:rPr>
      </w:pPr>
      <w:r w:rsidRPr="007E79B2">
        <w:rPr>
          <w:lang w:val="pt-PT"/>
        </w:rPr>
        <w:t>Having examined</w:t>
      </w:r>
      <w:r w:rsidRPr="007E79B2">
        <w:rPr>
          <w:u w:val="none"/>
          <w:lang w:val="pt-PT"/>
        </w:rPr>
        <w:t xml:space="preserve"> doc</w:t>
      </w:r>
      <w:r w:rsidR="00CB0542" w:rsidRPr="007E79B2">
        <w:rPr>
          <w:u w:val="none"/>
          <w:lang w:val="pt-PT"/>
        </w:rPr>
        <w:t xml:space="preserve">ument </w:t>
      </w:r>
      <w:r w:rsidR="00C5776D" w:rsidRPr="007E79B2">
        <w:rPr>
          <w:u w:val="none"/>
          <w:lang w:val="pt-PT"/>
        </w:rPr>
        <w:t>LHE</w:t>
      </w:r>
      <w:r w:rsidR="00CB0542" w:rsidRPr="007E79B2">
        <w:rPr>
          <w:u w:val="none"/>
          <w:lang w:val="pt-PT"/>
        </w:rPr>
        <w:t>/</w:t>
      </w:r>
      <w:r w:rsidR="00B72170" w:rsidRPr="007E79B2">
        <w:rPr>
          <w:u w:val="none"/>
          <w:lang w:val="pt-PT"/>
        </w:rPr>
        <w:t>20</w:t>
      </w:r>
      <w:r w:rsidR="00337CEB" w:rsidRPr="007E79B2">
        <w:rPr>
          <w:u w:val="none"/>
          <w:lang w:val="pt-PT"/>
        </w:rPr>
        <w:t>/1</w:t>
      </w:r>
      <w:r w:rsidR="00B72170" w:rsidRPr="007E79B2">
        <w:rPr>
          <w:u w:val="none"/>
          <w:lang w:val="pt-PT"/>
        </w:rPr>
        <w:t>5</w:t>
      </w:r>
      <w:r w:rsidR="00EC6F8D" w:rsidRPr="007E79B2">
        <w:rPr>
          <w:u w:val="none"/>
          <w:lang w:val="pt-PT"/>
        </w:rPr>
        <w:t>.COM</w:t>
      </w:r>
      <w:r w:rsidR="004A34A0" w:rsidRPr="007E79B2">
        <w:rPr>
          <w:u w:val="none"/>
          <w:lang w:val="pt-PT"/>
        </w:rPr>
        <w:t>/</w:t>
      </w:r>
      <w:r w:rsidR="00A174E0" w:rsidRPr="007E79B2">
        <w:rPr>
          <w:u w:val="none"/>
          <w:lang w:val="pt-PT"/>
        </w:rPr>
        <w:t>7</w:t>
      </w:r>
      <w:r w:rsidRPr="007E79B2">
        <w:rPr>
          <w:u w:val="none"/>
          <w:lang w:val="pt-PT"/>
        </w:rPr>
        <w:t>,</w:t>
      </w:r>
    </w:p>
    <w:p w14:paraId="6A6E1522" w14:textId="54404848" w:rsidR="0057439C" w:rsidRPr="0028692F" w:rsidRDefault="0057439C" w:rsidP="00AE77E0">
      <w:pPr>
        <w:pStyle w:val="COMParaDecision"/>
        <w:numPr>
          <w:ilvl w:val="0"/>
          <w:numId w:val="19"/>
        </w:numPr>
        <w:ind w:left="1134" w:hanging="567"/>
      </w:pPr>
      <w:r w:rsidRPr="0028692F">
        <w:t>Recalling</w:t>
      </w:r>
      <w:r w:rsidR="005B7A35" w:rsidRPr="0028692F">
        <w:rPr>
          <w:u w:val="none"/>
        </w:rPr>
        <w:t xml:space="preserve"> </w:t>
      </w:r>
      <w:r w:rsidR="004A2875" w:rsidRPr="0028692F">
        <w:rPr>
          <w:u w:val="none"/>
        </w:rPr>
        <w:t>Articles 7, 29 and 30 of the Convention concerning reports by States Parties</w:t>
      </w:r>
      <w:r w:rsidR="006A27C9" w:rsidRPr="0028692F">
        <w:rPr>
          <w:u w:val="none"/>
        </w:rPr>
        <w:t xml:space="preserve"> </w:t>
      </w:r>
      <w:r w:rsidR="004A2875" w:rsidRPr="0028692F">
        <w:rPr>
          <w:u w:val="none"/>
        </w:rPr>
        <w:t>and Chapter V of the Operational Directives</w:t>
      </w:r>
      <w:r w:rsidRPr="0028692F">
        <w:rPr>
          <w:u w:val="none"/>
        </w:rPr>
        <w:t>,</w:t>
      </w:r>
    </w:p>
    <w:p w14:paraId="0CDA1843" w14:textId="7B8D38D0" w:rsidR="00082206" w:rsidRPr="00C32A90" w:rsidRDefault="00082206" w:rsidP="00082206">
      <w:pPr>
        <w:pStyle w:val="COMParaDecision"/>
        <w:numPr>
          <w:ilvl w:val="0"/>
          <w:numId w:val="19"/>
        </w:numPr>
        <w:ind w:left="1134" w:hanging="567"/>
        <w:rPr>
          <w:u w:val="none"/>
        </w:rPr>
      </w:pPr>
      <w:r>
        <w:t>U</w:t>
      </w:r>
      <w:r w:rsidRPr="00C32A90">
        <w:t>nderlin</w:t>
      </w:r>
      <w:r>
        <w:t>ing</w:t>
      </w:r>
      <w:r w:rsidRPr="00C32A90">
        <w:rPr>
          <w:u w:val="none"/>
        </w:rPr>
        <w:t xml:space="preserve"> the importance of </w:t>
      </w:r>
      <w:r>
        <w:rPr>
          <w:u w:val="none"/>
        </w:rPr>
        <w:t xml:space="preserve">reporting on </w:t>
      </w:r>
      <w:r w:rsidRPr="00C32A90">
        <w:rPr>
          <w:bCs/>
          <w:u w:val="none"/>
          <w:lang w:val="en-US"/>
        </w:rPr>
        <w:t>updated and accurate safeguarding plans</w:t>
      </w:r>
      <w:r w:rsidRPr="00C32A90">
        <w:rPr>
          <w:u w:val="none"/>
          <w:lang w:val="en-US"/>
        </w:rPr>
        <w:t xml:space="preserve"> </w:t>
      </w:r>
      <w:r>
        <w:rPr>
          <w:u w:val="none"/>
          <w:lang w:val="en-US"/>
        </w:rPr>
        <w:t xml:space="preserve">on </w:t>
      </w:r>
      <w:r w:rsidRPr="002A2901">
        <w:rPr>
          <w:u w:val="none"/>
        </w:rPr>
        <w:t xml:space="preserve">the status of </w:t>
      </w:r>
      <w:r w:rsidRPr="002A2901">
        <w:rPr>
          <w:u w:val="none"/>
          <w:lang w:val="en-US"/>
        </w:rPr>
        <w:t>elements inscribed on the List of Intangible Cultural Heritage in Need of Urgent Safeguarding</w:t>
      </w:r>
      <w:r>
        <w:rPr>
          <w:u w:val="none"/>
          <w:lang w:val="en-US"/>
        </w:rPr>
        <w:t xml:space="preserve">, </w:t>
      </w:r>
      <w:r w:rsidRPr="00C32A90">
        <w:rPr>
          <w:u w:val="none"/>
          <w:lang w:val="en-US"/>
        </w:rPr>
        <w:t>which represent</w:t>
      </w:r>
      <w:r w:rsidR="00F05EC5">
        <w:rPr>
          <w:u w:val="none"/>
          <w:lang w:val="en-US"/>
        </w:rPr>
        <w:t>s</w:t>
      </w:r>
      <w:r w:rsidRPr="00C32A90">
        <w:rPr>
          <w:u w:val="none"/>
          <w:lang w:val="en-US"/>
        </w:rPr>
        <w:t xml:space="preserve"> a key monitoring tool </w:t>
      </w:r>
      <w:r w:rsidR="00F05EC5">
        <w:rPr>
          <w:u w:val="none"/>
          <w:lang w:val="en-US"/>
        </w:rPr>
        <w:t>for</w:t>
      </w:r>
      <w:r w:rsidR="00F05EC5" w:rsidRPr="00C32A90">
        <w:rPr>
          <w:u w:val="none"/>
          <w:lang w:val="en-US"/>
        </w:rPr>
        <w:t xml:space="preserve"> </w:t>
      </w:r>
      <w:r w:rsidRPr="00C32A90">
        <w:rPr>
          <w:u w:val="none"/>
          <w:lang w:val="en-US"/>
        </w:rPr>
        <w:t>assess</w:t>
      </w:r>
      <w:r w:rsidR="00F05EC5">
        <w:rPr>
          <w:u w:val="none"/>
          <w:lang w:val="en-US"/>
        </w:rPr>
        <w:t>ing</w:t>
      </w:r>
      <w:r w:rsidRPr="00C32A90">
        <w:rPr>
          <w:u w:val="none"/>
          <w:lang w:val="en-US"/>
        </w:rPr>
        <w:t xml:space="preserve"> the </w:t>
      </w:r>
      <w:r>
        <w:rPr>
          <w:u w:val="none"/>
          <w:lang w:val="en-US"/>
        </w:rPr>
        <w:t>viability of elements at risk,</w:t>
      </w:r>
    </w:p>
    <w:p w14:paraId="545CF876" w14:textId="21F6AD8A" w:rsidR="004F57C8" w:rsidRPr="0070618D" w:rsidRDefault="004A2875" w:rsidP="004F57C8">
      <w:pPr>
        <w:pStyle w:val="COMParaDecision"/>
        <w:numPr>
          <w:ilvl w:val="0"/>
          <w:numId w:val="19"/>
        </w:numPr>
        <w:ind w:left="1134" w:hanging="567"/>
        <w:rPr>
          <w:u w:val="none"/>
        </w:rPr>
      </w:pPr>
      <w:r w:rsidRPr="0028692F">
        <w:t>Thanks</w:t>
      </w:r>
      <w:r w:rsidRPr="0028692F">
        <w:rPr>
          <w:u w:val="none"/>
        </w:rPr>
        <w:t xml:space="preserve"> the States Parties that submitted their reports on time</w:t>
      </w:r>
      <w:r w:rsidR="004F57C8" w:rsidRPr="00FD4562">
        <w:rPr>
          <w:u w:val="none"/>
        </w:rPr>
        <w:t>,</w:t>
      </w:r>
      <w:r w:rsidRPr="0028692F">
        <w:rPr>
          <w:u w:val="none"/>
        </w:rPr>
        <w:t xml:space="preserve"> </w:t>
      </w:r>
      <w:r w:rsidR="004F57C8">
        <w:t>w</w:t>
      </w:r>
      <w:r w:rsidR="004F57C8" w:rsidRPr="0070618D">
        <w:t>elcomes</w:t>
      </w:r>
      <w:r w:rsidR="004F57C8" w:rsidRPr="0070618D">
        <w:rPr>
          <w:u w:val="none"/>
        </w:rPr>
        <w:t xml:space="preserve"> the achievements reported by States Parties in implementing their safeguarding plans and </w:t>
      </w:r>
      <w:r w:rsidR="004F57C8" w:rsidRPr="0070618D">
        <w:t>invites</w:t>
      </w:r>
      <w:r w:rsidR="004F57C8" w:rsidRPr="0070618D">
        <w:rPr>
          <w:u w:val="none"/>
        </w:rPr>
        <w:t xml:space="preserve"> them to continue their efforts </w:t>
      </w:r>
      <w:r w:rsidR="00F05EC5">
        <w:rPr>
          <w:u w:val="none"/>
        </w:rPr>
        <w:t>to</w:t>
      </w:r>
      <w:r w:rsidR="004F57C8" w:rsidRPr="0070618D">
        <w:rPr>
          <w:u w:val="none"/>
        </w:rPr>
        <w:t xml:space="preserve"> safeguard and </w:t>
      </w:r>
      <w:r w:rsidR="00F05EC5" w:rsidRPr="0070618D">
        <w:rPr>
          <w:u w:val="none"/>
        </w:rPr>
        <w:t>transmi</w:t>
      </w:r>
      <w:r w:rsidR="00F05EC5">
        <w:rPr>
          <w:u w:val="none"/>
        </w:rPr>
        <w:t>t</w:t>
      </w:r>
      <w:r w:rsidR="004F57C8" w:rsidRPr="0070618D">
        <w:rPr>
          <w:u w:val="none"/>
        </w:rPr>
        <w:t xml:space="preserve"> these elements as </w:t>
      </w:r>
      <w:r w:rsidR="00F05EC5">
        <w:rPr>
          <w:u w:val="none"/>
        </w:rPr>
        <w:t xml:space="preserve">a matter of </w:t>
      </w:r>
      <w:r w:rsidR="004F57C8" w:rsidRPr="0070618D">
        <w:rPr>
          <w:u w:val="none"/>
        </w:rPr>
        <w:t>priority;</w:t>
      </w:r>
    </w:p>
    <w:p w14:paraId="1C2DA926" w14:textId="5F07A8C4" w:rsidR="00D95C4C" w:rsidRPr="004F57C8" w:rsidRDefault="004F57C8" w:rsidP="004F57C8">
      <w:pPr>
        <w:pStyle w:val="COMParaDecision"/>
        <w:numPr>
          <w:ilvl w:val="0"/>
          <w:numId w:val="19"/>
        </w:numPr>
        <w:ind w:left="1134" w:hanging="567"/>
        <w:rPr>
          <w:u w:val="none"/>
        </w:rPr>
      </w:pPr>
      <w:r w:rsidRPr="00492E1A">
        <w:t>Regrets</w:t>
      </w:r>
      <w:r w:rsidRPr="00492E1A">
        <w:rPr>
          <w:u w:val="none"/>
        </w:rPr>
        <w:t> that several reports have not been submitted in time and </w:t>
      </w:r>
      <w:r w:rsidR="00210500" w:rsidRPr="00FD4562">
        <w:t xml:space="preserve">further </w:t>
      </w:r>
      <w:r w:rsidR="004A2875" w:rsidRPr="0028692F">
        <w:t>invites</w:t>
      </w:r>
      <w:r w:rsidR="004A2875" w:rsidRPr="004F57C8">
        <w:rPr>
          <w:u w:val="none"/>
        </w:rPr>
        <w:t xml:space="preserve"> the State</w:t>
      </w:r>
      <w:r w:rsidR="0028692F" w:rsidRPr="004F57C8">
        <w:rPr>
          <w:u w:val="none"/>
        </w:rPr>
        <w:t>s Parties</w:t>
      </w:r>
      <w:r w:rsidR="004A2875" w:rsidRPr="004F57C8">
        <w:rPr>
          <w:u w:val="none"/>
        </w:rPr>
        <w:t xml:space="preserve"> that ha</w:t>
      </w:r>
      <w:r w:rsidR="0028692F" w:rsidRPr="004F57C8">
        <w:rPr>
          <w:u w:val="none"/>
        </w:rPr>
        <w:t>ve</w:t>
      </w:r>
      <w:r w:rsidR="004A2875" w:rsidRPr="004F57C8">
        <w:rPr>
          <w:u w:val="none"/>
        </w:rPr>
        <w:t xml:space="preserve"> not yet submitted </w:t>
      </w:r>
      <w:r w:rsidR="0028692F" w:rsidRPr="004F57C8">
        <w:rPr>
          <w:u w:val="none"/>
        </w:rPr>
        <w:t>their</w:t>
      </w:r>
      <w:r w:rsidR="004A2875" w:rsidRPr="004F57C8">
        <w:rPr>
          <w:u w:val="none"/>
        </w:rPr>
        <w:t xml:space="preserve"> expected reports to </w:t>
      </w:r>
      <w:r w:rsidRPr="00492E1A">
        <w:rPr>
          <w:u w:val="none"/>
        </w:rPr>
        <w:t xml:space="preserve">fulfil their reporting requirements </w:t>
      </w:r>
      <w:r w:rsidRPr="000A5AC1">
        <w:rPr>
          <w:u w:val="none"/>
        </w:rPr>
        <w:t>before submitting new nominations</w:t>
      </w:r>
      <w:r w:rsidR="004A2875" w:rsidRPr="000A5AC1">
        <w:rPr>
          <w:u w:val="none"/>
        </w:rPr>
        <w:t xml:space="preserve"> at the earliest opportunity, </w:t>
      </w:r>
      <w:r w:rsidR="008144CE" w:rsidRPr="000A5AC1">
        <w:rPr>
          <w:u w:val="none"/>
        </w:rPr>
        <w:t xml:space="preserve">bearing in mind the deadline of </w:t>
      </w:r>
      <w:r w:rsidR="004A2875" w:rsidRPr="000A5AC1">
        <w:rPr>
          <w:u w:val="none"/>
        </w:rPr>
        <w:t>15 December 20</w:t>
      </w:r>
      <w:r w:rsidR="0028692F" w:rsidRPr="000A5AC1">
        <w:rPr>
          <w:u w:val="none"/>
        </w:rPr>
        <w:t>20</w:t>
      </w:r>
      <w:r w:rsidR="004A2875" w:rsidRPr="004F57C8">
        <w:rPr>
          <w:u w:val="none"/>
        </w:rPr>
        <w:t xml:space="preserve"> in order for the Committee to examine the</w:t>
      </w:r>
      <w:r w:rsidR="006A27C9" w:rsidRPr="004F57C8">
        <w:rPr>
          <w:u w:val="none"/>
        </w:rPr>
        <w:t>se reports</w:t>
      </w:r>
      <w:r w:rsidR="004A2875" w:rsidRPr="004F57C8">
        <w:rPr>
          <w:u w:val="none"/>
        </w:rPr>
        <w:t xml:space="preserve"> at its </w:t>
      </w:r>
      <w:r w:rsidR="0028692F" w:rsidRPr="004F57C8">
        <w:rPr>
          <w:u w:val="none"/>
        </w:rPr>
        <w:t>six</w:t>
      </w:r>
      <w:r w:rsidR="006A725F" w:rsidRPr="004F57C8">
        <w:rPr>
          <w:u w:val="none"/>
        </w:rPr>
        <w:t xml:space="preserve">teenth </w:t>
      </w:r>
      <w:r w:rsidR="0028692F" w:rsidRPr="004F57C8">
        <w:rPr>
          <w:u w:val="none"/>
        </w:rPr>
        <w:t>session in 2021</w:t>
      </w:r>
      <w:r w:rsidR="00116F47" w:rsidRPr="004F57C8">
        <w:rPr>
          <w:u w:val="none"/>
        </w:rPr>
        <w:t>;</w:t>
      </w:r>
    </w:p>
    <w:p w14:paraId="59423F41" w14:textId="7E019CDE" w:rsidR="004E574F" w:rsidRPr="002A2901" w:rsidRDefault="00210500" w:rsidP="004E574F">
      <w:pPr>
        <w:pStyle w:val="COMParaDecision"/>
        <w:numPr>
          <w:ilvl w:val="0"/>
          <w:numId w:val="19"/>
        </w:numPr>
        <w:ind w:left="1134" w:hanging="567"/>
      </w:pPr>
      <w:r>
        <w:t xml:space="preserve">Also </w:t>
      </w:r>
      <w:r w:rsidR="00650C36">
        <w:t>i</w:t>
      </w:r>
      <w:r w:rsidR="00070F4A">
        <w:t>nvites</w:t>
      </w:r>
      <w:r w:rsidR="004E574F" w:rsidRPr="002A2901">
        <w:rPr>
          <w:u w:val="none"/>
        </w:rPr>
        <w:t xml:space="preserve"> the States Parties </w:t>
      </w:r>
      <w:r w:rsidR="00AB2226">
        <w:rPr>
          <w:u w:val="none"/>
        </w:rPr>
        <w:t>to use the online interface of Form ICH-11</w:t>
      </w:r>
      <w:r w:rsidR="004E574F" w:rsidRPr="002A2901">
        <w:rPr>
          <w:u w:val="none"/>
        </w:rPr>
        <w:t xml:space="preserve"> to </w:t>
      </w:r>
      <w:r w:rsidR="004E574F" w:rsidRPr="002A2901">
        <w:rPr>
          <w:bCs/>
          <w:u w:val="none"/>
        </w:rPr>
        <w:t>report on</w:t>
      </w:r>
      <w:r w:rsidR="004E574F" w:rsidRPr="002A2901">
        <w:rPr>
          <w:u w:val="none"/>
        </w:rPr>
        <w:t xml:space="preserve"> </w:t>
      </w:r>
      <w:r w:rsidR="00AB2226" w:rsidRPr="002A2901">
        <w:rPr>
          <w:u w:val="none"/>
        </w:rPr>
        <w:t xml:space="preserve">the status of the </w:t>
      </w:r>
      <w:r w:rsidR="00AB2226" w:rsidRPr="002A2901">
        <w:rPr>
          <w:u w:val="none"/>
          <w:lang w:val="en-US"/>
        </w:rPr>
        <w:t xml:space="preserve">elements </w:t>
      </w:r>
      <w:r w:rsidR="004E574F" w:rsidRPr="00AB2226">
        <w:rPr>
          <w:u w:val="none"/>
        </w:rPr>
        <w:t xml:space="preserve">in order to facilitate the </w:t>
      </w:r>
      <w:r w:rsidR="003E117B">
        <w:rPr>
          <w:u w:val="none"/>
        </w:rPr>
        <w:t xml:space="preserve">processing and analysis </w:t>
      </w:r>
      <w:r w:rsidR="004E574F" w:rsidRPr="00AB2226">
        <w:rPr>
          <w:u w:val="none"/>
        </w:rPr>
        <w:t xml:space="preserve">of </w:t>
      </w:r>
      <w:r w:rsidR="003E117B">
        <w:rPr>
          <w:u w:val="none"/>
        </w:rPr>
        <w:t xml:space="preserve">the </w:t>
      </w:r>
      <w:r w:rsidR="004E574F" w:rsidRPr="00AB2226">
        <w:rPr>
          <w:u w:val="none"/>
        </w:rPr>
        <w:t xml:space="preserve">information </w:t>
      </w:r>
      <w:r w:rsidR="003E117B">
        <w:rPr>
          <w:u w:val="none"/>
        </w:rPr>
        <w:t>collected through the reports</w:t>
      </w:r>
      <w:r w:rsidR="004E574F" w:rsidRPr="002A2901">
        <w:rPr>
          <w:u w:val="none"/>
          <w:lang w:val="en-US"/>
        </w:rPr>
        <w:t>;</w:t>
      </w:r>
    </w:p>
    <w:p w14:paraId="7989BA97" w14:textId="5B5F3B19" w:rsidR="00BA51A1" w:rsidRPr="00AA3A0D" w:rsidRDefault="00380AE5" w:rsidP="00380AE5">
      <w:pPr>
        <w:pStyle w:val="COMParaDecision"/>
        <w:numPr>
          <w:ilvl w:val="0"/>
          <w:numId w:val="19"/>
        </w:numPr>
        <w:ind w:left="1134" w:hanging="567"/>
        <w:rPr>
          <w:u w:val="none"/>
        </w:rPr>
      </w:pPr>
      <w:r w:rsidRPr="00C32A90">
        <w:t>Acknowledges</w:t>
      </w:r>
      <w:r w:rsidRPr="00C32A90">
        <w:rPr>
          <w:u w:val="none"/>
        </w:rPr>
        <w:t xml:space="preserve"> that this is the second cycle of </w:t>
      </w:r>
      <w:r w:rsidRPr="007E79B2">
        <w:rPr>
          <w:u w:val="none"/>
        </w:rPr>
        <w:t>reporting for seven elements</w:t>
      </w:r>
      <w:r w:rsidR="001F7CBE">
        <w:rPr>
          <w:u w:val="none"/>
        </w:rPr>
        <w:t xml:space="preserve"> </w:t>
      </w:r>
      <w:r>
        <w:rPr>
          <w:u w:val="none"/>
        </w:rPr>
        <w:t xml:space="preserve">inscribed in 2011 </w:t>
      </w:r>
      <w:r w:rsidRPr="00C32A90">
        <w:rPr>
          <w:u w:val="none"/>
        </w:rPr>
        <w:t xml:space="preserve">and </w:t>
      </w:r>
      <w:r w:rsidRPr="00C32A90">
        <w:t>underlines</w:t>
      </w:r>
      <w:r w:rsidRPr="00C32A90">
        <w:rPr>
          <w:u w:val="none"/>
        </w:rPr>
        <w:t xml:space="preserve"> the importance of </w:t>
      </w:r>
      <w:r w:rsidRPr="00C32A90">
        <w:rPr>
          <w:bCs/>
          <w:u w:val="none"/>
        </w:rPr>
        <w:t>successive reports</w:t>
      </w:r>
      <w:r w:rsidRPr="00C32A90">
        <w:rPr>
          <w:u w:val="none"/>
        </w:rPr>
        <w:t xml:space="preserve"> tak</w:t>
      </w:r>
      <w:r w:rsidR="00BA51A1">
        <w:rPr>
          <w:u w:val="none"/>
        </w:rPr>
        <w:t>ing</w:t>
      </w:r>
      <w:r w:rsidRPr="00C32A90">
        <w:rPr>
          <w:u w:val="none"/>
        </w:rPr>
        <w:t xml:space="preserve"> into account the </w:t>
      </w:r>
      <w:r w:rsidRPr="00AA3A0D">
        <w:rPr>
          <w:u w:val="none"/>
        </w:rPr>
        <w:t xml:space="preserve">recommendations of the Committee </w:t>
      </w:r>
      <w:r w:rsidR="00C93115" w:rsidRPr="00AA3A0D">
        <w:rPr>
          <w:u w:val="none"/>
        </w:rPr>
        <w:t xml:space="preserve">for the </w:t>
      </w:r>
      <w:r w:rsidR="00BA51A1" w:rsidRPr="00AA3A0D">
        <w:rPr>
          <w:u w:val="none"/>
        </w:rPr>
        <w:t>reports on the same element submitted in previous cycles</w:t>
      </w:r>
      <w:r w:rsidR="00C93115" w:rsidRPr="00D9627B">
        <w:rPr>
          <w:u w:val="none"/>
        </w:rPr>
        <w:t xml:space="preserve">, </w:t>
      </w:r>
      <w:r w:rsidR="00F05EC5" w:rsidRPr="00D9627B">
        <w:rPr>
          <w:u w:val="none"/>
        </w:rPr>
        <w:t>a</w:t>
      </w:r>
      <w:r w:rsidR="00F05EC5">
        <w:rPr>
          <w:u w:val="none"/>
        </w:rPr>
        <w:t xml:space="preserve">s well as of </w:t>
      </w:r>
      <w:r w:rsidR="00C93115" w:rsidRPr="00D9627B">
        <w:rPr>
          <w:u w:val="none"/>
        </w:rPr>
        <w:t>including updated information</w:t>
      </w:r>
      <w:r w:rsidR="00C93115" w:rsidRPr="00D9627B">
        <w:rPr>
          <w:u w:val="none"/>
          <w:lang w:val="en-US"/>
        </w:rPr>
        <w:t xml:space="preserve"> on the progress </w:t>
      </w:r>
      <w:r w:rsidR="00F05EC5">
        <w:rPr>
          <w:u w:val="none"/>
          <w:lang w:val="en-US"/>
        </w:rPr>
        <w:t>made with</w:t>
      </w:r>
      <w:r w:rsidR="00F05EC5" w:rsidRPr="00D9627B">
        <w:rPr>
          <w:u w:val="none"/>
          <w:lang w:val="en-US"/>
        </w:rPr>
        <w:t xml:space="preserve"> </w:t>
      </w:r>
      <w:r w:rsidR="00C93115" w:rsidRPr="00D9627B">
        <w:rPr>
          <w:u w:val="none"/>
          <w:lang w:val="en-US"/>
        </w:rPr>
        <w:t>the implementation of the safeguarding plans</w:t>
      </w:r>
      <w:r w:rsidR="000110AF">
        <w:rPr>
          <w:u w:val="none"/>
          <w:lang w:val="en-US"/>
        </w:rPr>
        <w:t xml:space="preserve"> since the </w:t>
      </w:r>
      <w:r w:rsidR="005D72A5">
        <w:rPr>
          <w:u w:val="none"/>
          <w:lang w:val="en-US"/>
        </w:rPr>
        <w:t>previous report</w:t>
      </w:r>
      <w:r w:rsidRPr="00AA3A0D">
        <w:rPr>
          <w:u w:val="none"/>
        </w:rPr>
        <w:t>;</w:t>
      </w:r>
    </w:p>
    <w:p w14:paraId="27B49C63" w14:textId="15901DC6" w:rsidR="00145D37" w:rsidRPr="0039554E" w:rsidRDefault="00145D37" w:rsidP="00070F4A">
      <w:pPr>
        <w:pStyle w:val="COMParaDecision"/>
        <w:numPr>
          <w:ilvl w:val="0"/>
          <w:numId w:val="19"/>
        </w:numPr>
        <w:ind w:left="1134" w:hanging="567"/>
        <w:rPr>
          <w:u w:val="none"/>
        </w:rPr>
      </w:pPr>
      <w:r w:rsidRPr="0039554E">
        <w:t>Takes note</w:t>
      </w:r>
      <w:r w:rsidRPr="0039554E">
        <w:rPr>
          <w:u w:val="none"/>
        </w:rPr>
        <w:t xml:space="preserve"> of the growing role of formal and non-formal education as well as </w:t>
      </w:r>
      <w:r w:rsidR="00F05EC5">
        <w:rPr>
          <w:u w:val="none"/>
        </w:rPr>
        <w:t xml:space="preserve">of </w:t>
      </w:r>
      <w:r w:rsidRPr="0039554E">
        <w:rPr>
          <w:u w:val="none"/>
        </w:rPr>
        <w:t>various institutions such as museums</w:t>
      </w:r>
      <w:r w:rsidR="0069019D">
        <w:rPr>
          <w:u w:val="none"/>
        </w:rPr>
        <w:t xml:space="preserve"> </w:t>
      </w:r>
      <w:r w:rsidRPr="0039554E">
        <w:rPr>
          <w:u w:val="none"/>
        </w:rPr>
        <w:t>in enhancing the effectiveness of safeguarding plan</w:t>
      </w:r>
      <w:r w:rsidR="00F05EC5">
        <w:rPr>
          <w:u w:val="none"/>
        </w:rPr>
        <w:t>s</w:t>
      </w:r>
      <w:r w:rsidRPr="0039554E">
        <w:rPr>
          <w:u w:val="none"/>
        </w:rPr>
        <w:t xml:space="preserve"> an</w:t>
      </w:r>
      <w:r w:rsidR="00E46430" w:rsidRPr="0039554E">
        <w:rPr>
          <w:u w:val="none"/>
        </w:rPr>
        <w:t xml:space="preserve">d </w:t>
      </w:r>
      <w:r w:rsidRPr="0039554E">
        <w:t>encourage</w:t>
      </w:r>
      <w:r w:rsidR="00E27BD2" w:rsidRPr="0039554E">
        <w:t>s</w:t>
      </w:r>
      <w:r w:rsidRPr="0039554E">
        <w:rPr>
          <w:u w:val="none"/>
        </w:rPr>
        <w:t xml:space="preserve"> </w:t>
      </w:r>
      <w:r w:rsidR="006E263B" w:rsidRPr="0039554E">
        <w:rPr>
          <w:u w:val="none"/>
        </w:rPr>
        <w:t xml:space="preserve">reporting </w:t>
      </w:r>
      <w:r w:rsidRPr="0039554E">
        <w:rPr>
          <w:u w:val="none"/>
        </w:rPr>
        <w:t>States to include information in future reports on how t</w:t>
      </w:r>
      <w:r w:rsidR="00E27BD2" w:rsidRPr="0039554E">
        <w:rPr>
          <w:u w:val="none"/>
        </w:rPr>
        <w:t>he</w:t>
      </w:r>
      <w:r w:rsidRPr="0039554E">
        <w:rPr>
          <w:u w:val="none"/>
        </w:rPr>
        <w:t xml:space="preserve"> different stakeholders involved</w:t>
      </w:r>
      <w:r w:rsidR="00235617" w:rsidRPr="0039554E">
        <w:rPr>
          <w:u w:val="none"/>
        </w:rPr>
        <w:t xml:space="preserve"> contribute to</w:t>
      </w:r>
      <w:r w:rsidRPr="0039554E">
        <w:rPr>
          <w:u w:val="none"/>
        </w:rPr>
        <w:t xml:space="preserve"> the safeguarding efforts</w:t>
      </w:r>
      <w:r w:rsidR="0039554E">
        <w:rPr>
          <w:u w:val="none"/>
        </w:rPr>
        <w:t xml:space="preserve"> in t</w:t>
      </w:r>
      <w:r w:rsidR="009A7FCB">
        <w:rPr>
          <w:u w:val="none"/>
        </w:rPr>
        <w:t>his regard</w:t>
      </w:r>
      <w:r w:rsidRPr="00160F16">
        <w:rPr>
          <w:u w:val="none"/>
        </w:rPr>
        <w:t>;</w:t>
      </w:r>
    </w:p>
    <w:p w14:paraId="7B54BF03" w14:textId="07E99D29" w:rsidR="004E574F" w:rsidRPr="0022459C" w:rsidRDefault="001F6A55" w:rsidP="0022459C">
      <w:pPr>
        <w:pStyle w:val="COMParaDecision"/>
        <w:numPr>
          <w:ilvl w:val="0"/>
          <w:numId w:val="19"/>
        </w:numPr>
        <w:ind w:left="1134" w:hanging="567"/>
        <w:rPr>
          <w:u w:val="none"/>
        </w:rPr>
      </w:pPr>
      <w:r>
        <w:t xml:space="preserve">Further </w:t>
      </w:r>
      <w:r w:rsidR="00AA4E48">
        <w:t>e</w:t>
      </w:r>
      <w:r w:rsidR="004E574F" w:rsidRPr="00AA3A0D">
        <w:t>ncourages</w:t>
      </w:r>
      <w:r w:rsidR="004E574F" w:rsidRPr="00AA3A0D">
        <w:rPr>
          <w:u w:val="none"/>
        </w:rPr>
        <w:t xml:space="preserve"> States Parties that </w:t>
      </w:r>
      <w:r w:rsidR="00F05EC5">
        <w:rPr>
          <w:u w:val="none"/>
        </w:rPr>
        <w:t xml:space="preserve">have </w:t>
      </w:r>
      <w:r w:rsidR="004E574F" w:rsidRPr="00AA3A0D">
        <w:rPr>
          <w:u w:val="none"/>
        </w:rPr>
        <w:t xml:space="preserve">benefitted from International Assistance under the Intangible Cultural Heritage Fund for safeguarding specific elements to report on </w:t>
      </w:r>
      <w:r w:rsidR="00F05EC5">
        <w:rPr>
          <w:u w:val="none"/>
        </w:rPr>
        <w:t>this</w:t>
      </w:r>
      <w:r w:rsidR="00F05EC5" w:rsidRPr="00AA3A0D">
        <w:rPr>
          <w:u w:val="none"/>
        </w:rPr>
        <w:t xml:space="preserve"> </w:t>
      </w:r>
      <w:r w:rsidR="004E574F" w:rsidRPr="00AA3A0D">
        <w:rPr>
          <w:u w:val="none"/>
        </w:rPr>
        <w:t xml:space="preserve">and </w:t>
      </w:r>
      <w:r w:rsidR="006E263B">
        <w:t>i</w:t>
      </w:r>
      <w:r w:rsidR="004E574F" w:rsidRPr="00AA3A0D">
        <w:t>nvites</w:t>
      </w:r>
      <w:r w:rsidR="004E574F" w:rsidRPr="00AA3A0D">
        <w:rPr>
          <w:u w:val="none"/>
        </w:rPr>
        <w:t xml:space="preserve"> those States in need of financial resources to implement their safeguarding plans for inscribed elements to request </w:t>
      </w:r>
      <w:r w:rsidR="004E574F" w:rsidRPr="0022459C">
        <w:rPr>
          <w:u w:val="none"/>
        </w:rPr>
        <w:t>International Assistance from the Fund;</w:t>
      </w:r>
    </w:p>
    <w:p w14:paraId="6000875C" w14:textId="42C93EC3" w:rsidR="00186AF0" w:rsidRPr="0031229B" w:rsidRDefault="00186AF0" w:rsidP="0022459C">
      <w:pPr>
        <w:pStyle w:val="COMParaDecision"/>
        <w:numPr>
          <w:ilvl w:val="0"/>
          <w:numId w:val="19"/>
        </w:numPr>
        <w:ind w:left="1134" w:hanging="567"/>
        <w:rPr>
          <w:u w:val="none"/>
        </w:rPr>
      </w:pPr>
      <w:r w:rsidRPr="0022459C">
        <w:t>Emphasizes</w:t>
      </w:r>
      <w:r w:rsidRPr="0022459C">
        <w:rPr>
          <w:u w:val="none"/>
        </w:rPr>
        <w:t xml:space="preserve"> the primary role </w:t>
      </w:r>
      <w:r w:rsidR="00F05EC5">
        <w:rPr>
          <w:u w:val="none"/>
        </w:rPr>
        <w:t xml:space="preserve">played by </w:t>
      </w:r>
      <w:r w:rsidRPr="0022459C">
        <w:rPr>
          <w:u w:val="none"/>
        </w:rPr>
        <w:t>the communities, groups and individuals concerned</w:t>
      </w:r>
      <w:r w:rsidR="001B4E9C">
        <w:rPr>
          <w:u w:val="none"/>
        </w:rPr>
        <w:t>, including indigenous communities,</w:t>
      </w:r>
      <w:r w:rsidRPr="0022459C">
        <w:rPr>
          <w:u w:val="none"/>
        </w:rPr>
        <w:t xml:space="preserve"> </w:t>
      </w:r>
      <w:r w:rsidR="00F05EC5">
        <w:rPr>
          <w:u w:val="none"/>
        </w:rPr>
        <w:t>throughout</w:t>
      </w:r>
      <w:r w:rsidR="00F05EC5" w:rsidRPr="0022459C">
        <w:rPr>
          <w:u w:val="none"/>
        </w:rPr>
        <w:t xml:space="preserve"> </w:t>
      </w:r>
      <w:r w:rsidRPr="0022459C">
        <w:rPr>
          <w:u w:val="none"/>
        </w:rPr>
        <w:t xml:space="preserve">all stages of the safeguarding </w:t>
      </w:r>
      <w:r w:rsidR="00CE52D8" w:rsidRPr="0031229B">
        <w:rPr>
          <w:u w:val="none"/>
        </w:rPr>
        <w:t xml:space="preserve">as well as </w:t>
      </w:r>
      <w:r w:rsidRPr="0031229B">
        <w:rPr>
          <w:u w:val="none"/>
        </w:rPr>
        <w:t xml:space="preserve">the reporting stage, and </w:t>
      </w:r>
      <w:r w:rsidR="00B73914" w:rsidRPr="0031229B">
        <w:t xml:space="preserve">further </w:t>
      </w:r>
      <w:r w:rsidRPr="0031229B">
        <w:t>invites</w:t>
      </w:r>
      <w:r w:rsidRPr="0031229B">
        <w:rPr>
          <w:u w:val="none"/>
        </w:rPr>
        <w:t xml:space="preserve"> States Parties to report on </w:t>
      </w:r>
      <w:r w:rsidR="00FE7531" w:rsidRPr="0031229B">
        <w:rPr>
          <w:u w:val="none"/>
        </w:rPr>
        <w:t xml:space="preserve">how their </w:t>
      </w:r>
      <w:r w:rsidR="00A25CE3" w:rsidRPr="0031229B">
        <w:rPr>
          <w:u w:val="none"/>
        </w:rPr>
        <w:t xml:space="preserve">active participation </w:t>
      </w:r>
      <w:r w:rsidRPr="0031229B">
        <w:rPr>
          <w:u w:val="none"/>
        </w:rPr>
        <w:t xml:space="preserve">in the safeguarding of </w:t>
      </w:r>
      <w:r w:rsidR="00FE7531" w:rsidRPr="0031229B">
        <w:rPr>
          <w:u w:val="none"/>
        </w:rPr>
        <w:t>the</w:t>
      </w:r>
      <w:r w:rsidRPr="0031229B">
        <w:rPr>
          <w:u w:val="none"/>
        </w:rPr>
        <w:t xml:space="preserve"> elements</w:t>
      </w:r>
      <w:r w:rsidR="00A25CE3" w:rsidRPr="0031229B">
        <w:rPr>
          <w:u w:val="none"/>
        </w:rPr>
        <w:t xml:space="preserve"> </w:t>
      </w:r>
      <w:r w:rsidR="00FE7531" w:rsidRPr="0031229B">
        <w:rPr>
          <w:u w:val="none"/>
        </w:rPr>
        <w:t>is being ensured</w:t>
      </w:r>
      <w:r w:rsidRPr="0031229B">
        <w:rPr>
          <w:u w:val="none"/>
        </w:rPr>
        <w:t>;</w:t>
      </w:r>
    </w:p>
    <w:p w14:paraId="7FE1EA9B" w14:textId="54D2EF26" w:rsidR="00DA0AC6" w:rsidRPr="0031229B" w:rsidRDefault="00D57EF9" w:rsidP="005C4554">
      <w:pPr>
        <w:pStyle w:val="COMParaDecision"/>
        <w:numPr>
          <w:ilvl w:val="0"/>
          <w:numId w:val="19"/>
        </w:numPr>
        <w:ind w:left="1134" w:hanging="567"/>
      </w:pPr>
      <w:r w:rsidRPr="0031229B">
        <w:t>Further acknowledges</w:t>
      </w:r>
      <w:r w:rsidRPr="0031229B">
        <w:rPr>
          <w:u w:val="none"/>
        </w:rPr>
        <w:t xml:space="preserve"> that the safeguarding of intangible cultural heritage could have a positive impact on gender equity and </w:t>
      </w:r>
      <w:r w:rsidRPr="0031229B">
        <w:t>a</w:t>
      </w:r>
      <w:r w:rsidR="001F6A55" w:rsidRPr="0031229B">
        <w:t>lso e</w:t>
      </w:r>
      <w:r w:rsidR="00186AF0" w:rsidRPr="0031229B">
        <w:t>ncourages</w:t>
      </w:r>
      <w:r w:rsidR="00186AF0" w:rsidRPr="0031229B">
        <w:rPr>
          <w:u w:val="none"/>
        </w:rPr>
        <w:t xml:space="preserve"> reporting States to </w:t>
      </w:r>
      <w:r w:rsidR="00F05EC5" w:rsidRPr="0031229B">
        <w:rPr>
          <w:u w:val="none"/>
        </w:rPr>
        <w:t xml:space="preserve">pay </w:t>
      </w:r>
      <w:r w:rsidR="00186AF0" w:rsidRPr="0031229B">
        <w:rPr>
          <w:u w:val="none"/>
        </w:rPr>
        <w:t xml:space="preserve">particular attention in their reports to specific </w:t>
      </w:r>
      <w:r w:rsidR="009868D0" w:rsidRPr="0031229B">
        <w:rPr>
          <w:u w:val="none"/>
        </w:rPr>
        <w:t xml:space="preserve">safeguarding </w:t>
      </w:r>
      <w:r w:rsidR="00186AF0" w:rsidRPr="0031229B">
        <w:rPr>
          <w:u w:val="none"/>
        </w:rPr>
        <w:t xml:space="preserve">measures </w:t>
      </w:r>
      <w:r w:rsidR="009868D0" w:rsidRPr="0031229B">
        <w:rPr>
          <w:u w:val="none"/>
        </w:rPr>
        <w:t xml:space="preserve">that could enhance </w:t>
      </w:r>
      <w:r w:rsidR="00DA0AC6" w:rsidRPr="0031229B">
        <w:rPr>
          <w:u w:val="none"/>
        </w:rPr>
        <w:t xml:space="preserve">gender </w:t>
      </w:r>
      <w:r w:rsidR="001C319E" w:rsidRPr="0031229B">
        <w:rPr>
          <w:u w:val="none"/>
        </w:rPr>
        <w:t>equity</w:t>
      </w:r>
      <w:r w:rsidR="00DA0AC6" w:rsidRPr="0031229B">
        <w:rPr>
          <w:u w:val="none"/>
        </w:rPr>
        <w:t>;</w:t>
      </w:r>
    </w:p>
    <w:p w14:paraId="456F6292" w14:textId="2BBB98DD" w:rsidR="005C4554" w:rsidRPr="00AD321B" w:rsidRDefault="001F6A55" w:rsidP="005C4554">
      <w:pPr>
        <w:pStyle w:val="COMParaDecision"/>
        <w:numPr>
          <w:ilvl w:val="0"/>
          <w:numId w:val="19"/>
        </w:numPr>
        <w:ind w:left="1134" w:hanging="567"/>
      </w:pPr>
      <w:r>
        <w:t>E</w:t>
      </w:r>
      <w:r w:rsidR="005C4554" w:rsidRPr="00425769">
        <w:t>ncourages</w:t>
      </w:r>
      <w:r w:rsidR="005C4554" w:rsidRPr="00425769">
        <w:rPr>
          <w:u w:val="none"/>
        </w:rPr>
        <w:t xml:space="preserve"> reporting States to </w:t>
      </w:r>
      <w:r w:rsidR="0039226A">
        <w:rPr>
          <w:u w:val="none"/>
        </w:rPr>
        <w:t>address</w:t>
      </w:r>
      <w:r w:rsidR="005C4554" w:rsidRPr="005C4554">
        <w:rPr>
          <w:u w:val="none"/>
        </w:rPr>
        <w:t xml:space="preserve"> the </w:t>
      </w:r>
      <w:r w:rsidR="0039226A">
        <w:rPr>
          <w:u w:val="none"/>
        </w:rPr>
        <w:t xml:space="preserve">broader environmental and socio-economic </w:t>
      </w:r>
      <w:r w:rsidR="005C4554" w:rsidRPr="005C4554">
        <w:rPr>
          <w:u w:val="none"/>
        </w:rPr>
        <w:t xml:space="preserve">challenges </w:t>
      </w:r>
      <w:r w:rsidR="00E4717C">
        <w:rPr>
          <w:u w:val="none"/>
        </w:rPr>
        <w:t xml:space="preserve">that </w:t>
      </w:r>
      <w:r w:rsidR="00F05EC5">
        <w:rPr>
          <w:u w:val="none"/>
        </w:rPr>
        <w:t xml:space="preserve">may be encountered in the implementation of the safeguarding plans of </w:t>
      </w:r>
      <w:r w:rsidR="00E4717C">
        <w:rPr>
          <w:u w:val="none"/>
        </w:rPr>
        <w:t xml:space="preserve">elements </w:t>
      </w:r>
      <w:r w:rsidR="00F05EC5">
        <w:rPr>
          <w:u w:val="none"/>
        </w:rPr>
        <w:t xml:space="preserve">in their reports </w:t>
      </w:r>
      <w:r w:rsidR="005C4554" w:rsidRPr="00425769">
        <w:rPr>
          <w:u w:val="none"/>
        </w:rPr>
        <w:t xml:space="preserve">and how these </w:t>
      </w:r>
      <w:r w:rsidR="00317099">
        <w:rPr>
          <w:u w:val="none"/>
        </w:rPr>
        <w:t xml:space="preserve">challenges may </w:t>
      </w:r>
      <w:r w:rsidR="005C4554" w:rsidRPr="00425769">
        <w:rPr>
          <w:u w:val="none"/>
        </w:rPr>
        <w:t xml:space="preserve">affect </w:t>
      </w:r>
      <w:r w:rsidR="00BD79A6">
        <w:rPr>
          <w:u w:val="none"/>
        </w:rPr>
        <w:t>the</w:t>
      </w:r>
      <w:r w:rsidR="00E4717C">
        <w:rPr>
          <w:u w:val="none"/>
        </w:rPr>
        <w:t xml:space="preserve"> </w:t>
      </w:r>
      <w:r w:rsidR="005C4554" w:rsidRPr="00425769">
        <w:rPr>
          <w:u w:val="none"/>
        </w:rPr>
        <w:t xml:space="preserve">viability of </w:t>
      </w:r>
      <w:r w:rsidR="00E4717C">
        <w:rPr>
          <w:u w:val="none"/>
        </w:rPr>
        <w:t xml:space="preserve">the </w:t>
      </w:r>
      <w:r w:rsidR="005C4554" w:rsidRPr="00AD321B">
        <w:rPr>
          <w:u w:val="none"/>
        </w:rPr>
        <w:t>inscribed elements;</w:t>
      </w:r>
    </w:p>
    <w:p w14:paraId="0BE2EFAE" w14:textId="5A6937E1" w:rsidR="005C4554" w:rsidRPr="00AD321B" w:rsidRDefault="009B44E3" w:rsidP="00497613">
      <w:pPr>
        <w:pStyle w:val="COMParaDecision"/>
        <w:numPr>
          <w:ilvl w:val="0"/>
          <w:numId w:val="19"/>
        </w:numPr>
        <w:ind w:left="1134" w:hanging="567"/>
        <w:rPr>
          <w:u w:val="none"/>
          <w:lang w:val="en-US"/>
        </w:rPr>
      </w:pPr>
      <w:r w:rsidRPr="00AD321B">
        <w:t>Also</w:t>
      </w:r>
      <w:r w:rsidR="002635E8" w:rsidRPr="00AD321B">
        <w:t xml:space="preserve"> acknowledge</w:t>
      </w:r>
      <w:r w:rsidR="009C18A7" w:rsidRPr="00AD321B">
        <w:t>s</w:t>
      </w:r>
      <w:r w:rsidR="009C18A7" w:rsidRPr="00AD321B">
        <w:rPr>
          <w:u w:val="none"/>
        </w:rPr>
        <w:t xml:space="preserve"> the </w:t>
      </w:r>
      <w:r w:rsidR="009C18A7" w:rsidRPr="00AD321B">
        <w:rPr>
          <w:u w:val="none"/>
          <w:lang w:val="en-US"/>
        </w:rPr>
        <w:t xml:space="preserve">enhanced viability of certain inscribed elements, which </w:t>
      </w:r>
      <w:r w:rsidR="00BD79A6" w:rsidRPr="00AD321B">
        <w:rPr>
          <w:u w:val="none"/>
          <w:lang w:val="en-US"/>
        </w:rPr>
        <w:t xml:space="preserve">have been reported to </w:t>
      </w:r>
      <w:r w:rsidR="00667086" w:rsidRPr="00AD321B">
        <w:rPr>
          <w:u w:val="none"/>
          <w:lang w:val="en-US"/>
        </w:rPr>
        <w:t xml:space="preserve">be </w:t>
      </w:r>
      <w:r w:rsidR="00F05EC5" w:rsidRPr="00AD321B">
        <w:rPr>
          <w:u w:val="none"/>
          <w:lang w:val="en-US"/>
        </w:rPr>
        <w:t xml:space="preserve">no longer </w:t>
      </w:r>
      <w:r w:rsidR="000841EE" w:rsidRPr="00AD321B">
        <w:rPr>
          <w:u w:val="none"/>
          <w:lang w:val="en-US"/>
        </w:rPr>
        <w:t>in need of urgent safeguarding</w:t>
      </w:r>
      <w:r w:rsidR="00127D09" w:rsidRPr="00AD321B">
        <w:rPr>
          <w:u w:val="none"/>
          <w:lang w:val="en-US"/>
        </w:rPr>
        <w:t xml:space="preserve">, </w:t>
      </w:r>
      <w:r w:rsidR="00D5586C" w:rsidRPr="00AD321B">
        <w:rPr>
          <w:lang w:val="en-US"/>
        </w:rPr>
        <w:t>commends</w:t>
      </w:r>
      <w:r w:rsidR="00D5586C" w:rsidRPr="00AD321B">
        <w:rPr>
          <w:u w:val="none"/>
          <w:lang w:val="en-US"/>
        </w:rPr>
        <w:t xml:space="preserve"> those States </w:t>
      </w:r>
      <w:r w:rsidR="00D5586C" w:rsidRPr="00AD321B">
        <w:rPr>
          <w:u w:val="none"/>
          <w:lang w:val="en-US"/>
        </w:rPr>
        <w:lastRenderedPageBreak/>
        <w:t xml:space="preserve">that </w:t>
      </w:r>
      <w:r w:rsidR="00DF56E2" w:rsidRPr="00AD321B">
        <w:rPr>
          <w:u w:val="none"/>
          <w:lang w:val="en-US"/>
        </w:rPr>
        <w:t xml:space="preserve">have undertaken </w:t>
      </w:r>
      <w:r w:rsidR="00D5586C" w:rsidRPr="00AD321B">
        <w:rPr>
          <w:u w:val="none"/>
          <w:lang w:val="en-US"/>
        </w:rPr>
        <w:t xml:space="preserve">safeguarding </w:t>
      </w:r>
      <w:r w:rsidR="00DF56E2" w:rsidRPr="00AD321B">
        <w:rPr>
          <w:u w:val="none"/>
          <w:lang w:val="en-US"/>
        </w:rPr>
        <w:t xml:space="preserve">measures to ensure </w:t>
      </w:r>
      <w:r w:rsidR="000854DB" w:rsidRPr="00AD321B">
        <w:rPr>
          <w:u w:val="none"/>
          <w:lang w:val="en-US"/>
        </w:rPr>
        <w:t>the</w:t>
      </w:r>
      <w:r w:rsidR="00D5586C" w:rsidRPr="00AD321B">
        <w:rPr>
          <w:u w:val="none"/>
          <w:lang w:val="en-US"/>
        </w:rPr>
        <w:t>ir</w:t>
      </w:r>
      <w:r w:rsidR="000854DB" w:rsidRPr="00AD321B">
        <w:rPr>
          <w:u w:val="none"/>
          <w:lang w:val="en-US"/>
        </w:rPr>
        <w:t xml:space="preserve"> viability, however</w:t>
      </w:r>
      <w:r w:rsidR="00127D09" w:rsidRPr="00AD321B">
        <w:rPr>
          <w:u w:val="none"/>
          <w:lang w:val="en-US"/>
        </w:rPr>
        <w:t xml:space="preserve"> </w:t>
      </w:r>
      <w:r w:rsidR="00086D27" w:rsidRPr="00AD321B">
        <w:rPr>
          <w:lang w:val="en-US"/>
        </w:rPr>
        <w:t>recalls</w:t>
      </w:r>
      <w:r w:rsidR="00086D27" w:rsidRPr="00AD321B">
        <w:rPr>
          <w:u w:val="none"/>
          <w:lang w:val="en-US"/>
        </w:rPr>
        <w:t xml:space="preserve"> </w:t>
      </w:r>
      <w:hyperlink r:id="rId31" w:history="1">
        <w:r w:rsidR="00BD5DD7" w:rsidRPr="00AD321B">
          <w:rPr>
            <w:rStyle w:val="Lienhypertexte"/>
            <w:rFonts w:eastAsia="Times New Roman"/>
            <w:bCs/>
            <w:lang w:eastAsia="en-GB"/>
          </w:rPr>
          <w:t>Decision 12.COM 14</w:t>
        </w:r>
      </w:hyperlink>
      <w:r w:rsidR="00BD5DD7" w:rsidRPr="00AD321B">
        <w:rPr>
          <w:rStyle w:val="Lienhypertexte"/>
          <w:bCs/>
          <w:u w:val="none"/>
          <w:lang w:eastAsia="en-GB"/>
        </w:rPr>
        <w:t xml:space="preserve"> </w:t>
      </w:r>
      <w:r w:rsidR="00086D27" w:rsidRPr="00AD321B">
        <w:rPr>
          <w:u w:val="none"/>
          <w:lang w:val="en-US"/>
        </w:rPr>
        <w:t>to th</w:t>
      </w:r>
      <w:r w:rsidR="0069019D" w:rsidRPr="00AD321B">
        <w:rPr>
          <w:u w:val="none"/>
          <w:lang w:val="en-US"/>
        </w:rPr>
        <w:t>ose</w:t>
      </w:r>
      <w:r w:rsidR="00086D27" w:rsidRPr="00AD321B">
        <w:rPr>
          <w:u w:val="none"/>
          <w:lang w:val="en-US"/>
        </w:rPr>
        <w:t xml:space="preserve"> States that expressed their </w:t>
      </w:r>
      <w:r w:rsidR="0069019D" w:rsidRPr="00AD321B">
        <w:rPr>
          <w:u w:val="none"/>
          <w:lang w:val="en-US"/>
        </w:rPr>
        <w:t xml:space="preserve">desire </w:t>
      </w:r>
      <w:r w:rsidR="00127D09" w:rsidRPr="00AD321B">
        <w:rPr>
          <w:u w:val="none"/>
          <w:lang w:val="en-US"/>
        </w:rPr>
        <w:t>to</w:t>
      </w:r>
      <w:r w:rsidR="00086D27" w:rsidRPr="00AD321B">
        <w:rPr>
          <w:u w:val="none"/>
          <w:lang w:val="en-US"/>
        </w:rPr>
        <w:t xml:space="preserve"> transfer elements from the </w:t>
      </w:r>
      <w:r w:rsidR="00E36EC7" w:rsidRPr="00AD321B">
        <w:rPr>
          <w:u w:val="none"/>
          <w:lang w:val="en-US"/>
        </w:rPr>
        <w:t xml:space="preserve">List of Intangible Cultural Heritage in Need of </w:t>
      </w:r>
      <w:r w:rsidR="00086D27" w:rsidRPr="00AD321B">
        <w:rPr>
          <w:u w:val="none"/>
          <w:lang w:val="en-US"/>
        </w:rPr>
        <w:t>Urgent Safeguarding to the Representative List</w:t>
      </w:r>
      <w:r w:rsidR="00E36EC7" w:rsidRPr="00AD321B">
        <w:rPr>
          <w:u w:val="none"/>
          <w:lang w:val="en-US"/>
        </w:rPr>
        <w:t xml:space="preserve"> of the Intangible Cultural Heritage of Humanity</w:t>
      </w:r>
      <w:r w:rsidR="001B553E" w:rsidRPr="00AD321B">
        <w:rPr>
          <w:u w:val="none"/>
          <w:lang w:val="en-US"/>
        </w:rPr>
        <w:t>, which invites States Parties to refrai</w:t>
      </w:r>
      <w:r w:rsidR="00497613" w:rsidRPr="00AD321B">
        <w:rPr>
          <w:u w:val="none"/>
          <w:lang w:val="en-US"/>
        </w:rPr>
        <w:t xml:space="preserve">n from submitting requests for </w:t>
      </w:r>
      <w:r w:rsidR="00E36EC7" w:rsidRPr="00AD321B">
        <w:rPr>
          <w:u w:val="none"/>
          <w:lang w:val="en-US"/>
        </w:rPr>
        <w:t xml:space="preserve">such a </w:t>
      </w:r>
      <w:r w:rsidR="001B553E" w:rsidRPr="00AD321B">
        <w:rPr>
          <w:u w:val="none"/>
          <w:lang w:val="en-US"/>
        </w:rPr>
        <w:t>transfer</w:t>
      </w:r>
      <w:r w:rsidR="00086D27" w:rsidRPr="00AD321B">
        <w:rPr>
          <w:u w:val="none"/>
          <w:lang w:val="en-US"/>
        </w:rPr>
        <w:t xml:space="preserve"> </w:t>
      </w:r>
      <w:r w:rsidR="00A94A82" w:rsidRPr="00AD321B">
        <w:rPr>
          <w:u w:val="none"/>
          <w:lang w:val="en-US"/>
        </w:rPr>
        <w:t>until clear procedures have been created;</w:t>
      </w:r>
    </w:p>
    <w:p w14:paraId="1E39A3CA" w14:textId="2408F797" w:rsidR="00C015E4" w:rsidRDefault="0046364A" w:rsidP="00BD550F">
      <w:pPr>
        <w:pStyle w:val="COMParaDecision"/>
        <w:numPr>
          <w:ilvl w:val="0"/>
          <w:numId w:val="19"/>
        </w:numPr>
        <w:ind w:left="1134" w:hanging="567"/>
        <w:rPr>
          <w:u w:val="none"/>
        </w:rPr>
      </w:pPr>
      <w:r w:rsidRPr="00001544">
        <w:t>Decides</w:t>
      </w:r>
      <w:r w:rsidRPr="00160F16">
        <w:rPr>
          <w:u w:val="none"/>
        </w:rPr>
        <w:t xml:space="preserve"> to submit to the General Assembly </w:t>
      </w:r>
      <w:r w:rsidR="002E51B4" w:rsidRPr="00160F16">
        <w:rPr>
          <w:u w:val="none"/>
        </w:rPr>
        <w:t xml:space="preserve">at its ninth session </w:t>
      </w:r>
      <w:r w:rsidRPr="00160F16">
        <w:rPr>
          <w:u w:val="none"/>
        </w:rPr>
        <w:t xml:space="preserve">a summary of the reports of States Parties on the current status of elements inscribed on the List of Intangible Cultural Heritage in Need of Urgent Safeguarding examined </w:t>
      </w:r>
      <w:r w:rsidR="003D4172" w:rsidRPr="00160F16">
        <w:rPr>
          <w:u w:val="none"/>
        </w:rPr>
        <w:t xml:space="preserve">during </w:t>
      </w:r>
      <w:r w:rsidRPr="00160F16">
        <w:rPr>
          <w:u w:val="none"/>
        </w:rPr>
        <w:t>the current session.</w:t>
      </w:r>
    </w:p>
    <w:p w14:paraId="070F1AA6" w14:textId="697E0E05" w:rsidR="00A0076D" w:rsidRDefault="00A0076D">
      <w:pPr>
        <w:rPr>
          <w:rFonts w:ascii="Arial" w:eastAsia="SimSun" w:hAnsi="Arial" w:cs="Arial"/>
          <w:sz w:val="22"/>
          <w:szCs w:val="22"/>
          <w:lang w:val="en-GB"/>
        </w:rPr>
      </w:pPr>
      <w:r w:rsidRPr="00165D09">
        <w:rPr>
          <w:lang w:val="en-US"/>
        </w:rPr>
        <w:br w:type="page"/>
      </w:r>
    </w:p>
    <w:p w14:paraId="3BB15D40" w14:textId="6F3D0B7E" w:rsidR="00A0076D" w:rsidRPr="00165D09" w:rsidRDefault="003F6662" w:rsidP="00165D09">
      <w:pPr>
        <w:pStyle w:val="Paragraphedeliste"/>
        <w:numPr>
          <w:ilvl w:val="0"/>
          <w:numId w:val="13"/>
        </w:numPr>
        <w:spacing w:before="240" w:after="240"/>
        <w:ind w:left="567" w:hanging="567"/>
        <w:contextualSpacing w:val="0"/>
        <w:rPr>
          <w:rFonts w:ascii="Arial" w:hAnsi="Arial" w:cs="Arial"/>
          <w:b/>
          <w:sz w:val="22"/>
          <w:szCs w:val="22"/>
          <w:lang w:val="en-US"/>
        </w:rPr>
      </w:pPr>
      <w:r w:rsidRPr="00DA5AE8">
        <w:rPr>
          <w:rFonts w:ascii="Arial" w:hAnsi="Arial" w:cs="Arial"/>
          <w:b/>
          <w:sz w:val="22"/>
          <w:szCs w:val="22"/>
          <w:lang w:val="en-GB"/>
        </w:rPr>
        <w:lastRenderedPageBreak/>
        <w:t>Assessments of the reports and draft decisions</w:t>
      </w:r>
    </w:p>
    <w:p w14:paraId="4BA59A9D" w14:textId="4FDCE525" w:rsidR="00570A70" w:rsidRPr="00205A06" w:rsidRDefault="00570A70" w:rsidP="00B426E1">
      <w:pPr>
        <w:pStyle w:val="COMTitleDecision"/>
        <w:spacing w:before="0"/>
        <w:jc w:val="left"/>
      </w:pPr>
      <w:r w:rsidRPr="00205A06">
        <w:rPr>
          <w:bCs/>
        </w:rPr>
        <w:t>Brazil:</w:t>
      </w:r>
      <w:r w:rsidRPr="00205A06">
        <w:t xml:space="preserve"> ‘Yaokwa, the Enawene Nawe people's ritual for the maintenance of social and cosmic order’</w:t>
      </w:r>
      <w:r w:rsidRPr="00205A06">
        <w:rPr>
          <w:bCs/>
          <w:i/>
          <w:iCs/>
        </w:rPr>
        <w:t xml:space="preserve"> </w:t>
      </w:r>
      <w:r w:rsidRPr="00205A06">
        <w:rPr>
          <w:b w:val="0"/>
          <w:bCs/>
          <w:i/>
          <w:iCs/>
        </w:rPr>
        <w:t xml:space="preserve">(consult the </w:t>
      </w:r>
      <w:hyperlink r:id="rId32" w:history="1">
        <w:r w:rsidRPr="00591263">
          <w:rPr>
            <w:rStyle w:val="Lienhypertexte"/>
            <w:b w:val="0"/>
            <w:bCs/>
            <w:i/>
            <w:iCs/>
          </w:rPr>
          <w:t>report</w:t>
        </w:r>
      </w:hyperlink>
      <w:r w:rsidRPr="00205A06">
        <w:rPr>
          <w:b w:val="0"/>
          <w:bCs/>
          <w:i/>
          <w:iCs/>
        </w:rPr>
        <w:t>)</w:t>
      </w:r>
    </w:p>
    <w:p w14:paraId="2B29508E" w14:textId="11919AD1" w:rsidR="00570A70" w:rsidRPr="00205A06" w:rsidRDefault="00570A70" w:rsidP="00570A70">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lang w:val="en-GB"/>
        </w:rPr>
        <w:t>The Yaokwa ritual is the longest of four ceremonial phases of the cosmic and socio-ecological cycle of the Enawene Nawe indigenous people. There are various roles in the community regarding the ritual, as masters and singers (sotakatare) and shamans (sotayliti)</w:t>
      </w:r>
      <w:r w:rsidR="00BC064A">
        <w:rPr>
          <w:rFonts w:cs="Arial"/>
          <w:lang w:val="en-GB"/>
        </w:rPr>
        <w:t>,</w:t>
      </w:r>
      <w:r w:rsidRPr="00205A06">
        <w:rPr>
          <w:rFonts w:cs="Arial"/>
          <w:lang w:val="en-GB"/>
        </w:rPr>
        <w:t xml:space="preserve"> and the ritual depends on a vast and diverse musical repertoire. The village of the Enawene Nawe indigenous people, Halataikwa, is located in the basin of the Juruena river, </w:t>
      </w:r>
      <w:r w:rsidR="00A11619">
        <w:rPr>
          <w:rFonts w:cs="Arial"/>
          <w:lang w:val="en-GB"/>
        </w:rPr>
        <w:t xml:space="preserve">the </w:t>
      </w:r>
      <w:r>
        <w:rPr>
          <w:rFonts w:cs="Arial"/>
          <w:lang w:val="en-GB"/>
        </w:rPr>
        <w:t xml:space="preserve">southern Amazon rainforest, </w:t>
      </w:r>
      <w:r w:rsidRPr="00205A06">
        <w:rPr>
          <w:rFonts w:cs="Arial"/>
          <w:lang w:val="en-GB"/>
        </w:rPr>
        <w:t>and the ritual is closely linked to fishing practices, which are important to the community for the communication between humans and spirits.</w:t>
      </w:r>
    </w:p>
    <w:p w14:paraId="6B04110E" w14:textId="19ED02DE" w:rsidR="00570A70" w:rsidRPr="00205A06" w:rsidRDefault="00570A70" w:rsidP="00570A70">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At the time of inscription in 2011</w:t>
      </w:r>
      <w:r>
        <w:rPr>
          <w:rFonts w:cs="Arial"/>
          <w:bCs/>
          <w:szCs w:val="22"/>
          <w:lang w:val="en-GB"/>
        </w:rPr>
        <w:t xml:space="preserve"> (</w:t>
      </w:r>
      <w:hyperlink r:id="rId33" w:history="1">
        <w:r w:rsidRPr="002D1C53">
          <w:rPr>
            <w:rStyle w:val="Lienhypertexte"/>
            <w:rFonts w:cs="Arial"/>
            <w:bCs/>
            <w:szCs w:val="22"/>
            <w:lang w:val="en-GB"/>
          </w:rPr>
          <w:t xml:space="preserve">Decision </w:t>
        </w:r>
        <w:r w:rsidRPr="002D1C53">
          <w:rPr>
            <w:rStyle w:val="Lienhypertexte"/>
            <w:rFonts w:cs="Arial"/>
            <w:szCs w:val="22"/>
            <w:lang w:val="en-GB"/>
          </w:rPr>
          <w:t>6.COM 8.3</w:t>
        </w:r>
      </w:hyperlink>
      <w:r>
        <w:rPr>
          <w:rFonts w:cs="Arial"/>
          <w:bCs/>
          <w:szCs w:val="22"/>
          <w:lang w:val="en-GB"/>
        </w:rPr>
        <w:t>)</w:t>
      </w:r>
      <w:r w:rsidRPr="00205A06">
        <w:rPr>
          <w:rFonts w:cs="Arial"/>
          <w:bCs/>
          <w:szCs w:val="22"/>
          <w:lang w:val="en-GB"/>
        </w:rPr>
        <w:t xml:space="preserve">, the Committee requested an extraordinary reporting on </w:t>
      </w:r>
      <w:r w:rsidR="00BC064A">
        <w:rPr>
          <w:rFonts w:cs="Arial"/>
          <w:bCs/>
          <w:szCs w:val="22"/>
          <w:lang w:val="en-GB"/>
        </w:rPr>
        <w:t xml:space="preserve">the </w:t>
      </w:r>
      <w:r w:rsidRPr="00205A06">
        <w:rPr>
          <w:rFonts w:cs="Arial"/>
          <w:bCs/>
          <w:szCs w:val="22"/>
          <w:lang w:val="en-GB"/>
        </w:rPr>
        <w:t>safeguarding measures taken. Upon examining the first extraordinary report</w:t>
      </w:r>
      <w:r w:rsidRPr="00687DFA">
        <w:rPr>
          <w:rFonts w:cs="Arial"/>
          <w:bCs/>
          <w:szCs w:val="22"/>
          <w:lang w:val="en-GB"/>
        </w:rPr>
        <w:t xml:space="preserve"> </w:t>
      </w:r>
      <w:r w:rsidRPr="00205A06">
        <w:rPr>
          <w:rFonts w:cs="Arial"/>
          <w:bCs/>
          <w:szCs w:val="22"/>
          <w:lang w:val="en-GB"/>
        </w:rPr>
        <w:t>in 2013</w:t>
      </w:r>
      <w:r>
        <w:rPr>
          <w:rFonts w:cs="Arial"/>
          <w:bCs/>
          <w:szCs w:val="22"/>
          <w:lang w:val="en-GB"/>
        </w:rPr>
        <w:t xml:space="preserve"> (</w:t>
      </w:r>
      <w:hyperlink r:id="rId34" w:history="1">
        <w:r w:rsidRPr="00BA1ED4">
          <w:rPr>
            <w:rStyle w:val="Lienhypertexte"/>
            <w:rFonts w:cs="Arial"/>
            <w:bCs/>
            <w:szCs w:val="22"/>
            <w:lang w:val="en-GB"/>
          </w:rPr>
          <w:t xml:space="preserve">Decision </w:t>
        </w:r>
        <w:r w:rsidRPr="00BA1ED4">
          <w:rPr>
            <w:rStyle w:val="Lienhypertexte"/>
            <w:rFonts w:cs="Arial"/>
            <w:szCs w:val="22"/>
            <w:lang w:val="en-GB"/>
          </w:rPr>
          <w:t>8.COM 6.b</w:t>
        </w:r>
      </w:hyperlink>
      <w:r>
        <w:rPr>
          <w:rFonts w:cs="Arial"/>
          <w:bCs/>
          <w:szCs w:val="22"/>
          <w:lang w:val="en-GB"/>
        </w:rPr>
        <w:t>)</w:t>
      </w:r>
      <w:r w:rsidRPr="00205A06">
        <w:rPr>
          <w:rFonts w:cs="Arial"/>
          <w:bCs/>
          <w:szCs w:val="22"/>
          <w:lang w:val="en-GB"/>
        </w:rPr>
        <w:t>, it decided that the next report would follow the normal four-year cycle. The second report was examined by the Committee in 2018</w:t>
      </w:r>
      <w:r>
        <w:rPr>
          <w:rFonts w:cs="Arial"/>
          <w:bCs/>
          <w:szCs w:val="22"/>
          <w:lang w:val="en-GB"/>
        </w:rPr>
        <w:t xml:space="preserve"> (</w:t>
      </w:r>
      <w:hyperlink r:id="rId35" w:history="1">
        <w:r w:rsidRPr="007D41C3">
          <w:rPr>
            <w:rStyle w:val="Lienhypertexte"/>
            <w:rFonts w:cs="Arial"/>
            <w:bCs/>
            <w:szCs w:val="22"/>
            <w:lang w:val="en-GB"/>
          </w:rPr>
          <w:t xml:space="preserve">Decision </w:t>
        </w:r>
        <w:r w:rsidRPr="007D41C3">
          <w:rPr>
            <w:rStyle w:val="Lienhypertexte"/>
            <w:rFonts w:cs="Arial"/>
            <w:szCs w:val="22"/>
            <w:lang w:val="en-GB"/>
          </w:rPr>
          <w:t>13.COM 7.b.3</w:t>
        </w:r>
      </w:hyperlink>
      <w:r>
        <w:rPr>
          <w:rFonts w:cs="Arial"/>
          <w:bCs/>
          <w:szCs w:val="22"/>
          <w:lang w:val="en-GB"/>
        </w:rPr>
        <w:t>)</w:t>
      </w:r>
      <w:r w:rsidRPr="00205A06">
        <w:rPr>
          <w:rFonts w:cs="Arial"/>
          <w:bCs/>
          <w:szCs w:val="22"/>
          <w:lang w:val="en-GB"/>
        </w:rPr>
        <w:t xml:space="preserve">, and this is the third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160F2C24" w14:textId="3493C84E" w:rsidR="00570A70" w:rsidRPr="00205A06" w:rsidRDefault="00570A70" w:rsidP="00570A7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w:t>
      </w:r>
      <w:r w:rsidR="00BC064A">
        <w:rPr>
          <w:bCs/>
          <w:lang w:val="en-GB"/>
        </w:rPr>
        <w:t>The s</w:t>
      </w:r>
      <w:r w:rsidR="00BC064A" w:rsidRPr="00205A06">
        <w:rPr>
          <w:bCs/>
          <w:lang w:val="en-GB"/>
        </w:rPr>
        <w:t xml:space="preserve">afeguarding </w:t>
      </w:r>
      <w:r w:rsidRPr="00205A06">
        <w:rPr>
          <w:bCs/>
          <w:lang w:val="en-GB"/>
        </w:rPr>
        <w:t xml:space="preserve">activities were concentrated on participatory documentation and education, with the objective </w:t>
      </w:r>
      <w:r w:rsidR="0030182B">
        <w:rPr>
          <w:bCs/>
          <w:lang w:val="en-GB"/>
        </w:rPr>
        <w:t>of</w:t>
      </w:r>
      <w:r w:rsidRPr="00205A06">
        <w:rPr>
          <w:bCs/>
          <w:lang w:val="en-GB"/>
        </w:rPr>
        <w:t xml:space="preserve"> foster</w:t>
      </w:r>
      <w:r w:rsidR="0030182B">
        <w:rPr>
          <w:bCs/>
          <w:lang w:val="en-GB"/>
        </w:rPr>
        <w:t>ing</w:t>
      </w:r>
      <w:r w:rsidRPr="00205A06">
        <w:rPr>
          <w:bCs/>
          <w:lang w:val="en-GB"/>
        </w:rPr>
        <w:t xml:space="preserve"> broader public awareness and respect for the ways of life of indigenous peoples</w:t>
      </w:r>
      <w:r>
        <w:rPr>
          <w:bCs/>
          <w:lang w:val="en-GB"/>
        </w:rPr>
        <w:t>, as well as interethnic exchange among different indigenous peoples</w:t>
      </w:r>
      <w:r w:rsidRPr="00205A06">
        <w:rPr>
          <w:bCs/>
          <w:lang w:val="en-GB"/>
        </w:rPr>
        <w:t xml:space="preserve">. </w:t>
      </w:r>
      <w:r>
        <w:rPr>
          <w:bCs/>
          <w:lang w:val="en-GB"/>
        </w:rPr>
        <w:t>During the reporting period, f</w:t>
      </w:r>
      <w:r w:rsidRPr="00205A06">
        <w:rPr>
          <w:bCs/>
          <w:lang w:val="en-GB"/>
        </w:rPr>
        <w:t xml:space="preserve">inancial assistance was </w:t>
      </w:r>
      <w:r>
        <w:rPr>
          <w:bCs/>
          <w:lang w:val="en-GB"/>
        </w:rPr>
        <w:t xml:space="preserve">only </w:t>
      </w:r>
      <w:r w:rsidRPr="00205A06">
        <w:rPr>
          <w:bCs/>
          <w:lang w:val="en-GB"/>
        </w:rPr>
        <w:t>provided from the National Institute of Historic and Artistic Heritage (</w:t>
      </w:r>
      <w:r w:rsidRPr="00160F16">
        <w:rPr>
          <w:bCs/>
          <w:lang w:val="en-GB"/>
        </w:rPr>
        <w:t>IPHAN</w:t>
      </w:r>
      <w:r w:rsidRPr="00205A06">
        <w:rPr>
          <w:bCs/>
          <w:lang w:val="en-GB"/>
        </w:rPr>
        <w:t>)</w:t>
      </w:r>
      <w:r w:rsidRPr="00205A06">
        <w:rPr>
          <w:lang w:val="en-GB"/>
        </w:rPr>
        <w:t>, and</w:t>
      </w:r>
      <w:r>
        <w:rPr>
          <w:lang w:val="en-GB"/>
        </w:rPr>
        <w:t xml:space="preserve"> </w:t>
      </w:r>
      <w:r w:rsidRPr="00205A06">
        <w:rPr>
          <w:lang w:val="en-GB"/>
        </w:rPr>
        <w:t xml:space="preserve">a civil servant position in the </w:t>
      </w:r>
      <w:r>
        <w:rPr>
          <w:lang w:val="en-GB"/>
        </w:rPr>
        <w:t xml:space="preserve">city of </w:t>
      </w:r>
      <w:r w:rsidRPr="00205A06">
        <w:rPr>
          <w:bCs/>
          <w:lang w:val="en-GB"/>
        </w:rPr>
        <w:t>Cuiab</w:t>
      </w:r>
      <w:r>
        <w:rPr>
          <w:bCs/>
          <w:lang w:val="en-GB"/>
        </w:rPr>
        <w:t>á</w:t>
      </w:r>
      <w:r>
        <w:rPr>
          <w:lang w:val="en-GB"/>
        </w:rPr>
        <w:t xml:space="preserve">, </w:t>
      </w:r>
      <w:r w:rsidR="0030182B">
        <w:rPr>
          <w:lang w:val="en-GB"/>
        </w:rPr>
        <w:t xml:space="preserve">the </w:t>
      </w:r>
      <w:r>
        <w:rPr>
          <w:lang w:val="en-GB"/>
        </w:rPr>
        <w:t xml:space="preserve">capital of the </w:t>
      </w:r>
      <w:r w:rsidRPr="00205A06">
        <w:rPr>
          <w:lang w:val="en-GB"/>
        </w:rPr>
        <w:t>state of Mato Grosso</w:t>
      </w:r>
      <w:r w:rsidR="0030182B">
        <w:rPr>
          <w:lang w:val="en-GB"/>
        </w:rPr>
        <w:t>,</w:t>
      </w:r>
      <w:r w:rsidRPr="00205A06">
        <w:rPr>
          <w:bCs/>
          <w:lang w:val="en-GB"/>
        </w:rPr>
        <w:t xml:space="preserve"> </w:t>
      </w:r>
      <w:r w:rsidRPr="00205A06">
        <w:rPr>
          <w:lang w:val="en-GB"/>
        </w:rPr>
        <w:t>was established to work with intangible cultural heritage</w:t>
      </w:r>
      <w:r>
        <w:rPr>
          <w:lang w:val="en-GB"/>
        </w:rPr>
        <w:t xml:space="preserve">. </w:t>
      </w:r>
      <w:r w:rsidR="00796936">
        <w:rPr>
          <w:lang w:val="en-GB"/>
        </w:rPr>
        <w:t>This</w:t>
      </w:r>
      <w:r w:rsidR="0030182B">
        <w:rPr>
          <w:lang w:val="en-GB"/>
        </w:rPr>
        <w:t xml:space="preserve"> </w:t>
      </w:r>
      <w:r>
        <w:rPr>
          <w:lang w:val="en-GB"/>
        </w:rPr>
        <w:t>was</w:t>
      </w:r>
      <w:r w:rsidR="0030182B">
        <w:rPr>
          <w:lang w:val="en-GB"/>
        </w:rPr>
        <w:t>, however,</w:t>
      </w:r>
      <w:r>
        <w:rPr>
          <w:lang w:val="en-GB"/>
        </w:rPr>
        <w:t xml:space="preserve"> </w:t>
      </w:r>
      <w:r w:rsidRPr="00205A06">
        <w:rPr>
          <w:lang w:val="en-GB"/>
        </w:rPr>
        <w:t xml:space="preserve">deemed to be </w:t>
      </w:r>
      <w:r>
        <w:rPr>
          <w:lang w:val="en-GB"/>
        </w:rPr>
        <w:t xml:space="preserve">largely </w:t>
      </w:r>
      <w:r w:rsidRPr="00205A06">
        <w:rPr>
          <w:lang w:val="en-GB"/>
        </w:rPr>
        <w:t xml:space="preserve">insufficient to </w:t>
      </w:r>
      <w:r>
        <w:rPr>
          <w:lang w:val="en-GB"/>
        </w:rPr>
        <w:t xml:space="preserve">meet </w:t>
      </w:r>
      <w:r w:rsidRPr="00205A06">
        <w:rPr>
          <w:lang w:val="en-GB"/>
        </w:rPr>
        <w:t>the safeguarding needs</w:t>
      </w:r>
      <w:r>
        <w:rPr>
          <w:lang w:val="en-GB"/>
        </w:rPr>
        <w:t xml:space="preserve">, given the remoteness of </w:t>
      </w:r>
      <w:r w:rsidRPr="00205A06">
        <w:rPr>
          <w:bCs/>
          <w:lang w:val="en-GB"/>
        </w:rPr>
        <w:t>the Enawene Nawe territory</w:t>
      </w:r>
      <w:r w:rsidRPr="00205A06">
        <w:rPr>
          <w:lang w:val="en-GB"/>
        </w:rPr>
        <w:t xml:space="preserve">. </w:t>
      </w:r>
      <w:r w:rsidR="0030182B">
        <w:rPr>
          <w:bCs/>
          <w:lang w:val="en-GB"/>
        </w:rPr>
        <w:t>Altogether, t</w:t>
      </w:r>
      <w:r w:rsidR="0030182B" w:rsidRPr="00205A06">
        <w:rPr>
          <w:bCs/>
          <w:lang w:val="en-GB"/>
        </w:rPr>
        <w:t xml:space="preserve">he </w:t>
      </w:r>
      <w:r w:rsidRPr="00205A06">
        <w:rPr>
          <w:bCs/>
          <w:lang w:val="en-GB"/>
        </w:rPr>
        <w:t xml:space="preserve">inscription of the element has not </w:t>
      </w:r>
      <w:r>
        <w:rPr>
          <w:bCs/>
          <w:lang w:val="en-GB"/>
        </w:rPr>
        <w:t>ensured</w:t>
      </w:r>
      <w:r w:rsidRPr="00205A06">
        <w:rPr>
          <w:bCs/>
          <w:lang w:val="en-GB"/>
        </w:rPr>
        <w:t xml:space="preserve"> </w:t>
      </w:r>
      <w:r w:rsidR="0030182B">
        <w:rPr>
          <w:bCs/>
          <w:lang w:val="en-GB"/>
        </w:rPr>
        <w:t>that</w:t>
      </w:r>
      <w:r w:rsidRPr="00205A06">
        <w:rPr>
          <w:bCs/>
          <w:lang w:val="en-GB"/>
        </w:rPr>
        <w:t xml:space="preserve"> the government of Brazil </w:t>
      </w:r>
      <w:r w:rsidR="0030182B">
        <w:rPr>
          <w:bCs/>
          <w:lang w:val="en-GB"/>
        </w:rPr>
        <w:t>has given</w:t>
      </w:r>
      <w:r w:rsidRPr="00205A06">
        <w:rPr>
          <w:bCs/>
          <w:lang w:val="en-GB"/>
        </w:rPr>
        <w:t xml:space="preserve"> </w:t>
      </w:r>
      <w:r w:rsidR="0030182B">
        <w:rPr>
          <w:bCs/>
          <w:lang w:val="en-GB"/>
        </w:rPr>
        <w:t xml:space="preserve">due </w:t>
      </w:r>
      <w:r w:rsidRPr="00205A06">
        <w:rPr>
          <w:bCs/>
          <w:lang w:val="en-GB"/>
        </w:rPr>
        <w:t xml:space="preserve">priority to the safeguarding of the element. </w:t>
      </w:r>
      <w:r>
        <w:rPr>
          <w:bCs/>
          <w:lang w:val="en-GB"/>
        </w:rPr>
        <w:t>While</w:t>
      </w:r>
      <w:r w:rsidRPr="00205A06">
        <w:rPr>
          <w:bCs/>
          <w:lang w:val="en-GB"/>
        </w:rPr>
        <w:t xml:space="preserve"> the implemented activities have contributed to </w:t>
      </w:r>
      <w:r>
        <w:rPr>
          <w:bCs/>
          <w:lang w:val="en-GB"/>
        </w:rPr>
        <w:t xml:space="preserve">improving </w:t>
      </w:r>
      <w:r w:rsidRPr="00205A06">
        <w:rPr>
          <w:bCs/>
          <w:lang w:val="en-GB"/>
        </w:rPr>
        <w:t>reflexivity and decision</w:t>
      </w:r>
      <w:r w:rsidR="0030182B">
        <w:rPr>
          <w:bCs/>
          <w:lang w:val="en-GB"/>
        </w:rPr>
        <w:t>-</w:t>
      </w:r>
      <w:r w:rsidRPr="00205A06">
        <w:rPr>
          <w:bCs/>
          <w:lang w:val="en-GB"/>
        </w:rPr>
        <w:t>making</w:t>
      </w:r>
      <w:r>
        <w:rPr>
          <w:bCs/>
          <w:lang w:val="en-GB"/>
        </w:rPr>
        <w:t xml:space="preserve"> </w:t>
      </w:r>
      <w:r w:rsidRPr="00205A06">
        <w:rPr>
          <w:bCs/>
          <w:lang w:val="en-GB"/>
        </w:rPr>
        <w:t>in the community</w:t>
      </w:r>
      <w:r>
        <w:rPr>
          <w:bCs/>
          <w:lang w:val="en-GB"/>
        </w:rPr>
        <w:t xml:space="preserve"> as well as</w:t>
      </w:r>
      <w:r w:rsidRPr="00205A06">
        <w:rPr>
          <w:bCs/>
          <w:lang w:val="en-GB"/>
        </w:rPr>
        <w:t xml:space="preserve"> advanc</w:t>
      </w:r>
      <w:r>
        <w:rPr>
          <w:bCs/>
          <w:lang w:val="en-GB"/>
        </w:rPr>
        <w:t xml:space="preserve">ing its members’ </w:t>
      </w:r>
      <w:r w:rsidRPr="00205A06">
        <w:rPr>
          <w:bCs/>
          <w:lang w:val="en-GB"/>
        </w:rPr>
        <w:t>research competences and project development</w:t>
      </w:r>
      <w:r>
        <w:rPr>
          <w:bCs/>
          <w:lang w:val="en-GB"/>
        </w:rPr>
        <w:t xml:space="preserve"> skills</w:t>
      </w:r>
      <w:r w:rsidRPr="00205A06">
        <w:rPr>
          <w:bCs/>
          <w:lang w:val="en-GB"/>
        </w:rPr>
        <w:t>,</w:t>
      </w:r>
      <w:r>
        <w:rPr>
          <w:bCs/>
          <w:lang w:val="en-GB"/>
        </w:rPr>
        <w:t xml:space="preserve"> the viability of this complex element, which is intrinsically linked to the Amazonian forest biodiversity, remains at risk</w:t>
      </w:r>
      <w:r w:rsidRPr="00205A06">
        <w:rPr>
          <w:bCs/>
          <w:lang w:val="en-GB"/>
        </w:rPr>
        <w:t>.</w:t>
      </w:r>
    </w:p>
    <w:p w14:paraId="5F1D23D6" w14:textId="24782105" w:rsidR="00570A70" w:rsidRPr="00205A06" w:rsidRDefault="00022C4E" w:rsidP="00570A70">
      <w:pPr>
        <w:pStyle w:val="Marge"/>
        <w:numPr>
          <w:ilvl w:val="0"/>
          <w:numId w:val="9"/>
        </w:numPr>
        <w:tabs>
          <w:tab w:val="clear" w:pos="567"/>
        </w:tabs>
        <w:autoSpaceDE w:val="0"/>
        <w:autoSpaceDN w:val="0"/>
        <w:adjustRightInd w:val="0"/>
        <w:spacing w:after="120"/>
        <w:ind w:left="567" w:hanging="567"/>
        <w:rPr>
          <w:bCs/>
          <w:lang w:val="en-GB"/>
        </w:rPr>
      </w:pPr>
      <w:r>
        <w:rPr>
          <w:lang w:val="en-GB"/>
        </w:rPr>
        <w:t>In its</w:t>
      </w:r>
      <w:r w:rsidR="00570A70" w:rsidRPr="009903A1">
        <w:rPr>
          <w:lang w:val="en-GB"/>
        </w:rPr>
        <w:t xml:space="preserve"> previous decisions</w:t>
      </w:r>
      <w:r w:rsidR="00570A70" w:rsidRPr="00205A06">
        <w:rPr>
          <w:lang w:val="en-GB"/>
        </w:rPr>
        <w:t xml:space="preserve"> </w:t>
      </w:r>
      <w:hyperlink r:id="rId36" w:history="1">
        <w:r w:rsidR="00570A70" w:rsidRPr="00BA1ED4">
          <w:rPr>
            <w:rStyle w:val="Lienhypertexte"/>
            <w:rFonts w:cs="Arial"/>
            <w:szCs w:val="22"/>
            <w:lang w:val="en-GB"/>
          </w:rPr>
          <w:t>8.COM 6.b</w:t>
        </w:r>
      </w:hyperlink>
      <w:r w:rsidR="00570A70" w:rsidRPr="00205A06">
        <w:rPr>
          <w:rFonts w:cs="Arial"/>
          <w:szCs w:val="22"/>
          <w:lang w:val="en-GB"/>
        </w:rPr>
        <w:t xml:space="preserve"> and </w:t>
      </w:r>
      <w:hyperlink r:id="rId37" w:history="1">
        <w:r w:rsidR="00570A70" w:rsidRPr="007D41C3">
          <w:rPr>
            <w:rStyle w:val="Lienhypertexte"/>
            <w:rFonts w:cs="Arial"/>
            <w:szCs w:val="22"/>
            <w:lang w:val="en-GB"/>
          </w:rPr>
          <w:t>13.COM 7.b.3</w:t>
        </w:r>
      </w:hyperlink>
      <w:r w:rsidR="00570A70" w:rsidRPr="00205A06">
        <w:rPr>
          <w:color w:val="0000FF"/>
          <w:lang w:val="en-GB"/>
        </w:rPr>
        <w:t xml:space="preserve"> </w:t>
      </w:r>
      <w:r w:rsidR="00570A70">
        <w:rPr>
          <w:lang w:val="en-GB"/>
        </w:rPr>
        <w:t>concerning the first and second reports</w:t>
      </w:r>
      <w:r w:rsidR="0030182B">
        <w:rPr>
          <w:lang w:val="en-GB"/>
        </w:rPr>
        <w:t xml:space="preserve"> –</w:t>
      </w:r>
      <w:r w:rsidR="00570A70" w:rsidRPr="0094379E">
        <w:rPr>
          <w:lang w:val="en-GB"/>
        </w:rPr>
        <w:t xml:space="preserve"> </w:t>
      </w:r>
      <w:r w:rsidR="00570A70">
        <w:rPr>
          <w:lang w:val="en-GB"/>
        </w:rPr>
        <w:t>examined</w:t>
      </w:r>
      <w:r w:rsidR="0030182B">
        <w:rPr>
          <w:lang w:val="en-GB"/>
        </w:rPr>
        <w:t>, respectively,</w:t>
      </w:r>
      <w:r w:rsidR="00570A70">
        <w:rPr>
          <w:lang w:val="en-GB"/>
        </w:rPr>
        <w:t xml:space="preserve"> in 2013 and 2018</w:t>
      </w:r>
      <w:r w:rsidR="0030182B">
        <w:rPr>
          <w:lang w:val="en-GB"/>
        </w:rPr>
        <w:t xml:space="preserve"> –</w:t>
      </w:r>
      <w:r w:rsidR="00570A70" w:rsidRPr="00205A06">
        <w:rPr>
          <w:lang w:val="en-GB"/>
        </w:rPr>
        <w:t xml:space="preserve"> </w:t>
      </w:r>
      <w:r w:rsidRPr="00205A06">
        <w:rPr>
          <w:lang w:val="en-GB"/>
        </w:rPr>
        <w:t>the Committee</w:t>
      </w:r>
      <w:r w:rsidRPr="00A071DF">
        <w:rPr>
          <w:lang w:val="en-GB"/>
        </w:rPr>
        <w:t xml:space="preserve"> </w:t>
      </w:r>
      <w:r w:rsidR="00570A70" w:rsidRPr="00205A06">
        <w:rPr>
          <w:lang w:val="en-GB"/>
        </w:rPr>
        <w:t xml:space="preserve">encouraged the State Party to pay attention to </w:t>
      </w:r>
      <w:r w:rsidR="0030182B">
        <w:rPr>
          <w:lang w:val="en-GB"/>
        </w:rPr>
        <w:t xml:space="preserve">ensuring </w:t>
      </w:r>
      <w:r w:rsidR="00570A70" w:rsidRPr="00205A06">
        <w:rPr>
          <w:lang w:val="en-GB"/>
        </w:rPr>
        <w:t xml:space="preserve">continuous community participation in </w:t>
      </w:r>
      <w:r w:rsidR="0030182B">
        <w:rPr>
          <w:lang w:val="en-GB"/>
        </w:rPr>
        <w:t>the development</w:t>
      </w:r>
      <w:r w:rsidR="0030182B" w:rsidRPr="00205A06">
        <w:rPr>
          <w:lang w:val="en-GB"/>
        </w:rPr>
        <w:t xml:space="preserve"> </w:t>
      </w:r>
      <w:r w:rsidR="00570A70" w:rsidRPr="00205A06">
        <w:rPr>
          <w:lang w:val="en-GB"/>
        </w:rPr>
        <w:t xml:space="preserve">and </w:t>
      </w:r>
      <w:r w:rsidR="0030182B" w:rsidRPr="00205A06">
        <w:rPr>
          <w:lang w:val="en-GB"/>
        </w:rPr>
        <w:t>implement</w:t>
      </w:r>
      <w:r w:rsidR="0030182B">
        <w:rPr>
          <w:lang w:val="en-GB"/>
        </w:rPr>
        <w:t>ation of the</w:t>
      </w:r>
      <w:r w:rsidR="0030182B" w:rsidRPr="00205A06">
        <w:rPr>
          <w:lang w:val="en-GB"/>
        </w:rPr>
        <w:t xml:space="preserve"> </w:t>
      </w:r>
      <w:r w:rsidR="00570A70" w:rsidRPr="00205A06">
        <w:rPr>
          <w:lang w:val="en-GB"/>
        </w:rPr>
        <w:t>safeguarding measures</w:t>
      </w:r>
      <w:r w:rsidR="00B30CB5">
        <w:rPr>
          <w:lang w:val="en-GB"/>
        </w:rPr>
        <w:t>. In this regard</w:t>
      </w:r>
      <w:r w:rsidR="00570A70" w:rsidRPr="00205A06">
        <w:rPr>
          <w:lang w:val="en-GB"/>
        </w:rPr>
        <w:t xml:space="preserve">, the </w:t>
      </w:r>
      <w:r w:rsidR="00B30CB5">
        <w:rPr>
          <w:lang w:val="en-GB"/>
        </w:rPr>
        <w:t xml:space="preserve">safeguarding </w:t>
      </w:r>
      <w:r w:rsidR="00570A70" w:rsidRPr="00205A06">
        <w:rPr>
          <w:lang w:val="en-GB"/>
        </w:rPr>
        <w:t xml:space="preserve">efforts undertaken encompass </w:t>
      </w:r>
      <w:r w:rsidR="00570A70" w:rsidRPr="00205A06">
        <w:rPr>
          <w:bCs/>
          <w:lang w:val="en-GB"/>
        </w:rPr>
        <w:t>documentation based on partnership</w:t>
      </w:r>
      <w:r w:rsidR="0030182B">
        <w:rPr>
          <w:bCs/>
          <w:lang w:val="en-GB"/>
        </w:rPr>
        <w:t>s</w:t>
      </w:r>
      <w:r w:rsidR="00570A70" w:rsidRPr="00205A06">
        <w:rPr>
          <w:bCs/>
          <w:lang w:val="en-GB"/>
        </w:rPr>
        <w:t xml:space="preserve"> between professional </w:t>
      </w:r>
      <w:r w:rsidR="00570A70">
        <w:rPr>
          <w:bCs/>
          <w:lang w:val="en-GB"/>
        </w:rPr>
        <w:t xml:space="preserve">and community </w:t>
      </w:r>
      <w:r w:rsidR="00570A70" w:rsidRPr="00205A06">
        <w:rPr>
          <w:bCs/>
          <w:lang w:val="en-GB"/>
        </w:rPr>
        <w:t>researchers</w:t>
      </w:r>
      <w:r w:rsidR="00570A70">
        <w:rPr>
          <w:bCs/>
          <w:lang w:val="en-GB"/>
        </w:rPr>
        <w:t xml:space="preserve"> as well as</w:t>
      </w:r>
      <w:r w:rsidR="00570A70" w:rsidRPr="00205A06">
        <w:rPr>
          <w:bCs/>
          <w:lang w:val="en-GB"/>
        </w:rPr>
        <w:t xml:space="preserve"> </w:t>
      </w:r>
      <w:r w:rsidR="00570A70" w:rsidRPr="00205A06">
        <w:rPr>
          <w:rFonts w:cs="Arial"/>
          <w:lang w:val="en-GB"/>
        </w:rPr>
        <w:t>e</w:t>
      </w:r>
      <w:r w:rsidR="00570A70" w:rsidRPr="00205A06">
        <w:rPr>
          <w:bCs/>
          <w:lang w:val="en-GB"/>
        </w:rPr>
        <w:t xml:space="preserve">ducational workshops </w:t>
      </w:r>
      <w:r w:rsidR="00570A70">
        <w:rPr>
          <w:bCs/>
          <w:lang w:val="en-GB"/>
        </w:rPr>
        <w:t xml:space="preserve">organized </w:t>
      </w:r>
      <w:r w:rsidR="00570A70" w:rsidRPr="00205A06">
        <w:rPr>
          <w:bCs/>
          <w:lang w:val="en-GB"/>
        </w:rPr>
        <w:t xml:space="preserve">with </w:t>
      </w:r>
      <w:r w:rsidR="00570A70">
        <w:rPr>
          <w:bCs/>
          <w:lang w:val="en-GB"/>
        </w:rPr>
        <w:t xml:space="preserve">the </w:t>
      </w:r>
      <w:r w:rsidR="00570A70" w:rsidRPr="00205A06">
        <w:rPr>
          <w:bCs/>
          <w:lang w:val="en-GB"/>
        </w:rPr>
        <w:t>participation of community members</w:t>
      </w:r>
      <w:r w:rsidR="00570A70">
        <w:rPr>
          <w:bCs/>
          <w:lang w:val="en-GB"/>
        </w:rPr>
        <w:t xml:space="preserve">. The workshops were addressed to </w:t>
      </w:r>
      <w:r w:rsidR="00570A70" w:rsidRPr="00205A06">
        <w:rPr>
          <w:bCs/>
          <w:lang w:val="en-GB"/>
        </w:rPr>
        <w:t>diverse audiences</w:t>
      </w:r>
      <w:r w:rsidR="00570A70">
        <w:rPr>
          <w:bCs/>
          <w:lang w:val="en-GB"/>
        </w:rPr>
        <w:t xml:space="preserve"> outside the community</w:t>
      </w:r>
      <w:r w:rsidR="0030182B">
        <w:rPr>
          <w:bCs/>
          <w:lang w:val="en-GB"/>
        </w:rPr>
        <w:t xml:space="preserve">, </w:t>
      </w:r>
      <w:r w:rsidR="00570A70" w:rsidRPr="00205A06">
        <w:rPr>
          <w:bCs/>
          <w:lang w:val="en-GB"/>
        </w:rPr>
        <w:t xml:space="preserve">including primary school pupils, the majority of </w:t>
      </w:r>
      <w:r w:rsidR="0030182B" w:rsidRPr="00205A06">
        <w:rPr>
          <w:bCs/>
          <w:lang w:val="en-GB"/>
        </w:rPr>
        <w:t>wh</w:t>
      </w:r>
      <w:r w:rsidR="0030182B">
        <w:rPr>
          <w:bCs/>
          <w:lang w:val="en-GB"/>
        </w:rPr>
        <w:t>om</w:t>
      </w:r>
      <w:r w:rsidR="0030182B" w:rsidRPr="00205A06">
        <w:rPr>
          <w:bCs/>
          <w:lang w:val="en-GB"/>
        </w:rPr>
        <w:t xml:space="preserve"> </w:t>
      </w:r>
      <w:r w:rsidR="0030182B">
        <w:rPr>
          <w:bCs/>
          <w:lang w:val="en-GB"/>
        </w:rPr>
        <w:t>were meeting</w:t>
      </w:r>
      <w:r w:rsidR="00570A70" w:rsidRPr="00205A06">
        <w:rPr>
          <w:bCs/>
          <w:lang w:val="en-GB"/>
        </w:rPr>
        <w:t xml:space="preserve"> indigenous people for the first time. Exchanges among the indigenous peoples of the Mato Grosso </w:t>
      </w:r>
      <w:r w:rsidR="00570A70">
        <w:rPr>
          <w:bCs/>
          <w:lang w:val="en-GB"/>
        </w:rPr>
        <w:t>S</w:t>
      </w:r>
      <w:r w:rsidR="00570A70" w:rsidRPr="00205A06">
        <w:rPr>
          <w:bCs/>
          <w:lang w:val="en-GB"/>
        </w:rPr>
        <w:t xml:space="preserve">tate were also favoured. </w:t>
      </w:r>
      <w:r w:rsidR="00796936">
        <w:rPr>
          <w:bCs/>
          <w:lang w:val="en-GB"/>
        </w:rPr>
        <w:t>The updated safeguarding plan</w:t>
      </w:r>
      <w:r w:rsidR="00570A70">
        <w:rPr>
          <w:bCs/>
          <w:lang w:val="en-GB"/>
        </w:rPr>
        <w:t xml:space="preserve"> is e</w:t>
      </w:r>
      <w:r w:rsidR="00796936">
        <w:rPr>
          <w:bCs/>
          <w:lang w:val="en-GB"/>
        </w:rPr>
        <w:t>xpected</w:t>
      </w:r>
      <w:r w:rsidR="00570A70">
        <w:rPr>
          <w:bCs/>
          <w:lang w:val="en-GB"/>
        </w:rPr>
        <w:t xml:space="preserve"> to continue</w:t>
      </w:r>
      <w:r w:rsidR="00570A70" w:rsidRPr="00205A06">
        <w:rPr>
          <w:bCs/>
          <w:lang w:val="en-GB"/>
        </w:rPr>
        <w:t xml:space="preserve"> </w:t>
      </w:r>
      <w:r w:rsidR="00570A70">
        <w:rPr>
          <w:bCs/>
          <w:lang w:val="en-GB"/>
        </w:rPr>
        <w:t>promoting the element in the future</w:t>
      </w:r>
      <w:r w:rsidR="00570A70" w:rsidRPr="00205A06">
        <w:rPr>
          <w:bCs/>
          <w:lang w:val="en-GB"/>
        </w:rPr>
        <w:t xml:space="preserve">, including through </w:t>
      </w:r>
      <w:r w:rsidR="00570A70">
        <w:rPr>
          <w:bCs/>
          <w:lang w:val="en-GB"/>
        </w:rPr>
        <w:t xml:space="preserve">the </w:t>
      </w:r>
      <w:r w:rsidR="00570A70" w:rsidRPr="00205A06">
        <w:rPr>
          <w:bCs/>
          <w:lang w:val="en-GB"/>
        </w:rPr>
        <w:t>establish</w:t>
      </w:r>
      <w:r w:rsidR="00570A70">
        <w:rPr>
          <w:bCs/>
          <w:lang w:val="en-GB"/>
        </w:rPr>
        <w:t>ment of</w:t>
      </w:r>
      <w:r w:rsidR="00570A70" w:rsidRPr="00205A06">
        <w:rPr>
          <w:bCs/>
          <w:lang w:val="en-GB"/>
        </w:rPr>
        <w:t xml:space="preserve"> a Cultural Reference Centre of Enawene Nawe People in Cuiab</w:t>
      </w:r>
      <w:r w:rsidR="00570A70">
        <w:rPr>
          <w:bCs/>
          <w:lang w:val="en-GB"/>
        </w:rPr>
        <w:t>á</w:t>
      </w:r>
      <w:r w:rsidR="00570A70" w:rsidRPr="00205A06">
        <w:rPr>
          <w:bCs/>
          <w:lang w:val="en-GB"/>
        </w:rPr>
        <w:t>, Mato Grosso.</w:t>
      </w:r>
    </w:p>
    <w:p w14:paraId="7BF4C2DF" w14:textId="2F9777A3" w:rsidR="00570A70" w:rsidRPr="00205A06" w:rsidRDefault="00570A70" w:rsidP="00570A7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w:t>
      </w:r>
      <w:r>
        <w:rPr>
          <w:bCs/>
          <w:lang w:val="en-GB"/>
        </w:rPr>
        <w:t>T</w:t>
      </w:r>
      <w:r w:rsidRPr="00205A06">
        <w:rPr>
          <w:bCs/>
          <w:lang w:val="en-GB"/>
        </w:rPr>
        <w:t xml:space="preserve">he Enawene Nawe people were consulted when </w:t>
      </w:r>
      <w:r w:rsidR="0030182B">
        <w:rPr>
          <w:bCs/>
          <w:lang w:val="en-GB"/>
        </w:rPr>
        <w:t xml:space="preserve">developing the </w:t>
      </w:r>
      <w:r w:rsidRPr="00205A06">
        <w:rPr>
          <w:bCs/>
          <w:lang w:val="en-GB"/>
        </w:rPr>
        <w:t xml:space="preserve">safeguarding measures, and </w:t>
      </w:r>
      <w:r w:rsidRPr="00B45EF8">
        <w:rPr>
          <w:bCs/>
          <w:lang w:val="en-GB"/>
        </w:rPr>
        <w:t>a specific meeting</w:t>
      </w:r>
      <w:r w:rsidRPr="00205A06">
        <w:rPr>
          <w:bCs/>
          <w:lang w:val="en-GB"/>
        </w:rPr>
        <w:t xml:space="preserve"> was organized </w:t>
      </w:r>
      <w:r w:rsidR="0030182B">
        <w:rPr>
          <w:bCs/>
          <w:lang w:val="en-GB"/>
        </w:rPr>
        <w:t>with</w:t>
      </w:r>
      <w:r w:rsidR="0030182B" w:rsidRPr="00205A06">
        <w:rPr>
          <w:bCs/>
          <w:lang w:val="en-GB"/>
        </w:rPr>
        <w:t xml:space="preserve"> </w:t>
      </w:r>
      <w:r>
        <w:rPr>
          <w:bCs/>
          <w:lang w:val="en-GB"/>
        </w:rPr>
        <w:t xml:space="preserve">the purpose of </w:t>
      </w:r>
      <w:r w:rsidRPr="00205A06">
        <w:rPr>
          <w:bCs/>
          <w:lang w:val="en-GB"/>
        </w:rPr>
        <w:t xml:space="preserve">planning </w:t>
      </w:r>
      <w:r w:rsidR="0030182B">
        <w:rPr>
          <w:bCs/>
          <w:lang w:val="en-GB"/>
        </w:rPr>
        <w:t xml:space="preserve">the </w:t>
      </w:r>
      <w:r w:rsidRPr="00205A06">
        <w:rPr>
          <w:bCs/>
          <w:lang w:val="en-GB"/>
        </w:rPr>
        <w:t xml:space="preserve">activities. The participatory documentation </w:t>
      </w:r>
      <w:r w:rsidR="00B45EF8">
        <w:rPr>
          <w:bCs/>
          <w:lang w:val="en-GB"/>
        </w:rPr>
        <w:t xml:space="preserve">activities were </w:t>
      </w:r>
      <w:r w:rsidRPr="00205A06">
        <w:rPr>
          <w:bCs/>
          <w:lang w:val="en-GB"/>
        </w:rPr>
        <w:t>guided by masters</w:t>
      </w:r>
      <w:r w:rsidR="0030182B">
        <w:rPr>
          <w:bCs/>
          <w:lang w:val="en-GB"/>
        </w:rPr>
        <w:t>,</w:t>
      </w:r>
      <w:r w:rsidRPr="00205A06">
        <w:rPr>
          <w:bCs/>
          <w:lang w:val="en-GB"/>
        </w:rPr>
        <w:t xml:space="preserve"> singers </w:t>
      </w:r>
      <w:r w:rsidRPr="00205A06">
        <w:rPr>
          <w:rFonts w:cs="Arial"/>
          <w:lang w:val="en-GB"/>
        </w:rPr>
        <w:t>and shamans, as well as other collaborators from the community</w:t>
      </w:r>
      <w:r w:rsidRPr="00205A06">
        <w:rPr>
          <w:bCs/>
          <w:lang w:val="en-GB"/>
        </w:rPr>
        <w:t xml:space="preserve">. </w:t>
      </w:r>
      <w:r w:rsidRPr="00205A06">
        <w:rPr>
          <w:rFonts w:cs="Arial"/>
          <w:lang w:val="en-GB"/>
        </w:rPr>
        <w:t xml:space="preserve">This </w:t>
      </w:r>
      <w:r w:rsidRPr="00205A06">
        <w:rPr>
          <w:bCs/>
          <w:lang w:val="en-GB"/>
        </w:rPr>
        <w:t>contributed to research</w:t>
      </w:r>
      <w:r w:rsidR="0030182B">
        <w:rPr>
          <w:bCs/>
          <w:lang w:val="en-GB"/>
        </w:rPr>
        <w:t>-</w:t>
      </w:r>
      <w:r w:rsidRPr="00205A06">
        <w:rPr>
          <w:bCs/>
          <w:lang w:val="en-GB"/>
        </w:rPr>
        <w:t xml:space="preserve">related exchanges in the mother tongue </w:t>
      </w:r>
      <w:r>
        <w:rPr>
          <w:bCs/>
          <w:lang w:val="en-GB"/>
        </w:rPr>
        <w:t>of the community, which</w:t>
      </w:r>
      <w:r w:rsidRPr="00205A06">
        <w:rPr>
          <w:bCs/>
          <w:lang w:val="en-GB"/>
        </w:rPr>
        <w:t xml:space="preserve"> could have a positive impact on </w:t>
      </w:r>
      <w:r>
        <w:rPr>
          <w:bCs/>
          <w:lang w:val="en-GB"/>
        </w:rPr>
        <w:t xml:space="preserve">the </w:t>
      </w:r>
      <w:r w:rsidRPr="00205A06">
        <w:rPr>
          <w:bCs/>
          <w:lang w:val="en-GB"/>
        </w:rPr>
        <w:t xml:space="preserve">autonomous </w:t>
      </w:r>
      <w:r w:rsidR="00B45EF8">
        <w:rPr>
          <w:bCs/>
          <w:lang w:val="en-GB"/>
        </w:rPr>
        <w:t>development</w:t>
      </w:r>
      <w:r w:rsidRPr="00205A06">
        <w:rPr>
          <w:bCs/>
          <w:lang w:val="en-GB"/>
        </w:rPr>
        <w:t xml:space="preserve"> and administration of future projects by the community, to be </w:t>
      </w:r>
      <w:r w:rsidR="00B45EF8" w:rsidRPr="00205A06">
        <w:rPr>
          <w:bCs/>
          <w:lang w:val="en-GB"/>
        </w:rPr>
        <w:t xml:space="preserve">eventually </w:t>
      </w:r>
      <w:r w:rsidRPr="00205A06">
        <w:rPr>
          <w:bCs/>
          <w:lang w:val="en-GB"/>
        </w:rPr>
        <w:t xml:space="preserve">carried out through the Enawene Nawe Indigenous Association. </w:t>
      </w:r>
      <w:r>
        <w:rPr>
          <w:bCs/>
          <w:lang w:val="en-GB"/>
        </w:rPr>
        <w:t>T</w:t>
      </w:r>
      <w:r w:rsidRPr="00205A06">
        <w:rPr>
          <w:bCs/>
          <w:lang w:val="en-GB"/>
        </w:rPr>
        <w:t>he Enawene Nawe people ha</w:t>
      </w:r>
      <w:r>
        <w:rPr>
          <w:bCs/>
          <w:lang w:val="en-GB"/>
        </w:rPr>
        <w:t>ve</w:t>
      </w:r>
      <w:r w:rsidRPr="00205A06">
        <w:rPr>
          <w:bCs/>
          <w:lang w:val="en-GB"/>
        </w:rPr>
        <w:t xml:space="preserve"> </w:t>
      </w:r>
      <w:r>
        <w:rPr>
          <w:bCs/>
          <w:lang w:val="en-GB"/>
        </w:rPr>
        <w:t>expressed their needs</w:t>
      </w:r>
      <w:r w:rsidRPr="00205A06">
        <w:rPr>
          <w:bCs/>
          <w:lang w:val="en-GB"/>
        </w:rPr>
        <w:t xml:space="preserve"> </w:t>
      </w:r>
      <w:r>
        <w:rPr>
          <w:bCs/>
          <w:lang w:val="en-GB"/>
        </w:rPr>
        <w:t>for the future</w:t>
      </w:r>
      <w:r w:rsidRPr="00205A06">
        <w:rPr>
          <w:bCs/>
          <w:lang w:val="en-GB"/>
        </w:rPr>
        <w:t xml:space="preserve"> and preparatory meetings are envisaged </w:t>
      </w:r>
      <w:r>
        <w:rPr>
          <w:bCs/>
          <w:lang w:val="en-GB"/>
        </w:rPr>
        <w:t>to ensure</w:t>
      </w:r>
      <w:r w:rsidRPr="00205A06">
        <w:rPr>
          <w:bCs/>
          <w:lang w:val="en-GB"/>
        </w:rPr>
        <w:t xml:space="preserve"> that </w:t>
      </w:r>
      <w:r>
        <w:rPr>
          <w:bCs/>
          <w:lang w:val="en-GB"/>
        </w:rPr>
        <w:t xml:space="preserve">the </w:t>
      </w:r>
      <w:r w:rsidRPr="00205A06">
        <w:rPr>
          <w:bCs/>
          <w:lang w:val="en-GB"/>
        </w:rPr>
        <w:t>activities</w:t>
      </w:r>
      <w:r>
        <w:rPr>
          <w:bCs/>
          <w:lang w:val="en-GB"/>
        </w:rPr>
        <w:t xml:space="preserve"> proposed</w:t>
      </w:r>
      <w:r w:rsidRPr="00205A06">
        <w:rPr>
          <w:bCs/>
          <w:lang w:val="en-GB"/>
        </w:rPr>
        <w:t xml:space="preserve"> satisfy the community. As </w:t>
      </w:r>
      <w:r w:rsidR="0030182B">
        <w:rPr>
          <w:bCs/>
          <w:lang w:val="en-GB"/>
        </w:rPr>
        <w:t>was</w:t>
      </w:r>
      <w:r w:rsidRPr="00205A06">
        <w:rPr>
          <w:bCs/>
          <w:lang w:val="en-GB"/>
        </w:rPr>
        <w:t xml:space="preserve"> the case for the preparation of the previous periodic report, due to the lack of human resources within the responsible government institution it was not possible to draft the periodic report with the participation of the Enawene Nawe people.</w:t>
      </w:r>
    </w:p>
    <w:p w14:paraId="77E4E80F" w14:textId="60D5723E" w:rsidR="00570A70" w:rsidRPr="00205A06" w:rsidRDefault="00570A70" w:rsidP="00570A7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lastRenderedPageBreak/>
        <w:t>Viability and current risks</w:t>
      </w:r>
      <w:r w:rsidRPr="00205A06">
        <w:rPr>
          <w:bCs/>
          <w:lang w:val="en-GB"/>
        </w:rPr>
        <w:t>.</w:t>
      </w:r>
      <w:r w:rsidRPr="00205A06">
        <w:rPr>
          <w:lang w:val="en-GB"/>
        </w:rPr>
        <w:t xml:space="preserve"> The major risks to the viability of the element are </w:t>
      </w:r>
      <w:r w:rsidR="0030182B">
        <w:rPr>
          <w:lang w:val="en-GB"/>
        </w:rPr>
        <w:t xml:space="preserve">of an </w:t>
      </w:r>
      <w:r w:rsidRPr="00205A06">
        <w:rPr>
          <w:lang w:val="en-GB"/>
        </w:rPr>
        <w:t>environmental and socio-economic</w:t>
      </w:r>
      <w:r w:rsidR="0030182B">
        <w:rPr>
          <w:lang w:val="en-GB"/>
        </w:rPr>
        <w:t xml:space="preserve"> nature</w:t>
      </w:r>
      <w:r w:rsidRPr="00205A06">
        <w:rPr>
          <w:lang w:val="en-GB"/>
        </w:rPr>
        <w:t xml:space="preserve">, such as deforestation, extensive breeding, impoverishment of </w:t>
      </w:r>
      <w:r w:rsidR="0030182B">
        <w:rPr>
          <w:lang w:val="en-GB"/>
        </w:rPr>
        <w:t xml:space="preserve">the </w:t>
      </w:r>
      <w:r w:rsidRPr="00205A06">
        <w:rPr>
          <w:lang w:val="en-GB"/>
        </w:rPr>
        <w:t xml:space="preserve">soil, agrochemical pollution of the hydrographic network and water degradation upstream of the Juruena river and its affluents, </w:t>
      </w:r>
      <w:r w:rsidRPr="00205A06">
        <w:rPr>
          <w:bCs/>
          <w:lang w:val="en-GB"/>
        </w:rPr>
        <w:t xml:space="preserve">disorderly urbanization </w:t>
      </w:r>
      <w:r w:rsidRPr="00205A06">
        <w:rPr>
          <w:lang w:val="en-GB"/>
        </w:rPr>
        <w:t>and the building of numerous hydroelectrical stations. Among other</w:t>
      </w:r>
      <w:r w:rsidR="0030182B">
        <w:rPr>
          <w:lang w:val="en-GB"/>
        </w:rPr>
        <w:t>s</w:t>
      </w:r>
      <w:r w:rsidRPr="00205A06">
        <w:rPr>
          <w:lang w:val="en-GB"/>
        </w:rPr>
        <w:t xml:space="preserve">, this has caused </w:t>
      </w:r>
      <w:r w:rsidR="0030182B">
        <w:rPr>
          <w:lang w:val="en-GB"/>
        </w:rPr>
        <w:t>a</w:t>
      </w:r>
      <w:r w:rsidR="0030182B" w:rsidRPr="00205A06">
        <w:rPr>
          <w:lang w:val="en-GB"/>
        </w:rPr>
        <w:t xml:space="preserve"> </w:t>
      </w:r>
      <w:r w:rsidRPr="00205A06">
        <w:rPr>
          <w:lang w:val="en-GB"/>
        </w:rPr>
        <w:t>shortage of fish in the river, making the traditional fishing practice impossible and occasionally delaying the traditional ritual ceremonies</w:t>
      </w:r>
      <w:r w:rsidR="0030182B" w:rsidRPr="0030182B">
        <w:rPr>
          <w:lang w:val="en-GB"/>
        </w:rPr>
        <w:t xml:space="preserve"> </w:t>
      </w:r>
      <w:r w:rsidR="0030182B">
        <w:rPr>
          <w:lang w:val="en-GB"/>
        </w:rPr>
        <w:t>by</w:t>
      </w:r>
      <w:r w:rsidR="0030182B" w:rsidRPr="00205A06">
        <w:rPr>
          <w:lang w:val="en-GB"/>
        </w:rPr>
        <w:t xml:space="preserve"> several months</w:t>
      </w:r>
      <w:r w:rsidRPr="00205A06">
        <w:rPr>
          <w:bCs/>
          <w:lang w:val="en-GB"/>
        </w:rPr>
        <w:t>.</w:t>
      </w:r>
      <w:r w:rsidRPr="00205A06">
        <w:rPr>
          <w:lang w:val="en-GB"/>
        </w:rPr>
        <w:t xml:space="preserve"> </w:t>
      </w:r>
      <w:r w:rsidRPr="00205A06">
        <w:rPr>
          <w:bCs/>
          <w:lang w:val="en-GB"/>
        </w:rPr>
        <w:t>It has led the Enawene Nawe people to adapt and introduce new forms for the ritual</w:t>
      </w:r>
      <w:r w:rsidRPr="00205A06">
        <w:rPr>
          <w:lang w:val="en-GB"/>
        </w:rPr>
        <w:t xml:space="preserve">. </w:t>
      </w:r>
      <w:r w:rsidRPr="00205A06">
        <w:rPr>
          <w:bCs/>
          <w:lang w:val="en-GB"/>
        </w:rPr>
        <w:t xml:space="preserve">The construction of a new route between </w:t>
      </w:r>
      <w:r>
        <w:rPr>
          <w:bCs/>
          <w:lang w:val="en-GB"/>
        </w:rPr>
        <w:t xml:space="preserve">the indigenous village </w:t>
      </w:r>
      <w:r w:rsidR="0030182B">
        <w:rPr>
          <w:bCs/>
          <w:lang w:val="en-GB"/>
        </w:rPr>
        <w:t xml:space="preserve">of </w:t>
      </w:r>
      <w:r w:rsidRPr="00205A06">
        <w:rPr>
          <w:bCs/>
          <w:lang w:val="en-GB"/>
        </w:rPr>
        <w:t>Halataikwa</w:t>
      </w:r>
      <w:r>
        <w:rPr>
          <w:bCs/>
          <w:lang w:val="en-GB"/>
        </w:rPr>
        <w:t xml:space="preserve"> </w:t>
      </w:r>
      <w:r w:rsidRPr="00205A06">
        <w:rPr>
          <w:bCs/>
          <w:lang w:val="en-GB"/>
        </w:rPr>
        <w:t>and nearby towns has encouraged an outflow of indigenous people and a change in traditional alimentary practices</w:t>
      </w:r>
      <w:r w:rsidR="0030182B">
        <w:rPr>
          <w:bCs/>
          <w:lang w:val="en-GB"/>
        </w:rPr>
        <w:t>,</w:t>
      </w:r>
      <w:r w:rsidRPr="00205A06">
        <w:rPr>
          <w:bCs/>
          <w:lang w:val="en-GB"/>
        </w:rPr>
        <w:t xml:space="preserve"> affecting the health conditions of the community, </w:t>
      </w:r>
      <w:r w:rsidR="0030182B" w:rsidRPr="00205A06">
        <w:rPr>
          <w:bCs/>
          <w:lang w:val="en-GB"/>
        </w:rPr>
        <w:t>a</w:t>
      </w:r>
      <w:r w:rsidR="0030182B">
        <w:rPr>
          <w:bCs/>
          <w:lang w:val="en-GB"/>
        </w:rPr>
        <w:t>s well as</w:t>
      </w:r>
      <w:r w:rsidR="0030182B" w:rsidRPr="00205A06">
        <w:rPr>
          <w:bCs/>
          <w:lang w:val="en-GB"/>
        </w:rPr>
        <w:t xml:space="preserve"> </w:t>
      </w:r>
      <w:r w:rsidRPr="00205A06">
        <w:rPr>
          <w:bCs/>
          <w:lang w:val="en-GB"/>
        </w:rPr>
        <w:t xml:space="preserve">a shift </w:t>
      </w:r>
      <w:r w:rsidR="0030182B">
        <w:rPr>
          <w:bCs/>
          <w:lang w:val="en-GB"/>
        </w:rPr>
        <w:t>in</w:t>
      </w:r>
      <w:r w:rsidR="0030182B" w:rsidRPr="00205A06">
        <w:rPr>
          <w:bCs/>
          <w:lang w:val="en-GB"/>
        </w:rPr>
        <w:t xml:space="preserve"> </w:t>
      </w:r>
      <w:r w:rsidRPr="00205A06">
        <w:rPr>
          <w:bCs/>
          <w:lang w:val="en-GB"/>
        </w:rPr>
        <w:t>their daily life interests from the village towards towns.</w:t>
      </w:r>
      <w:r w:rsidRPr="00205A06">
        <w:rPr>
          <w:rFonts w:cs="Arial"/>
          <w:lang w:val="en-GB"/>
        </w:rPr>
        <w:t xml:space="preserve"> The report, however, does not provide information on the </w:t>
      </w:r>
      <w:r w:rsidR="009D3B0A">
        <w:rPr>
          <w:rFonts w:cs="Arial"/>
          <w:lang w:val="en-GB"/>
        </w:rPr>
        <w:t>reflections and reactions</w:t>
      </w:r>
      <w:r w:rsidRPr="00205A06">
        <w:rPr>
          <w:rFonts w:cs="Arial"/>
          <w:lang w:val="en-GB"/>
        </w:rPr>
        <w:t xml:space="preserve"> of the community members </w:t>
      </w:r>
      <w:r w:rsidR="0030182B">
        <w:rPr>
          <w:rFonts w:cs="Arial"/>
          <w:lang w:val="en-GB"/>
        </w:rPr>
        <w:t xml:space="preserve">in relation to these </w:t>
      </w:r>
      <w:r w:rsidRPr="00205A06">
        <w:rPr>
          <w:rFonts w:cs="Arial"/>
          <w:lang w:val="en-GB"/>
        </w:rPr>
        <w:t>social changes</w:t>
      </w:r>
      <w:r>
        <w:rPr>
          <w:rFonts w:cs="Arial"/>
          <w:lang w:val="en-GB"/>
        </w:rPr>
        <w:t xml:space="preserve"> nor on how the viability of the element in general could be improved in the future</w:t>
      </w:r>
      <w:r w:rsidRPr="00205A06">
        <w:rPr>
          <w:lang w:val="en-GB"/>
        </w:rPr>
        <w:t>.</w:t>
      </w:r>
    </w:p>
    <w:p w14:paraId="23A77BD1" w14:textId="77777777" w:rsidR="00570A70" w:rsidRPr="00205A06" w:rsidRDefault="00570A70" w:rsidP="00570A70">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adopt the following decision:</w:t>
      </w:r>
    </w:p>
    <w:p w14:paraId="6B45B7D9" w14:textId="2A216495" w:rsidR="00570A70" w:rsidRPr="00784A8E" w:rsidRDefault="00570A70" w:rsidP="00570A70">
      <w:pPr>
        <w:pStyle w:val="Titre4"/>
        <w:numPr>
          <w:ilvl w:val="0"/>
          <w:numId w:val="0"/>
        </w:numPr>
        <w:spacing w:before="240"/>
        <w:ind w:left="567"/>
        <w:rPr>
          <w:rFonts w:eastAsia="SimSun"/>
          <w:szCs w:val="22"/>
        </w:rPr>
      </w:pPr>
      <w:bookmarkStart w:id="3" w:name="Dec15COM7_1"/>
      <w:r w:rsidRPr="00205A06">
        <w:rPr>
          <w:szCs w:val="22"/>
        </w:rPr>
        <w:t>DRAFT DECISION 15.COM </w:t>
      </w:r>
      <w:r w:rsidR="00B40F86" w:rsidRPr="00784A8E">
        <w:rPr>
          <w:szCs w:val="22"/>
        </w:rPr>
        <w:t>7</w:t>
      </w:r>
      <w:r w:rsidRPr="00784A8E">
        <w:rPr>
          <w:szCs w:val="22"/>
        </w:rPr>
        <w:t>.1</w:t>
      </w:r>
      <w:bookmarkEnd w:id="3"/>
      <w:r w:rsidRPr="00784A8E">
        <w:rPr>
          <w:szCs w:val="22"/>
        </w:rPr>
        <w:tab/>
      </w:r>
      <w:r w:rsidR="00265276" w:rsidRPr="00784A8E">
        <w:rPr>
          <w:noProof/>
          <w:color w:val="0000FF"/>
        </w:rPr>
        <w:drawing>
          <wp:inline distT="0" distB="0" distL="0" distR="0" wp14:anchorId="5E1C71DB" wp14:editId="57D051E8">
            <wp:extent cx="104775" cy="104775"/>
            <wp:effectExtent l="0" t="0" r="9525" b="9525"/>
            <wp:docPr id="9"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CAADF23" w14:textId="77777777" w:rsidR="00570A70" w:rsidRPr="00784A8E" w:rsidRDefault="00570A70" w:rsidP="00570A70">
      <w:pPr>
        <w:pStyle w:val="Para"/>
        <w:keepNext/>
        <w:numPr>
          <w:ilvl w:val="0"/>
          <w:numId w:val="0"/>
        </w:numPr>
        <w:tabs>
          <w:tab w:val="left" w:pos="1134"/>
        </w:tabs>
        <w:spacing w:line="240" w:lineRule="auto"/>
        <w:ind w:left="567"/>
        <w:rPr>
          <w:rFonts w:cs="Arial"/>
          <w:sz w:val="22"/>
          <w:szCs w:val="22"/>
          <w:lang w:val="en-GB"/>
        </w:rPr>
      </w:pPr>
      <w:r w:rsidRPr="00784A8E">
        <w:rPr>
          <w:rFonts w:cs="Arial"/>
          <w:sz w:val="22"/>
          <w:szCs w:val="22"/>
          <w:lang w:val="en-GB"/>
        </w:rPr>
        <w:t>The Committee,</w:t>
      </w:r>
    </w:p>
    <w:p w14:paraId="723F43B6" w14:textId="4DEA8418" w:rsidR="00570A70" w:rsidRPr="00784A8E" w:rsidRDefault="00570A70" w:rsidP="00570A70">
      <w:pPr>
        <w:pStyle w:val="Para"/>
        <w:numPr>
          <w:ilvl w:val="0"/>
          <w:numId w:val="25"/>
        </w:numPr>
        <w:tabs>
          <w:tab w:val="left" w:pos="1134"/>
        </w:tabs>
        <w:spacing w:line="240" w:lineRule="auto"/>
        <w:ind w:left="1134" w:hanging="567"/>
        <w:rPr>
          <w:rFonts w:cs="Arial"/>
          <w:sz w:val="22"/>
          <w:szCs w:val="22"/>
          <w:lang w:val="pt-PT"/>
        </w:rPr>
      </w:pPr>
      <w:r w:rsidRPr="00784A8E">
        <w:rPr>
          <w:rFonts w:cs="Arial"/>
          <w:sz w:val="22"/>
          <w:szCs w:val="22"/>
          <w:u w:val="single"/>
          <w:lang w:val="pt-PT"/>
        </w:rPr>
        <w:t>Having examined</w:t>
      </w:r>
      <w:r w:rsidRPr="00784A8E">
        <w:rPr>
          <w:rFonts w:cs="Arial"/>
          <w:sz w:val="22"/>
          <w:szCs w:val="22"/>
          <w:lang w:val="pt-PT"/>
        </w:rPr>
        <w:t xml:space="preserve"> document </w:t>
      </w:r>
      <w:r w:rsidR="00F35BBB" w:rsidRPr="00784A8E">
        <w:rPr>
          <w:rFonts w:cs="Arial"/>
          <w:sz w:val="22"/>
          <w:szCs w:val="22"/>
          <w:lang w:val="pt-PT"/>
        </w:rPr>
        <w:t>LHE/20/15.COM/</w:t>
      </w:r>
      <w:r w:rsidR="00B40F86" w:rsidRPr="00784A8E">
        <w:rPr>
          <w:rFonts w:cs="Arial"/>
          <w:sz w:val="22"/>
          <w:szCs w:val="22"/>
          <w:lang w:val="pt-PT"/>
        </w:rPr>
        <w:t>7</w:t>
      </w:r>
      <w:r w:rsidRPr="00784A8E">
        <w:rPr>
          <w:rFonts w:cs="Arial"/>
          <w:sz w:val="22"/>
          <w:szCs w:val="22"/>
          <w:lang w:val="pt-PT"/>
        </w:rPr>
        <w:t>,</w:t>
      </w:r>
    </w:p>
    <w:p w14:paraId="0015A305" w14:textId="778CA00B" w:rsidR="00570A70" w:rsidRPr="00205A06" w:rsidRDefault="00570A70" w:rsidP="00570A70">
      <w:pPr>
        <w:pStyle w:val="Para"/>
        <w:numPr>
          <w:ilvl w:val="0"/>
          <w:numId w:val="25"/>
        </w:numPr>
        <w:tabs>
          <w:tab w:val="left" w:pos="1134"/>
        </w:tabs>
        <w:spacing w:line="240" w:lineRule="auto"/>
        <w:ind w:left="1134" w:hanging="567"/>
        <w:rPr>
          <w:rFonts w:cs="Arial"/>
          <w:sz w:val="22"/>
          <w:szCs w:val="22"/>
          <w:lang w:val="en-GB"/>
        </w:rPr>
      </w:pPr>
      <w:r w:rsidRPr="00205A06">
        <w:rPr>
          <w:rFonts w:cs="Arial"/>
          <w:sz w:val="22"/>
          <w:szCs w:val="22"/>
          <w:u w:val="single"/>
          <w:lang w:val="en-GB"/>
        </w:rPr>
        <w:t>Recalling</w:t>
      </w:r>
      <w:r w:rsidRPr="00205A06">
        <w:rPr>
          <w:rFonts w:cs="Arial"/>
          <w:sz w:val="22"/>
          <w:szCs w:val="22"/>
          <w:lang w:val="en-GB"/>
        </w:rPr>
        <w:t xml:space="preserve"> Chapter V of the Operational Directives and its Decisions </w:t>
      </w:r>
      <w:hyperlink r:id="rId40" w:history="1">
        <w:r w:rsidRPr="002D1C53">
          <w:rPr>
            <w:rStyle w:val="Lienhypertexte"/>
            <w:rFonts w:cs="Arial"/>
            <w:sz w:val="22"/>
            <w:szCs w:val="22"/>
            <w:lang w:val="en-GB"/>
          </w:rPr>
          <w:t>6.COM 8.3</w:t>
        </w:r>
      </w:hyperlink>
      <w:r w:rsidRPr="00205A06">
        <w:rPr>
          <w:rFonts w:cs="Arial"/>
          <w:sz w:val="22"/>
          <w:szCs w:val="22"/>
          <w:lang w:val="en-GB"/>
        </w:rPr>
        <w:t xml:space="preserve">, </w:t>
      </w:r>
      <w:hyperlink r:id="rId41" w:history="1">
        <w:r w:rsidRPr="00BA1ED4">
          <w:rPr>
            <w:rStyle w:val="Lienhypertexte"/>
            <w:rFonts w:cs="Arial"/>
            <w:sz w:val="22"/>
            <w:szCs w:val="22"/>
            <w:lang w:val="en-GB"/>
          </w:rPr>
          <w:t>8.COM 6.b</w:t>
        </w:r>
      </w:hyperlink>
      <w:r w:rsidRPr="00205A06">
        <w:rPr>
          <w:rFonts w:cs="Arial"/>
          <w:sz w:val="22"/>
          <w:szCs w:val="22"/>
          <w:lang w:val="en-GB"/>
        </w:rPr>
        <w:t xml:space="preserve">, and </w:t>
      </w:r>
      <w:hyperlink r:id="rId42" w:history="1">
        <w:r w:rsidRPr="007D41C3">
          <w:rPr>
            <w:rStyle w:val="Lienhypertexte"/>
            <w:rFonts w:cs="Arial"/>
            <w:sz w:val="22"/>
            <w:szCs w:val="22"/>
            <w:lang w:val="en-GB"/>
          </w:rPr>
          <w:t>13.COM 7.b.3</w:t>
        </w:r>
      </w:hyperlink>
      <w:r w:rsidRPr="00205A06">
        <w:rPr>
          <w:rFonts w:cs="Arial"/>
          <w:sz w:val="22"/>
          <w:szCs w:val="22"/>
          <w:lang w:val="en-GB"/>
        </w:rPr>
        <w:t>,</w:t>
      </w:r>
    </w:p>
    <w:p w14:paraId="591B9AB5" w14:textId="77777777" w:rsidR="00570A70" w:rsidRPr="00205A06" w:rsidRDefault="00570A70" w:rsidP="00570A70">
      <w:pPr>
        <w:pStyle w:val="Para"/>
        <w:numPr>
          <w:ilvl w:val="0"/>
          <w:numId w:val="25"/>
        </w:numPr>
        <w:tabs>
          <w:tab w:val="left" w:pos="1134"/>
        </w:tabs>
        <w:spacing w:line="240" w:lineRule="auto"/>
        <w:ind w:left="1134" w:hanging="567"/>
        <w:rPr>
          <w:rFonts w:cs="Arial"/>
          <w:sz w:val="22"/>
          <w:szCs w:val="22"/>
          <w:lang w:val="en-GB"/>
        </w:rPr>
      </w:pPr>
      <w:r w:rsidRPr="00205A06">
        <w:rPr>
          <w:rFonts w:cs="Arial"/>
          <w:sz w:val="22"/>
          <w:szCs w:val="22"/>
          <w:u w:val="single"/>
          <w:lang w:val="en-GB"/>
        </w:rPr>
        <w:t>Expresses its thanks</w:t>
      </w:r>
      <w:r w:rsidRPr="00205A06">
        <w:rPr>
          <w:rFonts w:cs="Arial"/>
          <w:sz w:val="22"/>
          <w:szCs w:val="22"/>
          <w:lang w:val="en-GB"/>
        </w:rPr>
        <w:t xml:space="preserve"> to Brazil for submitting, on time, its report on the </w:t>
      </w:r>
      <w:r w:rsidRPr="00205A06">
        <w:rPr>
          <w:rFonts w:cs="Arial"/>
          <w:bCs/>
          <w:sz w:val="22"/>
          <w:szCs w:val="22"/>
          <w:lang w:val="en-GB"/>
        </w:rPr>
        <w:t xml:space="preserve">status of the </w:t>
      </w:r>
      <w:r w:rsidRPr="00205A06">
        <w:rPr>
          <w:rFonts w:cs="Arial"/>
          <w:sz w:val="22"/>
          <w:szCs w:val="22"/>
          <w:lang w:val="en-GB"/>
        </w:rPr>
        <w:t>element ‘</w:t>
      </w:r>
      <w:r w:rsidRPr="00205A06">
        <w:rPr>
          <w:sz w:val="22"/>
          <w:szCs w:val="22"/>
          <w:lang w:val="en-GB"/>
        </w:rPr>
        <w:t>Yaokwa, the Enawene Nawe people’s ritual for the maintenance of social and cosmic order</w:t>
      </w:r>
      <w:r w:rsidRPr="00205A06">
        <w:rPr>
          <w:rFonts w:cs="Arial"/>
          <w:sz w:val="22"/>
          <w:szCs w:val="22"/>
          <w:lang w:val="en-GB"/>
        </w:rPr>
        <w:t>’, inscribed</w:t>
      </w:r>
      <w:r w:rsidRPr="00205A06">
        <w:rPr>
          <w:rFonts w:cs="Arial"/>
          <w:bCs/>
          <w:sz w:val="22"/>
          <w:szCs w:val="22"/>
          <w:lang w:val="en-GB"/>
        </w:rPr>
        <w:t xml:space="preserve"> in 2011 on the List of Intangible Cultural Heritage in Need of Urgent Safeguarding;</w:t>
      </w:r>
    </w:p>
    <w:p w14:paraId="130AEBD2" w14:textId="77AC4EAC" w:rsidR="00570A70" w:rsidRPr="00205A06" w:rsidRDefault="00570A70" w:rsidP="00570A70">
      <w:pPr>
        <w:pStyle w:val="Para"/>
        <w:numPr>
          <w:ilvl w:val="0"/>
          <w:numId w:val="25"/>
        </w:numPr>
        <w:tabs>
          <w:tab w:val="left" w:pos="1134"/>
        </w:tabs>
        <w:spacing w:line="240" w:lineRule="auto"/>
        <w:ind w:left="1134" w:hanging="567"/>
        <w:rPr>
          <w:rFonts w:cs="Arial"/>
          <w:sz w:val="22"/>
          <w:szCs w:val="22"/>
          <w:lang w:val="en-GB"/>
        </w:rPr>
      </w:pPr>
      <w:r w:rsidRPr="00205A06">
        <w:rPr>
          <w:rFonts w:cs="Arial"/>
          <w:sz w:val="22"/>
          <w:szCs w:val="22"/>
          <w:u w:val="single"/>
          <w:lang w:val="en-GB"/>
        </w:rPr>
        <w:t>Takes note</w:t>
      </w:r>
      <w:r w:rsidRPr="00205A06">
        <w:rPr>
          <w:rFonts w:cs="Arial"/>
          <w:sz w:val="22"/>
          <w:szCs w:val="22"/>
          <w:lang w:val="en-GB"/>
        </w:rPr>
        <w:t xml:space="preserve"> of the continued efforts undertaken by the State Party to safeguard the element, </w:t>
      </w:r>
      <w:r w:rsidR="00190640">
        <w:rPr>
          <w:rFonts w:cs="Arial"/>
          <w:sz w:val="22"/>
          <w:szCs w:val="22"/>
          <w:lang w:val="en-GB"/>
        </w:rPr>
        <w:t>especially</w:t>
      </w:r>
      <w:r w:rsidRPr="00205A06">
        <w:rPr>
          <w:rFonts w:cs="Arial"/>
          <w:sz w:val="22"/>
          <w:szCs w:val="22"/>
          <w:lang w:val="en-GB"/>
        </w:rPr>
        <w:t xml:space="preserve"> through </w:t>
      </w:r>
      <w:r w:rsidR="0030182B">
        <w:rPr>
          <w:rFonts w:cs="Arial"/>
          <w:sz w:val="22"/>
          <w:szCs w:val="22"/>
          <w:lang w:val="en-GB"/>
        </w:rPr>
        <w:t xml:space="preserve">the </w:t>
      </w:r>
      <w:r w:rsidRPr="00205A06">
        <w:rPr>
          <w:rFonts w:cs="Arial"/>
          <w:sz w:val="22"/>
          <w:szCs w:val="22"/>
          <w:lang w:val="en-GB"/>
        </w:rPr>
        <w:t xml:space="preserve">participatory documentation of the </w:t>
      </w:r>
      <w:r w:rsidRPr="001015A8">
        <w:rPr>
          <w:rFonts w:cs="Arial"/>
          <w:sz w:val="22"/>
          <w:szCs w:val="22"/>
          <w:lang w:val="en-GB"/>
        </w:rPr>
        <w:t>Salom</w:t>
      </w:r>
      <w:r>
        <w:rPr>
          <w:rFonts w:cs="Arial"/>
          <w:sz w:val="22"/>
          <w:szCs w:val="22"/>
          <w:lang w:val="en-GB"/>
        </w:rPr>
        <w:t xml:space="preserve">a </w:t>
      </w:r>
      <w:r w:rsidRPr="00205A06">
        <w:rPr>
          <w:rFonts w:cs="Arial"/>
          <w:sz w:val="22"/>
          <w:szCs w:val="22"/>
          <w:lang w:val="en-GB"/>
        </w:rPr>
        <w:t>ritual</w:t>
      </w:r>
      <w:r w:rsidR="003D6438">
        <w:rPr>
          <w:rFonts w:cs="Arial"/>
          <w:sz w:val="22"/>
          <w:szCs w:val="22"/>
          <w:lang w:val="en-GB"/>
        </w:rPr>
        <w:t>,</w:t>
      </w:r>
      <w:r w:rsidRPr="00205A06">
        <w:rPr>
          <w:rFonts w:cs="Arial"/>
          <w:sz w:val="22"/>
          <w:szCs w:val="22"/>
          <w:lang w:val="en-GB"/>
        </w:rPr>
        <w:t xml:space="preserve"> involving and training Enawene Nawe community members as researchers</w:t>
      </w:r>
      <w:r w:rsidR="007C3AA3">
        <w:rPr>
          <w:rFonts w:cs="Arial"/>
          <w:sz w:val="22"/>
          <w:szCs w:val="22"/>
          <w:lang w:val="en-GB"/>
        </w:rPr>
        <w:t>,</w:t>
      </w:r>
      <w:r w:rsidRPr="00205A06">
        <w:rPr>
          <w:rFonts w:cs="Arial"/>
          <w:sz w:val="22"/>
          <w:szCs w:val="22"/>
          <w:lang w:val="en-GB"/>
        </w:rPr>
        <w:t xml:space="preserve"> </w:t>
      </w:r>
      <w:r>
        <w:rPr>
          <w:rFonts w:cs="Arial"/>
          <w:sz w:val="22"/>
          <w:szCs w:val="22"/>
          <w:lang w:val="en-GB"/>
        </w:rPr>
        <w:t>a</w:t>
      </w:r>
      <w:r w:rsidR="0069019D">
        <w:rPr>
          <w:rFonts w:cs="Arial"/>
          <w:sz w:val="22"/>
          <w:szCs w:val="22"/>
          <w:lang w:val="en-GB"/>
        </w:rPr>
        <w:t>s well as</w:t>
      </w:r>
      <w:r>
        <w:rPr>
          <w:rFonts w:cs="Arial"/>
          <w:sz w:val="22"/>
          <w:szCs w:val="22"/>
          <w:lang w:val="en-GB"/>
        </w:rPr>
        <w:t xml:space="preserve"> through interethnic </w:t>
      </w:r>
      <w:r w:rsidRPr="00205A06">
        <w:rPr>
          <w:rFonts w:cs="Arial"/>
          <w:sz w:val="22"/>
          <w:szCs w:val="22"/>
          <w:lang w:val="en-GB"/>
        </w:rPr>
        <w:t xml:space="preserve">dialogue between indigenous </w:t>
      </w:r>
      <w:r>
        <w:rPr>
          <w:rFonts w:cs="Arial"/>
          <w:sz w:val="22"/>
          <w:szCs w:val="22"/>
          <w:lang w:val="en-GB"/>
        </w:rPr>
        <w:t>communitie</w:t>
      </w:r>
      <w:r w:rsidRPr="00205A06">
        <w:rPr>
          <w:rFonts w:cs="Arial"/>
          <w:sz w:val="22"/>
          <w:szCs w:val="22"/>
          <w:lang w:val="en-GB"/>
        </w:rPr>
        <w:t>s and public awareness</w:t>
      </w:r>
      <w:r>
        <w:rPr>
          <w:rFonts w:cs="Arial"/>
          <w:sz w:val="22"/>
          <w:szCs w:val="22"/>
          <w:lang w:val="en-GB"/>
        </w:rPr>
        <w:t xml:space="preserve"> raising</w:t>
      </w:r>
      <w:r w:rsidR="0030182B">
        <w:rPr>
          <w:rFonts w:cs="Arial"/>
          <w:sz w:val="22"/>
          <w:szCs w:val="22"/>
          <w:lang w:val="en-GB"/>
        </w:rPr>
        <w:t xml:space="preserve"> and</w:t>
      </w:r>
      <w:r w:rsidRPr="00205A06">
        <w:rPr>
          <w:rFonts w:cs="Arial"/>
          <w:sz w:val="22"/>
          <w:szCs w:val="22"/>
          <w:lang w:val="en-GB"/>
        </w:rPr>
        <w:t xml:space="preserve"> </w:t>
      </w:r>
      <w:r>
        <w:rPr>
          <w:rFonts w:cs="Arial"/>
          <w:sz w:val="22"/>
          <w:szCs w:val="22"/>
          <w:lang w:val="en-GB"/>
        </w:rPr>
        <w:t>fostering knowledge and respect</w:t>
      </w:r>
      <w:r w:rsidRPr="00205A06">
        <w:rPr>
          <w:rFonts w:cs="Arial"/>
          <w:sz w:val="22"/>
          <w:szCs w:val="22"/>
          <w:lang w:val="en-GB"/>
        </w:rPr>
        <w:t xml:space="preserve"> </w:t>
      </w:r>
      <w:r>
        <w:rPr>
          <w:rFonts w:cs="Arial"/>
          <w:sz w:val="22"/>
          <w:szCs w:val="22"/>
          <w:lang w:val="en-GB"/>
        </w:rPr>
        <w:t>for</w:t>
      </w:r>
      <w:r w:rsidRPr="00205A06">
        <w:rPr>
          <w:rFonts w:cs="Arial"/>
          <w:sz w:val="22"/>
          <w:szCs w:val="22"/>
          <w:lang w:val="en-GB"/>
        </w:rPr>
        <w:t xml:space="preserve"> </w:t>
      </w:r>
      <w:r>
        <w:rPr>
          <w:rFonts w:cs="Arial"/>
          <w:sz w:val="22"/>
          <w:szCs w:val="22"/>
          <w:lang w:val="en-GB"/>
        </w:rPr>
        <w:t xml:space="preserve">the ways of life of </w:t>
      </w:r>
      <w:r w:rsidRPr="00205A06">
        <w:rPr>
          <w:rFonts w:cs="Arial"/>
          <w:sz w:val="22"/>
          <w:szCs w:val="22"/>
          <w:lang w:val="en-GB"/>
        </w:rPr>
        <w:t xml:space="preserve">indigenous </w:t>
      </w:r>
      <w:r>
        <w:rPr>
          <w:rFonts w:cs="Arial"/>
          <w:sz w:val="22"/>
          <w:szCs w:val="22"/>
          <w:lang w:val="en-GB"/>
        </w:rPr>
        <w:t>communities</w:t>
      </w:r>
      <w:r w:rsidRPr="00205A06">
        <w:rPr>
          <w:rFonts w:cs="Arial"/>
          <w:sz w:val="22"/>
          <w:szCs w:val="22"/>
          <w:lang w:val="en-GB"/>
        </w:rPr>
        <w:t>;</w:t>
      </w:r>
    </w:p>
    <w:p w14:paraId="2505A524" w14:textId="77777777" w:rsidR="00570A70" w:rsidRDefault="00570A70" w:rsidP="00570A70">
      <w:pPr>
        <w:pStyle w:val="Para"/>
        <w:numPr>
          <w:ilvl w:val="0"/>
          <w:numId w:val="25"/>
        </w:numPr>
        <w:tabs>
          <w:tab w:val="left" w:pos="1134"/>
        </w:tabs>
        <w:spacing w:line="240" w:lineRule="auto"/>
        <w:ind w:left="1134" w:hanging="567"/>
        <w:rPr>
          <w:rFonts w:cs="Arial"/>
          <w:sz w:val="22"/>
          <w:szCs w:val="22"/>
          <w:lang w:val="en-GB"/>
        </w:rPr>
      </w:pPr>
      <w:r>
        <w:rPr>
          <w:rFonts w:cs="Arial"/>
          <w:sz w:val="22"/>
          <w:szCs w:val="22"/>
          <w:u w:val="single"/>
          <w:lang w:val="en-GB"/>
        </w:rPr>
        <w:t>Invites</w:t>
      </w:r>
      <w:r w:rsidRPr="00205A06">
        <w:rPr>
          <w:rFonts w:cs="Arial"/>
          <w:sz w:val="22"/>
          <w:szCs w:val="22"/>
          <w:lang w:val="en-GB"/>
        </w:rPr>
        <w:t xml:space="preserve"> the State Party to pursue its efforts to involve</w:t>
      </w:r>
      <w:r>
        <w:rPr>
          <w:rFonts w:cs="Arial"/>
          <w:sz w:val="22"/>
          <w:szCs w:val="22"/>
          <w:lang w:val="en-GB"/>
        </w:rPr>
        <w:t xml:space="preserve"> the</w:t>
      </w:r>
      <w:r w:rsidRPr="00205A06">
        <w:rPr>
          <w:rFonts w:cs="Arial"/>
          <w:sz w:val="22"/>
          <w:szCs w:val="22"/>
          <w:lang w:val="en-GB"/>
        </w:rPr>
        <w:t xml:space="preserve"> Enawene Nawe community in defining and implementing safeguarding measures and monitoring the viability of the element and the threats to its safeguarding, and to ensure the necessary human</w:t>
      </w:r>
      <w:r>
        <w:rPr>
          <w:rFonts w:cs="Arial"/>
          <w:sz w:val="22"/>
          <w:szCs w:val="22"/>
          <w:lang w:val="en-GB"/>
        </w:rPr>
        <w:t xml:space="preserve"> </w:t>
      </w:r>
      <w:r w:rsidRPr="00205A06">
        <w:rPr>
          <w:rFonts w:cs="Arial"/>
          <w:sz w:val="22"/>
          <w:szCs w:val="22"/>
          <w:lang w:val="en-GB"/>
        </w:rPr>
        <w:t>resources for mediation, including through institutional partnerships;</w:t>
      </w:r>
    </w:p>
    <w:p w14:paraId="649D255A" w14:textId="72DCFC39" w:rsidR="00570A70" w:rsidRPr="00756EAE" w:rsidRDefault="00081F91" w:rsidP="00570A70">
      <w:pPr>
        <w:pStyle w:val="Para"/>
        <w:numPr>
          <w:ilvl w:val="0"/>
          <w:numId w:val="25"/>
        </w:numPr>
        <w:tabs>
          <w:tab w:val="left" w:pos="1134"/>
        </w:tabs>
        <w:spacing w:line="240" w:lineRule="auto"/>
        <w:ind w:left="1134" w:hanging="567"/>
        <w:rPr>
          <w:rFonts w:cs="Arial"/>
          <w:sz w:val="22"/>
          <w:szCs w:val="22"/>
          <w:lang w:val="en-GB"/>
        </w:rPr>
      </w:pPr>
      <w:r>
        <w:rPr>
          <w:rFonts w:cs="Arial"/>
          <w:sz w:val="22"/>
          <w:szCs w:val="22"/>
          <w:u w:val="single"/>
          <w:lang w:val="en-GB"/>
        </w:rPr>
        <w:t>Further</w:t>
      </w:r>
      <w:r w:rsidR="00570A70" w:rsidRPr="00E02D41">
        <w:rPr>
          <w:rFonts w:cs="Arial"/>
          <w:sz w:val="22"/>
          <w:szCs w:val="22"/>
          <w:u w:val="single"/>
          <w:lang w:val="en-GB"/>
        </w:rPr>
        <w:t xml:space="preserve"> invites</w:t>
      </w:r>
      <w:r w:rsidR="00570A70" w:rsidRPr="00E02D41">
        <w:rPr>
          <w:rFonts w:cs="Arial"/>
          <w:sz w:val="22"/>
          <w:szCs w:val="22"/>
          <w:lang w:val="en-GB"/>
        </w:rPr>
        <w:t xml:space="preserve"> the State Party </w:t>
      </w:r>
      <w:r w:rsidR="00570A70" w:rsidRPr="00756EAE">
        <w:rPr>
          <w:rFonts w:cs="Arial"/>
          <w:sz w:val="22"/>
          <w:szCs w:val="22"/>
          <w:lang w:val="en-GB"/>
        </w:rPr>
        <w:t xml:space="preserve">to further develop its safeguarding strategy by moving beyond </w:t>
      </w:r>
      <w:r w:rsidR="00570A70" w:rsidRPr="00E02D41">
        <w:rPr>
          <w:rFonts w:cs="Arial"/>
          <w:sz w:val="22"/>
          <w:szCs w:val="22"/>
          <w:lang w:val="en-GB"/>
        </w:rPr>
        <w:t xml:space="preserve">participatory </w:t>
      </w:r>
      <w:r w:rsidR="00570A70">
        <w:rPr>
          <w:rFonts w:cs="Arial"/>
          <w:sz w:val="22"/>
          <w:szCs w:val="22"/>
          <w:lang w:val="en-GB"/>
        </w:rPr>
        <w:t xml:space="preserve">documentation and </w:t>
      </w:r>
      <w:r w:rsidR="00570A70" w:rsidRPr="00E02D41">
        <w:rPr>
          <w:rFonts w:cs="Arial"/>
          <w:sz w:val="22"/>
          <w:szCs w:val="22"/>
          <w:lang w:val="en-GB"/>
        </w:rPr>
        <w:t xml:space="preserve">awareness </w:t>
      </w:r>
      <w:r w:rsidR="00570A70">
        <w:rPr>
          <w:rFonts w:cs="Arial"/>
          <w:sz w:val="22"/>
          <w:szCs w:val="22"/>
          <w:lang w:val="en-GB"/>
        </w:rPr>
        <w:t>raising</w:t>
      </w:r>
      <w:r w:rsidR="00570A70" w:rsidRPr="00E02D41">
        <w:rPr>
          <w:rFonts w:cs="Arial"/>
          <w:sz w:val="22"/>
          <w:szCs w:val="22"/>
          <w:lang w:val="en-GB"/>
        </w:rPr>
        <w:t xml:space="preserve"> to promote intergenerational transmission </w:t>
      </w:r>
      <w:r w:rsidR="00570A70">
        <w:rPr>
          <w:rFonts w:cs="Arial"/>
          <w:sz w:val="22"/>
          <w:szCs w:val="22"/>
          <w:lang w:val="en-GB"/>
        </w:rPr>
        <w:t>through activities targeting</w:t>
      </w:r>
      <w:r w:rsidR="00570A70" w:rsidRPr="00E02D41">
        <w:rPr>
          <w:rFonts w:cs="Arial"/>
          <w:sz w:val="22"/>
          <w:szCs w:val="22"/>
          <w:lang w:val="en-GB"/>
        </w:rPr>
        <w:t xml:space="preserve"> the young</w:t>
      </w:r>
      <w:r w:rsidR="00570A70">
        <w:rPr>
          <w:rFonts w:cs="Arial"/>
          <w:sz w:val="22"/>
          <w:szCs w:val="22"/>
          <w:lang w:val="en-GB"/>
        </w:rPr>
        <w:t xml:space="preserve"> members</w:t>
      </w:r>
      <w:r w:rsidR="00570A70" w:rsidRPr="00E02D41">
        <w:rPr>
          <w:rFonts w:cs="Arial"/>
          <w:sz w:val="22"/>
          <w:szCs w:val="22"/>
          <w:lang w:val="en-GB"/>
        </w:rPr>
        <w:t xml:space="preserve"> </w:t>
      </w:r>
      <w:r w:rsidR="00570A70">
        <w:rPr>
          <w:rFonts w:cs="Arial"/>
          <w:sz w:val="22"/>
          <w:szCs w:val="22"/>
          <w:lang w:val="en-GB"/>
        </w:rPr>
        <w:t xml:space="preserve">of the </w:t>
      </w:r>
      <w:r w:rsidR="00570A70" w:rsidRPr="00E02D41">
        <w:rPr>
          <w:rFonts w:cs="Arial"/>
          <w:sz w:val="22"/>
          <w:szCs w:val="22"/>
          <w:lang w:val="en-GB"/>
        </w:rPr>
        <w:t>community</w:t>
      </w:r>
      <w:r w:rsidR="00570A70">
        <w:rPr>
          <w:rFonts w:cs="Arial"/>
          <w:sz w:val="22"/>
          <w:szCs w:val="22"/>
          <w:lang w:val="en-GB"/>
        </w:rPr>
        <w:t xml:space="preserve"> concerned</w:t>
      </w:r>
      <w:r w:rsidR="00570A70" w:rsidRPr="00756EAE">
        <w:rPr>
          <w:rFonts w:cs="Arial"/>
          <w:sz w:val="22"/>
          <w:szCs w:val="22"/>
          <w:lang w:val="en-GB"/>
        </w:rPr>
        <w:t>;</w:t>
      </w:r>
    </w:p>
    <w:p w14:paraId="7BAECE46" w14:textId="139DCA6F" w:rsidR="00570A70" w:rsidRDefault="00570A70" w:rsidP="00570A70">
      <w:pPr>
        <w:pStyle w:val="Para"/>
        <w:numPr>
          <w:ilvl w:val="0"/>
          <w:numId w:val="25"/>
        </w:numPr>
        <w:tabs>
          <w:tab w:val="left" w:pos="1134"/>
        </w:tabs>
        <w:spacing w:line="240" w:lineRule="auto"/>
        <w:ind w:left="1134" w:hanging="567"/>
        <w:rPr>
          <w:sz w:val="22"/>
          <w:szCs w:val="22"/>
          <w:lang w:val="en-GB"/>
        </w:rPr>
      </w:pPr>
      <w:r w:rsidRPr="005F7380">
        <w:rPr>
          <w:sz w:val="22"/>
          <w:szCs w:val="22"/>
          <w:u w:val="single"/>
          <w:lang w:val="en-GB"/>
        </w:rPr>
        <w:t>Further takes note</w:t>
      </w:r>
      <w:r w:rsidRPr="005F7380">
        <w:rPr>
          <w:i/>
          <w:iCs/>
          <w:sz w:val="22"/>
          <w:szCs w:val="22"/>
          <w:lang w:val="en-GB"/>
        </w:rPr>
        <w:t xml:space="preserve"> </w:t>
      </w:r>
      <w:r w:rsidRPr="005F7380">
        <w:rPr>
          <w:sz w:val="22"/>
          <w:szCs w:val="22"/>
          <w:lang w:val="en-GB"/>
        </w:rPr>
        <w:t>that social processes and environmental conditions, such as urbanization, deforestation and pollution, among other</w:t>
      </w:r>
      <w:r w:rsidR="0030182B">
        <w:rPr>
          <w:sz w:val="22"/>
          <w:szCs w:val="22"/>
          <w:lang w:val="en-GB"/>
        </w:rPr>
        <w:t>s</w:t>
      </w:r>
      <w:r w:rsidRPr="005F7380">
        <w:rPr>
          <w:sz w:val="22"/>
          <w:szCs w:val="22"/>
          <w:lang w:val="en-GB"/>
        </w:rPr>
        <w:t xml:space="preserve">, </w:t>
      </w:r>
      <w:r w:rsidR="0030182B">
        <w:rPr>
          <w:sz w:val="22"/>
          <w:szCs w:val="22"/>
          <w:lang w:val="en-GB"/>
        </w:rPr>
        <w:t>remain</w:t>
      </w:r>
      <w:r w:rsidRPr="005F7380">
        <w:rPr>
          <w:sz w:val="22"/>
          <w:szCs w:val="22"/>
          <w:lang w:val="en-GB"/>
        </w:rPr>
        <w:t xml:space="preserve"> the major threats to the viability of the element, and </w:t>
      </w:r>
      <w:r w:rsidR="00081F91">
        <w:rPr>
          <w:sz w:val="22"/>
          <w:szCs w:val="22"/>
          <w:u w:val="single"/>
          <w:lang w:val="en-GB"/>
        </w:rPr>
        <w:t>also</w:t>
      </w:r>
      <w:r w:rsidRPr="005F7380">
        <w:rPr>
          <w:sz w:val="22"/>
          <w:szCs w:val="22"/>
          <w:u w:val="single"/>
          <w:lang w:val="en-GB"/>
        </w:rPr>
        <w:t xml:space="preserve"> invites</w:t>
      </w:r>
      <w:r w:rsidRPr="005F7380">
        <w:rPr>
          <w:sz w:val="22"/>
          <w:szCs w:val="22"/>
          <w:lang w:val="en-GB"/>
        </w:rPr>
        <w:t xml:space="preserve"> the State Party to strengthen cooperation with public and private institutions </w:t>
      </w:r>
      <w:r w:rsidR="0030182B">
        <w:rPr>
          <w:sz w:val="22"/>
          <w:szCs w:val="22"/>
          <w:lang w:val="en-GB"/>
        </w:rPr>
        <w:t>and</w:t>
      </w:r>
      <w:r w:rsidRPr="005F7380">
        <w:rPr>
          <w:sz w:val="22"/>
          <w:szCs w:val="22"/>
          <w:lang w:val="en-GB"/>
        </w:rPr>
        <w:t xml:space="preserve"> non-governmental </w:t>
      </w:r>
      <w:r w:rsidR="0030182B" w:rsidRPr="005F7380">
        <w:rPr>
          <w:sz w:val="22"/>
          <w:szCs w:val="22"/>
          <w:lang w:val="en-GB"/>
        </w:rPr>
        <w:t>organi</w:t>
      </w:r>
      <w:r w:rsidR="0030182B">
        <w:rPr>
          <w:sz w:val="22"/>
          <w:szCs w:val="22"/>
          <w:lang w:val="en-GB"/>
        </w:rPr>
        <w:t>z</w:t>
      </w:r>
      <w:r w:rsidR="0030182B" w:rsidRPr="005F7380">
        <w:rPr>
          <w:sz w:val="22"/>
          <w:szCs w:val="22"/>
          <w:lang w:val="en-GB"/>
        </w:rPr>
        <w:t xml:space="preserve">ations </w:t>
      </w:r>
      <w:r>
        <w:rPr>
          <w:sz w:val="22"/>
          <w:szCs w:val="22"/>
          <w:lang w:val="en-GB"/>
        </w:rPr>
        <w:t>in order to</w:t>
      </w:r>
      <w:r w:rsidRPr="005F7380">
        <w:rPr>
          <w:sz w:val="22"/>
          <w:szCs w:val="22"/>
          <w:lang w:val="en-GB"/>
        </w:rPr>
        <w:t xml:space="preserve"> ensure the long-term sustainability of </w:t>
      </w:r>
      <w:r w:rsidR="0030182B">
        <w:rPr>
          <w:sz w:val="22"/>
          <w:szCs w:val="22"/>
          <w:lang w:val="en-GB"/>
        </w:rPr>
        <w:t xml:space="preserve">the </w:t>
      </w:r>
      <w:r w:rsidRPr="005F7380">
        <w:rPr>
          <w:sz w:val="22"/>
          <w:szCs w:val="22"/>
          <w:lang w:val="en-GB"/>
        </w:rPr>
        <w:t>safeguarding measures, and</w:t>
      </w:r>
      <w:r w:rsidR="0030182B">
        <w:rPr>
          <w:sz w:val="22"/>
          <w:szCs w:val="22"/>
          <w:lang w:val="en-GB"/>
        </w:rPr>
        <w:t xml:space="preserve"> to</w:t>
      </w:r>
      <w:r w:rsidRPr="005F7380">
        <w:rPr>
          <w:sz w:val="22"/>
          <w:szCs w:val="22"/>
          <w:lang w:val="en-GB"/>
        </w:rPr>
        <w:t xml:space="preserve"> rais</w:t>
      </w:r>
      <w:r>
        <w:rPr>
          <w:sz w:val="22"/>
          <w:szCs w:val="22"/>
          <w:lang w:val="en-GB"/>
        </w:rPr>
        <w:t>e</w:t>
      </w:r>
      <w:r w:rsidRPr="005F7380">
        <w:rPr>
          <w:sz w:val="22"/>
          <w:szCs w:val="22"/>
          <w:lang w:val="en-GB"/>
        </w:rPr>
        <w:t xml:space="preserve"> </w:t>
      </w:r>
      <w:r w:rsidR="0030182B">
        <w:rPr>
          <w:sz w:val="22"/>
          <w:szCs w:val="22"/>
          <w:lang w:val="en-GB"/>
        </w:rPr>
        <w:t>due</w:t>
      </w:r>
      <w:r w:rsidRPr="005F7380">
        <w:rPr>
          <w:sz w:val="22"/>
          <w:szCs w:val="22"/>
          <w:lang w:val="en-GB"/>
        </w:rPr>
        <w:t xml:space="preserve"> attention in the respective policy sectors of the government </w:t>
      </w:r>
      <w:r>
        <w:rPr>
          <w:sz w:val="22"/>
          <w:szCs w:val="22"/>
          <w:lang w:val="en-GB"/>
        </w:rPr>
        <w:t>with regards to</w:t>
      </w:r>
      <w:r w:rsidRPr="005F7380">
        <w:rPr>
          <w:sz w:val="22"/>
          <w:szCs w:val="22"/>
          <w:lang w:val="en-GB"/>
        </w:rPr>
        <w:t xml:space="preserve"> environmental </w:t>
      </w:r>
      <w:r>
        <w:rPr>
          <w:sz w:val="22"/>
          <w:szCs w:val="22"/>
          <w:lang w:val="en-GB"/>
        </w:rPr>
        <w:t>protection</w:t>
      </w:r>
      <w:r w:rsidRPr="005F7380">
        <w:rPr>
          <w:sz w:val="22"/>
          <w:szCs w:val="22"/>
          <w:lang w:val="en-GB"/>
        </w:rPr>
        <w:t xml:space="preserve"> and the sustainable use of natural resources;</w:t>
      </w:r>
    </w:p>
    <w:p w14:paraId="7C2C58CC" w14:textId="68E4B8EF" w:rsidR="00570A70" w:rsidRPr="00205A06" w:rsidRDefault="00570A70" w:rsidP="00570A70">
      <w:pPr>
        <w:pStyle w:val="Para"/>
        <w:numPr>
          <w:ilvl w:val="0"/>
          <w:numId w:val="25"/>
        </w:numPr>
        <w:tabs>
          <w:tab w:val="left" w:pos="1134"/>
        </w:tabs>
        <w:spacing w:line="240" w:lineRule="auto"/>
        <w:ind w:left="1134" w:hanging="567"/>
        <w:rPr>
          <w:rFonts w:cs="Arial"/>
          <w:sz w:val="22"/>
          <w:szCs w:val="22"/>
          <w:lang w:val="en-GB"/>
        </w:rPr>
      </w:pPr>
      <w:r w:rsidRPr="00205A06">
        <w:rPr>
          <w:rFonts w:cs="Arial"/>
          <w:sz w:val="22"/>
          <w:szCs w:val="22"/>
          <w:u w:val="single"/>
          <w:lang w:val="en-GB"/>
        </w:rPr>
        <w:t>Re</w:t>
      </w:r>
      <w:r>
        <w:rPr>
          <w:rFonts w:cs="Arial"/>
          <w:sz w:val="22"/>
          <w:szCs w:val="22"/>
          <w:u w:val="single"/>
          <w:lang w:val="en-GB"/>
        </w:rPr>
        <w:t>calls</w:t>
      </w:r>
      <w:r w:rsidRPr="00205A06">
        <w:rPr>
          <w:rFonts w:cs="Arial"/>
          <w:sz w:val="22"/>
          <w:szCs w:val="22"/>
          <w:lang w:val="en-GB"/>
        </w:rPr>
        <w:t xml:space="preserve"> </w:t>
      </w:r>
      <w:r>
        <w:rPr>
          <w:rFonts w:cs="Arial"/>
          <w:sz w:val="22"/>
          <w:szCs w:val="22"/>
          <w:lang w:val="en-GB"/>
        </w:rPr>
        <w:t>the importance of community participation in the safeguarding activities and throughout the reporting process</w:t>
      </w:r>
      <w:r w:rsidRPr="00205A06">
        <w:rPr>
          <w:rFonts w:cs="Arial"/>
          <w:sz w:val="22"/>
          <w:szCs w:val="22"/>
          <w:lang w:val="en-GB"/>
        </w:rPr>
        <w:t xml:space="preserve">, and </w:t>
      </w:r>
      <w:r w:rsidRPr="00205A06">
        <w:rPr>
          <w:rFonts w:cs="Arial"/>
          <w:sz w:val="22"/>
          <w:szCs w:val="22"/>
          <w:u w:val="single"/>
          <w:lang w:val="en-GB"/>
        </w:rPr>
        <w:t>encourages</w:t>
      </w:r>
      <w:r w:rsidRPr="00205A06">
        <w:rPr>
          <w:rFonts w:cs="Arial"/>
          <w:sz w:val="22"/>
          <w:szCs w:val="22"/>
          <w:lang w:val="en-GB"/>
        </w:rPr>
        <w:t xml:space="preserve"> the State Party to </w:t>
      </w:r>
      <w:r w:rsidR="00962219">
        <w:rPr>
          <w:rFonts w:cs="Arial"/>
          <w:sz w:val="22"/>
          <w:szCs w:val="22"/>
          <w:lang w:val="en-GB"/>
        </w:rPr>
        <w:t>ensure</w:t>
      </w:r>
      <w:r w:rsidRPr="00205A06">
        <w:rPr>
          <w:rFonts w:cs="Arial"/>
          <w:sz w:val="22"/>
          <w:szCs w:val="22"/>
          <w:lang w:val="en-GB"/>
        </w:rPr>
        <w:t xml:space="preserve"> </w:t>
      </w:r>
      <w:r>
        <w:rPr>
          <w:rFonts w:cs="Arial"/>
          <w:sz w:val="22"/>
          <w:szCs w:val="22"/>
          <w:lang w:val="en-GB"/>
        </w:rPr>
        <w:t xml:space="preserve">the </w:t>
      </w:r>
      <w:r w:rsidRPr="00205A06">
        <w:rPr>
          <w:rFonts w:cs="Arial"/>
          <w:sz w:val="22"/>
          <w:szCs w:val="22"/>
          <w:lang w:val="en-GB"/>
        </w:rPr>
        <w:t>participation of the Enawene Nawe people in the preparation of its future reports;</w:t>
      </w:r>
    </w:p>
    <w:p w14:paraId="78890EA0" w14:textId="49E64789" w:rsidR="00FA4117" w:rsidRDefault="00570A70" w:rsidP="0022017F">
      <w:pPr>
        <w:pStyle w:val="Para"/>
        <w:numPr>
          <w:ilvl w:val="0"/>
          <w:numId w:val="25"/>
        </w:numPr>
        <w:tabs>
          <w:tab w:val="left" w:pos="1134"/>
        </w:tabs>
        <w:spacing w:line="240" w:lineRule="auto"/>
        <w:ind w:left="1134" w:hanging="567"/>
        <w:rPr>
          <w:rFonts w:cs="Arial"/>
          <w:sz w:val="22"/>
          <w:szCs w:val="22"/>
          <w:lang w:val="en-GB"/>
        </w:rPr>
      </w:pPr>
      <w:r w:rsidRPr="00FA4117">
        <w:rPr>
          <w:rFonts w:cs="Arial"/>
          <w:sz w:val="22"/>
          <w:szCs w:val="22"/>
          <w:u w:val="single"/>
          <w:lang w:val="en-GB"/>
        </w:rPr>
        <w:t>Requests</w:t>
      </w:r>
      <w:r w:rsidRPr="00FA4117">
        <w:rPr>
          <w:rFonts w:cs="Arial"/>
          <w:sz w:val="22"/>
          <w:szCs w:val="22"/>
          <w:lang w:val="en-GB"/>
        </w:rPr>
        <w:t xml:space="preserve"> that the Secretariat inform the State Party at least nine months prior to the deadline of 15 December 2023 about the required submission of its next report on the status of this element.</w:t>
      </w:r>
    </w:p>
    <w:p w14:paraId="00CDA99C" w14:textId="7A2931C4" w:rsidR="001212C1" w:rsidRPr="00205A06" w:rsidRDefault="001212C1" w:rsidP="001212C1">
      <w:pPr>
        <w:pStyle w:val="COMTitleDecision"/>
        <w:pageBreakBefore/>
        <w:spacing w:before="480"/>
        <w:jc w:val="left"/>
      </w:pPr>
      <w:r w:rsidRPr="00205A06">
        <w:rPr>
          <w:bCs/>
        </w:rPr>
        <w:lastRenderedPageBreak/>
        <w:t>Indonesia:</w:t>
      </w:r>
      <w:r w:rsidRPr="00205A06">
        <w:t xml:space="preserve"> ‘Saman dance’</w:t>
      </w:r>
      <w:r w:rsidRPr="00205A06">
        <w:rPr>
          <w:bCs/>
          <w:i/>
          <w:iCs/>
        </w:rPr>
        <w:t xml:space="preserve"> </w:t>
      </w:r>
      <w:r w:rsidRPr="00205A06">
        <w:rPr>
          <w:b w:val="0"/>
          <w:bCs/>
          <w:i/>
          <w:iCs/>
        </w:rPr>
        <w:t xml:space="preserve">(consult the </w:t>
      </w:r>
      <w:hyperlink r:id="rId43" w:history="1">
        <w:r w:rsidRPr="00CB3243">
          <w:rPr>
            <w:rStyle w:val="Lienhypertexte"/>
            <w:b w:val="0"/>
            <w:bCs/>
            <w:i/>
            <w:iCs/>
          </w:rPr>
          <w:t>report</w:t>
        </w:r>
      </w:hyperlink>
      <w:r w:rsidRPr="00205A06">
        <w:rPr>
          <w:b w:val="0"/>
          <w:bCs/>
          <w:i/>
          <w:iCs/>
        </w:rPr>
        <w:t>)</w:t>
      </w:r>
    </w:p>
    <w:p w14:paraId="6CF08655" w14:textId="29979B3E" w:rsidR="001212C1" w:rsidRPr="00205A06" w:rsidRDefault="001212C1" w:rsidP="001212C1">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lang w:val="en-GB"/>
        </w:rPr>
        <w:t>Saman dance, accompanied by sung</w:t>
      </w:r>
      <w:r w:rsidR="0030182B">
        <w:rPr>
          <w:rFonts w:cs="Arial"/>
          <w:lang w:val="en-GB"/>
        </w:rPr>
        <w:t xml:space="preserve"> </w:t>
      </w:r>
      <w:r w:rsidRPr="00205A06">
        <w:rPr>
          <w:rFonts w:cs="Arial"/>
          <w:lang w:val="en-GB"/>
        </w:rPr>
        <w:t>poetry</w:t>
      </w:r>
      <w:r w:rsidR="0030182B">
        <w:rPr>
          <w:rFonts w:cs="Arial"/>
          <w:lang w:val="en-GB"/>
        </w:rPr>
        <w:t>,</w:t>
      </w:r>
      <w:r w:rsidRPr="00205A06">
        <w:rPr>
          <w:rFonts w:cs="Arial"/>
          <w:lang w:val="en-GB"/>
        </w:rPr>
        <w:t xml:space="preserve"> </w:t>
      </w:r>
      <w:r w:rsidR="0030182B">
        <w:rPr>
          <w:rFonts w:cs="Arial"/>
          <w:lang w:val="en-GB"/>
        </w:rPr>
        <w:t>which constitutes</w:t>
      </w:r>
      <w:r w:rsidR="0030182B" w:rsidRPr="00205A06">
        <w:rPr>
          <w:rFonts w:cs="Arial"/>
          <w:lang w:val="en-GB"/>
        </w:rPr>
        <w:t xml:space="preserve"> </w:t>
      </w:r>
      <w:r w:rsidR="0030182B">
        <w:rPr>
          <w:rFonts w:cs="Arial"/>
          <w:lang w:val="en-GB"/>
        </w:rPr>
        <w:t>an</w:t>
      </w:r>
      <w:r w:rsidR="0030182B" w:rsidRPr="00205A06">
        <w:rPr>
          <w:rFonts w:cs="Arial"/>
          <w:lang w:val="en-GB"/>
        </w:rPr>
        <w:t xml:space="preserve"> </w:t>
      </w:r>
      <w:r w:rsidRPr="00205A06">
        <w:rPr>
          <w:rFonts w:cs="Arial"/>
          <w:lang w:val="en-GB"/>
        </w:rPr>
        <w:t>inseparable part</w:t>
      </w:r>
      <w:r w:rsidR="0030182B">
        <w:rPr>
          <w:rFonts w:cs="Arial"/>
          <w:lang w:val="en-GB"/>
        </w:rPr>
        <w:t xml:space="preserve"> of the element</w:t>
      </w:r>
      <w:r w:rsidRPr="00205A06">
        <w:rPr>
          <w:rFonts w:cs="Arial"/>
          <w:lang w:val="en-GB"/>
        </w:rPr>
        <w:t xml:space="preserve">, has traditionally </w:t>
      </w:r>
      <w:r w:rsidR="008F5C4E" w:rsidRPr="00205A06">
        <w:rPr>
          <w:rFonts w:cs="Arial"/>
          <w:lang w:val="en-GB"/>
        </w:rPr>
        <w:t xml:space="preserve">been </w:t>
      </w:r>
      <w:r w:rsidRPr="00205A06">
        <w:rPr>
          <w:rFonts w:cs="Arial"/>
          <w:lang w:val="en-GB"/>
        </w:rPr>
        <w:t xml:space="preserve">performed by men </w:t>
      </w:r>
      <w:r w:rsidR="008F5C4E">
        <w:rPr>
          <w:rFonts w:cs="Arial"/>
          <w:lang w:val="en-GB"/>
        </w:rPr>
        <w:t xml:space="preserve">among the </w:t>
      </w:r>
      <w:r w:rsidRPr="00205A06">
        <w:rPr>
          <w:rFonts w:cs="Arial"/>
          <w:lang w:val="en-GB"/>
        </w:rPr>
        <w:t xml:space="preserve">Gayo people. It </w:t>
      </w:r>
      <w:r w:rsidR="00BA16CF">
        <w:rPr>
          <w:rFonts w:cs="Arial"/>
          <w:lang w:val="en-GB"/>
        </w:rPr>
        <w:t xml:space="preserve">is part of </w:t>
      </w:r>
      <w:r w:rsidRPr="00205A06">
        <w:rPr>
          <w:rFonts w:cs="Arial"/>
          <w:lang w:val="en-GB"/>
        </w:rPr>
        <w:t>the cultural identity of its community</w:t>
      </w:r>
      <w:r w:rsidR="008F5C4E">
        <w:rPr>
          <w:rFonts w:cs="Arial"/>
          <w:lang w:val="en-GB"/>
        </w:rPr>
        <w:t xml:space="preserve"> </w:t>
      </w:r>
      <w:r w:rsidRPr="00205A06">
        <w:rPr>
          <w:rFonts w:cs="Arial"/>
          <w:lang w:val="en-GB"/>
        </w:rPr>
        <w:t xml:space="preserve">and serves as a means </w:t>
      </w:r>
      <w:r w:rsidR="008F5C4E">
        <w:rPr>
          <w:rFonts w:cs="Arial"/>
          <w:lang w:val="en-GB"/>
        </w:rPr>
        <w:t>of</w:t>
      </w:r>
      <w:r w:rsidR="008F5C4E" w:rsidRPr="00205A06">
        <w:rPr>
          <w:rFonts w:cs="Arial"/>
          <w:lang w:val="en-GB"/>
        </w:rPr>
        <w:t xml:space="preserve"> </w:t>
      </w:r>
      <w:r w:rsidRPr="00205A06">
        <w:rPr>
          <w:rFonts w:cs="Arial"/>
          <w:lang w:val="en-GB"/>
        </w:rPr>
        <w:t>social integration, embracing the values of friendship, brotherhood, discipline, leadership, unity, cooperation and harmonious relations. The dance</w:t>
      </w:r>
      <w:r w:rsidR="008F5C4E">
        <w:rPr>
          <w:rFonts w:cs="Arial"/>
          <w:lang w:val="en-GB"/>
        </w:rPr>
        <w:t xml:space="preserve"> also</w:t>
      </w:r>
      <w:r w:rsidRPr="00205A06">
        <w:rPr>
          <w:rFonts w:cs="Arial"/>
          <w:lang w:val="en-GB"/>
        </w:rPr>
        <w:t xml:space="preserve"> serves as an informal educational tool. Within </w:t>
      </w:r>
      <w:r>
        <w:rPr>
          <w:rFonts w:cs="Arial"/>
          <w:lang w:val="en-GB"/>
        </w:rPr>
        <w:t xml:space="preserve">the </w:t>
      </w:r>
      <w:r w:rsidRPr="00205A06">
        <w:rPr>
          <w:rFonts w:cs="Arial"/>
          <w:lang w:val="en-GB"/>
        </w:rPr>
        <w:t>Gayo community</w:t>
      </w:r>
      <w:r w:rsidR="008F5C4E">
        <w:rPr>
          <w:rFonts w:cs="Arial"/>
          <w:lang w:val="en-GB"/>
        </w:rPr>
        <w:t>,</w:t>
      </w:r>
      <w:r w:rsidRPr="00205A06">
        <w:rPr>
          <w:rFonts w:cs="Arial"/>
          <w:lang w:val="en-GB"/>
        </w:rPr>
        <w:t xml:space="preserve"> the values associated </w:t>
      </w:r>
      <w:r w:rsidR="008F5C4E">
        <w:rPr>
          <w:rFonts w:cs="Arial"/>
          <w:lang w:val="en-GB"/>
        </w:rPr>
        <w:t>with</w:t>
      </w:r>
      <w:r w:rsidR="008F5C4E" w:rsidRPr="00205A06">
        <w:rPr>
          <w:rFonts w:cs="Arial"/>
          <w:lang w:val="en-GB"/>
        </w:rPr>
        <w:t xml:space="preserve"> </w:t>
      </w:r>
      <w:r w:rsidRPr="00205A06">
        <w:rPr>
          <w:rFonts w:cs="Arial"/>
          <w:lang w:val="en-GB"/>
        </w:rPr>
        <w:t xml:space="preserve">the dance are primarily transmitted through families, </w:t>
      </w:r>
      <w:r w:rsidRPr="00205A06">
        <w:rPr>
          <w:rFonts w:cs="Arial"/>
          <w:i/>
          <w:iCs/>
          <w:lang w:val="en-GB"/>
        </w:rPr>
        <w:t>Mersah</w:t>
      </w:r>
      <w:r w:rsidRPr="00205A06">
        <w:rPr>
          <w:rFonts w:cs="Arial"/>
          <w:lang w:val="en-GB"/>
        </w:rPr>
        <w:t xml:space="preserve"> as a traditional community institution and </w:t>
      </w:r>
      <w:r w:rsidRPr="00205A06">
        <w:rPr>
          <w:rFonts w:cs="Arial"/>
          <w:i/>
          <w:iCs/>
          <w:lang w:val="en-GB"/>
        </w:rPr>
        <w:t>Balee</w:t>
      </w:r>
      <w:r w:rsidRPr="00205A06">
        <w:rPr>
          <w:rFonts w:cs="Arial"/>
          <w:lang w:val="en-GB"/>
        </w:rPr>
        <w:t xml:space="preserve"> as a gathering </w:t>
      </w:r>
      <w:r w:rsidRPr="00205A06">
        <w:rPr>
          <w:bCs/>
          <w:lang w:val="en-GB"/>
        </w:rPr>
        <w:t xml:space="preserve">place </w:t>
      </w:r>
      <w:r w:rsidR="008F5C4E">
        <w:rPr>
          <w:bCs/>
          <w:lang w:val="en-GB"/>
        </w:rPr>
        <w:t xml:space="preserve">for </w:t>
      </w:r>
      <w:r>
        <w:rPr>
          <w:bCs/>
          <w:lang w:val="en-GB"/>
        </w:rPr>
        <w:t>practis</w:t>
      </w:r>
      <w:r w:rsidR="008F5C4E">
        <w:rPr>
          <w:bCs/>
          <w:lang w:val="en-GB"/>
        </w:rPr>
        <w:t>ing</w:t>
      </w:r>
      <w:r>
        <w:rPr>
          <w:bCs/>
          <w:lang w:val="en-GB"/>
        </w:rPr>
        <w:t xml:space="preserve"> Saman</w:t>
      </w:r>
      <w:r w:rsidRPr="00205A06">
        <w:rPr>
          <w:rFonts w:cs="Arial"/>
          <w:lang w:val="en-GB"/>
        </w:rPr>
        <w:t xml:space="preserve">. </w:t>
      </w:r>
      <w:r>
        <w:rPr>
          <w:rFonts w:cs="Arial"/>
          <w:lang w:val="en-GB"/>
        </w:rPr>
        <w:t>R</w:t>
      </w:r>
      <w:r w:rsidRPr="00205A06">
        <w:rPr>
          <w:rFonts w:cs="Arial"/>
          <w:lang w:val="en-GB"/>
        </w:rPr>
        <w:t>eciprocal visit</w:t>
      </w:r>
      <w:r w:rsidR="008F5C4E">
        <w:rPr>
          <w:rFonts w:cs="Arial"/>
          <w:lang w:val="en-GB"/>
        </w:rPr>
        <w:t>s</w:t>
      </w:r>
      <w:r w:rsidRPr="00205A06">
        <w:rPr>
          <w:rFonts w:cs="Arial"/>
          <w:lang w:val="en-GB"/>
        </w:rPr>
        <w:t xml:space="preserve"> between villages to </w:t>
      </w:r>
      <w:r>
        <w:rPr>
          <w:rFonts w:cs="Arial"/>
          <w:lang w:val="en-GB"/>
        </w:rPr>
        <w:t>practise</w:t>
      </w:r>
      <w:r w:rsidR="005239FA">
        <w:rPr>
          <w:rFonts w:cs="Arial"/>
          <w:lang w:val="en-GB"/>
        </w:rPr>
        <w:t xml:space="preserve"> </w:t>
      </w:r>
      <w:r w:rsidRPr="00205A06">
        <w:rPr>
          <w:rFonts w:cs="Arial"/>
          <w:lang w:val="en-GB"/>
        </w:rPr>
        <w:t xml:space="preserve">Saman strengthen relationships and friendship ties among villagers and between villages. The dance has spread beyond the Gayo community and is now </w:t>
      </w:r>
      <w:r w:rsidR="008F5C4E">
        <w:rPr>
          <w:rFonts w:cs="Arial"/>
          <w:lang w:val="en-GB"/>
        </w:rPr>
        <w:t xml:space="preserve">also </w:t>
      </w:r>
      <w:r w:rsidR="008F5C4E" w:rsidRPr="00205A06">
        <w:rPr>
          <w:rFonts w:cs="Arial"/>
          <w:lang w:val="en-GB"/>
        </w:rPr>
        <w:t>practi</w:t>
      </w:r>
      <w:r w:rsidR="008F5C4E">
        <w:rPr>
          <w:rFonts w:cs="Arial"/>
          <w:lang w:val="en-GB"/>
        </w:rPr>
        <w:t>s</w:t>
      </w:r>
      <w:r w:rsidR="008F5C4E" w:rsidRPr="00205A06">
        <w:rPr>
          <w:rFonts w:cs="Arial"/>
          <w:lang w:val="en-GB"/>
        </w:rPr>
        <w:t xml:space="preserve">ed </w:t>
      </w:r>
      <w:r w:rsidRPr="00205A06">
        <w:rPr>
          <w:rFonts w:cs="Arial"/>
          <w:lang w:val="en-GB"/>
        </w:rPr>
        <w:t>by other ethnic groups.</w:t>
      </w:r>
    </w:p>
    <w:p w14:paraId="625E61B7" w14:textId="382B5B03" w:rsidR="001212C1" w:rsidRPr="00205A06" w:rsidRDefault="001212C1" w:rsidP="001212C1">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44" w:history="1">
        <w:r w:rsidRPr="00DD4904">
          <w:rPr>
            <w:rStyle w:val="Lienhypertexte"/>
            <w:rFonts w:cs="Arial"/>
            <w:bCs/>
            <w:szCs w:val="22"/>
            <w:lang w:val="en-GB"/>
          </w:rPr>
          <w:t xml:space="preserve">Decision </w:t>
        </w:r>
        <w:r w:rsidRPr="00DD4904">
          <w:rPr>
            <w:rStyle w:val="Lienhypertexte"/>
            <w:rFonts w:cs="Arial"/>
            <w:szCs w:val="22"/>
            <w:lang w:val="en-GB"/>
          </w:rPr>
          <w:t>6.COM 8.8</w:t>
        </w:r>
      </w:hyperlink>
      <w:r>
        <w:rPr>
          <w:rFonts w:cs="Arial"/>
          <w:bCs/>
          <w:szCs w:val="22"/>
          <w:lang w:val="en-GB"/>
        </w:rPr>
        <w:t>)</w:t>
      </w:r>
      <w:r w:rsidRPr="00205A06">
        <w:rPr>
          <w:rFonts w:cs="Arial"/>
          <w:bCs/>
          <w:szCs w:val="22"/>
          <w:lang w:val="en-GB"/>
        </w:rPr>
        <w:t xml:space="preserve"> and the first report was examined by the Committee in 2017</w:t>
      </w:r>
      <w:r>
        <w:rPr>
          <w:rFonts w:cs="Arial"/>
          <w:bCs/>
          <w:szCs w:val="22"/>
          <w:lang w:val="en-GB"/>
        </w:rPr>
        <w:t xml:space="preserve"> (</w:t>
      </w:r>
      <w:hyperlink r:id="rId45" w:history="1">
        <w:r w:rsidRPr="00E25B78">
          <w:rPr>
            <w:rStyle w:val="Lienhypertexte"/>
            <w:rFonts w:cs="Arial"/>
            <w:bCs/>
            <w:szCs w:val="22"/>
            <w:lang w:val="en-GB"/>
          </w:rPr>
          <w:t xml:space="preserve">Decision </w:t>
        </w:r>
        <w:r w:rsidRPr="00E25B78">
          <w:rPr>
            <w:rStyle w:val="Lienhypertexte"/>
            <w:lang w:val="en-GB"/>
          </w:rPr>
          <w:t>12.COM 8.c.9</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59D79201" w14:textId="724F527C" w:rsidR="001212C1" w:rsidRPr="00205A06" w:rsidRDefault="001212C1" w:rsidP="001212C1">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Safeguarding activities in the period covered by the report were focused on the transmission and promotion of the element, and the number of dance groups and performances is growing. A record-breaking event featured a performance of more than </w:t>
      </w:r>
      <w:r w:rsidR="008F5C4E">
        <w:rPr>
          <w:bCs/>
          <w:lang w:val="en-GB"/>
        </w:rPr>
        <w:t>12,000</w:t>
      </w:r>
      <w:r w:rsidRPr="00205A06">
        <w:rPr>
          <w:bCs/>
          <w:lang w:val="en-GB"/>
        </w:rPr>
        <w:t xml:space="preserve"> Saman dancers in 2017, supported by regional governments; the first Saman Culture Festival was organized a year later. Specially </w:t>
      </w:r>
      <w:r w:rsidR="008F5C4E">
        <w:rPr>
          <w:bCs/>
          <w:lang w:val="en-GB"/>
        </w:rPr>
        <w:t>developed</w:t>
      </w:r>
      <w:r w:rsidR="008F5C4E" w:rsidRPr="00205A06">
        <w:rPr>
          <w:bCs/>
          <w:lang w:val="en-GB"/>
        </w:rPr>
        <w:t xml:space="preserve"> </w:t>
      </w:r>
      <w:r w:rsidRPr="00205A06">
        <w:rPr>
          <w:bCs/>
          <w:lang w:val="en-GB"/>
        </w:rPr>
        <w:t>school program</w:t>
      </w:r>
      <w:r w:rsidR="008F5C4E">
        <w:rPr>
          <w:bCs/>
          <w:lang w:val="en-GB"/>
        </w:rPr>
        <w:t>me</w:t>
      </w:r>
      <w:r w:rsidRPr="00205A06">
        <w:rPr>
          <w:bCs/>
          <w:lang w:val="en-GB"/>
        </w:rPr>
        <w:t xml:space="preserve">s have been implemented to share knowledge on the dance. Communication </w:t>
      </w:r>
      <w:r w:rsidR="008F5C4E">
        <w:rPr>
          <w:bCs/>
          <w:lang w:val="en-GB"/>
        </w:rPr>
        <w:t>via</w:t>
      </w:r>
      <w:r w:rsidR="008F5C4E" w:rsidRPr="00205A06">
        <w:rPr>
          <w:bCs/>
          <w:lang w:val="en-GB"/>
        </w:rPr>
        <w:t xml:space="preserve"> </w:t>
      </w:r>
      <w:r w:rsidRPr="00205A06">
        <w:rPr>
          <w:bCs/>
          <w:lang w:val="en-GB"/>
        </w:rPr>
        <w:t xml:space="preserve">social media and websites </w:t>
      </w:r>
      <w:r w:rsidR="008F5C4E">
        <w:rPr>
          <w:bCs/>
          <w:lang w:val="en-GB"/>
        </w:rPr>
        <w:t xml:space="preserve">has </w:t>
      </w:r>
      <w:r w:rsidRPr="00205A06">
        <w:rPr>
          <w:bCs/>
          <w:lang w:val="en-GB"/>
        </w:rPr>
        <w:t xml:space="preserve">proved to be an effective means </w:t>
      </w:r>
      <w:r w:rsidR="008F5C4E">
        <w:rPr>
          <w:bCs/>
          <w:lang w:val="en-GB"/>
        </w:rPr>
        <w:t>of</w:t>
      </w:r>
      <w:r w:rsidR="008F5C4E" w:rsidRPr="00205A06">
        <w:rPr>
          <w:bCs/>
          <w:lang w:val="en-GB"/>
        </w:rPr>
        <w:t xml:space="preserve"> </w:t>
      </w:r>
      <w:r w:rsidRPr="00205A06">
        <w:rPr>
          <w:bCs/>
          <w:lang w:val="en-GB"/>
        </w:rPr>
        <w:t xml:space="preserve">disseminating information related to Saman dance and </w:t>
      </w:r>
      <w:r w:rsidR="008F5C4E">
        <w:rPr>
          <w:bCs/>
          <w:lang w:val="en-GB"/>
        </w:rPr>
        <w:t xml:space="preserve">has </w:t>
      </w:r>
      <w:r w:rsidRPr="00205A06">
        <w:rPr>
          <w:bCs/>
          <w:lang w:val="en-GB"/>
        </w:rPr>
        <w:t xml:space="preserve">had a positive </w:t>
      </w:r>
      <w:r>
        <w:rPr>
          <w:bCs/>
          <w:lang w:val="en-GB"/>
        </w:rPr>
        <w:t>effect</w:t>
      </w:r>
      <w:r w:rsidRPr="00205A06">
        <w:rPr>
          <w:bCs/>
          <w:lang w:val="en-GB"/>
        </w:rPr>
        <w:t xml:space="preserve"> on its promotion. </w:t>
      </w:r>
      <w:r w:rsidR="008F5C4E">
        <w:rPr>
          <w:bCs/>
          <w:lang w:val="en-GB"/>
        </w:rPr>
        <w:t>Altogether, t</w:t>
      </w:r>
      <w:r w:rsidR="008F5C4E" w:rsidRPr="00205A06">
        <w:rPr>
          <w:bCs/>
          <w:lang w:val="en-GB"/>
        </w:rPr>
        <w:t xml:space="preserve">his </w:t>
      </w:r>
      <w:r w:rsidRPr="00205A06">
        <w:rPr>
          <w:bCs/>
          <w:lang w:val="en-GB"/>
        </w:rPr>
        <w:t xml:space="preserve">has </w:t>
      </w:r>
      <w:r w:rsidR="008F5C4E">
        <w:rPr>
          <w:bCs/>
          <w:lang w:val="en-GB"/>
        </w:rPr>
        <w:t>resulted in</w:t>
      </w:r>
      <w:r w:rsidR="008F5C4E" w:rsidRPr="00205A06">
        <w:rPr>
          <w:bCs/>
          <w:lang w:val="en-GB"/>
        </w:rPr>
        <w:t xml:space="preserve"> </w:t>
      </w:r>
      <w:r w:rsidRPr="00205A06">
        <w:rPr>
          <w:bCs/>
          <w:lang w:val="en-GB"/>
        </w:rPr>
        <w:t>increased public awareness</w:t>
      </w:r>
      <w:r>
        <w:rPr>
          <w:bCs/>
          <w:lang w:val="en-GB"/>
        </w:rPr>
        <w:t xml:space="preserve"> and understanding of </w:t>
      </w:r>
      <w:r w:rsidR="008F5C4E">
        <w:rPr>
          <w:bCs/>
          <w:lang w:val="en-GB"/>
        </w:rPr>
        <w:t xml:space="preserve">the </w:t>
      </w:r>
      <w:r>
        <w:rPr>
          <w:bCs/>
          <w:lang w:val="en-GB"/>
        </w:rPr>
        <w:t>Saman dance</w:t>
      </w:r>
      <w:r w:rsidRPr="00205A06">
        <w:rPr>
          <w:bCs/>
          <w:lang w:val="en-GB"/>
        </w:rPr>
        <w:t>.</w:t>
      </w:r>
    </w:p>
    <w:p w14:paraId="3E09191D" w14:textId="7997BA54" w:rsidR="001212C1" w:rsidRPr="00205A06" w:rsidRDefault="00F32600" w:rsidP="001212C1">
      <w:pPr>
        <w:pStyle w:val="Marge"/>
        <w:numPr>
          <w:ilvl w:val="0"/>
          <w:numId w:val="9"/>
        </w:numPr>
        <w:tabs>
          <w:tab w:val="clear" w:pos="567"/>
        </w:tabs>
        <w:autoSpaceDE w:val="0"/>
        <w:autoSpaceDN w:val="0"/>
        <w:adjustRightInd w:val="0"/>
        <w:spacing w:after="120"/>
        <w:ind w:left="567" w:hanging="567"/>
        <w:rPr>
          <w:bCs/>
          <w:lang w:val="en-GB"/>
        </w:rPr>
      </w:pPr>
      <w:r>
        <w:rPr>
          <w:lang w:val="en-GB"/>
        </w:rPr>
        <w:t>In its</w:t>
      </w:r>
      <w:r w:rsidR="001212C1" w:rsidRPr="00205A06">
        <w:rPr>
          <w:lang w:val="en-GB"/>
        </w:rPr>
        <w:t xml:space="preserve"> previous decision </w:t>
      </w:r>
      <w:hyperlink r:id="rId46" w:history="1">
        <w:r w:rsidR="001212C1" w:rsidRPr="00E25B78">
          <w:rPr>
            <w:rStyle w:val="Lienhypertexte"/>
            <w:lang w:val="en-GB"/>
          </w:rPr>
          <w:t>12.COM 8.c.9</w:t>
        </w:r>
      </w:hyperlink>
      <w:r w:rsidR="001212C1" w:rsidRPr="00205A06">
        <w:rPr>
          <w:color w:val="0000FF"/>
          <w:lang w:val="en-GB"/>
        </w:rPr>
        <w:t xml:space="preserve"> </w:t>
      </w:r>
      <w:r w:rsidR="001212C1">
        <w:rPr>
          <w:lang w:val="en-GB"/>
        </w:rPr>
        <w:t>concerning the first report examined in 2017</w:t>
      </w:r>
      <w:r w:rsidR="001212C1" w:rsidRPr="00205A06">
        <w:rPr>
          <w:lang w:val="en-GB"/>
        </w:rPr>
        <w:t xml:space="preserve">, </w:t>
      </w:r>
      <w:r w:rsidRPr="00205A06">
        <w:rPr>
          <w:lang w:val="en-GB"/>
        </w:rPr>
        <w:t>the Committee</w:t>
      </w:r>
      <w:r w:rsidRPr="00925C71">
        <w:rPr>
          <w:lang w:val="en-GB"/>
        </w:rPr>
        <w:t xml:space="preserve"> </w:t>
      </w:r>
      <w:r w:rsidR="001212C1" w:rsidRPr="00205A06">
        <w:rPr>
          <w:lang w:val="en-GB"/>
        </w:rPr>
        <w:t>encouraged the State Party to continue its efforts to support research studies on Saman and the transmission of Saman</w:t>
      </w:r>
      <w:r w:rsidR="008F5C4E">
        <w:rPr>
          <w:lang w:val="en-GB"/>
        </w:rPr>
        <w:t>-</w:t>
      </w:r>
      <w:r w:rsidR="001212C1" w:rsidRPr="00205A06">
        <w:rPr>
          <w:lang w:val="en-GB"/>
        </w:rPr>
        <w:t>related knowledge</w:t>
      </w:r>
      <w:r w:rsidR="00A85FE5">
        <w:rPr>
          <w:lang w:val="en-GB"/>
        </w:rPr>
        <w:t>. In this regard</w:t>
      </w:r>
      <w:r w:rsidR="001212C1" w:rsidRPr="00205A06">
        <w:rPr>
          <w:lang w:val="en-GB"/>
        </w:rPr>
        <w:t xml:space="preserve">, </w:t>
      </w:r>
      <w:r w:rsidR="001212C1" w:rsidRPr="00205A06">
        <w:rPr>
          <w:bCs/>
          <w:lang w:val="en-GB"/>
        </w:rPr>
        <w:t>numerous studies have been carried out on the Saman dance, and publications</w:t>
      </w:r>
      <w:r w:rsidR="008F5C4E">
        <w:rPr>
          <w:bCs/>
          <w:lang w:val="en-GB"/>
        </w:rPr>
        <w:t xml:space="preserve"> have been</w:t>
      </w:r>
      <w:r w:rsidR="001212C1" w:rsidRPr="00205A06">
        <w:rPr>
          <w:bCs/>
          <w:lang w:val="en-GB"/>
        </w:rPr>
        <w:t xml:space="preserve"> issued </w:t>
      </w:r>
      <w:r w:rsidR="008F5C4E">
        <w:rPr>
          <w:bCs/>
          <w:lang w:val="en-GB"/>
        </w:rPr>
        <w:t>to explain it</w:t>
      </w:r>
      <w:r w:rsidR="001212C1" w:rsidRPr="00205A06">
        <w:rPr>
          <w:bCs/>
          <w:lang w:val="en-GB"/>
        </w:rPr>
        <w:t xml:space="preserve">. Training for various audiences, </w:t>
      </w:r>
      <w:r w:rsidR="001212C1">
        <w:rPr>
          <w:bCs/>
          <w:lang w:val="en-GB"/>
        </w:rPr>
        <w:t xml:space="preserve">including </w:t>
      </w:r>
      <w:r w:rsidR="001212C1" w:rsidRPr="001C2576">
        <w:rPr>
          <w:i/>
          <w:iCs/>
          <w:lang w:val="en-US"/>
        </w:rPr>
        <w:t>sanggar</w:t>
      </w:r>
      <w:r w:rsidR="001212C1" w:rsidRPr="001C2576">
        <w:rPr>
          <w:lang w:val="en-US"/>
        </w:rPr>
        <w:t> </w:t>
      </w:r>
      <w:r w:rsidR="001212C1" w:rsidRPr="00205A06">
        <w:rPr>
          <w:bCs/>
          <w:lang w:val="en-GB"/>
        </w:rPr>
        <w:t>(</w:t>
      </w:r>
      <w:r w:rsidR="001212C1" w:rsidRPr="00EB70B0">
        <w:rPr>
          <w:bCs/>
          <w:lang w:val="en-GB"/>
        </w:rPr>
        <w:t>traditional arts training centres</w:t>
      </w:r>
      <w:r w:rsidR="001212C1" w:rsidRPr="00205A06">
        <w:rPr>
          <w:bCs/>
          <w:lang w:val="en-GB"/>
        </w:rPr>
        <w:t xml:space="preserve">) </w:t>
      </w:r>
      <w:r w:rsidR="001212C1" w:rsidRPr="001C2576">
        <w:rPr>
          <w:lang w:val="en-US"/>
        </w:rPr>
        <w:t>managers</w:t>
      </w:r>
      <w:r w:rsidR="001212C1">
        <w:rPr>
          <w:lang w:val="en-US"/>
        </w:rPr>
        <w:t>, and</w:t>
      </w:r>
      <w:r w:rsidR="001212C1" w:rsidRPr="00205A06">
        <w:rPr>
          <w:lang w:val="en-GB"/>
        </w:rPr>
        <w:t xml:space="preserve"> training of trainers for </w:t>
      </w:r>
      <w:r w:rsidR="001212C1" w:rsidRPr="000948B2">
        <w:rPr>
          <w:lang w:val="en-US"/>
        </w:rPr>
        <w:t>Saman trainers</w:t>
      </w:r>
      <w:r w:rsidR="001212C1" w:rsidRPr="00205A06">
        <w:rPr>
          <w:bCs/>
          <w:lang w:val="en-GB"/>
        </w:rPr>
        <w:t xml:space="preserve"> have been organized, and the functioning of</w:t>
      </w:r>
      <w:r w:rsidR="001212C1">
        <w:rPr>
          <w:bCs/>
          <w:lang w:val="en-GB"/>
        </w:rPr>
        <w:t xml:space="preserve"> </w:t>
      </w:r>
      <w:r w:rsidR="001212C1" w:rsidRPr="00205A06">
        <w:rPr>
          <w:bCs/>
          <w:i/>
          <w:iCs/>
          <w:lang w:val="en-GB"/>
        </w:rPr>
        <w:t>sanggar</w:t>
      </w:r>
      <w:r w:rsidR="001212C1" w:rsidRPr="00205A06">
        <w:rPr>
          <w:bCs/>
          <w:lang w:val="en-GB"/>
        </w:rPr>
        <w:t xml:space="preserve"> establishments has been supported. Activities </w:t>
      </w:r>
      <w:r w:rsidR="008F5C4E">
        <w:rPr>
          <w:bCs/>
          <w:lang w:val="en-GB"/>
        </w:rPr>
        <w:t>to</w:t>
      </w:r>
      <w:r w:rsidR="001212C1" w:rsidRPr="00205A06">
        <w:rPr>
          <w:bCs/>
          <w:lang w:val="en-GB"/>
        </w:rPr>
        <w:t xml:space="preserve"> empower Saman groups have been implemented by central and regional governments, providing opportunities </w:t>
      </w:r>
      <w:r w:rsidR="008F5C4E">
        <w:rPr>
          <w:bCs/>
          <w:lang w:val="en-GB"/>
        </w:rPr>
        <w:t>for</w:t>
      </w:r>
      <w:r w:rsidR="001212C1" w:rsidRPr="00205A06">
        <w:rPr>
          <w:bCs/>
          <w:lang w:val="en-GB"/>
        </w:rPr>
        <w:t xml:space="preserve"> perform</w:t>
      </w:r>
      <w:r w:rsidR="008F5C4E">
        <w:rPr>
          <w:bCs/>
          <w:lang w:val="en-GB"/>
        </w:rPr>
        <w:t>ing the dance</w:t>
      </w:r>
      <w:r w:rsidR="001212C1" w:rsidRPr="00205A06">
        <w:rPr>
          <w:lang w:val="en-GB"/>
        </w:rPr>
        <w:t xml:space="preserve">. </w:t>
      </w:r>
      <w:r w:rsidR="001212C1" w:rsidRPr="00205A06">
        <w:rPr>
          <w:bCs/>
          <w:lang w:val="en-GB"/>
        </w:rPr>
        <w:t xml:space="preserve">Disseminating information and carrying out further studies about the Saman dance, as well as opening up additional space for cultural activities related to </w:t>
      </w:r>
      <w:r w:rsidR="008F5C4E">
        <w:rPr>
          <w:bCs/>
          <w:lang w:val="en-GB"/>
        </w:rPr>
        <w:t>it</w:t>
      </w:r>
      <w:r w:rsidR="001212C1" w:rsidRPr="00205A06">
        <w:rPr>
          <w:bCs/>
          <w:lang w:val="en-GB"/>
        </w:rPr>
        <w:t xml:space="preserve">, are </w:t>
      </w:r>
      <w:r w:rsidR="001212C1">
        <w:rPr>
          <w:bCs/>
          <w:lang w:val="en-GB"/>
        </w:rPr>
        <w:t>at</w:t>
      </w:r>
      <w:r w:rsidR="001212C1" w:rsidRPr="00205A06">
        <w:rPr>
          <w:bCs/>
          <w:lang w:val="en-GB"/>
        </w:rPr>
        <w:t xml:space="preserve"> </w:t>
      </w:r>
      <w:r w:rsidR="001212C1">
        <w:rPr>
          <w:bCs/>
          <w:lang w:val="en-GB"/>
        </w:rPr>
        <w:t xml:space="preserve">the core </w:t>
      </w:r>
      <w:r w:rsidR="001212C1" w:rsidRPr="00205A06">
        <w:rPr>
          <w:bCs/>
          <w:lang w:val="en-GB"/>
        </w:rPr>
        <w:t xml:space="preserve">of the updated safeguarding plan. </w:t>
      </w:r>
      <w:r w:rsidR="001212C1">
        <w:rPr>
          <w:bCs/>
          <w:lang w:val="en-GB"/>
        </w:rPr>
        <w:t xml:space="preserve">In its previous decision, the Committee also encouraged the State Party to continue its safeguarding efforts by completing the construction of a Gayo Art and Culture Centre. The present report, however, does not provide </w:t>
      </w:r>
      <w:r w:rsidR="008F5C4E">
        <w:rPr>
          <w:bCs/>
          <w:lang w:val="en-GB"/>
        </w:rPr>
        <w:t xml:space="preserve">any </w:t>
      </w:r>
      <w:r w:rsidR="001212C1">
        <w:rPr>
          <w:bCs/>
          <w:lang w:val="en-GB"/>
        </w:rPr>
        <w:t xml:space="preserve">information </w:t>
      </w:r>
      <w:r w:rsidR="00DD0120">
        <w:rPr>
          <w:bCs/>
          <w:lang w:val="en-GB"/>
        </w:rPr>
        <w:t>on this issue</w:t>
      </w:r>
      <w:r w:rsidR="001212C1">
        <w:rPr>
          <w:bCs/>
          <w:lang w:val="en-GB"/>
        </w:rPr>
        <w:t>.</w:t>
      </w:r>
    </w:p>
    <w:p w14:paraId="7E1544D3" w14:textId="22EC5285" w:rsidR="001212C1" w:rsidRPr="00205A06" w:rsidRDefault="001212C1" w:rsidP="001212C1">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For the safeguarding of the element, central and regional governments collaborate with communities, groups, individuals and non-governmental organizations. </w:t>
      </w:r>
      <w:r w:rsidRPr="00205A06">
        <w:rPr>
          <w:bCs/>
          <w:i/>
          <w:iCs/>
          <w:lang w:val="en-GB"/>
        </w:rPr>
        <w:t>Belah</w:t>
      </w:r>
      <w:r w:rsidRPr="00205A06">
        <w:rPr>
          <w:bCs/>
          <w:lang w:val="en-GB"/>
        </w:rPr>
        <w:t xml:space="preserve">, local communities based on lineage, have participated in the </w:t>
      </w:r>
      <w:r w:rsidR="008F5C4E">
        <w:rPr>
          <w:bCs/>
          <w:lang w:val="en-GB"/>
        </w:rPr>
        <w:t xml:space="preserve">Saman </w:t>
      </w:r>
      <w:r w:rsidRPr="00205A06">
        <w:rPr>
          <w:bCs/>
          <w:lang w:val="en-GB"/>
        </w:rPr>
        <w:t xml:space="preserve">competitions, and </w:t>
      </w:r>
      <w:r w:rsidRPr="00205A06">
        <w:rPr>
          <w:bCs/>
          <w:i/>
          <w:iCs/>
          <w:lang w:val="en-GB"/>
        </w:rPr>
        <w:t>Mersah</w:t>
      </w:r>
      <w:r w:rsidRPr="00205A06">
        <w:rPr>
          <w:bCs/>
          <w:lang w:val="en-GB"/>
        </w:rPr>
        <w:t xml:space="preserve"> and </w:t>
      </w:r>
      <w:r w:rsidRPr="00205A06">
        <w:rPr>
          <w:bCs/>
          <w:i/>
          <w:iCs/>
          <w:lang w:val="en-GB"/>
        </w:rPr>
        <w:t>Balee</w:t>
      </w:r>
      <w:r>
        <w:rPr>
          <w:bCs/>
          <w:lang w:val="en-GB"/>
        </w:rPr>
        <w:t xml:space="preserve"> </w:t>
      </w:r>
      <w:r w:rsidRPr="00205A06">
        <w:rPr>
          <w:bCs/>
          <w:lang w:val="en-GB"/>
        </w:rPr>
        <w:t xml:space="preserve">have been revitalized and strengthened, </w:t>
      </w:r>
      <w:r w:rsidR="008F5C4E" w:rsidRPr="00205A06">
        <w:rPr>
          <w:bCs/>
          <w:lang w:val="en-GB"/>
        </w:rPr>
        <w:t xml:space="preserve">also </w:t>
      </w:r>
      <w:r w:rsidRPr="00205A06">
        <w:rPr>
          <w:bCs/>
          <w:lang w:val="en-GB"/>
        </w:rPr>
        <w:t xml:space="preserve">involving youth in the Saman practice. Youth and student organizations have promoted and taught </w:t>
      </w:r>
      <w:r w:rsidR="008F5C4E">
        <w:rPr>
          <w:bCs/>
          <w:lang w:val="en-GB"/>
        </w:rPr>
        <w:t xml:space="preserve">the </w:t>
      </w:r>
      <w:r w:rsidRPr="00205A06">
        <w:rPr>
          <w:bCs/>
          <w:lang w:val="en-GB"/>
        </w:rPr>
        <w:t xml:space="preserve">Saman dance in their communities, schools, campuses and neighbourhoods throughout Indonesia. </w:t>
      </w:r>
      <w:r w:rsidR="008F5C4E">
        <w:rPr>
          <w:bCs/>
          <w:lang w:val="en-GB"/>
        </w:rPr>
        <w:t xml:space="preserve">The </w:t>
      </w:r>
      <w:r w:rsidRPr="00205A06">
        <w:rPr>
          <w:bCs/>
          <w:lang w:val="en-GB"/>
        </w:rPr>
        <w:t xml:space="preserve">Duta Saman Institute, a Jakarta-based institution established by young people, has </w:t>
      </w:r>
      <w:r>
        <w:rPr>
          <w:bCs/>
          <w:lang w:val="en-GB"/>
        </w:rPr>
        <w:t>reinfor</w:t>
      </w:r>
      <w:r w:rsidRPr="00205A06">
        <w:rPr>
          <w:bCs/>
          <w:lang w:val="en-GB"/>
        </w:rPr>
        <w:t xml:space="preserve">ced </w:t>
      </w:r>
      <w:r>
        <w:rPr>
          <w:bCs/>
          <w:lang w:val="en-GB"/>
        </w:rPr>
        <w:t xml:space="preserve">the </w:t>
      </w:r>
      <w:r w:rsidRPr="00205A06">
        <w:rPr>
          <w:bCs/>
          <w:lang w:val="en-GB"/>
        </w:rPr>
        <w:t xml:space="preserve">training and performance of Saman, and assisted </w:t>
      </w:r>
      <w:r w:rsidR="008F5C4E">
        <w:rPr>
          <w:bCs/>
          <w:lang w:val="en-GB"/>
        </w:rPr>
        <w:t xml:space="preserve">the </w:t>
      </w:r>
      <w:r w:rsidRPr="00205A06">
        <w:rPr>
          <w:bCs/>
          <w:lang w:val="en-GB"/>
        </w:rPr>
        <w:t>Saman community in carrying out safeguarding activities in several provinces. A program</w:t>
      </w:r>
      <w:r w:rsidR="008F5C4E">
        <w:rPr>
          <w:bCs/>
          <w:lang w:val="en-GB"/>
        </w:rPr>
        <w:t>me</w:t>
      </w:r>
      <w:r w:rsidRPr="00205A06">
        <w:rPr>
          <w:bCs/>
          <w:lang w:val="en-GB"/>
        </w:rPr>
        <w:t xml:space="preserve"> of Saman ambassadors has </w:t>
      </w:r>
      <w:r>
        <w:rPr>
          <w:bCs/>
          <w:lang w:val="en-GB"/>
        </w:rPr>
        <w:t xml:space="preserve">also </w:t>
      </w:r>
      <w:r w:rsidRPr="00205A06">
        <w:rPr>
          <w:bCs/>
          <w:lang w:val="en-GB"/>
        </w:rPr>
        <w:t>been developed as a form of cultural diplomacy</w:t>
      </w:r>
      <w:r>
        <w:rPr>
          <w:bCs/>
          <w:lang w:val="en-GB"/>
        </w:rPr>
        <w:t xml:space="preserve">, with the support of </w:t>
      </w:r>
      <w:r w:rsidRPr="00205A06">
        <w:rPr>
          <w:bCs/>
          <w:lang w:val="en-GB"/>
        </w:rPr>
        <w:t>government officials</w:t>
      </w:r>
      <w:r>
        <w:rPr>
          <w:bCs/>
          <w:lang w:val="en-GB"/>
        </w:rPr>
        <w:t>, professional art communities and private individuals</w:t>
      </w:r>
      <w:r w:rsidRPr="00205A06">
        <w:rPr>
          <w:bCs/>
          <w:lang w:val="en-GB"/>
        </w:rPr>
        <w:t>. The updating of the safeguarding plan was community</w:t>
      </w:r>
      <w:r w:rsidR="008F5C4E">
        <w:rPr>
          <w:bCs/>
          <w:lang w:val="en-GB"/>
        </w:rPr>
        <w:t>-</w:t>
      </w:r>
      <w:r w:rsidRPr="00205A06">
        <w:rPr>
          <w:bCs/>
          <w:lang w:val="en-GB"/>
        </w:rPr>
        <w:t>driven</w:t>
      </w:r>
      <w:r w:rsidR="008F5C4E">
        <w:rPr>
          <w:bCs/>
          <w:lang w:val="en-GB"/>
        </w:rPr>
        <w:t>; it also</w:t>
      </w:r>
      <w:r w:rsidR="008F5C4E" w:rsidRPr="00205A06">
        <w:rPr>
          <w:bCs/>
          <w:lang w:val="en-GB"/>
        </w:rPr>
        <w:t xml:space="preserve"> involv</w:t>
      </w:r>
      <w:r w:rsidR="008F5C4E">
        <w:rPr>
          <w:bCs/>
          <w:lang w:val="en-GB"/>
        </w:rPr>
        <w:t>ed</w:t>
      </w:r>
      <w:r w:rsidR="008F5C4E" w:rsidRPr="00205A06">
        <w:rPr>
          <w:bCs/>
          <w:lang w:val="en-GB"/>
        </w:rPr>
        <w:t xml:space="preserve"> </w:t>
      </w:r>
      <w:r w:rsidRPr="00205A06">
        <w:rPr>
          <w:bCs/>
          <w:lang w:val="en-GB"/>
        </w:rPr>
        <w:t xml:space="preserve">youth and student communities </w:t>
      </w:r>
      <w:r w:rsidR="008F5C4E">
        <w:rPr>
          <w:bCs/>
          <w:lang w:val="en-GB"/>
        </w:rPr>
        <w:t>along with the</w:t>
      </w:r>
      <w:r w:rsidR="008F5C4E" w:rsidRPr="00205A06">
        <w:rPr>
          <w:bCs/>
          <w:lang w:val="en-GB"/>
        </w:rPr>
        <w:t xml:space="preserve"> </w:t>
      </w:r>
      <w:r w:rsidRPr="00205A06">
        <w:rPr>
          <w:bCs/>
          <w:lang w:val="en-GB"/>
        </w:rPr>
        <w:t>media. Various stakeholders and representatives of Saman communities from all over Indonesia have participated in preparing the report.</w:t>
      </w:r>
    </w:p>
    <w:p w14:paraId="10FE43F2" w14:textId="5F267DB3" w:rsidR="001212C1" w:rsidRPr="00205A06" w:rsidRDefault="001212C1" w:rsidP="001212C1">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The social function of Saman as a unifying tool is </w:t>
      </w:r>
      <w:r w:rsidR="00775DAD">
        <w:rPr>
          <w:lang w:val="en-GB"/>
        </w:rPr>
        <w:t>growing</w:t>
      </w:r>
      <w:r w:rsidRPr="00205A06">
        <w:rPr>
          <w:lang w:val="en-GB"/>
        </w:rPr>
        <w:t xml:space="preserve"> both in the Province of Aceh</w:t>
      </w:r>
      <w:r w:rsidR="008F5C4E">
        <w:rPr>
          <w:lang w:val="en-GB"/>
        </w:rPr>
        <w:t>,</w:t>
      </w:r>
      <w:r w:rsidRPr="00205A06">
        <w:rPr>
          <w:lang w:val="en-GB"/>
        </w:rPr>
        <w:t xml:space="preserve"> </w:t>
      </w:r>
      <w:r w:rsidRPr="00205A06">
        <w:rPr>
          <w:bCs/>
          <w:lang w:val="en-GB"/>
        </w:rPr>
        <w:t xml:space="preserve">where it has traditionally </w:t>
      </w:r>
      <w:r w:rsidR="008F5C4E" w:rsidRPr="00205A06">
        <w:rPr>
          <w:bCs/>
          <w:lang w:val="en-GB"/>
        </w:rPr>
        <w:t xml:space="preserve">been </w:t>
      </w:r>
      <w:r w:rsidRPr="00205A06">
        <w:rPr>
          <w:bCs/>
          <w:lang w:val="en-GB"/>
        </w:rPr>
        <w:t>performed,</w:t>
      </w:r>
      <w:r w:rsidRPr="00205A06">
        <w:rPr>
          <w:lang w:val="en-GB"/>
        </w:rPr>
        <w:t xml:space="preserve"> and at the national level; increasingly practi</w:t>
      </w:r>
      <w:r>
        <w:rPr>
          <w:lang w:val="en-GB"/>
        </w:rPr>
        <w:t>s</w:t>
      </w:r>
      <w:r w:rsidRPr="00205A06">
        <w:rPr>
          <w:lang w:val="en-GB"/>
        </w:rPr>
        <w:t>ed in various other regions in Indonesia</w:t>
      </w:r>
      <w:r>
        <w:rPr>
          <w:lang w:val="en-GB"/>
        </w:rPr>
        <w:t>,</w:t>
      </w:r>
      <w:r w:rsidRPr="00205A06">
        <w:rPr>
          <w:lang w:val="en-GB"/>
        </w:rPr>
        <w:t xml:space="preserve"> the dance has strengthened both local and national identity, becoming a source of pride</w:t>
      </w:r>
      <w:r w:rsidR="008F5C4E">
        <w:rPr>
          <w:lang w:val="en-GB"/>
        </w:rPr>
        <w:t>.</w:t>
      </w:r>
      <w:r w:rsidRPr="00205A06">
        <w:rPr>
          <w:lang w:val="en-GB"/>
        </w:rPr>
        <w:t xml:space="preserve"> </w:t>
      </w:r>
      <w:r w:rsidR="008F5C4E">
        <w:rPr>
          <w:lang w:val="en-GB"/>
        </w:rPr>
        <w:t>T</w:t>
      </w:r>
      <w:r w:rsidR="008F5C4E" w:rsidRPr="00205A06">
        <w:rPr>
          <w:lang w:val="en-GB"/>
        </w:rPr>
        <w:t xml:space="preserve">raining </w:t>
      </w:r>
      <w:r w:rsidRPr="00205A06">
        <w:rPr>
          <w:lang w:val="en-GB"/>
        </w:rPr>
        <w:t xml:space="preserve">and joint performances have </w:t>
      </w:r>
      <w:r w:rsidR="008F5C4E">
        <w:rPr>
          <w:lang w:val="en-GB"/>
        </w:rPr>
        <w:t>also led to greater</w:t>
      </w:r>
      <w:r w:rsidR="008F5C4E" w:rsidRPr="00205A06">
        <w:rPr>
          <w:lang w:val="en-GB"/>
        </w:rPr>
        <w:t xml:space="preserve"> </w:t>
      </w:r>
      <w:r w:rsidRPr="00205A06">
        <w:rPr>
          <w:lang w:val="en-GB"/>
        </w:rPr>
        <w:t xml:space="preserve">unity among various ethnic groups. </w:t>
      </w:r>
      <w:r w:rsidR="008F5C4E">
        <w:rPr>
          <w:lang w:val="en-GB"/>
        </w:rPr>
        <w:t>However, since there is</w:t>
      </w:r>
      <w:r w:rsidRPr="00205A06">
        <w:rPr>
          <w:lang w:val="en-GB"/>
        </w:rPr>
        <w:t xml:space="preserve"> a difficulty </w:t>
      </w:r>
      <w:r w:rsidRPr="00205A06">
        <w:rPr>
          <w:lang w:val="en-GB"/>
        </w:rPr>
        <w:lastRenderedPageBreak/>
        <w:t xml:space="preserve">experienced in </w:t>
      </w:r>
      <w:r>
        <w:rPr>
          <w:lang w:val="en-GB"/>
        </w:rPr>
        <w:t xml:space="preserve">the practice of </w:t>
      </w:r>
      <w:r w:rsidRPr="00205A06">
        <w:rPr>
          <w:lang w:val="en-GB"/>
        </w:rPr>
        <w:t>spontaneous sung</w:t>
      </w:r>
      <w:r w:rsidR="008F5C4E">
        <w:rPr>
          <w:lang w:val="en-GB"/>
        </w:rPr>
        <w:t xml:space="preserve"> </w:t>
      </w:r>
      <w:r w:rsidRPr="00205A06">
        <w:rPr>
          <w:lang w:val="en-GB"/>
        </w:rPr>
        <w:t>poetry</w:t>
      </w:r>
      <w:r>
        <w:rPr>
          <w:lang w:val="en-GB"/>
        </w:rPr>
        <w:t xml:space="preserve"> that accompanies the dance</w:t>
      </w:r>
      <w:r w:rsidR="008F5C4E">
        <w:rPr>
          <w:lang w:val="en-GB"/>
        </w:rPr>
        <w:t xml:space="preserve">, </w:t>
      </w:r>
      <w:r w:rsidRPr="00205A06">
        <w:rPr>
          <w:lang w:val="en-GB"/>
        </w:rPr>
        <w:t>relevant trainings</w:t>
      </w:r>
      <w:r>
        <w:rPr>
          <w:lang w:val="en-GB"/>
        </w:rPr>
        <w:t xml:space="preserve"> for</w:t>
      </w:r>
      <w:r w:rsidRPr="00205A06">
        <w:rPr>
          <w:lang w:val="en-GB"/>
        </w:rPr>
        <w:t xml:space="preserve"> </w:t>
      </w:r>
      <w:r w:rsidRPr="00205A06">
        <w:rPr>
          <w:i/>
          <w:iCs/>
          <w:lang w:val="en-GB"/>
        </w:rPr>
        <w:t>jangin</w:t>
      </w:r>
      <w:r w:rsidRPr="00205A06">
        <w:rPr>
          <w:lang w:val="en-GB"/>
        </w:rPr>
        <w:t xml:space="preserve"> (poetry) and </w:t>
      </w:r>
      <w:r w:rsidRPr="00205A06">
        <w:rPr>
          <w:i/>
          <w:iCs/>
          <w:lang w:val="en-GB"/>
        </w:rPr>
        <w:t>nesek</w:t>
      </w:r>
      <w:r w:rsidRPr="00205A06">
        <w:rPr>
          <w:lang w:val="en-GB"/>
        </w:rPr>
        <w:t xml:space="preserve"> (the art of poetry recital) have been provided. </w:t>
      </w:r>
      <w:r>
        <w:rPr>
          <w:lang w:val="en-GB"/>
        </w:rPr>
        <w:t xml:space="preserve">According to the nomination, </w:t>
      </w:r>
      <w:r w:rsidR="008F5C4E">
        <w:rPr>
          <w:lang w:val="en-GB"/>
        </w:rPr>
        <w:t xml:space="preserve">the </w:t>
      </w:r>
      <w:r w:rsidRPr="00BE6A93">
        <w:rPr>
          <w:lang w:val="en-GB"/>
        </w:rPr>
        <w:t>verse</w:t>
      </w:r>
      <w:r>
        <w:rPr>
          <w:lang w:val="en-GB"/>
        </w:rPr>
        <w:t xml:space="preserve">s are mainly sung in </w:t>
      </w:r>
      <w:r w:rsidR="008F5C4E">
        <w:rPr>
          <w:lang w:val="en-GB"/>
        </w:rPr>
        <w:t xml:space="preserve">the </w:t>
      </w:r>
      <w:r>
        <w:rPr>
          <w:lang w:val="en-GB"/>
        </w:rPr>
        <w:t xml:space="preserve">Gayo language, interspersed with Arabic, Acehnese and Indonesian; the present report, however, does not specify the use of this language in the practice of </w:t>
      </w:r>
      <w:r w:rsidR="008F5C4E">
        <w:rPr>
          <w:lang w:val="en-GB"/>
        </w:rPr>
        <w:t xml:space="preserve">the </w:t>
      </w:r>
      <w:r>
        <w:rPr>
          <w:lang w:val="en-GB"/>
        </w:rPr>
        <w:t>Saman dance</w:t>
      </w:r>
      <w:r w:rsidRPr="00205A06">
        <w:rPr>
          <w:lang w:val="en-GB"/>
        </w:rPr>
        <w:t xml:space="preserve">. </w:t>
      </w:r>
      <w:r>
        <w:rPr>
          <w:lang w:val="en-GB"/>
        </w:rPr>
        <w:t>Although p</w:t>
      </w:r>
      <w:r w:rsidRPr="00205A06">
        <w:rPr>
          <w:lang w:val="en-GB"/>
        </w:rPr>
        <w:t xml:space="preserve">ublic interest in Saman has </w:t>
      </w:r>
      <w:r>
        <w:rPr>
          <w:lang w:val="en-GB"/>
        </w:rPr>
        <w:t>been raised</w:t>
      </w:r>
      <w:r w:rsidRPr="00205A06">
        <w:rPr>
          <w:lang w:val="en-GB"/>
        </w:rPr>
        <w:t xml:space="preserve"> at various levels, </w:t>
      </w:r>
      <w:r>
        <w:rPr>
          <w:lang w:val="en-GB"/>
        </w:rPr>
        <w:t xml:space="preserve">its </w:t>
      </w:r>
      <w:r w:rsidRPr="00205A06">
        <w:rPr>
          <w:lang w:val="en-GB"/>
        </w:rPr>
        <w:t>increased visibility has also brought challenge</w:t>
      </w:r>
      <w:r>
        <w:rPr>
          <w:lang w:val="en-GB"/>
        </w:rPr>
        <w:t>s</w:t>
      </w:r>
      <w:r w:rsidR="008F5C4E">
        <w:rPr>
          <w:lang w:val="en-GB"/>
        </w:rPr>
        <w:t xml:space="preserve"> for </w:t>
      </w:r>
      <w:r>
        <w:rPr>
          <w:lang w:val="en-GB"/>
        </w:rPr>
        <w:t>enhanc</w:t>
      </w:r>
      <w:r w:rsidR="004A7E06">
        <w:rPr>
          <w:lang w:val="en-GB"/>
        </w:rPr>
        <w:t>ing</w:t>
      </w:r>
      <w:r>
        <w:rPr>
          <w:lang w:val="en-GB"/>
        </w:rPr>
        <w:t xml:space="preserve"> </w:t>
      </w:r>
      <w:r w:rsidR="008F5C4E">
        <w:rPr>
          <w:lang w:val="en-GB"/>
        </w:rPr>
        <w:t xml:space="preserve">the </w:t>
      </w:r>
      <w:r>
        <w:rPr>
          <w:lang w:val="en-GB"/>
        </w:rPr>
        <w:t>understanding</w:t>
      </w:r>
      <w:r w:rsidRPr="00205A06">
        <w:rPr>
          <w:lang w:val="en-GB"/>
        </w:rPr>
        <w:t xml:space="preserve"> </w:t>
      </w:r>
      <w:r>
        <w:rPr>
          <w:lang w:val="en-GB"/>
        </w:rPr>
        <w:t>of</w:t>
      </w:r>
      <w:r w:rsidRPr="00205A06">
        <w:rPr>
          <w:lang w:val="en-GB"/>
        </w:rPr>
        <w:t xml:space="preserve"> its specificity, and </w:t>
      </w:r>
      <w:r w:rsidR="004A7E06">
        <w:rPr>
          <w:lang w:val="en-GB"/>
        </w:rPr>
        <w:t>raised</w:t>
      </w:r>
      <w:r w:rsidRPr="00205A06">
        <w:rPr>
          <w:lang w:val="en-GB"/>
        </w:rPr>
        <w:t xml:space="preserve"> confusion with other sitting dances characteristic </w:t>
      </w:r>
      <w:r w:rsidR="008F5C4E">
        <w:rPr>
          <w:lang w:val="en-GB"/>
        </w:rPr>
        <w:t>of</w:t>
      </w:r>
      <w:r w:rsidR="008F5C4E" w:rsidRPr="00205A06">
        <w:rPr>
          <w:lang w:val="en-GB"/>
        </w:rPr>
        <w:t xml:space="preserve"> </w:t>
      </w:r>
      <w:r w:rsidRPr="00205A06">
        <w:rPr>
          <w:lang w:val="en-GB"/>
        </w:rPr>
        <w:t>the Province of Aceh.</w:t>
      </w:r>
    </w:p>
    <w:p w14:paraId="058166F8" w14:textId="77777777" w:rsidR="001212C1" w:rsidRPr="00205A06" w:rsidRDefault="001212C1" w:rsidP="001212C1">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adopt the following decision:</w:t>
      </w:r>
    </w:p>
    <w:p w14:paraId="5057F995" w14:textId="666261C3" w:rsidR="001212C1" w:rsidRPr="00030491" w:rsidRDefault="001212C1" w:rsidP="001212C1">
      <w:pPr>
        <w:pStyle w:val="Titre4"/>
        <w:numPr>
          <w:ilvl w:val="0"/>
          <w:numId w:val="0"/>
        </w:numPr>
        <w:spacing w:before="240"/>
        <w:ind w:left="567"/>
        <w:rPr>
          <w:rFonts w:eastAsia="SimSun"/>
          <w:szCs w:val="22"/>
        </w:rPr>
      </w:pPr>
      <w:bookmarkStart w:id="4" w:name="Dec15COM7_2"/>
      <w:r w:rsidRPr="00205A06">
        <w:rPr>
          <w:szCs w:val="22"/>
        </w:rPr>
        <w:t>DRAFT DECISION 15.COM </w:t>
      </w:r>
      <w:r w:rsidR="00B40F86" w:rsidRPr="00030491">
        <w:rPr>
          <w:szCs w:val="22"/>
        </w:rPr>
        <w:t>7</w:t>
      </w:r>
      <w:r w:rsidRPr="00030491">
        <w:rPr>
          <w:szCs w:val="22"/>
        </w:rPr>
        <w:t>.2</w:t>
      </w:r>
      <w:bookmarkEnd w:id="4"/>
      <w:r w:rsidRPr="00030491">
        <w:rPr>
          <w:szCs w:val="22"/>
        </w:rPr>
        <w:tab/>
      </w:r>
      <w:r w:rsidR="00420A31" w:rsidRPr="00030491">
        <w:rPr>
          <w:noProof/>
          <w:color w:val="0000FF"/>
        </w:rPr>
        <w:drawing>
          <wp:inline distT="0" distB="0" distL="0" distR="0" wp14:anchorId="674D73DE" wp14:editId="2162F96C">
            <wp:extent cx="104775" cy="104775"/>
            <wp:effectExtent l="0" t="0" r="9525" b="9525"/>
            <wp:docPr id="1"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5A0E9987" w14:textId="77777777" w:rsidR="001212C1" w:rsidRPr="00030491" w:rsidRDefault="001212C1" w:rsidP="001212C1">
      <w:pPr>
        <w:pStyle w:val="Para"/>
        <w:keepNext/>
        <w:numPr>
          <w:ilvl w:val="0"/>
          <w:numId w:val="0"/>
        </w:numPr>
        <w:tabs>
          <w:tab w:val="left" w:pos="1134"/>
        </w:tabs>
        <w:spacing w:line="240" w:lineRule="auto"/>
        <w:ind w:left="567"/>
        <w:rPr>
          <w:rFonts w:cs="Arial"/>
          <w:sz w:val="22"/>
          <w:szCs w:val="22"/>
          <w:lang w:val="en-GB"/>
        </w:rPr>
      </w:pPr>
      <w:r w:rsidRPr="00030491">
        <w:rPr>
          <w:rFonts w:cs="Arial"/>
          <w:sz w:val="22"/>
          <w:szCs w:val="22"/>
          <w:lang w:val="en-GB"/>
        </w:rPr>
        <w:t>The Committee,</w:t>
      </w:r>
    </w:p>
    <w:p w14:paraId="7D24A60F" w14:textId="63764DE3" w:rsidR="001212C1" w:rsidRPr="00030491" w:rsidRDefault="001212C1" w:rsidP="001212C1">
      <w:pPr>
        <w:pStyle w:val="Para"/>
        <w:numPr>
          <w:ilvl w:val="0"/>
          <w:numId w:val="16"/>
        </w:numPr>
        <w:tabs>
          <w:tab w:val="left" w:pos="1134"/>
        </w:tabs>
        <w:spacing w:line="240" w:lineRule="auto"/>
        <w:ind w:left="1134" w:hanging="567"/>
        <w:rPr>
          <w:rFonts w:cs="Arial"/>
          <w:sz w:val="22"/>
          <w:szCs w:val="22"/>
          <w:lang w:val="pt-PT"/>
        </w:rPr>
      </w:pPr>
      <w:r w:rsidRPr="00030491">
        <w:rPr>
          <w:rFonts w:cs="Arial"/>
          <w:sz w:val="22"/>
          <w:szCs w:val="22"/>
          <w:u w:val="single"/>
          <w:lang w:val="pt-PT"/>
        </w:rPr>
        <w:t>Having examined</w:t>
      </w:r>
      <w:r w:rsidRPr="00030491">
        <w:rPr>
          <w:rFonts w:cs="Arial"/>
          <w:sz w:val="22"/>
          <w:szCs w:val="22"/>
          <w:lang w:val="pt-PT"/>
        </w:rPr>
        <w:t xml:space="preserve"> document LHE/20/15.COM/</w:t>
      </w:r>
      <w:r w:rsidR="00B40F86" w:rsidRPr="00030491">
        <w:rPr>
          <w:rFonts w:cs="Arial"/>
          <w:sz w:val="22"/>
          <w:szCs w:val="22"/>
          <w:lang w:val="pt-PT"/>
        </w:rPr>
        <w:t>7</w:t>
      </w:r>
      <w:r w:rsidRPr="00030491">
        <w:rPr>
          <w:rFonts w:cs="Arial"/>
          <w:sz w:val="22"/>
          <w:szCs w:val="22"/>
          <w:lang w:val="pt-PT"/>
        </w:rPr>
        <w:t>,</w:t>
      </w:r>
    </w:p>
    <w:p w14:paraId="02037B60" w14:textId="62B11D82"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sidRPr="00205A06">
        <w:rPr>
          <w:rFonts w:cs="Arial"/>
          <w:sz w:val="22"/>
          <w:szCs w:val="22"/>
          <w:u w:val="single"/>
          <w:lang w:val="en-GB"/>
        </w:rPr>
        <w:t>Recalling</w:t>
      </w:r>
      <w:r w:rsidRPr="00205A06">
        <w:rPr>
          <w:rFonts w:cs="Arial"/>
          <w:sz w:val="22"/>
          <w:szCs w:val="22"/>
          <w:lang w:val="en-GB"/>
        </w:rPr>
        <w:t xml:space="preserve"> Chapter V of the Operational Directives and its Decisions </w:t>
      </w:r>
      <w:hyperlink r:id="rId47" w:history="1">
        <w:r w:rsidRPr="00DD4904">
          <w:rPr>
            <w:rStyle w:val="Lienhypertexte"/>
            <w:rFonts w:cs="Arial"/>
            <w:sz w:val="22"/>
            <w:szCs w:val="22"/>
            <w:lang w:val="en-GB"/>
          </w:rPr>
          <w:t>6.COM 8.8</w:t>
        </w:r>
      </w:hyperlink>
      <w:r w:rsidRPr="00205A06">
        <w:rPr>
          <w:rFonts w:cs="Arial"/>
          <w:sz w:val="22"/>
          <w:szCs w:val="22"/>
          <w:lang w:val="en-GB"/>
        </w:rPr>
        <w:t xml:space="preserve"> and </w:t>
      </w:r>
      <w:hyperlink r:id="rId48" w:history="1">
        <w:r w:rsidRPr="00E25B78">
          <w:rPr>
            <w:rStyle w:val="Lienhypertexte"/>
            <w:rFonts w:cs="Arial"/>
            <w:sz w:val="22"/>
            <w:szCs w:val="22"/>
            <w:lang w:val="en-GB"/>
          </w:rPr>
          <w:t>12.COM 8.c.9</w:t>
        </w:r>
      </w:hyperlink>
      <w:r w:rsidRPr="00205A06">
        <w:rPr>
          <w:rFonts w:cs="Arial"/>
          <w:sz w:val="22"/>
          <w:szCs w:val="22"/>
          <w:lang w:val="en-GB"/>
        </w:rPr>
        <w:t>,</w:t>
      </w:r>
    </w:p>
    <w:p w14:paraId="5AA0B0F8" w14:textId="77777777"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sidRPr="00205A06">
        <w:rPr>
          <w:rFonts w:cs="Arial"/>
          <w:sz w:val="22"/>
          <w:szCs w:val="22"/>
          <w:u w:val="single"/>
          <w:lang w:val="en-GB"/>
        </w:rPr>
        <w:t>Expresses its thanks</w:t>
      </w:r>
      <w:r w:rsidRPr="00205A06">
        <w:rPr>
          <w:rFonts w:cs="Arial"/>
          <w:sz w:val="22"/>
          <w:szCs w:val="22"/>
          <w:lang w:val="en-GB"/>
        </w:rPr>
        <w:t xml:space="preserve"> to Indonesia for submitting, on time, its report on the </w:t>
      </w:r>
      <w:r w:rsidRPr="00205A06">
        <w:rPr>
          <w:rFonts w:cs="Arial"/>
          <w:bCs/>
          <w:sz w:val="22"/>
          <w:szCs w:val="22"/>
          <w:lang w:val="en-GB"/>
        </w:rPr>
        <w:t xml:space="preserve">status of the </w:t>
      </w:r>
      <w:r w:rsidRPr="00205A06">
        <w:rPr>
          <w:rFonts w:cs="Arial"/>
          <w:sz w:val="22"/>
          <w:szCs w:val="22"/>
          <w:lang w:val="en-GB"/>
        </w:rPr>
        <w:t>element ‘</w:t>
      </w:r>
      <w:r w:rsidRPr="00205A06">
        <w:rPr>
          <w:sz w:val="22"/>
          <w:szCs w:val="22"/>
          <w:lang w:val="en-GB"/>
        </w:rPr>
        <w:t>Saman dance</w:t>
      </w:r>
      <w:r w:rsidRPr="00205A06">
        <w:rPr>
          <w:rFonts w:cs="Arial"/>
          <w:sz w:val="22"/>
          <w:szCs w:val="22"/>
          <w:lang w:val="en-GB"/>
        </w:rPr>
        <w:t>’, inscribed</w:t>
      </w:r>
      <w:r w:rsidRPr="00205A06">
        <w:rPr>
          <w:rFonts w:cs="Arial"/>
          <w:bCs/>
          <w:sz w:val="22"/>
          <w:szCs w:val="22"/>
          <w:lang w:val="en-GB"/>
        </w:rPr>
        <w:t xml:space="preserve"> in 2011 on the List of Intangible Cultural Heritage in Need of Urgent Safeguarding;</w:t>
      </w:r>
    </w:p>
    <w:p w14:paraId="61B2028B" w14:textId="5D5A5969"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sidRPr="00205A06">
        <w:rPr>
          <w:rFonts w:cs="Arial"/>
          <w:sz w:val="22"/>
          <w:szCs w:val="22"/>
          <w:u w:val="single"/>
          <w:lang w:val="en-GB"/>
        </w:rPr>
        <w:t>Takes note</w:t>
      </w:r>
      <w:r w:rsidRPr="00205A06">
        <w:rPr>
          <w:rFonts w:cs="Arial"/>
          <w:sz w:val="22"/>
          <w:szCs w:val="22"/>
          <w:lang w:val="en-GB"/>
        </w:rPr>
        <w:t xml:space="preserve"> of the efforts undertaken by the State Party to safeguard the element, </w:t>
      </w:r>
      <w:r w:rsidR="005716C9">
        <w:rPr>
          <w:rFonts w:cs="Arial"/>
          <w:sz w:val="22"/>
          <w:szCs w:val="22"/>
          <w:lang w:val="en-GB"/>
        </w:rPr>
        <w:t>especially</w:t>
      </w:r>
      <w:r w:rsidRPr="00205A06">
        <w:rPr>
          <w:rFonts w:cs="Arial"/>
          <w:sz w:val="22"/>
          <w:szCs w:val="22"/>
          <w:lang w:val="en-GB"/>
        </w:rPr>
        <w:t xml:space="preserve"> through diverse and collaborative safeguarding activities with support from </w:t>
      </w:r>
      <w:r w:rsidR="008F5C4E">
        <w:rPr>
          <w:rFonts w:cs="Arial"/>
          <w:sz w:val="22"/>
          <w:szCs w:val="22"/>
          <w:lang w:val="en-GB"/>
        </w:rPr>
        <w:t xml:space="preserve">the </w:t>
      </w:r>
      <w:r w:rsidRPr="00205A06">
        <w:rPr>
          <w:rFonts w:cs="Arial"/>
          <w:sz w:val="22"/>
          <w:szCs w:val="22"/>
          <w:lang w:val="en-GB"/>
        </w:rPr>
        <w:t xml:space="preserve">central and regional governments, </w:t>
      </w:r>
      <w:r>
        <w:rPr>
          <w:rFonts w:cs="Arial"/>
          <w:sz w:val="22"/>
          <w:szCs w:val="22"/>
          <w:lang w:val="en-GB"/>
        </w:rPr>
        <w:t xml:space="preserve">and by </w:t>
      </w:r>
      <w:r w:rsidRPr="00205A06">
        <w:rPr>
          <w:rFonts w:cs="Arial"/>
          <w:sz w:val="22"/>
          <w:szCs w:val="22"/>
          <w:lang w:val="en-GB"/>
        </w:rPr>
        <w:t xml:space="preserve">enhancing the transmission of </w:t>
      </w:r>
      <w:r w:rsidR="008F5C4E">
        <w:rPr>
          <w:rFonts w:cs="Arial"/>
          <w:sz w:val="22"/>
          <w:szCs w:val="22"/>
          <w:lang w:val="en-GB"/>
        </w:rPr>
        <w:t xml:space="preserve">the </w:t>
      </w:r>
      <w:r w:rsidRPr="00205A06">
        <w:rPr>
          <w:rFonts w:cs="Arial"/>
          <w:sz w:val="22"/>
          <w:szCs w:val="22"/>
          <w:lang w:val="en-GB"/>
        </w:rPr>
        <w:t>Saman dance through traditional institutions and newly established organizations;</w:t>
      </w:r>
    </w:p>
    <w:p w14:paraId="05188749" w14:textId="4A96722A"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Pr>
          <w:rFonts w:cs="Arial"/>
          <w:sz w:val="22"/>
          <w:szCs w:val="22"/>
          <w:u w:val="single"/>
          <w:lang w:val="en-GB"/>
        </w:rPr>
        <w:t>Further t</w:t>
      </w:r>
      <w:r w:rsidRPr="00205A06">
        <w:rPr>
          <w:rFonts w:cs="Arial"/>
          <w:sz w:val="22"/>
          <w:szCs w:val="22"/>
          <w:u w:val="single"/>
          <w:lang w:val="en-GB"/>
        </w:rPr>
        <w:t>akes note</w:t>
      </w:r>
      <w:r w:rsidRPr="00205A06">
        <w:rPr>
          <w:rFonts w:cs="Arial"/>
          <w:sz w:val="22"/>
          <w:szCs w:val="22"/>
          <w:lang w:val="en-GB"/>
        </w:rPr>
        <w:t xml:space="preserve"> of the growth of the Saman dance community, including </w:t>
      </w:r>
      <w:r w:rsidR="008F5C4E">
        <w:rPr>
          <w:rFonts w:cs="Arial"/>
          <w:sz w:val="22"/>
          <w:szCs w:val="22"/>
          <w:lang w:val="en-GB"/>
        </w:rPr>
        <w:t xml:space="preserve">the </w:t>
      </w:r>
      <w:r w:rsidRPr="00205A06">
        <w:rPr>
          <w:rFonts w:cs="Arial"/>
          <w:sz w:val="22"/>
          <w:szCs w:val="22"/>
          <w:lang w:val="en-GB"/>
        </w:rPr>
        <w:t xml:space="preserve">Gayo people </w:t>
      </w:r>
      <w:r w:rsidR="005716C9">
        <w:rPr>
          <w:rFonts w:cs="Arial"/>
          <w:sz w:val="22"/>
          <w:szCs w:val="22"/>
          <w:lang w:val="en-GB"/>
        </w:rPr>
        <w:t>and</w:t>
      </w:r>
      <w:r w:rsidRPr="00205A06">
        <w:rPr>
          <w:rFonts w:cs="Arial"/>
          <w:sz w:val="22"/>
          <w:szCs w:val="22"/>
          <w:lang w:val="en-GB"/>
        </w:rPr>
        <w:t xml:space="preserve"> other ethnic groups, </w:t>
      </w:r>
      <w:r>
        <w:rPr>
          <w:rFonts w:cs="Arial"/>
          <w:sz w:val="22"/>
          <w:szCs w:val="22"/>
          <w:lang w:val="en-GB"/>
        </w:rPr>
        <w:t xml:space="preserve">with </w:t>
      </w:r>
      <w:r w:rsidRPr="00205A06">
        <w:rPr>
          <w:rFonts w:cs="Arial"/>
          <w:sz w:val="22"/>
          <w:szCs w:val="22"/>
          <w:lang w:val="en-GB"/>
        </w:rPr>
        <w:t xml:space="preserve">the practice spreading in both rural and urban areas in the State Party and abroad, </w:t>
      </w:r>
      <w:r w:rsidR="008F5C4E">
        <w:rPr>
          <w:rFonts w:cs="Arial"/>
          <w:sz w:val="22"/>
          <w:szCs w:val="22"/>
          <w:lang w:val="en-GB"/>
        </w:rPr>
        <w:t>including</w:t>
      </w:r>
      <w:r w:rsidR="008F5C4E" w:rsidRPr="00205A06">
        <w:rPr>
          <w:rFonts w:cs="Arial"/>
          <w:sz w:val="22"/>
          <w:szCs w:val="22"/>
          <w:lang w:val="en-GB"/>
        </w:rPr>
        <w:t xml:space="preserve"> </w:t>
      </w:r>
      <w:r w:rsidRPr="00205A06">
        <w:rPr>
          <w:rFonts w:cs="Arial"/>
          <w:sz w:val="22"/>
          <w:szCs w:val="22"/>
          <w:lang w:val="en-GB"/>
        </w:rPr>
        <w:t xml:space="preserve">among youth and student communities, </w:t>
      </w:r>
      <w:r w:rsidR="0069019D">
        <w:rPr>
          <w:rFonts w:cs="Arial"/>
          <w:sz w:val="22"/>
          <w:szCs w:val="22"/>
          <w:lang w:val="en-GB"/>
        </w:rPr>
        <w:t>resulting in an</w:t>
      </w:r>
      <w:r w:rsidRPr="00205A06">
        <w:rPr>
          <w:rFonts w:cs="Arial"/>
          <w:sz w:val="22"/>
          <w:szCs w:val="22"/>
          <w:lang w:val="en-GB"/>
        </w:rPr>
        <w:t xml:space="preserve"> increas</w:t>
      </w:r>
      <w:r w:rsidR="0069019D">
        <w:rPr>
          <w:rFonts w:cs="Arial"/>
          <w:sz w:val="22"/>
          <w:szCs w:val="22"/>
          <w:lang w:val="en-GB"/>
        </w:rPr>
        <w:t>ed</w:t>
      </w:r>
      <w:r w:rsidRPr="00205A06">
        <w:rPr>
          <w:rFonts w:cs="Arial"/>
          <w:sz w:val="22"/>
          <w:szCs w:val="22"/>
          <w:lang w:val="en-GB"/>
        </w:rPr>
        <w:t xml:space="preserve"> number of </w:t>
      </w:r>
      <w:r w:rsidR="008F5C4E" w:rsidRPr="00205A06">
        <w:rPr>
          <w:rFonts w:cs="Arial"/>
          <w:sz w:val="22"/>
          <w:szCs w:val="22"/>
          <w:lang w:val="en-GB"/>
        </w:rPr>
        <w:t>pe</w:t>
      </w:r>
      <w:r w:rsidR="008F5C4E">
        <w:rPr>
          <w:rFonts w:cs="Arial"/>
          <w:sz w:val="22"/>
          <w:szCs w:val="22"/>
          <w:lang w:val="en-GB"/>
        </w:rPr>
        <w:t>ople</w:t>
      </w:r>
      <w:r w:rsidR="008F5C4E" w:rsidRPr="00205A06">
        <w:rPr>
          <w:rFonts w:cs="Arial"/>
          <w:sz w:val="22"/>
          <w:szCs w:val="22"/>
          <w:lang w:val="en-GB"/>
        </w:rPr>
        <w:t xml:space="preserve"> </w:t>
      </w:r>
      <w:r w:rsidRPr="00205A06">
        <w:rPr>
          <w:rFonts w:cs="Arial"/>
          <w:sz w:val="22"/>
          <w:szCs w:val="22"/>
          <w:lang w:val="en-GB"/>
        </w:rPr>
        <w:t>who associate their cultural identity with the Saman dance;</w:t>
      </w:r>
    </w:p>
    <w:p w14:paraId="190AA781" w14:textId="3832F3FB"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Pr>
          <w:rFonts w:cs="Arial"/>
          <w:sz w:val="22"/>
          <w:szCs w:val="22"/>
          <w:u w:val="single"/>
          <w:lang w:val="en-GB"/>
        </w:rPr>
        <w:t>Invites</w:t>
      </w:r>
      <w:r w:rsidRPr="00205A06">
        <w:rPr>
          <w:rFonts w:cs="Arial"/>
          <w:sz w:val="22"/>
          <w:szCs w:val="22"/>
          <w:lang w:val="en-GB"/>
        </w:rPr>
        <w:t xml:space="preserve"> the State Party to continue its efforts to involve traditional community groups</w:t>
      </w:r>
      <w:r>
        <w:rPr>
          <w:rFonts w:cs="Arial"/>
          <w:sz w:val="22"/>
          <w:szCs w:val="22"/>
          <w:lang w:val="en-GB"/>
        </w:rPr>
        <w:t xml:space="preserve"> and institutions</w:t>
      </w:r>
      <w:r w:rsidRPr="00205A06">
        <w:rPr>
          <w:rFonts w:cs="Arial"/>
          <w:sz w:val="22"/>
          <w:szCs w:val="22"/>
          <w:lang w:val="en-GB"/>
        </w:rPr>
        <w:t xml:space="preserve"> of </w:t>
      </w:r>
      <w:r w:rsidR="008F5C4E">
        <w:rPr>
          <w:rFonts w:cs="Arial"/>
          <w:sz w:val="22"/>
          <w:szCs w:val="22"/>
          <w:lang w:val="en-GB"/>
        </w:rPr>
        <w:t xml:space="preserve">the </w:t>
      </w:r>
      <w:r w:rsidRPr="00205A06">
        <w:rPr>
          <w:rFonts w:cs="Arial"/>
          <w:sz w:val="22"/>
          <w:szCs w:val="22"/>
          <w:lang w:val="en-GB"/>
        </w:rPr>
        <w:t>Gayo people in deciding upon</w:t>
      </w:r>
      <w:r w:rsidR="008F5C4E">
        <w:rPr>
          <w:rFonts w:cs="Arial"/>
          <w:sz w:val="22"/>
          <w:szCs w:val="22"/>
          <w:lang w:val="en-GB"/>
        </w:rPr>
        <w:t xml:space="preserve"> the</w:t>
      </w:r>
      <w:r w:rsidRPr="00205A06">
        <w:rPr>
          <w:rFonts w:cs="Arial"/>
          <w:sz w:val="22"/>
          <w:szCs w:val="22"/>
          <w:lang w:val="en-GB"/>
        </w:rPr>
        <w:t xml:space="preserve"> safeguarding measures, in order to </w:t>
      </w:r>
      <w:r>
        <w:rPr>
          <w:rFonts w:cs="Arial"/>
          <w:sz w:val="22"/>
          <w:szCs w:val="22"/>
          <w:lang w:val="en-GB"/>
        </w:rPr>
        <w:t xml:space="preserve">ensure that Gayo communities are at the centre of </w:t>
      </w:r>
      <w:r w:rsidR="008F5C4E">
        <w:rPr>
          <w:rFonts w:cs="Arial"/>
          <w:sz w:val="22"/>
          <w:szCs w:val="22"/>
          <w:lang w:val="en-GB"/>
        </w:rPr>
        <w:t xml:space="preserve">the </w:t>
      </w:r>
      <w:r>
        <w:rPr>
          <w:rFonts w:cs="Arial"/>
          <w:sz w:val="22"/>
          <w:szCs w:val="22"/>
          <w:lang w:val="en-GB"/>
        </w:rPr>
        <w:t xml:space="preserve">safeguarding efforts in the context of </w:t>
      </w:r>
      <w:r w:rsidRPr="00205A06">
        <w:rPr>
          <w:rFonts w:cs="Arial"/>
          <w:sz w:val="22"/>
          <w:szCs w:val="22"/>
          <w:lang w:val="en-GB"/>
        </w:rPr>
        <w:t xml:space="preserve">a growing emphasis on </w:t>
      </w:r>
      <w:r w:rsidR="008F5C4E">
        <w:rPr>
          <w:rFonts w:cs="Arial"/>
          <w:sz w:val="22"/>
          <w:szCs w:val="22"/>
          <w:lang w:val="en-GB"/>
        </w:rPr>
        <w:t xml:space="preserve">the </w:t>
      </w:r>
      <w:r w:rsidRPr="00205A06">
        <w:rPr>
          <w:rFonts w:cs="Arial"/>
          <w:sz w:val="22"/>
          <w:szCs w:val="22"/>
          <w:lang w:val="en-GB"/>
        </w:rPr>
        <w:t xml:space="preserve">nation-wide dissemination of </w:t>
      </w:r>
      <w:r w:rsidR="008F5C4E">
        <w:rPr>
          <w:rFonts w:cs="Arial"/>
          <w:sz w:val="22"/>
          <w:szCs w:val="22"/>
          <w:lang w:val="en-GB"/>
        </w:rPr>
        <w:t xml:space="preserve">the </w:t>
      </w:r>
      <w:r w:rsidRPr="00205A06">
        <w:rPr>
          <w:rFonts w:cs="Arial"/>
          <w:sz w:val="22"/>
          <w:szCs w:val="22"/>
          <w:lang w:val="en-GB"/>
        </w:rPr>
        <w:t>Saman dance;</w:t>
      </w:r>
    </w:p>
    <w:p w14:paraId="48C8CB3E" w14:textId="3FC5EA21" w:rsidR="001212C1" w:rsidRPr="000D4FDF" w:rsidRDefault="001212C1" w:rsidP="001212C1">
      <w:pPr>
        <w:pStyle w:val="Para"/>
        <w:numPr>
          <w:ilvl w:val="0"/>
          <w:numId w:val="16"/>
        </w:numPr>
        <w:tabs>
          <w:tab w:val="left" w:pos="1134"/>
        </w:tabs>
        <w:spacing w:line="240" w:lineRule="auto"/>
        <w:ind w:left="1134" w:hanging="567"/>
        <w:rPr>
          <w:rFonts w:cs="Arial"/>
          <w:sz w:val="22"/>
          <w:szCs w:val="22"/>
          <w:lang w:val="en-GB"/>
        </w:rPr>
      </w:pPr>
      <w:r w:rsidRPr="000D4FDF">
        <w:rPr>
          <w:rFonts w:cs="Arial"/>
          <w:sz w:val="22"/>
          <w:szCs w:val="22"/>
          <w:u w:val="single"/>
          <w:lang w:val="en-GB"/>
        </w:rPr>
        <w:t>Further invites</w:t>
      </w:r>
      <w:r w:rsidRPr="000D4FDF">
        <w:rPr>
          <w:rFonts w:cs="Arial"/>
          <w:sz w:val="22"/>
          <w:szCs w:val="22"/>
          <w:lang w:val="en-GB"/>
        </w:rPr>
        <w:t xml:space="preserve"> the State Party to continue its efforts to </w:t>
      </w:r>
      <w:r>
        <w:rPr>
          <w:rFonts w:cs="Arial"/>
          <w:sz w:val="22"/>
          <w:szCs w:val="22"/>
          <w:lang w:val="en-GB"/>
        </w:rPr>
        <w:t>ensure</w:t>
      </w:r>
      <w:r w:rsidRPr="00FD741B">
        <w:rPr>
          <w:rFonts w:cs="Arial"/>
          <w:sz w:val="22"/>
          <w:szCs w:val="22"/>
          <w:lang w:val="en-GB"/>
        </w:rPr>
        <w:t xml:space="preserve"> the role</w:t>
      </w:r>
      <w:r w:rsidRPr="000D4FDF">
        <w:rPr>
          <w:rFonts w:cs="Arial"/>
          <w:sz w:val="22"/>
          <w:szCs w:val="22"/>
          <w:lang w:val="en-GB"/>
        </w:rPr>
        <w:t xml:space="preserve"> of central and regional governments as facilitators in enhancing and strengthening the activities of the Saman dance community and its organizations;</w:t>
      </w:r>
    </w:p>
    <w:p w14:paraId="5A29D905" w14:textId="26B3CF07" w:rsidR="001212C1" w:rsidRPr="00205A06" w:rsidRDefault="001212C1" w:rsidP="001212C1">
      <w:pPr>
        <w:pStyle w:val="Para"/>
        <w:numPr>
          <w:ilvl w:val="0"/>
          <w:numId w:val="16"/>
        </w:numPr>
        <w:tabs>
          <w:tab w:val="left" w:pos="1134"/>
        </w:tabs>
        <w:spacing w:line="240" w:lineRule="auto"/>
        <w:ind w:left="1134" w:hanging="567"/>
        <w:rPr>
          <w:rFonts w:cs="Arial"/>
          <w:sz w:val="22"/>
          <w:szCs w:val="22"/>
          <w:lang w:val="en-GB"/>
        </w:rPr>
      </w:pPr>
      <w:r w:rsidRPr="00205A06">
        <w:rPr>
          <w:rFonts w:cs="Arial"/>
          <w:sz w:val="22"/>
          <w:szCs w:val="22"/>
          <w:u w:val="single"/>
          <w:lang w:val="en-GB"/>
        </w:rPr>
        <w:t>Encourages</w:t>
      </w:r>
      <w:r w:rsidRPr="00205A06">
        <w:rPr>
          <w:rFonts w:cs="Arial"/>
          <w:sz w:val="22"/>
          <w:szCs w:val="22"/>
          <w:lang w:val="en-GB"/>
        </w:rPr>
        <w:t xml:space="preserve"> the State Party to continue to safeguard and develop the skills of sung</w:t>
      </w:r>
      <w:r w:rsidR="008F5C4E">
        <w:rPr>
          <w:rFonts w:cs="Arial"/>
          <w:sz w:val="22"/>
          <w:szCs w:val="22"/>
          <w:lang w:val="en-GB"/>
        </w:rPr>
        <w:t xml:space="preserve"> </w:t>
      </w:r>
      <w:r w:rsidRPr="00205A06">
        <w:rPr>
          <w:rFonts w:cs="Arial"/>
          <w:sz w:val="22"/>
          <w:szCs w:val="22"/>
          <w:lang w:val="en-GB"/>
        </w:rPr>
        <w:t xml:space="preserve">poetry linked to the Saman dance, including the use of </w:t>
      </w:r>
      <w:r w:rsidR="008F5C4E">
        <w:rPr>
          <w:rFonts w:cs="Arial"/>
          <w:sz w:val="22"/>
          <w:szCs w:val="22"/>
          <w:lang w:val="en-GB"/>
        </w:rPr>
        <w:t xml:space="preserve">the </w:t>
      </w:r>
      <w:r w:rsidRPr="007F5E6D">
        <w:rPr>
          <w:rFonts w:cs="Arial"/>
          <w:sz w:val="22"/>
          <w:szCs w:val="22"/>
          <w:lang w:val="en-GB"/>
        </w:rPr>
        <w:t>Gayo language</w:t>
      </w:r>
      <w:r w:rsidRPr="00205A06">
        <w:rPr>
          <w:rFonts w:cs="Arial"/>
          <w:sz w:val="22"/>
          <w:szCs w:val="22"/>
          <w:lang w:val="en-GB"/>
        </w:rPr>
        <w:t>;</w:t>
      </w:r>
    </w:p>
    <w:p w14:paraId="22533BE5" w14:textId="20778299" w:rsidR="00E00CE4" w:rsidRPr="00E00CE4" w:rsidRDefault="001212C1" w:rsidP="0022017F">
      <w:pPr>
        <w:pStyle w:val="Para"/>
        <w:numPr>
          <w:ilvl w:val="0"/>
          <w:numId w:val="16"/>
        </w:numPr>
        <w:tabs>
          <w:tab w:val="left" w:pos="1134"/>
        </w:tabs>
        <w:spacing w:line="240" w:lineRule="auto"/>
        <w:ind w:left="1134" w:hanging="567"/>
        <w:rPr>
          <w:rFonts w:cs="Arial"/>
          <w:sz w:val="22"/>
          <w:szCs w:val="22"/>
          <w:lang w:val="en-GB"/>
        </w:rPr>
      </w:pPr>
      <w:r w:rsidRPr="00E00CE4">
        <w:rPr>
          <w:sz w:val="22"/>
          <w:szCs w:val="22"/>
          <w:u w:val="single"/>
          <w:lang w:val="en-GB"/>
        </w:rPr>
        <w:t>Requests</w:t>
      </w:r>
      <w:r w:rsidRPr="00E00CE4">
        <w:rPr>
          <w:sz w:val="22"/>
          <w:szCs w:val="22"/>
          <w:lang w:val="en-GB"/>
        </w:rPr>
        <w:t xml:space="preserve"> that the Secretariat inform the State Party at least nine months prior to the deadline of 15 December 2023 about the required submission of its next report on the status of this element.</w:t>
      </w:r>
      <w:r w:rsidR="00540409" w:rsidRPr="00E00CE4">
        <w:rPr>
          <w:rFonts w:cs="Arial"/>
          <w:sz w:val="22"/>
          <w:szCs w:val="22"/>
          <w:lang w:val="en-GB"/>
        </w:rPr>
        <w:br w:type="page"/>
      </w:r>
    </w:p>
    <w:p w14:paraId="29FAC19B" w14:textId="600DECB6" w:rsidR="00E00CE4" w:rsidRPr="00205A06" w:rsidRDefault="00E00CE4" w:rsidP="00E00CE4">
      <w:pPr>
        <w:pStyle w:val="COMTitleDecision"/>
        <w:pageBreakBefore/>
        <w:spacing w:before="480"/>
        <w:jc w:val="left"/>
      </w:pPr>
      <w:r w:rsidRPr="00205A06">
        <w:rPr>
          <w:bCs/>
        </w:rPr>
        <w:lastRenderedPageBreak/>
        <w:t>Iran:</w:t>
      </w:r>
      <w:r w:rsidRPr="00205A06">
        <w:t xml:space="preserve"> ‘</w:t>
      </w:r>
      <w:r w:rsidRPr="00205A06">
        <w:rPr>
          <w:shd w:val="clear" w:color="auto" w:fill="FFFFFF"/>
        </w:rPr>
        <w:t>Naqqāli</w:t>
      </w:r>
      <w:r w:rsidRPr="00205A06">
        <w:t>, Iranian dramatic story-telling’</w:t>
      </w:r>
      <w:r w:rsidRPr="00205A06">
        <w:rPr>
          <w:bCs/>
          <w:i/>
          <w:iCs/>
        </w:rPr>
        <w:t xml:space="preserve"> </w:t>
      </w:r>
      <w:r w:rsidRPr="00205A06">
        <w:rPr>
          <w:b w:val="0"/>
          <w:bCs/>
          <w:i/>
          <w:iCs/>
        </w:rPr>
        <w:t xml:space="preserve">(consult </w:t>
      </w:r>
      <w:r w:rsidRPr="004541E4">
        <w:rPr>
          <w:b w:val="0"/>
          <w:bCs/>
          <w:i/>
          <w:iCs/>
        </w:rPr>
        <w:t xml:space="preserve">the </w:t>
      </w:r>
      <w:hyperlink r:id="rId49" w:history="1">
        <w:r w:rsidRPr="004541E4">
          <w:rPr>
            <w:rStyle w:val="Lienhypertexte"/>
            <w:b w:val="0"/>
            <w:bCs/>
            <w:i/>
            <w:iCs/>
          </w:rPr>
          <w:t>report</w:t>
        </w:r>
      </w:hyperlink>
      <w:r w:rsidRPr="004541E4">
        <w:rPr>
          <w:b w:val="0"/>
          <w:bCs/>
          <w:i/>
          <w:iCs/>
        </w:rPr>
        <w:t>)</w:t>
      </w:r>
    </w:p>
    <w:p w14:paraId="13E22A42" w14:textId="5B1A0D9E" w:rsidR="00E00CE4" w:rsidRPr="00205A06" w:rsidRDefault="00E00CE4" w:rsidP="00E00CE4">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shd w:val="clear" w:color="auto" w:fill="FFFFFF"/>
          <w:lang w:val="en-GB"/>
        </w:rPr>
        <w:t>Naqqāli</w:t>
      </w:r>
      <w:r w:rsidRPr="00205A06">
        <w:rPr>
          <w:rFonts w:cs="Arial"/>
          <w:lang w:val="en-GB"/>
        </w:rPr>
        <w:t xml:space="preserve">, Iranian dramatic story-telling </w:t>
      </w:r>
      <w:r w:rsidR="008F5C4E">
        <w:rPr>
          <w:rFonts w:cs="Arial"/>
          <w:lang w:val="en-GB"/>
        </w:rPr>
        <w:t>has been</w:t>
      </w:r>
      <w:r w:rsidR="008F5C4E" w:rsidRPr="00205A06">
        <w:rPr>
          <w:rFonts w:cs="Arial"/>
          <w:lang w:val="en-GB"/>
        </w:rPr>
        <w:t xml:space="preserve"> </w:t>
      </w:r>
      <w:r w:rsidRPr="00205A06">
        <w:rPr>
          <w:rFonts w:cs="Arial"/>
          <w:lang w:val="en-GB"/>
        </w:rPr>
        <w:t xml:space="preserve">practiced since ancient times as part of various rituals </w:t>
      </w:r>
      <w:r>
        <w:rPr>
          <w:rFonts w:cs="Arial"/>
          <w:lang w:val="en-GB"/>
        </w:rPr>
        <w:t xml:space="preserve">performed </w:t>
      </w:r>
      <w:r w:rsidR="008F5C4E">
        <w:rPr>
          <w:rFonts w:cs="Arial"/>
          <w:lang w:val="en-GB"/>
        </w:rPr>
        <w:t>on</w:t>
      </w:r>
      <w:r w:rsidR="008F5C4E" w:rsidRPr="00205A06">
        <w:rPr>
          <w:rFonts w:cs="Arial"/>
          <w:lang w:val="en-GB"/>
        </w:rPr>
        <w:t xml:space="preserve"> </w:t>
      </w:r>
      <w:r w:rsidRPr="00205A06">
        <w:rPr>
          <w:rFonts w:cs="Arial"/>
          <w:lang w:val="en-GB"/>
        </w:rPr>
        <w:t xml:space="preserve">different occasions of </w:t>
      </w:r>
      <w:r w:rsidR="008F5C4E">
        <w:rPr>
          <w:rFonts w:cs="Arial"/>
          <w:lang w:val="en-GB"/>
        </w:rPr>
        <w:t xml:space="preserve">people’s lives </w:t>
      </w:r>
      <w:r>
        <w:rPr>
          <w:rFonts w:cs="Arial"/>
          <w:lang w:val="en-GB"/>
        </w:rPr>
        <w:t>and during</w:t>
      </w:r>
      <w:r w:rsidRPr="00205A06">
        <w:rPr>
          <w:rFonts w:cs="Arial"/>
          <w:lang w:val="en-GB"/>
        </w:rPr>
        <w:t xml:space="preserve"> national and religious events. </w:t>
      </w:r>
      <w:r w:rsidRPr="00205A06">
        <w:rPr>
          <w:shd w:val="clear" w:color="auto" w:fill="FFFFFF"/>
          <w:lang w:val="en-GB"/>
        </w:rPr>
        <w:t xml:space="preserve">Naqqāli has attracted men, women, </w:t>
      </w:r>
      <w:r w:rsidR="003B4F3A">
        <w:rPr>
          <w:shd w:val="clear" w:color="auto" w:fill="FFFFFF"/>
          <w:lang w:val="en-GB"/>
        </w:rPr>
        <w:t>older</w:t>
      </w:r>
      <w:r w:rsidRPr="00205A06">
        <w:rPr>
          <w:shd w:val="clear" w:color="auto" w:fill="FFFFFF"/>
          <w:lang w:val="en-GB"/>
        </w:rPr>
        <w:t xml:space="preserve"> </w:t>
      </w:r>
      <w:r w:rsidR="003B4F3A">
        <w:rPr>
          <w:shd w:val="clear" w:color="auto" w:fill="FFFFFF"/>
          <w:lang w:val="en-GB"/>
        </w:rPr>
        <w:t xml:space="preserve">people </w:t>
      </w:r>
      <w:r w:rsidRPr="00205A06">
        <w:rPr>
          <w:shd w:val="clear" w:color="auto" w:fill="FFFFFF"/>
          <w:lang w:val="en-GB"/>
        </w:rPr>
        <w:t xml:space="preserve">and </w:t>
      </w:r>
      <w:r w:rsidR="003B4F3A">
        <w:rPr>
          <w:shd w:val="clear" w:color="auto" w:fill="FFFFFF"/>
          <w:lang w:val="en-GB"/>
        </w:rPr>
        <w:t>youth</w:t>
      </w:r>
      <w:r w:rsidRPr="00205A06">
        <w:rPr>
          <w:shd w:val="clear" w:color="auto" w:fill="FFFFFF"/>
          <w:lang w:val="en-GB"/>
        </w:rPr>
        <w:t xml:space="preserve"> to its practice. Instructive stories are told through Naqqāli, </w:t>
      </w:r>
      <w:r w:rsidR="003B4F3A">
        <w:rPr>
          <w:shd w:val="clear" w:color="auto" w:fill="FFFFFF"/>
          <w:lang w:val="en-GB"/>
        </w:rPr>
        <w:t>conveying</w:t>
      </w:r>
      <w:r w:rsidRPr="00205A06">
        <w:rPr>
          <w:shd w:val="clear" w:color="auto" w:fill="FFFFFF"/>
          <w:lang w:val="en-GB"/>
        </w:rPr>
        <w:t xml:space="preserve"> the concepts of kindness, philanthropism, equity, brotherhood, justice-seeking, pr</w:t>
      </w:r>
      <w:r w:rsidR="006D6A5B">
        <w:rPr>
          <w:shd w:val="clear" w:color="auto" w:fill="FFFFFF"/>
          <w:lang w:val="en-GB"/>
        </w:rPr>
        <w:t>otect</w:t>
      </w:r>
      <w:r w:rsidRPr="00205A06">
        <w:rPr>
          <w:shd w:val="clear" w:color="auto" w:fill="FFFFFF"/>
          <w:lang w:val="en-GB"/>
        </w:rPr>
        <w:t xml:space="preserve">ing </w:t>
      </w:r>
      <w:r w:rsidR="006D6A5B">
        <w:rPr>
          <w:shd w:val="clear" w:color="auto" w:fill="FFFFFF"/>
          <w:lang w:val="en-GB"/>
        </w:rPr>
        <w:t xml:space="preserve">the </w:t>
      </w:r>
      <w:r w:rsidRPr="00205A06">
        <w:rPr>
          <w:shd w:val="clear" w:color="auto" w:fill="FFFFFF"/>
          <w:lang w:val="en-GB"/>
        </w:rPr>
        <w:t xml:space="preserve">rights of women and children and paying attention to the preservation of nature. Traditionally, the practice is transmitted orally by Naqqāls (dramatic story tellers) to their apprentices and is connected to the knowledge of traditional drawing, as well as </w:t>
      </w:r>
      <w:r>
        <w:rPr>
          <w:shd w:val="clear" w:color="auto" w:fill="FFFFFF"/>
          <w:lang w:val="en-GB"/>
        </w:rPr>
        <w:t xml:space="preserve">the </w:t>
      </w:r>
      <w:r w:rsidRPr="00205A06">
        <w:rPr>
          <w:shd w:val="clear" w:color="auto" w:fill="FFFFFF"/>
          <w:lang w:val="en-GB"/>
        </w:rPr>
        <w:t xml:space="preserve">making and playing </w:t>
      </w:r>
      <w:r>
        <w:rPr>
          <w:shd w:val="clear" w:color="auto" w:fill="FFFFFF"/>
          <w:lang w:val="en-GB"/>
        </w:rPr>
        <w:t xml:space="preserve">of </w:t>
      </w:r>
      <w:r w:rsidRPr="00205A06">
        <w:rPr>
          <w:shd w:val="clear" w:color="auto" w:fill="FFFFFF"/>
          <w:lang w:val="en-GB"/>
        </w:rPr>
        <w:t>traditional musical instruments.</w:t>
      </w:r>
    </w:p>
    <w:p w14:paraId="667BDC5F" w14:textId="11894A95" w:rsidR="00E00CE4" w:rsidRPr="00205A06" w:rsidRDefault="00E00CE4" w:rsidP="00E00CE4">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50" w:history="1">
        <w:r w:rsidRPr="004473F2">
          <w:rPr>
            <w:rStyle w:val="Lienhypertexte"/>
            <w:rFonts w:cs="Arial"/>
            <w:bCs/>
            <w:szCs w:val="22"/>
            <w:lang w:val="en-GB"/>
          </w:rPr>
          <w:t xml:space="preserve">Decision </w:t>
        </w:r>
        <w:r w:rsidRPr="004473F2">
          <w:rPr>
            <w:rStyle w:val="Lienhypertexte"/>
            <w:rFonts w:cs="Arial"/>
            <w:szCs w:val="22"/>
            <w:lang w:val="en-GB"/>
          </w:rPr>
          <w:t>6.COM 8.9</w:t>
        </w:r>
      </w:hyperlink>
      <w:r>
        <w:rPr>
          <w:rFonts w:cs="Arial"/>
          <w:bCs/>
          <w:szCs w:val="22"/>
          <w:lang w:val="en-GB"/>
        </w:rPr>
        <w:t>)</w:t>
      </w:r>
      <w:r w:rsidRPr="00205A06">
        <w:rPr>
          <w:rFonts w:cs="Arial"/>
          <w:bCs/>
          <w:szCs w:val="22"/>
          <w:lang w:val="en-GB"/>
        </w:rPr>
        <w:t xml:space="preserve"> and the first report was examined by the Committee in 2016</w:t>
      </w:r>
      <w:r>
        <w:rPr>
          <w:rFonts w:cs="Arial"/>
          <w:bCs/>
          <w:szCs w:val="22"/>
          <w:lang w:val="en-GB"/>
        </w:rPr>
        <w:t xml:space="preserve"> (</w:t>
      </w:r>
      <w:hyperlink r:id="rId51" w:history="1">
        <w:r w:rsidRPr="0077378F">
          <w:rPr>
            <w:rStyle w:val="Lienhypertexte"/>
            <w:rFonts w:cs="Arial"/>
            <w:bCs/>
            <w:szCs w:val="22"/>
            <w:lang w:val="en-GB"/>
          </w:rPr>
          <w:t xml:space="preserve">Decision </w:t>
        </w:r>
        <w:r w:rsidRPr="0077378F">
          <w:rPr>
            <w:rStyle w:val="Lienhypertexte"/>
            <w:lang w:val="en-GB"/>
          </w:rPr>
          <w:t>11.COM 9.b.3</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38C223C5" w14:textId="5AFEE3FC" w:rsidR="00E00CE4" w:rsidRPr="00205A06" w:rsidRDefault="00E00CE4" w:rsidP="00E00CE4">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w:t>
      </w:r>
      <w:r>
        <w:rPr>
          <w:bCs/>
          <w:lang w:val="en-GB"/>
        </w:rPr>
        <w:t>The production of w</w:t>
      </w:r>
      <w:r w:rsidRPr="00205A06">
        <w:rPr>
          <w:bCs/>
          <w:lang w:val="en-GB"/>
        </w:rPr>
        <w:t xml:space="preserve">ritten, audio and visual content </w:t>
      </w:r>
      <w:r>
        <w:rPr>
          <w:bCs/>
          <w:lang w:val="en-GB"/>
        </w:rPr>
        <w:t xml:space="preserve">of </w:t>
      </w:r>
      <w:r w:rsidRPr="00205A06">
        <w:rPr>
          <w:shd w:val="clear" w:color="auto" w:fill="FFFFFF"/>
          <w:lang w:val="en-GB"/>
        </w:rPr>
        <w:t>Naqqāli</w:t>
      </w:r>
      <w:r w:rsidRPr="00205A06">
        <w:rPr>
          <w:bCs/>
          <w:lang w:val="en-GB"/>
        </w:rPr>
        <w:t xml:space="preserve"> has raised public awareness across the country, including among youth</w:t>
      </w:r>
      <w:r w:rsidR="003B4F3A">
        <w:rPr>
          <w:bCs/>
          <w:lang w:val="en-GB"/>
        </w:rPr>
        <w:t>.</w:t>
      </w:r>
      <w:r w:rsidRPr="00205A06">
        <w:rPr>
          <w:bCs/>
          <w:lang w:val="en-GB"/>
        </w:rPr>
        <w:t xml:space="preserve"> </w:t>
      </w:r>
      <w:r w:rsidR="003B4F3A">
        <w:rPr>
          <w:bCs/>
          <w:lang w:val="en-GB"/>
        </w:rPr>
        <w:t>N</w:t>
      </w:r>
      <w:r w:rsidRPr="00205A06">
        <w:rPr>
          <w:bCs/>
          <w:lang w:val="en-GB"/>
        </w:rPr>
        <w:t xml:space="preserve">ationwide biennial </w:t>
      </w:r>
      <w:r w:rsidRPr="00205A06">
        <w:rPr>
          <w:shd w:val="clear" w:color="auto" w:fill="FFFFFF"/>
          <w:lang w:val="en-GB"/>
        </w:rPr>
        <w:t>Naqqāli festivals</w:t>
      </w:r>
      <w:r>
        <w:rPr>
          <w:shd w:val="clear" w:color="auto" w:fill="FFFFFF"/>
          <w:lang w:val="en-GB"/>
        </w:rPr>
        <w:t>,</w:t>
      </w:r>
      <w:r w:rsidRPr="00205A06">
        <w:rPr>
          <w:shd w:val="clear" w:color="auto" w:fill="FFFFFF"/>
          <w:lang w:val="en-GB"/>
        </w:rPr>
        <w:t xml:space="preserve"> competitions and exhibitions at various levels have</w:t>
      </w:r>
      <w:r w:rsidR="003B4F3A">
        <w:rPr>
          <w:shd w:val="clear" w:color="auto" w:fill="FFFFFF"/>
          <w:lang w:val="en-GB"/>
        </w:rPr>
        <w:t xml:space="preserve"> also</w:t>
      </w:r>
      <w:r w:rsidRPr="00205A06">
        <w:rPr>
          <w:shd w:val="clear" w:color="auto" w:fill="FFFFFF"/>
          <w:lang w:val="en-GB"/>
        </w:rPr>
        <w:t xml:space="preserve"> encouraged greater numbers of practitioners. Masters and amateurs from different age groups and gender</w:t>
      </w:r>
      <w:r w:rsidR="003B4F3A">
        <w:rPr>
          <w:shd w:val="clear" w:color="auto" w:fill="FFFFFF"/>
          <w:lang w:val="en-GB"/>
        </w:rPr>
        <w:t>s</w:t>
      </w:r>
      <w:r w:rsidRPr="00205A06">
        <w:rPr>
          <w:shd w:val="clear" w:color="auto" w:fill="FFFFFF"/>
          <w:lang w:val="en-GB"/>
        </w:rPr>
        <w:t xml:space="preserve"> have participated in </w:t>
      </w:r>
      <w:r>
        <w:rPr>
          <w:shd w:val="clear" w:color="auto" w:fill="FFFFFF"/>
          <w:lang w:val="en-GB"/>
        </w:rPr>
        <w:t>these events, as well as in effective capacity-building activities related to the element</w:t>
      </w:r>
      <w:r w:rsidRPr="00205A06">
        <w:rPr>
          <w:shd w:val="clear" w:color="auto" w:fill="FFFFFF"/>
          <w:lang w:val="en-GB"/>
        </w:rPr>
        <w:t xml:space="preserve">. </w:t>
      </w:r>
      <w:r>
        <w:rPr>
          <w:shd w:val="clear" w:color="auto" w:fill="FFFFFF"/>
          <w:lang w:val="en-GB"/>
        </w:rPr>
        <w:t>The p</w:t>
      </w:r>
      <w:r w:rsidRPr="00205A06">
        <w:rPr>
          <w:bCs/>
          <w:lang w:val="en-GB"/>
        </w:rPr>
        <w:t xml:space="preserve">resence of girls and women in </w:t>
      </w:r>
      <w:r w:rsidRPr="00205A06">
        <w:rPr>
          <w:shd w:val="clear" w:color="auto" w:fill="FFFFFF"/>
          <w:lang w:val="en-GB"/>
        </w:rPr>
        <w:t>Naqqāli</w:t>
      </w:r>
      <w:r w:rsidRPr="00205A06">
        <w:rPr>
          <w:rFonts w:cs="Arial"/>
          <w:lang w:val="en-GB"/>
        </w:rPr>
        <w:t xml:space="preserve"> as a professional field has increased </w:t>
      </w:r>
      <w:r w:rsidR="00581924">
        <w:rPr>
          <w:rFonts w:cs="Arial"/>
          <w:lang w:val="en-GB"/>
        </w:rPr>
        <w:t>considerably</w:t>
      </w:r>
      <w:r w:rsidR="00581924" w:rsidRPr="00205A06">
        <w:rPr>
          <w:rFonts w:cs="Arial"/>
          <w:lang w:val="en-GB"/>
        </w:rPr>
        <w:t xml:space="preserve"> </w:t>
      </w:r>
      <w:r w:rsidRPr="00205A06">
        <w:rPr>
          <w:rFonts w:cs="Arial"/>
          <w:lang w:val="en-GB"/>
        </w:rPr>
        <w:t xml:space="preserve">in recent years </w:t>
      </w:r>
      <w:r w:rsidR="003B4F3A">
        <w:rPr>
          <w:rFonts w:cs="Arial"/>
          <w:lang w:val="en-GB"/>
        </w:rPr>
        <w:t>thanks</w:t>
      </w:r>
      <w:r w:rsidR="003B4F3A" w:rsidRPr="00205A06">
        <w:rPr>
          <w:rFonts w:cs="Arial"/>
          <w:lang w:val="en-GB"/>
        </w:rPr>
        <w:t xml:space="preserve"> </w:t>
      </w:r>
      <w:r w:rsidRPr="00205A06">
        <w:rPr>
          <w:rFonts w:cs="Arial"/>
          <w:lang w:val="en-GB"/>
        </w:rPr>
        <w:t xml:space="preserve">to </w:t>
      </w:r>
      <w:r>
        <w:rPr>
          <w:rFonts w:cs="Arial"/>
          <w:lang w:val="en-GB"/>
        </w:rPr>
        <w:t>its</w:t>
      </w:r>
      <w:r w:rsidRPr="00205A06">
        <w:rPr>
          <w:rFonts w:cs="Arial"/>
          <w:lang w:val="en-GB"/>
        </w:rPr>
        <w:t xml:space="preserve"> attractiveness as a performance art, and their involvement has enhanced the viability of the element.</w:t>
      </w:r>
      <w:r w:rsidRPr="00205A06">
        <w:rPr>
          <w:bCs/>
          <w:lang w:val="en-GB"/>
        </w:rPr>
        <w:t xml:space="preserve"> Introducing </w:t>
      </w:r>
      <w:r w:rsidRPr="00205A06">
        <w:rPr>
          <w:shd w:val="clear" w:color="auto" w:fill="FFFFFF"/>
          <w:lang w:val="en-GB"/>
        </w:rPr>
        <w:t>Naqqāli</w:t>
      </w:r>
      <w:r w:rsidRPr="00205A06">
        <w:rPr>
          <w:rFonts w:cs="Arial"/>
          <w:lang w:val="en-GB"/>
        </w:rPr>
        <w:t xml:space="preserve"> through </w:t>
      </w:r>
      <w:r w:rsidR="003B4F3A" w:rsidRPr="00205A06">
        <w:rPr>
          <w:rFonts w:cs="Arial"/>
          <w:lang w:val="en-GB"/>
        </w:rPr>
        <w:t>training</w:t>
      </w:r>
      <w:r w:rsidR="003B4F3A">
        <w:rPr>
          <w:rFonts w:cs="Arial"/>
          <w:lang w:val="en-GB"/>
        </w:rPr>
        <w:t xml:space="preserve"> </w:t>
      </w:r>
      <w:r w:rsidRPr="00205A06">
        <w:rPr>
          <w:rFonts w:cs="Arial"/>
          <w:lang w:val="en-GB"/>
        </w:rPr>
        <w:t xml:space="preserve">at primary and secondary schools </w:t>
      </w:r>
      <w:r>
        <w:rPr>
          <w:rFonts w:cs="Arial"/>
          <w:lang w:val="en-GB"/>
        </w:rPr>
        <w:t xml:space="preserve">and </w:t>
      </w:r>
      <w:r w:rsidR="003B4F3A">
        <w:rPr>
          <w:rFonts w:cs="Arial"/>
          <w:lang w:val="en-GB"/>
        </w:rPr>
        <w:t xml:space="preserve">the publication of </w:t>
      </w:r>
      <w:r>
        <w:rPr>
          <w:rFonts w:cs="Arial"/>
          <w:lang w:val="en-GB"/>
        </w:rPr>
        <w:t xml:space="preserve">educational books </w:t>
      </w:r>
      <w:r w:rsidRPr="00205A06">
        <w:rPr>
          <w:rFonts w:cs="Arial"/>
          <w:lang w:val="en-GB"/>
        </w:rPr>
        <w:t xml:space="preserve">has been instrumental for </w:t>
      </w:r>
      <w:r w:rsidR="003B4F3A">
        <w:rPr>
          <w:rFonts w:cs="Arial"/>
          <w:lang w:val="en-GB"/>
        </w:rPr>
        <w:t xml:space="preserve">ensuring </w:t>
      </w:r>
      <w:r w:rsidRPr="00205A06">
        <w:rPr>
          <w:rFonts w:cs="Arial"/>
          <w:lang w:val="en-GB"/>
        </w:rPr>
        <w:t>the viability of the element among youth.</w:t>
      </w:r>
    </w:p>
    <w:p w14:paraId="0AE30EB1" w14:textId="7F7D1AAD" w:rsidR="00E00CE4" w:rsidRPr="00205A06" w:rsidRDefault="00425064" w:rsidP="00E00CE4">
      <w:pPr>
        <w:pStyle w:val="Marge"/>
        <w:numPr>
          <w:ilvl w:val="0"/>
          <w:numId w:val="9"/>
        </w:numPr>
        <w:tabs>
          <w:tab w:val="clear" w:pos="567"/>
        </w:tabs>
        <w:autoSpaceDE w:val="0"/>
        <w:autoSpaceDN w:val="0"/>
        <w:adjustRightInd w:val="0"/>
        <w:spacing w:after="120"/>
        <w:ind w:left="567" w:hanging="567"/>
        <w:rPr>
          <w:bCs/>
          <w:lang w:val="en-GB"/>
        </w:rPr>
      </w:pPr>
      <w:r>
        <w:rPr>
          <w:lang w:val="en-GB"/>
        </w:rPr>
        <w:t>In its</w:t>
      </w:r>
      <w:r w:rsidR="00E00CE4" w:rsidRPr="00205A06">
        <w:rPr>
          <w:lang w:val="en-GB"/>
        </w:rPr>
        <w:t xml:space="preserve"> previous decision </w:t>
      </w:r>
      <w:hyperlink r:id="rId52" w:history="1">
        <w:r w:rsidR="00E00CE4" w:rsidRPr="0077378F">
          <w:rPr>
            <w:rStyle w:val="Lienhypertexte"/>
            <w:lang w:val="en-GB"/>
          </w:rPr>
          <w:t>11.COM 9.b.3</w:t>
        </w:r>
      </w:hyperlink>
      <w:r w:rsidR="00E00CE4" w:rsidRPr="00205A06">
        <w:rPr>
          <w:color w:val="0000FF"/>
          <w:lang w:val="en-GB"/>
        </w:rPr>
        <w:t xml:space="preserve"> </w:t>
      </w:r>
      <w:r>
        <w:rPr>
          <w:lang w:val="en-GB"/>
        </w:rPr>
        <w:t>concerning the first report examined in 2016</w:t>
      </w:r>
      <w:r w:rsidR="00E00CE4" w:rsidRPr="00205A06">
        <w:rPr>
          <w:lang w:val="en-GB"/>
        </w:rPr>
        <w:t xml:space="preserve">, </w:t>
      </w:r>
      <w:r w:rsidR="000B0B31" w:rsidRPr="00205A06">
        <w:rPr>
          <w:lang w:val="en-GB"/>
        </w:rPr>
        <w:t>the Committee</w:t>
      </w:r>
      <w:r w:rsidR="000B0B31">
        <w:rPr>
          <w:lang w:val="en-GB"/>
        </w:rPr>
        <w:t xml:space="preserve"> </w:t>
      </w:r>
      <w:r w:rsidR="00E00CE4" w:rsidRPr="00205A06">
        <w:rPr>
          <w:lang w:val="en-GB"/>
        </w:rPr>
        <w:t xml:space="preserve">invited the State Party to expand the network of </w:t>
      </w:r>
      <w:r w:rsidR="00E00CE4" w:rsidRPr="00205A06">
        <w:rPr>
          <w:shd w:val="clear" w:color="auto" w:fill="FFFFFF"/>
          <w:lang w:val="en-GB"/>
        </w:rPr>
        <w:t xml:space="preserve">Naqqāli Houses and to establish a Naqqāli Foundation, and </w:t>
      </w:r>
      <w:r w:rsidR="003B4F3A">
        <w:rPr>
          <w:shd w:val="clear" w:color="auto" w:fill="FFFFFF"/>
          <w:lang w:val="en-GB"/>
        </w:rPr>
        <w:t xml:space="preserve">also </w:t>
      </w:r>
      <w:r w:rsidR="00E00CE4" w:rsidRPr="00205A06">
        <w:rPr>
          <w:shd w:val="clear" w:color="auto" w:fill="FFFFFF"/>
          <w:lang w:val="en-GB"/>
        </w:rPr>
        <w:t>encouraged it to continue to provide financial support to Naqqāls for their living costs</w:t>
      </w:r>
      <w:r w:rsidR="00950C51">
        <w:rPr>
          <w:shd w:val="clear" w:color="auto" w:fill="FFFFFF"/>
          <w:lang w:val="en-GB"/>
        </w:rPr>
        <w:t>. In this regard</w:t>
      </w:r>
      <w:r w:rsidR="00E00CE4" w:rsidRPr="00205A06">
        <w:rPr>
          <w:shd w:val="clear" w:color="auto" w:fill="FFFFFF"/>
          <w:lang w:val="en-GB"/>
        </w:rPr>
        <w:t xml:space="preserve">, the report </w:t>
      </w:r>
      <w:r w:rsidR="003B4F3A">
        <w:rPr>
          <w:shd w:val="clear" w:color="auto" w:fill="FFFFFF"/>
          <w:lang w:val="en-GB"/>
        </w:rPr>
        <w:t>states</w:t>
      </w:r>
      <w:r w:rsidR="003B4F3A" w:rsidRPr="00205A06">
        <w:rPr>
          <w:shd w:val="clear" w:color="auto" w:fill="FFFFFF"/>
          <w:lang w:val="en-GB"/>
        </w:rPr>
        <w:t xml:space="preserve"> </w:t>
      </w:r>
      <w:r w:rsidR="00E00CE4" w:rsidRPr="00205A06">
        <w:rPr>
          <w:shd w:val="clear" w:color="auto" w:fill="FFFFFF"/>
          <w:lang w:val="en-GB"/>
        </w:rPr>
        <w:t xml:space="preserve">that </w:t>
      </w:r>
      <w:r w:rsidR="00E00CE4" w:rsidRPr="00205A06">
        <w:rPr>
          <w:lang w:val="en-GB"/>
        </w:rPr>
        <w:t>t</w:t>
      </w:r>
      <w:r w:rsidR="00E00CE4" w:rsidRPr="00205A06">
        <w:rPr>
          <w:shd w:val="clear" w:color="auto" w:fill="FFFFFF"/>
          <w:lang w:val="en-GB"/>
        </w:rPr>
        <w:t xml:space="preserve">he Iranian Naqqāli Foundation was established </w:t>
      </w:r>
      <w:r w:rsidR="00E00CE4">
        <w:rPr>
          <w:shd w:val="clear" w:color="auto" w:fill="FFFFFF"/>
          <w:lang w:val="en-GB"/>
        </w:rPr>
        <w:t>and has been developing</w:t>
      </w:r>
      <w:r w:rsidR="00E00CE4" w:rsidRPr="00205A06">
        <w:rPr>
          <w:shd w:val="clear" w:color="auto" w:fill="FFFFFF"/>
          <w:lang w:val="en-GB"/>
        </w:rPr>
        <w:t xml:space="preserve"> a databa</w:t>
      </w:r>
      <w:r w:rsidR="00E00CE4">
        <w:rPr>
          <w:shd w:val="clear" w:color="auto" w:fill="FFFFFF"/>
          <w:lang w:val="en-GB"/>
        </w:rPr>
        <w:t xml:space="preserve">se </w:t>
      </w:r>
      <w:r w:rsidR="003B4F3A">
        <w:rPr>
          <w:shd w:val="clear" w:color="auto" w:fill="FFFFFF"/>
          <w:lang w:val="en-GB"/>
        </w:rPr>
        <w:t>gathering</w:t>
      </w:r>
      <w:r w:rsidR="00E00CE4">
        <w:rPr>
          <w:shd w:val="clear" w:color="auto" w:fill="FFFFFF"/>
          <w:lang w:val="en-GB"/>
        </w:rPr>
        <w:t xml:space="preserve"> research </w:t>
      </w:r>
      <w:r w:rsidR="00E00CE4" w:rsidRPr="00205A06">
        <w:rPr>
          <w:shd w:val="clear" w:color="auto" w:fill="FFFFFF"/>
          <w:lang w:val="en-GB"/>
        </w:rPr>
        <w:t>on Naqqāli</w:t>
      </w:r>
      <w:r w:rsidR="00E00CE4">
        <w:rPr>
          <w:shd w:val="clear" w:color="auto" w:fill="FFFFFF"/>
          <w:lang w:val="en-GB"/>
        </w:rPr>
        <w:t>.</w:t>
      </w:r>
      <w:r w:rsidR="00E00CE4" w:rsidRPr="00205A06">
        <w:rPr>
          <w:shd w:val="clear" w:color="auto" w:fill="FFFFFF"/>
          <w:lang w:val="en-GB"/>
        </w:rPr>
        <w:t xml:space="preserve"> </w:t>
      </w:r>
      <w:r w:rsidR="00E00CE4">
        <w:rPr>
          <w:shd w:val="clear" w:color="auto" w:fill="FFFFFF"/>
          <w:lang w:val="en-GB"/>
        </w:rPr>
        <w:t xml:space="preserve">Five </w:t>
      </w:r>
      <w:r w:rsidR="00E00CE4" w:rsidRPr="00205A06">
        <w:rPr>
          <w:shd w:val="clear" w:color="auto" w:fill="FFFFFF"/>
          <w:lang w:val="en-GB"/>
        </w:rPr>
        <w:t xml:space="preserve">new Naqqāli Houses have </w:t>
      </w:r>
      <w:r w:rsidR="00E00CE4">
        <w:rPr>
          <w:shd w:val="clear" w:color="auto" w:fill="FFFFFF"/>
          <w:lang w:val="en-GB"/>
        </w:rPr>
        <w:t xml:space="preserve">also </w:t>
      </w:r>
      <w:r w:rsidR="00E00CE4" w:rsidRPr="00205A06">
        <w:rPr>
          <w:shd w:val="clear" w:color="auto" w:fill="FFFFFF"/>
          <w:lang w:val="en-GB"/>
        </w:rPr>
        <w:t xml:space="preserve">been inaugurated in </w:t>
      </w:r>
      <w:r w:rsidR="00E00CE4">
        <w:rPr>
          <w:shd w:val="clear" w:color="auto" w:fill="FFFFFF"/>
          <w:lang w:val="en-GB"/>
        </w:rPr>
        <w:t>different</w:t>
      </w:r>
      <w:r w:rsidR="00E00CE4" w:rsidRPr="00205A06">
        <w:rPr>
          <w:shd w:val="clear" w:color="auto" w:fill="FFFFFF"/>
          <w:lang w:val="en-GB"/>
        </w:rPr>
        <w:t xml:space="preserve"> provinces to assist in implementing </w:t>
      </w:r>
      <w:r w:rsidR="003B4F3A">
        <w:rPr>
          <w:shd w:val="clear" w:color="auto" w:fill="FFFFFF"/>
          <w:lang w:val="en-GB"/>
        </w:rPr>
        <w:t xml:space="preserve">the </w:t>
      </w:r>
      <w:r w:rsidR="00E00CE4" w:rsidRPr="00205A06">
        <w:rPr>
          <w:shd w:val="clear" w:color="auto" w:fill="FFFFFF"/>
          <w:lang w:val="en-GB"/>
        </w:rPr>
        <w:t>safeguarding measures.</w:t>
      </w:r>
      <w:r w:rsidR="00E00CE4" w:rsidRPr="00205A06">
        <w:rPr>
          <w:bCs/>
          <w:lang w:val="en-GB"/>
        </w:rPr>
        <w:t xml:space="preserve"> The transmission </w:t>
      </w:r>
      <w:r w:rsidR="00E00CE4">
        <w:rPr>
          <w:bCs/>
          <w:lang w:val="en-GB"/>
        </w:rPr>
        <w:t xml:space="preserve">of </w:t>
      </w:r>
      <w:r w:rsidR="00E00CE4" w:rsidRPr="00205A06">
        <w:rPr>
          <w:shd w:val="clear" w:color="auto" w:fill="FFFFFF"/>
          <w:lang w:val="en-GB"/>
        </w:rPr>
        <w:t>Naqqāli</w:t>
      </w:r>
      <w:r w:rsidR="00E00CE4" w:rsidRPr="00205A06">
        <w:rPr>
          <w:bCs/>
          <w:lang w:val="en-GB"/>
        </w:rPr>
        <w:t xml:space="preserve"> has been enhanced by providing social security and </w:t>
      </w:r>
      <w:r w:rsidR="00E00CE4" w:rsidRPr="00205A06">
        <w:rPr>
          <w:shd w:val="clear" w:color="auto" w:fill="FFFFFF"/>
          <w:lang w:val="en-GB"/>
        </w:rPr>
        <w:t>sources of revenue</w:t>
      </w:r>
      <w:r w:rsidR="00E00CE4" w:rsidRPr="00205A06">
        <w:rPr>
          <w:bCs/>
          <w:lang w:val="en-GB"/>
        </w:rPr>
        <w:t xml:space="preserve"> </w:t>
      </w:r>
      <w:r w:rsidR="00E00CE4">
        <w:rPr>
          <w:bCs/>
          <w:lang w:val="en-GB"/>
        </w:rPr>
        <w:t>t</w:t>
      </w:r>
      <w:r w:rsidR="00E00CE4" w:rsidRPr="00205A06">
        <w:rPr>
          <w:bCs/>
          <w:lang w:val="en-GB"/>
        </w:rPr>
        <w:t xml:space="preserve">o masters and practitioners </w:t>
      </w:r>
      <w:r w:rsidR="00E00CE4">
        <w:rPr>
          <w:bCs/>
          <w:lang w:val="en-GB"/>
        </w:rPr>
        <w:t xml:space="preserve">and strengthening </w:t>
      </w:r>
      <w:r w:rsidR="00E00CE4" w:rsidRPr="00205A06">
        <w:rPr>
          <w:shd w:val="clear" w:color="auto" w:fill="FFFFFF"/>
          <w:lang w:val="en-GB"/>
        </w:rPr>
        <w:t>their livelihood</w:t>
      </w:r>
      <w:r w:rsidR="00E00CE4" w:rsidRPr="00205A06">
        <w:rPr>
          <w:bCs/>
          <w:lang w:val="en-GB"/>
        </w:rPr>
        <w:t>. The updated safeguarding plan envisages continu</w:t>
      </w:r>
      <w:r w:rsidR="003B4F3A">
        <w:rPr>
          <w:bCs/>
          <w:lang w:val="en-GB"/>
        </w:rPr>
        <w:t>ing to</w:t>
      </w:r>
      <w:r w:rsidR="00E00CE4" w:rsidRPr="00205A06">
        <w:rPr>
          <w:bCs/>
          <w:lang w:val="en-GB"/>
        </w:rPr>
        <w:t xml:space="preserve"> </w:t>
      </w:r>
      <w:r w:rsidR="003B4F3A" w:rsidRPr="00205A06">
        <w:rPr>
          <w:bCs/>
          <w:lang w:val="en-GB"/>
        </w:rPr>
        <w:t>creat</w:t>
      </w:r>
      <w:r w:rsidR="003B4F3A">
        <w:rPr>
          <w:bCs/>
          <w:lang w:val="en-GB"/>
        </w:rPr>
        <w:t>e</w:t>
      </w:r>
      <w:r w:rsidR="003B4F3A" w:rsidRPr="00205A06">
        <w:rPr>
          <w:bCs/>
          <w:lang w:val="en-GB"/>
        </w:rPr>
        <w:t xml:space="preserve"> </w:t>
      </w:r>
      <w:r w:rsidR="00E00CE4" w:rsidRPr="00205A06">
        <w:rPr>
          <w:bCs/>
          <w:lang w:val="en-GB"/>
        </w:rPr>
        <w:t xml:space="preserve">infrastructure for the safeguarding of the element and to enhance its </w:t>
      </w:r>
      <w:r w:rsidR="00E00CE4">
        <w:rPr>
          <w:bCs/>
          <w:lang w:val="en-GB"/>
        </w:rPr>
        <w:t>intergenerational</w:t>
      </w:r>
      <w:r w:rsidR="00E00CE4" w:rsidRPr="00205A06">
        <w:rPr>
          <w:bCs/>
          <w:lang w:val="en-GB"/>
        </w:rPr>
        <w:t xml:space="preserve"> transmission.</w:t>
      </w:r>
    </w:p>
    <w:p w14:paraId="43B752C6" w14:textId="7D7560C5" w:rsidR="00E00CE4" w:rsidRPr="00205A06" w:rsidRDefault="00E00CE4" w:rsidP="00E00CE4">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A healthy environment of cooperation and synergy has been established </w:t>
      </w:r>
      <w:r w:rsidRPr="00205A06">
        <w:rPr>
          <w:shd w:val="clear" w:color="auto" w:fill="FFFFFF"/>
          <w:lang w:val="en-GB"/>
        </w:rPr>
        <w:t>for the safeguarding of the element,</w:t>
      </w:r>
      <w:r w:rsidRPr="00205A06">
        <w:rPr>
          <w:bCs/>
          <w:lang w:val="en-GB"/>
        </w:rPr>
        <w:t xml:space="preserve"> involving</w:t>
      </w:r>
      <w:r w:rsidRPr="00205A06">
        <w:rPr>
          <w:shd w:val="clear" w:color="auto" w:fill="FFFFFF"/>
          <w:lang w:val="en-GB"/>
        </w:rPr>
        <w:t xml:space="preserve"> governmental</w:t>
      </w:r>
      <w:r w:rsidR="003B4F3A">
        <w:rPr>
          <w:shd w:val="clear" w:color="auto" w:fill="FFFFFF"/>
          <w:lang w:val="en-GB"/>
        </w:rPr>
        <w:t xml:space="preserve"> and</w:t>
      </w:r>
      <w:r w:rsidRPr="00205A06">
        <w:rPr>
          <w:shd w:val="clear" w:color="auto" w:fill="FFFFFF"/>
          <w:lang w:val="en-GB"/>
        </w:rPr>
        <w:t xml:space="preserve"> semi-governmental institutions and local communities, groups and individuals, particularly Naqqāls and other bearers of the element, as well as researchers from fields </w:t>
      </w:r>
      <w:r>
        <w:rPr>
          <w:shd w:val="clear" w:color="auto" w:fill="FFFFFF"/>
          <w:lang w:val="en-GB"/>
        </w:rPr>
        <w:t>including</w:t>
      </w:r>
      <w:r w:rsidRPr="00205A06">
        <w:rPr>
          <w:shd w:val="clear" w:color="auto" w:fill="FFFFFF"/>
          <w:lang w:val="en-GB"/>
        </w:rPr>
        <w:t xml:space="preserve"> anthropology, education, theatre and future studies. Over the recent period, the involvement of associations and cultural non-governmental organizations has increased and resulted in effective </w:t>
      </w:r>
      <w:r>
        <w:rPr>
          <w:shd w:val="clear" w:color="auto" w:fill="FFFFFF"/>
          <w:lang w:val="en-GB"/>
        </w:rPr>
        <w:t xml:space="preserve">safeguarding </w:t>
      </w:r>
      <w:r w:rsidRPr="00205A06">
        <w:rPr>
          <w:shd w:val="clear" w:color="auto" w:fill="FFFFFF"/>
          <w:lang w:val="en-GB"/>
        </w:rPr>
        <w:t xml:space="preserve">activities. The interest of </w:t>
      </w:r>
      <w:r w:rsidR="0022017F">
        <w:rPr>
          <w:shd w:val="clear" w:color="auto" w:fill="FFFFFF"/>
          <w:lang w:val="en-GB"/>
        </w:rPr>
        <w:t>young people</w:t>
      </w:r>
      <w:r w:rsidRPr="00205A06">
        <w:rPr>
          <w:shd w:val="clear" w:color="auto" w:fill="FFFFFF"/>
          <w:lang w:val="en-GB"/>
        </w:rPr>
        <w:t xml:space="preserve"> </w:t>
      </w:r>
      <w:r w:rsidR="003B4F3A">
        <w:rPr>
          <w:shd w:val="clear" w:color="auto" w:fill="FFFFFF"/>
          <w:lang w:val="en-GB"/>
        </w:rPr>
        <w:t>in</w:t>
      </w:r>
      <w:r w:rsidR="003B4F3A" w:rsidRPr="00205A06">
        <w:rPr>
          <w:shd w:val="clear" w:color="auto" w:fill="FFFFFF"/>
          <w:lang w:val="en-GB"/>
        </w:rPr>
        <w:t xml:space="preserve"> </w:t>
      </w:r>
      <w:r w:rsidRPr="00205A06">
        <w:rPr>
          <w:shd w:val="clear" w:color="auto" w:fill="FFFFFF"/>
          <w:lang w:val="en-GB"/>
        </w:rPr>
        <w:t>learn</w:t>
      </w:r>
      <w:r w:rsidR="003B4F3A">
        <w:rPr>
          <w:shd w:val="clear" w:color="auto" w:fill="FFFFFF"/>
          <w:lang w:val="en-GB"/>
        </w:rPr>
        <w:t>ing</w:t>
      </w:r>
      <w:r w:rsidRPr="00205A06">
        <w:rPr>
          <w:shd w:val="clear" w:color="auto" w:fill="FFFFFF"/>
          <w:lang w:val="en-GB"/>
        </w:rPr>
        <w:t xml:space="preserve"> Naqqāli has </w:t>
      </w:r>
      <w:r w:rsidR="0022017F">
        <w:rPr>
          <w:shd w:val="clear" w:color="auto" w:fill="FFFFFF"/>
          <w:lang w:val="en-GB"/>
        </w:rPr>
        <w:t>recently grown</w:t>
      </w:r>
      <w:r w:rsidRPr="00205A06">
        <w:rPr>
          <w:shd w:val="clear" w:color="auto" w:fill="FFFFFF"/>
          <w:lang w:val="en-GB"/>
        </w:rPr>
        <w:t xml:space="preserve">, and the development of </w:t>
      </w:r>
      <w:r>
        <w:rPr>
          <w:shd w:val="clear" w:color="auto" w:fill="FFFFFF"/>
          <w:lang w:val="en-GB"/>
        </w:rPr>
        <w:t xml:space="preserve">educational </w:t>
      </w:r>
      <w:r w:rsidRPr="00205A06">
        <w:rPr>
          <w:shd w:val="clear" w:color="auto" w:fill="FFFFFF"/>
          <w:lang w:val="en-GB"/>
        </w:rPr>
        <w:t>infrastructures, such as Naqqāli Houses, has had a positive effect on the involvement of youth</w:t>
      </w:r>
      <w:r w:rsidRPr="00205A06">
        <w:rPr>
          <w:bCs/>
          <w:lang w:val="en-GB"/>
        </w:rPr>
        <w:t xml:space="preserve">. The importance of </w:t>
      </w:r>
      <w:r w:rsidR="003B4F3A">
        <w:rPr>
          <w:bCs/>
          <w:lang w:val="en-GB"/>
        </w:rPr>
        <w:t xml:space="preserve">the </w:t>
      </w:r>
      <w:r w:rsidRPr="00205A06">
        <w:rPr>
          <w:bCs/>
          <w:lang w:val="en-GB"/>
        </w:rPr>
        <w:t xml:space="preserve">participatory preparation of the periodic report has been explained to local communities, groups and individuals, and their participation and </w:t>
      </w:r>
      <w:r>
        <w:rPr>
          <w:bCs/>
          <w:lang w:val="en-GB"/>
        </w:rPr>
        <w:t>that</w:t>
      </w:r>
      <w:r w:rsidRPr="00205A06">
        <w:rPr>
          <w:bCs/>
          <w:lang w:val="en-GB"/>
        </w:rPr>
        <w:t xml:space="preserve"> of relevant institutions and associations </w:t>
      </w:r>
      <w:r w:rsidR="003B4F3A">
        <w:rPr>
          <w:bCs/>
          <w:lang w:val="en-GB"/>
        </w:rPr>
        <w:t>have been</w:t>
      </w:r>
      <w:r w:rsidR="003B4F3A" w:rsidRPr="00205A06">
        <w:rPr>
          <w:bCs/>
          <w:lang w:val="en-GB"/>
        </w:rPr>
        <w:t xml:space="preserve"> </w:t>
      </w:r>
      <w:r w:rsidRPr="00205A06">
        <w:rPr>
          <w:bCs/>
          <w:lang w:val="en-GB"/>
        </w:rPr>
        <w:t>ensured</w:t>
      </w:r>
      <w:r>
        <w:rPr>
          <w:bCs/>
          <w:lang w:val="en-GB"/>
        </w:rPr>
        <w:t>.</w:t>
      </w:r>
      <w:r w:rsidRPr="00205A06">
        <w:rPr>
          <w:bCs/>
          <w:lang w:val="en-GB"/>
        </w:rPr>
        <w:t xml:space="preserve"> </w:t>
      </w:r>
      <w:r>
        <w:rPr>
          <w:bCs/>
          <w:lang w:val="en-GB"/>
        </w:rPr>
        <w:t>D</w:t>
      </w:r>
      <w:r w:rsidRPr="00205A06">
        <w:rPr>
          <w:bCs/>
          <w:lang w:val="en-GB"/>
        </w:rPr>
        <w:t xml:space="preserve">ata </w:t>
      </w:r>
      <w:r w:rsidR="003B4F3A" w:rsidRPr="00205A06">
        <w:rPr>
          <w:bCs/>
          <w:lang w:val="en-GB"/>
        </w:rPr>
        <w:t>w</w:t>
      </w:r>
      <w:r w:rsidR="003B4F3A">
        <w:rPr>
          <w:bCs/>
          <w:lang w:val="en-GB"/>
        </w:rPr>
        <w:t>ere</w:t>
      </w:r>
      <w:r w:rsidR="003B4F3A" w:rsidRPr="00205A06">
        <w:rPr>
          <w:bCs/>
          <w:lang w:val="en-GB"/>
        </w:rPr>
        <w:t xml:space="preserve"> </w:t>
      </w:r>
      <w:r>
        <w:rPr>
          <w:bCs/>
          <w:lang w:val="en-GB"/>
        </w:rPr>
        <w:t xml:space="preserve">also </w:t>
      </w:r>
      <w:r w:rsidRPr="00205A06">
        <w:rPr>
          <w:bCs/>
          <w:lang w:val="en-GB"/>
        </w:rPr>
        <w:t xml:space="preserve">collected at the level of provinces and further compiled at the central governmental level; however, the report </w:t>
      </w:r>
      <w:r w:rsidR="003B4F3A">
        <w:rPr>
          <w:bCs/>
          <w:lang w:val="en-GB"/>
        </w:rPr>
        <w:t xml:space="preserve">lacks information </w:t>
      </w:r>
      <w:r w:rsidRPr="00205A06">
        <w:rPr>
          <w:bCs/>
          <w:lang w:val="en-GB"/>
        </w:rPr>
        <w:t>on community participation in the process of updating the safeguarding plan.</w:t>
      </w:r>
    </w:p>
    <w:p w14:paraId="6AEF51CA" w14:textId="1B0E6493" w:rsidR="00E00CE4" w:rsidRPr="008E0DD5" w:rsidRDefault="00E00CE4" w:rsidP="008E0DD5">
      <w:pPr>
        <w:pStyle w:val="Marge"/>
        <w:numPr>
          <w:ilvl w:val="0"/>
          <w:numId w:val="9"/>
        </w:numPr>
        <w:tabs>
          <w:tab w:val="clear" w:pos="567"/>
        </w:tabs>
        <w:autoSpaceDE w:val="0"/>
        <w:autoSpaceDN w:val="0"/>
        <w:adjustRightInd w:val="0"/>
        <w:spacing w:after="120"/>
        <w:ind w:left="567" w:hanging="567"/>
        <w:rPr>
          <w:bCs/>
          <w:lang w:val="en-GB"/>
        </w:rPr>
      </w:pPr>
      <w:r w:rsidRPr="00B34D9F">
        <w:rPr>
          <w:b/>
          <w:bCs/>
          <w:lang w:val="en-GB"/>
        </w:rPr>
        <w:t>Viability and current risks</w:t>
      </w:r>
      <w:r w:rsidRPr="00B34D9F">
        <w:rPr>
          <w:bCs/>
          <w:lang w:val="en-GB"/>
        </w:rPr>
        <w:t>.</w:t>
      </w:r>
      <w:r w:rsidRPr="00B34D9F">
        <w:rPr>
          <w:lang w:val="en-GB"/>
        </w:rPr>
        <w:t xml:space="preserve"> As reported, the viability of </w:t>
      </w:r>
      <w:r w:rsidRPr="00B34D9F">
        <w:rPr>
          <w:shd w:val="clear" w:color="auto" w:fill="FFFFFF"/>
          <w:lang w:val="en-GB"/>
        </w:rPr>
        <w:t>Naqqāli</w:t>
      </w:r>
      <w:r w:rsidRPr="00B34D9F">
        <w:rPr>
          <w:lang w:val="en-GB"/>
        </w:rPr>
        <w:t xml:space="preserve"> has been considerably enhanced, and the number of </w:t>
      </w:r>
      <w:r w:rsidRPr="00B34D9F">
        <w:rPr>
          <w:shd w:val="clear" w:color="auto" w:fill="FFFFFF"/>
          <w:lang w:val="en-GB"/>
        </w:rPr>
        <w:t>Naqqāls has increased to a great extent. Since the inscription</w:t>
      </w:r>
      <w:r w:rsidR="004D49D0">
        <w:rPr>
          <w:shd w:val="clear" w:color="auto" w:fill="FFFFFF"/>
          <w:lang w:val="en-GB"/>
        </w:rPr>
        <w:t>,</w:t>
      </w:r>
      <w:r w:rsidRPr="00B34D9F">
        <w:rPr>
          <w:shd w:val="clear" w:color="auto" w:fill="FFFFFF"/>
          <w:lang w:val="en-GB"/>
        </w:rPr>
        <w:t xml:space="preserve"> some 300 </w:t>
      </w:r>
      <w:r w:rsidR="003B4F3A" w:rsidRPr="00B34D9F">
        <w:rPr>
          <w:shd w:val="clear" w:color="auto" w:fill="FFFFFF"/>
          <w:lang w:val="en-GB"/>
        </w:rPr>
        <w:t>pe</w:t>
      </w:r>
      <w:r w:rsidR="003B4F3A">
        <w:rPr>
          <w:shd w:val="clear" w:color="auto" w:fill="FFFFFF"/>
          <w:lang w:val="en-GB"/>
        </w:rPr>
        <w:t>ople</w:t>
      </w:r>
      <w:r w:rsidR="003B4F3A" w:rsidRPr="00B34D9F">
        <w:rPr>
          <w:lang w:val="en-GB"/>
        </w:rPr>
        <w:t xml:space="preserve"> </w:t>
      </w:r>
      <w:r w:rsidRPr="00B34D9F">
        <w:rPr>
          <w:lang w:val="en-GB"/>
        </w:rPr>
        <w:t>from across the country</w:t>
      </w:r>
      <w:r w:rsidRPr="00B34D9F">
        <w:rPr>
          <w:shd w:val="clear" w:color="auto" w:fill="FFFFFF"/>
          <w:lang w:val="en-GB"/>
        </w:rPr>
        <w:t xml:space="preserve"> have been trained to become Naqqāls, 180 of </w:t>
      </w:r>
      <w:r w:rsidR="003B4F3A">
        <w:rPr>
          <w:shd w:val="clear" w:color="auto" w:fill="FFFFFF"/>
          <w:lang w:val="en-GB"/>
        </w:rPr>
        <w:t>whom</w:t>
      </w:r>
      <w:r w:rsidR="003B4F3A" w:rsidRPr="00B34D9F">
        <w:rPr>
          <w:shd w:val="clear" w:color="auto" w:fill="FFFFFF"/>
          <w:lang w:val="en-GB"/>
        </w:rPr>
        <w:t xml:space="preserve"> </w:t>
      </w:r>
      <w:r>
        <w:rPr>
          <w:shd w:val="clear" w:color="auto" w:fill="FFFFFF"/>
          <w:lang w:val="en-GB"/>
        </w:rPr>
        <w:t>a</w:t>
      </w:r>
      <w:r w:rsidRPr="00B34D9F">
        <w:rPr>
          <w:shd w:val="clear" w:color="auto" w:fill="FFFFFF"/>
          <w:lang w:val="en-GB"/>
        </w:rPr>
        <w:t>re female</w:t>
      </w:r>
      <w:r w:rsidRPr="00B34D9F">
        <w:rPr>
          <w:lang w:val="en-GB"/>
        </w:rPr>
        <w:t xml:space="preserve">. According to the State Party, </w:t>
      </w:r>
      <w:r w:rsidR="008E0DD5">
        <w:rPr>
          <w:lang w:val="en-GB"/>
        </w:rPr>
        <w:t xml:space="preserve">the </w:t>
      </w:r>
      <w:r w:rsidRPr="00B34D9F">
        <w:rPr>
          <w:lang w:val="en-GB"/>
        </w:rPr>
        <w:t xml:space="preserve">safeguarding measures implemented with governmental support, on the basis of cooperation among local communities and non-governmental organizations over the past two reporting periods, have had a great impact on the viability of the element, and </w:t>
      </w:r>
      <w:r w:rsidR="008E0DD5">
        <w:rPr>
          <w:lang w:val="en-GB"/>
        </w:rPr>
        <w:t>the element</w:t>
      </w:r>
      <w:r w:rsidRPr="008E0DD5">
        <w:rPr>
          <w:lang w:val="en-GB"/>
        </w:rPr>
        <w:t xml:space="preserve"> is no </w:t>
      </w:r>
      <w:r w:rsidR="003B4F3A">
        <w:rPr>
          <w:lang w:val="en-GB"/>
        </w:rPr>
        <w:t>longer</w:t>
      </w:r>
      <w:r w:rsidR="003B4F3A" w:rsidRPr="008E0DD5">
        <w:rPr>
          <w:lang w:val="en-GB"/>
        </w:rPr>
        <w:t xml:space="preserve"> </w:t>
      </w:r>
      <w:r w:rsidRPr="008E0DD5">
        <w:rPr>
          <w:lang w:val="en-GB"/>
        </w:rPr>
        <w:t xml:space="preserve">at risk of disappearing. In light of </w:t>
      </w:r>
      <w:r w:rsidRPr="008E0DD5">
        <w:rPr>
          <w:bCs/>
          <w:lang w:val="en-GB"/>
        </w:rPr>
        <w:t xml:space="preserve">the effectiveness of the safeguarding measures that have been implemented and the enhanced </w:t>
      </w:r>
      <w:r w:rsidRPr="008E0DD5">
        <w:rPr>
          <w:bCs/>
          <w:lang w:val="en-GB"/>
        </w:rPr>
        <w:lastRenderedPageBreak/>
        <w:t>viability of the element, as presented in the report, the State Party proposes transfer</w:t>
      </w:r>
      <w:r w:rsidR="003B4F3A">
        <w:rPr>
          <w:bCs/>
          <w:lang w:val="en-GB"/>
        </w:rPr>
        <w:t>ring</w:t>
      </w:r>
      <w:r w:rsidRPr="008E0DD5">
        <w:rPr>
          <w:bCs/>
          <w:lang w:val="en-GB"/>
        </w:rPr>
        <w:t xml:space="preserve"> the element from the</w:t>
      </w:r>
      <w:r w:rsidRPr="008E0DD5">
        <w:rPr>
          <w:rFonts w:cs="Arial"/>
          <w:bCs/>
          <w:szCs w:val="22"/>
          <w:lang w:val="en-GB"/>
        </w:rPr>
        <w:t xml:space="preserve"> </w:t>
      </w:r>
      <w:r w:rsidR="00D31855" w:rsidRPr="008E0DD5">
        <w:rPr>
          <w:rFonts w:cs="Arial"/>
          <w:bCs/>
          <w:szCs w:val="22"/>
          <w:lang w:val="en-GB"/>
        </w:rPr>
        <w:t xml:space="preserve">Urgent Safeguarding </w:t>
      </w:r>
      <w:r w:rsidRPr="008E0DD5">
        <w:rPr>
          <w:rFonts w:cs="Arial"/>
          <w:bCs/>
          <w:szCs w:val="22"/>
          <w:lang w:val="en-GB"/>
        </w:rPr>
        <w:t xml:space="preserve">List </w:t>
      </w:r>
      <w:r w:rsidRPr="008E0DD5">
        <w:rPr>
          <w:bCs/>
          <w:lang w:val="en-GB"/>
        </w:rPr>
        <w:t>to the Representative List.</w:t>
      </w:r>
    </w:p>
    <w:p w14:paraId="7A21A6BE" w14:textId="77777777" w:rsidR="00E00CE4" w:rsidRPr="00205A06" w:rsidRDefault="00E00CE4" w:rsidP="00E00CE4">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adopt the following decision:</w:t>
      </w:r>
    </w:p>
    <w:p w14:paraId="7806CAAB" w14:textId="64491893" w:rsidR="00E00CE4" w:rsidRPr="00FC0A9E" w:rsidRDefault="00E00CE4" w:rsidP="00E00CE4">
      <w:pPr>
        <w:pStyle w:val="Titre4"/>
        <w:numPr>
          <w:ilvl w:val="0"/>
          <w:numId w:val="0"/>
        </w:numPr>
        <w:spacing w:before="240"/>
        <w:ind w:left="567"/>
        <w:rPr>
          <w:rFonts w:eastAsia="SimSun"/>
          <w:szCs w:val="22"/>
        </w:rPr>
      </w:pPr>
      <w:bookmarkStart w:id="5" w:name="Dec15COM7_3"/>
      <w:r w:rsidRPr="00205A06">
        <w:rPr>
          <w:szCs w:val="22"/>
        </w:rPr>
        <w:t>DRAFT DECISION 15.COM </w:t>
      </w:r>
      <w:r w:rsidR="00B40F86" w:rsidRPr="00FC0A9E">
        <w:rPr>
          <w:szCs w:val="22"/>
        </w:rPr>
        <w:t>7</w:t>
      </w:r>
      <w:r w:rsidRPr="00FC0A9E">
        <w:rPr>
          <w:szCs w:val="22"/>
        </w:rPr>
        <w:t>.3</w:t>
      </w:r>
      <w:bookmarkEnd w:id="5"/>
      <w:r w:rsidRPr="00FC0A9E">
        <w:rPr>
          <w:szCs w:val="22"/>
        </w:rPr>
        <w:tab/>
      </w:r>
      <w:r w:rsidR="00EF05BD" w:rsidRPr="00FC0A9E">
        <w:rPr>
          <w:noProof/>
          <w:color w:val="0000FF"/>
        </w:rPr>
        <w:drawing>
          <wp:inline distT="0" distB="0" distL="0" distR="0" wp14:anchorId="6340992A" wp14:editId="4040D153">
            <wp:extent cx="104775" cy="104775"/>
            <wp:effectExtent l="0" t="0" r="9525" b="9525"/>
            <wp:docPr id="3"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79A07DE" w14:textId="77777777" w:rsidR="00E00CE4" w:rsidRPr="00FC0A9E" w:rsidRDefault="00E00CE4" w:rsidP="00E00CE4">
      <w:pPr>
        <w:pStyle w:val="Para"/>
        <w:keepNext/>
        <w:numPr>
          <w:ilvl w:val="0"/>
          <w:numId w:val="0"/>
        </w:numPr>
        <w:tabs>
          <w:tab w:val="left" w:pos="1134"/>
        </w:tabs>
        <w:spacing w:line="240" w:lineRule="auto"/>
        <w:ind w:left="567"/>
        <w:rPr>
          <w:rFonts w:cs="Arial"/>
          <w:sz w:val="22"/>
          <w:szCs w:val="22"/>
          <w:lang w:val="en-GB"/>
        </w:rPr>
      </w:pPr>
      <w:r w:rsidRPr="00FC0A9E">
        <w:rPr>
          <w:rFonts w:cs="Arial"/>
          <w:sz w:val="22"/>
          <w:szCs w:val="22"/>
          <w:lang w:val="en-GB"/>
        </w:rPr>
        <w:t>The Committee,</w:t>
      </w:r>
    </w:p>
    <w:p w14:paraId="2B2CB255" w14:textId="2F453545" w:rsidR="00E00CE4" w:rsidRPr="00FC0A9E" w:rsidRDefault="00E00CE4" w:rsidP="00186C3E">
      <w:pPr>
        <w:pStyle w:val="Para"/>
        <w:numPr>
          <w:ilvl w:val="0"/>
          <w:numId w:val="30"/>
        </w:numPr>
        <w:tabs>
          <w:tab w:val="left" w:pos="1134"/>
        </w:tabs>
        <w:spacing w:line="240" w:lineRule="auto"/>
        <w:rPr>
          <w:rFonts w:cs="Arial"/>
          <w:sz w:val="22"/>
          <w:szCs w:val="22"/>
          <w:lang w:val="pt-PT"/>
        </w:rPr>
      </w:pPr>
      <w:r w:rsidRPr="00FC0A9E">
        <w:rPr>
          <w:rFonts w:cs="Arial"/>
          <w:sz w:val="22"/>
          <w:szCs w:val="22"/>
          <w:u w:val="single"/>
          <w:lang w:val="pt-PT"/>
        </w:rPr>
        <w:t>Having examined</w:t>
      </w:r>
      <w:r w:rsidRPr="00FC0A9E">
        <w:rPr>
          <w:rFonts w:cs="Arial"/>
          <w:sz w:val="22"/>
          <w:szCs w:val="22"/>
          <w:lang w:val="pt-PT"/>
        </w:rPr>
        <w:t xml:space="preserve"> document LHE/20/15.COM/</w:t>
      </w:r>
      <w:r w:rsidR="00B40F86" w:rsidRPr="00FC0A9E">
        <w:rPr>
          <w:rFonts w:cs="Arial"/>
          <w:sz w:val="22"/>
          <w:szCs w:val="22"/>
          <w:lang w:val="pt-PT"/>
        </w:rPr>
        <w:t>7</w:t>
      </w:r>
      <w:r w:rsidRPr="00FC0A9E">
        <w:rPr>
          <w:rFonts w:cs="Arial"/>
          <w:sz w:val="22"/>
          <w:szCs w:val="22"/>
          <w:lang w:val="pt-PT"/>
        </w:rPr>
        <w:t>,</w:t>
      </w:r>
    </w:p>
    <w:p w14:paraId="6CC222D2" w14:textId="3B0D28FA"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rFonts w:cs="Arial"/>
          <w:sz w:val="22"/>
          <w:szCs w:val="22"/>
          <w:u w:val="single"/>
          <w:lang w:val="en-GB"/>
        </w:rPr>
        <w:t>Recalling</w:t>
      </w:r>
      <w:r w:rsidRPr="00186C3E">
        <w:rPr>
          <w:rFonts w:cs="Arial"/>
          <w:sz w:val="22"/>
          <w:szCs w:val="22"/>
          <w:lang w:val="en-GB"/>
        </w:rPr>
        <w:t xml:space="preserve"> Chapter V of the Operational Directives and its Decisions </w:t>
      </w:r>
      <w:hyperlink r:id="rId53" w:history="1">
        <w:r w:rsidRPr="00186C3E">
          <w:rPr>
            <w:rStyle w:val="Lienhypertexte"/>
            <w:rFonts w:cs="Arial"/>
            <w:sz w:val="22"/>
            <w:szCs w:val="22"/>
            <w:lang w:val="en-GB"/>
          </w:rPr>
          <w:t>6.COM 8.9</w:t>
        </w:r>
      </w:hyperlink>
      <w:r w:rsidRPr="00186C3E">
        <w:rPr>
          <w:rFonts w:cs="Arial"/>
          <w:sz w:val="22"/>
          <w:szCs w:val="22"/>
          <w:lang w:val="en-GB"/>
        </w:rPr>
        <w:t xml:space="preserve"> and </w:t>
      </w:r>
      <w:hyperlink r:id="rId54" w:history="1">
        <w:r w:rsidRPr="00186C3E">
          <w:rPr>
            <w:rStyle w:val="Lienhypertexte"/>
            <w:rFonts w:cs="Arial"/>
            <w:sz w:val="22"/>
            <w:szCs w:val="22"/>
            <w:lang w:val="en-GB"/>
          </w:rPr>
          <w:t>11.COM 9.b.3</w:t>
        </w:r>
      </w:hyperlink>
      <w:r w:rsidRPr="00186C3E">
        <w:rPr>
          <w:rFonts w:cs="Arial"/>
          <w:sz w:val="22"/>
          <w:szCs w:val="22"/>
          <w:lang w:val="en-GB"/>
        </w:rPr>
        <w:t>,</w:t>
      </w:r>
    </w:p>
    <w:p w14:paraId="6EBEB81D" w14:textId="77777777"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rFonts w:cs="Arial"/>
          <w:sz w:val="22"/>
          <w:szCs w:val="22"/>
          <w:u w:val="single"/>
          <w:lang w:val="en-GB"/>
        </w:rPr>
        <w:t>Expresses its thanks</w:t>
      </w:r>
      <w:r w:rsidRPr="00186C3E">
        <w:rPr>
          <w:rFonts w:cs="Arial"/>
          <w:sz w:val="22"/>
          <w:szCs w:val="22"/>
          <w:lang w:val="en-GB"/>
        </w:rPr>
        <w:t xml:space="preserve"> to Iran for submitting, on time, its report on the </w:t>
      </w:r>
      <w:r w:rsidRPr="00186C3E">
        <w:rPr>
          <w:rFonts w:cs="Arial"/>
          <w:bCs/>
          <w:sz w:val="22"/>
          <w:szCs w:val="22"/>
          <w:lang w:val="en-GB"/>
        </w:rPr>
        <w:t xml:space="preserve">status of the </w:t>
      </w:r>
      <w:r w:rsidRPr="00186C3E">
        <w:rPr>
          <w:rFonts w:cs="Arial"/>
          <w:sz w:val="22"/>
          <w:szCs w:val="22"/>
          <w:lang w:val="en-GB"/>
        </w:rPr>
        <w:t>element ‘</w:t>
      </w:r>
      <w:r w:rsidRPr="00186C3E">
        <w:rPr>
          <w:sz w:val="22"/>
          <w:szCs w:val="22"/>
          <w:shd w:val="clear" w:color="auto" w:fill="FFFFFF"/>
          <w:lang w:val="en-GB"/>
        </w:rPr>
        <w:t>Naqqāli</w:t>
      </w:r>
      <w:r w:rsidRPr="00186C3E">
        <w:rPr>
          <w:sz w:val="22"/>
          <w:szCs w:val="22"/>
          <w:lang w:val="en-GB"/>
        </w:rPr>
        <w:t>, Iranian dramatic story-telling</w:t>
      </w:r>
      <w:r w:rsidRPr="00186C3E">
        <w:rPr>
          <w:rFonts w:cs="Arial"/>
          <w:sz w:val="22"/>
          <w:szCs w:val="22"/>
          <w:lang w:val="en-GB"/>
        </w:rPr>
        <w:t>’, inscribed</w:t>
      </w:r>
      <w:r w:rsidRPr="00186C3E">
        <w:rPr>
          <w:rFonts w:cs="Arial"/>
          <w:bCs/>
          <w:sz w:val="22"/>
          <w:szCs w:val="22"/>
          <w:lang w:val="en-GB"/>
        </w:rPr>
        <w:t xml:space="preserve"> in 2011 on the List of Intangible Cultural Heritage in Need of Urgent Safeguarding;</w:t>
      </w:r>
    </w:p>
    <w:p w14:paraId="25AA2B0B" w14:textId="32414ED4"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rFonts w:cs="Arial"/>
          <w:sz w:val="22"/>
          <w:szCs w:val="22"/>
          <w:u w:val="single"/>
          <w:lang w:val="en-GB"/>
        </w:rPr>
        <w:t>Takes note</w:t>
      </w:r>
      <w:r w:rsidRPr="00186C3E">
        <w:rPr>
          <w:rFonts w:cs="Arial"/>
          <w:sz w:val="22"/>
          <w:szCs w:val="22"/>
          <w:lang w:val="en-GB"/>
        </w:rPr>
        <w:t xml:space="preserve"> of the efforts undertaken by the State Party to safeguard the element, </w:t>
      </w:r>
      <w:r w:rsidR="00DF3D62">
        <w:rPr>
          <w:rFonts w:cs="Arial"/>
          <w:sz w:val="22"/>
          <w:szCs w:val="22"/>
          <w:lang w:val="en-GB"/>
        </w:rPr>
        <w:t>especially</w:t>
      </w:r>
      <w:r w:rsidRPr="00186C3E">
        <w:rPr>
          <w:rFonts w:cs="Arial"/>
          <w:sz w:val="22"/>
          <w:szCs w:val="22"/>
          <w:lang w:val="en-GB"/>
        </w:rPr>
        <w:t xml:space="preserve"> </w:t>
      </w:r>
      <w:r w:rsidR="001F3088">
        <w:rPr>
          <w:rFonts w:cs="Arial"/>
          <w:sz w:val="22"/>
          <w:szCs w:val="22"/>
          <w:lang w:val="en-GB"/>
        </w:rPr>
        <w:t>by</w:t>
      </w:r>
      <w:r w:rsidRPr="00186C3E">
        <w:rPr>
          <w:rFonts w:cs="Arial"/>
          <w:sz w:val="22"/>
          <w:szCs w:val="22"/>
          <w:lang w:val="en-GB"/>
        </w:rPr>
        <w:t xml:space="preserve"> supporting</w:t>
      </w:r>
      <w:r w:rsidR="003B4F3A">
        <w:rPr>
          <w:rFonts w:cs="Arial"/>
          <w:sz w:val="22"/>
          <w:szCs w:val="22"/>
          <w:lang w:val="en-GB"/>
        </w:rPr>
        <w:t xml:space="preserve"> the</w:t>
      </w:r>
      <w:r w:rsidRPr="00186C3E">
        <w:rPr>
          <w:rFonts w:cs="Arial"/>
          <w:sz w:val="22"/>
          <w:szCs w:val="22"/>
          <w:lang w:val="en-GB"/>
        </w:rPr>
        <w:t xml:space="preserve"> sustainable employment of </w:t>
      </w:r>
      <w:r w:rsidRPr="00186C3E">
        <w:rPr>
          <w:sz w:val="22"/>
          <w:szCs w:val="22"/>
          <w:shd w:val="clear" w:color="auto" w:fill="FFFFFF"/>
          <w:lang w:val="en-GB"/>
        </w:rPr>
        <w:t xml:space="preserve">Naqqāls and the transmission of Naqqāli, </w:t>
      </w:r>
      <w:bookmarkStart w:id="6" w:name="_Hlk55840080"/>
      <w:r w:rsidRPr="00186C3E">
        <w:rPr>
          <w:sz w:val="22"/>
          <w:szCs w:val="22"/>
          <w:shd w:val="clear" w:color="auto" w:fill="FFFFFF"/>
          <w:lang w:val="en-GB"/>
        </w:rPr>
        <w:t xml:space="preserve">which </w:t>
      </w:r>
      <w:r w:rsidR="003B4F3A">
        <w:rPr>
          <w:sz w:val="22"/>
          <w:szCs w:val="22"/>
          <w:shd w:val="clear" w:color="auto" w:fill="FFFFFF"/>
          <w:lang w:val="en-GB"/>
        </w:rPr>
        <w:t xml:space="preserve">has </w:t>
      </w:r>
      <w:r w:rsidRPr="00186C3E">
        <w:rPr>
          <w:sz w:val="22"/>
          <w:szCs w:val="22"/>
          <w:shd w:val="clear" w:color="auto" w:fill="FFFFFF"/>
          <w:lang w:val="en-GB"/>
        </w:rPr>
        <w:t xml:space="preserve">resulted in an increased number of practitioners and greater gender balance in its practice and enhanced </w:t>
      </w:r>
      <w:r w:rsidR="003B4F3A">
        <w:rPr>
          <w:sz w:val="22"/>
          <w:szCs w:val="22"/>
          <w:shd w:val="clear" w:color="auto" w:fill="FFFFFF"/>
          <w:lang w:val="en-GB"/>
        </w:rPr>
        <w:t xml:space="preserve">the </w:t>
      </w:r>
      <w:r w:rsidRPr="00186C3E">
        <w:rPr>
          <w:sz w:val="22"/>
          <w:szCs w:val="22"/>
          <w:shd w:val="clear" w:color="auto" w:fill="FFFFFF"/>
          <w:lang w:val="en-GB"/>
        </w:rPr>
        <w:t>appreciation of the element in society, including among youth;</w:t>
      </w:r>
    </w:p>
    <w:bookmarkEnd w:id="6"/>
    <w:p w14:paraId="0C421E3D" w14:textId="4FF5D775"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rFonts w:cs="Arial"/>
          <w:sz w:val="22"/>
          <w:szCs w:val="22"/>
          <w:u w:val="single"/>
          <w:lang w:val="en-GB"/>
        </w:rPr>
        <w:t>Further takes note</w:t>
      </w:r>
      <w:r w:rsidRPr="00186C3E">
        <w:rPr>
          <w:rFonts w:cs="Arial"/>
          <w:sz w:val="22"/>
          <w:szCs w:val="22"/>
          <w:lang w:val="en-GB"/>
        </w:rPr>
        <w:t xml:space="preserve"> that the State Party has established the </w:t>
      </w:r>
      <w:r w:rsidRPr="00186C3E">
        <w:rPr>
          <w:sz w:val="22"/>
          <w:szCs w:val="22"/>
          <w:shd w:val="clear" w:color="auto" w:fill="FFFFFF"/>
          <w:lang w:val="en-GB"/>
        </w:rPr>
        <w:t xml:space="preserve">Iranian Naqqāli Foundation and inaugurated five new Naqqāli Houses, developing </w:t>
      </w:r>
      <w:r w:rsidR="003B4F3A">
        <w:rPr>
          <w:sz w:val="22"/>
          <w:szCs w:val="22"/>
          <w:shd w:val="clear" w:color="auto" w:fill="FFFFFF"/>
          <w:lang w:val="en-GB"/>
        </w:rPr>
        <w:t xml:space="preserve">the </w:t>
      </w:r>
      <w:r w:rsidRPr="00186C3E">
        <w:rPr>
          <w:sz w:val="22"/>
          <w:szCs w:val="22"/>
          <w:shd w:val="clear" w:color="auto" w:fill="FFFFFF"/>
          <w:lang w:val="en-GB"/>
        </w:rPr>
        <w:t>infrastructure to enhance the safeguarding of the element through research, education and promotion;</w:t>
      </w:r>
    </w:p>
    <w:p w14:paraId="5F8ECA72" w14:textId="12350A63"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rFonts w:cs="Arial"/>
          <w:sz w:val="22"/>
          <w:szCs w:val="22"/>
          <w:u w:val="single"/>
          <w:lang w:val="en-GB"/>
        </w:rPr>
        <w:t>Invites</w:t>
      </w:r>
      <w:r w:rsidRPr="00186C3E">
        <w:rPr>
          <w:rFonts w:cs="Arial"/>
          <w:sz w:val="22"/>
          <w:szCs w:val="22"/>
          <w:lang w:val="en-GB"/>
        </w:rPr>
        <w:t xml:space="preserve"> the State Party to continue its efforts to enlarge the network of </w:t>
      </w:r>
      <w:r w:rsidRPr="00186C3E">
        <w:rPr>
          <w:sz w:val="22"/>
          <w:szCs w:val="22"/>
          <w:shd w:val="clear" w:color="auto" w:fill="FFFFFF"/>
          <w:lang w:val="en-GB"/>
        </w:rPr>
        <w:t>Naqqāli Houses, to</w:t>
      </w:r>
      <w:r w:rsidRPr="00186C3E">
        <w:rPr>
          <w:rFonts w:cs="Arial"/>
          <w:sz w:val="22"/>
          <w:szCs w:val="22"/>
          <w:lang w:val="en-GB"/>
        </w:rPr>
        <w:t xml:space="preserve"> strengthen the livelihood capacities of </w:t>
      </w:r>
      <w:r w:rsidRPr="00186C3E">
        <w:rPr>
          <w:sz w:val="22"/>
          <w:szCs w:val="22"/>
          <w:shd w:val="clear" w:color="auto" w:fill="FFFFFF"/>
          <w:lang w:val="en-GB"/>
        </w:rPr>
        <w:t xml:space="preserve">Naqqāls and other bearers of the element, to enhance intergenerational transmission, including through </w:t>
      </w:r>
      <w:r w:rsidRPr="00186C3E">
        <w:rPr>
          <w:rFonts w:cs="Arial"/>
          <w:sz w:val="22"/>
          <w:szCs w:val="22"/>
          <w:lang w:val="en-GB"/>
        </w:rPr>
        <w:t>training</w:t>
      </w:r>
      <w:r w:rsidRPr="00186C3E">
        <w:rPr>
          <w:sz w:val="22"/>
          <w:szCs w:val="22"/>
          <w:shd w:val="clear" w:color="auto" w:fill="FFFFFF"/>
          <w:lang w:val="en-GB"/>
        </w:rPr>
        <w:t xml:space="preserve"> at schools,</w:t>
      </w:r>
      <w:r w:rsidRPr="00186C3E">
        <w:rPr>
          <w:rFonts w:cs="Arial"/>
          <w:sz w:val="22"/>
          <w:szCs w:val="22"/>
          <w:lang w:val="en-GB"/>
        </w:rPr>
        <w:t xml:space="preserve"> and to ensure the participation of practitioners in developing </w:t>
      </w:r>
      <w:r w:rsidR="003B4F3A">
        <w:rPr>
          <w:rFonts w:cs="Arial"/>
          <w:sz w:val="22"/>
          <w:szCs w:val="22"/>
          <w:lang w:val="en-GB"/>
        </w:rPr>
        <w:t xml:space="preserve">the </w:t>
      </w:r>
      <w:r w:rsidRPr="00186C3E">
        <w:rPr>
          <w:rFonts w:cs="Arial"/>
          <w:sz w:val="22"/>
          <w:szCs w:val="22"/>
          <w:lang w:val="en-GB"/>
        </w:rPr>
        <w:t>safeguarding measures;</w:t>
      </w:r>
    </w:p>
    <w:p w14:paraId="03F971C7" w14:textId="4A6CC7D9" w:rsidR="00E00CE4" w:rsidRPr="006123C0" w:rsidRDefault="00E00CE4" w:rsidP="00186C3E">
      <w:pPr>
        <w:pStyle w:val="Para"/>
        <w:numPr>
          <w:ilvl w:val="0"/>
          <w:numId w:val="30"/>
        </w:numPr>
        <w:tabs>
          <w:tab w:val="left" w:pos="1134"/>
        </w:tabs>
        <w:spacing w:line="240" w:lineRule="auto"/>
        <w:rPr>
          <w:rFonts w:cs="Arial"/>
          <w:sz w:val="22"/>
          <w:szCs w:val="22"/>
          <w:lang w:val="en-GB"/>
        </w:rPr>
      </w:pPr>
      <w:r w:rsidRPr="006123C0">
        <w:rPr>
          <w:rFonts w:cs="Arial"/>
          <w:sz w:val="22"/>
          <w:szCs w:val="22"/>
          <w:u w:val="single"/>
          <w:lang w:val="en-GB"/>
        </w:rPr>
        <w:t>Also takes note</w:t>
      </w:r>
      <w:r w:rsidRPr="006123C0">
        <w:rPr>
          <w:rFonts w:cs="Arial"/>
          <w:sz w:val="22"/>
          <w:szCs w:val="22"/>
          <w:lang w:val="en-GB"/>
        </w:rPr>
        <w:t xml:space="preserve"> of the </w:t>
      </w:r>
      <w:r w:rsidRPr="006123C0">
        <w:rPr>
          <w:sz w:val="22"/>
          <w:szCs w:val="22"/>
          <w:shd w:val="clear" w:color="auto" w:fill="FFFFFF"/>
          <w:lang w:val="en-GB"/>
        </w:rPr>
        <w:t xml:space="preserve">strengthened viability </w:t>
      </w:r>
      <w:r w:rsidR="003B4F3A">
        <w:rPr>
          <w:sz w:val="22"/>
          <w:szCs w:val="22"/>
          <w:shd w:val="clear" w:color="auto" w:fill="FFFFFF"/>
          <w:lang w:val="en-GB"/>
        </w:rPr>
        <w:t>of</w:t>
      </w:r>
      <w:r w:rsidR="003B4F3A" w:rsidRPr="006123C0">
        <w:rPr>
          <w:sz w:val="22"/>
          <w:szCs w:val="22"/>
          <w:shd w:val="clear" w:color="auto" w:fill="FFFFFF"/>
          <w:lang w:val="en-GB"/>
        </w:rPr>
        <w:t xml:space="preserve"> </w:t>
      </w:r>
      <w:r w:rsidRPr="006123C0">
        <w:rPr>
          <w:sz w:val="22"/>
          <w:szCs w:val="22"/>
          <w:shd w:val="clear" w:color="auto" w:fill="FFFFFF"/>
          <w:lang w:val="en-GB"/>
        </w:rPr>
        <w:t xml:space="preserve">the element and </w:t>
      </w:r>
      <w:r w:rsidRPr="006123C0">
        <w:rPr>
          <w:rFonts w:cs="Arial"/>
          <w:sz w:val="22"/>
          <w:szCs w:val="22"/>
          <w:lang w:val="en-GB"/>
        </w:rPr>
        <w:t>the State Party</w:t>
      </w:r>
      <w:r w:rsidR="003B4F3A">
        <w:rPr>
          <w:rFonts w:cs="Arial"/>
          <w:sz w:val="22"/>
          <w:szCs w:val="22"/>
          <w:lang w:val="en-GB"/>
        </w:rPr>
        <w:t>’s intention</w:t>
      </w:r>
      <w:r w:rsidRPr="006123C0">
        <w:rPr>
          <w:rFonts w:cs="Arial"/>
          <w:sz w:val="22"/>
          <w:szCs w:val="22"/>
          <w:lang w:val="en-GB"/>
        </w:rPr>
        <w:t xml:space="preserve"> to propose </w:t>
      </w:r>
      <w:r w:rsidR="003B4F3A">
        <w:rPr>
          <w:rFonts w:cs="Arial"/>
          <w:sz w:val="22"/>
          <w:szCs w:val="22"/>
          <w:lang w:val="en-GB"/>
        </w:rPr>
        <w:t>the</w:t>
      </w:r>
      <w:r w:rsidR="003B4F3A" w:rsidRPr="006123C0">
        <w:rPr>
          <w:rFonts w:cs="Arial"/>
          <w:sz w:val="22"/>
          <w:szCs w:val="22"/>
          <w:lang w:val="en-GB"/>
        </w:rPr>
        <w:t xml:space="preserve"> </w:t>
      </w:r>
      <w:r w:rsidRPr="006123C0">
        <w:rPr>
          <w:rFonts w:cs="Arial"/>
          <w:sz w:val="22"/>
          <w:szCs w:val="22"/>
          <w:lang w:val="en-GB"/>
        </w:rPr>
        <w:t>transfer of the element from the</w:t>
      </w:r>
      <w:r w:rsidRPr="006123C0">
        <w:rPr>
          <w:rFonts w:cs="Arial"/>
          <w:bCs/>
          <w:sz w:val="22"/>
          <w:szCs w:val="22"/>
          <w:lang w:val="en-GB"/>
        </w:rPr>
        <w:t xml:space="preserve"> List of Intangible Cultural Heritage in Need of Urgent Safeguarding to the</w:t>
      </w:r>
      <w:r w:rsidRPr="006123C0">
        <w:rPr>
          <w:rFonts w:cs="Arial"/>
          <w:sz w:val="22"/>
          <w:szCs w:val="22"/>
          <w:lang w:val="en-GB"/>
        </w:rPr>
        <w:t xml:space="preserve"> </w:t>
      </w:r>
      <w:r w:rsidRPr="006123C0">
        <w:rPr>
          <w:bCs/>
          <w:sz w:val="22"/>
          <w:szCs w:val="22"/>
          <w:lang w:val="en-GB"/>
        </w:rPr>
        <w:t>Representative List of the Intangible Cultural Heritage of Humanity</w:t>
      </w:r>
      <w:r w:rsidRPr="006123C0">
        <w:rPr>
          <w:rFonts w:cs="Arial"/>
          <w:sz w:val="22"/>
          <w:szCs w:val="22"/>
          <w:lang w:val="en-GB"/>
        </w:rPr>
        <w:t>;</w:t>
      </w:r>
    </w:p>
    <w:p w14:paraId="138E8429" w14:textId="77777777" w:rsidR="00E00CE4" w:rsidRPr="00186C3E" w:rsidRDefault="00E00CE4" w:rsidP="00186C3E">
      <w:pPr>
        <w:pStyle w:val="Para"/>
        <w:numPr>
          <w:ilvl w:val="0"/>
          <w:numId w:val="30"/>
        </w:numPr>
        <w:tabs>
          <w:tab w:val="left" w:pos="1134"/>
        </w:tabs>
        <w:spacing w:line="240" w:lineRule="auto"/>
        <w:rPr>
          <w:rFonts w:cs="Arial"/>
          <w:sz w:val="22"/>
          <w:szCs w:val="22"/>
          <w:lang w:val="en-GB"/>
        </w:rPr>
      </w:pPr>
      <w:r w:rsidRPr="00186C3E">
        <w:rPr>
          <w:sz w:val="22"/>
          <w:szCs w:val="22"/>
          <w:u w:val="single"/>
          <w:lang w:val="en-GB"/>
        </w:rPr>
        <w:t>Requests</w:t>
      </w:r>
      <w:r w:rsidRPr="00186C3E">
        <w:rPr>
          <w:sz w:val="22"/>
          <w:szCs w:val="22"/>
          <w:lang w:val="en-GB"/>
        </w:rPr>
        <w:t xml:space="preserve"> that the Secretariat inform the State Party at least nine months prior to the deadline of 15 December 2023 about the required submission of its next report on the status of this element.</w:t>
      </w:r>
    </w:p>
    <w:p w14:paraId="3FD00273" w14:textId="77777777" w:rsidR="00540409" w:rsidRDefault="00540409">
      <w:pPr>
        <w:rPr>
          <w:rFonts w:ascii="Arial" w:eastAsia="SimSun" w:hAnsi="Arial" w:cs="Arial"/>
          <w:sz w:val="22"/>
          <w:szCs w:val="22"/>
          <w:lang w:val="en-GB"/>
        </w:rPr>
      </w:pPr>
    </w:p>
    <w:p w14:paraId="48CF1561" w14:textId="5036A7A7" w:rsidR="00A3469B" w:rsidRPr="00205A06" w:rsidRDefault="00A3469B" w:rsidP="00A3469B">
      <w:pPr>
        <w:pStyle w:val="COMTitleDecision"/>
        <w:pageBreakBefore/>
        <w:spacing w:before="480"/>
        <w:jc w:val="left"/>
      </w:pPr>
      <w:r w:rsidRPr="00205A06">
        <w:rPr>
          <w:bCs/>
        </w:rPr>
        <w:lastRenderedPageBreak/>
        <w:t>Iran:</w:t>
      </w:r>
      <w:r w:rsidRPr="00205A06">
        <w:t xml:space="preserve"> ‘Traditional skills of building and sailing Iranian Lenj boats in the Persian Gulf’</w:t>
      </w:r>
      <w:r w:rsidRPr="00205A06">
        <w:rPr>
          <w:bCs/>
          <w:i/>
          <w:iCs/>
        </w:rPr>
        <w:t xml:space="preserve"> </w:t>
      </w:r>
      <w:r w:rsidRPr="00205A06">
        <w:rPr>
          <w:b w:val="0"/>
          <w:bCs/>
          <w:i/>
          <w:iCs/>
        </w:rPr>
        <w:t xml:space="preserve">(consult </w:t>
      </w:r>
      <w:r w:rsidRPr="000F24D9">
        <w:rPr>
          <w:b w:val="0"/>
          <w:bCs/>
          <w:i/>
          <w:iCs/>
        </w:rPr>
        <w:t xml:space="preserve">the </w:t>
      </w:r>
      <w:hyperlink r:id="rId55" w:history="1">
        <w:r w:rsidRPr="000F24D9">
          <w:rPr>
            <w:rStyle w:val="Lienhypertexte"/>
            <w:b w:val="0"/>
            <w:bCs/>
            <w:i/>
            <w:iCs/>
          </w:rPr>
          <w:t>report</w:t>
        </w:r>
      </w:hyperlink>
      <w:r w:rsidRPr="000F24D9">
        <w:rPr>
          <w:b w:val="0"/>
          <w:bCs/>
          <w:i/>
          <w:iCs/>
        </w:rPr>
        <w:t>)</w:t>
      </w:r>
    </w:p>
    <w:p w14:paraId="4B73FDA2" w14:textId="17DC272C" w:rsidR="00A3469B" w:rsidRPr="00205A06" w:rsidRDefault="00A3469B" w:rsidP="00A3469B">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lang w:val="en-GB"/>
        </w:rPr>
        <w:t xml:space="preserve">Traditional skills of building and sailing Iranian Lenj boats in the Persian Gulf is a culturally significant element throughout the southern regions of Iran, </w:t>
      </w:r>
      <w:r w:rsidR="003B4F3A">
        <w:rPr>
          <w:lang w:val="en-GB"/>
        </w:rPr>
        <w:t>the n</w:t>
      </w:r>
      <w:r w:rsidR="003B4F3A" w:rsidRPr="00205A06">
        <w:rPr>
          <w:lang w:val="en-GB"/>
        </w:rPr>
        <w:t xml:space="preserve">orthern </w:t>
      </w:r>
      <w:r w:rsidRPr="00205A06">
        <w:rPr>
          <w:lang w:val="en-GB"/>
        </w:rPr>
        <w:t>coasts of the Persian Gulf and the Oman Sea. It plays an important role in the livelihood of local</w:t>
      </w:r>
      <w:r w:rsidR="003B4F3A">
        <w:rPr>
          <w:lang w:val="en-GB"/>
        </w:rPr>
        <w:t xml:space="preserve"> people</w:t>
      </w:r>
      <w:r w:rsidRPr="00205A06">
        <w:rPr>
          <w:lang w:val="en-GB"/>
        </w:rPr>
        <w:t>, dependent on fishing and sailing</w:t>
      </w:r>
      <w:r w:rsidRPr="00205A06">
        <w:rPr>
          <w:rFonts w:cs="Arial"/>
          <w:lang w:val="en-GB"/>
        </w:rPr>
        <w:t xml:space="preserve">. </w:t>
      </w:r>
      <w:r w:rsidRPr="00205A06">
        <w:rPr>
          <w:lang w:val="en-GB"/>
        </w:rPr>
        <w:t xml:space="preserve">Captains (Nakhoda), sailors and the builders of wood-made Lenj boats are the main bearers of the element. Its traditional functions are, however, faced </w:t>
      </w:r>
      <w:r>
        <w:rPr>
          <w:lang w:val="en-GB"/>
        </w:rPr>
        <w:t>with</w:t>
      </w:r>
      <w:r w:rsidRPr="00205A06">
        <w:rPr>
          <w:lang w:val="en-GB"/>
        </w:rPr>
        <w:t xml:space="preserve"> the advent of modern vessels and maritime navigation technologies. </w:t>
      </w:r>
      <w:r w:rsidRPr="00205A06">
        <w:rPr>
          <w:rFonts w:cs="Arial"/>
          <w:lang w:val="en-GB"/>
        </w:rPr>
        <w:t>The traditional</w:t>
      </w:r>
      <w:r>
        <w:rPr>
          <w:rFonts w:cs="Arial"/>
          <w:lang w:val="en-GB"/>
        </w:rPr>
        <w:t xml:space="preserve"> skills of</w:t>
      </w:r>
      <w:r w:rsidRPr="00205A06">
        <w:rPr>
          <w:rFonts w:cs="Arial"/>
          <w:lang w:val="en-GB"/>
        </w:rPr>
        <w:t xml:space="preserve"> </w:t>
      </w:r>
      <w:r w:rsidRPr="00205A06">
        <w:rPr>
          <w:lang w:val="en-GB"/>
        </w:rPr>
        <w:t>building and sailing are also linked to performances on various occasions and ceremonies like Nowruz Sayyad (start of the annual fishing period in June) and Nowruz (the Persian New Year) or the beginning of the solar calendar.</w:t>
      </w:r>
    </w:p>
    <w:p w14:paraId="3BD6100F" w14:textId="73D78717" w:rsidR="00A3469B" w:rsidRPr="00205A06" w:rsidRDefault="00A3469B" w:rsidP="00A3469B">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56" w:history="1">
        <w:r w:rsidRPr="00533CAE">
          <w:rPr>
            <w:rStyle w:val="Lienhypertexte"/>
            <w:rFonts w:cs="Arial"/>
            <w:bCs/>
            <w:szCs w:val="22"/>
            <w:lang w:val="en-GB"/>
          </w:rPr>
          <w:t xml:space="preserve">Decision </w:t>
        </w:r>
        <w:r w:rsidRPr="00533CAE">
          <w:rPr>
            <w:rStyle w:val="Lienhypertexte"/>
            <w:rFonts w:cs="Arial"/>
            <w:szCs w:val="22"/>
            <w:lang w:val="en-GB"/>
          </w:rPr>
          <w:t>6.COM 8.10</w:t>
        </w:r>
      </w:hyperlink>
      <w:r>
        <w:rPr>
          <w:rFonts w:cs="Arial"/>
          <w:bCs/>
          <w:szCs w:val="22"/>
          <w:lang w:val="en-GB"/>
        </w:rPr>
        <w:t>)</w:t>
      </w:r>
      <w:r w:rsidRPr="00205A06">
        <w:rPr>
          <w:rFonts w:cs="Arial"/>
          <w:bCs/>
          <w:szCs w:val="22"/>
          <w:lang w:val="en-GB"/>
        </w:rPr>
        <w:t xml:space="preserve"> and the first report was examined by the Committee in 2016</w:t>
      </w:r>
      <w:r>
        <w:rPr>
          <w:rFonts w:cs="Arial"/>
          <w:bCs/>
          <w:szCs w:val="22"/>
          <w:lang w:val="en-GB"/>
        </w:rPr>
        <w:t xml:space="preserve"> (</w:t>
      </w:r>
      <w:hyperlink r:id="rId57" w:history="1">
        <w:r w:rsidRPr="00CF7E36">
          <w:rPr>
            <w:rStyle w:val="Lienhypertexte"/>
            <w:rFonts w:cs="Arial"/>
            <w:bCs/>
            <w:szCs w:val="22"/>
            <w:lang w:val="en-GB"/>
          </w:rPr>
          <w:t xml:space="preserve">Decision </w:t>
        </w:r>
        <w:r w:rsidRPr="00CF7E36">
          <w:rPr>
            <w:rStyle w:val="Lienhypertexte"/>
            <w:lang w:val="en-US"/>
          </w:rPr>
          <w:t>11.COM 9.b.2</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1E32F1FB" w14:textId="2E6681D5" w:rsidR="00A3469B" w:rsidRPr="00205A06" w:rsidRDefault="00A3469B" w:rsidP="00A3469B">
      <w:pPr>
        <w:pStyle w:val="COMPara"/>
        <w:numPr>
          <w:ilvl w:val="0"/>
          <w:numId w:val="9"/>
        </w:numPr>
        <w:spacing w:before="120"/>
        <w:ind w:left="567" w:hanging="567"/>
        <w:jc w:val="both"/>
      </w:pPr>
      <w:r w:rsidRPr="00205A06">
        <w:rPr>
          <w:b/>
          <w:bCs/>
        </w:rPr>
        <w:t>Effectiveness of the safeguarding plan</w:t>
      </w:r>
      <w:r w:rsidRPr="00205A06">
        <w:rPr>
          <w:bCs/>
        </w:rPr>
        <w:t xml:space="preserve">. Financial assistance measures have been </w:t>
      </w:r>
      <w:r w:rsidR="003B4F3A">
        <w:rPr>
          <w:bCs/>
        </w:rPr>
        <w:t>developed</w:t>
      </w:r>
      <w:r w:rsidR="003B4F3A" w:rsidRPr="00205A06">
        <w:rPr>
          <w:bCs/>
        </w:rPr>
        <w:t xml:space="preserve"> </w:t>
      </w:r>
      <w:r w:rsidRPr="00205A06">
        <w:rPr>
          <w:bCs/>
        </w:rPr>
        <w:t>for Lenj boat owners, sailors</w:t>
      </w:r>
      <w:r>
        <w:rPr>
          <w:bCs/>
        </w:rPr>
        <w:t xml:space="preserve">, </w:t>
      </w:r>
      <w:r w:rsidRPr="00205A06">
        <w:rPr>
          <w:bCs/>
        </w:rPr>
        <w:t>seafarers and craftsmen</w:t>
      </w:r>
      <w:r>
        <w:rPr>
          <w:bCs/>
        </w:rPr>
        <w:t>, which were</w:t>
      </w:r>
      <w:r w:rsidRPr="00205A06">
        <w:rPr>
          <w:bCs/>
        </w:rPr>
        <w:t xml:space="preserve"> employed to</w:t>
      </w:r>
      <w:r>
        <w:rPr>
          <w:bCs/>
        </w:rPr>
        <w:t xml:space="preserve"> support the data collection and documentation of related knowledge and</w:t>
      </w:r>
      <w:r w:rsidRPr="00205A06">
        <w:rPr>
          <w:bCs/>
        </w:rPr>
        <w:t xml:space="preserve"> provide training to the </w:t>
      </w:r>
      <w:r>
        <w:rPr>
          <w:bCs/>
        </w:rPr>
        <w:t>younger</w:t>
      </w:r>
      <w:r w:rsidRPr="00205A06">
        <w:rPr>
          <w:bCs/>
        </w:rPr>
        <w:t xml:space="preserve"> generation. Research and publication activities have been expanded, radio and television program</w:t>
      </w:r>
      <w:r w:rsidR="003B4F3A">
        <w:rPr>
          <w:bCs/>
        </w:rPr>
        <w:t>me</w:t>
      </w:r>
      <w:r w:rsidRPr="00205A06">
        <w:rPr>
          <w:bCs/>
        </w:rPr>
        <w:t xml:space="preserve">s created, and </w:t>
      </w:r>
      <w:r>
        <w:rPr>
          <w:bCs/>
        </w:rPr>
        <w:t xml:space="preserve">an </w:t>
      </w:r>
      <w:r w:rsidRPr="00205A06">
        <w:rPr>
          <w:bCs/>
        </w:rPr>
        <w:t>oral history collection with interviews with tradition bearers made available on social media. Schools, universities and other educational institutions have incorporated research related to the element into their curricula, and several museums have served as a space for related educational courses and cultural tours</w:t>
      </w:r>
      <w:r>
        <w:rPr>
          <w:bCs/>
        </w:rPr>
        <w:t>,</w:t>
      </w:r>
      <w:r w:rsidRPr="00205A06">
        <w:rPr>
          <w:bCs/>
        </w:rPr>
        <w:t xml:space="preserve"> organiz</w:t>
      </w:r>
      <w:r>
        <w:rPr>
          <w:bCs/>
        </w:rPr>
        <w:t>ing</w:t>
      </w:r>
      <w:r w:rsidRPr="00205A06">
        <w:rPr>
          <w:bCs/>
        </w:rPr>
        <w:t xml:space="preserve"> training and workshops in villages. </w:t>
      </w:r>
      <w:r>
        <w:rPr>
          <w:bCs/>
        </w:rPr>
        <w:t>A dedicated safeguarding centre for the element has been created and several c</w:t>
      </w:r>
      <w:r w:rsidRPr="00205A06">
        <w:rPr>
          <w:bCs/>
        </w:rPr>
        <w:t>apacity</w:t>
      </w:r>
      <w:r>
        <w:rPr>
          <w:bCs/>
        </w:rPr>
        <w:t>-</w:t>
      </w:r>
      <w:r w:rsidRPr="00205A06">
        <w:rPr>
          <w:bCs/>
        </w:rPr>
        <w:t>building program</w:t>
      </w:r>
      <w:r w:rsidR="003B4F3A">
        <w:rPr>
          <w:bCs/>
        </w:rPr>
        <w:t>me</w:t>
      </w:r>
      <w:r w:rsidRPr="00205A06">
        <w:rPr>
          <w:bCs/>
        </w:rPr>
        <w:t xml:space="preserve">s </w:t>
      </w:r>
      <w:r>
        <w:rPr>
          <w:bCs/>
        </w:rPr>
        <w:t xml:space="preserve">for the revitalization and restoration of Lenj boats </w:t>
      </w:r>
      <w:r w:rsidRPr="00205A06">
        <w:rPr>
          <w:bCs/>
        </w:rPr>
        <w:t>have been provided to local communities</w:t>
      </w:r>
      <w:r>
        <w:rPr>
          <w:bCs/>
        </w:rPr>
        <w:t xml:space="preserve">, </w:t>
      </w:r>
      <w:r w:rsidRPr="00205A06">
        <w:rPr>
          <w:bCs/>
        </w:rPr>
        <w:t>tourism agencie</w:t>
      </w:r>
      <w:r>
        <w:rPr>
          <w:bCs/>
        </w:rPr>
        <w:t xml:space="preserve">s </w:t>
      </w:r>
      <w:r w:rsidRPr="00205A06">
        <w:rPr>
          <w:bCs/>
        </w:rPr>
        <w:t>and individuals, specializing in heritage</w:t>
      </w:r>
      <w:r w:rsidR="003B4F3A">
        <w:rPr>
          <w:bCs/>
        </w:rPr>
        <w:t>-</w:t>
      </w:r>
      <w:r w:rsidRPr="00205A06">
        <w:rPr>
          <w:bCs/>
        </w:rPr>
        <w:t>related tours and activities</w:t>
      </w:r>
      <w:r>
        <w:rPr>
          <w:bCs/>
        </w:rPr>
        <w:t>. N</w:t>
      </w:r>
      <w:r w:rsidRPr="00205A06">
        <w:rPr>
          <w:bCs/>
        </w:rPr>
        <w:t>ow</w:t>
      </w:r>
      <w:r>
        <w:rPr>
          <w:bCs/>
        </w:rPr>
        <w:t>adays,</w:t>
      </w:r>
      <w:r w:rsidRPr="00205A06">
        <w:rPr>
          <w:bCs/>
        </w:rPr>
        <w:t xml:space="preserve"> most of the cultural tourists visiting southern regions of Iran visit Lenj boats</w:t>
      </w:r>
      <w:r w:rsidR="003B4F3A">
        <w:rPr>
          <w:bCs/>
        </w:rPr>
        <w:t>-</w:t>
      </w:r>
      <w:r w:rsidRPr="00205A06">
        <w:rPr>
          <w:bCs/>
        </w:rPr>
        <w:t xml:space="preserve">building workshops and </w:t>
      </w:r>
      <w:r w:rsidR="003B4F3A" w:rsidRPr="00205A06">
        <w:rPr>
          <w:bCs/>
        </w:rPr>
        <w:t>experienc</w:t>
      </w:r>
      <w:r w:rsidR="003B4F3A">
        <w:rPr>
          <w:bCs/>
        </w:rPr>
        <w:t>e</w:t>
      </w:r>
      <w:r w:rsidR="003B4F3A" w:rsidRPr="00205A06">
        <w:rPr>
          <w:bCs/>
        </w:rPr>
        <w:t xml:space="preserve"> </w:t>
      </w:r>
      <w:r w:rsidRPr="00205A06">
        <w:rPr>
          <w:bCs/>
        </w:rPr>
        <w:t xml:space="preserve">sailing in these wood-made vessels. </w:t>
      </w:r>
      <w:r>
        <w:rPr>
          <w:bCs/>
        </w:rPr>
        <w:t xml:space="preserve">Overall, the safeguarding activities have led to a revived hope </w:t>
      </w:r>
      <w:r w:rsidRPr="00205A06">
        <w:rPr>
          <w:bCs/>
        </w:rPr>
        <w:t>and encourage</w:t>
      </w:r>
      <w:r>
        <w:rPr>
          <w:bCs/>
        </w:rPr>
        <w:t>ment</w:t>
      </w:r>
      <w:r w:rsidRPr="00205A06">
        <w:rPr>
          <w:bCs/>
        </w:rPr>
        <w:t xml:space="preserve"> </w:t>
      </w:r>
      <w:r>
        <w:rPr>
          <w:bCs/>
        </w:rPr>
        <w:t>to l</w:t>
      </w:r>
      <w:r w:rsidRPr="00205A06">
        <w:rPr>
          <w:bCs/>
        </w:rPr>
        <w:t xml:space="preserve">ocal communities for </w:t>
      </w:r>
      <w:r w:rsidR="003B4F3A">
        <w:rPr>
          <w:bCs/>
        </w:rPr>
        <w:t xml:space="preserve">engaging in </w:t>
      </w:r>
      <w:r w:rsidRPr="00205A06">
        <w:rPr>
          <w:bCs/>
        </w:rPr>
        <w:t>further knowledge transfer. Ceremonies and festivals</w:t>
      </w:r>
      <w:r>
        <w:rPr>
          <w:bCs/>
        </w:rPr>
        <w:t xml:space="preserve">, with </w:t>
      </w:r>
      <w:r w:rsidR="003B4F3A">
        <w:rPr>
          <w:bCs/>
        </w:rPr>
        <w:t xml:space="preserve">their </w:t>
      </w:r>
      <w:r>
        <w:rPr>
          <w:bCs/>
        </w:rPr>
        <w:t>associated musical performances,</w:t>
      </w:r>
      <w:r w:rsidRPr="00205A06">
        <w:rPr>
          <w:bCs/>
        </w:rPr>
        <w:t xml:space="preserve"> </w:t>
      </w:r>
      <w:r w:rsidR="003B4F3A">
        <w:rPr>
          <w:bCs/>
        </w:rPr>
        <w:t xml:space="preserve">have </w:t>
      </w:r>
      <w:r>
        <w:rPr>
          <w:bCs/>
        </w:rPr>
        <w:t>also played</w:t>
      </w:r>
      <w:r w:rsidRPr="00205A06">
        <w:rPr>
          <w:bCs/>
        </w:rPr>
        <w:t xml:space="preserve"> an effective role in promoting the element. Public awareness and knowledge </w:t>
      </w:r>
      <w:r w:rsidR="003B4F3A" w:rsidRPr="00205A06">
        <w:rPr>
          <w:bCs/>
        </w:rPr>
        <w:t>o</w:t>
      </w:r>
      <w:r w:rsidR="003B4F3A">
        <w:rPr>
          <w:bCs/>
        </w:rPr>
        <w:t>f</w:t>
      </w:r>
      <w:r w:rsidR="003B4F3A" w:rsidRPr="00205A06">
        <w:rPr>
          <w:bCs/>
        </w:rPr>
        <w:t xml:space="preserve"> </w:t>
      </w:r>
      <w:r w:rsidRPr="00205A06">
        <w:rPr>
          <w:bCs/>
        </w:rPr>
        <w:t xml:space="preserve">the element have increased to a large extent, and </w:t>
      </w:r>
      <w:r w:rsidR="003B4F3A">
        <w:rPr>
          <w:bCs/>
        </w:rPr>
        <w:t xml:space="preserve">overall the </w:t>
      </w:r>
      <w:r w:rsidRPr="00205A06">
        <w:rPr>
          <w:bCs/>
        </w:rPr>
        <w:t xml:space="preserve">safeguarding measures </w:t>
      </w:r>
      <w:r w:rsidR="003B4F3A">
        <w:rPr>
          <w:bCs/>
        </w:rPr>
        <w:t>have had a positive impact</w:t>
      </w:r>
      <w:r w:rsidRPr="00205A06">
        <w:rPr>
          <w:bCs/>
        </w:rPr>
        <w:t>.</w:t>
      </w:r>
    </w:p>
    <w:p w14:paraId="2379FE8E" w14:textId="2D8F8140" w:rsidR="00A3469B" w:rsidRPr="00205A06" w:rsidRDefault="00DF5196" w:rsidP="00A3469B">
      <w:pPr>
        <w:pStyle w:val="COMPara"/>
        <w:numPr>
          <w:ilvl w:val="0"/>
          <w:numId w:val="9"/>
        </w:numPr>
        <w:spacing w:before="120"/>
        <w:ind w:left="567" w:hanging="567"/>
        <w:jc w:val="both"/>
      </w:pPr>
      <w:r>
        <w:t>In its</w:t>
      </w:r>
      <w:r w:rsidR="00A3469B" w:rsidRPr="00205A06">
        <w:t xml:space="preserve"> previous decision </w:t>
      </w:r>
      <w:hyperlink r:id="rId58" w:history="1">
        <w:r w:rsidR="00A3469B" w:rsidRPr="00CF7E36">
          <w:rPr>
            <w:rStyle w:val="Lienhypertexte"/>
          </w:rPr>
          <w:t>11.COM 9.b.2</w:t>
        </w:r>
      </w:hyperlink>
      <w:r w:rsidR="00A3469B" w:rsidRPr="00205A06">
        <w:rPr>
          <w:color w:val="0000FF"/>
        </w:rPr>
        <w:t xml:space="preserve"> </w:t>
      </w:r>
      <w:r w:rsidR="00A3469B">
        <w:t>concerning the first report examined in 2016</w:t>
      </w:r>
      <w:r w:rsidR="00A3469B" w:rsidRPr="00205A06">
        <w:t xml:space="preserve">, </w:t>
      </w:r>
      <w:r w:rsidRPr="00205A06">
        <w:t>the Committee</w:t>
      </w:r>
      <w:r>
        <w:t xml:space="preserve"> </w:t>
      </w:r>
      <w:r w:rsidR="00A3469B" w:rsidRPr="00205A06">
        <w:t>encouraged increasing the number of Lenj workshops</w:t>
      </w:r>
      <w:r>
        <w:t>. In this regard</w:t>
      </w:r>
      <w:r w:rsidR="00A3469B" w:rsidRPr="00205A06">
        <w:t xml:space="preserve">, the report mentions that the number of workshops and Lenj boats has increased, as compared to the previous period. The Committee also invited </w:t>
      </w:r>
      <w:r w:rsidR="00B81195">
        <w:t xml:space="preserve">the State Party </w:t>
      </w:r>
      <w:r w:rsidR="00A3469B" w:rsidRPr="00205A06">
        <w:t xml:space="preserve">to seek ways </w:t>
      </w:r>
      <w:r w:rsidR="003B4F3A">
        <w:t>to</w:t>
      </w:r>
      <w:r w:rsidR="003B4F3A" w:rsidRPr="00205A06">
        <w:t xml:space="preserve"> reconcil</w:t>
      </w:r>
      <w:r w:rsidR="003B4F3A">
        <w:t>e</w:t>
      </w:r>
      <w:r w:rsidR="003B4F3A" w:rsidRPr="00205A06">
        <w:t xml:space="preserve"> </w:t>
      </w:r>
      <w:r w:rsidR="00A3469B" w:rsidRPr="00205A06">
        <w:t xml:space="preserve">modern </w:t>
      </w:r>
      <w:r w:rsidR="00A3469B">
        <w:t xml:space="preserve">and traditional </w:t>
      </w:r>
      <w:r w:rsidR="00A3469B" w:rsidRPr="00205A06">
        <w:t>methods of boat-building and navigation</w:t>
      </w:r>
      <w:r w:rsidR="00FE6506">
        <w:t xml:space="preserve">. In </w:t>
      </w:r>
      <w:r w:rsidR="00B81195">
        <w:t>that respect</w:t>
      </w:r>
      <w:r w:rsidR="00FE6506">
        <w:t>,</w:t>
      </w:r>
      <w:r w:rsidR="00A3469B" w:rsidRPr="00205A06">
        <w:t xml:space="preserve"> the report highlights that </w:t>
      </w:r>
      <w:r w:rsidR="00A3469B">
        <w:t xml:space="preserve">the </w:t>
      </w:r>
      <w:r w:rsidR="00A3469B" w:rsidRPr="00205A06">
        <w:rPr>
          <w:bCs/>
        </w:rPr>
        <w:t>Persian Gulf Maritime School has been established in Kong port, combining modern sailing skills with traditional knowledge, including the recognition of natural signs such as winds, water currents, astronomy and marine meteorology in the Persian Gulf.</w:t>
      </w:r>
      <w:r w:rsidR="00A3469B" w:rsidRPr="00205A06">
        <w:t xml:space="preserve"> Within the updated safeguarding plan, further public awareness</w:t>
      </w:r>
      <w:r w:rsidR="00A3469B">
        <w:t>-</w:t>
      </w:r>
      <w:r w:rsidR="00A3469B" w:rsidRPr="00205A06">
        <w:t>raising and educational activities</w:t>
      </w:r>
      <w:r w:rsidR="00A3469B">
        <w:t>,</w:t>
      </w:r>
      <w:r w:rsidR="00A3469B" w:rsidRPr="00205A06">
        <w:t xml:space="preserve"> </w:t>
      </w:r>
      <w:r w:rsidR="00A3469B">
        <w:t xml:space="preserve">as well as the establishment of safeguarding centres in other provinces, </w:t>
      </w:r>
      <w:r w:rsidR="00A3469B" w:rsidRPr="00205A06">
        <w:t>are planned</w:t>
      </w:r>
      <w:r w:rsidR="00A3469B">
        <w:t>.</w:t>
      </w:r>
      <w:r w:rsidR="00A3469B" w:rsidRPr="00205A06">
        <w:t xml:space="preserve"> </w:t>
      </w:r>
      <w:r w:rsidR="00A3469B">
        <w:t>C</w:t>
      </w:r>
      <w:r w:rsidR="00A3469B" w:rsidRPr="00205A06">
        <w:t xml:space="preserve">ontinuous financial support for the livelihoods of bearers is </w:t>
      </w:r>
      <w:r w:rsidR="00A3469B">
        <w:t xml:space="preserve">also </w:t>
      </w:r>
      <w:r w:rsidR="00A3469B" w:rsidRPr="00205A06">
        <w:t>envisaged.</w:t>
      </w:r>
    </w:p>
    <w:p w14:paraId="1A27554C" w14:textId="755E48EB" w:rsidR="00A3469B" w:rsidRPr="004448E6" w:rsidRDefault="00A3469B" w:rsidP="00A3469B">
      <w:pPr>
        <w:pStyle w:val="Marge"/>
        <w:numPr>
          <w:ilvl w:val="0"/>
          <w:numId w:val="9"/>
        </w:numPr>
        <w:tabs>
          <w:tab w:val="clear" w:pos="567"/>
        </w:tabs>
        <w:autoSpaceDE w:val="0"/>
        <w:autoSpaceDN w:val="0"/>
        <w:adjustRightInd w:val="0"/>
        <w:spacing w:after="120"/>
        <w:ind w:left="567" w:hanging="567"/>
        <w:rPr>
          <w:bCs/>
          <w:lang w:val="en-GB"/>
        </w:rPr>
      </w:pPr>
      <w:r w:rsidRPr="00655688">
        <w:rPr>
          <w:b/>
          <w:bCs/>
          <w:lang w:val="en-GB"/>
        </w:rPr>
        <w:t>Community participation</w:t>
      </w:r>
      <w:r w:rsidRPr="00655688">
        <w:rPr>
          <w:bCs/>
          <w:lang w:val="en-GB"/>
        </w:rPr>
        <w:t xml:space="preserve">. Community-based groups and associations, cultural organizations, local municipalities and city and village councils, museums, tourism institutes, as well as captains and other individuals have undertaken efforts </w:t>
      </w:r>
      <w:r w:rsidR="00F95E63">
        <w:rPr>
          <w:bCs/>
          <w:lang w:val="en-GB"/>
        </w:rPr>
        <w:t>to</w:t>
      </w:r>
      <w:r w:rsidRPr="00655688">
        <w:rPr>
          <w:bCs/>
          <w:lang w:val="en-GB"/>
        </w:rPr>
        <w:t xml:space="preserve"> safeguard the element. Established partnerships have led to a sense of cooperation and common ownership, and the documentation of the element is mentioned among the most collaborative measures </w:t>
      </w:r>
      <w:r w:rsidR="00F95E63">
        <w:rPr>
          <w:bCs/>
          <w:lang w:val="en-GB"/>
        </w:rPr>
        <w:t xml:space="preserve">to be </w:t>
      </w:r>
      <w:r w:rsidRPr="00655688">
        <w:rPr>
          <w:bCs/>
          <w:lang w:val="en-GB"/>
        </w:rPr>
        <w:t xml:space="preserve">implemented. The collaboration with scholarly experts and researchers from various disciplines has </w:t>
      </w:r>
      <w:r w:rsidRPr="004448E6">
        <w:rPr>
          <w:bCs/>
          <w:lang w:val="en-GB"/>
        </w:rPr>
        <w:t xml:space="preserve">also supported safeguarding efforts. Diverse stakeholders, including the bearers of the element, have been involved in </w:t>
      </w:r>
      <w:r w:rsidR="00F95E63" w:rsidRPr="004448E6">
        <w:rPr>
          <w:bCs/>
          <w:lang w:val="en-GB"/>
        </w:rPr>
        <w:t xml:space="preserve">developing </w:t>
      </w:r>
      <w:r w:rsidRPr="004448E6">
        <w:rPr>
          <w:bCs/>
          <w:lang w:val="en-GB"/>
        </w:rPr>
        <w:t xml:space="preserve">the updated safeguarding plan and at various stages of preparing the report, and information gathered at </w:t>
      </w:r>
      <w:r w:rsidR="00F95E63" w:rsidRPr="004448E6">
        <w:rPr>
          <w:bCs/>
          <w:lang w:val="en-GB"/>
        </w:rPr>
        <w:t xml:space="preserve">the </w:t>
      </w:r>
      <w:r w:rsidRPr="004448E6">
        <w:rPr>
          <w:bCs/>
          <w:lang w:val="en-GB"/>
        </w:rPr>
        <w:t xml:space="preserve">provincial level was further consolidated at </w:t>
      </w:r>
      <w:r w:rsidR="00F95E63" w:rsidRPr="004448E6">
        <w:rPr>
          <w:bCs/>
          <w:lang w:val="en-GB"/>
        </w:rPr>
        <w:t xml:space="preserve">the </w:t>
      </w:r>
      <w:r w:rsidRPr="004448E6">
        <w:rPr>
          <w:bCs/>
          <w:lang w:val="en-GB"/>
        </w:rPr>
        <w:t>central governmental level.</w:t>
      </w:r>
    </w:p>
    <w:p w14:paraId="71FFF190" w14:textId="6BC58DBF" w:rsidR="00A3469B" w:rsidRPr="004448E6" w:rsidRDefault="00A3469B" w:rsidP="00A3469B">
      <w:pPr>
        <w:pStyle w:val="Marge"/>
        <w:numPr>
          <w:ilvl w:val="0"/>
          <w:numId w:val="9"/>
        </w:numPr>
        <w:tabs>
          <w:tab w:val="clear" w:pos="567"/>
        </w:tabs>
        <w:autoSpaceDE w:val="0"/>
        <w:autoSpaceDN w:val="0"/>
        <w:adjustRightInd w:val="0"/>
        <w:spacing w:after="120"/>
        <w:ind w:left="567" w:hanging="567"/>
        <w:rPr>
          <w:bCs/>
          <w:lang w:val="en-GB"/>
        </w:rPr>
      </w:pPr>
      <w:r w:rsidRPr="004448E6">
        <w:rPr>
          <w:b/>
          <w:bCs/>
          <w:lang w:val="en-GB"/>
        </w:rPr>
        <w:t>Viability and current risks</w:t>
      </w:r>
      <w:r w:rsidRPr="004448E6">
        <w:rPr>
          <w:bCs/>
          <w:lang w:val="en-GB"/>
        </w:rPr>
        <w:t>.</w:t>
      </w:r>
      <w:r w:rsidRPr="004448E6">
        <w:rPr>
          <w:lang w:val="en-GB"/>
        </w:rPr>
        <w:t xml:space="preserve"> Governmental and provincial funds allocated have contributed to continuing research, building capacities through training, securing </w:t>
      </w:r>
      <w:r w:rsidR="00182B9F" w:rsidRPr="004448E6">
        <w:rPr>
          <w:lang w:val="en-GB"/>
        </w:rPr>
        <w:t xml:space="preserve">the livelihoods of </w:t>
      </w:r>
      <w:r w:rsidRPr="004448E6">
        <w:rPr>
          <w:lang w:val="en-GB"/>
        </w:rPr>
        <w:t xml:space="preserve">older </w:t>
      </w:r>
      <w:r w:rsidRPr="004448E6">
        <w:rPr>
          <w:lang w:val="en-GB"/>
        </w:rPr>
        <w:lastRenderedPageBreak/>
        <w:t xml:space="preserve">bearers of the element and enhancing career opportunities for the younger generation. The traditional skills of building and sailing Iranian Lenj boats are not, however, sufficiently accommodated within the standards of education in the maritime and shipbuilding industry and the relevant training centres. The availability of contemporary equipment also hampers the enthusiasm for learning and utilizing the traditional methods and gadgetry. Only </w:t>
      </w:r>
      <w:r w:rsidR="00F95E63" w:rsidRPr="004448E6">
        <w:rPr>
          <w:lang w:val="en-GB"/>
        </w:rPr>
        <w:t xml:space="preserve">a </w:t>
      </w:r>
      <w:r w:rsidRPr="004448E6">
        <w:rPr>
          <w:lang w:val="en-GB"/>
        </w:rPr>
        <w:t xml:space="preserve">few young people are interested in acquiring </w:t>
      </w:r>
      <w:r w:rsidR="00F95E63" w:rsidRPr="004448E6">
        <w:rPr>
          <w:lang w:val="en-GB"/>
        </w:rPr>
        <w:t xml:space="preserve">the </w:t>
      </w:r>
      <w:r w:rsidRPr="004448E6">
        <w:rPr>
          <w:lang w:val="en-GB"/>
        </w:rPr>
        <w:t xml:space="preserve">traditional skills, and the bearer community remains aged and small. </w:t>
      </w:r>
      <w:r w:rsidR="00F95E63" w:rsidRPr="004448E6">
        <w:rPr>
          <w:lang w:val="en-GB"/>
        </w:rPr>
        <w:t xml:space="preserve">A lack </w:t>
      </w:r>
      <w:r w:rsidRPr="004448E6">
        <w:rPr>
          <w:lang w:val="en-GB"/>
        </w:rPr>
        <w:t xml:space="preserve">of profitability is another threat identified, and there is a need to continue creating career opportunities to attract professional interest. As acknowledged by the State Party, the safeguarding of the element </w:t>
      </w:r>
      <w:r w:rsidR="00F95E63" w:rsidRPr="004448E6">
        <w:rPr>
          <w:lang w:val="en-GB"/>
        </w:rPr>
        <w:t>requires</w:t>
      </w:r>
      <w:r w:rsidRPr="004448E6">
        <w:rPr>
          <w:lang w:val="en-GB"/>
        </w:rPr>
        <w:t xml:space="preserve"> more effective safeguarding measures.</w:t>
      </w:r>
      <w:r w:rsidRPr="004448E6">
        <w:rPr>
          <w:rFonts w:cs="Arial"/>
          <w:lang w:val="en-GB"/>
        </w:rPr>
        <w:t xml:space="preserve"> </w:t>
      </w:r>
      <w:r w:rsidR="00B55299" w:rsidRPr="004448E6">
        <w:rPr>
          <w:rFonts w:cs="Arial"/>
          <w:lang w:val="en-GB"/>
        </w:rPr>
        <w:t xml:space="preserve">In addition, </w:t>
      </w:r>
      <w:r w:rsidR="00B55299" w:rsidRPr="004448E6">
        <w:rPr>
          <w:bCs/>
          <w:lang w:val="en-GB"/>
        </w:rPr>
        <w:t>t</w:t>
      </w:r>
      <w:r w:rsidRPr="004448E6">
        <w:rPr>
          <w:bCs/>
          <w:lang w:val="en-GB"/>
        </w:rPr>
        <w:t>he report does not provide</w:t>
      </w:r>
      <w:r w:rsidR="00F95E63" w:rsidRPr="004448E6">
        <w:rPr>
          <w:bCs/>
          <w:lang w:val="en-GB"/>
        </w:rPr>
        <w:t xml:space="preserve"> any</w:t>
      </w:r>
      <w:r w:rsidRPr="004448E6">
        <w:rPr>
          <w:bCs/>
          <w:lang w:val="en-GB"/>
        </w:rPr>
        <w:t xml:space="preserve"> information </w:t>
      </w:r>
      <w:r w:rsidR="00B55299" w:rsidRPr="004448E6">
        <w:rPr>
          <w:bCs/>
          <w:lang w:val="en-GB"/>
        </w:rPr>
        <w:t>on</w:t>
      </w:r>
      <w:r w:rsidRPr="004448E6">
        <w:rPr>
          <w:bCs/>
          <w:lang w:val="en-GB"/>
        </w:rPr>
        <w:t xml:space="preserve"> the viability of the oral traditions and expressions</w:t>
      </w:r>
      <w:r w:rsidR="00F95E63" w:rsidRPr="004448E6">
        <w:rPr>
          <w:bCs/>
          <w:lang w:val="en-GB"/>
        </w:rPr>
        <w:t>,</w:t>
      </w:r>
      <w:r w:rsidRPr="004448E6">
        <w:rPr>
          <w:bCs/>
          <w:lang w:val="en-GB"/>
        </w:rPr>
        <w:t xml:space="preserve"> </w:t>
      </w:r>
      <w:r w:rsidR="00F95E63" w:rsidRPr="004448E6">
        <w:rPr>
          <w:bCs/>
          <w:lang w:val="en-GB"/>
        </w:rPr>
        <w:t xml:space="preserve">which </w:t>
      </w:r>
      <w:r w:rsidRPr="004448E6">
        <w:rPr>
          <w:bCs/>
          <w:lang w:val="en-GB"/>
        </w:rPr>
        <w:t xml:space="preserve">are </w:t>
      </w:r>
      <w:r w:rsidR="00B55299" w:rsidRPr="004448E6">
        <w:rPr>
          <w:bCs/>
          <w:lang w:val="en-GB"/>
        </w:rPr>
        <w:t xml:space="preserve">an important </w:t>
      </w:r>
      <w:r w:rsidRPr="004448E6">
        <w:rPr>
          <w:bCs/>
          <w:lang w:val="en-GB"/>
        </w:rPr>
        <w:t>part of the element, such as related traditional sailing terminologies and stories and poems in Iranian languages and dialects</w:t>
      </w:r>
      <w:r w:rsidRPr="004448E6">
        <w:rPr>
          <w:bCs/>
          <w:lang w:val="en-US"/>
        </w:rPr>
        <w:t>.</w:t>
      </w:r>
    </w:p>
    <w:p w14:paraId="02E320EB" w14:textId="77777777" w:rsidR="00A3469B" w:rsidRPr="004448E6" w:rsidRDefault="00A3469B" w:rsidP="00A3469B">
      <w:pPr>
        <w:pStyle w:val="Marge"/>
        <w:keepNext/>
        <w:numPr>
          <w:ilvl w:val="0"/>
          <w:numId w:val="9"/>
        </w:numPr>
        <w:tabs>
          <w:tab w:val="clear" w:pos="567"/>
        </w:tabs>
        <w:autoSpaceDE w:val="0"/>
        <w:autoSpaceDN w:val="0"/>
        <w:adjustRightInd w:val="0"/>
        <w:spacing w:after="120"/>
        <w:ind w:left="567" w:hanging="567"/>
        <w:rPr>
          <w:lang w:val="en-GB"/>
        </w:rPr>
      </w:pPr>
      <w:r w:rsidRPr="004448E6">
        <w:rPr>
          <w:lang w:val="en-GB"/>
        </w:rPr>
        <w:t xml:space="preserve">The Committee may </w:t>
      </w:r>
      <w:r w:rsidRPr="004448E6">
        <w:rPr>
          <w:bCs/>
          <w:lang w:val="en-GB"/>
        </w:rPr>
        <w:t>wish</w:t>
      </w:r>
      <w:r w:rsidRPr="004448E6">
        <w:rPr>
          <w:lang w:val="en-GB"/>
        </w:rPr>
        <w:t xml:space="preserve"> to adopt the following decision:</w:t>
      </w:r>
    </w:p>
    <w:p w14:paraId="5E7297BC" w14:textId="11C12F07" w:rsidR="00A3469B" w:rsidRPr="004448E6" w:rsidRDefault="00A3469B" w:rsidP="00A3469B">
      <w:pPr>
        <w:pStyle w:val="Titre4"/>
        <w:numPr>
          <w:ilvl w:val="0"/>
          <w:numId w:val="0"/>
        </w:numPr>
        <w:spacing w:before="240"/>
        <w:ind w:left="567"/>
        <w:rPr>
          <w:rFonts w:eastAsia="SimSun"/>
          <w:szCs w:val="22"/>
        </w:rPr>
      </w:pPr>
      <w:bookmarkStart w:id="7" w:name="Dec15COM7_4"/>
      <w:r w:rsidRPr="004448E6">
        <w:rPr>
          <w:szCs w:val="22"/>
        </w:rPr>
        <w:t>DRAFT DECISION 15.COM </w:t>
      </w:r>
      <w:r w:rsidR="00B40F86" w:rsidRPr="004448E6">
        <w:rPr>
          <w:szCs w:val="22"/>
        </w:rPr>
        <w:t>7</w:t>
      </w:r>
      <w:r w:rsidRPr="004448E6">
        <w:rPr>
          <w:szCs w:val="22"/>
        </w:rPr>
        <w:t>.4</w:t>
      </w:r>
      <w:bookmarkEnd w:id="7"/>
      <w:r w:rsidRPr="004448E6">
        <w:rPr>
          <w:szCs w:val="22"/>
        </w:rPr>
        <w:tab/>
      </w:r>
      <w:r w:rsidR="00CA0C03" w:rsidRPr="004448E6">
        <w:rPr>
          <w:noProof/>
          <w:color w:val="0000FF"/>
        </w:rPr>
        <w:drawing>
          <wp:inline distT="0" distB="0" distL="0" distR="0" wp14:anchorId="3B35DA36" wp14:editId="1C012C13">
            <wp:extent cx="104775" cy="104775"/>
            <wp:effectExtent l="0" t="0" r="9525" b="9525"/>
            <wp:docPr id="4"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D33E242" w14:textId="77777777" w:rsidR="00A3469B" w:rsidRPr="004448E6" w:rsidRDefault="00A3469B" w:rsidP="00A3469B">
      <w:pPr>
        <w:pStyle w:val="Para"/>
        <w:keepNext/>
        <w:numPr>
          <w:ilvl w:val="0"/>
          <w:numId w:val="0"/>
        </w:numPr>
        <w:tabs>
          <w:tab w:val="left" w:pos="1134"/>
        </w:tabs>
        <w:spacing w:line="240" w:lineRule="auto"/>
        <w:ind w:left="567"/>
        <w:rPr>
          <w:rFonts w:cs="Arial"/>
          <w:sz w:val="22"/>
          <w:szCs w:val="22"/>
          <w:lang w:val="en-GB"/>
        </w:rPr>
      </w:pPr>
      <w:r w:rsidRPr="004448E6">
        <w:rPr>
          <w:rFonts w:cs="Arial"/>
          <w:sz w:val="22"/>
          <w:szCs w:val="22"/>
          <w:lang w:val="en-GB"/>
        </w:rPr>
        <w:t>The Committee,</w:t>
      </w:r>
    </w:p>
    <w:p w14:paraId="7A7C0272" w14:textId="4FA23F95" w:rsidR="00A3469B" w:rsidRPr="004448E6" w:rsidRDefault="00A3469B" w:rsidP="00186C3E">
      <w:pPr>
        <w:pStyle w:val="Para"/>
        <w:numPr>
          <w:ilvl w:val="0"/>
          <w:numId w:val="31"/>
        </w:numPr>
        <w:tabs>
          <w:tab w:val="left" w:pos="1134"/>
        </w:tabs>
        <w:spacing w:line="240" w:lineRule="auto"/>
        <w:rPr>
          <w:rFonts w:cs="Arial"/>
          <w:sz w:val="22"/>
          <w:szCs w:val="22"/>
          <w:lang w:val="pt-PT"/>
        </w:rPr>
      </w:pPr>
      <w:r w:rsidRPr="004448E6">
        <w:rPr>
          <w:rFonts w:cs="Arial"/>
          <w:sz w:val="22"/>
          <w:szCs w:val="22"/>
          <w:u w:val="single"/>
          <w:lang w:val="pt-PT"/>
        </w:rPr>
        <w:t>Having examined</w:t>
      </w:r>
      <w:r w:rsidRPr="004448E6">
        <w:rPr>
          <w:rFonts w:cs="Arial"/>
          <w:sz w:val="22"/>
          <w:szCs w:val="22"/>
          <w:lang w:val="pt-PT"/>
        </w:rPr>
        <w:t xml:space="preserve"> document LHE/20/15.COM/</w:t>
      </w:r>
      <w:r w:rsidR="00B40F86" w:rsidRPr="004448E6">
        <w:rPr>
          <w:rFonts w:cs="Arial"/>
          <w:sz w:val="22"/>
          <w:szCs w:val="22"/>
          <w:lang w:val="pt-PT"/>
        </w:rPr>
        <w:t>7</w:t>
      </w:r>
      <w:r w:rsidRPr="004448E6">
        <w:rPr>
          <w:rFonts w:cs="Arial"/>
          <w:sz w:val="22"/>
          <w:szCs w:val="22"/>
          <w:lang w:val="pt-PT"/>
        </w:rPr>
        <w:t>,</w:t>
      </w:r>
    </w:p>
    <w:p w14:paraId="0276D504" w14:textId="3D2042F4"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4448E6">
        <w:rPr>
          <w:rFonts w:cs="Arial"/>
          <w:sz w:val="22"/>
          <w:szCs w:val="22"/>
          <w:u w:val="single"/>
          <w:lang w:val="en-GB"/>
        </w:rPr>
        <w:t>Recalling</w:t>
      </w:r>
      <w:r w:rsidRPr="004448E6">
        <w:rPr>
          <w:rFonts w:cs="Arial"/>
          <w:sz w:val="22"/>
          <w:szCs w:val="22"/>
          <w:lang w:val="en-GB"/>
        </w:rPr>
        <w:t xml:space="preserve"> Chapter V of the Operational</w:t>
      </w:r>
      <w:r w:rsidRPr="00186C3E">
        <w:rPr>
          <w:rFonts w:cs="Arial"/>
          <w:sz w:val="22"/>
          <w:szCs w:val="22"/>
          <w:lang w:val="en-GB"/>
        </w:rPr>
        <w:t xml:space="preserve"> Directives and its Decisions </w:t>
      </w:r>
      <w:hyperlink r:id="rId59" w:history="1">
        <w:r w:rsidRPr="00186C3E">
          <w:rPr>
            <w:rStyle w:val="Lienhypertexte"/>
            <w:rFonts w:cs="Arial"/>
            <w:sz w:val="22"/>
            <w:szCs w:val="22"/>
            <w:lang w:val="en-GB"/>
          </w:rPr>
          <w:t>6.COM 8.10</w:t>
        </w:r>
      </w:hyperlink>
      <w:r w:rsidRPr="00186C3E">
        <w:rPr>
          <w:rFonts w:cs="Arial"/>
          <w:sz w:val="22"/>
          <w:szCs w:val="22"/>
          <w:lang w:val="en-GB"/>
        </w:rPr>
        <w:t xml:space="preserve"> and </w:t>
      </w:r>
      <w:hyperlink r:id="rId60" w:history="1">
        <w:r w:rsidRPr="00186C3E">
          <w:rPr>
            <w:rStyle w:val="Lienhypertexte"/>
            <w:rFonts w:cs="Arial"/>
            <w:sz w:val="22"/>
            <w:szCs w:val="22"/>
            <w:lang w:val="en-GB"/>
          </w:rPr>
          <w:t>11.COM 9.b.2</w:t>
        </w:r>
      </w:hyperlink>
      <w:r w:rsidRPr="00186C3E">
        <w:rPr>
          <w:rFonts w:cs="Arial"/>
          <w:sz w:val="22"/>
          <w:szCs w:val="22"/>
          <w:lang w:val="en-GB"/>
        </w:rPr>
        <w:t>,</w:t>
      </w:r>
    </w:p>
    <w:p w14:paraId="23D6A8D6" w14:textId="19B54D8E"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rFonts w:cs="Arial"/>
          <w:sz w:val="22"/>
          <w:szCs w:val="22"/>
          <w:u w:val="single"/>
          <w:lang w:val="en-GB"/>
        </w:rPr>
        <w:t>Expresses its thanks</w:t>
      </w:r>
      <w:r w:rsidRPr="00186C3E">
        <w:rPr>
          <w:rFonts w:cs="Arial"/>
          <w:sz w:val="22"/>
          <w:szCs w:val="22"/>
          <w:lang w:val="en-GB"/>
        </w:rPr>
        <w:t xml:space="preserve"> to Iran for submitting, on time, its report on the </w:t>
      </w:r>
      <w:r w:rsidRPr="00186C3E">
        <w:rPr>
          <w:rFonts w:cs="Arial"/>
          <w:bCs/>
          <w:sz w:val="22"/>
          <w:szCs w:val="22"/>
          <w:lang w:val="en-GB"/>
        </w:rPr>
        <w:t xml:space="preserve">status of the </w:t>
      </w:r>
      <w:r w:rsidRPr="00186C3E">
        <w:rPr>
          <w:rFonts w:cs="Arial"/>
          <w:sz w:val="22"/>
          <w:szCs w:val="22"/>
          <w:lang w:val="en-GB"/>
        </w:rPr>
        <w:t>element ‘</w:t>
      </w:r>
      <w:r w:rsidRPr="00186C3E">
        <w:rPr>
          <w:sz w:val="22"/>
          <w:szCs w:val="22"/>
          <w:lang w:val="en-GB"/>
        </w:rPr>
        <w:t>Traditional skills of building and sailing Iranian Lenj boats in the Persian Gulf</w:t>
      </w:r>
      <w:r w:rsidRPr="00186C3E">
        <w:rPr>
          <w:rFonts w:cs="Arial"/>
          <w:sz w:val="22"/>
          <w:szCs w:val="22"/>
          <w:lang w:val="en-GB"/>
        </w:rPr>
        <w:t>’, inscribed</w:t>
      </w:r>
      <w:r w:rsidRPr="00186C3E">
        <w:rPr>
          <w:rFonts w:cs="Arial"/>
          <w:bCs/>
          <w:sz w:val="22"/>
          <w:szCs w:val="22"/>
          <w:lang w:val="en-GB"/>
        </w:rPr>
        <w:t xml:space="preserve"> in 2011 on the List of Intangible Cultural Heritage in Need of Urgent Safeguarding;</w:t>
      </w:r>
    </w:p>
    <w:p w14:paraId="7D17DDED" w14:textId="5B6CFBEE"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rFonts w:cs="Arial"/>
          <w:sz w:val="22"/>
          <w:szCs w:val="22"/>
          <w:u w:val="single"/>
          <w:lang w:val="en-GB"/>
        </w:rPr>
        <w:t>Takes note</w:t>
      </w:r>
      <w:r w:rsidRPr="00186C3E">
        <w:rPr>
          <w:rFonts w:cs="Arial"/>
          <w:sz w:val="22"/>
          <w:szCs w:val="22"/>
          <w:lang w:val="en-GB"/>
        </w:rPr>
        <w:t xml:space="preserve"> of the efforts undertaken by the State Party to safeguard the element, </w:t>
      </w:r>
      <w:r w:rsidR="00D40BF4">
        <w:rPr>
          <w:rFonts w:cs="Arial"/>
          <w:sz w:val="22"/>
          <w:szCs w:val="22"/>
          <w:lang w:val="en-GB"/>
        </w:rPr>
        <w:t>especially</w:t>
      </w:r>
      <w:r w:rsidRPr="00186C3E">
        <w:rPr>
          <w:rFonts w:cs="Arial"/>
          <w:sz w:val="22"/>
          <w:szCs w:val="22"/>
          <w:lang w:val="en-GB"/>
        </w:rPr>
        <w:t xml:space="preserve"> through the financial </w:t>
      </w:r>
      <w:r w:rsidR="00D40BF4">
        <w:rPr>
          <w:rFonts w:cs="Arial"/>
          <w:sz w:val="22"/>
          <w:szCs w:val="22"/>
          <w:lang w:val="en-GB"/>
        </w:rPr>
        <w:t>assistance</w:t>
      </w:r>
      <w:r w:rsidRPr="00186C3E">
        <w:rPr>
          <w:rFonts w:cs="Arial"/>
          <w:sz w:val="22"/>
          <w:szCs w:val="22"/>
          <w:lang w:val="en-GB"/>
        </w:rPr>
        <w:t xml:space="preserve"> of its governmental and local institutions to support </w:t>
      </w:r>
      <w:r w:rsidR="00485B0B">
        <w:rPr>
          <w:rFonts w:cs="Arial"/>
          <w:sz w:val="22"/>
          <w:szCs w:val="22"/>
          <w:lang w:val="en-GB"/>
        </w:rPr>
        <w:t xml:space="preserve">the </w:t>
      </w:r>
      <w:r w:rsidRPr="00186C3E">
        <w:rPr>
          <w:rFonts w:cs="Arial"/>
          <w:sz w:val="22"/>
          <w:szCs w:val="22"/>
          <w:lang w:val="en-GB"/>
        </w:rPr>
        <w:t xml:space="preserve">documentation, research, education, capacity building, awareness raising and revitalization of the element, </w:t>
      </w:r>
      <w:r w:rsidR="009313FB">
        <w:rPr>
          <w:rFonts w:cs="Arial"/>
          <w:sz w:val="22"/>
          <w:szCs w:val="22"/>
          <w:lang w:val="en-GB"/>
        </w:rPr>
        <w:t>as well as of its efforts to</w:t>
      </w:r>
      <w:r w:rsidRPr="00186C3E">
        <w:rPr>
          <w:rFonts w:cs="Arial"/>
          <w:sz w:val="22"/>
          <w:szCs w:val="22"/>
          <w:lang w:val="en-GB"/>
        </w:rPr>
        <w:t xml:space="preserve"> increase opportunities </w:t>
      </w:r>
      <w:r w:rsidR="009313FB">
        <w:rPr>
          <w:rFonts w:cs="Arial"/>
          <w:sz w:val="22"/>
          <w:szCs w:val="22"/>
          <w:lang w:val="en-GB"/>
        </w:rPr>
        <w:t xml:space="preserve">to ensure </w:t>
      </w:r>
      <w:r w:rsidRPr="00186C3E">
        <w:rPr>
          <w:rFonts w:cs="Arial"/>
          <w:sz w:val="22"/>
          <w:szCs w:val="22"/>
          <w:lang w:val="en-GB"/>
        </w:rPr>
        <w:t>the livelihood of tradition bearers;</w:t>
      </w:r>
    </w:p>
    <w:p w14:paraId="17A9C92F" w14:textId="7F09ADE7"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rFonts w:cs="Arial"/>
          <w:sz w:val="22"/>
          <w:szCs w:val="22"/>
          <w:u w:val="single"/>
          <w:lang w:val="en-GB"/>
        </w:rPr>
        <w:t>Further takes note</w:t>
      </w:r>
      <w:r w:rsidRPr="00186C3E">
        <w:rPr>
          <w:rFonts w:cs="Arial"/>
          <w:sz w:val="22"/>
          <w:szCs w:val="22"/>
          <w:lang w:val="en-GB"/>
        </w:rPr>
        <w:t xml:space="preserve"> of the role of educational and research institutions in the safeguarding process, including museums that serve as a space for awareness raising and training </w:t>
      </w:r>
      <w:r w:rsidR="00147932">
        <w:rPr>
          <w:rFonts w:cs="Arial"/>
          <w:sz w:val="22"/>
          <w:szCs w:val="22"/>
          <w:lang w:val="en-GB"/>
        </w:rPr>
        <w:t>relating to</w:t>
      </w:r>
      <w:r w:rsidRPr="00186C3E">
        <w:rPr>
          <w:rFonts w:cs="Arial"/>
          <w:sz w:val="22"/>
          <w:szCs w:val="22"/>
          <w:lang w:val="en-GB"/>
        </w:rPr>
        <w:t xml:space="preserve"> the element, and </w:t>
      </w:r>
      <w:r w:rsidR="00147932">
        <w:rPr>
          <w:rFonts w:cs="Arial"/>
          <w:sz w:val="22"/>
          <w:szCs w:val="22"/>
          <w:lang w:val="en-GB"/>
        </w:rPr>
        <w:t xml:space="preserve">of </w:t>
      </w:r>
      <w:r w:rsidRPr="00186C3E">
        <w:rPr>
          <w:rFonts w:cs="Arial"/>
          <w:sz w:val="22"/>
          <w:szCs w:val="22"/>
          <w:lang w:val="en-GB"/>
        </w:rPr>
        <w:t xml:space="preserve">the establishment of the </w:t>
      </w:r>
      <w:r w:rsidRPr="00186C3E">
        <w:rPr>
          <w:bCs/>
          <w:sz w:val="22"/>
          <w:szCs w:val="22"/>
          <w:lang w:val="en-GB"/>
        </w:rPr>
        <w:t>Persian Gulf Maritime School</w:t>
      </w:r>
      <w:r w:rsidR="00147932">
        <w:rPr>
          <w:bCs/>
          <w:sz w:val="22"/>
          <w:szCs w:val="22"/>
          <w:lang w:val="en-GB"/>
        </w:rPr>
        <w:t xml:space="preserve">, which </w:t>
      </w:r>
      <w:r w:rsidRPr="00186C3E">
        <w:rPr>
          <w:bCs/>
          <w:sz w:val="22"/>
          <w:szCs w:val="22"/>
          <w:lang w:val="en-GB"/>
        </w:rPr>
        <w:t>combin</w:t>
      </w:r>
      <w:r w:rsidR="00147932">
        <w:rPr>
          <w:bCs/>
          <w:sz w:val="22"/>
          <w:szCs w:val="22"/>
          <w:lang w:val="en-GB"/>
        </w:rPr>
        <w:t>es</w:t>
      </w:r>
      <w:r w:rsidRPr="00186C3E">
        <w:rPr>
          <w:bCs/>
          <w:sz w:val="22"/>
          <w:szCs w:val="22"/>
          <w:lang w:val="en-GB"/>
        </w:rPr>
        <w:t xml:space="preserve"> modern sailing skills with traditional knowledge;</w:t>
      </w:r>
    </w:p>
    <w:p w14:paraId="6797BBC1" w14:textId="77777777"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rFonts w:cs="Arial"/>
          <w:sz w:val="22"/>
          <w:szCs w:val="22"/>
          <w:u w:val="single"/>
          <w:lang w:val="en-GB"/>
        </w:rPr>
        <w:t>Invites</w:t>
      </w:r>
      <w:r w:rsidRPr="00186C3E">
        <w:rPr>
          <w:rFonts w:cs="Arial"/>
          <w:sz w:val="22"/>
          <w:szCs w:val="22"/>
          <w:lang w:val="en-GB"/>
        </w:rPr>
        <w:t xml:space="preserve"> the State Party to continue its efforts to develop and implement innovative, effective and sustainable measures for the safeguarding of the element in the context of contemporary maritime and shipbuilding education and industry;</w:t>
      </w:r>
    </w:p>
    <w:p w14:paraId="430AD758" w14:textId="1C1BD8E9" w:rsidR="00A3469B" w:rsidRPr="001308F1" w:rsidRDefault="00A3469B" w:rsidP="00186C3E">
      <w:pPr>
        <w:pStyle w:val="Para"/>
        <w:numPr>
          <w:ilvl w:val="0"/>
          <w:numId w:val="31"/>
        </w:numPr>
        <w:tabs>
          <w:tab w:val="left" w:pos="1134"/>
        </w:tabs>
        <w:spacing w:line="240" w:lineRule="auto"/>
        <w:rPr>
          <w:rFonts w:cs="Arial"/>
          <w:sz w:val="22"/>
          <w:szCs w:val="22"/>
          <w:lang w:val="en-GB"/>
        </w:rPr>
      </w:pPr>
      <w:r w:rsidRPr="001308F1">
        <w:rPr>
          <w:rFonts w:cs="Arial"/>
          <w:sz w:val="22"/>
          <w:szCs w:val="22"/>
          <w:u w:val="single"/>
          <w:lang w:val="en-GB"/>
        </w:rPr>
        <w:t>Encourages</w:t>
      </w:r>
      <w:r w:rsidRPr="001308F1">
        <w:rPr>
          <w:rFonts w:cs="Arial"/>
          <w:sz w:val="22"/>
          <w:szCs w:val="22"/>
          <w:lang w:val="en-GB"/>
        </w:rPr>
        <w:t xml:space="preserve"> the State Party to take particular heed of the impact of tourism on the safeguarding of the element in order to prevent its decontextualization and to take due account in its safeguarding plan of any risks to the element as a result of increased tourism;</w:t>
      </w:r>
    </w:p>
    <w:p w14:paraId="11F42AF4" w14:textId="31616BF5"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rFonts w:cs="Arial"/>
          <w:sz w:val="22"/>
          <w:szCs w:val="22"/>
          <w:u w:val="single"/>
          <w:lang w:val="en-GB"/>
        </w:rPr>
        <w:t>Further encourages</w:t>
      </w:r>
      <w:r w:rsidRPr="00186C3E">
        <w:rPr>
          <w:rFonts w:cs="Arial"/>
          <w:sz w:val="22"/>
          <w:szCs w:val="22"/>
          <w:lang w:val="en-GB"/>
        </w:rPr>
        <w:t xml:space="preserve"> the State Party to safeguard associated aspects of the element, including ceremonies and rituals, musical traditions and performances, as well as traditional sailing terminologies, stories and poems related to the element;</w:t>
      </w:r>
    </w:p>
    <w:p w14:paraId="5F20A044" w14:textId="77777777" w:rsidR="00A3469B" w:rsidRPr="00186C3E" w:rsidRDefault="00A3469B" w:rsidP="00186C3E">
      <w:pPr>
        <w:pStyle w:val="Para"/>
        <w:numPr>
          <w:ilvl w:val="0"/>
          <w:numId w:val="31"/>
        </w:numPr>
        <w:tabs>
          <w:tab w:val="left" w:pos="1134"/>
        </w:tabs>
        <w:spacing w:line="240" w:lineRule="auto"/>
        <w:rPr>
          <w:rFonts w:cs="Arial"/>
          <w:sz w:val="22"/>
          <w:szCs w:val="22"/>
          <w:lang w:val="en-GB"/>
        </w:rPr>
      </w:pPr>
      <w:r w:rsidRPr="00186C3E">
        <w:rPr>
          <w:sz w:val="22"/>
          <w:szCs w:val="22"/>
          <w:u w:val="single"/>
          <w:lang w:val="en-GB"/>
        </w:rPr>
        <w:t>Requests</w:t>
      </w:r>
      <w:r w:rsidRPr="00186C3E">
        <w:rPr>
          <w:sz w:val="22"/>
          <w:szCs w:val="22"/>
          <w:lang w:val="en-GB"/>
        </w:rPr>
        <w:t xml:space="preserve"> that the Secretariat inform the State Party at least nine months prior to the deadline of 15 December 2023 about the required submission of its next report on the status of this element.</w:t>
      </w:r>
    </w:p>
    <w:p w14:paraId="650C5A85" w14:textId="77777777" w:rsidR="00FA4117" w:rsidRDefault="00FA4117">
      <w:pPr>
        <w:rPr>
          <w:rFonts w:ascii="Arial" w:eastAsia="SimSun" w:hAnsi="Arial" w:cs="Arial"/>
          <w:sz w:val="22"/>
          <w:szCs w:val="22"/>
          <w:lang w:val="en-GB"/>
        </w:rPr>
      </w:pPr>
    </w:p>
    <w:p w14:paraId="355BDCCD" w14:textId="5B2FC471" w:rsidR="00FA4117" w:rsidRPr="00205A06" w:rsidRDefault="00FA4117" w:rsidP="00FA4117">
      <w:pPr>
        <w:pStyle w:val="COMTitleDecision"/>
        <w:pageBreakBefore/>
        <w:spacing w:before="480"/>
        <w:jc w:val="left"/>
      </w:pPr>
      <w:r w:rsidRPr="00205A06">
        <w:rPr>
          <w:bCs/>
        </w:rPr>
        <w:lastRenderedPageBreak/>
        <w:t>Mali:</w:t>
      </w:r>
      <w:r w:rsidRPr="00205A06">
        <w:t xml:space="preserve"> ‘</w:t>
      </w:r>
      <w:r w:rsidRPr="00205A06">
        <w:rPr>
          <w:lang w:eastAsia="en-GB"/>
        </w:rPr>
        <w:t>Secret society of the Kôrêdugaw, the rite of wisdom in Mali’</w:t>
      </w:r>
      <w:r w:rsidRPr="00205A06">
        <w:rPr>
          <w:bCs/>
          <w:i/>
          <w:iCs/>
        </w:rPr>
        <w:t xml:space="preserve"> </w:t>
      </w:r>
      <w:r w:rsidRPr="00205A06">
        <w:rPr>
          <w:b w:val="0"/>
          <w:bCs/>
          <w:i/>
          <w:iCs/>
        </w:rPr>
        <w:t xml:space="preserve">(consult </w:t>
      </w:r>
      <w:r w:rsidRPr="00727BE3">
        <w:rPr>
          <w:b w:val="0"/>
          <w:bCs/>
          <w:i/>
          <w:iCs/>
        </w:rPr>
        <w:t xml:space="preserve">the </w:t>
      </w:r>
      <w:hyperlink r:id="rId61" w:history="1">
        <w:r w:rsidRPr="00727BE3">
          <w:rPr>
            <w:rStyle w:val="Lienhypertexte"/>
            <w:b w:val="0"/>
            <w:bCs/>
            <w:i/>
            <w:iCs/>
          </w:rPr>
          <w:t>report</w:t>
        </w:r>
      </w:hyperlink>
      <w:r w:rsidRPr="00727BE3">
        <w:rPr>
          <w:b w:val="0"/>
          <w:bCs/>
          <w:i/>
          <w:iCs/>
        </w:rPr>
        <w:t>)</w:t>
      </w:r>
    </w:p>
    <w:p w14:paraId="203274F3" w14:textId="0177655B" w:rsidR="00FA4117" w:rsidRPr="00205A06" w:rsidRDefault="00FA4117" w:rsidP="00FA4117">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lang w:val="en-GB" w:eastAsia="en-GB"/>
        </w:rPr>
        <w:t>Secret society of the Kôrêdugaw, the rite of wisdom in Mali</w:t>
      </w:r>
      <w:r w:rsidR="009E0EA7">
        <w:rPr>
          <w:lang w:val="en-GB" w:eastAsia="en-GB"/>
        </w:rPr>
        <w:t>,</w:t>
      </w:r>
      <w:r w:rsidRPr="00205A06">
        <w:rPr>
          <w:lang w:val="en-GB" w:eastAsia="en-GB"/>
        </w:rPr>
        <w:t xml:space="preserve"> is an initiation rite dedicated to the quest for wisdom, immortality and spiritual guidance </w:t>
      </w:r>
      <w:r w:rsidR="004A2010">
        <w:rPr>
          <w:lang w:val="en-GB" w:eastAsia="en-GB"/>
        </w:rPr>
        <w:t>in</w:t>
      </w:r>
      <w:r w:rsidR="004A2010" w:rsidRPr="00205A06">
        <w:rPr>
          <w:lang w:val="en-GB" w:eastAsia="en-GB"/>
        </w:rPr>
        <w:t xml:space="preserve"> </w:t>
      </w:r>
      <w:r w:rsidRPr="00205A06">
        <w:rPr>
          <w:lang w:val="en-GB" w:eastAsia="en-GB"/>
        </w:rPr>
        <w:t>community life.</w:t>
      </w:r>
      <w:r w:rsidRPr="00205A06">
        <w:rPr>
          <w:rFonts w:cs="Arial"/>
          <w:bCs/>
          <w:szCs w:val="22"/>
          <w:lang w:val="en-GB"/>
        </w:rPr>
        <w:t xml:space="preserve"> </w:t>
      </w:r>
      <w:r w:rsidRPr="00205A06">
        <w:rPr>
          <w:rFonts w:cs="Arial"/>
          <w:szCs w:val="22"/>
          <w:lang w:val="en-GB" w:eastAsia="en-GB"/>
        </w:rPr>
        <w:t xml:space="preserve">The Kôrêdugaw are a group of initiates who display wit and intelligence. They come from all social and professional backgrounds, and have different </w:t>
      </w:r>
      <w:r w:rsidR="004A2010" w:rsidRPr="00205A06">
        <w:rPr>
          <w:rFonts w:cs="Arial"/>
          <w:szCs w:val="22"/>
          <w:lang w:val="en-GB" w:eastAsia="en-GB"/>
        </w:rPr>
        <w:t>ethnicit</w:t>
      </w:r>
      <w:r w:rsidR="004A2010">
        <w:rPr>
          <w:rFonts w:cs="Arial"/>
          <w:szCs w:val="22"/>
          <w:lang w:val="en-GB" w:eastAsia="en-GB"/>
        </w:rPr>
        <w:t>ies</w:t>
      </w:r>
      <w:r w:rsidRPr="00205A06">
        <w:rPr>
          <w:rFonts w:cs="Arial"/>
          <w:szCs w:val="22"/>
          <w:lang w:val="en-GB" w:eastAsia="en-GB"/>
        </w:rPr>
        <w:t>, gender</w:t>
      </w:r>
      <w:r w:rsidR="004A2010">
        <w:rPr>
          <w:rFonts w:cs="Arial"/>
          <w:szCs w:val="22"/>
          <w:lang w:val="en-GB" w:eastAsia="en-GB"/>
        </w:rPr>
        <w:t>s</w:t>
      </w:r>
      <w:r w:rsidRPr="00205A06">
        <w:rPr>
          <w:rFonts w:cs="Arial"/>
          <w:szCs w:val="22"/>
          <w:lang w:val="en-GB" w:eastAsia="en-GB"/>
        </w:rPr>
        <w:t xml:space="preserve"> </w:t>
      </w:r>
      <w:r w:rsidR="004A2010">
        <w:rPr>
          <w:rFonts w:cs="Arial"/>
          <w:szCs w:val="22"/>
          <w:lang w:val="en-GB" w:eastAsia="en-GB"/>
        </w:rPr>
        <w:t>and</w:t>
      </w:r>
      <w:r w:rsidRPr="00205A06">
        <w:rPr>
          <w:rFonts w:cs="Arial"/>
          <w:szCs w:val="22"/>
          <w:lang w:val="en-GB" w:eastAsia="en-GB"/>
        </w:rPr>
        <w:t xml:space="preserve"> religion</w:t>
      </w:r>
      <w:r w:rsidR="004A2010">
        <w:rPr>
          <w:rFonts w:cs="Arial"/>
          <w:szCs w:val="22"/>
          <w:lang w:val="en-GB" w:eastAsia="en-GB"/>
        </w:rPr>
        <w:t>s</w:t>
      </w:r>
      <w:r w:rsidRPr="00205A06">
        <w:rPr>
          <w:rFonts w:cs="Arial"/>
          <w:szCs w:val="22"/>
          <w:lang w:val="en-GB" w:eastAsia="en-GB"/>
        </w:rPr>
        <w:t>. The Kôrêduga</w:t>
      </w:r>
      <w:r>
        <w:rPr>
          <w:rFonts w:cs="Arial"/>
          <w:szCs w:val="22"/>
          <w:lang w:val="en-GB" w:eastAsia="en-GB"/>
        </w:rPr>
        <w:t>w</w:t>
      </w:r>
      <w:r w:rsidRPr="00205A06">
        <w:rPr>
          <w:rFonts w:cs="Arial"/>
          <w:szCs w:val="22"/>
          <w:lang w:val="en-GB" w:eastAsia="en-GB"/>
        </w:rPr>
        <w:t xml:space="preserve"> play the role of social mediator</w:t>
      </w:r>
      <w:r>
        <w:rPr>
          <w:rFonts w:cs="Arial"/>
          <w:szCs w:val="22"/>
          <w:lang w:val="en-GB" w:eastAsia="en-GB"/>
        </w:rPr>
        <w:t>s</w:t>
      </w:r>
      <w:r w:rsidRPr="00205A06">
        <w:rPr>
          <w:rFonts w:cs="Arial"/>
          <w:szCs w:val="22"/>
          <w:lang w:val="en-GB" w:eastAsia="en-GB"/>
        </w:rPr>
        <w:t xml:space="preserve">, deal with intra- and inter-community, as well as family and interpersonal conflicts, give advice, educate and prepare children for life in society, </w:t>
      </w:r>
      <w:r w:rsidR="004A2010">
        <w:rPr>
          <w:rFonts w:cs="Arial"/>
          <w:szCs w:val="22"/>
          <w:lang w:val="en-GB" w:eastAsia="en-GB"/>
        </w:rPr>
        <w:t xml:space="preserve">and </w:t>
      </w:r>
      <w:r w:rsidRPr="00205A06">
        <w:rPr>
          <w:rFonts w:cs="Arial"/>
          <w:szCs w:val="22"/>
          <w:lang w:val="en-GB" w:eastAsia="en-GB"/>
        </w:rPr>
        <w:t>accompan</w:t>
      </w:r>
      <w:r>
        <w:rPr>
          <w:rFonts w:cs="Arial"/>
          <w:szCs w:val="22"/>
          <w:lang w:val="en-GB" w:eastAsia="en-GB"/>
        </w:rPr>
        <w:t>y</w:t>
      </w:r>
      <w:r w:rsidRPr="00205A06">
        <w:rPr>
          <w:rFonts w:cs="Arial"/>
          <w:szCs w:val="22"/>
          <w:lang w:val="en-GB" w:eastAsia="en-GB"/>
        </w:rPr>
        <w:t xml:space="preserve"> birth</w:t>
      </w:r>
      <w:r w:rsidR="004A2010">
        <w:rPr>
          <w:rFonts w:cs="Arial"/>
          <w:szCs w:val="22"/>
          <w:lang w:val="en-GB" w:eastAsia="en-GB"/>
        </w:rPr>
        <w:t>s</w:t>
      </w:r>
      <w:r w:rsidRPr="00205A06">
        <w:rPr>
          <w:rFonts w:cs="Arial"/>
          <w:szCs w:val="22"/>
          <w:lang w:val="en-GB" w:eastAsia="en-GB"/>
        </w:rPr>
        <w:t>, marriage</w:t>
      </w:r>
      <w:r w:rsidR="004A2010">
        <w:rPr>
          <w:rFonts w:cs="Arial"/>
          <w:szCs w:val="22"/>
          <w:lang w:val="en-GB" w:eastAsia="en-GB"/>
        </w:rPr>
        <w:t>s</w:t>
      </w:r>
      <w:r w:rsidRPr="00205A06">
        <w:rPr>
          <w:rFonts w:cs="Arial"/>
          <w:szCs w:val="22"/>
          <w:lang w:val="en-GB" w:eastAsia="en-GB"/>
        </w:rPr>
        <w:t xml:space="preserve"> and other events. The Kôrêduga</w:t>
      </w:r>
      <w:r>
        <w:rPr>
          <w:rFonts w:cs="Arial"/>
          <w:szCs w:val="22"/>
          <w:lang w:val="en-GB" w:eastAsia="en-GB"/>
        </w:rPr>
        <w:t>w</w:t>
      </w:r>
      <w:r w:rsidRPr="00205A06">
        <w:rPr>
          <w:rFonts w:cs="Arial"/>
          <w:szCs w:val="22"/>
          <w:lang w:val="en-GB" w:eastAsia="en-GB"/>
        </w:rPr>
        <w:t xml:space="preserve"> wear spectacular and symbolic clothing and provoke laughter through behaviour characterized by gluttony and caustic humour. They are herbalists and traditional therapists, bearing knowledge of the virtues of plants. The transmission of the element takes place in families or through initiation, and annual initiation ceremonies tak</w:t>
      </w:r>
      <w:r>
        <w:rPr>
          <w:rFonts w:cs="Arial"/>
          <w:szCs w:val="22"/>
          <w:lang w:val="en-GB" w:eastAsia="en-GB"/>
        </w:rPr>
        <w:t>e</w:t>
      </w:r>
      <w:r w:rsidRPr="00205A06">
        <w:rPr>
          <w:rFonts w:cs="Arial"/>
          <w:szCs w:val="22"/>
          <w:lang w:val="en-GB" w:eastAsia="en-GB"/>
        </w:rPr>
        <w:t xml:space="preserve"> place during the hot season.</w:t>
      </w:r>
      <w:r w:rsidRPr="00205A06">
        <w:rPr>
          <w:rFonts w:cs="Arial"/>
          <w:bCs/>
          <w:szCs w:val="22"/>
          <w:lang w:val="en-GB"/>
        </w:rPr>
        <w:t xml:space="preserve"> The </w:t>
      </w:r>
      <w:r w:rsidR="003F241D">
        <w:rPr>
          <w:rFonts w:cs="Arial"/>
          <w:szCs w:val="22"/>
          <w:lang w:val="en-GB" w:eastAsia="en-GB"/>
        </w:rPr>
        <w:t>s</w:t>
      </w:r>
      <w:r w:rsidRPr="00205A06">
        <w:rPr>
          <w:rFonts w:cs="Arial"/>
          <w:szCs w:val="22"/>
          <w:lang w:val="en-GB" w:eastAsia="en-GB"/>
        </w:rPr>
        <w:t>ecret society of the Kôrêdugaw is practi</w:t>
      </w:r>
      <w:r>
        <w:rPr>
          <w:rFonts w:cs="Arial"/>
          <w:szCs w:val="22"/>
          <w:lang w:val="en-GB" w:eastAsia="en-GB"/>
        </w:rPr>
        <w:t>s</w:t>
      </w:r>
      <w:r w:rsidRPr="00205A06">
        <w:rPr>
          <w:rFonts w:cs="Arial"/>
          <w:szCs w:val="22"/>
          <w:lang w:val="en-GB" w:eastAsia="en-GB"/>
        </w:rPr>
        <w:t xml:space="preserve">ed mainly in the regions of Koulikoro, Sikasso and Ségou, and is </w:t>
      </w:r>
      <w:r w:rsidR="003F241D">
        <w:rPr>
          <w:rFonts w:cs="Arial"/>
          <w:szCs w:val="22"/>
          <w:lang w:val="en-GB" w:eastAsia="en-GB"/>
        </w:rPr>
        <w:t xml:space="preserve">an </w:t>
      </w:r>
      <w:r w:rsidRPr="00205A06">
        <w:rPr>
          <w:rFonts w:cs="Arial"/>
          <w:szCs w:val="22"/>
          <w:lang w:val="en-GB" w:eastAsia="en-GB"/>
        </w:rPr>
        <w:t xml:space="preserve">essential part of the cultural identity of </w:t>
      </w:r>
      <w:r w:rsidR="004A2010">
        <w:rPr>
          <w:rFonts w:cs="Arial"/>
          <w:szCs w:val="22"/>
          <w:lang w:val="en-GB" w:eastAsia="en-GB"/>
        </w:rPr>
        <w:t xml:space="preserve">the </w:t>
      </w:r>
      <w:r w:rsidRPr="00205A06">
        <w:rPr>
          <w:rFonts w:cs="Arial"/>
          <w:szCs w:val="22"/>
          <w:lang w:val="en-GB" w:eastAsia="en-GB"/>
        </w:rPr>
        <w:t>Bambara, Malinké, Senoufo, Minianka, Samogo and other communities</w:t>
      </w:r>
      <w:r w:rsidRPr="00205A06">
        <w:rPr>
          <w:rFonts w:cs="Arial"/>
          <w:lang w:val="en-GB"/>
        </w:rPr>
        <w:t>.</w:t>
      </w:r>
    </w:p>
    <w:p w14:paraId="4ABD44E6" w14:textId="5C78153F" w:rsidR="00FA4117" w:rsidRPr="00205A06" w:rsidRDefault="00FA4117" w:rsidP="00FA4117">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62" w:history="1">
        <w:r w:rsidRPr="00102B70">
          <w:rPr>
            <w:rStyle w:val="Lienhypertexte"/>
            <w:rFonts w:cs="Arial"/>
            <w:bCs/>
            <w:szCs w:val="22"/>
            <w:lang w:val="en-GB"/>
          </w:rPr>
          <w:t xml:space="preserve">Decision </w:t>
        </w:r>
        <w:r w:rsidRPr="00102B70">
          <w:rPr>
            <w:rStyle w:val="Lienhypertexte"/>
            <w:rFonts w:cs="Arial"/>
            <w:szCs w:val="22"/>
            <w:lang w:val="en-GB"/>
          </w:rPr>
          <w:t>6.COM 8.12</w:t>
        </w:r>
      </w:hyperlink>
      <w:r>
        <w:rPr>
          <w:rFonts w:cs="Arial"/>
          <w:bCs/>
          <w:szCs w:val="22"/>
          <w:lang w:val="en-GB"/>
        </w:rPr>
        <w:t>)</w:t>
      </w:r>
      <w:r w:rsidRPr="00205A06">
        <w:rPr>
          <w:rFonts w:cs="Arial"/>
          <w:bCs/>
          <w:szCs w:val="22"/>
          <w:lang w:val="en-GB"/>
        </w:rPr>
        <w:t xml:space="preserve"> and the first report was examined by the Committee in 2016</w:t>
      </w:r>
      <w:r>
        <w:rPr>
          <w:rFonts w:cs="Arial"/>
          <w:bCs/>
          <w:szCs w:val="22"/>
          <w:lang w:val="en-GB"/>
        </w:rPr>
        <w:t xml:space="preserve"> (</w:t>
      </w:r>
      <w:hyperlink r:id="rId63" w:history="1">
        <w:r w:rsidRPr="00625D5C">
          <w:rPr>
            <w:rStyle w:val="Lienhypertexte"/>
            <w:rFonts w:cs="Arial"/>
            <w:bCs/>
            <w:szCs w:val="22"/>
            <w:lang w:val="en-GB"/>
          </w:rPr>
          <w:t xml:space="preserve">Decision </w:t>
        </w:r>
        <w:r w:rsidRPr="00625D5C">
          <w:rPr>
            <w:rStyle w:val="Lienhypertexte"/>
            <w:lang w:val="en-GB"/>
          </w:rPr>
          <w:t>11.COM 9.b.4</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5A09155A" w14:textId="05D3ECC8" w:rsidR="00FA4117" w:rsidRPr="00205A06"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The safeguarding measures implemented during the previous period have continued. Research, documentation and promotion activities have been carried out, including field work and the presentation of its results to communities, photo</w:t>
      </w:r>
      <w:r w:rsidR="00593622">
        <w:rPr>
          <w:bCs/>
          <w:lang w:val="en-GB"/>
        </w:rPr>
        <w:t>graphy</w:t>
      </w:r>
      <w:r w:rsidRPr="00205A06">
        <w:rPr>
          <w:bCs/>
          <w:lang w:val="en-GB"/>
        </w:rPr>
        <w:t xml:space="preserve"> exhibitions and discussions at schools and universities, radio broadcasts in local languages, </w:t>
      </w:r>
      <w:r w:rsidR="00593622">
        <w:rPr>
          <w:bCs/>
          <w:lang w:val="en-GB"/>
        </w:rPr>
        <w:t xml:space="preserve">the </w:t>
      </w:r>
      <w:r w:rsidRPr="00205A06">
        <w:rPr>
          <w:bCs/>
          <w:lang w:val="en-GB"/>
        </w:rPr>
        <w:t xml:space="preserve">publication of brochures and posters, </w:t>
      </w:r>
      <w:r w:rsidR="00156681">
        <w:rPr>
          <w:bCs/>
          <w:lang w:val="en-GB"/>
        </w:rPr>
        <w:t xml:space="preserve">and </w:t>
      </w:r>
      <w:r w:rsidR="00593622">
        <w:rPr>
          <w:bCs/>
          <w:lang w:val="en-GB"/>
        </w:rPr>
        <w:t xml:space="preserve">the </w:t>
      </w:r>
      <w:r w:rsidRPr="00205A06">
        <w:rPr>
          <w:bCs/>
          <w:lang w:val="en-GB"/>
        </w:rPr>
        <w:t xml:space="preserve">organization of festivals. </w:t>
      </w:r>
      <w:r>
        <w:rPr>
          <w:bCs/>
          <w:lang w:val="en-GB"/>
        </w:rPr>
        <w:t>A p</w:t>
      </w:r>
      <w:r w:rsidRPr="00205A06">
        <w:rPr>
          <w:bCs/>
          <w:lang w:val="en-GB"/>
        </w:rPr>
        <w:t xml:space="preserve">articularly large audience was reached during the </w:t>
      </w:r>
      <w:r w:rsidR="00593622">
        <w:rPr>
          <w:bCs/>
          <w:lang w:val="en-GB"/>
        </w:rPr>
        <w:t>n</w:t>
      </w:r>
      <w:r w:rsidR="00593622" w:rsidRPr="00205A06">
        <w:rPr>
          <w:bCs/>
          <w:lang w:val="en-GB"/>
        </w:rPr>
        <w:t xml:space="preserve">ational </w:t>
      </w:r>
      <w:r w:rsidRPr="00205A06">
        <w:rPr>
          <w:bCs/>
          <w:lang w:val="en-GB"/>
        </w:rPr>
        <w:t>heritage days in 2018 and 2019</w:t>
      </w:r>
      <w:r w:rsidR="00593622">
        <w:rPr>
          <w:bCs/>
          <w:lang w:val="en-GB"/>
        </w:rPr>
        <w:t>,</w:t>
      </w:r>
      <w:r w:rsidRPr="00205A06">
        <w:rPr>
          <w:bCs/>
          <w:lang w:val="en-GB"/>
        </w:rPr>
        <w:t xml:space="preserve"> and </w:t>
      </w:r>
      <w:r w:rsidRPr="00205A06">
        <w:rPr>
          <w:rFonts w:cs="Arial"/>
          <w:szCs w:val="22"/>
          <w:lang w:val="en-GB" w:eastAsia="en-GB"/>
        </w:rPr>
        <w:t xml:space="preserve">Kôrêdugaw </w:t>
      </w:r>
      <w:r w:rsidR="00593622">
        <w:rPr>
          <w:rFonts w:cs="Arial"/>
          <w:szCs w:val="22"/>
          <w:lang w:val="en-GB" w:eastAsia="en-GB"/>
        </w:rPr>
        <w:t>were</w:t>
      </w:r>
      <w:r w:rsidRPr="00205A06">
        <w:rPr>
          <w:rFonts w:cs="Arial"/>
          <w:szCs w:val="22"/>
          <w:lang w:val="en-GB" w:eastAsia="en-GB"/>
        </w:rPr>
        <w:t xml:space="preserve"> pre-selected </w:t>
      </w:r>
      <w:r>
        <w:rPr>
          <w:rFonts w:cs="Arial"/>
          <w:szCs w:val="22"/>
          <w:lang w:val="en-GB" w:eastAsia="en-GB"/>
        </w:rPr>
        <w:t>as</w:t>
      </w:r>
      <w:r w:rsidRPr="00205A06">
        <w:rPr>
          <w:rFonts w:cs="Arial"/>
          <w:szCs w:val="22"/>
          <w:lang w:val="en-GB" w:eastAsia="en-GB"/>
        </w:rPr>
        <w:t xml:space="preserve"> Living Human Treasures of Mali</w:t>
      </w:r>
      <w:r w:rsidRPr="00205A06">
        <w:rPr>
          <w:bCs/>
          <w:lang w:val="en-GB"/>
        </w:rPr>
        <w:t xml:space="preserve">. </w:t>
      </w:r>
      <w:r w:rsidRPr="00205A06">
        <w:rPr>
          <w:rFonts w:cs="Arial"/>
          <w:szCs w:val="22"/>
          <w:lang w:val="en-GB" w:eastAsia="en-GB"/>
        </w:rPr>
        <w:t xml:space="preserve">They also participate </w:t>
      </w:r>
      <w:r>
        <w:rPr>
          <w:rFonts w:cs="Arial"/>
          <w:szCs w:val="22"/>
          <w:lang w:val="en-GB" w:eastAsia="en-GB"/>
        </w:rPr>
        <w:t xml:space="preserve">in </w:t>
      </w:r>
      <w:r w:rsidRPr="00205A06">
        <w:rPr>
          <w:rFonts w:cs="Arial"/>
          <w:szCs w:val="22"/>
          <w:lang w:val="en-GB" w:eastAsia="en-GB"/>
        </w:rPr>
        <w:t>official</w:t>
      </w:r>
      <w:r>
        <w:rPr>
          <w:rFonts w:cs="Arial"/>
          <w:szCs w:val="22"/>
          <w:lang w:val="en-GB" w:eastAsia="en-GB"/>
        </w:rPr>
        <w:t xml:space="preserve"> and community</w:t>
      </w:r>
      <w:r w:rsidRPr="00205A06">
        <w:rPr>
          <w:rFonts w:cs="Arial"/>
          <w:szCs w:val="22"/>
          <w:lang w:val="en-GB" w:eastAsia="en-GB"/>
        </w:rPr>
        <w:t xml:space="preserve"> gatherings at local and national level</w:t>
      </w:r>
      <w:r>
        <w:rPr>
          <w:rFonts w:cs="Arial"/>
          <w:szCs w:val="22"/>
          <w:lang w:val="en-GB" w:eastAsia="en-GB"/>
        </w:rPr>
        <w:t>s</w:t>
      </w:r>
      <w:r w:rsidRPr="00205A06">
        <w:rPr>
          <w:rFonts w:cs="Arial"/>
          <w:szCs w:val="22"/>
          <w:lang w:val="en-GB" w:eastAsia="en-GB"/>
        </w:rPr>
        <w:t xml:space="preserve">. </w:t>
      </w:r>
      <w:r w:rsidRPr="00205A06">
        <w:rPr>
          <w:bCs/>
          <w:lang w:val="en-GB"/>
        </w:rPr>
        <w:t xml:space="preserve">The safeguarding measures implemented have contributed to an enhanced recognition of the value of the element among communities, </w:t>
      </w:r>
      <w:r w:rsidR="00593622">
        <w:rPr>
          <w:bCs/>
          <w:lang w:val="en-GB"/>
        </w:rPr>
        <w:t>as</w:t>
      </w:r>
      <w:r w:rsidRPr="00205A06">
        <w:rPr>
          <w:bCs/>
          <w:lang w:val="en-GB"/>
        </w:rPr>
        <w:t xml:space="preserve"> </w:t>
      </w:r>
      <w:r w:rsidR="00593622">
        <w:rPr>
          <w:bCs/>
          <w:lang w:val="en-GB"/>
        </w:rPr>
        <w:t>attested to</w:t>
      </w:r>
      <w:r w:rsidR="00593622" w:rsidRPr="00205A06">
        <w:rPr>
          <w:bCs/>
          <w:lang w:val="en-GB"/>
        </w:rPr>
        <w:t xml:space="preserve"> </w:t>
      </w:r>
      <w:r w:rsidRPr="00205A06">
        <w:rPr>
          <w:bCs/>
          <w:lang w:val="en-GB"/>
        </w:rPr>
        <w:t xml:space="preserve">by </w:t>
      </w:r>
      <w:r w:rsidR="00593622">
        <w:rPr>
          <w:bCs/>
          <w:lang w:val="en-GB"/>
        </w:rPr>
        <w:t>the</w:t>
      </w:r>
      <w:r w:rsidR="00593622" w:rsidRPr="00205A06">
        <w:rPr>
          <w:bCs/>
          <w:lang w:val="en-GB"/>
        </w:rPr>
        <w:t xml:space="preserve"> </w:t>
      </w:r>
      <w:r w:rsidRPr="00205A06">
        <w:rPr>
          <w:bCs/>
          <w:lang w:val="en-GB"/>
        </w:rPr>
        <w:t xml:space="preserve">growing number of occasions when </w:t>
      </w:r>
      <w:r w:rsidRPr="00205A06">
        <w:rPr>
          <w:rFonts w:cs="Arial"/>
          <w:szCs w:val="22"/>
          <w:lang w:val="en-GB" w:eastAsia="en-GB"/>
        </w:rPr>
        <w:t>Kôrêdugaw are addressed for social mediation and therapeutic needs.</w:t>
      </w:r>
    </w:p>
    <w:p w14:paraId="298509D2" w14:textId="2E2F59E6" w:rsidR="00FA4117" w:rsidRPr="00065406" w:rsidRDefault="008D6812" w:rsidP="00BD550F">
      <w:pPr>
        <w:pStyle w:val="Marge"/>
        <w:numPr>
          <w:ilvl w:val="0"/>
          <w:numId w:val="9"/>
        </w:numPr>
        <w:tabs>
          <w:tab w:val="clear" w:pos="567"/>
        </w:tabs>
        <w:autoSpaceDE w:val="0"/>
        <w:autoSpaceDN w:val="0"/>
        <w:adjustRightInd w:val="0"/>
        <w:spacing w:after="120"/>
        <w:ind w:left="567" w:hanging="567"/>
        <w:rPr>
          <w:bCs/>
          <w:lang w:val="en-GB"/>
        </w:rPr>
      </w:pPr>
      <w:r>
        <w:rPr>
          <w:lang w:val="en-GB"/>
        </w:rPr>
        <w:t>In its</w:t>
      </w:r>
      <w:r w:rsidR="00FA4117" w:rsidRPr="00065406">
        <w:rPr>
          <w:lang w:val="en-GB"/>
        </w:rPr>
        <w:t xml:space="preserve"> previous decision </w:t>
      </w:r>
      <w:hyperlink r:id="rId64" w:history="1">
        <w:r w:rsidR="00FA4117" w:rsidRPr="00065406">
          <w:rPr>
            <w:rStyle w:val="Lienhypertexte"/>
            <w:lang w:val="en-GB"/>
          </w:rPr>
          <w:t>11.COM 9.b.4</w:t>
        </w:r>
      </w:hyperlink>
      <w:r w:rsidR="00FA4117" w:rsidRPr="00065406">
        <w:rPr>
          <w:color w:val="0000FF"/>
          <w:lang w:val="en-GB"/>
        </w:rPr>
        <w:t xml:space="preserve"> </w:t>
      </w:r>
      <w:r w:rsidR="00FA4117" w:rsidRPr="00065406">
        <w:rPr>
          <w:lang w:val="en-GB"/>
        </w:rPr>
        <w:t xml:space="preserve">concerning the first report examined in 2016, </w:t>
      </w:r>
      <w:r w:rsidRPr="00065406">
        <w:rPr>
          <w:lang w:val="en-GB"/>
        </w:rPr>
        <w:t xml:space="preserve">the Committee </w:t>
      </w:r>
      <w:r w:rsidR="00FA4117" w:rsidRPr="00065406">
        <w:rPr>
          <w:lang w:val="en-GB"/>
        </w:rPr>
        <w:t>encouraged the State Party to continue developing solid cooperation between various local actors</w:t>
      </w:r>
      <w:r w:rsidR="00973E96">
        <w:rPr>
          <w:lang w:val="en-GB"/>
        </w:rPr>
        <w:t>. In this regard</w:t>
      </w:r>
      <w:r w:rsidR="00FA4117" w:rsidRPr="00065406">
        <w:rPr>
          <w:lang w:val="en-GB"/>
        </w:rPr>
        <w:t xml:space="preserve">, the present report </w:t>
      </w:r>
      <w:r w:rsidR="00593622">
        <w:rPr>
          <w:lang w:val="en-GB"/>
        </w:rPr>
        <w:t>demonstrates</w:t>
      </w:r>
      <w:r w:rsidR="00593622" w:rsidRPr="00065406">
        <w:rPr>
          <w:lang w:val="en-GB"/>
        </w:rPr>
        <w:t xml:space="preserve"> </w:t>
      </w:r>
      <w:r w:rsidR="00FA4117" w:rsidRPr="00065406">
        <w:rPr>
          <w:lang w:val="en-GB"/>
        </w:rPr>
        <w:t xml:space="preserve">that a participatory approach to safeguarding has been continued, involving all the main local actors, such as bearer communities, administrative, political and customary authorities and </w:t>
      </w:r>
      <w:r w:rsidR="00FA4117" w:rsidRPr="00065406">
        <w:rPr>
          <w:rFonts w:cs="Arial"/>
          <w:szCs w:val="22"/>
          <w:lang w:val="en-GB" w:eastAsia="en-GB"/>
        </w:rPr>
        <w:t>Kôrêdugaw</w:t>
      </w:r>
      <w:r w:rsidR="00FA4117" w:rsidRPr="00065406">
        <w:rPr>
          <w:lang w:val="en-GB"/>
        </w:rPr>
        <w:t xml:space="preserve"> associations</w:t>
      </w:r>
      <w:r w:rsidR="00FA4117" w:rsidRPr="00065406">
        <w:rPr>
          <w:rFonts w:cs="Arial"/>
          <w:szCs w:val="22"/>
          <w:lang w:val="en-GB" w:eastAsia="en-GB"/>
        </w:rPr>
        <w:t>. According to the report, the major safeguarding objectives have been met and the results are satisfactory.</w:t>
      </w:r>
      <w:r w:rsidR="00FA4117" w:rsidRPr="00065406">
        <w:rPr>
          <w:lang w:val="en-GB"/>
        </w:rPr>
        <w:t xml:space="preserve"> </w:t>
      </w:r>
      <w:r w:rsidR="00FA4117" w:rsidRPr="00727BE3">
        <w:rPr>
          <w:lang w:val="en-GB"/>
        </w:rPr>
        <w:t xml:space="preserve">However, it is difficult to </w:t>
      </w:r>
      <w:r w:rsidR="00593622" w:rsidRPr="00727BE3">
        <w:rPr>
          <w:lang w:val="en-GB"/>
        </w:rPr>
        <w:t>precisely assess</w:t>
      </w:r>
      <w:r w:rsidR="00FA4117" w:rsidRPr="00727BE3">
        <w:rPr>
          <w:lang w:val="en-GB"/>
        </w:rPr>
        <w:t xml:space="preserve"> the effectiveness of the safeguarding plan during the reporting period, as </w:t>
      </w:r>
      <w:r w:rsidR="00593622" w:rsidRPr="00727BE3">
        <w:rPr>
          <w:lang w:val="en-GB"/>
        </w:rPr>
        <w:t xml:space="preserve">the </w:t>
      </w:r>
      <w:r w:rsidR="00544911" w:rsidRPr="00727BE3">
        <w:rPr>
          <w:lang w:val="en-GB"/>
        </w:rPr>
        <w:t xml:space="preserve">relevant information provided on the safeguarding plan is </w:t>
      </w:r>
      <w:r w:rsidR="00814E34" w:rsidRPr="00727BE3">
        <w:rPr>
          <w:lang w:val="en-GB"/>
        </w:rPr>
        <w:t xml:space="preserve">very </w:t>
      </w:r>
      <w:r w:rsidR="00544911" w:rsidRPr="00727BE3">
        <w:rPr>
          <w:lang w:val="en-GB"/>
        </w:rPr>
        <w:t xml:space="preserve">similar to that contained in the previous report. </w:t>
      </w:r>
      <w:r w:rsidR="00814E34" w:rsidRPr="00727BE3">
        <w:rPr>
          <w:lang w:val="en-GB"/>
        </w:rPr>
        <w:t xml:space="preserve">There is a </w:t>
      </w:r>
      <w:r w:rsidR="002C50B5" w:rsidRPr="00727BE3">
        <w:rPr>
          <w:lang w:val="en-GB"/>
        </w:rPr>
        <w:t>lack</w:t>
      </w:r>
      <w:r w:rsidR="00814E34" w:rsidRPr="00727BE3">
        <w:rPr>
          <w:lang w:val="en-GB"/>
        </w:rPr>
        <w:t xml:space="preserve"> of </w:t>
      </w:r>
      <w:r w:rsidR="00065406" w:rsidRPr="00727BE3">
        <w:rPr>
          <w:lang w:val="en-US"/>
        </w:rPr>
        <w:t xml:space="preserve">updated information on the progress </w:t>
      </w:r>
      <w:r w:rsidR="00593622" w:rsidRPr="00727BE3">
        <w:rPr>
          <w:lang w:val="en-US"/>
        </w:rPr>
        <w:t>with the</w:t>
      </w:r>
      <w:r w:rsidR="00065406" w:rsidRPr="00727BE3">
        <w:rPr>
          <w:lang w:val="en-US"/>
        </w:rPr>
        <w:t xml:space="preserve"> implementation </w:t>
      </w:r>
      <w:r w:rsidR="00593622" w:rsidRPr="00727BE3">
        <w:rPr>
          <w:lang w:val="en-US"/>
        </w:rPr>
        <w:t xml:space="preserve">of the plan </w:t>
      </w:r>
      <w:r w:rsidR="00065406" w:rsidRPr="00727BE3">
        <w:rPr>
          <w:lang w:val="en-US"/>
        </w:rPr>
        <w:t>since the previous report</w:t>
      </w:r>
      <w:r w:rsidR="00593622" w:rsidRPr="00727BE3">
        <w:rPr>
          <w:lang w:val="en-US"/>
        </w:rPr>
        <w:t xml:space="preserve">, with no </w:t>
      </w:r>
      <w:r w:rsidR="00814E34" w:rsidRPr="00727BE3">
        <w:rPr>
          <w:lang w:val="en-US"/>
        </w:rPr>
        <w:t>clear distinction between t</w:t>
      </w:r>
      <w:r w:rsidR="00065406" w:rsidRPr="00727BE3">
        <w:rPr>
          <w:lang w:val="en-US"/>
        </w:rPr>
        <w:t xml:space="preserve">he </w:t>
      </w:r>
      <w:r w:rsidR="00065406" w:rsidRPr="00727BE3">
        <w:rPr>
          <w:lang w:val="en-GB"/>
        </w:rPr>
        <w:t xml:space="preserve">activities that were implemented prior to the submission of the first periodic report in 2015 </w:t>
      </w:r>
      <w:r w:rsidR="00814E34" w:rsidRPr="00727BE3">
        <w:rPr>
          <w:lang w:val="en-GB"/>
        </w:rPr>
        <w:t xml:space="preserve">and </w:t>
      </w:r>
      <w:r w:rsidR="00065406" w:rsidRPr="00727BE3">
        <w:rPr>
          <w:lang w:val="en-GB"/>
        </w:rPr>
        <w:t>those that were carried out between 2016 and 2019</w:t>
      </w:r>
      <w:r w:rsidR="00FA4117" w:rsidRPr="00727BE3">
        <w:rPr>
          <w:lang w:val="en-GB"/>
        </w:rPr>
        <w:t>. In addition, the report does not provide</w:t>
      </w:r>
      <w:r w:rsidR="00FA4117" w:rsidRPr="00065406">
        <w:rPr>
          <w:lang w:val="en-GB"/>
        </w:rPr>
        <w:t xml:space="preserve"> quantitative and qualitative data that could demonstrate the increasing number of practitioners and the growing interest of young people in the element. According to the updated safeguarding plan</w:t>
      </w:r>
      <w:r w:rsidR="00593622">
        <w:rPr>
          <w:lang w:val="en-GB"/>
        </w:rPr>
        <w:t>,</w:t>
      </w:r>
      <w:r w:rsidR="00FA4117" w:rsidRPr="00065406">
        <w:rPr>
          <w:lang w:val="en-GB"/>
        </w:rPr>
        <w:t xml:space="preserve"> the present measures are to be continued in the next period. </w:t>
      </w:r>
      <w:r w:rsidR="00FA4117" w:rsidRPr="00065406">
        <w:rPr>
          <w:rFonts w:cs="Arial"/>
          <w:szCs w:val="22"/>
          <w:lang w:val="en-GB" w:eastAsia="en-GB"/>
        </w:rPr>
        <w:t xml:space="preserve">In its previous decision, the Committee also encouraged the State Party to </w:t>
      </w:r>
      <w:r w:rsidR="00FA4117" w:rsidRPr="00065406">
        <w:rPr>
          <w:rFonts w:cs="Arial"/>
          <w:szCs w:val="22"/>
          <w:lang w:val="en-GB"/>
        </w:rPr>
        <w:t xml:space="preserve">address the lack of financial resources required to implement all </w:t>
      </w:r>
      <w:r w:rsidR="00593622">
        <w:rPr>
          <w:rFonts w:cs="Arial"/>
          <w:szCs w:val="22"/>
          <w:lang w:val="en-GB"/>
        </w:rPr>
        <w:t xml:space="preserve">the </w:t>
      </w:r>
      <w:r w:rsidR="00FA4117" w:rsidRPr="00065406">
        <w:rPr>
          <w:rFonts w:cs="Arial"/>
          <w:szCs w:val="22"/>
          <w:lang w:val="en-GB"/>
        </w:rPr>
        <w:t>planned safeguarding activities by mobilizing funds at the national and local levels, and exploring other funding possibilities through international cooperation mechanisms, including</w:t>
      </w:r>
      <w:r w:rsidR="001C4B16">
        <w:rPr>
          <w:rFonts w:cs="Arial"/>
          <w:szCs w:val="22"/>
          <w:lang w:val="en-GB"/>
        </w:rPr>
        <w:t xml:space="preserve"> International Assistance from </w:t>
      </w:r>
      <w:r w:rsidR="00FA4117" w:rsidRPr="00065406">
        <w:rPr>
          <w:rFonts w:cs="Arial"/>
          <w:szCs w:val="22"/>
          <w:lang w:val="en-GB"/>
        </w:rPr>
        <w:t xml:space="preserve">the Intangible Cultural Heritage Fund. In the report, however, </w:t>
      </w:r>
      <w:r w:rsidR="00FA4117" w:rsidRPr="00065406">
        <w:rPr>
          <w:lang w:val="en-GB"/>
        </w:rPr>
        <w:t xml:space="preserve">the State Party indicates that no financial resources are currently available for the implementation of the updated safeguarding plan. </w:t>
      </w:r>
      <w:r w:rsidR="00231B79">
        <w:rPr>
          <w:lang w:val="en-GB"/>
        </w:rPr>
        <w:t>To date</w:t>
      </w:r>
      <w:r w:rsidR="00FA4117" w:rsidRPr="00065406">
        <w:rPr>
          <w:lang w:val="en-GB"/>
        </w:rPr>
        <w:t>, n</w:t>
      </w:r>
      <w:r w:rsidR="00FA4117" w:rsidRPr="00065406">
        <w:rPr>
          <w:rFonts w:cs="Arial"/>
          <w:szCs w:val="22"/>
          <w:lang w:val="en-GB"/>
        </w:rPr>
        <w:t xml:space="preserve">o </w:t>
      </w:r>
      <w:r w:rsidR="00593622">
        <w:rPr>
          <w:rFonts w:cs="Arial"/>
          <w:szCs w:val="22"/>
          <w:lang w:val="en-GB"/>
        </w:rPr>
        <w:t>I</w:t>
      </w:r>
      <w:r w:rsidR="00593622" w:rsidRPr="00065406">
        <w:rPr>
          <w:rFonts w:cs="Arial"/>
          <w:szCs w:val="22"/>
          <w:lang w:val="en-GB"/>
        </w:rPr>
        <w:t xml:space="preserve">nternational </w:t>
      </w:r>
      <w:r w:rsidR="00593622">
        <w:rPr>
          <w:rFonts w:cs="Arial"/>
          <w:szCs w:val="22"/>
          <w:lang w:val="en-GB"/>
        </w:rPr>
        <w:t>A</w:t>
      </w:r>
      <w:r w:rsidR="00593622" w:rsidRPr="00065406">
        <w:rPr>
          <w:rFonts w:cs="Arial"/>
          <w:szCs w:val="22"/>
          <w:lang w:val="en-GB"/>
        </w:rPr>
        <w:t xml:space="preserve">ssistance </w:t>
      </w:r>
      <w:r w:rsidR="00FA4117" w:rsidRPr="00065406">
        <w:rPr>
          <w:rFonts w:cs="Arial"/>
          <w:szCs w:val="22"/>
          <w:lang w:val="en-GB"/>
        </w:rPr>
        <w:t>request to the Fund has been received from the State Party for this purpose.</w:t>
      </w:r>
    </w:p>
    <w:p w14:paraId="6FD674E2" w14:textId="69988A98" w:rsidR="00FA4117" w:rsidRPr="00A83238"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530CC9">
        <w:rPr>
          <w:b/>
          <w:bCs/>
          <w:lang w:val="en-GB"/>
        </w:rPr>
        <w:t>Community participation</w:t>
      </w:r>
      <w:r w:rsidRPr="00530CC9">
        <w:rPr>
          <w:bCs/>
          <w:lang w:val="en-GB"/>
        </w:rPr>
        <w:t>.</w:t>
      </w:r>
      <w:r w:rsidRPr="00530CC9">
        <w:rPr>
          <w:rFonts w:cs="Arial"/>
          <w:szCs w:val="22"/>
          <w:lang w:val="en-GB" w:eastAsia="en-GB"/>
        </w:rPr>
        <w:t xml:space="preserve"> </w:t>
      </w:r>
      <w:r w:rsidR="00593622">
        <w:rPr>
          <w:bCs/>
          <w:lang w:val="en-GB"/>
        </w:rPr>
        <w:t>The c</w:t>
      </w:r>
      <w:r w:rsidR="00593622" w:rsidRPr="00530CC9">
        <w:rPr>
          <w:bCs/>
          <w:lang w:val="en-GB"/>
        </w:rPr>
        <w:t xml:space="preserve">apacities </w:t>
      </w:r>
      <w:r w:rsidRPr="00530CC9">
        <w:rPr>
          <w:bCs/>
          <w:lang w:val="en-GB"/>
        </w:rPr>
        <w:t xml:space="preserve">of the communities have been strengthened, with particular </w:t>
      </w:r>
      <w:r w:rsidRPr="00A83238">
        <w:rPr>
          <w:bCs/>
          <w:lang w:val="en-GB"/>
        </w:rPr>
        <w:t>attention</w:t>
      </w:r>
      <w:r w:rsidR="00593622">
        <w:rPr>
          <w:bCs/>
          <w:lang w:val="en-GB"/>
        </w:rPr>
        <w:t xml:space="preserve"> paid</w:t>
      </w:r>
      <w:r w:rsidRPr="00A83238">
        <w:rPr>
          <w:bCs/>
          <w:lang w:val="en-GB"/>
        </w:rPr>
        <w:t xml:space="preserve"> to women and youth. School pupils</w:t>
      </w:r>
      <w:r w:rsidR="00593622">
        <w:rPr>
          <w:bCs/>
          <w:lang w:val="en-GB"/>
        </w:rPr>
        <w:t xml:space="preserve"> have been</w:t>
      </w:r>
      <w:r w:rsidRPr="00A83238">
        <w:rPr>
          <w:bCs/>
          <w:lang w:val="en-GB"/>
        </w:rPr>
        <w:t xml:space="preserve"> </w:t>
      </w:r>
      <w:r w:rsidRPr="00A83238">
        <w:rPr>
          <w:rFonts w:cs="Arial"/>
          <w:szCs w:val="22"/>
          <w:lang w:val="en-GB" w:eastAsia="en-GB"/>
        </w:rPr>
        <w:t>mobilized through</w:t>
      </w:r>
      <w:r w:rsidRPr="00A83238">
        <w:rPr>
          <w:bCs/>
          <w:lang w:val="en-GB"/>
        </w:rPr>
        <w:t xml:space="preserve"> parental associations and participate in the </w:t>
      </w:r>
      <w:r w:rsidR="00593622" w:rsidRPr="00A83238">
        <w:rPr>
          <w:bCs/>
          <w:lang w:val="en-GB"/>
        </w:rPr>
        <w:t>organi</w:t>
      </w:r>
      <w:r w:rsidR="00593622">
        <w:rPr>
          <w:bCs/>
          <w:lang w:val="en-GB"/>
        </w:rPr>
        <w:t>z</w:t>
      </w:r>
      <w:r w:rsidR="00593622" w:rsidRPr="00A83238">
        <w:rPr>
          <w:bCs/>
          <w:lang w:val="en-GB"/>
        </w:rPr>
        <w:t xml:space="preserve">ation </w:t>
      </w:r>
      <w:r w:rsidRPr="00A83238">
        <w:rPr>
          <w:bCs/>
          <w:lang w:val="en-GB"/>
        </w:rPr>
        <w:t xml:space="preserve">of </w:t>
      </w:r>
      <w:r w:rsidRPr="00A83238">
        <w:rPr>
          <w:rFonts w:cs="Arial"/>
          <w:szCs w:val="22"/>
          <w:lang w:val="en-GB" w:eastAsia="en-GB"/>
        </w:rPr>
        <w:t>Kôrêdugaw</w:t>
      </w:r>
      <w:r w:rsidR="00593622">
        <w:rPr>
          <w:rFonts w:cs="Arial"/>
          <w:szCs w:val="22"/>
          <w:lang w:val="en-GB" w:eastAsia="en-GB"/>
        </w:rPr>
        <w:t xml:space="preserve"> festivals</w:t>
      </w:r>
      <w:r w:rsidRPr="00A83238">
        <w:rPr>
          <w:bCs/>
          <w:lang w:val="en-GB"/>
        </w:rPr>
        <w:t xml:space="preserve">. Local </w:t>
      </w:r>
      <w:r w:rsidRPr="00A83238">
        <w:rPr>
          <w:bCs/>
          <w:lang w:val="en-GB"/>
        </w:rPr>
        <w:lastRenderedPageBreak/>
        <w:t xml:space="preserve">community representatives have been involved in the field work </w:t>
      </w:r>
      <w:r w:rsidR="00593622">
        <w:rPr>
          <w:bCs/>
          <w:lang w:val="en-GB"/>
        </w:rPr>
        <w:t xml:space="preserve">to </w:t>
      </w:r>
      <w:r w:rsidRPr="00A83238">
        <w:rPr>
          <w:bCs/>
          <w:lang w:val="en-GB"/>
        </w:rPr>
        <w:t xml:space="preserve">document the practice. In each </w:t>
      </w:r>
      <w:r>
        <w:rPr>
          <w:bCs/>
          <w:lang w:val="en-GB"/>
        </w:rPr>
        <w:t>town</w:t>
      </w:r>
      <w:r w:rsidRPr="00A83238">
        <w:rPr>
          <w:bCs/>
          <w:lang w:val="en-GB"/>
        </w:rPr>
        <w:t xml:space="preserve">, a commission for the safeguarding of intangible cultural heritage has been established, consisting of local administrative, political and customary authorities, their role being to raise awareness, provide advice and </w:t>
      </w:r>
      <w:r>
        <w:rPr>
          <w:bCs/>
          <w:lang w:val="en-GB"/>
        </w:rPr>
        <w:t>coordinate</w:t>
      </w:r>
      <w:r w:rsidRPr="00A83238">
        <w:rPr>
          <w:bCs/>
          <w:lang w:val="en-GB"/>
        </w:rPr>
        <w:t xml:space="preserve"> community participation. </w:t>
      </w:r>
      <w:r w:rsidRPr="00A83238">
        <w:rPr>
          <w:rFonts w:cs="Arial"/>
          <w:szCs w:val="22"/>
          <w:lang w:val="en-GB" w:eastAsia="en-GB"/>
        </w:rPr>
        <w:t xml:space="preserve">Community representatives have participated in </w:t>
      </w:r>
      <w:r w:rsidR="00593622">
        <w:rPr>
          <w:rFonts w:cs="Arial"/>
          <w:szCs w:val="22"/>
          <w:lang w:val="en-GB" w:eastAsia="en-GB"/>
        </w:rPr>
        <w:t>developing</w:t>
      </w:r>
      <w:r w:rsidR="00593622" w:rsidRPr="00A83238">
        <w:rPr>
          <w:rFonts w:cs="Arial"/>
          <w:szCs w:val="22"/>
          <w:lang w:val="en-GB" w:eastAsia="en-GB"/>
        </w:rPr>
        <w:t xml:space="preserve"> </w:t>
      </w:r>
      <w:r w:rsidRPr="00A83238">
        <w:rPr>
          <w:rFonts w:cs="Arial"/>
          <w:szCs w:val="22"/>
          <w:lang w:val="en-GB" w:eastAsia="en-GB"/>
        </w:rPr>
        <w:t>the updated safeguarding plan and in providing data as well as validating the report.</w:t>
      </w:r>
    </w:p>
    <w:p w14:paraId="114EF9C4" w14:textId="1C09D258" w:rsidR="00FA4117" w:rsidRPr="00205A06"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w:t>
      </w:r>
      <w:r>
        <w:rPr>
          <w:bCs/>
          <w:lang w:val="en-GB"/>
        </w:rPr>
        <w:t>T</w:t>
      </w:r>
      <w:r w:rsidRPr="00205A06">
        <w:rPr>
          <w:bCs/>
          <w:lang w:val="en-GB"/>
        </w:rPr>
        <w:t xml:space="preserve">he inscription has mobilized the interest </w:t>
      </w:r>
      <w:r>
        <w:rPr>
          <w:bCs/>
          <w:lang w:val="en-GB"/>
        </w:rPr>
        <w:t>of</w:t>
      </w:r>
      <w:r w:rsidRPr="00205A06">
        <w:rPr>
          <w:bCs/>
          <w:lang w:val="en-GB"/>
        </w:rPr>
        <w:t xml:space="preserve"> the customary authorities and strengthened the </w:t>
      </w:r>
      <w:r>
        <w:rPr>
          <w:bCs/>
          <w:lang w:val="en-GB"/>
        </w:rPr>
        <w:t>sense</w:t>
      </w:r>
      <w:r w:rsidRPr="00205A06">
        <w:rPr>
          <w:bCs/>
          <w:lang w:val="en-GB"/>
        </w:rPr>
        <w:t xml:space="preserve"> of ownership among the communities. </w:t>
      </w:r>
      <w:r w:rsidRPr="00205A06">
        <w:rPr>
          <w:lang w:val="en-GB"/>
        </w:rPr>
        <w:t xml:space="preserve">The practice is </w:t>
      </w:r>
      <w:r w:rsidR="00593622">
        <w:rPr>
          <w:lang w:val="en-GB"/>
        </w:rPr>
        <w:t xml:space="preserve">being revitalized </w:t>
      </w:r>
      <w:r w:rsidRPr="00205A06">
        <w:rPr>
          <w:lang w:val="en-GB"/>
        </w:rPr>
        <w:t>primarily through</w:t>
      </w:r>
      <w:r>
        <w:rPr>
          <w:lang w:val="en-GB"/>
        </w:rPr>
        <w:t xml:space="preserve"> an increasing number of</w:t>
      </w:r>
      <w:r w:rsidRPr="00205A06">
        <w:rPr>
          <w:bCs/>
          <w:lang w:val="en-GB"/>
        </w:rPr>
        <w:t xml:space="preserve"> </w:t>
      </w:r>
      <w:r w:rsidRPr="00205A06">
        <w:rPr>
          <w:rFonts w:cs="Arial"/>
          <w:szCs w:val="22"/>
          <w:lang w:val="en-GB" w:eastAsia="en-GB"/>
        </w:rPr>
        <w:t>Kôrêdugaw</w:t>
      </w:r>
      <w:r w:rsidRPr="00205A06">
        <w:rPr>
          <w:bCs/>
          <w:lang w:val="en-GB"/>
        </w:rPr>
        <w:t xml:space="preserve"> associations</w:t>
      </w:r>
      <w:r w:rsidR="00593622">
        <w:rPr>
          <w:bCs/>
          <w:lang w:val="en-GB"/>
        </w:rPr>
        <w:t>,</w:t>
      </w:r>
      <w:r w:rsidRPr="00205A06">
        <w:rPr>
          <w:rFonts w:cs="Arial"/>
          <w:szCs w:val="22"/>
          <w:lang w:val="en-GB" w:eastAsia="en-GB"/>
        </w:rPr>
        <w:t xml:space="preserve"> sustained by regular payments </w:t>
      </w:r>
      <w:r w:rsidR="00593622">
        <w:rPr>
          <w:rFonts w:cs="Arial"/>
          <w:szCs w:val="22"/>
          <w:lang w:val="en-GB" w:eastAsia="en-GB"/>
        </w:rPr>
        <w:t>by</w:t>
      </w:r>
      <w:r w:rsidR="00593622" w:rsidRPr="00205A06">
        <w:rPr>
          <w:rFonts w:cs="Arial"/>
          <w:szCs w:val="22"/>
          <w:lang w:val="en-GB" w:eastAsia="en-GB"/>
        </w:rPr>
        <w:t xml:space="preserve"> </w:t>
      </w:r>
      <w:r w:rsidRPr="00205A06">
        <w:rPr>
          <w:rFonts w:cs="Arial"/>
          <w:szCs w:val="22"/>
          <w:lang w:val="en-GB" w:eastAsia="en-GB"/>
        </w:rPr>
        <w:t>members</w:t>
      </w:r>
      <w:r w:rsidRPr="00205A06">
        <w:rPr>
          <w:lang w:val="en-GB"/>
        </w:rPr>
        <w:t xml:space="preserve">. </w:t>
      </w:r>
      <w:r w:rsidRPr="00205A06">
        <w:rPr>
          <w:rFonts w:cs="Arial"/>
          <w:szCs w:val="22"/>
          <w:lang w:val="en-GB" w:eastAsia="en-GB"/>
        </w:rPr>
        <w:t xml:space="preserve">The capacities of these associations have been enhanced, and the </w:t>
      </w:r>
      <w:r w:rsidRPr="00C32BBE">
        <w:rPr>
          <w:bCs/>
          <w:lang w:val="en-GB"/>
        </w:rPr>
        <w:t>National Directorate of Cultural Heritage provides assistance</w:t>
      </w:r>
      <w:r w:rsidRPr="00205A06">
        <w:rPr>
          <w:rFonts w:cs="Arial"/>
          <w:szCs w:val="22"/>
          <w:lang w:val="en-GB" w:eastAsia="en-GB"/>
        </w:rPr>
        <w:t>.</w:t>
      </w:r>
      <w:r w:rsidRPr="00205A06">
        <w:rPr>
          <w:lang w:val="en-GB"/>
        </w:rPr>
        <w:t xml:space="preserve"> The results of </w:t>
      </w:r>
      <w:r w:rsidR="00593622">
        <w:rPr>
          <w:lang w:val="en-GB"/>
        </w:rPr>
        <w:t xml:space="preserve">the </w:t>
      </w:r>
      <w:r w:rsidRPr="00205A06">
        <w:rPr>
          <w:lang w:val="en-GB"/>
        </w:rPr>
        <w:t xml:space="preserve">safeguarding are encouraging, favouring the appreciation of the customs of community life and reaffirming </w:t>
      </w:r>
      <w:r w:rsidR="00593622">
        <w:rPr>
          <w:lang w:val="en-GB"/>
        </w:rPr>
        <w:t xml:space="preserve">the </w:t>
      </w:r>
      <w:r w:rsidRPr="00205A06">
        <w:rPr>
          <w:lang w:val="en-GB"/>
        </w:rPr>
        <w:t>communities</w:t>
      </w:r>
      <w:r w:rsidR="00593622">
        <w:rPr>
          <w:lang w:val="en-GB"/>
        </w:rPr>
        <w:t>’ desire</w:t>
      </w:r>
      <w:r w:rsidRPr="00205A06">
        <w:rPr>
          <w:lang w:val="en-GB"/>
        </w:rPr>
        <w:t xml:space="preserve"> to safeguard the element. Initiation practices are now being organized</w:t>
      </w:r>
      <w:r>
        <w:rPr>
          <w:lang w:val="en-GB"/>
        </w:rPr>
        <w:t xml:space="preserve"> on a yearly basis</w:t>
      </w:r>
      <w:r w:rsidRPr="00205A06">
        <w:rPr>
          <w:lang w:val="en-GB"/>
        </w:rPr>
        <w:t xml:space="preserve"> in all the </w:t>
      </w:r>
      <w:r w:rsidR="00593622">
        <w:rPr>
          <w:lang w:val="en-GB"/>
        </w:rPr>
        <w:t xml:space="preserve">bearer </w:t>
      </w:r>
      <w:r w:rsidRPr="00205A06">
        <w:rPr>
          <w:lang w:val="en-GB"/>
        </w:rPr>
        <w:t>communities</w:t>
      </w:r>
      <w:r>
        <w:rPr>
          <w:lang w:val="en-GB"/>
        </w:rPr>
        <w:t xml:space="preserve"> concerned</w:t>
      </w:r>
      <w:r w:rsidRPr="00205A06">
        <w:rPr>
          <w:lang w:val="en-GB"/>
        </w:rPr>
        <w:t xml:space="preserve">. </w:t>
      </w:r>
      <w:r>
        <w:rPr>
          <w:lang w:val="en-GB"/>
        </w:rPr>
        <w:t>T</w:t>
      </w:r>
      <w:r w:rsidRPr="00205A06">
        <w:rPr>
          <w:lang w:val="en-GB"/>
        </w:rPr>
        <w:t>he threats to the viability of the element</w:t>
      </w:r>
      <w:r w:rsidR="00593622">
        <w:rPr>
          <w:lang w:val="en-GB"/>
        </w:rPr>
        <w:t xml:space="preserve"> – </w:t>
      </w:r>
      <w:r>
        <w:rPr>
          <w:lang w:val="en-GB"/>
        </w:rPr>
        <w:t>which are</w:t>
      </w:r>
      <w:r w:rsidRPr="00205A06">
        <w:rPr>
          <w:lang w:val="en-GB"/>
        </w:rPr>
        <w:t xml:space="preserve"> caused by changing ways of life</w:t>
      </w:r>
      <w:r w:rsidR="00593622">
        <w:rPr>
          <w:lang w:val="en-GB"/>
        </w:rPr>
        <w:t>,</w:t>
      </w:r>
      <w:r w:rsidRPr="00205A06">
        <w:rPr>
          <w:lang w:val="en-GB"/>
        </w:rPr>
        <w:t xml:space="preserve"> </w:t>
      </w:r>
      <w:r w:rsidR="00593622">
        <w:rPr>
          <w:lang w:val="en-GB"/>
        </w:rPr>
        <w:t xml:space="preserve">the </w:t>
      </w:r>
      <w:r w:rsidRPr="00205A06">
        <w:rPr>
          <w:lang w:val="en-GB"/>
        </w:rPr>
        <w:t>lo</w:t>
      </w:r>
      <w:r>
        <w:rPr>
          <w:lang w:val="en-GB"/>
        </w:rPr>
        <w:t>ss of</w:t>
      </w:r>
      <w:r w:rsidRPr="00205A06">
        <w:rPr>
          <w:lang w:val="en-GB"/>
        </w:rPr>
        <w:t xml:space="preserve"> traditional values, </w:t>
      </w:r>
      <w:r>
        <w:rPr>
          <w:lang w:val="en-GB"/>
        </w:rPr>
        <w:t xml:space="preserve">the </w:t>
      </w:r>
      <w:r w:rsidRPr="00205A06">
        <w:rPr>
          <w:lang w:val="en-GB"/>
        </w:rPr>
        <w:t>outflow to urban areas</w:t>
      </w:r>
      <w:r w:rsidR="00593622">
        <w:rPr>
          <w:lang w:val="en-GB"/>
        </w:rPr>
        <w:t>,</w:t>
      </w:r>
      <w:r w:rsidRPr="00205A06">
        <w:rPr>
          <w:lang w:val="en-GB"/>
        </w:rPr>
        <w:t xml:space="preserve"> difficulties </w:t>
      </w:r>
      <w:r w:rsidR="00593622">
        <w:rPr>
          <w:lang w:val="en-GB"/>
        </w:rPr>
        <w:t xml:space="preserve">with </w:t>
      </w:r>
      <w:r w:rsidRPr="00205A06">
        <w:rPr>
          <w:lang w:val="en-GB"/>
        </w:rPr>
        <w:t xml:space="preserve">intergenerational transmission in families, </w:t>
      </w:r>
      <w:r>
        <w:rPr>
          <w:lang w:val="en-GB"/>
        </w:rPr>
        <w:t xml:space="preserve">and </w:t>
      </w:r>
      <w:r w:rsidRPr="00205A06">
        <w:rPr>
          <w:lang w:val="en-GB"/>
        </w:rPr>
        <w:t>lucrative practices in relation to the element</w:t>
      </w:r>
      <w:r w:rsidR="00593622">
        <w:rPr>
          <w:lang w:val="en-GB"/>
        </w:rPr>
        <w:t xml:space="preserve"> –</w:t>
      </w:r>
      <w:r w:rsidRPr="00205A06">
        <w:rPr>
          <w:lang w:val="en-GB"/>
        </w:rPr>
        <w:t xml:space="preserve"> have substantially diminished. However, there is still a need </w:t>
      </w:r>
      <w:r w:rsidR="00593622">
        <w:rPr>
          <w:lang w:val="en-GB"/>
        </w:rPr>
        <w:t>to</w:t>
      </w:r>
      <w:r w:rsidR="00593622" w:rsidRPr="00205A06">
        <w:rPr>
          <w:lang w:val="en-GB"/>
        </w:rPr>
        <w:t xml:space="preserve"> </w:t>
      </w:r>
      <w:r w:rsidR="00593622">
        <w:rPr>
          <w:lang w:val="en-GB"/>
        </w:rPr>
        <w:t>mobilize</w:t>
      </w:r>
      <w:r w:rsidR="00593622" w:rsidRPr="00205A06">
        <w:rPr>
          <w:lang w:val="en-GB"/>
        </w:rPr>
        <w:t xml:space="preserve"> </w:t>
      </w:r>
      <w:r w:rsidRPr="00205A06">
        <w:rPr>
          <w:lang w:val="en-GB"/>
        </w:rPr>
        <w:t>financial</w:t>
      </w:r>
      <w:r>
        <w:rPr>
          <w:lang w:val="en-GB"/>
        </w:rPr>
        <w:t xml:space="preserve"> and logistical</w:t>
      </w:r>
      <w:r w:rsidRPr="00205A06">
        <w:rPr>
          <w:lang w:val="en-GB"/>
        </w:rPr>
        <w:t xml:space="preserve"> resources</w:t>
      </w:r>
      <w:r>
        <w:rPr>
          <w:lang w:val="en-GB"/>
        </w:rPr>
        <w:t xml:space="preserve"> </w:t>
      </w:r>
      <w:r w:rsidRPr="00205A06">
        <w:rPr>
          <w:lang w:val="en-GB"/>
        </w:rPr>
        <w:t xml:space="preserve">for the </w:t>
      </w:r>
      <w:r>
        <w:rPr>
          <w:lang w:val="en-GB"/>
        </w:rPr>
        <w:t xml:space="preserve">continued implementation of </w:t>
      </w:r>
      <w:r w:rsidR="00593622">
        <w:rPr>
          <w:lang w:val="en-GB"/>
        </w:rPr>
        <w:t xml:space="preserve">the </w:t>
      </w:r>
      <w:r w:rsidRPr="00205A06">
        <w:rPr>
          <w:lang w:val="en-GB"/>
        </w:rPr>
        <w:t>safeguarding activities.</w:t>
      </w:r>
    </w:p>
    <w:p w14:paraId="1DD08AD4" w14:textId="77777777" w:rsidR="00FA4117" w:rsidRPr="00365F74" w:rsidRDefault="00FA4117" w:rsidP="00FA4117">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w:t>
      </w:r>
      <w:r w:rsidRPr="00365F74">
        <w:rPr>
          <w:lang w:val="en-GB"/>
        </w:rPr>
        <w:t>adopt the following decision:</w:t>
      </w:r>
    </w:p>
    <w:p w14:paraId="646AAA73" w14:textId="31267671" w:rsidR="00FA4117" w:rsidRPr="00365F74" w:rsidRDefault="00FA4117" w:rsidP="00FA4117">
      <w:pPr>
        <w:pStyle w:val="Titre4"/>
        <w:numPr>
          <w:ilvl w:val="0"/>
          <w:numId w:val="0"/>
        </w:numPr>
        <w:spacing w:before="240"/>
        <w:ind w:left="567"/>
        <w:rPr>
          <w:rFonts w:eastAsia="SimSun"/>
          <w:szCs w:val="22"/>
        </w:rPr>
      </w:pPr>
      <w:bookmarkStart w:id="8" w:name="Dec15COM7_5"/>
      <w:r w:rsidRPr="00365F74">
        <w:rPr>
          <w:szCs w:val="22"/>
        </w:rPr>
        <w:t>DRAFT DECISION 15.COM </w:t>
      </w:r>
      <w:r w:rsidR="00B40F86" w:rsidRPr="00365F74">
        <w:rPr>
          <w:szCs w:val="22"/>
        </w:rPr>
        <w:t>7</w:t>
      </w:r>
      <w:r w:rsidRPr="00365F74">
        <w:rPr>
          <w:szCs w:val="22"/>
        </w:rPr>
        <w:t>.5</w:t>
      </w:r>
      <w:bookmarkEnd w:id="8"/>
      <w:r w:rsidRPr="00365F74">
        <w:rPr>
          <w:szCs w:val="22"/>
        </w:rPr>
        <w:tab/>
      </w:r>
      <w:r w:rsidR="00D0045F" w:rsidRPr="00365F74">
        <w:rPr>
          <w:noProof/>
          <w:color w:val="0000FF"/>
        </w:rPr>
        <w:drawing>
          <wp:inline distT="0" distB="0" distL="0" distR="0" wp14:anchorId="2B9A9B34" wp14:editId="6540DEAC">
            <wp:extent cx="104775" cy="104775"/>
            <wp:effectExtent l="0" t="0" r="9525" b="9525"/>
            <wp:docPr id="5"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B19E9E6" w14:textId="77777777" w:rsidR="00FA4117" w:rsidRPr="00365F74" w:rsidRDefault="00FA4117" w:rsidP="00FA4117">
      <w:pPr>
        <w:pStyle w:val="Para"/>
        <w:keepNext/>
        <w:numPr>
          <w:ilvl w:val="0"/>
          <w:numId w:val="0"/>
        </w:numPr>
        <w:tabs>
          <w:tab w:val="left" w:pos="1134"/>
        </w:tabs>
        <w:spacing w:line="240" w:lineRule="auto"/>
        <w:ind w:left="567"/>
        <w:rPr>
          <w:rFonts w:cs="Arial"/>
          <w:sz w:val="22"/>
          <w:szCs w:val="22"/>
          <w:lang w:val="en-GB"/>
        </w:rPr>
      </w:pPr>
      <w:r w:rsidRPr="00365F74">
        <w:rPr>
          <w:rFonts w:cs="Arial"/>
          <w:sz w:val="22"/>
          <w:szCs w:val="22"/>
          <w:lang w:val="en-GB"/>
        </w:rPr>
        <w:t>The Committee,</w:t>
      </w:r>
    </w:p>
    <w:p w14:paraId="5C2EFA83" w14:textId="512C6CD0" w:rsidR="00FA4117" w:rsidRPr="00365F74" w:rsidRDefault="00FA4117" w:rsidP="00186C3E">
      <w:pPr>
        <w:pStyle w:val="Para"/>
        <w:numPr>
          <w:ilvl w:val="0"/>
          <w:numId w:val="32"/>
        </w:numPr>
        <w:tabs>
          <w:tab w:val="left" w:pos="1134"/>
        </w:tabs>
        <w:spacing w:line="240" w:lineRule="auto"/>
        <w:rPr>
          <w:rFonts w:cs="Arial"/>
          <w:sz w:val="22"/>
          <w:szCs w:val="22"/>
          <w:lang w:val="pt-PT"/>
        </w:rPr>
      </w:pPr>
      <w:r w:rsidRPr="00365F74">
        <w:rPr>
          <w:rFonts w:cs="Arial"/>
          <w:sz w:val="22"/>
          <w:szCs w:val="22"/>
          <w:u w:val="single"/>
          <w:lang w:val="pt-PT"/>
        </w:rPr>
        <w:t>Having examined</w:t>
      </w:r>
      <w:r w:rsidRPr="00365F74">
        <w:rPr>
          <w:rFonts w:cs="Arial"/>
          <w:sz w:val="22"/>
          <w:szCs w:val="22"/>
          <w:lang w:val="pt-PT"/>
        </w:rPr>
        <w:t xml:space="preserve"> document </w:t>
      </w:r>
      <w:r w:rsidR="00F23E21" w:rsidRPr="00365F74">
        <w:rPr>
          <w:rFonts w:cs="Arial"/>
          <w:sz w:val="22"/>
          <w:szCs w:val="22"/>
          <w:lang w:val="pt-PT"/>
        </w:rPr>
        <w:t>LHE/20/15.COM/</w:t>
      </w:r>
      <w:r w:rsidR="00B40F86" w:rsidRPr="00365F74">
        <w:rPr>
          <w:rFonts w:cs="Arial"/>
          <w:sz w:val="22"/>
          <w:szCs w:val="22"/>
          <w:lang w:val="pt-PT"/>
        </w:rPr>
        <w:t>7</w:t>
      </w:r>
      <w:r w:rsidRPr="00365F74">
        <w:rPr>
          <w:rFonts w:cs="Arial"/>
          <w:sz w:val="22"/>
          <w:szCs w:val="22"/>
          <w:lang w:val="pt-PT"/>
        </w:rPr>
        <w:t>,</w:t>
      </w:r>
    </w:p>
    <w:p w14:paraId="114D6B67" w14:textId="3FD74DBD" w:rsidR="00FA4117" w:rsidRPr="00186C3E" w:rsidRDefault="00FA4117" w:rsidP="00186C3E">
      <w:pPr>
        <w:pStyle w:val="Para"/>
        <w:numPr>
          <w:ilvl w:val="0"/>
          <w:numId w:val="32"/>
        </w:numPr>
        <w:tabs>
          <w:tab w:val="left" w:pos="1134"/>
        </w:tabs>
        <w:spacing w:line="240" w:lineRule="auto"/>
        <w:rPr>
          <w:rFonts w:cs="Arial"/>
          <w:sz w:val="22"/>
          <w:szCs w:val="22"/>
          <w:lang w:val="en-GB"/>
        </w:rPr>
      </w:pPr>
      <w:r w:rsidRPr="00186C3E">
        <w:rPr>
          <w:rFonts w:cs="Arial"/>
          <w:sz w:val="22"/>
          <w:szCs w:val="22"/>
          <w:u w:val="single"/>
          <w:lang w:val="en-GB"/>
        </w:rPr>
        <w:t>Recalling</w:t>
      </w:r>
      <w:r w:rsidRPr="00186C3E">
        <w:rPr>
          <w:rFonts w:cs="Arial"/>
          <w:sz w:val="22"/>
          <w:szCs w:val="22"/>
          <w:lang w:val="en-GB"/>
        </w:rPr>
        <w:t xml:space="preserve"> Chapter V of the Operational Directives and its Decisions </w:t>
      </w:r>
      <w:hyperlink r:id="rId65" w:history="1">
        <w:r w:rsidRPr="00186C3E">
          <w:rPr>
            <w:rStyle w:val="Lienhypertexte"/>
            <w:rFonts w:cs="Arial"/>
            <w:sz w:val="22"/>
            <w:szCs w:val="22"/>
            <w:lang w:val="en-GB"/>
          </w:rPr>
          <w:t>6.COM 8.12</w:t>
        </w:r>
      </w:hyperlink>
      <w:r w:rsidRPr="00186C3E">
        <w:rPr>
          <w:rFonts w:cs="Arial"/>
          <w:sz w:val="22"/>
          <w:szCs w:val="22"/>
          <w:lang w:val="en-GB"/>
        </w:rPr>
        <w:t xml:space="preserve"> and </w:t>
      </w:r>
      <w:hyperlink r:id="rId66" w:history="1">
        <w:r w:rsidRPr="00186C3E">
          <w:rPr>
            <w:rStyle w:val="Lienhypertexte"/>
            <w:rFonts w:cs="Arial"/>
            <w:sz w:val="22"/>
            <w:szCs w:val="22"/>
            <w:lang w:val="en-GB"/>
          </w:rPr>
          <w:t>11.COM 9.b.4</w:t>
        </w:r>
      </w:hyperlink>
      <w:r w:rsidRPr="00186C3E">
        <w:rPr>
          <w:rFonts w:cs="Arial"/>
          <w:sz w:val="22"/>
          <w:szCs w:val="22"/>
          <w:lang w:val="en-GB"/>
        </w:rPr>
        <w:t>,</w:t>
      </w:r>
    </w:p>
    <w:p w14:paraId="621E12E7" w14:textId="77777777" w:rsidR="00FA4117" w:rsidRPr="00186C3E" w:rsidRDefault="00FA4117" w:rsidP="00186C3E">
      <w:pPr>
        <w:pStyle w:val="Para"/>
        <w:numPr>
          <w:ilvl w:val="0"/>
          <w:numId w:val="32"/>
        </w:numPr>
        <w:tabs>
          <w:tab w:val="left" w:pos="1134"/>
        </w:tabs>
        <w:spacing w:line="240" w:lineRule="auto"/>
        <w:rPr>
          <w:rFonts w:cs="Arial"/>
          <w:sz w:val="22"/>
          <w:szCs w:val="22"/>
          <w:lang w:val="en-GB"/>
        </w:rPr>
      </w:pPr>
      <w:r w:rsidRPr="00186C3E">
        <w:rPr>
          <w:rFonts w:cs="Arial"/>
          <w:sz w:val="22"/>
          <w:szCs w:val="22"/>
          <w:u w:val="single"/>
          <w:lang w:val="en-GB"/>
        </w:rPr>
        <w:t>Expresses its thanks</w:t>
      </w:r>
      <w:r w:rsidRPr="00186C3E">
        <w:rPr>
          <w:rFonts w:cs="Arial"/>
          <w:sz w:val="22"/>
          <w:szCs w:val="22"/>
          <w:lang w:val="en-GB"/>
        </w:rPr>
        <w:t xml:space="preserve"> to Mali for submitting, on time, its report on the </w:t>
      </w:r>
      <w:r w:rsidRPr="00186C3E">
        <w:rPr>
          <w:rFonts w:cs="Arial"/>
          <w:bCs/>
          <w:sz w:val="22"/>
          <w:szCs w:val="22"/>
          <w:lang w:val="en-GB"/>
        </w:rPr>
        <w:t xml:space="preserve">status of the </w:t>
      </w:r>
      <w:r w:rsidRPr="00186C3E">
        <w:rPr>
          <w:rFonts w:cs="Arial"/>
          <w:sz w:val="22"/>
          <w:szCs w:val="22"/>
          <w:lang w:val="en-GB"/>
        </w:rPr>
        <w:t>element ‘</w:t>
      </w:r>
      <w:r w:rsidRPr="00186C3E">
        <w:rPr>
          <w:rFonts w:eastAsia="Times New Roman" w:cs="Arial"/>
          <w:sz w:val="22"/>
          <w:szCs w:val="22"/>
          <w:lang w:val="en-GB" w:eastAsia="en-GB"/>
        </w:rPr>
        <w:t>Secret society of the Kôrêdugaw, the rite of wisdom in Mali</w:t>
      </w:r>
      <w:r w:rsidRPr="00186C3E">
        <w:rPr>
          <w:rFonts w:cs="Arial"/>
          <w:sz w:val="22"/>
          <w:szCs w:val="22"/>
          <w:lang w:val="en-GB"/>
        </w:rPr>
        <w:t>’, inscribed</w:t>
      </w:r>
      <w:r w:rsidRPr="00186C3E">
        <w:rPr>
          <w:rFonts w:cs="Arial"/>
          <w:bCs/>
          <w:sz w:val="22"/>
          <w:szCs w:val="22"/>
          <w:lang w:val="en-GB"/>
        </w:rPr>
        <w:t xml:space="preserve"> in 2011 on the List of Intangible Cultural Heritage in Need of Urgent Safeguarding;</w:t>
      </w:r>
    </w:p>
    <w:p w14:paraId="36C80282" w14:textId="38AB7C34" w:rsidR="00FA4117" w:rsidRPr="00186C3E" w:rsidRDefault="00FA4117" w:rsidP="00186C3E">
      <w:pPr>
        <w:pStyle w:val="Para"/>
        <w:numPr>
          <w:ilvl w:val="0"/>
          <w:numId w:val="32"/>
        </w:numPr>
        <w:tabs>
          <w:tab w:val="left" w:pos="1134"/>
        </w:tabs>
        <w:spacing w:line="240" w:lineRule="auto"/>
        <w:rPr>
          <w:rFonts w:cs="Arial"/>
          <w:sz w:val="22"/>
          <w:szCs w:val="22"/>
          <w:lang w:val="en-GB"/>
        </w:rPr>
      </w:pPr>
      <w:r w:rsidRPr="00186C3E">
        <w:rPr>
          <w:rFonts w:cs="Arial"/>
          <w:sz w:val="22"/>
          <w:szCs w:val="22"/>
          <w:u w:val="single"/>
          <w:lang w:val="en-GB"/>
        </w:rPr>
        <w:t>Takes note</w:t>
      </w:r>
      <w:r w:rsidRPr="00186C3E">
        <w:rPr>
          <w:rFonts w:cs="Arial"/>
          <w:sz w:val="22"/>
          <w:szCs w:val="22"/>
          <w:lang w:val="en-GB"/>
        </w:rPr>
        <w:t xml:space="preserve"> of the efforts undertaken by the State Party to safeguard the element, </w:t>
      </w:r>
      <w:r w:rsidR="00437A5A">
        <w:rPr>
          <w:rFonts w:cs="Arial"/>
          <w:sz w:val="22"/>
          <w:szCs w:val="22"/>
          <w:lang w:val="en-GB"/>
        </w:rPr>
        <w:t>especially</w:t>
      </w:r>
      <w:r w:rsidRPr="00186C3E">
        <w:rPr>
          <w:rFonts w:cs="Arial"/>
          <w:sz w:val="22"/>
          <w:szCs w:val="22"/>
          <w:lang w:val="en-GB"/>
        </w:rPr>
        <w:t xml:space="preserve"> through the </w:t>
      </w:r>
      <w:r w:rsidRPr="00186C3E">
        <w:rPr>
          <w:sz w:val="22"/>
          <w:szCs w:val="22"/>
          <w:lang w:val="en-GB"/>
        </w:rPr>
        <w:t xml:space="preserve">continuous support </w:t>
      </w:r>
      <w:r w:rsidR="00593622">
        <w:rPr>
          <w:sz w:val="22"/>
          <w:szCs w:val="22"/>
          <w:lang w:val="en-GB"/>
        </w:rPr>
        <w:t xml:space="preserve">provided </w:t>
      </w:r>
      <w:r w:rsidRPr="00186C3E">
        <w:rPr>
          <w:sz w:val="22"/>
          <w:szCs w:val="22"/>
          <w:lang w:val="en-GB"/>
        </w:rPr>
        <w:t xml:space="preserve">to </w:t>
      </w:r>
      <w:r w:rsidRPr="00186C3E">
        <w:rPr>
          <w:rFonts w:eastAsia="Times New Roman" w:cs="Arial"/>
          <w:sz w:val="22"/>
          <w:szCs w:val="22"/>
          <w:lang w:val="en-GB" w:eastAsia="en-GB"/>
        </w:rPr>
        <w:t>Kôrêdugaw associations, the participatory approach to research</w:t>
      </w:r>
      <w:r w:rsidRPr="00186C3E">
        <w:rPr>
          <w:sz w:val="22"/>
          <w:szCs w:val="22"/>
          <w:lang w:val="en-GB"/>
        </w:rPr>
        <w:t xml:space="preserve">, the involvement of youth in organizing safeguarding activities, and a </w:t>
      </w:r>
      <w:r w:rsidR="00593622">
        <w:rPr>
          <w:sz w:val="22"/>
          <w:szCs w:val="22"/>
          <w:lang w:val="en-GB"/>
        </w:rPr>
        <w:t>wide range</w:t>
      </w:r>
      <w:r w:rsidR="00593622" w:rsidRPr="00186C3E">
        <w:rPr>
          <w:sz w:val="22"/>
          <w:szCs w:val="22"/>
          <w:lang w:val="en-GB"/>
        </w:rPr>
        <w:t xml:space="preserve"> </w:t>
      </w:r>
      <w:r w:rsidRPr="00186C3E">
        <w:rPr>
          <w:sz w:val="22"/>
          <w:szCs w:val="22"/>
          <w:lang w:val="en-GB"/>
        </w:rPr>
        <w:t xml:space="preserve">of awareness-raising and educational activities, both within the communities </w:t>
      </w:r>
      <w:r w:rsidR="00593622">
        <w:rPr>
          <w:sz w:val="22"/>
          <w:szCs w:val="22"/>
          <w:lang w:val="en-GB"/>
        </w:rPr>
        <w:t>and</w:t>
      </w:r>
      <w:r w:rsidRPr="00186C3E">
        <w:rPr>
          <w:sz w:val="22"/>
          <w:szCs w:val="22"/>
          <w:lang w:val="en-GB"/>
        </w:rPr>
        <w:t xml:space="preserve"> for larger audiences</w:t>
      </w:r>
      <w:r w:rsidRPr="00186C3E">
        <w:rPr>
          <w:rFonts w:cs="Arial"/>
          <w:sz w:val="22"/>
          <w:szCs w:val="22"/>
          <w:lang w:val="en-GB"/>
        </w:rPr>
        <w:t>;</w:t>
      </w:r>
    </w:p>
    <w:p w14:paraId="6AA84B19" w14:textId="41CE2859" w:rsidR="00FA4117" w:rsidRPr="00186C3E" w:rsidRDefault="00FA4117" w:rsidP="00186C3E">
      <w:pPr>
        <w:pStyle w:val="Para"/>
        <w:numPr>
          <w:ilvl w:val="0"/>
          <w:numId w:val="32"/>
        </w:numPr>
        <w:tabs>
          <w:tab w:val="left" w:pos="1134"/>
        </w:tabs>
        <w:spacing w:line="240" w:lineRule="auto"/>
        <w:rPr>
          <w:rFonts w:cs="Arial"/>
          <w:sz w:val="22"/>
          <w:szCs w:val="22"/>
          <w:lang w:val="en-GB"/>
        </w:rPr>
      </w:pPr>
      <w:r w:rsidRPr="00186C3E">
        <w:rPr>
          <w:rFonts w:cs="Arial"/>
          <w:sz w:val="22"/>
          <w:szCs w:val="22"/>
          <w:u w:val="single"/>
          <w:lang w:val="en-GB"/>
        </w:rPr>
        <w:t>Invites</w:t>
      </w:r>
      <w:r w:rsidRPr="00186C3E">
        <w:rPr>
          <w:rFonts w:cs="Arial"/>
          <w:sz w:val="22"/>
          <w:szCs w:val="22"/>
          <w:lang w:val="en-GB"/>
        </w:rPr>
        <w:t xml:space="preserve"> the State Party to continue its efforts to address the lack of financial resources for the safeguarding of the element by mobilizing funds at the national and local levels, and to explore other funding possibilities through international cooperation mechanisms, including </w:t>
      </w:r>
      <w:r w:rsidR="00E153A5">
        <w:rPr>
          <w:rFonts w:cs="Arial"/>
          <w:sz w:val="22"/>
          <w:szCs w:val="22"/>
          <w:lang w:val="en-GB"/>
        </w:rPr>
        <w:t xml:space="preserve">International Assistance from </w:t>
      </w:r>
      <w:r w:rsidRPr="00186C3E">
        <w:rPr>
          <w:rFonts w:cs="Arial"/>
          <w:sz w:val="22"/>
          <w:szCs w:val="22"/>
          <w:lang w:val="en-GB"/>
        </w:rPr>
        <w:t xml:space="preserve">the Intangible Cultural Heritage Fund, and </w:t>
      </w:r>
      <w:r w:rsidRPr="00186C3E">
        <w:rPr>
          <w:rFonts w:cs="Arial"/>
          <w:sz w:val="22"/>
          <w:szCs w:val="22"/>
          <w:u w:val="single"/>
          <w:lang w:val="en-GB"/>
        </w:rPr>
        <w:t>further invites</w:t>
      </w:r>
      <w:r w:rsidRPr="00186C3E">
        <w:rPr>
          <w:rFonts w:cs="Arial"/>
          <w:sz w:val="22"/>
          <w:szCs w:val="22"/>
          <w:lang w:val="en-GB"/>
        </w:rPr>
        <w:t xml:space="preserve"> the State Party to reflect the financial contribution of all funding sources</w:t>
      </w:r>
      <w:r w:rsidR="00593622" w:rsidRPr="00593622">
        <w:rPr>
          <w:rFonts w:cs="Arial"/>
          <w:sz w:val="22"/>
          <w:szCs w:val="22"/>
          <w:lang w:val="en-GB"/>
        </w:rPr>
        <w:t xml:space="preserve"> </w:t>
      </w:r>
      <w:r w:rsidR="00593622" w:rsidRPr="00186C3E">
        <w:rPr>
          <w:rFonts w:cs="Arial"/>
          <w:sz w:val="22"/>
          <w:szCs w:val="22"/>
          <w:lang w:val="en-GB"/>
        </w:rPr>
        <w:t>in its future reports</w:t>
      </w:r>
      <w:r w:rsidRPr="00186C3E">
        <w:rPr>
          <w:rFonts w:cs="Arial"/>
          <w:sz w:val="22"/>
          <w:szCs w:val="22"/>
          <w:lang w:val="en-GB"/>
        </w:rPr>
        <w:t xml:space="preserve">, including </w:t>
      </w:r>
      <w:r w:rsidR="00593622">
        <w:rPr>
          <w:rFonts w:cs="Arial"/>
          <w:sz w:val="22"/>
          <w:szCs w:val="22"/>
          <w:lang w:val="en-GB"/>
        </w:rPr>
        <w:t xml:space="preserve">that of </w:t>
      </w:r>
      <w:r w:rsidRPr="00186C3E">
        <w:rPr>
          <w:rFonts w:cs="Arial"/>
          <w:sz w:val="22"/>
          <w:szCs w:val="22"/>
          <w:lang w:val="en-GB"/>
        </w:rPr>
        <w:t>local municipalities and community associations;</w:t>
      </w:r>
    </w:p>
    <w:p w14:paraId="5555F66A" w14:textId="1CEEAC43" w:rsidR="00FA4117" w:rsidRPr="00900CB4" w:rsidRDefault="00FA4117" w:rsidP="00186C3E">
      <w:pPr>
        <w:pStyle w:val="Para"/>
        <w:numPr>
          <w:ilvl w:val="0"/>
          <w:numId w:val="32"/>
        </w:numPr>
        <w:spacing w:line="240" w:lineRule="auto"/>
        <w:rPr>
          <w:sz w:val="22"/>
          <w:szCs w:val="22"/>
          <w:lang w:val="en-GB"/>
        </w:rPr>
      </w:pPr>
      <w:r w:rsidRPr="00900CB4">
        <w:rPr>
          <w:rFonts w:cs="Arial"/>
          <w:sz w:val="22"/>
          <w:szCs w:val="22"/>
          <w:u w:val="single"/>
          <w:lang w:val="en-GB"/>
        </w:rPr>
        <w:t>Also invites</w:t>
      </w:r>
      <w:r w:rsidRPr="00900CB4">
        <w:rPr>
          <w:rFonts w:cs="Arial"/>
          <w:sz w:val="22"/>
          <w:szCs w:val="22"/>
          <w:lang w:val="en-GB"/>
        </w:rPr>
        <w:t xml:space="preserve"> the State Party to provide, in its next report on the status of this element, specific information on the implementation of safeguarding measures implemented between 2020 and the submission of this next report in 2023, as well as up-to-date information on the viability of the element;</w:t>
      </w:r>
    </w:p>
    <w:p w14:paraId="617ECED8" w14:textId="0B533639" w:rsidR="002B11E9" w:rsidRPr="00181F76" w:rsidRDefault="002B11E9" w:rsidP="002B11E9">
      <w:pPr>
        <w:pStyle w:val="Para"/>
        <w:numPr>
          <w:ilvl w:val="0"/>
          <w:numId w:val="32"/>
        </w:numPr>
        <w:spacing w:line="240" w:lineRule="auto"/>
        <w:rPr>
          <w:sz w:val="22"/>
          <w:szCs w:val="22"/>
          <w:lang w:val="en-GB"/>
        </w:rPr>
      </w:pPr>
      <w:r w:rsidRPr="00181F76">
        <w:rPr>
          <w:rFonts w:cs="Arial"/>
          <w:sz w:val="22"/>
          <w:szCs w:val="22"/>
          <w:u w:val="single"/>
          <w:lang w:val="en-GB"/>
        </w:rPr>
        <w:t>Encourages</w:t>
      </w:r>
      <w:r w:rsidRPr="00181F76">
        <w:rPr>
          <w:rFonts w:cs="Arial"/>
          <w:sz w:val="22"/>
          <w:szCs w:val="22"/>
          <w:lang w:val="en-GB"/>
        </w:rPr>
        <w:t xml:space="preserve"> </w:t>
      </w:r>
      <w:r w:rsidRPr="00181F76">
        <w:rPr>
          <w:sz w:val="22"/>
          <w:szCs w:val="22"/>
          <w:lang w:val="en-GB"/>
        </w:rPr>
        <w:t>the State Party to ensure the continuity of community participation in the monitoring, evaluation and innovation of the safeguarding measures in response to possibly changing needs for strengthening the viability of the element;</w:t>
      </w:r>
    </w:p>
    <w:p w14:paraId="5DDB35C5" w14:textId="45290A9B" w:rsidR="007245A3" w:rsidRPr="00186C3E" w:rsidRDefault="00FA4117" w:rsidP="00186C3E">
      <w:pPr>
        <w:pStyle w:val="Para"/>
        <w:numPr>
          <w:ilvl w:val="0"/>
          <w:numId w:val="32"/>
        </w:numPr>
        <w:tabs>
          <w:tab w:val="left" w:pos="1134"/>
        </w:tabs>
        <w:spacing w:line="240" w:lineRule="auto"/>
        <w:rPr>
          <w:sz w:val="22"/>
          <w:szCs w:val="22"/>
          <w:lang w:val="en-GB"/>
        </w:rPr>
      </w:pPr>
      <w:r w:rsidRPr="00186C3E">
        <w:rPr>
          <w:sz w:val="22"/>
          <w:szCs w:val="22"/>
          <w:u w:val="single"/>
          <w:lang w:val="en-GB"/>
        </w:rPr>
        <w:t>Requests</w:t>
      </w:r>
      <w:r w:rsidRPr="00186C3E">
        <w:rPr>
          <w:sz w:val="22"/>
          <w:szCs w:val="22"/>
          <w:lang w:val="en-GB"/>
        </w:rPr>
        <w:t xml:space="preserve"> that the Secretariat inform the State Party at least nine months prior to the deadline of 15 December 2023 about the required submission of its next report on the status of this element.</w:t>
      </w:r>
    </w:p>
    <w:p w14:paraId="5288B1F3" w14:textId="77777777" w:rsidR="007245A3" w:rsidRDefault="007245A3">
      <w:pPr>
        <w:rPr>
          <w:rFonts w:ascii="Arial" w:eastAsia="SimSun" w:hAnsi="Arial"/>
          <w:sz w:val="22"/>
          <w:szCs w:val="22"/>
          <w:lang w:val="en-GB"/>
        </w:rPr>
      </w:pPr>
      <w:r>
        <w:rPr>
          <w:sz w:val="22"/>
          <w:szCs w:val="22"/>
          <w:lang w:val="en-GB"/>
        </w:rPr>
        <w:br w:type="page"/>
      </w:r>
    </w:p>
    <w:p w14:paraId="1A1D352C" w14:textId="08246DC2" w:rsidR="007245A3" w:rsidRPr="00205A06" w:rsidRDefault="007245A3" w:rsidP="007245A3">
      <w:pPr>
        <w:pStyle w:val="COMTitleDecision"/>
        <w:pageBreakBefore/>
        <w:spacing w:before="480"/>
        <w:jc w:val="left"/>
      </w:pPr>
      <w:r w:rsidRPr="00205A06">
        <w:rPr>
          <w:bCs/>
        </w:rPr>
        <w:lastRenderedPageBreak/>
        <w:t>Mongolia:</w:t>
      </w:r>
      <w:r w:rsidRPr="00205A06">
        <w:t xml:space="preserve"> ‘Folk long song performance technique of Limbe performances - circular breathing’</w:t>
      </w:r>
      <w:r w:rsidRPr="00205A06">
        <w:rPr>
          <w:bCs/>
          <w:i/>
          <w:iCs/>
        </w:rPr>
        <w:t xml:space="preserve"> </w:t>
      </w:r>
      <w:r w:rsidRPr="00205A06">
        <w:rPr>
          <w:b w:val="0"/>
          <w:bCs/>
          <w:i/>
          <w:iCs/>
        </w:rPr>
        <w:t xml:space="preserve">(consult the </w:t>
      </w:r>
      <w:hyperlink r:id="rId67" w:history="1">
        <w:r w:rsidRPr="003D0E74">
          <w:rPr>
            <w:rStyle w:val="Lienhypertexte"/>
            <w:b w:val="0"/>
            <w:bCs/>
            <w:i/>
            <w:iCs/>
          </w:rPr>
          <w:t>report</w:t>
        </w:r>
      </w:hyperlink>
      <w:r w:rsidRPr="00205A06">
        <w:rPr>
          <w:b w:val="0"/>
          <w:bCs/>
          <w:i/>
          <w:iCs/>
        </w:rPr>
        <w:t>)</w:t>
      </w:r>
    </w:p>
    <w:p w14:paraId="6D8DAA5B" w14:textId="1253DECF" w:rsidR="007245A3" w:rsidRPr="00205A06" w:rsidRDefault="007245A3" w:rsidP="007245A3">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lang w:val="en-GB"/>
        </w:rPr>
        <w:t xml:space="preserve">The Limbe is a side-blown flute </w:t>
      </w:r>
      <w:r w:rsidR="00593622">
        <w:rPr>
          <w:lang w:val="en-GB"/>
        </w:rPr>
        <w:t xml:space="preserve">made </w:t>
      </w:r>
      <w:r w:rsidRPr="00205A06">
        <w:rPr>
          <w:lang w:val="en-GB"/>
        </w:rPr>
        <w:t>of hardwood or bamboo, traditionally used to perform Mongolian folk long songs. Using circular breathing</w:t>
      </w:r>
      <w:r w:rsidR="00593622">
        <w:rPr>
          <w:lang w:val="en-GB"/>
        </w:rPr>
        <w:t>,</w:t>
      </w:r>
      <w:r w:rsidRPr="00205A06">
        <w:rPr>
          <w:lang w:val="en-GB"/>
        </w:rPr>
        <w:t xml:space="preserve"> Limbe performers are able to produce wide-ranging melodies and to continue uninterrupted for twelve to twenty-five minutes. This technique is transmitted from practitioners to apprentices through non-formal and formal education, and </w:t>
      </w:r>
      <w:r w:rsidRPr="00205A06">
        <w:rPr>
          <w:rFonts w:cs="Arial"/>
          <w:lang w:val="en-GB"/>
        </w:rPr>
        <w:t>Limbe performances are part of celebrations and fest</w:t>
      </w:r>
      <w:r w:rsidR="00593622">
        <w:rPr>
          <w:rFonts w:cs="Arial"/>
          <w:lang w:val="en-GB"/>
        </w:rPr>
        <w:t>ival</w:t>
      </w:r>
      <w:r w:rsidRPr="00205A06">
        <w:rPr>
          <w:rFonts w:cs="Arial"/>
          <w:lang w:val="en-GB"/>
        </w:rPr>
        <w:t xml:space="preserve">s, such as Naadam </w:t>
      </w:r>
      <w:r w:rsidR="00BB1091">
        <w:rPr>
          <w:rFonts w:cs="Arial"/>
          <w:lang w:val="en-GB"/>
        </w:rPr>
        <w:t>–</w:t>
      </w:r>
      <w:r w:rsidRPr="00205A06">
        <w:rPr>
          <w:rFonts w:cs="Arial"/>
          <w:lang w:val="en-GB"/>
        </w:rPr>
        <w:t xml:space="preserve"> </w:t>
      </w:r>
      <w:r w:rsidR="00BB1091">
        <w:rPr>
          <w:rFonts w:cs="Arial"/>
          <w:lang w:val="en-GB"/>
        </w:rPr>
        <w:t xml:space="preserve">a </w:t>
      </w:r>
      <w:r w:rsidRPr="00205A06">
        <w:rPr>
          <w:rFonts w:cs="Arial"/>
          <w:lang w:val="en-GB"/>
        </w:rPr>
        <w:t xml:space="preserve">traditional </w:t>
      </w:r>
      <w:r w:rsidR="00BB1091" w:rsidRPr="00205A06">
        <w:rPr>
          <w:rFonts w:cs="Arial"/>
          <w:lang w:val="en-GB"/>
        </w:rPr>
        <w:t xml:space="preserve">Mongolian </w:t>
      </w:r>
      <w:r w:rsidRPr="00205A06">
        <w:rPr>
          <w:rFonts w:cs="Arial"/>
          <w:lang w:val="en-GB"/>
        </w:rPr>
        <w:t>festival, weddings and first hair</w:t>
      </w:r>
      <w:r w:rsidR="00BB1091">
        <w:rPr>
          <w:rFonts w:cs="Arial"/>
          <w:lang w:val="en-GB"/>
        </w:rPr>
        <w:t>-</w:t>
      </w:r>
      <w:r w:rsidRPr="00205A06">
        <w:rPr>
          <w:rFonts w:cs="Arial"/>
          <w:lang w:val="en-GB"/>
        </w:rPr>
        <w:t>cutting ceremonies.</w:t>
      </w:r>
    </w:p>
    <w:p w14:paraId="6ECD5470" w14:textId="36976438" w:rsidR="007245A3" w:rsidRPr="00205A06" w:rsidRDefault="007245A3" w:rsidP="007245A3">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68" w:history="1">
        <w:r w:rsidRPr="005E0D90">
          <w:rPr>
            <w:rStyle w:val="Lienhypertexte"/>
            <w:rFonts w:cs="Arial"/>
            <w:bCs/>
            <w:szCs w:val="22"/>
            <w:lang w:val="en-GB"/>
          </w:rPr>
          <w:t xml:space="preserve">Decision </w:t>
        </w:r>
        <w:r w:rsidRPr="005E0D90">
          <w:rPr>
            <w:rStyle w:val="Lienhypertexte"/>
            <w:rFonts w:cs="Arial"/>
            <w:szCs w:val="22"/>
            <w:lang w:val="en-GB"/>
          </w:rPr>
          <w:t>6.COM 8.15</w:t>
        </w:r>
      </w:hyperlink>
      <w:r>
        <w:rPr>
          <w:rFonts w:cs="Arial"/>
          <w:bCs/>
          <w:szCs w:val="22"/>
          <w:lang w:val="en-GB"/>
        </w:rPr>
        <w:t>)</w:t>
      </w:r>
      <w:r w:rsidRPr="00205A06">
        <w:rPr>
          <w:rFonts w:cs="Arial"/>
          <w:bCs/>
          <w:szCs w:val="22"/>
          <w:lang w:val="en-GB"/>
        </w:rPr>
        <w:t xml:space="preserve"> and the first report was examined by the Committee in 2016</w:t>
      </w:r>
      <w:r>
        <w:rPr>
          <w:rFonts w:cs="Arial"/>
          <w:bCs/>
          <w:szCs w:val="22"/>
          <w:lang w:val="en-GB"/>
        </w:rPr>
        <w:t xml:space="preserve"> (</w:t>
      </w:r>
      <w:hyperlink r:id="rId69" w:history="1">
        <w:r w:rsidRPr="00EE01F9">
          <w:rPr>
            <w:rStyle w:val="Lienhypertexte"/>
            <w:rFonts w:cs="Arial"/>
            <w:bCs/>
            <w:szCs w:val="22"/>
            <w:lang w:val="en-GB"/>
          </w:rPr>
          <w:t xml:space="preserve">Decision </w:t>
        </w:r>
        <w:r w:rsidRPr="00EE01F9">
          <w:rPr>
            <w:rStyle w:val="Lienhypertexte"/>
            <w:rFonts w:cs="Arial"/>
            <w:szCs w:val="22"/>
            <w:lang w:val="en-GB"/>
          </w:rPr>
          <w:t>11.COM 9.b.5</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 xml:space="preserve">. </w:t>
      </w:r>
      <w:r w:rsidRPr="00205A06">
        <w:rPr>
          <w:rFonts w:cs="Arial"/>
          <w:szCs w:val="22"/>
          <w:lang w:val="en-GB"/>
        </w:rPr>
        <w:t>International Assistance has also been granted from the Intangible Cultural Heritage Fund for research, documentation</w:t>
      </w:r>
      <w:r>
        <w:rPr>
          <w:rFonts w:cs="Arial"/>
          <w:szCs w:val="22"/>
          <w:lang w:val="en-GB"/>
        </w:rPr>
        <w:t xml:space="preserve"> and training</w:t>
      </w:r>
      <w:r w:rsidRPr="00205A06">
        <w:rPr>
          <w:rFonts w:cs="Arial"/>
          <w:szCs w:val="22"/>
          <w:lang w:val="en-GB"/>
        </w:rPr>
        <w:t xml:space="preserve"> </w:t>
      </w:r>
      <w:r>
        <w:rPr>
          <w:rFonts w:cs="Arial"/>
          <w:szCs w:val="22"/>
          <w:lang w:val="en-GB"/>
        </w:rPr>
        <w:t xml:space="preserve">activities </w:t>
      </w:r>
      <w:r w:rsidRPr="00205A06">
        <w:rPr>
          <w:rFonts w:cs="Arial"/>
          <w:szCs w:val="22"/>
          <w:lang w:val="en-GB"/>
        </w:rPr>
        <w:t xml:space="preserve">and </w:t>
      </w:r>
      <w:r>
        <w:rPr>
          <w:rFonts w:cs="Arial"/>
          <w:szCs w:val="22"/>
          <w:lang w:val="en-GB"/>
        </w:rPr>
        <w:t xml:space="preserve">the </w:t>
      </w:r>
      <w:r w:rsidRPr="00205A06">
        <w:rPr>
          <w:rFonts w:eastAsia="SimSun"/>
          <w:lang w:val="en-GB"/>
        </w:rPr>
        <w:t xml:space="preserve">registration of Limbe performers. </w:t>
      </w:r>
      <w:r w:rsidRPr="00205A06">
        <w:rPr>
          <w:rFonts w:cs="Arial"/>
          <w:szCs w:val="22"/>
          <w:lang w:val="en-GB"/>
        </w:rPr>
        <w:t>The request was granted by the Bureau of the thirteenth session of the Committee in 2019 (Decision </w:t>
      </w:r>
      <w:hyperlink r:id="rId70" w:history="1">
        <w:r w:rsidRPr="00B92AA2">
          <w:rPr>
            <w:rStyle w:val="Lienhypertexte"/>
            <w:rFonts w:cs="Arial"/>
            <w:szCs w:val="22"/>
            <w:lang w:val="en-GB"/>
          </w:rPr>
          <w:t>13.COM 3.BUR 4.5</w:t>
        </w:r>
      </w:hyperlink>
      <w:r w:rsidRPr="00205A06">
        <w:rPr>
          <w:rFonts w:cs="Arial"/>
          <w:szCs w:val="22"/>
          <w:lang w:val="en-GB"/>
        </w:rPr>
        <w:t>), and the project is currently being implemented until January 2022</w:t>
      </w:r>
      <w:r w:rsidRPr="00205A06">
        <w:rPr>
          <w:rFonts w:cs="Arial"/>
          <w:bCs/>
          <w:szCs w:val="22"/>
          <w:lang w:val="en-GB"/>
        </w:rPr>
        <w:t>.</w:t>
      </w:r>
    </w:p>
    <w:p w14:paraId="562D3A28" w14:textId="68EC9AF2" w:rsidR="007245A3" w:rsidRPr="00205A06" w:rsidRDefault="007245A3" w:rsidP="007245A3">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Research and documentation activities have continued in this reporting period, leading to an enriched and annually updated information database regarding the element. Formal and non-formal training on the element has been developed </w:t>
      </w:r>
      <w:r>
        <w:rPr>
          <w:bCs/>
          <w:lang w:val="en-GB"/>
        </w:rPr>
        <w:t xml:space="preserve">and implemented </w:t>
      </w:r>
      <w:r w:rsidRPr="00205A06">
        <w:rPr>
          <w:bCs/>
          <w:lang w:val="en-GB"/>
        </w:rPr>
        <w:t>for apprentices of various age</w:t>
      </w:r>
      <w:r w:rsidR="00BB1091">
        <w:rPr>
          <w:bCs/>
          <w:lang w:val="en-GB"/>
        </w:rPr>
        <w:t>s</w:t>
      </w:r>
      <w:r w:rsidRPr="00205A06">
        <w:rPr>
          <w:bCs/>
          <w:lang w:val="en-GB"/>
        </w:rPr>
        <w:t xml:space="preserve">, and regular concerts </w:t>
      </w:r>
      <w:r w:rsidR="00BB1091">
        <w:rPr>
          <w:bCs/>
          <w:lang w:val="en-GB"/>
        </w:rPr>
        <w:t xml:space="preserve">have been </w:t>
      </w:r>
      <w:r w:rsidRPr="00205A06">
        <w:rPr>
          <w:bCs/>
          <w:lang w:val="en-GB"/>
        </w:rPr>
        <w:t>organized for school</w:t>
      </w:r>
      <w:r>
        <w:rPr>
          <w:bCs/>
          <w:lang w:val="en-GB"/>
        </w:rPr>
        <w:t>children</w:t>
      </w:r>
      <w:r w:rsidRPr="00205A06">
        <w:rPr>
          <w:bCs/>
          <w:lang w:val="en-GB"/>
        </w:rPr>
        <w:t xml:space="preserve">, students and parents. In addition, training </w:t>
      </w:r>
      <w:r w:rsidR="00BB1091">
        <w:rPr>
          <w:bCs/>
          <w:lang w:val="en-GB"/>
        </w:rPr>
        <w:t xml:space="preserve">on making Limbe instruments </w:t>
      </w:r>
      <w:r w:rsidRPr="00205A06">
        <w:rPr>
          <w:bCs/>
          <w:lang w:val="en-GB"/>
        </w:rPr>
        <w:t xml:space="preserve">has been organized, and </w:t>
      </w:r>
      <w:r w:rsidR="00BB1091">
        <w:rPr>
          <w:bCs/>
          <w:lang w:val="en-GB"/>
        </w:rPr>
        <w:t>forty</w:t>
      </w:r>
      <w:r w:rsidR="00BB1091" w:rsidRPr="00205A06">
        <w:rPr>
          <w:bCs/>
          <w:lang w:val="en-GB"/>
        </w:rPr>
        <w:t xml:space="preserve"> </w:t>
      </w:r>
      <w:r w:rsidRPr="00205A06">
        <w:rPr>
          <w:bCs/>
          <w:lang w:val="en-GB"/>
        </w:rPr>
        <w:t xml:space="preserve">Limbe instruments </w:t>
      </w:r>
      <w:r w:rsidR="00BB1091">
        <w:rPr>
          <w:bCs/>
          <w:lang w:val="en-GB"/>
        </w:rPr>
        <w:t xml:space="preserve">have been </w:t>
      </w:r>
      <w:r w:rsidRPr="00205A06">
        <w:rPr>
          <w:bCs/>
          <w:lang w:val="en-GB"/>
        </w:rPr>
        <w:t xml:space="preserve">made for apprenticeship purposes. Exhibitions and conferences, publications and open classes, </w:t>
      </w:r>
      <w:r>
        <w:rPr>
          <w:bCs/>
          <w:lang w:val="en-GB"/>
        </w:rPr>
        <w:t xml:space="preserve">cultural centres, </w:t>
      </w:r>
      <w:r w:rsidRPr="00205A06">
        <w:rPr>
          <w:bCs/>
          <w:lang w:val="en-GB"/>
        </w:rPr>
        <w:t>as well as television and radio program</w:t>
      </w:r>
      <w:r w:rsidR="00BB1091">
        <w:rPr>
          <w:bCs/>
          <w:lang w:val="en-GB"/>
        </w:rPr>
        <w:t>me</w:t>
      </w:r>
      <w:r w:rsidRPr="00205A06">
        <w:rPr>
          <w:bCs/>
          <w:lang w:val="en-GB"/>
        </w:rPr>
        <w:t xml:space="preserve">s have been dedicated to </w:t>
      </w:r>
      <w:r>
        <w:rPr>
          <w:bCs/>
          <w:lang w:val="en-GB"/>
        </w:rPr>
        <w:t xml:space="preserve">promoting </w:t>
      </w:r>
      <w:r w:rsidRPr="00205A06">
        <w:rPr>
          <w:bCs/>
          <w:lang w:val="en-GB"/>
        </w:rPr>
        <w:t xml:space="preserve">the element. </w:t>
      </w:r>
      <w:r>
        <w:rPr>
          <w:bCs/>
          <w:lang w:val="en-GB"/>
        </w:rPr>
        <w:t>P</w:t>
      </w:r>
      <w:r w:rsidRPr="00470F6C">
        <w:rPr>
          <w:bCs/>
          <w:lang w:val="en-GB"/>
        </w:rPr>
        <w:t>erformance</w:t>
      </w:r>
      <w:r>
        <w:rPr>
          <w:bCs/>
          <w:lang w:val="en-GB"/>
        </w:rPr>
        <w:t>s</w:t>
      </w:r>
      <w:r w:rsidRPr="00470F6C">
        <w:rPr>
          <w:bCs/>
          <w:lang w:val="en-GB"/>
        </w:rPr>
        <w:t xml:space="preserve"> of the element at </w:t>
      </w:r>
      <w:r w:rsidR="00335113">
        <w:rPr>
          <w:bCs/>
          <w:lang w:val="en-GB"/>
        </w:rPr>
        <w:t>tr</w:t>
      </w:r>
      <w:r>
        <w:rPr>
          <w:bCs/>
          <w:lang w:val="en-GB"/>
        </w:rPr>
        <w:t>aditional</w:t>
      </w:r>
      <w:r w:rsidRPr="00470F6C">
        <w:rPr>
          <w:bCs/>
          <w:lang w:val="en-GB"/>
        </w:rPr>
        <w:t xml:space="preserve"> ceremonies</w:t>
      </w:r>
      <w:r>
        <w:rPr>
          <w:bCs/>
          <w:lang w:val="en-GB"/>
        </w:rPr>
        <w:t xml:space="preserve"> are</w:t>
      </w:r>
      <w:r w:rsidRPr="00205A06">
        <w:rPr>
          <w:bCs/>
          <w:lang w:val="en-GB"/>
        </w:rPr>
        <w:t xml:space="preserve"> being revitalized, and the Limbe performances are now </w:t>
      </w:r>
      <w:r w:rsidRPr="00470F6C">
        <w:rPr>
          <w:bCs/>
          <w:lang w:val="en-GB"/>
        </w:rPr>
        <w:t>also</w:t>
      </w:r>
      <w:r>
        <w:rPr>
          <w:bCs/>
          <w:lang w:val="en-GB"/>
        </w:rPr>
        <w:t xml:space="preserve"> </w:t>
      </w:r>
      <w:r w:rsidRPr="00205A06">
        <w:rPr>
          <w:bCs/>
          <w:lang w:val="en-GB"/>
        </w:rPr>
        <w:t xml:space="preserve">part of cultural festivals, folk art festivals and competitions in Mongolia and abroad. </w:t>
      </w:r>
      <w:r w:rsidR="00BB1091">
        <w:rPr>
          <w:lang w:val="en-GB"/>
        </w:rPr>
        <w:t>Following</w:t>
      </w:r>
      <w:r w:rsidR="00BB1091" w:rsidRPr="00205A06">
        <w:rPr>
          <w:lang w:val="en-GB"/>
        </w:rPr>
        <w:t xml:space="preserve"> </w:t>
      </w:r>
      <w:r w:rsidRPr="00205A06">
        <w:rPr>
          <w:lang w:val="en-GB"/>
        </w:rPr>
        <w:t xml:space="preserve">the inscription, awareness about the element has been raised and its value and significance </w:t>
      </w:r>
      <w:r w:rsidR="00BB1091" w:rsidRPr="00205A06">
        <w:rPr>
          <w:lang w:val="en-GB"/>
        </w:rPr>
        <w:t>ha</w:t>
      </w:r>
      <w:r w:rsidR="00BB1091">
        <w:rPr>
          <w:lang w:val="en-GB"/>
        </w:rPr>
        <w:t xml:space="preserve">ve </w:t>
      </w:r>
      <w:r w:rsidRPr="00205A06">
        <w:rPr>
          <w:lang w:val="en-GB"/>
        </w:rPr>
        <w:t>increased in society.</w:t>
      </w:r>
    </w:p>
    <w:p w14:paraId="201CF8E9" w14:textId="5801379D" w:rsidR="007245A3" w:rsidRPr="00697970" w:rsidRDefault="00AE0554" w:rsidP="007245A3">
      <w:pPr>
        <w:pStyle w:val="Marge"/>
        <w:numPr>
          <w:ilvl w:val="0"/>
          <w:numId w:val="9"/>
        </w:numPr>
        <w:tabs>
          <w:tab w:val="clear" w:pos="567"/>
        </w:tabs>
        <w:autoSpaceDE w:val="0"/>
        <w:autoSpaceDN w:val="0"/>
        <w:adjustRightInd w:val="0"/>
        <w:spacing w:after="120"/>
        <w:ind w:left="567" w:hanging="567"/>
        <w:rPr>
          <w:bCs/>
          <w:lang w:val="en-GB"/>
        </w:rPr>
      </w:pPr>
      <w:r>
        <w:rPr>
          <w:lang w:val="en-GB"/>
        </w:rPr>
        <w:t>In its</w:t>
      </w:r>
      <w:r w:rsidR="007245A3" w:rsidRPr="00205A06">
        <w:rPr>
          <w:lang w:val="en-GB"/>
        </w:rPr>
        <w:t xml:space="preserve"> previous decision </w:t>
      </w:r>
      <w:hyperlink r:id="rId71" w:history="1">
        <w:r w:rsidR="007245A3" w:rsidRPr="00EE01F9">
          <w:rPr>
            <w:rStyle w:val="Lienhypertexte"/>
            <w:rFonts w:cs="Arial"/>
            <w:szCs w:val="22"/>
            <w:lang w:val="en-GB"/>
          </w:rPr>
          <w:t>11.COM 9.b.5</w:t>
        </w:r>
      </w:hyperlink>
      <w:r w:rsidR="007245A3" w:rsidRPr="00205A06">
        <w:rPr>
          <w:rFonts w:cs="Arial"/>
          <w:color w:val="0000FF"/>
          <w:szCs w:val="22"/>
          <w:lang w:val="en-GB"/>
        </w:rPr>
        <w:t xml:space="preserve"> </w:t>
      </w:r>
      <w:r w:rsidR="007245A3">
        <w:rPr>
          <w:lang w:val="en-GB"/>
        </w:rPr>
        <w:t>concerning the first report examined in 2016</w:t>
      </w:r>
      <w:r w:rsidR="007245A3" w:rsidRPr="00205A06">
        <w:rPr>
          <w:lang w:val="en-GB"/>
        </w:rPr>
        <w:t xml:space="preserve">, </w:t>
      </w:r>
      <w:r w:rsidRPr="00205A06">
        <w:rPr>
          <w:lang w:val="en-GB"/>
        </w:rPr>
        <w:t>the Committee</w:t>
      </w:r>
      <w:r w:rsidRPr="00EF29A3">
        <w:rPr>
          <w:lang w:val="en-GB"/>
        </w:rPr>
        <w:t xml:space="preserve"> </w:t>
      </w:r>
      <w:r w:rsidR="007245A3" w:rsidRPr="00205A06">
        <w:rPr>
          <w:lang w:val="en-GB"/>
        </w:rPr>
        <w:t xml:space="preserve">invited the State Party to continue </w:t>
      </w:r>
      <w:r w:rsidR="00BB1091">
        <w:rPr>
          <w:lang w:val="en-GB"/>
        </w:rPr>
        <w:t xml:space="preserve">engaging in </w:t>
      </w:r>
      <w:r w:rsidR="007245A3" w:rsidRPr="00205A06">
        <w:rPr>
          <w:lang w:val="en-GB"/>
        </w:rPr>
        <w:t xml:space="preserve">close collaboration with Limbe bearers, the Mongolian Association of Limbe Performers and other non-governmental organizations in the efforts </w:t>
      </w:r>
      <w:r w:rsidR="00BB1091">
        <w:rPr>
          <w:lang w:val="en-GB"/>
        </w:rPr>
        <w:t>to</w:t>
      </w:r>
      <w:r w:rsidR="00BB1091" w:rsidRPr="00205A06">
        <w:rPr>
          <w:lang w:val="en-GB"/>
        </w:rPr>
        <w:t xml:space="preserve"> </w:t>
      </w:r>
      <w:r w:rsidR="007245A3" w:rsidRPr="00205A06">
        <w:rPr>
          <w:lang w:val="en-GB"/>
        </w:rPr>
        <w:t xml:space="preserve">teach, study, research, </w:t>
      </w:r>
      <w:r w:rsidR="00BB1091" w:rsidRPr="00205A06">
        <w:rPr>
          <w:lang w:val="en-GB"/>
        </w:rPr>
        <w:t>disseminat</w:t>
      </w:r>
      <w:r w:rsidR="00BB1091">
        <w:rPr>
          <w:lang w:val="en-GB"/>
        </w:rPr>
        <w:t>e</w:t>
      </w:r>
      <w:r w:rsidR="00BB1091" w:rsidRPr="00205A06">
        <w:rPr>
          <w:lang w:val="en-GB"/>
        </w:rPr>
        <w:t xml:space="preserve"> </w:t>
      </w:r>
      <w:r w:rsidR="007245A3" w:rsidRPr="00205A06">
        <w:rPr>
          <w:lang w:val="en-GB"/>
        </w:rPr>
        <w:t>and sustain the element</w:t>
      </w:r>
      <w:r w:rsidR="00D656B6">
        <w:rPr>
          <w:lang w:val="en-GB"/>
        </w:rPr>
        <w:t>. In this regard</w:t>
      </w:r>
      <w:r w:rsidR="007245A3" w:rsidRPr="00205A06">
        <w:rPr>
          <w:lang w:val="en-GB"/>
        </w:rPr>
        <w:t xml:space="preserve">, various collaborative activities have been carried out, </w:t>
      </w:r>
      <w:r w:rsidR="00BB1091" w:rsidRPr="00205A06">
        <w:rPr>
          <w:lang w:val="en-GB"/>
        </w:rPr>
        <w:t xml:space="preserve">also </w:t>
      </w:r>
      <w:r w:rsidR="007245A3" w:rsidRPr="00205A06">
        <w:rPr>
          <w:lang w:val="en-GB"/>
        </w:rPr>
        <w:t xml:space="preserve">involving local governments and educational and cultural institutions. </w:t>
      </w:r>
      <w:r w:rsidR="007245A3" w:rsidRPr="00205A06">
        <w:rPr>
          <w:bCs/>
          <w:lang w:val="en-GB"/>
        </w:rPr>
        <w:t xml:space="preserve">According to the report, the governmental </w:t>
      </w:r>
      <w:r w:rsidR="007245A3">
        <w:rPr>
          <w:bCs/>
          <w:lang w:val="en-GB"/>
        </w:rPr>
        <w:t>re</w:t>
      </w:r>
      <w:r w:rsidR="007245A3" w:rsidRPr="00205A06">
        <w:rPr>
          <w:bCs/>
          <w:lang w:val="en-GB"/>
        </w:rPr>
        <w:t xml:space="preserve">sources spent did not meet the demands of </w:t>
      </w:r>
      <w:r w:rsidR="00BB1091">
        <w:rPr>
          <w:bCs/>
          <w:lang w:val="en-GB"/>
        </w:rPr>
        <w:t xml:space="preserve">the </w:t>
      </w:r>
      <w:r w:rsidR="007245A3" w:rsidRPr="00205A06">
        <w:rPr>
          <w:bCs/>
          <w:lang w:val="en-GB"/>
        </w:rPr>
        <w:t>safeguarding activities</w:t>
      </w:r>
      <w:r w:rsidR="007245A3">
        <w:rPr>
          <w:bCs/>
          <w:lang w:val="en-GB"/>
        </w:rPr>
        <w:t xml:space="preserve">. </w:t>
      </w:r>
      <w:r w:rsidR="007245A3" w:rsidRPr="00205A06">
        <w:rPr>
          <w:bCs/>
          <w:lang w:val="en-GB"/>
        </w:rPr>
        <w:t xml:space="preserve">Although the budget for safeguarding activities (including </w:t>
      </w:r>
      <w:r w:rsidR="00BB1091">
        <w:rPr>
          <w:bCs/>
          <w:lang w:val="en-GB"/>
        </w:rPr>
        <w:t xml:space="preserve">the </w:t>
      </w:r>
      <w:r w:rsidR="007245A3" w:rsidRPr="00205A06">
        <w:rPr>
          <w:bCs/>
          <w:lang w:val="en-GB"/>
        </w:rPr>
        <w:t>state budget, international assistance and other donations) has doubled compar</w:t>
      </w:r>
      <w:r w:rsidR="007245A3">
        <w:rPr>
          <w:bCs/>
          <w:lang w:val="en-GB"/>
        </w:rPr>
        <w:t>ed</w:t>
      </w:r>
      <w:r w:rsidR="007245A3" w:rsidRPr="00205A06">
        <w:rPr>
          <w:bCs/>
          <w:lang w:val="en-GB"/>
        </w:rPr>
        <w:t xml:space="preserve"> to the previous </w:t>
      </w:r>
      <w:r w:rsidR="007245A3">
        <w:rPr>
          <w:bCs/>
          <w:lang w:val="en-GB"/>
        </w:rPr>
        <w:t xml:space="preserve">reporting </w:t>
      </w:r>
      <w:r w:rsidR="007245A3" w:rsidRPr="00205A06">
        <w:rPr>
          <w:bCs/>
          <w:lang w:val="en-GB"/>
        </w:rPr>
        <w:t>period</w:t>
      </w:r>
      <w:r w:rsidR="007245A3" w:rsidRPr="00697970">
        <w:rPr>
          <w:bCs/>
          <w:lang w:val="en-GB"/>
        </w:rPr>
        <w:t xml:space="preserve">, there is a lack of resources for supporting the practitioners and ensuring their livelihood. </w:t>
      </w:r>
      <w:r w:rsidR="007245A3">
        <w:rPr>
          <w:bCs/>
          <w:lang w:val="en-GB"/>
        </w:rPr>
        <w:t>D</w:t>
      </w:r>
      <w:r w:rsidR="007245A3" w:rsidRPr="00697970">
        <w:rPr>
          <w:bCs/>
          <w:lang w:val="en-GB"/>
        </w:rPr>
        <w:t xml:space="preserve">espite the limited resources, </w:t>
      </w:r>
      <w:r w:rsidR="007245A3">
        <w:rPr>
          <w:bCs/>
          <w:lang w:val="en-GB"/>
        </w:rPr>
        <w:t xml:space="preserve">however, </w:t>
      </w:r>
      <w:r w:rsidR="007245A3" w:rsidRPr="00697970">
        <w:rPr>
          <w:bCs/>
          <w:lang w:val="en-GB"/>
        </w:rPr>
        <w:t>the safeguarding activities</w:t>
      </w:r>
      <w:r w:rsidR="007245A3">
        <w:rPr>
          <w:bCs/>
          <w:lang w:val="en-GB"/>
        </w:rPr>
        <w:t xml:space="preserve"> implemented have been highly effective</w:t>
      </w:r>
      <w:r w:rsidR="007245A3" w:rsidRPr="00697970">
        <w:rPr>
          <w:bCs/>
          <w:lang w:val="en-GB"/>
        </w:rPr>
        <w:t xml:space="preserve">. </w:t>
      </w:r>
      <w:r w:rsidR="007245A3">
        <w:rPr>
          <w:bCs/>
          <w:lang w:val="en-GB"/>
        </w:rPr>
        <w:t>T</w:t>
      </w:r>
      <w:r w:rsidR="007245A3" w:rsidRPr="00697970">
        <w:rPr>
          <w:bCs/>
          <w:lang w:val="en-GB"/>
        </w:rPr>
        <w:t xml:space="preserve">he Government of Mongolia </w:t>
      </w:r>
      <w:r w:rsidR="007245A3">
        <w:rPr>
          <w:bCs/>
          <w:lang w:val="en-GB"/>
        </w:rPr>
        <w:t xml:space="preserve">has also worked towards developing a comprehensive policy for the safeguarding of intangible cultural heritage. </w:t>
      </w:r>
      <w:r w:rsidR="007245A3" w:rsidRPr="00697970">
        <w:rPr>
          <w:bCs/>
          <w:lang w:val="en-GB"/>
        </w:rPr>
        <w:t>In 2018</w:t>
      </w:r>
      <w:r w:rsidR="00BB1091">
        <w:rPr>
          <w:bCs/>
          <w:lang w:val="en-GB"/>
        </w:rPr>
        <w:t xml:space="preserve">, </w:t>
      </w:r>
      <w:r w:rsidR="007245A3">
        <w:rPr>
          <w:bCs/>
          <w:lang w:val="en-GB"/>
        </w:rPr>
        <w:t>it</w:t>
      </w:r>
      <w:r w:rsidR="007245A3" w:rsidRPr="00697970">
        <w:rPr>
          <w:bCs/>
          <w:lang w:val="en-GB"/>
        </w:rPr>
        <w:t xml:space="preserve"> </w:t>
      </w:r>
      <w:r w:rsidR="00BB1091">
        <w:rPr>
          <w:bCs/>
          <w:lang w:val="en-GB"/>
        </w:rPr>
        <w:t>began the</w:t>
      </w:r>
      <w:r w:rsidR="00BB1091" w:rsidRPr="00697970">
        <w:rPr>
          <w:bCs/>
          <w:lang w:val="en-GB"/>
        </w:rPr>
        <w:t xml:space="preserve"> </w:t>
      </w:r>
      <w:r w:rsidR="007245A3" w:rsidRPr="00697970">
        <w:rPr>
          <w:bCs/>
          <w:lang w:val="en-GB"/>
        </w:rPr>
        <w:t xml:space="preserve">monetary rewarding of distinguished intangible cultural heritage practitioners. The National Program for the Safeguarding of Intangible Cultural Heritage </w:t>
      </w:r>
      <w:r w:rsidR="007245A3">
        <w:rPr>
          <w:bCs/>
          <w:lang w:val="en-GB"/>
        </w:rPr>
        <w:t>was also</w:t>
      </w:r>
      <w:r w:rsidR="007245A3" w:rsidRPr="00697970">
        <w:rPr>
          <w:bCs/>
          <w:lang w:val="en-GB"/>
        </w:rPr>
        <w:t xml:space="preserve"> approved in 2019, and several activities in its action plan for the period </w:t>
      </w:r>
      <w:r w:rsidR="00BB1091">
        <w:rPr>
          <w:bCs/>
          <w:lang w:val="en-GB"/>
        </w:rPr>
        <w:t>up to</w:t>
      </w:r>
      <w:r w:rsidR="00BB1091" w:rsidRPr="00697970">
        <w:rPr>
          <w:bCs/>
          <w:lang w:val="en-GB"/>
        </w:rPr>
        <w:t xml:space="preserve"> </w:t>
      </w:r>
      <w:r w:rsidR="007245A3" w:rsidRPr="00697970">
        <w:rPr>
          <w:bCs/>
          <w:lang w:val="en-GB"/>
        </w:rPr>
        <w:t xml:space="preserve">2023 are related to the element. The updated safeguarding plan encompasses novel research and awareness-raising initiatives and, depending on </w:t>
      </w:r>
      <w:r w:rsidR="007245A3">
        <w:rPr>
          <w:bCs/>
          <w:lang w:val="en-GB"/>
        </w:rPr>
        <w:t xml:space="preserve">future </w:t>
      </w:r>
      <w:r w:rsidR="007245A3" w:rsidRPr="00697970">
        <w:rPr>
          <w:bCs/>
          <w:lang w:val="en-GB"/>
        </w:rPr>
        <w:t xml:space="preserve">safeguarding achievements, </w:t>
      </w:r>
      <w:r w:rsidR="007245A3">
        <w:rPr>
          <w:bCs/>
          <w:lang w:val="en-GB"/>
        </w:rPr>
        <w:t xml:space="preserve">envisages </w:t>
      </w:r>
      <w:r w:rsidR="007245A3" w:rsidRPr="00697970">
        <w:rPr>
          <w:bCs/>
          <w:lang w:val="en-GB"/>
        </w:rPr>
        <w:t xml:space="preserve">the possibility of a transfer of the element from the </w:t>
      </w:r>
      <w:r w:rsidR="00CD56E9" w:rsidRPr="00697970">
        <w:rPr>
          <w:rFonts w:cs="Arial"/>
          <w:bCs/>
          <w:szCs w:val="22"/>
          <w:lang w:val="en-GB"/>
        </w:rPr>
        <w:t>Urgent Safeguarding</w:t>
      </w:r>
      <w:r w:rsidR="00CD56E9" w:rsidRPr="00697970">
        <w:rPr>
          <w:bCs/>
          <w:lang w:val="en-GB"/>
        </w:rPr>
        <w:t xml:space="preserve"> </w:t>
      </w:r>
      <w:r w:rsidR="007245A3" w:rsidRPr="00697970">
        <w:rPr>
          <w:rFonts w:cs="Arial"/>
          <w:bCs/>
          <w:szCs w:val="22"/>
          <w:lang w:val="en-GB"/>
        </w:rPr>
        <w:t xml:space="preserve">List </w:t>
      </w:r>
      <w:r w:rsidR="007245A3" w:rsidRPr="00697970">
        <w:rPr>
          <w:bCs/>
          <w:lang w:val="en-GB"/>
        </w:rPr>
        <w:t>to the Representative List.</w:t>
      </w:r>
    </w:p>
    <w:p w14:paraId="1285B719" w14:textId="41BF6BFC" w:rsidR="007245A3" w:rsidRPr="00205A06" w:rsidRDefault="007245A3" w:rsidP="007245A3">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w:t>
      </w:r>
      <w:r>
        <w:rPr>
          <w:bCs/>
          <w:lang w:val="en-GB"/>
        </w:rPr>
        <w:t>P</w:t>
      </w:r>
      <w:r w:rsidRPr="00205A06">
        <w:rPr>
          <w:bCs/>
          <w:lang w:val="en-GB"/>
        </w:rPr>
        <w:t xml:space="preserve">ractitioners and apprentice bearers of the element (players and makers of Limbe musical instrument), their family members and local people, the </w:t>
      </w:r>
      <w:r w:rsidRPr="00205A06">
        <w:rPr>
          <w:lang w:val="en-GB"/>
        </w:rPr>
        <w:t xml:space="preserve">Mongolian Association of Limbe Performers and other non-governmental organizations, educational and cultural organizations, including the Mongolian Theatre Museum, researchers, provincial and central governmental institutions, as well as </w:t>
      </w:r>
      <w:r>
        <w:rPr>
          <w:lang w:val="en-GB"/>
        </w:rPr>
        <w:t xml:space="preserve">a </w:t>
      </w:r>
      <w:r w:rsidRPr="00205A06">
        <w:rPr>
          <w:lang w:val="en-GB"/>
        </w:rPr>
        <w:t xml:space="preserve">larger audience of Limbe performances, all </w:t>
      </w:r>
      <w:r w:rsidR="00BB1091">
        <w:rPr>
          <w:lang w:val="en-GB"/>
        </w:rPr>
        <w:t xml:space="preserve">play </w:t>
      </w:r>
      <w:r w:rsidR="00BB1091" w:rsidRPr="00205A06">
        <w:rPr>
          <w:lang w:val="en-GB"/>
        </w:rPr>
        <w:t xml:space="preserve"> </w:t>
      </w:r>
      <w:r w:rsidR="00BB1091">
        <w:rPr>
          <w:lang w:val="en-GB"/>
        </w:rPr>
        <w:t xml:space="preserve">an </w:t>
      </w:r>
      <w:r w:rsidRPr="00205A06">
        <w:rPr>
          <w:lang w:val="en-GB"/>
        </w:rPr>
        <w:t xml:space="preserve">active role </w:t>
      </w:r>
      <w:r w:rsidRPr="00205A06">
        <w:rPr>
          <w:bCs/>
          <w:lang w:val="en-GB"/>
        </w:rPr>
        <w:t>in the safeguarding of the element</w:t>
      </w:r>
      <w:r w:rsidRPr="000F1C76">
        <w:rPr>
          <w:bCs/>
          <w:lang w:val="en-GB"/>
        </w:rPr>
        <w:t xml:space="preserve"> </w:t>
      </w:r>
      <w:r>
        <w:rPr>
          <w:bCs/>
          <w:lang w:val="en-GB"/>
        </w:rPr>
        <w:t xml:space="preserve">and </w:t>
      </w:r>
      <w:r w:rsidRPr="00205A06">
        <w:rPr>
          <w:bCs/>
          <w:lang w:val="en-GB"/>
        </w:rPr>
        <w:t xml:space="preserve">have been involved in preparing the report. </w:t>
      </w:r>
      <w:r>
        <w:rPr>
          <w:bCs/>
          <w:lang w:val="en-GB"/>
        </w:rPr>
        <w:t>The collective</w:t>
      </w:r>
      <w:r w:rsidRPr="00205A06">
        <w:rPr>
          <w:bCs/>
          <w:lang w:val="en-GB"/>
        </w:rPr>
        <w:t xml:space="preserve"> involvement of stakeholders </w:t>
      </w:r>
      <w:r>
        <w:rPr>
          <w:bCs/>
          <w:lang w:val="en-GB"/>
        </w:rPr>
        <w:t>played</w:t>
      </w:r>
      <w:r w:rsidRPr="00205A06">
        <w:rPr>
          <w:bCs/>
          <w:lang w:val="en-GB"/>
        </w:rPr>
        <w:t xml:space="preserve"> an important role </w:t>
      </w:r>
      <w:r>
        <w:rPr>
          <w:bCs/>
          <w:lang w:val="en-GB"/>
        </w:rPr>
        <w:t>in</w:t>
      </w:r>
      <w:r w:rsidRPr="00205A06">
        <w:rPr>
          <w:bCs/>
          <w:lang w:val="en-GB"/>
        </w:rPr>
        <w:t xml:space="preserve"> ensur</w:t>
      </w:r>
      <w:r>
        <w:rPr>
          <w:bCs/>
          <w:lang w:val="en-GB"/>
        </w:rPr>
        <w:t>ing</w:t>
      </w:r>
      <w:r w:rsidRPr="00205A06">
        <w:rPr>
          <w:bCs/>
          <w:lang w:val="en-GB"/>
        </w:rPr>
        <w:t xml:space="preserve"> the viability of the element. The updated safeguarding plan has been</w:t>
      </w:r>
      <w:r w:rsidR="00BB1091">
        <w:rPr>
          <w:bCs/>
          <w:lang w:val="en-GB"/>
        </w:rPr>
        <w:t xml:space="preserve"> prepared</w:t>
      </w:r>
      <w:r w:rsidRPr="00205A06">
        <w:rPr>
          <w:bCs/>
          <w:lang w:val="en-GB"/>
        </w:rPr>
        <w:t xml:space="preserve"> in collaboration </w:t>
      </w:r>
      <w:r>
        <w:rPr>
          <w:bCs/>
          <w:lang w:val="en-GB"/>
        </w:rPr>
        <w:t>with</w:t>
      </w:r>
      <w:r w:rsidRPr="00205A06">
        <w:rPr>
          <w:bCs/>
          <w:lang w:val="en-GB"/>
        </w:rPr>
        <w:t xml:space="preserve"> governmental and non-governmental organizations and with </w:t>
      </w:r>
      <w:r>
        <w:rPr>
          <w:bCs/>
          <w:lang w:val="en-GB"/>
        </w:rPr>
        <w:t xml:space="preserve">the </w:t>
      </w:r>
      <w:r w:rsidRPr="00205A06">
        <w:rPr>
          <w:bCs/>
          <w:lang w:val="en-GB"/>
        </w:rPr>
        <w:t xml:space="preserve">participation of </w:t>
      </w:r>
      <w:r w:rsidRPr="00205A06">
        <w:rPr>
          <w:bCs/>
          <w:lang w:val="en-GB"/>
        </w:rPr>
        <w:lastRenderedPageBreak/>
        <w:t>representatives of practitioners and researchers</w:t>
      </w:r>
      <w:r>
        <w:rPr>
          <w:bCs/>
          <w:lang w:val="en-GB"/>
        </w:rPr>
        <w:t xml:space="preserve">, each carrying out </w:t>
      </w:r>
      <w:r w:rsidR="00BB1091">
        <w:rPr>
          <w:bCs/>
          <w:lang w:val="en-GB"/>
        </w:rPr>
        <w:t xml:space="preserve">their </w:t>
      </w:r>
      <w:r w:rsidRPr="00205A06">
        <w:rPr>
          <w:bCs/>
          <w:lang w:val="en-GB"/>
        </w:rPr>
        <w:t xml:space="preserve">respective responsibilities </w:t>
      </w:r>
      <w:r>
        <w:rPr>
          <w:bCs/>
          <w:lang w:val="en-GB"/>
        </w:rPr>
        <w:t>for the future safeguarding activities</w:t>
      </w:r>
      <w:r w:rsidRPr="00205A06">
        <w:rPr>
          <w:bCs/>
          <w:lang w:val="en-GB"/>
        </w:rPr>
        <w:t xml:space="preserve">. </w:t>
      </w:r>
      <w:r>
        <w:rPr>
          <w:bCs/>
          <w:lang w:val="en-GB"/>
        </w:rPr>
        <w:t>The safeguarding plan also envisages a special</w:t>
      </w:r>
      <w:r w:rsidRPr="00205A06">
        <w:rPr>
          <w:bCs/>
          <w:lang w:val="en-GB"/>
        </w:rPr>
        <w:t xml:space="preserve"> role </w:t>
      </w:r>
      <w:r>
        <w:rPr>
          <w:bCs/>
          <w:lang w:val="en-GB"/>
        </w:rPr>
        <w:t>for</w:t>
      </w:r>
      <w:r w:rsidRPr="00205A06">
        <w:rPr>
          <w:bCs/>
          <w:lang w:val="en-GB"/>
        </w:rPr>
        <w:t xml:space="preserve"> female practitioners (</w:t>
      </w:r>
      <w:r w:rsidR="00BB1091">
        <w:rPr>
          <w:bCs/>
          <w:lang w:val="en-GB"/>
        </w:rPr>
        <w:t>who</w:t>
      </w:r>
      <w:r w:rsidR="00BB1091" w:rsidRPr="00205A06">
        <w:rPr>
          <w:bCs/>
          <w:lang w:val="en-GB"/>
        </w:rPr>
        <w:t xml:space="preserve"> </w:t>
      </w:r>
      <w:r w:rsidRPr="00205A06">
        <w:rPr>
          <w:bCs/>
          <w:lang w:val="en-GB"/>
        </w:rPr>
        <w:t xml:space="preserve">currently </w:t>
      </w:r>
      <w:r w:rsidR="00BB1091">
        <w:rPr>
          <w:bCs/>
          <w:lang w:val="en-GB"/>
        </w:rPr>
        <w:t>make up</w:t>
      </w:r>
      <w:r w:rsidR="00BB1091" w:rsidRPr="00205A06">
        <w:rPr>
          <w:bCs/>
          <w:lang w:val="en-GB"/>
        </w:rPr>
        <w:t xml:space="preserve"> </w:t>
      </w:r>
      <w:r w:rsidRPr="00205A06">
        <w:rPr>
          <w:bCs/>
          <w:lang w:val="en-GB"/>
        </w:rPr>
        <w:t>only 8</w:t>
      </w:r>
      <w:r>
        <w:rPr>
          <w:bCs/>
          <w:lang w:val="en-GB"/>
        </w:rPr>
        <w:t xml:space="preserve"> out </w:t>
      </w:r>
      <w:r w:rsidRPr="00205A06">
        <w:rPr>
          <w:bCs/>
          <w:lang w:val="en-GB"/>
        </w:rPr>
        <w:t xml:space="preserve">of </w:t>
      </w:r>
      <w:r w:rsidR="00BB1091">
        <w:rPr>
          <w:bCs/>
          <w:lang w:val="en-GB"/>
        </w:rPr>
        <w:t>the</w:t>
      </w:r>
      <w:r>
        <w:rPr>
          <w:bCs/>
          <w:lang w:val="en-GB"/>
        </w:rPr>
        <w:t xml:space="preserve"> </w:t>
      </w:r>
      <w:r w:rsidRPr="00205A06">
        <w:rPr>
          <w:bCs/>
          <w:lang w:val="en-GB"/>
        </w:rPr>
        <w:t>total 168</w:t>
      </w:r>
      <w:r w:rsidR="00BB1091">
        <w:rPr>
          <w:bCs/>
          <w:lang w:val="en-GB"/>
        </w:rPr>
        <w:t xml:space="preserve"> practitioners</w:t>
      </w:r>
      <w:r w:rsidRPr="00205A06">
        <w:rPr>
          <w:bCs/>
          <w:lang w:val="en-GB"/>
        </w:rPr>
        <w:t>) in conducting research, promotion, transmission and dissemination activities.</w:t>
      </w:r>
    </w:p>
    <w:p w14:paraId="2ECDF341" w14:textId="452AFE3E" w:rsidR="007245A3" w:rsidRPr="00205A06" w:rsidRDefault="007245A3" w:rsidP="007245A3">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According to the report, the viability of the element has been ensured</w:t>
      </w:r>
      <w:r w:rsidR="00852E49">
        <w:rPr>
          <w:lang w:val="en-GB"/>
        </w:rPr>
        <w:t xml:space="preserve"> and </w:t>
      </w:r>
      <w:r w:rsidR="00BB1091">
        <w:rPr>
          <w:lang w:val="en-GB"/>
        </w:rPr>
        <w:t xml:space="preserve">the </w:t>
      </w:r>
      <w:r w:rsidRPr="00205A06">
        <w:rPr>
          <w:lang w:val="en-GB"/>
        </w:rPr>
        <w:t>awareness of the general public increased</w:t>
      </w:r>
      <w:r w:rsidR="00852E49">
        <w:rPr>
          <w:lang w:val="en-GB"/>
        </w:rPr>
        <w:t>. T</w:t>
      </w:r>
      <w:r w:rsidRPr="00205A06">
        <w:rPr>
          <w:lang w:val="en-GB"/>
        </w:rPr>
        <w:t>he number of practitioners has reached 40 (compar</w:t>
      </w:r>
      <w:r>
        <w:rPr>
          <w:lang w:val="en-GB"/>
        </w:rPr>
        <w:t>ed</w:t>
      </w:r>
      <w:r w:rsidRPr="00205A06">
        <w:rPr>
          <w:lang w:val="en-GB"/>
        </w:rPr>
        <w:t xml:space="preserve"> to 14 at the time of nominating the element) and there are 128 apprentices</w:t>
      </w:r>
      <w:r>
        <w:rPr>
          <w:lang w:val="en-GB"/>
        </w:rPr>
        <w:t xml:space="preserve"> between the age</w:t>
      </w:r>
      <w:r w:rsidR="00BB1091">
        <w:rPr>
          <w:lang w:val="en-GB"/>
        </w:rPr>
        <w:t>s</w:t>
      </w:r>
      <w:r>
        <w:rPr>
          <w:lang w:val="en-GB"/>
        </w:rPr>
        <w:t xml:space="preserve"> of 10 and 30 –</w:t>
      </w:r>
      <w:r w:rsidRPr="00205A06">
        <w:rPr>
          <w:lang w:val="en-GB"/>
        </w:rPr>
        <w:t xml:space="preserve"> 67 </w:t>
      </w:r>
      <w:r w:rsidR="00BB1091">
        <w:rPr>
          <w:lang w:val="en-GB"/>
        </w:rPr>
        <w:t xml:space="preserve">are </w:t>
      </w:r>
      <w:r w:rsidRPr="00205A06">
        <w:rPr>
          <w:lang w:val="en-GB"/>
        </w:rPr>
        <w:t xml:space="preserve">learning the element </w:t>
      </w:r>
      <w:r>
        <w:rPr>
          <w:lang w:val="en-GB"/>
        </w:rPr>
        <w:t>through</w:t>
      </w:r>
      <w:r w:rsidRPr="00205A06">
        <w:rPr>
          <w:lang w:val="en-GB"/>
        </w:rPr>
        <w:t xml:space="preserve"> formal training while 61 </w:t>
      </w:r>
      <w:r w:rsidR="00BB1091">
        <w:rPr>
          <w:lang w:val="en-GB"/>
        </w:rPr>
        <w:t xml:space="preserve">are </w:t>
      </w:r>
      <w:r w:rsidRPr="00205A06">
        <w:rPr>
          <w:lang w:val="en-GB"/>
        </w:rPr>
        <w:t xml:space="preserve">being trained non-formally. These numbers </w:t>
      </w:r>
      <w:r w:rsidR="00BB1091" w:rsidRPr="00205A06">
        <w:rPr>
          <w:lang w:val="en-GB"/>
        </w:rPr>
        <w:t xml:space="preserve">also </w:t>
      </w:r>
      <w:r w:rsidRPr="00205A06">
        <w:rPr>
          <w:lang w:val="en-GB"/>
        </w:rPr>
        <w:t xml:space="preserve">include crafts persons who make </w:t>
      </w:r>
      <w:r>
        <w:rPr>
          <w:lang w:val="en-GB"/>
        </w:rPr>
        <w:t xml:space="preserve">the </w:t>
      </w:r>
      <w:r w:rsidRPr="00205A06">
        <w:rPr>
          <w:lang w:val="en-GB"/>
        </w:rPr>
        <w:t>Limbe musical instrument.</w:t>
      </w:r>
      <w:r w:rsidRPr="00205A06">
        <w:rPr>
          <w:rFonts w:cs="Arial"/>
          <w:lang w:val="en-GB"/>
        </w:rPr>
        <w:t xml:space="preserve"> In addition, within the reporting period, the distribution of practitioners and apprentices within Mongolia has expanded to seven other provinces. </w:t>
      </w:r>
      <w:r w:rsidRPr="0076487F">
        <w:rPr>
          <w:rFonts w:cs="Arial"/>
          <w:lang w:val="en-GB"/>
        </w:rPr>
        <w:t xml:space="preserve">However, for the acquired skills to be viable, there is a </w:t>
      </w:r>
      <w:r>
        <w:rPr>
          <w:rFonts w:cs="Arial"/>
          <w:lang w:val="en-GB"/>
        </w:rPr>
        <w:t xml:space="preserve">strong </w:t>
      </w:r>
      <w:r w:rsidRPr="0076487F">
        <w:rPr>
          <w:rFonts w:cs="Arial"/>
          <w:lang w:val="en-GB"/>
        </w:rPr>
        <w:t xml:space="preserve">need </w:t>
      </w:r>
      <w:r>
        <w:rPr>
          <w:rFonts w:cs="Arial"/>
          <w:lang w:val="en-GB"/>
        </w:rPr>
        <w:t>for</w:t>
      </w:r>
      <w:r w:rsidRPr="0076487F">
        <w:rPr>
          <w:rFonts w:cs="Arial"/>
          <w:lang w:val="en-GB"/>
        </w:rPr>
        <w:t xml:space="preserve"> continuous training and </w:t>
      </w:r>
      <w:r>
        <w:rPr>
          <w:rFonts w:cs="Arial"/>
          <w:lang w:val="en-GB"/>
        </w:rPr>
        <w:t xml:space="preserve">Limbe </w:t>
      </w:r>
      <w:r w:rsidRPr="0076487F">
        <w:rPr>
          <w:rFonts w:cs="Arial"/>
          <w:lang w:val="en-GB"/>
        </w:rPr>
        <w:t>perform</w:t>
      </w:r>
      <w:r>
        <w:rPr>
          <w:rFonts w:cs="Arial"/>
          <w:lang w:val="en-GB"/>
        </w:rPr>
        <w:t>ances</w:t>
      </w:r>
      <w:r w:rsidRPr="00205A06">
        <w:rPr>
          <w:rFonts w:cs="Arial"/>
          <w:lang w:val="en-GB"/>
        </w:rPr>
        <w:t xml:space="preserve">. </w:t>
      </w:r>
      <w:r w:rsidR="000A0155">
        <w:rPr>
          <w:rFonts w:cs="Arial"/>
          <w:lang w:val="en-GB"/>
        </w:rPr>
        <w:t>F</w:t>
      </w:r>
      <w:r>
        <w:rPr>
          <w:rFonts w:cs="Arial"/>
          <w:lang w:val="en-GB"/>
        </w:rPr>
        <w:t xml:space="preserve">urther assistance is </w:t>
      </w:r>
      <w:r w:rsidR="00BB1091">
        <w:rPr>
          <w:rFonts w:cs="Arial"/>
          <w:lang w:val="en-GB"/>
        </w:rPr>
        <w:t xml:space="preserve">also </w:t>
      </w:r>
      <w:r>
        <w:rPr>
          <w:rFonts w:cs="Arial"/>
          <w:lang w:val="en-GB"/>
        </w:rPr>
        <w:t>required</w:t>
      </w:r>
      <w:r w:rsidRPr="00205A06">
        <w:rPr>
          <w:rFonts w:cs="Arial"/>
          <w:lang w:val="en-GB"/>
        </w:rPr>
        <w:t xml:space="preserve"> to secur</w:t>
      </w:r>
      <w:r>
        <w:rPr>
          <w:rFonts w:cs="Arial"/>
          <w:lang w:val="en-GB"/>
        </w:rPr>
        <w:t>e</w:t>
      </w:r>
      <w:r w:rsidRPr="00205A06">
        <w:rPr>
          <w:rFonts w:cs="Arial"/>
          <w:lang w:val="en-GB"/>
        </w:rPr>
        <w:t xml:space="preserve"> the </w:t>
      </w:r>
      <w:r>
        <w:rPr>
          <w:rFonts w:cs="Arial"/>
          <w:lang w:val="en-GB"/>
        </w:rPr>
        <w:t xml:space="preserve">necessary </w:t>
      </w:r>
      <w:r w:rsidRPr="00205A06">
        <w:rPr>
          <w:rFonts w:cs="Arial"/>
          <w:lang w:val="en-GB"/>
        </w:rPr>
        <w:t>funding, venue and availability of Limbe instruments for conducting apprenticeship</w:t>
      </w:r>
      <w:r w:rsidR="00BB1091">
        <w:rPr>
          <w:rFonts w:cs="Arial"/>
          <w:lang w:val="en-GB"/>
        </w:rPr>
        <w:t>s</w:t>
      </w:r>
      <w:r w:rsidRPr="00CB06EA">
        <w:rPr>
          <w:rFonts w:cs="Arial"/>
          <w:lang w:val="en-GB"/>
        </w:rPr>
        <w:t xml:space="preserve">. There is also a need to </w:t>
      </w:r>
      <w:r>
        <w:rPr>
          <w:rFonts w:cs="Arial"/>
          <w:lang w:val="en-GB"/>
        </w:rPr>
        <w:t xml:space="preserve">widely </w:t>
      </w:r>
      <w:r w:rsidRPr="00CB06EA">
        <w:rPr>
          <w:rFonts w:cs="Arial"/>
          <w:lang w:val="en-GB"/>
        </w:rPr>
        <w:t xml:space="preserve">communicate </w:t>
      </w:r>
      <w:r w:rsidR="00BB1091">
        <w:rPr>
          <w:rFonts w:cs="Arial"/>
          <w:lang w:val="en-GB"/>
        </w:rPr>
        <w:t xml:space="preserve">the </w:t>
      </w:r>
      <w:r w:rsidRPr="00CB06EA">
        <w:rPr>
          <w:rFonts w:cs="Arial"/>
          <w:lang w:val="en-GB"/>
        </w:rPr>
        <w:t>research results</w:t>
      </w:r>
      <w:r>
        <w:rPr>
          <w:rFonts w:cs="Arial"/>
          <w:lang w:val="en-GB"/>
        </w:rPr>
        <w:t xml:space="preserve"> to</w:t>
      </w:r>
      <w:r w:rsidRPr="00CB06EA">
        <w:rPr>
          <w:rFonts w:cs="Arial"/>
          <w:lang w:val="en-GB"/>
        </w:rPr>
        <w:t xml:space="preserve"> enhance</w:t>
      </w:r>
      <w:r w:rsidRPr="00233912">
        <w:rPr>
          <w:rFonts w:cs="Arial"/>
          <w:lang w:val="en-GB"/>
        </w:rPr>
        <w:t xml:space="preserve"> awareness raising </w:t>
      </w:r>
      <w:r>
        <w:rPr>
          <w:rFonts w:cs="Arial"/>
          <w:lang w:val="en-GB"/>
        </w:rPr>
        <w:t>among</w:t>
      </w:r>
      <w:r w:rsidRPr="00CB06EA">
        <w:rPr>
          <w:rFonts w:cs="Arial"/>
          <w:lang w:val="en-GB"/>
        </w:rPr>
        <w:t xml:space="preserve"> the general public</w:t>
      </w:r>
      <w:r w:rsidRPr="00233912">
        <w:rPr>
          <w:rFonts w:cs="Arial"/>
          <w:lang w:val="en-GB"/>
        </w:rPr>
        <w:t>. As reported, the</w:t>
      </w:r>
      <w:r w:rsidR="00BB1091">
        <w:rPr>
          <w:rFonts w:cs="Arial"/>
          <w:lang w:val="en-GB"/>
        </w:rPr>
        <w:t xml:space="preserve"> viability of the</w:t>
      </w:r>
      <w:r w:rsidRPr="00233912">
        <w:rPr>
          <w:rFonts w:cs="Arial"/>
          <w:lang w:val="en-GB"/>
        </w:rPr>
        <w:t xml:space="preserve"> folk long song </w:t>
      </w:r>
      <w:r w:rsidRPr="00205A06">
        <w:rPr>
          <w:rFonts w:cs="Arial"/>
          <w:lang w:val="en-GB"/>
        </w:rPr>
        <w:t>technique of Limbe performance</w:t>
      </w:r>
      <w:r>
        <w:rPr>
          <w:rFonts w:cs="Arial"/>
          <w:lang w:val="en-GB"/>
        </w:rPr>
        <w:t xml:space="preserve">s </w:t>
      </w:r>
      <w:r w:rsidRPr="00205A06">
        <w:rPr>
          <w:rFonts w:cs="Arial"/>
          <w:lang w:val="en-GB"/>
        </w:rPr>
        <w:t>-</w:t>
      </w:r>
      <w:r>
        <w:rPr>
          <w:rFonts w:cs="Arial"/>
          <w:lang w:val="en-GB"/>
        </w:rPr>
        <w:t xml:space="preserve"> </w:t>
      </w:r>
      <w:r w:rsidRPr="00205A06">
        <w:rPr>
          <w:rFonts w:cs="Arial"/>
          <w:lang w:val="en-GB"/>
        </w:rPr>
        <w:t xml:space="preserve">circular breathing has </w:t>
      </w:r>
      <w:r>
        <w:rPr>
          <w:rFonts w:cs="Arial"/>
          <w:lang w:val="en-GB"/>
        </w:rPr>
        <w:t>increased</w:t>
      </w:r>
      <w:r w:rsidR="00BB1091">
        <w:rPr>
          <w:rFonts w:cs="Arial"/>
          <w:lang w:val="en-GB"/>
        </w:rPr>
        <w:t>;</w:t>
      </w:r>
      <w:r>
        <w:rPr>
          <w:rFonts w:cs="Arial"/>
          <w:lang w:val="en-GB"/>
        </w:rPr>
        <w:t xml:space="preserve"> however</w:t>
      </w:r>
      <w:r w:rsidR="00BB1091">
        <w:rPr>
          <w:rFonts w:cs="Arial"/>
          <w:lang w:val="en-GB"/>
        </w:rPr>
        <w:t>, it</w:t>
      </w:r>
      <w:r>
        <w:rPr>
          <w:rFonts w:cs="Arial"/>
          <w:lang w:val="en-GB"/>
        </w:rPr>
        <w:t xml:space="preserve"> has </w:t>
      </w:r>
      <w:r w:rsidRPr="00205A06">
        <w:rPr>
          <w:rFonts w:cs="Arial"/>
          <w:lang w:val="en-GB"/>
        </w:rPr>
        <w:t>not yet been revitalized.</w:t>
      </w:r>
    </w:p>
    <w:p w14:paraId="2DF9CECB" w14:textId="77777777" w:rsidR="007245A3" w:rsidRPr="00205A06" w:rsidRDefault="007245A3" w:rsidP="007245A3">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adopt the following decision:</w:t>
      </w:r>
    </w:p>
    <w:p w14:paraId="637F14D7" w14:textId="1FC6286F" w:rsidR="007245A3" w:rsidRPr="00FD36A4" w:rsidRDefault="007245A3" w:rsidP="007245A3">
      <w:pPr>
        <w:pStyle w:val="Titre4"/>
        <w:numPr>
          <w:ilvl w:val="0"/>
          <w:numId w:val="0"/>
        </w:numPr>
        <w:spacing w:before="240"/>
        <w:ind w:left="567"/>
        <w:rPr>
          <w:rFonts w:eastAsia="SimSun"/>
          <w:szCs w:val="22"/>
        </w:rPr>
      </w:pPr>
      <w:bookmarkStart w:id="9" w:name="Dec15COM7_6"/>
      <w:r w:rsidRPr="00205A06">
        <w:rPr>
          <w:szCs w:val="22"/>
        </w:rPr>
        <w:t>DRAFT DECISION 15.COM </w:t>
      </w:r>
      <w:r w:rsidR="00B40F86" w:rsidRPr="00FD36A4">
        <w:rPr>
          <w:szCs w:val="22"/>
        </w:rPr>
        <w:t>7</w:t>
      </w:r>
      <w:r w:rsidRPr="00FD36A4">
        <w:rPr>
          <w:szCs w:val="22"/>
        </w:rPr>
        <w:t>.6</w:t>
      </w:r>
      <w:bookmarkEnd w:id="9"/>
      <w:r w:rsidRPr="00FD36A4">
        <w:rPr>
          <w:szCs w:val="22"/>
        </w:rPr>
        <w:tab/>
      </w:r>
      <w:r w:rsidR="00545F92" w:rsidRPr="00FD36A4">
        <w:rPr>
          <w:noProof/>
          <w:color w:val="0000FF"/>
        </w:rPr>
        <w:drawing>
          <wp:inline distT="0" distB="0" distL="0" distR="0" wp14:anchorId="1009F003" wp14:editId="684953B7">
            <wp:extent cx="104775" cy="104775"/>
            <wp:effectExtent l="0" t="0" r="9525" b="9525"/>
            <wp:docPr id="6"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D4F66CE" w14:textId="77777777" w:rsidR="007245A3" w:rsidRPr="00FD36A4" w:rsidRDefault="007245A3" w:rsidP="007245A3">
      <w:pPr>
        <w:pStyle w:val="Para"/>
        <w:keepNext/>
        <w:numPr>
          <w:ilvl w:val="0"/>
          <w:numId w:val="0"/>
        </w:numPr>
        <w:tabs>
          <w:tab w:val="left" w:pos="1134"/>
        </w:tabs>
        <w:spacing w:line="240" w:lineRule="auto"/>
        <w:ind w:left="567"/>
        <w:rPr>
          <w:rFonts w:cs="Arial"/>
          <w:sz w:val="22"/>
          <w:szCs w:val="22"/>
          <w:lang w:val="en-GB"/>
        </w:rPr>
      </w:pPr>
      <w:r w:rsidRPr="00FD36A4">
        <w:rPr>
          <w:rFonts w:cs="Arial"/>
          <w:sz w:val="22"/>
          <w:szCs w:val="22"/>
          <w:lang w:val="en-GB"/>
        </w:rPr>
        <w:t>The Committee,</w:t>
      </w:r>
    </w:p>
    <w:p w14:paraId="0A27B97E" w14:textId="602C74FD" w:rsidR="007245A3" w:rsidRPr="00FD36A4" w:rsidRDefault="007245A3" w:rsidP="00080F48">
      <w:pPr>
        <w:pStyle w:val="Para"/>
        <w:numPr>
          <w:ilvl w:val="0"/>
          <w:numId w:val="33"/>
        </w:numPr>
        <w:tabs>
          <w:tab w:val="left" w:pos="1134"/>
        </w:tabs>
        <w:spacing w:line="240" w:lineRule="auto"/>
        <w:rPr>
          <w:rFonts w:cs="Arial"/>
          <w:sz w:val="22"/>
          <w:szCs w:val="22"/>
          <w:lang w:val="pt-PT"/>
        </w:rPr>
      </w:pPr>
      <w:r w:rsidRPr="00FD36A4">
        <w:rPr>
          <w:rFonts w:cs="Arial"/>
          <w:sz w:val="22"/>
          <w:szCs w:val="22"/>
          <w:u w:val="single"/>
          <w:lang w:val="pt-PT"/>
        </w:rPr>
        <w:t>Having examined</w:t>
      </w:r>
      <w:r w:rsidRPr="00FD36A4">
        <w:rPr>
          <w:rFonts w:cs="Arial"/>
          <w:sz w:val="22"/>
          <w:szCs w:val="22"/>
          <w:lang w:val="pt-PT"/>
        </w:rPr>
        <w:t xml:space="preserve"> document LHE/20/15.COM/</w:t>
      </w:r>
      <w:r w:rsidR="00B40F86" w:rsidRPr="00FD36A4">
        <w:rPr>
          <w:rFonts w:cs="Arial"/>
          <w:sz w:val="22"/>
          <w:szCs w:val="22"/>
          <w:lang w:val="pt-PT"/>
        </w:rPr>
        <w:t>7</w:t>
      </w:r>
      <w:r w:rsidRPr="00FD36A4">
        <w:rPr>
          <w:rFonts w:cs="Arial"/>
          <w:sz w:val="22"/>
          <w:szCs w:val="22"/>
          <w:lang w:val="pt-PT"/>
        </w:rPr>
        <w:t>,</w:t>
      </w:r>
    </w:p>
    <w:p w14:paraId="3103C348" w14:textId="1D686293" w:rsidR="007245A3" w:rsidRPr="00080F48" w:rsidRDefault="007245A3" w:rsidP="00080F48">
      <w:pPr>
        <w:pStyle w:val="Para"/>
        <w:numPr>
          <w:ilvl w:val="0"/>
          <w:numId w:val="33"/>
        </w:numPr>
        <w:tabs>
          <w:tab w:val="left" w:pos="1134"/>
        </w:tabs>
        <w:spacing w:line="240" w:lineRule="auto"/>
        <w:rPr>
          <w:rFonts w:cs="Arial"/>
          <w:sz w:val="22"/>
          <w:szCs w:val="22"/>
          <w:lang w:val="en-GB"/>
        </w:rPr>
      </w:pPr>
      <w:r w:rsidRPr="00080F48">
        <w:rPr>
          <w:rFonts w:cs="Arial"/>
          <w:sz w:val="22"/>
          <w:szCs w:val="22"/>
          <w:u w:val="single"/>
          <w:lang w:val="en-GB"/>
        </w:rPr>
        <w:t>Recalling</w:t>
      </w:r>
      <w:r w:rsidRPr="00080F48">
        <w:rPr>
          <w:rFonts w:cs="Arial"/>
          <w:sz w:val="22"/>
          <w:szCs w:val="22"/>
          <w:lang w:val="en-GB"/>
        </w:rPr>
        <w:t xml:space="preserve"> Chapter V of the Operational Directives and its Decisions </w:t>
      </w:r>
      <w:hyperlink r:id="rId72" w:history="1">
        <w:r w:rsidRPr="00080F48">
          <w:rPr>
            <w:rStyle w:val="Lienhypertexte"/>
            <w:rFonts w:cs="Arial"/>
            <w:sz w:val="22"/>
            <w:szCs w:val="22"/>
            <w:lang w:val="en-GB"/>
          </w:rPr>
          <w:t>6.COM 8.15</w:t>
        </w:r>
      </w:hyperlink>
      <w:r w:rsidRPr="00080F48">
        <w:rPr>
          <w:rFonts w:cs="Arial"/>
          <w:sz w:val="22"/>
          <w:szCs w:val="22"/>
          <w:lang w:val="en-GB"/>
        </w:rPr>
        <w:t xml:space="preserve"> and </w:t>
      </w:r>
      <w:hyperlink r:id="rId73" w:history="1">
        <w:r w:rsidRPr="00080F48">
          <w:rPr>
            <w:rStyle w:val="Lienhypertexte"/>
            <w:rFonts w:cs="Arial"/>
            <w:sz w:val="22"/>
            <w:szCs w:val="22"/>
            <w:lang w:val="en-GB"/>
          </w:rPr>
          <w:t>11.COM 9.b.5</w:t>
        </w:r>
      </w:hyperlink>
      <w:r w:rsidRPr="00080F48">
        <w:rPr>
          <w:rFonts w:cs="Arial"/>
          <w:sz w:val="22"/>
          <w:szCs w:val="22"/>
          <w:lang w:val="en-GB"/>
        </w:rPr>
        <w:t>,</w:t>
      </w:r>
    </w:p>
    <w:p w14:paraId="786776F2" w14:textId="77777777" w:rsidR="007245A3" w:rsidRPr="00080F48" w:rsidRDefault="007245A3" w:rsidP="00080F48">
      <w:pPr>
        <w:pStyle w:val="Para"/>
        <w:numPr>
          <w:ilvl w:val="0"/>
          <w:numId w:val="33"/>
        </w:numPr>
        <w:tabs>
          <w:tab w:val="left" w:pos="1134"/>
        </w:tabs>
        <w:spacing w:line="240" w:lineRule="auto"/>
        <w:rPr>
          <w:rFonts w:cs="Arial"/>
          <w:sz w:val="22"/>
          <w:szCs w:val="22"/>
          <w:lang w:val="en-GB"/>
        </w:rPr>
      </w:pPr>
      <w:r w:rsidRPr="00080F48">
        <w:rPr>
          <w:rFonts w:cs="Arial"/>
          <w:sz w:val="22"/>
          <w:szCs w:val="22"/>
          <w:u w:val="single"/>
          <w:lang w:val="en-GB"/>
        </w:rPr>
        <w:t>Expresses its thanks</w:t>
      </w:r>
      <w:r w:rsidRPr="00080F48">
        <w:rPr>
          <w:rFonts w:cs="Arial"/>
          <w:sz w:val="22"/>
          <w:szCs w:val="22"/>
          <w:lang w:val="en-GB"/>
        </w:rPr>
        <w:t xml:space="preserve"> to Mongolia for submitting, on time, its report on the </w:t>
      </w:r>
      <w:r w:rsidRPr="00080F48">
        <w:rPr>
          <w:rFonts w:cs="Arial"/>
          <w:bCs/>
          <w:sz w:val="22"/>
          <w:szCs w:val="22"/>
          <w:lang w:val="en-GB"/>
        </w:rPr>
        <w:t xml:space="preserve">status of the </w:t>
      </w:r>
      <w:r w:rsidRPr="00080F48">
        <w:rPr>
          <w:rFonts w:cs="Arial"/>
          <w:sz w:val="22"/>
          <w:szCs w:val="22"/>
          <w:lang w:val="en-GB"/>
        </w:rPr>
        <w:t>element ‘</w:t>
      </w:r>
      <w:r w:rsidRPr="00080F48">
        <w:rPr>
          <w:sz w:val="22"/>
          <w:szCs w:val="22"/>
          <w:lang w:val="en-GB"/>
        </w:rPr>
        <w:t>Folk long song performance technique of Limbe performances - circular breathing</w:t>
      </w:r>
      <w:r w:rsidRPr="00080F48">
        <w:rPr>
          <w:rFonts w:cs="Arial"/>
          <w:sz w:val="22"/>
          <w:szCs w:val="22"/>
          <w:lang w:val="en-GB"/>
        </w:rPr>
        <w:t>’, inscribed</w:t>
      </w:r>
      <w:r w:rsidRPr="00080F48">
        <w:rPr>
          <w:rFonts w:cs="Arial"/>
          <w:bCs/>
          <w:sz w:val="22"/>
          <w:szCs w:val="22"/>
          <w:lang w:val="en-GB"/>
        </w:rPr>
        <w:t xml:space="preserve"> in 2011 on the List of Intangible Cultural Heritage in Need of Urgent Safeguarding;</w:t>
      </w:r>
    </w:p>
    <w:p w14:paraId="07043B48" w14:textId="489A50E8" w:rsidR="00C85E1C" w:rsidRDefault="007245A3" w:rsidP="00080F48">
      <w:pPr>
        <w:pStyle w:val="Para"/>
        <w:numPr>
          <w:ilvl w:val="0"/>
          <w:numId w:val="33"/>
        </w:numPr>
        <w:tabs>
          <w:tab w:val="left" w:pos="1134"/>
        </w:tabs>
        <w:spacing w:line="240" w:lineRule="auto"/>
        <w:rPr>
          <w:rFonts w:cs="Arial"/>
          <w:sz w:val="22"/>
          <w:szCs w:val="22"/>
          <w:lang w:val="en-GB"/>
        </w:rPr>
      </w:pPr>
      <w:r w:rsidRPr="00080F48">
        <w:rPr>
          <w:rFonts w:cs="Arial"/>
          <w:sz w:val="22"/>
          <w:szCs w:val="22"/>
          <w:u w:val="single"/>
          <w:lang w:val="en-GB"/>
        </w:rPr>
        <w:t>Takes note</w:t>
      </w:r>
      <w:r w:rsidRPr="00080F48">
        <w:rPr>
          <w:rFonts w:cs="Arial"/>
          <w:sz w:val="22"/>
          <w:szCs w:val="22"/>
          <w:lang w:val="en-GB"/>
        </w:rPr>
        <w:t xml:space="preserve"> of the efforts undertaken by the State Party to safeguard the element, </w:t>
      </w:r>
      <w:r w:rsidR="00817F2B">
        <w:rPr>
          <w:rFonts w:cs="Arial"/>
          <w:sz w:val="22"/>
          <w:szCs w:val="22"/>
          <w:lang w:val="en-GB"/>
        </w:rPr>
        <w:t xml:space="preserve">especially </w:t>
      </w:r>
      <w:r w:rsidRPr="00080F48">
        <w:rPr>
          <w:rFonts w:cs="Arial"/>
          <w:sz w:val="22"/>
          <w:szCs w:val="22"/>
          <w:lang w:val="en-GB"/>
        </w:rPr>
        <w:t xml:space="preserve">through </w:t>
      </w:r>
      <w:r w:rsidR="00BB1091">
        <w:rPr>
          <w:rFonts w:cs="Arial"/>
          <w:sz w:val="22"/>
          <w:szCs w:val="22"/>
          <w:lang w:val="en-GB"/>
        </w:rPr>
        <w:t xml:space="preserve">its </w:t>
      </w:r>
      <w:r w:rsidRPr="00080F48">
        <w:rPr>
          <w:rFonts w:cs="Arial"/>
          <w:sz w:val="22"/>
          <w:szCs w:val="22"/>
          <w:lang w:val="en-GB"/>
        </w:rPr>
        <w:t>comprehensive policy development for the safeguarding of intangible cultural heritage and targeted measures aimed at ensuring the viability of the element</w:t>
      </w:r>
      <w:r w:rsidR="00C85E1C">
        <w:rPr>
          <w:rFonts w:cs="Arial"/>
          <w:sz w:val="22"/>
          <w:szCs w:val="22"/>
          <w:lang w:val="en-GB"/>
        </w:rPr>
        <w:t>;</w:t>
      </w:r>
    </w:p>
    <w:p w14:paraId="344B214B" w14:textId="631EB443" w:rsidR="007245A3" w:rsidRPr="00080F48" w:rsidRDefault="00C85E1C" w:rsidP="00080F48">
      <w:pPr>
        <w:pStyle w:val="Para"/>
        <w:numPr>
          <w:ilvl w:val="0"/>
          <w:numId w:val="33"/>
        </w:numPr>
        <w:tabs>
          <w:tab w:val="left" w:pos="1134"/>
        </w:tabs>
        <w:spacing w:line="240" w:lineRule="auto"/>
        <w:rPr>
          <w:rFonts w:cs="Arial"/>
          <w:sz w:val="22"/>
          <w:szCs w:val="22"/>
          <w:lang w:val="en-GB"/>
        </w:rPr>
      </w:pPr>
      <w:r>
        <w:rPr>
          <w:rFonts w:cs="Arial"/>
          <w:sz w:val="22"/>
          <w:szCs w:val="22"/>
          <w:u w:val="single"/>
          <w:lang w:val="en-GB"/>
        </w:rPr>
        <w:t>F</w:t>
      </w:r>
      <w:r w:rsidR="007245A3" w:rsidRPr="00080F48">
        <w:rPr>
          <w:rFonts w:cs="Arial"/>
          <w:sz w:val="22"/>
          <w:szCs w:val="22"/>
          <w:u w:val="single"/>
          <w:lang w:val="en-GB"/>
        </w:rPr>
        <w:t>urther takes note</w:t>
      </w:r>
      <w:r w:rsidR="007245A3" w:rsidRPr="00080F48">
        <w:rPr>
          <w:rFonts w:cs="Arial"/>
          <w:sz w:val="22"/>
          <w:szCs w:val="22"/>
          <w:lang w:val="en-GB"/>
        </w:rPr>
        <w:t xml:space="preserve"> of the </w:t>
      </w:r>
      <w:r w:rsidR="00BB1091" w:rsidRPr="00080F48">
        <w:rPr>
          <w:rFonts w:cs="Arial"/>
          <w:sz w:val="22"/>
          <w:szCs w:val="22"/>
          <w:lang w:val="en-GB"/>
        </w:rPr>
        <w:t>divers</w:t>
      </w:r>
      <w:r w:rsidR="00BB1091">
        <w:rPr>
          <w:rFonts w:cs="Arial"/>
          <w:sz w:val="22"/>
          <w:szCs w:val="22"/>
          <w:lang w:val="en-GB"/>
        </w:rPr>
        <w:t>e range</w:t>
      </w:r>
      <w:r w:rsidR="00BB1091" w:rsidRPr="00080F48">
        <w:rPr>
          <w:rFonts w:cs="Arial"/>
          <w:sz w:val="22"/>
          <w:szCs w:val="22"/>
          <w:lang w:val="en-GB"/>
        </w:rPr>
        <w:t xml:space="preserve"> </w:t>
      </w:r>
      <w:r w:rsidR="007245A3" w:rsidRPr="00080F48">
        <w:rPr>
          <w:rFonts w:cs="Arial"/>
          <w:sz w:val="22"/>
          <w:szCs w:val="22"/>
          <w:lang w:val="en-GB"/>
        </w:rPr>
        <w:t xml:space="preserve">of measures implemented </w:t>
      </w:r>
      <w:r w:rsidR="00BB1091">
        <w:rPr>
          <w:rFonts w:cs="Arial"/>
          <w:sz w:val="22"/>
          <w:szCs w:val="22"/>
          <w:lang w:val="en-GB"/>
        </w:rPr>
        <w:t xml:space="preserve">to </w:t>
      </w:r>
      <w:r w:rsidR="007245A3" w:rsidRPr="00080F48">
        <w:rPr>
          <w:rFonts w:cs="Arial"/>
          <w:sz w:val="22"/>
          <w:szCs w:val="22"/>
          <w:lang w:val="en-GB"/>
        </w:rPr>
        <w:t xml:space="preserve">research, document, </w:t>
      </w:r>
      <w:r w:rsidR="00BB1091">
        <w:rPr>
          <w:rFonts w:cs="Arial"/>
          <w:sz w:val="22"/>
          <w:szCs w:val="22"/>
          <w:lang w:val="en-GB"/>
        </w:rPr>
        <w:t xml:space="preserve">raise </w:t>
      </w:r>
      <w:r w:rsidR="007245A3" w:rsidRPr="00080F48">
        <w:rPr>
          <w:rFonts w:cs="Arial"/>
          <w:sz w:val="22"/>
          <w:szCs w:val="22"/>
          <w:lang w:val="en-GB"/>
        </w:rPr>
        <w:t xml:space="preserve">awareness </w:t>
      </w:r>
      <w:r w:rsidR="00BB1091">
        <w:rPr>
          <w:rFonts w:cs="Arial"/>
          <w:sz w:val="22"/>
          <w:szCs w:val="22"/>
          <w:lang w:val="en-GB"/>
        </w:rPr>
        <w:t xml:space="preserve">about </w:t>
      </w:r>
      <w:r w:rsidR="007245A3" w:rsidRPr="00080F48">
        <w:rPr>
          <w:rFonts w:cs="Arial"/>
          <w:sz w:val="22"/>
          <w:szCs w:val="22"/>
          <w:lang w:val="en-GB"/>
        </w:rPr>
        <w:t>and transmi</w:t>
      </w:r>
      <w:r w:rsidR="00BB1091">
        <w:rPr>
          <w:rFonts w:cs="Arial"/>
          <w:sz w:val="22"/>
          <w:szCs w:val="22"/>
          <w:lang w:val="en-GB"/>
        </w:rPr>
        <w:t>t</w:t>
      </w:r>
      <w:r w:rsidR="007245A3" w:rsidRPr="00080F48">
        <w:rPr>
          <w:rFonts w:cs="Arial"/>
          <w:sz w:val="22"/>
          <w:szCs w:val="22"/>
          <w:lang w:val="en-GB"/>
        </w:rPr>
        <w:t xml:space="preserve"> the element with limited resources;</w:t>
      </w:r>
    </w:p>
    <w:p w14:paraId="41490BFE" w14:textId="6D4D5AC3" w:rsidR="007245A3" w:rsidRPr="00080F48" w:rsidRDefault="007245A3" w:rsidP="00080F48">
      <w:pPr>
        <w:pStyle w:val="Para"/>
        <w:numPr>
          <w:ilvl w:val="0"/>
          <w:numId w:val="33"/>
        </w:numPr>
        <w:tabs>
          <w:tab w:val="left" w:pos="1134"/>
        </w:tabs>
        <w:spacing w:line="240" w:lineRule="auto"/>
        <w:rPr>
          <w:rFonts w:cs="Arial"/>
          <w:sz w:val="22"/>
          <w:szCs w:val="22"/>
          <w:lang w:val="en-GB"/>
        </w:rPr>
      </w:pPr>
      <w:r w:rsidRPr="00080F48">
        <w:rPr>
          <w:rFonts w:cs="Arial"/>
          <w:sz w:val="22"/>
          <w:szCs w:val="22"/>
          <w:u w:val="single"/>
          <w:lang w:val="en-GB"/>
        </w:rPr>
        <w:t>Invites</w:t>
      </w:r>
      <w:r w:rsidRPr="00080F48">
        <w:rPr>
          <w:rFonts w:cs="Arial"/>
          <w:sz w:val="22"/>
          <w:szCs w:val="22"/>
          <w:lang w:val="en-GB"/>
        </w:rPr>
        <w:t xml:space="preserve"> the State Party to continue its efforts to support the bearers of the element, to sustain the transmission of the skills of making Limbe instruments, to revitalize the tradition of performing </w:t>
      </w:r>
      <w:r w:rsidR="00BB1091">
        <w:rPr>
          <w:rFonts w:cs="Arial"/>
          <w:sz w:val="22"/>
          <w:szCs w:val="22"/>
          <w:lang w:val="en-GB"/>
        </w:rPr>
        <w:t xml:space="preserve">the </w:t>
      </w:r>
      <w:r w:rsidRPr="00080F48">
        <w:rPr>
          <w:rFonts w:cs="Arial"/>
          <w:sz w:val="22"/>
          <w:szCs w:val="22"/>
          <w:lang w:val="en-GB"/>
        </w:rPr>
        <w:t xml:space="preserve">folk long song technique of Limbe performances - circular breathing, and to enhance </w:t>
      </w:r>
      <w:r w:rsidR="0069019D">
        <w:rPr>
          <w:rFonts w:cs="Arial"/>
          <w:sz w:val="22"/>
          <w:szCs w:val="22"/>
          <w:lang w:val="en-GB"/>
        </w:rPr>
        <w:t xml:space="preserve">the </w:t>
      </w:r>
      <w:r w:rsidRPr="00080F48">
        <w:rPr>
          <w:rFonts w:cs="Arial"/>
          <w:sz w:val="22"/>
          <w:szCs w:val="22"/>
          <w:lang w:val="en-GB"/>
        </w:rPr>
        <w:t>gender balance in the practice of the element;</w:t>
      </w:r>
    </w:p>
    <w:p w14:paraId="2A5DEFA2" w14:textId="2BF66255" w:rsidR="007245A3" w:rsidRPr="00963952" w:rsidRDefault="007245A3" w:rsidP="00080F48">
      <w:pPr>
        <w:pStyle w:val="Para"/>
        <w:numPr>
          <w:ilvl w:val="0"/>
          <w:numId w:val="33"/>
        </w:numPr>
        <w:tabs>
          <w:tab w:val="left" w:pos="1134"/>
        </w:tabs>
        <w:spacing w:line="240" w:lineRule="auto"/>
        <w:rPr>
          <w:rFonts w:cs="Arial"/>
          <w:sz w:val="22"/>
          <w:szCs w:val="22"/>
          <w:lang w:val="en-GB"/>
        </w:rPr>
      </w:pPr>
      <w:r w:rsidRPr="00080F48">
        <w:rPr>
          <w:rFonts w:cs="Arial"/>
          <w:sz w:val="22"/>
          <w:szCs w:val="22"/>
          <w:u w:val="single"/>
          <w:lang w:val="en-GB"/>
        </w:rPr>
        <w:t>Also takes note</w:t>
      </w:r>
      <w:r w:rsidRPr="00080F48">
        <w:rPr>
          <w:rFonts w:cs="Arial"/>
          <w:sz w:val="22"/>
          <w:szCs w:val="22"/>
          <w:lang w:val="en-GB"/>
        </w:rPr>
        <w:t xml:space="preserve"> of the ongoing International Assistance granted in 2018 and its contribution to research and apprenticeship </w:t>
      </w:r>
      <w:r w:rsidR="008140A0">
        <w:rPr>
          <w:rFonts w:cs="Arial"/>
          <w:sz w:val="22"/>
          <w:szCs w:val="22"/>
          <w:lang w:val="en-GB"/>
        </w:rPr>
        <w:t>programmes related to</w:t>
      </w:r>
      <w:r w:rsidRPr="00080F48">
        <w:rPr>
          <w:rFonts w:cs="Arial"/>
          <w:sz w:val="22"/>
          <w:szCs w:val="22"/>
          <w:lang w:val="en-GB"/>
        </w:rPr>
        <w:t xml:space="preserve"> the element, and </w:t>
      </w:r>
      <w:r w:rsidRPr="00080F48">
        <w:rPr>
          <w:rFonts w:cs="Arial"/>
          <w:sz w:val="22"/>
          <w:szCs w:val="22"/>
          <w:u w:val="single"/>
          <w:lang w:val="en-GB"/>
        </w:rPr>
        <w:t>encourages</w:t>
      </w:r>
      <w:r w:rsidRPr="00080F48">
        <w:rPr>
          <w:rFonts w:cs="Arial"/>
          <w:sz w:val="22"/>
          <w:szCs w:val="22"/>
          <w:lang w:val="en-GB"/>
        </w:rPr>
        <w:t xml:space="preserve"> the State Party to continue its fundraising efforts and develop synergies among various funding sources;</w:t>
      </w:r>
    </w:p>
    <w:p w14:paraId="70BEE3F4" w14:textId="607FE41E" w:rsidR="009B6F90" w:rsidRDefault="007245A3" w:rsidP="00080F48">
      <w:pPr>
        <w:pStyle w:val="Para"/>
        <w:numPr>
          <w:ilvl w:val="0"/>
          <w:numId w:val="33"/>
        </w:numPr>
        <w:tabs>
          <w:tab w:val="left" w:pos="1134"/>
        </w:tabs>
        <w:spacing w:line="240" w:lineRule="auto"/>
        <w:rPr>
          <w:sz w:val="22"/>
          <w:szCs w:val="22"/>
          <w:lang w:val="en-GB"/>
        </w:rPr>
      </w:pPr>
      <w:r w:rsidRPr="00080F48">
        <w:rPr>
          <w:sz w:val="22"/>
          <w:szCs w:val="22"/>
          <w:u w:val="single"/>
          <w:lang w:val="en-GB"/>
        </w:rPr>
        <w:t>Requests</w:t>
      </w:r>
      <w:r w:rsidRPr="00080F48">
        <w:rPr>
          <w:sz w:val="22"/>
          <w:szCs w:val="22"/>
          <w:lang w:val="en-GB"/>
        </w:rPr>
        <w:t xml:space="preserve"> that the Secretariat inform the State Party at least nine months prior to the deadline of 15 December 2023 about the required submission of its next report on the status of this element.</w:t>
      </w:r>
    </w:p>
    <w:p w14:paraId="255F3668" w14:textId="77777777" w:rsidR="009B6F90" w:rsidRDefault="009B6F90">
      <w:pPr>
        <w:rPr>
          <w:rFonts w:ascii="Arial" w:eastAsia="SimSun" w:hAnsi="Arial"/>
          <w:sz w:val="22"/>
          <w:szCs w:val="22"/>
          <w:lang w:val="en-GB"/>
        </w:rPr>
      </w:pPr>
      <w:r>
        <w:rPr>
          <w:sz w:val="22"/>
          <w:szCs w:val="22"/>
          <w:lang w:val="en-GB"/>
        </w:rPr>
        <w:br w:type="page"/>
      </w:r>
    </w:p>
    <w:p w14:paraId="50B6EFA6" w14:textId="4205244A" w:rsidR="009B6F90" w:rsidRPr="00205A06" w:rsidRDefault="009B6F90" w:rsidP="009B6F90">
      <w:pPr>
        <w:pStyle w:val="COMTitleDecision"/>
        <w:pageBreakBefore/>
        <w:spacing w:before="480"/>
        <w:jc w:val="left"/>
      </w:pPr>
      <w:r w:rsidRPr="00205A06">
        <w:rPr>
          <w:bCs/>
          <w:color w:val="000000" w:themeColor="text1"/>
        </w:rPr>
        <w:lastRenderedPageBreak/>
        <w:t>Mongolia:</w:t>
      </w:r>
      <w:r w:rsidRPr="00205A06">
        <w:rPr>
          <w:color w:val="000000" w:themeColor="text1"/>
        </w:rPr>
        <w:t xml:space="preserve"> </w:t>
      </w:r>
      <w:r>
        <w:rPr>
          <w:color w:val="000000" w:themeColor="text1"/>
        </w:rPr>
        <w:t>‘</w:t>
      </w:r>
      <w:r w:rsidRPr="00205A06">
        <w:rPr>
          <w:color w:val="000000" w:themeColor="text1"/>
        </w:rPr>
        <w:t>Coaxing ritual for camels</w:t>
      </w:r>
      <w:r>
        <w:rPr>
          <w:color w:val="000000" w:themeColor="text1"/>
        </w:rPr>
        <w:t>’</w:t>
      </w:r>
      <w:r w:rsidRPr="00205A06">
        <w:rPr>
          <w:bCs/>
          <w:i/>
          <w:iCs/>
          <w:color w:val="000000" w:themeColor="text1"/>
        </w:rPr>
        <w:t xml:space="preserve"> </w:t>
      </w:r>
      <w:r w:rsidRPr="00205A06">
        <w:rPr>
          <w:b w:val="0"/>
          <w:bCs/>
          <w:i/>
          <w:iCs/>
          <w:color w:val="000000" w:themeColor="text1"/>
        </w:rPr>
        <w:t xml:space="preserve">(consult </w:t>
      </w:r>
      <w:r w:rsidRPr="0061021E">
        <w:rPr>
          <w:b w:val="0"/>
          <w:bCs/>
          <w:i/>
          <w:iCs/>
        </w:rPr>
        <w:t xml:space="preserve">the </w:t>
      </w:r>
      <w:hyperlink r:id="rId74" w:history="1">
        <w:r w:rsidRPr="0061021E">
          <w:rPr>
            <w:rStyle w:val="Lienhypertexte"/>
            <w:b w:val="0"/>
            <w:bCs/>
            <w:i/>
            <w:iCs/>
          </w:rPr>
          <w:t>report</w:t>
        </w:r>
      </w:hyperlink>
      <w:r w:rsidRPr="0061021E">
        <w:rPr>
          <w:b w:val="0"/>
          <w:bCs/>
          <w:i/>
          <w:iCs/>
        </w:rPr>
        <w:t>)</w:t>
      </w:r>
    </w:p>
    <w:p w14:paraId="1514922B" w14:textId="26271140" w:rsidR="009B6F90" w:rsidRPr="00205A06" w:rsidRDefault="009B6F90" w:rsidP="009B6F90">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lang w:val="en-GB"/>
        </w:rPr>
        <w:t>Coaxing ritual for camels is practi</w:t>
      </w:r>
      <w:r>
        <w:rPr>
          <w:rFonts w:cs="Arial"/>
          <w:lang w:val="en-GB"/>
        </w:rPr>
        <w:t>s</w:t>
      </w:r>
      <w:r w:rsidRPr="00205A06">
        <w:rPr>
          <w:rFonts w:cs="Arial"/>
          <w:lang w:val="en-GB"/>
        </w:rPr>
        <w:t xml:space="preserve">ed in Mongolia in springtime </w:t>
      </w:r>
      <w:r w:rsidR="00BB1091">
        <w:rPr>
          <w:rFonts w:cs="Arial"/>
          <w:lang w:val="en-GB"/>
        </w:rPr>
        <w:t>to</w:t>
      </w:r>
      <w:r w:rsidR="00BB1091" w:rsidRPr="00205A06">
        <w:rPr>
          <w:rFonts w:cs="Arial"/>
          <w:lang w:val="en-GB"/>
        </w:rPr>
        <w:t xml:space="preserve"> </w:t>
      </w:r>
      <w:r w:rsidRPr="00205A06">
        <w:rPr>
          <w:rFonts w:cs="Arial"/>
          <w:lang w:val="en-GB"/>
        </w:rPr>
        <w:t xml:space="preserve">assist camel mothers to adopt the babies they have rejected or to accept breeding orphan </w:t>
      </w:r>
      <w:r>
        <w:rPr>
          <w:rFonts w:cs="Arial"/>
          <w:lang w:val="en-GB"/>
        </w:rPr>
        <w:t>baby camels</w:t>
      </w:r>
      <w:r w:rsidRPr="00205A06">
        <w:rPr>
          <w:rFonts w:cs="Arial"/>
          <w:lang w:val="en-GB"/>
        </w:rPr>
        <w:t xml:space="preserve">. The ritual is grounded on hundreds of years of experience and knowledge gained by herders. It is a cultural custom and a method for increasing the number of a herd. The ritual involves singing and playing musical instruments, such as </w:t>
      </w:r>
      <w:r w:rsidR="00BB1091">
        <w:rPr>
          <w:rFonts w:cs="Arial"/>
          <w:lang w:val="en-GB"/>
        </w:rPr>
        <w:t xml:space="preserve">the </w:t>
      </w:r>
      <w:r w:rsidRPr="00205A06">
        <w:rPr>
          <w:rFonts w:cs="Arial"/>
          <w:lang w:val="en-GB"/>
        </w:rPr>
        <w:t xml:space="preserve">horse head fiddle, jaw harp or flute. Through the lyrics and melody, it creates a </w:t>
      </w:r>
      <w:r w:rsidR="00F83D69">
        <w:rPr>
          <w:rFonts w:cs="Arial"/>
          <w:lang w:val="en-GB"/>
        </w:rPr>
        <w:t>socia</w:t>
      </w:r>
      <w:r w:rsidRPr="00205A06">
        <w:rPr>
          <w:rFonts w:cs="Arial"/>
          <w:lang w:val="en-GB"/>
        </w:rPr>
        <w:t xml:space="preserve">l relationship between humans and animals. The main actors in the continuity of this element are camel herders, singers and musicians, groups of elders, and other community members, and the ritual is performed by both men and women. The knowledge and practice of the ritual and of caring for nature and animals </w:t>
      </w:r>
      <w:r w:rsidR="00BB1091">
        <w:rPr>
          <w:rFonts w:cs="Arial"/>
          <w:lang w:val="en-GB"/>
        </w:rPr>
        <w:t>are</w:t>
      </w:r>
      <w:r w:rsidR="00BB1091" w:rsidRPr="00205A06">
        <w:rPr>
          <w:rFonts w:cs="Arial"/>
          <w:lang w:val="en-GB"/>
        </w:rPr>
        <w:t xml:space="preserve"> </w:t>
      </w:r>
      <w:r w:rsidRPr="00205A06">
        <w:rPr>
          <w:rFonts w:cs="Arial"/>
          <w:lang w:val="en-GB"/>
        </w:rPr>
        <w:t>transmitted from elders to younger generations primarily through direct learning. The ritual thus has an important role in strengthening the connection</w:t>
      </w:r>
      <w:r w:rsidR="00ED0E64">
        <w:rPr>
          <w:rFonts w:cs="Arial"/>
          <w:lang w:val="en-GB"/>
        </w:rPr>
        <w:t>s</w:t>
      </w:r>
      <w:r w:rsidRPr="00205A06">
        <w:rPr>
          <w:rFonts w:cs="Arial"/>
          <w:lang w:val="en-GB"/>
        </w:rPr>
        <w:t xml:space="preserve"> between generations.</w:t>
      </w:r>
    </w:p>
    <w:p w14:paraId="51382D73" w14:textId="7654A9F0" w:rsidR="009B6F90" w:rsidRPr="00205A06" w:rsidRDefault="009B6F90" w:rsidP="009B6F90">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szCs w:val="22"/>
          <w:lang w:val="en-GB"/>
        </w:rPr>
        <w:t>The ele</w:t>
      </w:r>
      <w:r w:rsidRPr="00205A06">
        <w:rPr>
          <w:rFonts w:cs="Arial"/>
          <w:lang w:val="en-GB"/>
        </w:rPr>
        <w:t xml:space="preserve">ment was inscribed </w:t>
      </w:r>
      <w:r w:rsidRPr="00205A06">
        <w:rPr>
          <w:rFonts w:cs="Arial"/>
          <w:bCs/>
          <w:szCs w:val="22"/>
          <w:lang w:val="en-GB"/>
        </w:rPr>
        <w:t xml:space="preserve">on the </w:t>
      </w:r>
      <w:r w:rsidR="006136A7" w:rsidRPr="00205A06">
        <w:rPr>
          <w:lang w:val="en-GB"/>
        </w:rPr>
        <w:t xml:space="preserve">Urgent Safeguarding </w:t>
      </w:r>
      <w:r w:rsidRPr="00205A06">
        <w:rPr>
          <w:lang w:val="en-GB"/>
        </w:rPr>
        <w:t xml:space="preserve">List </w:t>
      </w:r>
      <w:r w:rsidRPr="00205A06">
        <w:rPr>
          <w:rFonts w:cs="Arial"/>
          <w:lang w:val="en-GB"/>
        </w:rPr>
        <w:t>in 2015</w:t>
      </w:r>
      <w:r>
        <w:rPr>
          <w:rFonts w:cs="Arial"/>
          <w:lang w:val="en-GB"/>
        </w:rPr>
        <w:t xml:space="preserve"> (</w:t>
      </w:r>
      <w:hyperlink r:id="rId75" w:history="1">
        <w:r w:rsidRPr="00C76028">
          <w:rPr>
            <w:rStyle w:val="Lienhypertexte"/>
            <w:rFonts w:cs="Arial"/>
            <w:lang w:val="en-GB"/>
          </w:rPr>
          <w:t xml:space="preserve">Decision </w:t>
        </w:r>
        <w:r w:rsidRPr="00C76028">
          <w:rPr>
            <w:rStyle w:val="Lienhypertexte"/>
            <w:rFonts w:cs="Arial"/>
            <w:szCs w:val="22"/>
            <w:lang w:val="en-GB"/>
          </w:rPr>
          <w:t>10.COM 10.a.5</w:t>
        </w:r>
      </w:hyperlink>
      <w:r>
        <w:rPr>
          <w:rFonts w:cs="Arial"/>
          <w:lang w:val="en-GB"/>
        </w:rPr>
        <w:t>)</w:t>
      </w:r>
      <w:r w:rsidRPr="00205A06">
        <w:rPr>
          <w:rFonts w:cs="Arial"/>
          <w:lang w:val="en-GB"/>
        </w:rPr>
        <w:t xml:space="preserve"> and this is the first report submitted by the State Party on the </w:t>
      </w:r>
      <w:r w:rsidRPr="00205A06">
        <w:rPr>
          <w:rFonts w:cs="Arial"/>
          <w:szCs w:val="22"/>
          <w:lang w:val="en-GB"/>
        </w:rPr>
        <w:t>status of this element.</w:t>
      </w:r>
    </w:p>
    <w:p w14:paraId="73346699" w14:textId="43CD8AD5" w:rsidR="009B6F90" w:rsidRPr="00205A06" w:rsidRDefault="009B6F90" w:rsidP="009B6F9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Field research has been carried out in several provinces of Mongolia to assess the current state of safeguarding of the element and to identify the risks to its viability. </w:t>
      </w:r>
      <w:r>
        <w:rPr>
          <w:bCs/>
          <w:lang w:val="en-GB"/>
        </w:rPr>
        <w:t>Apprenticeship t</w:t>
      </w:r>
      <w:r w:rsidRPr="00205A06">
        <w:rPr>
          <w:bCs/>
          <w:lang w:val="en-GB"/>
        </w:rPr>
        <w:t xml:space="preserve">raining on the coaxing ritual has been provided for diverse audiences both </w:t>
      </w:r>
      <w:r w:rsidR="00ED0E64" w:rsidRPr="00205A06">
        <w:rPr>
          <w:bCs/>
          <w:lang w:val="en-GB"/>
        </w:rPr>
        <w:t xml:space="preserve">in </w:t>
      </w:r>
      <w:r w:rsidRPr="00205A06">
        <w:rPr>
          <w:bCs/>
          <w:lang w:val="en-GB"/>
        </w:rPr>
        <w:t xml:space="preserve">traditional settings and at cultural centres. Special attention has been </w:t>
      </w:r>
      <w:r w:rsidR="00ED0E64">
        <w:rPr>
          <w:bCs/>
          <w:lang w:val="en-GB"/>
        </w:rPr>
        <w:t>paid</w:t>
      </w:r>
      <w:r w:rsidRPr="00205A06">
        <w:rPr>
          <w:bCs/>
          <w:lang w:val="en-GB"/>
        </w:rPr>
        <w:t xml:space="preserve"> to </w:t>
      </w:r>
      <w:r w:rsidR="00ED0E64" w:rsidRPr="00205A06">
        <w:rPr>
          <w:bCs/>
          <w:lang w:val="en-GB"/>
        </w:rPr>
        <w:t>involv</w:t>
      </w:r>
      <w:r w:rsidR="00ED0E64">
        <w:rPr>
          <w:bCs/>
          <w:lang w:val="en-GB"/>
        </w:rPr>
        <w:t>ing</w:t>
      </w:r>
      <w:r w:rsidR="00ED0E64" w:rsidRPr="00205A06">
        <w:rPr>
          <w:bCs/>
          <w:lang w:val="en-GB"/>
        </w:rPr>
        <w:t xml:space="preserve"> </w:t>
      </w:r>
      <w:r w:rsidRPr="00205A06">
        <w:rPr>
          <w:bCs/>
          <w:lang w:val="en-GB"/>
        </w:rPr>
        <w:t xml:space="preserve">the youngest generations, for example through lectures and workshops at schools and at the Camel museum in Umnugovi province. </w:t>
      </w:r>
      <w:r w:rsidR="00ED0E64">
        <w:rPr>
          <w:bCs/>
          <w:lang w:val="en-GB"/>
        </w:rPr>
        <w:t>The s</w:t>
      </w:r>
      <w:r w:rsidR="00ED0E64" w:rsidRPr="00205A06">
        <w:rPr>
          <w:bCs/>
          <w:lang w:val="en-GB"/>
        </w:rPr>
        <w:t xml:space="preserve">pring </w:t>
      </w:r>
      <w:r w:rsidRPr="00205A06">
        <w:rPr>
          <w:bCs/>
          <w:lang w:val="en-GB"/>
        </w:rPr>
        <w:t xml:space="preserve">semester holiday for herders’ children has been extended </w:t>
      </w:r>
      <w:r w:rsidR="00AD7A97">
        <w:rPr>
          <w:bCs/>
          <w:lang w:val="en-GB"/>
        </w:rPr>
        <w:t>to</w:t>
      </w:r>
      <w:r w:rsidRPr="00205A06">
        <w:rPr>
          <w:bCs/>
          <w:lang w:val="en-GB"/>
        </w:rPr>
        <w:t xml:space="preserve"> </w:t>
      </w:r>
      <w:r w:rsidR="00ED0E64">
        <w:rPr>
          <w:bCs/>
          <w:lang w:val="en-GB"/>
        </w:rPr>
        <w:t>provide</w:t>
      </w:r>
      <w:r w:rsidRPr="00205A06">
        <w:rPr>
          <w:bCs/>
          <w:lang w:val="en-GB"/>
        </w:rPr>
        <w:t xml:space="preserve"> the possibility for school children to be with their families during the birth season of animals and to learn the coaxing ritual for camels. The ritual has been performed at an increasing number of local and national festivals, competitions and ceremonies. Public awareness has been raised, also through </w:t>
      </w:r>
      <w:r w:rsidR="00ED0E64">
        <w:rPr>
          <w:bCs/>
          <w:lang w:val="en-GB"/>
        </w:rPr>
        <w:t xml:space="preserve">the </w:t>
      </w:r>
      <w:r w:rsidRPr="00205A06">
        <w:rPr>
          <w:bCs/>
          <w:lang w:val="en-GB"/>
        </w:rPr>
        <w:t xml:space="preserve">media, favouring a sense of pride </w:t>
      </w:r>
      <w:r w:rsidR="00ED0E64">
        <w:rPr>
          <w:bCs/>
          <w:lang w:val="en-GB"/>
        </w:rPr>
        <w:t>in</w:t>
      </w:r>
      <w:r w:rsidR="00ED0E64" w:rsidRPr="00205A06">
        <w:rPr>
          <w:bCs/>
          <w:lang w:val="en-GB"/>
        </w:rPr>
        <w:t xml:space="preserve"> </w:t>
      </w:r>
      <w:r w:rsidRPr="00205A06">
        <w:rPr>
          <w:bCs/>
          <w:lang w:val="en-GB"/>
        </w:rPr>
        <w:t xml:space="preserve">the element. Financial </w:t>
      </w:r>
      <w:r>
        <w:rPr>
          <w:bCs/>
          <w:lang w:val="en-GB"/>
        </w:rPr>
        <w:t>and policy support</w:t>
      </w:r>
      <w:r w:rsidRPr="00205A06">
        <w:rPr>
          <w:bCs/>
          <w:lang w:val="en-GB"/>
        </w:rPr>
        <w:t xml:space="preserve"> has </w:t>
      </w:r>
      <w:r>
        <w:rPr>
          <w:bCs/>
          <w:lang w:val="en-GB"/>
        </w:rPr>
        <w:t>helped</w:t>
      </w:r>
      <w:r w:rsidRPr="00205A06">
        <w:rPr>
          <w:bCs/>
          <w:lang w:val="en-GB"/>
        </w:rPr>
        <w:t xml:space="preserve"> increase the number of camels</w:t>
      </w:r>
      <w:r>
        <w:rPr>
          <w:bCs/>
          <w:lang w:val="en-GB"/>
        </w:rPr>
        <w:t xml:space="preserve">, </w:t>
      </w:r>
      <w:r w:rsidRPr="00BB3802">
        <w:rPr>
          <w:bCs/>
          <w:lang w:val="en-GB"/>
        </w:rPr>
        <w:t xml:space="preserve">including at </w:t>
      </w:r>
      <w:r w:rsidR="00ED0E64">
        <w:rPr>
          <w:bCs/>
          <w:lang w:val="en-GB"/>
        </w:rPr>
        <w:t xml:space="preserve">the </w:t>
      </w:r>
      <w:r w:rsidRPr="00BB3802">
        <w:rPr>
          <w:bCs/>
          <w:lang w:val="en-GB"/>
        </w:rPr>
        <w:t>provincial level for transportation purposes</w:t>
      </w:r>
      <w:r>
        <w:rPr>
          <w:bCs/>
          <w:lang w:val="en-GB"/>
        </w:rPr>
        <w:t>,</w:t>
      </w:r>
      <w:r w:rsidRPr="00205A06">
        <w:rPr>
          <w:bCs/>
          <w:lang w:val="en-GB"/>
        </w:rPr>
        <w:t xml:space="preserve"> and </w:t>
      </w:r>
      <w:r>
        <w:rPr>
          <w:bCs/>
          <w:lang w:val="en-GB"/>
        </w:rPr>
        <w:t xml:space="preserve">to </w:t>
      </w:r>
      <w:r w:rsidRPr="00205A06">
        <w:rPr>
          <w:bCs/>
          <w:lang w:val="en-GB"/>
        </w:rPr>
        <w:t>revitalize customs related to camel</w:t>
      </w:r>
      <w:r>
        <w:rPr>
          <w:bCs/>
          <w:lang w:val="en-GB"/>
        </w:rPr>
        <w:t>s</w:t>
      </w:r>
      <w:r w:rsidRPr="00205A06">
        <w:rPr>
          <w:bCs/>
          <w:lang w:val="en-GB"/>
        </w:rPr>
        <w:t xml:space="preserve"> in Mongolia, and the number of healthy grown baby camels a</w:t>
      </w:r>
      <w:r>
        <w:rPr>
          <w:bCs/>
          <w:lang w:val="en-GB"/>
        </w:rPr>
        <w:t>s well as</w:t>
      </w:r>
      <w:r w:rsidRPr="00205A06">
        <w:rPr>
          <w:bCs/>
          <w:lang w:val="en-GB"/>
        </w:rPr>
        <w:t xml:space="preserve"> camel herds </w:t>
      </w:r>
      <w:r w:rsidR="00ED0E64" w:rsidRPr="00205A06">
        <w:rPr>
          <w:bCs/>
          <w:lang w:val="en-GB"/>
        </w:rPr>
        <w:t>ha</w:t>
      </w:r>
      <w:r w:rsidR="00ED0E64">
        <w:rPr>
          <w:bCs/>
          <w:lang w:val="en-GB"/>
        </w:rPr>
        <w:t>s</w:t>
      </w:r>
      <w:r w:rsidR="00ED0E64" w:rsidRPr="00205A06">
        <w:rPr>
          <w:bCs/>
          <w:lang w:val="en-GB"/>
        </w:rPr>
        <w:t xml:space="preserve"> </w:t>
      </w:r>
      <w:r w:rsidRPr="00205A06">
        <w:rPr>
          <w:bCs/>
          <w:lang w:val="en-GB"/>
        </w:rPr>
        <w:t>been increasing. The government and local governing administrations and private donations have supported safeguarding activities</w:t>
      </w:r>
      <w:r>
        <w:rPr>
          <w:bCs/>
          <w:lang w:val="en-GB"/>
        </w:rPr>
        <w:t>, which were implemented in line with the National Program for Safeguarding Intangible Cultural Heritage</w:t>
      </w:r>
      <w:r w:rsidRPr="00205A06">
        <w:rPr>
          <w:bCs/>
          <w:lang w:val="en-GB"/>
        </w:rPr>
        <w:t xml:space="preserve">; however, financial constraints </w:t>
      </w:r>
      <w:r>
        <w:rPr>
          <w:bCs/>
          <w:lang w:val="en-GB"/>
        </w:rPr>
        <w:t>have been a constant challenge</w:t>
      </w:r>
      <w:r w:rsidRPr="00205A06">
        <w:rPr>
          <w:bCs/>
          <w:lang w:val="en-GB"/>
        </w:rPr>
        <w:t xml:space="preserve">. As reported, </w:t>
      </w:r>
      <w:r>
        <w:rPr>
          <w:bCs/>
          <w:lang w:val="en-GB"/>
        </w:rPr>
        <w:t>further</w:t>
      </w:r>
      <w:r w:rsidRPr="00205A06">
        <w:rPr>
          <w:bCs/>
          <w:lang w:val="en-GB"/>
        </w:rPr>
        <w:t xml:space="preserve"> support to practitioners </w:t>
      </w:r>
      <w:r>
        <w:rPr>
          <w:bCs/>
          <w:lang w:val="en-GB"/>
        </w:rPr>
        <w:t xml:space="preserve">and </w:t>
      </w:r>
      <w:r w:rsidRPr="00205A06">
        <w:rPr>
          <w:bCs/>
          <w:lang w:val="en-GB"/>
        </w:rPr>
        <w:t>innovative ways for training and promotin</w:t>
      </w:r>
      <w:r>
        <w:rPr>
          <w:bCs/>
          <w:lang w:val="en-GB"/>
        </w:rPr>
        <w:t>g</w:t>
      </w:r>
      <w:r w:rsidRPr="00205A06">
        <w:rPr>
          <w:bCs/>
          <w:lang w:val="en-GB"/>
        </w:rPr>
        <w:t xml:space="preserve"> the element </w:t>
      </w:r>
      <w:r>
        <w:rPr>
          <w:bCs/>
          <w:lang w:val="en-GB"/>
        </w:rPr>
        <w:t>are</w:t>
      </w:r>
      <w:r w:rsidRPr="00205A06">
        <w:rPr>
          <w:bCs/>
          <w:lang w:val="en-GB"/>
        </w:rPr>
        <w:t xml:space="preserve"> needed for future safeguarding. As for the updated safeguarding plan, it is </w:t>
      </w:r>
      <w:r>
        <w:rPr>
          <w:bCs/>
          <w:lang w:val="en-GB"/>
        </w:rPr>
        <w:t>expected</w:t>
      </w:r>
      <w:r w:rsidRPr="00205A06">
        <w:rPr>
          <w:bCs/>
          <w:lang w:val="en-GB"/>
        </w:rPr>
        <w:t xml:space="preserve"> to </w:t>
      </w:r>
      <w:r>
        <w:rPr>
          <w:bCs/>
          <w:lang w:val="en-GB"/>
        </w:rPr>
        <w:t>continue the existing research, training and promotion activities and</w:t>
      </w:r>
      <w:r w:rsidR="00ED0E64">
        <w:rPr>
          <w:bCs/>
          <w:lang w:val="en-GB"/>
        </w:rPr>
        <w:t xml:space="preserve"> to</w:t>
      </w:r>
      <w:r>
        <w:rPr>
          <w:bCs/>
          <w:lang w:val="en-GB"/>
        </w:rPr>
        <w:t xml:space="preserve"> </w:t>
      </w:r>
      <w:r w:rsidRPr="00205A06">
        <w:rPr>
          <w:bCs/>
          <w:lang w:val="en-GB"/>
        </w:rPr>
        <w:t xml:space="preserve">extend the geographical scope of </w:t>
      </w:r>
      <w:r w:rsidR="00ED0E64">
        <w:rPr>
          <w:bCs/>
          <w:lang w:val="en-GB"/>
        </w:rPr>
        <w:t xml:space="preserve">the </w:t>
      </w:r>
      <w:r w:rsidRPr="00205A06">
        <w:rPr>
          <w:bCs/>
          <w:lang w:val="en-GB"/>
        </w:rPr>
        <w:t>safeguarding activities beyond the Gobi region in Mongolia.</w:t>
      </w:r>
    </w:p>
    <w:p w14:paraId="3C50E2E9" w14:textId="3F53EB44" w:rsidR="009B6F90" w:rsidRPr="00205A06" w:rsidRDefault="009B6F90" w:rsidP="009B6F9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Camel herders and practitioners are involved in </w:t>
      </w:r>
      <w:r>
        <w:rPr>
          <w:bCs/>
          <w:lang w:val="en-GB"/>
        </w:rPr>
        <w:t xml:space="preserve">the </w:t>
      </w:r>
      <w:r w:rsidRPr="00205A06">
        <w:rPr>
          <w:bCs/>
          <w:lang w:val="en-GB"/>
        </w:rPr>
        <w:t>revitalization, transmission and promotion activities. Practitioners have guided training activities, including for learning to play traditional musical instruments used for the ritual, and have taught the coaxing ritual at secondary schools within special program</w:t>
      </w:r>
      <w:r w:rsidR="00ED0E64">
        <w:rPr>
          <w:bCs/>
          <w:lang w:val="en-GB"/>
        </w:rPr>
        <w:t>me</w:t>
      </w:r>
      <w:r w:rsidRPr="00205A06">
        <w:rPr>
          <w:bCs/>
          <w:lang w:val="en-GB"/>
        </w:rPr>
        <w:t xml:space="preserve">s on local culture. </w:t>
      </w:r>
      <w:r>
        <w:rPr>
          <w:bCs/>
          <w:lang w:val="en-GB"/>
        </w:rPr>
        <w:t>The r</w:t>
      </w:r>
      <w:r w:rsidRPr="00205A06">
        <w:rPr>
          <w:bCs/>
          <w:lang w:val="en-GB"/>
        </w:rPr>
        <w:t xml:space="preserve">egistration of practitioners in a regularly updated information database has been </w:t>
      </w:r>
      <w:r>
        <w:rPr>
          <w:bCs/>
          <w:lang w:val="en-GB"/>
        </w:rPr>
        <w:t>carried out</w:t>
      </w:r>
      <w:r w:rsidRPr="00205A06">
        <w:rPr>
          <w:bCs/>
          <w:lang w:val="en-GB"/>
        </w:rPr>
        <w:t xml:space="preserve"> with their free, prior and informed consent. The involvement of bearers in local and national festivals, competitions and ceremonies has increased. However, according to the report, the involvement of various stakeholders in the safeguarding</w:t>
      </w:r>
      <w:r>
        <w:rPr>
          <w:bCs/>
          <w:lang w:val="en-GB"/>
        </w:rPr>
        <w:t xml:space="preserve"> of the element</w:t>
      </w:r>
      <w:r w:rsidRPr="00205A06">
        <w:rPr>
          <w:bCs/>
          <w:lang w:val="en-GB"/>
        </w:rPr>
        <w:t xml:space="preserve"> needs to be increased. Practitioners, herders and musicians, together with </w:t>
      </w:r>
      <w:r w:rsidR="00ED0E64">
        <w:rPr>
          <w:bCs/>
          <w:lang w:val="en-GB"/>
        </w:rPr>
        <w:t xml:space="preserve">the </w:t>
      </w:r>
      <w:r w:rsidRPr="00205A06">
        <w:rPr>
          <w:bCs/>
          <w:lang w:val="en-GB"/>
        </w:rPr>
        <w:t>respective government institutions, local government administrations and other organizations have participated in updating the safeguarding plan and preparing the report.</w:t>
      </w:r>
    </w:p>
    <w:p w14:paraId="061DCAB5" w14:textId="27891367" w:rsidR="009B6F90" w:rsidRPr="00205A06" w:rsidRDefault="009B6F90" w:rsidP="009B6F90">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w:t>
      </w:r>
      <w:r w:rsidRPr="00205A06">
        <w:rPr>
          <w:bCs/>
          <w:lang w:val="en-GB"/>
        </w:rPr>
        <w:t xml:space="preserve">Although the number of practitioners and apprentices has increased, the major risks for the viability of the element persist, such as rapid changes in the nomadic lifestyle, </w:t>
      </w:r>
      <w:r w:rsidR="00ED0E64">
        <w:rPr>
          <w:bCs/>
          <w:lang w:val="en-GB"/>
        </w:rPr>
        <w:t xml:space="preserve">a </w:t>
      </w:r>
      <w:r w:rsidRPr="00205A06">
        <w:rPr>
          <w:bCs/>
          <w:lang w:val="en-GB"/>
        </w:rPr>
        <w:t xml:space="preserve">decline </w:t>
      </w:r>
      <w:r w:rsidR="00ED0E64">
        <w:rPr>
          <w:bCs/>
          <w:lang w:val="en-GB"/>
        </w:rPr>
        <w:t>in</w:t>
      </w:r>
      <w:r w:rsidR="00ED0E64" w:rsidRPr="00205A06">
        <w:rPr>
          <w:bCs/>
          <w:lang w:val="en-GB"/>
        </w:rPr>
        <w:t xml:space="preserve"> </w:t>
      </w:r>
      <w:r w:rsidRPr="00205A06">
        <w:rPr>
          <w:bCs/>
          <w:lang w:val="en-GB"/>
        </w:rPr>
        <w:t>the traditional use of camels in nomadic life</w:t>
      </w:r>
      <w:r>
        <w:rPr>
          <w:bCs/>
          <w:lang w:val="en-GB"/>
        </w:rPr>
        <w:t>,</w:t>
      </w:r>
      <w:r w:rsidRPr="00205A06">
        <w:rPr>
          <w:bCs/>
          <w:lang w:val="en-GB"/>
        </w:rPr>
        <w:t xml:space="preserve"> </w:t>
      </w:r>
      <w:r w:rsidR="00ED0E64">
        <w:rPr>
          <w:bCs/>
          <w:lang w:val="en-GB"/>
        </w:rPr>
        <w:t xml:space="preserve">a </w:t>
      </w:r>
      <w:r w:rsidRPr="00205A06">
        <w:rPr>
          <w:bCs/>
          <w:lang w:val="en-GB"/>
        </w:rPr>
        <w:t>dramatic increase in migration from rural to urban areas</w:t>
      </w:r>
      <w:r>
        <w:rPr>
          <w:bCs/>
          <w:lang w:val="en-GB"/>
        </w:rPr>
        <w:t xml:space="preserve"> and the rapid development of the mining sector in the Gobi region</w:t>
      </w:r>
      <w:r w:rsidRPr="00205A06">
        <w:rPr>
          <w:bCs/>
          <w:lang w:val="en-GB"/>
        </w:rPr>
        <w:t xml:space="preserve">. </w:t>
      </w:r>
      <w:r w:rsidR="00ED0E64">
        <w:rPr>
          <w:bCs/>
          <w:lang w:val="en-GB"/>
        </w:rPr>
        <w:t>The s</w:t>
      </w:r>
      <w:r w:rsidR="00ED0E64" w:rsidRPr="00205A06">
        <w:rPr>
          <w:bCs/>
          <w:lang w:val="en-GB"/>
        </w:rPr>
        <w:t xml:space="preserve">evere </w:t>
      </w:r>
      <w:r w:rsidRPr="00205A06">
        <w:rPr>
          <w:bCs/>
          <w:lang w:val="en-GB"/>
        </w:rPr>
        <w:t xml:space="preserve">continental climate and the difficulty of herding </w:t>
      </w:r>
      <w:r w:rsidR="00ED0E64" w:rsidRPr="00205A06">
        <w:rPr>
          <w:bCs/>
          <w:lang w:val="en-GB"/>
        </w:rPr>
        <w:t>ha</w:t>
      </w:r>
      <w:r w:rsidR="00ED0E64">
        <w:rPr>
          <w:bCs/>
          <w:lang w:val="en-GB"/>
        </w:rPr>
        <w:t>ve</w:t>
      </w:r>
      <w:r w:rsidR="00ED0E64" w:rsidRPr="00205A06">
        <w:rPr>
          <w:bCs/>
          <w:lang w:val="en-GB"/>
        </w:rPr>
        <w:t xml:space="preserve"> </w:t>
      </w:r>
      <w:r w:rsidRPr="00205A06">
        <w:rPr>
          <w:bCs/>
          <w:lang w:val="en-GB"/>
        </w:rPr>
        <w:t xml:space="preserve">caused parents to encourage their children to choose other professions than pastoral husbandry. There is also less income from camel herding in comparison to other fields of activity. </w:t>
      </w:r>
      <w:bookmarkStart w:id="10" w:name="_Hlk55840122"/>
      <w:r w:rsidRPr="00205A06">
        <w:rPr>
          <w:bCs/>
          <w:lang w:val="en-GB"/>
        </w:rPr>
        <w:t>Girls are encouraged by their families to move to urban areas to study, and single young men remain</w:t>
      </w:r>
      <w:r w:rsidR="00ED0E64">
        <w:rPr>
          <w:bCs/>
          <w:lang w:val="en-GB"/>
        </w:rPr>
        <w:t xml:space="preserve"> </w:t>
      </w:r>
      <w:r w:rsidRPr="00205A06">
        <w:rPr>
          <w:bCs/>
          <w:lang w:val="en-GB"/>
        </w:rPr>
        <w:t xml:space="preserve">the dominant group among herders. The loss of gender balance among young herders is identified as a risk </w:t>
      </w:r>
      <w:r w:rsidRPr="00205A06">
        <w:rPr>
          <w:bCs/>
          <w:lang w:val="en-GB"/>
        </w:rPr>
        <w:lastRenderedPageBreak/>
        <w:t xml:space="preserve">for the safeguarding of the element. </w:t>
      </w:r>
      <w:bookmarkEnd w:id="10"/>
      <w:r w:rsidR="009E54D5">
        <w:rPr>
          <w:bCs/>
          <w:lang w:val="en-GB"/>
        </w:rPr>
        <w:t>In addition, v</w:t>
      </w:r>
      <w:r w:rsidRPr="00205A06">
        <w:rPr>
          <w:bCs/>
          <w:lang w:val="en-GB"/>
        </w:rPr>
        <w:t xml:space="preserve">ery few herder families have the musical instruments needed </w:t>
      </w:r>
      <w:r w:rsidR="00E21305">
        <w:rPr>
          <w:bCs/>
          <w:lang w:val="en-GB"/>
        </w:rPr>
        <w:t>to transmit</w:t>
      </w:r>
      <w:r w:rsidRPr="00205A06">
        <w:rPr>
          <w:bCs/>
          <w:lang w:val="en-GB"/>
        </w:rPr>
        <w:t xml:space="preserve"> the knowledge and skills </w:t>
      </w:r>
      <w:r w:rsidR="00E21305">
        <w:rPr>
          <w:bCs/>
          <w:lang w:val="en-GB"/>
        </w:rPr>
        <w:t xml:space="preserve">required </w:t>
      </w:r>
      <w:r w:rsidRPr="00205A06">
        <w:rPr>
          <w:bCs/>
          <w:lang w:val="en-GB"/>
        </w:rPr>
        <w:t>to play them for the ritual.</w:t>
      </w:r>
    </w:p>
    <w:p w14:paraId="3FF62EDC" w14:textId="77777777" w:rsidR="009B6F90" w:rsidRPr="00927EC3" w:rsidRDefault="009B6F90" w:rsidP="009B6F90">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w:t>
      </w:r>
      <w:r w:rsidRPr="00927EC3">
        <w:rPr>
          <w:lang w:val="en-GB"/>
        </w:rPr>
        <w:t xml:space="preserve">Committee may </w:t>
      </w:r>
      <w:r w:rsidRPr="00927EC3">
        <w:rPr>
          <w:bCs/>
          <w:lang w:val="en-GB"/>
        </w:rPr>
        <w:t>wish</w:t>
      </w:r>
      <w:r w:rsidRPr="00927EC3">
        <w:rPr>
          <w:lang w:val="en-GB"/>
        </w:rPr>
        <w:t xml:space="preserve"> to adopt the following decision:</w:t>
      </w:r>
    </w:p>
    <w:p w14:paraId="62709519" w14:textId="66D75B38" w:rsidR="009B6F90" w:rsidRPr="00927EC3" w:rsidRDefault="009B6F90" w:rsidP="009B6F90">
      <w:pPr>
        <w:pStyle w:val="Titre4"/>
        <w:numPr>
          <w:ilvl w:val="0"/>
          <w:numId w:val="0"/>
        </w:numPr>
        <w:spacing w:before="240"/>
        <w:ind w:left="567"/>
        <w:rPr>
          <w:rFonts w:eastAsia="SimSun"/>
          <w:szCs w:val="22"/>
        </w:rPr>
      </w:pPr>
      <w:bookmarkStart w:id="11" w:name="Dec10COM_6b1"/>
      <w:bookmarkStart w:id="12" w:name="Dec11COM_9b1"/>
      <w:bookmarkStart w:id="13" w:name="_DRAFT_DECISION_12.COM"/>
      <w:bookmarkStart w:id="14" w:name="Dec15COM7_7"/>
      <w:bookmarkEnd w:id="11"/>
      <w:bookmarkEnd w:id="12"/>
      <w:bookmarkEnd w:id="13"/>
      <w:r w:rsidRPr="00927EC3">
        <w:rPr>
          <w:szCs w:val="22"/>
        </w:rPr>
        <w:t>DRAFT DECISION 15.COM </w:t>
      </w:r>
      <w:r w:rsidR="00B40F86" w:rsidRPr="00927EC3">
        <w:rPr>
          <w:szCs w:val="22"/>
        </w:rPr>
        <w:t>7</w:t>
      </w:r>
      <w:r w:rsidRPr="00927EC3">
        <w:rPr>
          <w:szCs w:val="22"/>
        </w:rPr>
        <w:t>.7</w:t>
      </w:r>
      <w:bookmarkEnd w:id="14"/>
      <w:r w:rsidRPr="00927EC3">
        <w:rPr>
          <w:szCs w:val="22"/>
        </w:rPr>
        <w:tab/>
      </w:r>
      <w:r w:rsidR="00333192" w:rsidRPr="00927EC3">
        <w:rPr>
          <w:noProof/>
          <w:color w:val="0000FF"/>
        </w:rPr>
        <w:drawing>
          <wp:inline distT="0" distB="0" distL="0" distR="0" wp14:anchorId="6ED3714C" wp14:editId="40AE5769">
            <wp:extent cx="104775" cy="104775"/>
            <wp:effectExtent l="0" t="0" r="9525" b="9525"/>
            <wp:docPr id="7"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1414BE7F" w14:textId="77777777" w:rsidR="009B6F90" w:rsidRPr="00927EC3" w:rsidRDefault="009B6F90" w:rsidP="009B6F90">
      <w:pPr>
        <w:pStyle w:val="Para"/>
        <w:keepNext/>
        <w:numPr>
          <w:ilvl w:val="0"/>
          <w:numId w:val="0"/>
        </w:numPr>
        <w:tabs>
          <w:tab w:val="left" w:pos="1134"/>
        </w:tabs>
        <w:spacing w:line="240" w:lineRule="auto"/>
        <w:ind w:left="567"/>
        <w:rPr>
          <w:rFonts w:cs="Arial"/>
          <w:sz w:val="22"/>
          <w:szCs w:val="22"/>
          <w:lang w:val="en-GB"/>
        </w:rPr>
      </w:pPr>
      <w:r w:rsidRPr="00927EC3">
        <w:rPr>
          <w:rFonts w:cs="Arial"/>
          <w:sz w:val="22"/>
          <w:szCs w:val="22"/>
          <w:lang w:val="en-GB"/>
        </w:rPr>
        <w:t>The Committee,</w:t>
      </w:r>
    </w:p>
    <w:p w14:paraId="7ADCBC84" w14:textId="389380C9" w:rsidR="009B6F90" w:rsidRPr="00927EC3" w:rsidRDefault="009B6F90" w:rsidP="009B6F90">
      <w:pPr>
        <w:pStyle w:val="Para"/>
        <w:numPr>
          <w:ilvl w:val="0"/>
          <w:numId w:val="37"/>
        </w:numPr>
        <w:tabs>
          <w:tab w:val="left" w:pos="1134"/>
        </w:tabs>
        <w:spacing w:line="240" w:lineRule="auto"/>
        <w:rPr>
          <w:rFonts w:cs="Arial"/>
          <w:sz w:val="22"/>
          <w:szCs w:val="22"/>
          <w:lang w:val="pt-PT"/>
        </w:rPr>
      </w:pPr>
      <w:r w:rsidRPr="00927EC3">
        <w:rPr>
          <w:rFonts w:cs="Arial"/>
          <w:sz w:val="22"/>
          <w:szCs w:val="22"/>
          <w:u w:val="single"/>
          <w:lang w:val="pt-PT"/>
        </w:rPr>
        <w:t>Having examined</w:t>
      </w:r>
      <w:r w:rsidRPr="00927EC3">
        <w:rPr>
          <w:rFonts w:cs="Arial"/>
          <w:sz w:val="22"/>
          <w:szCs w:val="22"/>
          <w:lang w:val="pt-PT"/>
        </w:rPr>
        <w:t xml:space="preserve"> document LHE/20/15.COM/</w:t>
      </w:r>
      <w:r w:rsidR="00B40F86" w:rsidRPr="00927EC3">
        <w:rPr>
          <w:rFonts w:cs="Arial"/>
          <w:sz w:val="22"/>
          <w:szCs w:val="22"/>
          <w:lang w:val="pt-PT"/>
        </w:rPr>
        <w:t>7</w:t>
      </w:r>
      <w:r w:rsidRPr="00927EC3">
        <w:rPr>
          <w:rFonts w:cs="Arial"/>
          <w:sz w:val="22"/>
          <w:szCs w:val="22"/>
          <w:lang w:val="pt-PT"/>
        </w:rPr>
        <w:t>,</w:t>
      </w:r>
    </w:p>
    <w:p w14:paraId="0138FE81" w14:textId="77777777"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Recalling</w:t>
      </w:r>
      <w:r w:rsidRPr="009B6F90">
        <w:rPr>
          <w:rFonts w:cs="Arial"/>
          <w:sz w:val="22"/>
          <w:szCs w:val="22"/>
          <w:lang w:val="en-GB"/>
        </w:rPr>
        <w:t xml:space="preserve"> Chapter V of the Operational Directives and its Decision </w:t>
      </w:r>
      <w:hyperlink r:id="rId76" w:history="1">
        <w:r w:rsidRPr="009B6F90">
          <w:rPr>
            <w:rStyle w:val="Lienhypertexte"/>
            <w:rFonts w:cs="Arial"/>
            <w:sz w:val="22"/>
            <w:szCs w:val="22"/>
            <w:lang w:val="en-GB"/>
          </w:rPr>
          <w:t>10.COM 10.a.5</w:t>
        </w:r>
      </w:hyperlink>
      <w:r w:rsidRPr="009B6F90">
        <w:rPr>
          <w:rFonts w:cs="Arial"/>
          <w:sz w:val="22"/>
          <w:szCs w:val="22"/>
          <w:lang w:val="en-GB"/>
        </w:rPr>
        <w:t>,</w:t>
      </w:r>
    </w:p>
    <w:p w14:paraId="028859BB" w14:textId="77777777"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Expresses its thanks</w:t>
      </w:r>
      <w:r w:rsidRPr="009B6F90">
        <w:rPr>
          <w:rFonts w:cs="Arial"/>
          <w:sz w:val="22"/>
          <w:szCs w:val="22"/>
          <w:lang w:val="en-GB"/>
        </w:rPr>
        <w:t xml:space="preserve"> to Mongolia for submitting, on time, its report on the </w:t>
      </w:r>
      <w:r w:rsidRPr="009B6F90">
        <w:rPr>
          <w:rFonts w:cs="Arial"/>
          <w:bCs/>
          <w:sz w:val="22"/>
          <w:szCs w:val="22"/>
          <w:lang w:val="en-GB"/>
        </w:rPr>
        <w:t xml:space="preserve">status of the </w:t>
      </w:r>
      <w:r w:rsidRPr="009B6F90">
        <w:rPr>
          <w:rFonts w:cs="Arial"/>
          <w:sz w:val="22"/>
          <w:szCs w:val="22"/>
          <w:lang w:val="en-GB"/>
        </w:rPr>
        <w:t>element ‘</w:t>
      </w:r>
      <w:r w:rsidRPr="009B6F90">
        <w:rPr>
          <w:sz w:val="22"/>
          <w:szCs w:val="22"/>
          <w:lang w:val="en-GB"/>
        </w:rPr>
        <w:t>Coaxing ritual for camels</w:t>
      </w:r>
      <w:r w:rsidRPr="009B6F90">
        <w:rPr>
          <w:rFonts w:cs="Arial"/>
          <w:sz w:val="22"/>
          <w:szCs w:val="22"/>
          <w:lang w:val="en-GB"/>
        </w:rPr>
        <w:t>’, inscribed</w:t>
      </w:r>
      <w:r w:rsidRPr="009B6F90">
        <w:rPr>
          <w:rFonts w:cs="Arial"/>
          <w:bCs/>
          <w:sz w:val="22"/>
          <w:szCs w:val="22"/>
          <w:lang w:val="en-GB"/>
        </w:rPr>
        <w:t xml:space="preserve"> in 2015 on the List of Intangible Cultural Heritage in Need of Urgent Safeguarding;</w:t>
      </w:r>
    </w:p>
    <w:p w14:paraId="43E71D9F" w14:textId="40BA34B5"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Takes note</w:t>
      </w:r>
      <w:r w:rsidRPr="009B6F90">
        <w:rPr>
          <w:rFonts w:cs="Arial"/>
          <w:sz w:val="22"/>
          <w:szCs w:val="22"/>
          <w:lang w:val="en-GB"/>
        </w:rPr>
        <w:t xml:space="preserve"> of the efforts of Mongolia to support the transmission of the element, </w:t>
      </w:r>
      <w:r w:rsidR="00B34357">
        <w:rPr>
          <w:rFonts w:cs="Arial"/>
          <w:sz w:val="22"/>
          <w:szCs w:val="22"/>
          <w:lang w:val="en-GB"/>
        </w:rPr>
        <w:t>especially</w:t>
      </w:r>
      <w:r w:rsidRPr="009B6F90">
        <w:rPr>
          <w:rFonts w:cs="Arial"/>
          <w:sz w:val="22"/>
          <w:szCs w:val="22"/>
          <w:lang w:val="en-GB"/>
        </w:rPr>
        <w:t xml:space="preserve"> through direct apprenticeship and training program</w:t>
      </w:r>
      <w:r w:rsidR="00E21305">
        <w:rPr>
          <w:rFonts w:cs="Arial"/>
          <w:sz w:val="22"/>
          <w:szCs w:val="22"/>
          <w:lang w:val="en-GB"/>
        </w:rPr>
        <w:t>me</w:t>
      </w:r>
      <w:r w:rsidRPr="009B6F90">
        <w:rPr>
          <w:rFonts w:cs="Arial"/>
          <w:sz w:val="22"/>
          <w:szCs w:val="22"/>
          <w:lang w:val="en-GB"/>
        </w:rPr>
        <w:t>s leading to an increased number of practitioners, and to provide opportunities for children to learn the coaxing ritual in their families and at school;</w:t>
      </w:r>
    </w:p>
    <w:p w14:paraId="14683511" w14:textId="6673EFC1"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Invites</w:t>
      </w:r>
      <w:r w:rsidRPr="009B6F90">
        <w:rPr>
          <w:rFonts w:cs="Arial"/>
          <w:sz w:val="22"/>
          <w:szCs w:val="22"/>
          <w:lang w:val="en-GB"/>
        </w:rPr>
        <w:t xml:space="preserve"> the State Party to continue its efforts to safeguard diverse aspects of the element, including the knowledge and skills of playing traditional musical instruments, to address </w:t>
      </w:r>
      <w:r w:rsidR="00E21305">
        <w:rPr>
          <w:rFonts w:cs="Arial"/>
          <w:sz w:val="22"/>
          <w:szCs w:val="22"/>
          <w:lang w:val="en-GB"/>
        </w:rPr>
        <w:t xml:space="preserve">the </w:t>
      </w:r>
      <w:r w:rsidRPr="009B6F90">
        <w:rPr>
          <w:rFonts w:cs="Arial"/>
          <w:sz w:val="22"/>
          <w:szCs w:val="22"/>
          <w:lang w:val="en-GB"/>
        </w:rPr>
        <w:t xml:space="preserve">community’s need for </w:t>
      </w:r>
      <w:r w:rsidRPr="009B6F90">
        <w:rPr>
          <w:bCs/>
          <w:sz w:val="22"/>
          <w:szCs w:val="22"/>
          <w:lang w:val="en-GB"/>
        </w:rPr>
        <w:t xml:space="preserve">musical instruments used for the coaxing ritual, </w:t>
      </w:r>
      <w:bookmarkStart w:id="15" w:name="_Hlk55840142"/>
      <w:r w:rsidRPr="009B6F90">
        <w:rPr>
          <w:rFonts w:cs="Arial"/>
          <w:sz w:val="22"/>
          <w:szCs w:val="22"/>
          <w:lang w:val="en-GB"/>
        </w:rPr>
        <w:t xml:space="preserve">to enhance </w:t>
      </w:r>
      <w:r w:rsidR="00E21305">
        <w:rPr>
          <w:rFonts w:cs="Arial"/>
          <w:sz w:val="22"/>
          <w:szCs w:val="22"/>
          <w:lang w:val="en-GB"/>
        </w:rPr>
        <w:t xml:space="preserve">the </w:t>
      </w:r>
      <w:r w:rsidRPr="009B6F90">
        <w:rPr>
          <w:rFonts w:cs="Arial"/>
          <w:sz w:val="22"/>
          <w:szCs w:val="22"/>
          <w:lang w:val="en-GB"/>
        </w:rPr>
        <w:t xml:space="preserve">gender balance in the safeguarding of the element </w:t>
      </w:r>
      <w:bookmarkEnd w:id="15"/>
      <w:r w:rsidRPr="009B6F90">
        <w:rPr>
          <w:rFonts w:cs="Arial"/>
          <w:sz w:val="22"/>
          <w:szCs w:val="22"/>
          <w:lang w:val="en-GB"/>
        </w:rPr>
        <w:t>and to provide financial and policy support to practitioners</w:t>
      </w:r>
      <w:r w:rsidRPr="009B6F90">
        <w:rPr>
          <w:bCs/>
          <w:sz w:val="22"/>
          <w:szCs w:val="22"/>
          <w:lang w:val="en-GB"/>
        </w:rPr>
        <w:t>;</w:t>
      </w:r>
    </w:p>
    <w:p w14:paraId="3355ABDB" w14:textId="11755A09" w:rsidR="00F53EE0" w:rsidRPr="0019457C" w:rsidRDefault="00F53EE0" w:rsidP="00F53EE0">
      <w:pPr>
        <w:pStyle w:val="Para"/>
        <w:numPr>
          <w:ilvl w:val="0"/>
          <w:numId w:val="37"/>
        </w:numPr>
        <w:tabs>
          <w:tab w:val="left" w:pos="1134"/>
        </w:tabs>
        <w:spacing w:line="240" w:lineRule="auto"/>
        <w:rPr>
          <w:rFonts w:cs="Arial"/>
          <w:sz w:val="22"/>
          <w:szCs w:val="22"/>
          <w:lang w:val="en-GB"/>
        </w:rPr>
      </w:pPr>
      <w:r w:rsidRPr="0019457C">
        <w:rPr>
          <w:rFonts w:cs="Arial"/>
          <w:sz w:val="22"/>
          <w:szCs w:val="22"/>
          <w:u w:val="single"/>
          <w:lang w:val="en-GB"/>
        </w:rPr>
        <w:t>Further takes note</w:t>
      </w:r>
      <w:r w:rsidRPr="0019457C">
        <w:rPr>
          <w:rFonts w:cs="Arial"/>
          <w:sz w:val="22"/>
          <w:szCs w:val="22"/>
          <w:lang w:val="en-GB"/>
        </w:rPr>
        <w:t xml:space="preserve"> of </w:t>
      </w:r>
      <w:r w:rsidR="00E21305">
        <w:rPr>
          <w:rFonts w:cs="Arial"/>
          <w:sz w:val="22"/>
          <w:szCs w:val="22"/>
          <w:lang w:val="en-GB"/>
        </w:rPr>
        <w:t>the</w:t>
      </w:r>
      <w:r w:rsidR="00E21305" w:rsidRPr="0019457C">
        <w:rPr>
          <w:rFonts w:cs="Arial"/>
          <w:sz w:val="22"/>
          <w:szCs w:val="22"/>
          <w:lang w:val="en-GB"/>
        </w:rPr>
        <w:t xml:space="preserve"> </w:t>
      </w:r>
      <w:r w:rsidRPr="0019457C">
        <w:rPr>
          <w:rFonts w:cs="Arial"/>
          <w:sz w:val="22"/>
          <w:szCs w:val="22"/>
          <w:lang w:val="en-GB"/>
        </w:rPr>
        <w:t>increasing</w:t>
      </w:r>
      <w:r w:rsidR="00E21305">
        <w:rPr>
          <w:rFonts w:cs="Arial"/>
          <w:sz w:val="22"/>
          <w:szCs w:val="22"/>
          <w:lang w:val="en-GB"/>
        </w:rPr>
        <w:t>ly</w:t>
      </w:r>
      <w:r w:rsidRPr="0019457C">
        <w:rPr>
          <w:rFonts w:cs="Arial"/>
          <w:sz w:val="22"/>
          <w:szCs w:val="22"/>
          <w:lang w:val="en-GB"/>
        </w:rPr>
        <w:t xml:space="preserve"> </w:t>
      </w:r>
      <w:r w:rsidR="00E21305" w:rsidRPr="0019457C">
        <w:rPr>
          <w:rFonts w:cs="Arial"/>
          <w:sz w:val="22"/>
          <w:szCs w:val="22"/>
          <w:lang w:val="en-GB"/>
        </w:rPr>
        <w:t>divers</w:t>
      </w:r>
      <w:r w:rsidR="00E21305">
        <w:rPr>
          <w:rFonts w:cs="Arial"/>
          <w:sz w:val="22"/>
          <w:szCs w:val="22"/>
          <w:lang w:val="en-GB"/>
        </w:rPr>
        <w:t>e range</w:t>
      </w:r>
      <w:r w:rsidR="00E21305" w:rsidRPr="0019457C">
        <w:rPr>
          <w:rFonts w:cs="Arial"/>
          <w:sz w:val="22"/>
          <w:szCs w:val="22"/>
          <w:lang w:val="en-GB"/>
        </w:rPr>
        <w:t xml:space="preserve"> </w:t>
      </w:r>
      <w:r w:rsidRPr="0019457C">
        <w:rPr>
          <w:rFonts w:cs="Arial"/>
          <w:sz w:val="22"/>
          <w:szCs w:val="22"/>
          <w:lang w:val="en-GB"/>
        </w:rPr>
        <w:t xml:space="preserve">of festivals and competitions organized </w:t>
      </w:r>
      <w:r w:rsidR="00E21305">
        <w:rPr>
          <w:rFonts w:cs="Arial"/>
          <w:sz w:val="22"/>
          <w:szCs w:val="22"/>
          <w:lang w:val="en-GB"/>
        </w:rPr>
        <w:t>to raise</w:t>
      </w:r>
      <w:r w:rsidRPr="0019457C">
        <w:rPr>
          <w:rFonts w:cs="Arial"/>
          <w:sz w:val="22"/>
          <w:szCs w:val="22"/>
          <w:lang w:val="en-GB"/>
        </w:rPr>
        <w:t xml:space="preserve"> public awareness about the element</w:t>
      </w:r>
      <w:r w:rsidR="00F60DBA">
        <w:rPr>
          <w:rFonts w:cs="Arial"/>
          <w:sz w:val="22"/>
          <w:szCs w:val="22"/>
          <w:lang w:val="en-GB"/>
        </w:rPr>
        <w:t>,</w:t>
      </w:r>
      <w:r w:rsidRPr="0019457C">
        <w:rPr>
          <w:rFonts w:cs="Arial"/>
          <w:sz w:val="22"/>
          <w:szCs w:val="22"/>
          <w:lang w:val="en-GB"/>
        </w:rPr>
        <w:t xml:space="preserve"> and </w:t>
      </w:r>
      <w:r w:rsidRPr="0019457C">
        <w:rPr>
          <w:rFonts w:cs="Arial"/>
          <w:sz w:val="22"/>
          <w:szCs w:val="22"/>
          <w:u w:val="single"/>
          <w:lang w:val="en-GB"/>
        </w:rPr>
        <w:t>further invites</w:t>
      </w:r>
      <w:r w:rsidRPr="0019457C">
        <w:rPr>
          <w:rFonts w:cs="Arial"/>
          <w:sz w:val="22"/>
          <w:szCs w:val="22"/>
          <w:lang w:val="en-GB"/>
        </w:rPr>
        <w:t xml:space="preserve"> the State Party to consider the potential risk </w:t>
      </w:r>
      <w:r w:rsidR="004E0028">
        <w:rPr>
          <w:rFonts w:cs="Arial"/>
          <w:sz w:val="22"/>
          <w:szCs w:val="22"/>
          <w:lang w:val="en-GB"/>
        </w:rPr>
        <w:t xml:space="preserve">and impact </w:t>
      </w:r>
      <w:r w:rsidRPr="0019457C">
        <w:rPr>
          <w:rFonts w:cs="Arial"/>
          <w:sz w:val="22"/>
          <w:szCs w:val="22"/>
          <w:lang w:val="en-GB"/>
        </w:rPr>
        <w:t xml:space="preserve">of decontextualization </w:t>
      </w:r>
      <w:r w:rsidR="00A87121" w:rsidRPr="0019457C">
        <w:rPr>
          <w:rFonts w:cs="Arial"/>
          <w:sz w:val="22"/>
          <w:szCs w:val="22"/>
          <w:lang w:val="en-GB"/>
        </w:rPr>
        <w:t xml:space="preserve">on the safeguarding </w:t>
      </w:r>
      <w:r w:rsidRPr="0019457C">
        <w:rPr>
          <w:rFonts w:cs="Arial"/>
          <w:sz w:val="22"/>
          <w:szCs w:val="22"/>
          <w:lang w:val="en-GB"/>
        </w:rPr>
        <w:t>of the element;</w:t>
      </w:r>
    </w:p>
    <w:p w14:paraId="7CC87F4D" w14:textId="5696CF73"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Encourages</w:t>
      </w:r>
      <w:r w:rsidRPr="009B6F90">
        <w:rPr>
          <w:rFonts w:cs="Arial"/>
          <w:sz w:val="22"/>
          <w:szCs w:val="22"/>
          <w:lang w:val="en-GB"/>
        </w:rPr>
        <w:t xml:space="preserve"> the State Party to extend the geographical scope of </w:t>
      </w:r>
      <w:r w:rsidR="00E21305">
        <w:rPr>
          <w:rFonts w:cs="Arial"/>
          <w:sz w:val="22"/>
          <w:szCs w:val="22"/>
          <w:lang w:val="en-GB"/>
        </w:rPr>
        <w:t xml:space="preserve">the </w:t>
      </w:r>
      <w:r w:rsidRPr="009B6F90">
        <w:rPr>
          <w:rFonts w:cs="Arial"/>
          <w:sz w:val="22"/>
          <w:szCs w:val="22"/>
          <w:lang w:val="en-GB"/>
        </w:rPr>
        <w:t xml:space="preserve">safeguarding activities within its territory and to continue building partnerships between the </w:t>
      </w:r>
      <w:r w:rsidR="007A306A">
        <w:rPr>
          <w:rFonts w:cs="Arial"/>
          <w:sz w:val="22"/>
          <w:szCs w:val="22"/>
          <w:lang w:val="en-GB"/>
        </w:rPr>
        <w:t xml:space="preserve">central </w:t>
      </w:r>
      <w:r w:rsidRPr="009B6F90">
        <w:rPr>
          <w:rFonts w:cs="Arial"/>
          <w:sz w:val="22"/>
          <w:szCs w:val="22"/>
          <w:lang w:val="en-GB"/>
        </w:rPr>
        <w:t xml:space="preserve">government, local government administrations, educational and </w:t>
      </w:r>
      <w:r w:rsidR="00F53EE0">
        <w:rPr>
          <w:rFonts w:cs="Arial"/>
          <w:sz w:val="22"/>
          <w:szCs w:val="22"/>
          <w:lang w:val="en-GB"/>
        </w:rPr>
        <w:t xml:space="preserve">cultural </w:t>
      </w:r>
      <w:r w:rsidRPr="009B6F90">
        <w:rPr>
          <w:rFonts w:cs="Arial"/>
          <w:sz w:val="22"/>
          <w:szCs w:val="22"/>
          <w:lang w:val="en-GB"/>
        </w:rPr>
        <w:t>organizations and practitioners;</w:t>
      </w:r>
    </w:p>
    <w:p w14:paraId="32C89AAB" w14:textId="77777777"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Further encourages</w:t>
      </w:r>
      <w:r w:rsidRPr="009B6F90">
        <w:rPr>
          <w:rFonts w:cs="Arial"/>
          <w:sz w:val="22"/>
          <w:szCs w:val="22"/>
          <w:lang w:val="en-GB"/>
        </w:rPr>
        <w:t xml:space="preserve"> the State Party to continuously monitor the viability of the element and the impact of national and regional policies and measures on camel herding practices with the broad involvement of practitioners and other stakeholders;</w:t>
      </w:r>
    </w:p>
    <w:p w14:paraId="0CE19337" w14:textId="77777777" w:rsidR="009B6F90" w:rsidRPr="009B6F90" w:rsidRDefault="009B6F90" w:rsidP="009B6F90">
      <w:pPr>
        <w:pStyle w:val="Para"/>
        <w:numPr>
          <w:ilvl w:val="0"/>
          <w:numId w:val="37"/>
        </w:numPr>
        <w:tabs>
          <w:tab w:val="left" w:pos="1134"/>
        </w:tabs>
        <w:spacing w:line="240" w:lineRule="auto"/>
        <w:rPr>
          <w:rFonts w:cs="Arial"/>
          <w:sz w:val="22"/>
          <w:szCs w:val="22"/>
          <w:lang w:val="en-GB"/>
        </w:rPr>
      </w:pPr>
      <w:r w:rsidRPr="009B6F90">
        <w:rPr>
          <w:rFonts w:cs="Arial"/>
          <w:sz w:val="22"/>
          <w:szCs w:val="22"/>
          <w:u w:val="single"/>
          <w:lang w:val="en-GB"/>
        </w:rPr>
        <w:t>Requests</w:t>
      </w:r>
      <w:r w:rsidRPr="009B6F90">
        <w:rPr>
          <w:rFonts w:cs="Arial"/>
          <w:sz w:val="22"/>
          <w:szCs w:val="22"/>
          <w:lang w:val="en-GB"/>
        </w:rPr>
        <w:t xml:space="preserve"> that the Secretariat inform the State Party at least nine months prior to the deadline of 15 December 2023 about the required submission of its next report on the status of this element.</w:t>
      </w:r>
    </w:p>
    <w:p w14:paraId="44D96365" w14:textId="77777777" w:rsidR="009B6F90" w:rsidRPr="00205A06" w:rsidRDefault="009B6F90" w:rsidP="009B6F90">
      <w:pPr>
        <w:rPr>
          <w:rFonts w:ascii="Arial" w:eastAsia="SimSun" w:hAnsi="Arial" w:cs="Arial"/>
          <w:sz w:val="22"/>
          <w:szCs w:val="22"/>
          <w:u w:val="single"/>
          <w:lang w:val="en-GB"/>
        </w:rPr>
      </w:pPr>
    </w:p>
    <w:p w14:paraId="62C6FF4B" w14:textId="77777777" w:rsidR="009B6F90" w:rsidRPr="00205A06" w:rsidRDefault="009B6F90" w:rsidP="009B6F90">
      <w:pPr>
        <w:pStyle w:val="Para"/>
        <w:numPr>
          <w:ilvl w:val="0"/>
          <w:numId w:val="0"/>
        </w:numPr>
        <w:tabs>
          <w:tab w:val="left" w:pos="1134"/>
        </w:tabs>
        <w:spacing w:line="240" w:lineRule="auto"/>
        <w:ind w:left="1134"/>
        <w:rPr>
          <w:rFonts w:cs="Arial"/>
          <w:sz w:val="22"/>
          <w:szCs w:val="22"/>
          <w:lang w:val="en-GB"/>
        </w:rPr>
      </w:pPr>
    </w:p>
    <w:p w14:paraId="073CC5C7" w14:textId="77777777" w:rsidR="009B6F90" w:rsidRPr="00FA4117" w:rsidRDefault="009B6F90" w:rsidP="009B6F90">
      <w:pPr>
        <w:pStyle w:val="Para"/>
        <w:numPr>
          <w:ilvl w:val="0"/>
          <w:numId w:val="0"/>
        </w:numPr>
        <w:tabs>
          <w:tab w:val="left" w:pos="1134"/>
        </w:tabs>
        <w:spacing w:line="240" w:lineRule="auto"/>
        <w:ind w:left="502" w:hanging="360"/>
        <w:rPr>
          <w:lang w:val="en-GB"/>
        </w:rPr>
      </w:pPr>
    </w:p>
    <w:p w14:paraId="055D1F21" w14:textId="77777777" w:rsidR="007245A3" w:rsidRPr="00080F48" w:rsidRDefault="007245A3" w:rsidP="009B6F90">
      <w:pPr>
        <w:pStyle w:val="Para"/>
        <w:numPr>
          <w:ilvl w:val="0"/>
          <w:numId w:val="0"/>
        </w:numPr>
        <w:tabs>
          <w:tab w:val="left" w:pos="1134"/>
        </w:tabs>
        <w:spacing w:line="240" w:lineRule="auto"/>
        <w:ind w:left="1069" w:hanging="360"/>
        <w:rPr>
          <w:rFonts w:cs="Arial"/>
          <w:sz w:val="22"/>
          <w:szCs w:val="22"/>
          <w:lang w:val="en-GB"/>
        </w:rPr>
      </w:pPr>
    </w:p>
    <w:p w14:paraId="5306C10E" w14:textId="77777777" w:rsidR="00FA4117" w:rsidRPr="00205A06" w:rsidRDefault="00FA4117" w:rsidP="007245A3">
      <w:pPr>
        <w:pStyle w:val="Para"/>
        <w:numPr>
          <w:ilvl w:val="0"/>
          <w:numId w:val="0"/>
        </w:numPr>
        <w:tabs>
          <w:tab w:val="left" w:pos="1134"/>
        </w:tabs>
        <w:spacing w:line="240" w:lineRule="auto"/>
        <w:ind w:left="502" w:hanging="360"/>
        <w:rPr>
          <w:rFonts w:cs="Arial"/>
          <w:sz w:val="22"/>
          <w:szCs w:val="22"/>
          <w:lang w:val="en-GB"/>
        </w:rPr>
      </w:pPr>
    </w:p>
    <w:p w14:paraId="76FD7A34" w14:textId="77777777" w:rsidR="0007715D" w:rsidRDefault="0007715D">
      <w:pPr>
        <w:rPr>
          <w:lang w:val="en-US"/>
        </w:rPr>
      </w:pPr>
    </w:p>
    <w:p w14:paraId="1BCEAAF3" w14:textId="77777777" w:rsidR="0007715D" w:rsidRDefault="0007715D">
      <w:pPr>
        <w:rPr>
          <w:lang w:val="en-US"/>
        </w:rPr>
      </w:pPr>
    </w:p>
    <w:p w14:paraId="09A98C06" w14:textId="77777777" w:rsidR="0007715D" w:rsidRDefault="0007715D">
      <w:pPr>
        <w:rPr>
          <w:lang w:val="en-US"/>
        </w:rPr>
      </w:pPr>
    </w:p>
    <w:p w14:paraId="2B33351A" w14:textId="77777777" w:rsidR="0007715D" w:rsidRDefault="0007715D">
      <w:pPr>
        <w:rPr>
          <w:lang w:val="en-US"/>
        </w:rPr>
      </w:pPr>
    </w:p>
    <w:p w14:paraId="2C257883" w14:textId="77777777" w:rsidR="0007715D" w:rsidRDefault="0007715D">
      <w:pPr>
        <w:rPr>
          <w:lang w:val="en-US"/>
        </w:rPr>
      </w:pPr>
    </w:p>
    <w:p w14:paraId="1E0AAFDE" w14:textId="77777777" w:rsidR="0007715D" w:rsidRDefault="0007715D">
      <w:pPr>
        <w:rPr>
          <w:lang w:val="en-US"/>
        </w:rPr>
      </w:pPr>
    </w:p>
    <w:p w14:paraId="7A69873E" w14:textId="15336F9F" w:rsidR="0007715D" w:rsidRDefault="0007715D" w:rsidP="0040546D">
      <w:pPr>
        <w:ind w:left="567"/>
        <w:rPr>
          <w:rFonts w:ascii="Arial" w:hAnsi="Arial" w:cs="Arial"/>
          <w:bCs/>
          <w:i/>
          <w:iCs/>
          <w:sz w:val="22"/>
          <w:szCs w:val="22"/>
          <w:lang w:val="en-US"/>
        </w:rPr>
      </w:pPr>
      <w:r>
        <w:rPr>
          <w:lang w:val="en-US"/>
        </w:rPr>
        <w:br w:type="page"/>
      </w:r>
      <w:r w:rsidRPr="001F44C3">
        <w:rPr>
          <w:rFonts w:ascii="Arial" w:hAnsi="Arial" w:cs="Arial"/>
          <w:b/>
          <w:color w:val="000000" w:themeColor="text1"/>
          <w:sz w:val="22"/>
          <w:szCs w:val="22"/>
          <w:lang w:val="en-US"/>
        </w:rPr>
        <w:lastRenderedPageBreak/>
        <w:t>Uganda: ‘Koogere oral tradition of the Basongora, Banyabindi and Batooro peoples’</w:t>
      </w:r>
      <w:r w:rsidRPr="001F44C3">
        <w:rPr>
          <w:rFonts w:ascii="Arial" w:hAnsi="Arial" w:cs="Arial"/>
          <w:bCs/>
          <w:i/>
          <w:iCs/>
          <w:color w:val="000000" w:themeColor="text1"/>
          <w:sz w:val="22"/>
          <w:szCs w:val="22"/>
          <w:lang w:val="en-US"/>
        </w:rPr>
        <w:t xml:space="preserve"> (</w:t>
      </w:r>
      <w:r w:rsidRPr="00F459DF">
        <w:rPr>
          <w:rFonts w:ascii="Arial" w:hAnsi="Arial" w:cs="Arial"/>
          <w:bCs/>
          <w:i/>
          <w:iCs/>
          <w:color w:val="000000" w:themeColor="text1"/>
          <w:sz w:val="22"/>
          <w:szCs w:val="22"/>
          <w:lang w:val="en-US"/>
        </w:rPr>
        <w:t xml:space="preserve">consult </w:t>
      </w:r>
      <w:r w:rsidRPr="00F459DF">
        <w:rPr>
          <w:rFonts w:ascii="Arial" w:hAnsi="Arial" w:cs="Arial"/>
          <w:bCs/>
          <w:i/>
          <w:iCs/>
          <w:sz w:val="22"/>
          <w:szCs w:val="22"/>
          <w:lang w:val="en-US"/>
        </w:rPr>
        <w:t xml:space="preserve">the </w:t>
      </w:r>
      <w:hyperlink r:id="rId77" w:history="1">
        <w:r w:rsidRPr="00F459DF">
          <w:rPr>
            <w:rStyle w:val="Lienhypertexte"/>
            <w:rFonts w:ascii="Arial" w:hAnsi="Arial" w:cs="Arial"/>
            <w:bCs/>
            <w:i/>
            <w:iCs/>
            <w:sz w:val="22"/>
            <w:szCs w:val="22"/>
            <w:lang w:val="en-US"/>
          </w:rPr>
          <w:t>report</w:t>
        </w:r>
      </w:hyperlink>
      <w:r w:rsidRPr="00F459DF">
        <w:rPr>
          <w:rFonts w:ascii="Arial" w:hAnsi="Arial" w:cs="Arial"/>
          <w:bCs/>
          <w:i/>
          <w:iCs/>
          <w:sz w:val="22"/>
          <w:szCs w:val="22"/>
          <w:lang w:val="en-US"/>
        </w:rPr>
        <w:t>)</w:t>
      </w:r>
    </w:p>
    <w:p w14:paraId="1762EDCC" w14:textId="77777777" w:rsidR="00E21305" w:rsidRPr="001F44C3" w:rsidRDefault="00E21305" w:rsidP="00B422E6">
      <w:pPr>
        <w:rPr>
          <w:rFonts w:ascii="Arial" w:hAnsi="Arial" w:cs="Arial"/>
          <w:sz w:val="22"/>
          <w:szCs w:val="22"/>
          <w:lang w:val="en-US"/>
        </w:rPr>
      </w:pPr>
    </w:p>
    <w:p w14:paraId="3D7658A6" w14:textId="5E0BC5F0" w:rsidR="0007715D" w:rsidRPr="00205A06" w:rsidRDefault="0007715D" w:rsidP="0007715D">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szCs w:val="22"/>
          <w:lang w:val="en-GB"/>
        </w:rPr>
        <w:t xml:space="preserve">Koogere oral tradition of the Basongora, Banyabindi and Batooro peoples describes the wisdom of the reign of Koogere, a female chief who reigned in Busongora about 1500 years ago. The tradition encompasses </w:t>
      </w:r>
      <w:r w:rsidRPr="00205A06">
        <w:rPr>
          <w:szCs w:val="22"/>
          <w:shd w:val="clear" w:color="auto" w:fill="FFFFFF"/>
          <w:lang w:val="en-GB"/>
        </w:rPr>
        <w:t xml:space="preserve">sayings and narrations focusing on images of abundance as blessings for hard work and forms part of the collective memory of </w:t>
      </w:r>
      <w:r>
        <w:rPr>
          <w:szCs w:val="22"/>
          <w:shd w:val="clear" w:color="auto" w:fill="FFFFFF"/>
          <w:lang w:val="en-GB"/>
        </w:rPr>
        <w:t xml:space="preserve">the </w:t>
      </w:r>
      <w:r w:rsidRPr="00205A06">
        <w:rPr>
          <w:szCs w:val="22"/>
          <w:shd w:val="clear" w:color="auto" w:fill="FFFFFF"/>
          <w:lang w:val="en-GB"/>
        </w:rPr>
        <w:t xml:space="preserve">Basongora, Banyabindi and Batooro communities. The story is </w:t>
      </w:r>
      <w:r>
        <w:rPr>
          <w:szCs w:val="22"/>
          <w:shd w:val="clear" w:color="auto" w:fill="FFFFFF"/>
          <w:lang w:val="en-GB"/>
        </w:rPr>
        <w:t xml:space="preserve">also </w:t>
      </w:r>
      <w:r w:rsidRPr="00205A06">
        <w:rPr>
          <w:szCs w:val="22"/>
          <w:shd w:val="clear" w:color="auto" w:fill="FFFFFF"/>
          <w:lang w:val="en-GB"/>
        </w:rPr>
        <w:t xml:space="preserve">associated with several natural </w:t>
      </w:r>
      <w:r w:rsidR="00591986">
        <w:rPr>
          <w:szCs w:val="22"/>
          <w:shd w:val="clear" w:color="auto" w:fill="FFFFFF"/>
          <w:lang w:val="en-GB"/>
        </w:rPr>
        <w:t>surroundings of the communities,</w:t>
      </w:r>
      <w:r w:rsidR="00517D0C">
        <w:rPr>
          <w:szCs w:val="22"/>
          <w:shd w:val="clear" w:color="auto" w:fill="FFFFFF"/>
          <w:lang w:val="en-GB"/>
        </w:rPr>
        <w:t xml:space="preserve"> such as the </w:t>
      </w:r>
      <w:r w:rsidR="00517D0C" w:rsidRPr="0019457C">
        <w:rPr>
          <w:lang w:val="en-US"/>
        </w:rPr>
        <w:t xml:space="preserve">ancestral grazing lands and </w:t>
      </w:r>
      <w:r w:rsidR="00517D0C">
        <w:rPr>
          <w:lang w:val="en-US"/>
        </w:rPr>
        <w:t>the Koogere forest</w:t>
      </w:r>
      <w:r w:rsidRPr="00205A06">
        <w:rPr>
          <w:szCs w:val="22"/>
          <w:shd w:val="clear" w:color="auto" w:fill="FFFFFF"/>
          <w:lang w:val="en-GB"/>
        </w:rPr>
        <w:t xml:space="preserve">. </w:t>
      </w:r>
      <w:r>
        <w:rPr>
          <w:szCs w:val="22"/>
          <w:shd w:val="clear" w:color="auto" w:fill="FFFFFF"/>
          <w:lang w:val="en-GB"/>
        </w:rPr>
        <w:t>It</w:t>
      </w:r>
      <w:r w:rsidRPr="00205A06">
        <w:rPr>
          <w:szCs w:val="22"/>
          <w:shd w:val="clear" w:color="auto" w:fill="FFFFFF"/>
          <w:lang w:val="en-GB"/>
        </w:rPr>
        <w:t xml:space="preserve"> is retold in the </w:t>
      </w:r>
      <w:r>
        <w:rPr>
          <w:szCs w:val="22"/>
          <w:shd w:val="clear" w:color="auto" w:fill="FFFFFF"/>
          <w:lang w:val="en-GB"/>
        </w:rPr>
        <w:t xml:space="preserve">oldest </w:t>
      </w:r>
      <w:r w:rsidRPr="00205A06">
        <w:rPr>
          <w:szCs w:val="22"/>
          <w:shd w:val="clear" w:color="auto" w:fill="FFFFFF"/>
          <w:lang w:val="en-GB"/>
        </w:rPr>
        <w:t>form</w:t>
      </w:r>
      <w:r>
        <w:rPr>
          <w:szCs w:val="22"/>
          <w:shd w:val="clear" w:color="auto" w:fill="FFFFFF"/>
          <w:lang w:val="en-GB"/>
        </w:rPr>
        <w:t xml:space="preserve">s </w:t>
      </w:r>
      <w:r w:rsidRPr="00205A06">
        <w:rPr>
          <w:szCs w:val="22"/>
          <w:shd w:val="clear" w:color="auto" w:fill="FFFFFF"/>
          <w:lang w:val="en-GB"/>
        </w:rPr>
        <w:t xml:space="preserve">of </w:t>
      </w:r>
      <w:r>
        <w:rPr>
          <w:szCs w:val="22"/>
          <w:shd w:val="clear" w:color="auto" w:fill="FFFFFF"/>
          <w:lang w:val="en-GB"/>
        </w:rPr>
        <w:t xml:space="preserve">language expressions </w:t>
      </w:r>
      <w:r w:rsidRPr="00205A06">
        <w:rPr>
          <w:szCs w:val="22"/>
          <w:shd w:val="clear" w:color="auto" w:fill="FFFFFF"/>
          <w:lang w:val="en-GB"/>
        </w:rPr>
        <w:t>at family evening recreation</w:t>
      </w:r>
      <w:r w:rsidR="00E21305">
        <w:rPr>
          <w:szCs w:val="22"/>
          <w:shd w:val="clear" w:color="auto" w:fill="FFFFFF"/>
          <w:lang w:val="en-GB"/>
        </w:rPr>
        <w:t>s</w:t>
      </w:r>
      <w:r w:rsidRPr="00205A06">
        <w:rPr>
          <w:szCs w:val="22"/>
          <w:shd w:val="clear" w:color="auto" w:fill="FFFFFF"/>
          <w:lang w:val="en-GB"/>
        </w:rPr>
        <w:t xml:space="preserve"> around the fireplace and during collective activities such as handicrafts, cattle herding and long-distance travel. It is </w:t>
      </w:r>
      <w:r>
        <w:rPr>
          <w:szCs w:val="22"/>
          <w:shd w:val="clear" w:color="auto" w:fill="FFFFFF"/>
          <w:lang w:val="en-GB"/>
        </w:rPr>
        <w:t xml:space="preserve">also expressed </w:t>
      </w:r>
      <w:r w:rsidRPr="00205A06">
        <w:rPr>
          <w:szCs w:val="22"/>
          <w:shd w:val="clear" w:color="auto" w:fill="FFFFFF"/>
          <w:lang w:val="en-GB"/>
        </w:rPr>
        <w:t>in poems and songs accompanied by traditional instruments</w:t>
      </w:r>
      <w:r>
        <w:rPr>
          <w:szCs w:val="22"/>
          <w:shd w:val="clear" w:color="auto" w:fill="FFFFFF"/>
          <w:lang w:val="en-GB"/>
        </w:rPr>
        <w:t xml:space="preserve"> during social and religious ceremonies</w:t>
      </w:r>
      <w:r w:rsidRPr="00205A06">
        <w:rPr>
          <w:szCs w:val="22"/>
          <w:shd w:val="clear" w:color="auto" w:fill="FFFFFF"/>
          <w:lang w:val="en-GB"/>
        </w:rPr>
        <w:t xml:space="preserve">. </w:t>
      </w:r>
      <w:r w:rsidR="00E21305">
        <w:rPr>
          <w:szCs w:val="22"/>
          <w:shd w:val="clear" w:color="auto" w:fill="FFFFFF"/>
          <w:lang w:val="en-GB"/>
        </w:rPr>
        <w:t xml:space="preserve">The </w:t>
      </w:r>
      <w:r w:rsidRPr="00205A06">
        <w:rPr>
          <w:szCs w:val="22"/>
          <w:lang w:val="en-GB"/>
        </w:rPr>
        <w:t>Koogere oral tradition</w:t>
      </w:r>
      <w:r w:rsidRPr="00205A06">
        <w:rPr>
          <w:rFonts w:cs="Arial"/>
          <w:bCs/>
          <w:szCs w:val="22"/>
          <w:lang w:val="en-GB"/>
        </w:rPr>
        <w:t xml:space="preserve"> </w:t>
      </w:r>
      <w:r w:rsidRPr="00205A06">
        <w:rPr>
          <w:szCs w:val="22"/>
          <w:shd w:val="clear" w:color="auto" w:fill="FFFFFF"/>
          <w:lang w:val="en-GB"/>
        </w:rPr>
        <w:t xml:space="preserve">serves as </w:t>
      </w:r>
      <w:r>
        <w:rPr>
          <w:szCs w:val="22"/>
          <w:shd w:val="clear" w:color="auto" w:fill="FFFFFF"/>
          <w:lang w:val="en-GB"/>
        </w:rPr>
        <w:t xml:space="preserve">a vehicle for the </w:t>
      </w:r>
      <w:r w:rsidRPr="00205A06">
        <w:rPr>
          <w:szCs w:val="22"/>
          <w:shd w:val="clear" w:color="auto" w:fill="FFFFFF"/>
          <w:lang w:val="en-GB"/>
        </w:rPr>
        <w:t xml:space="preserve">intergenerational </w:t>
      </w:r>
      <w:r>
        <w:rPr>
          <w:szCs w:val="22"/>
          <w:shd w:val="clear" w:color="auto" w:fill="FFFFFF"/>
          <w:lang w:val="en-GB"/>
        </w:rPr>
        <w:t xml:space="preserve">transmission </w:t>
      </w:r>
      <w:r w:rsidRPr="00205A06">
        <w:rPr>
          <w:szCs w:val="22"/>
          <w:shd w:val="clear" w:color="auto" w:fill="FFFFFF"/>
          <w:lang w:val="en-GB"/>
        </w:rPr>
        <w:t>of</w:t>
      </w:r>
      <w:r>
        <w:rPr>
          <w:szCs w:val="22"/>
          <w:shd w:val="clear" w:color="auto" w:fill="FFFFFF"/>
          <w:lang w:val="en-GB"/>
        </w:rPr>
        <w:t xml:space="preserve"> the</w:t>
      </w:r>
      <w:r w:rsidRPr="00205A06">
        <w:rPr>
          <w:szCs w:val="22"/>
          <w:shd w:val="clear" w:color="auto" w:fill="FFFFFF"/>
          <w:lang w:val="en-GB"/>
        </w:rPr>
        <w:t xml:space="preserve"> social philosophy of the communities.</w:t>
      </w:r>
    </w:p>
    <w:p w14:paraId="0033AD5A" w14:textId="04B56AA6" w:rsidR="0007715D" w:rsidRPr="00205A06" w:rsidRDefault="0007715D" w:rsidP="0007715D">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szCs w:val="22"/>
          <w:lang w:val="en-GB"/>
        </w:rPr>
        <w:t>The ele</w:t>
      </w:r>
      <w:r w:rsidRPr="00205A06">
        <w:rPr>
          <w:rFonts w:cs="Arial"/>
          <w:lang w:val="en-GB"/>
        </w:rPr>
        <w:t xml:space="preserve">ment was inscribed </w:t>
      </w:r>
      <w:r w:rsidRPr="00205A06">
        <w:rPr>
          <w:rFonts w:cs="Arial"/>
          <w:bCs/>
          <w:szCs w:val="22"/>
          <w:lang w:val="en-GB"/>
        </w:rPr>
        <w:t xml:space="preserve">on the </w:t>
      </w:r>
      <w:r w:rsidRPr="00205A06">
        <w:rPr>
          <w:lang w:val="en-GB"/>
        </w:rPr>
        <w:t xml:space="preserve">Urgent Safeguarding </w:t>
      </w:r>
      <w:r w:rsidR="00E21305">
        <w:rPr>
          <w:lang w:val="en-GB"/>
        </w:rPr>
        <w:t xml:space="preserve">List </w:t>
      </w:r>
      <w:r w:rsidRPr="00205A06">
        <w:rPr>
          <w:rFonts w:cs="Arial"/>
          <w:lang w:val="en-GB"/>
        </w:rPr>
        <w:t>in 2015</w:t>
      </w:r>
      <w:r>
        <w:rPr>
          <w:rFonts w:cs="Arial"/>
          <w:lang w:val="en-GB"/>
        </w:rPr>
        <w:t xml:space="preserve"> (</w:t>
      </w:r>
      <w:hyperlink r:id="rId78" w:history="1">
        <w:r w:rsidRPr="00404476">
          <w:rPr>
            <w:rStyle w:val="Lienhypertexte"/>
            <w:rFonts w:cs="Arial"/>
            <w:lang w:val="en-GB"/>
          </w:rPr>
          <w:t xml:space="preserve">Decision </w:t>
        </w:r>
        <w:r w:rsidRPr="00404476">
          <w:rPr>
            <w:rStyle w:val="Lienhypertexte"/>
            <w:rFonts w:cs="Arial"/>
            <w:szCs w:val="22"/>
            <w:lang w:val="en-GB"/>
          </w:rPr>
          <w:t>10.COM 10.a.8</w:t>
        </w:r>
      </w:hyperlink>
      <w:r>
        <w:rPr>
          <w:rFonts w:cs="Arial"/>
          <w:lang w:val="en-GB"/>
        </w:rPr>
        <w:t>)</w:t>
      </w:r>
      <w:r w:rsidRPr="00205A06">
        <w:rPr>
          <w:rFonts w:cs="Arial"/>
          <w:lang w:val="en-GB"/>
        </w:rPr>
        <w:t xml:space="preserve"> and this is the first report submitted by the State Party on the </w:t>
      </w:r>
      <w:r w:rsidRPr="00205A06">
        <w:rPr>
          <w:rFonts w:cs="Arial"/>
          <w:szCs w:val="22"/>
          <w:lang w:val="en-GB"/>
        </w:rPr>
        <w:t>status of this element.</w:t>
      </w:r>
    </w:p>
    <w:p w14:paraId="598E0F64" w14:textId="3EC90958" w:rsidR="0007715D" w:rsidRPr="00B3669C" w:rsidRDefault="0007715D" w:rsidP="0007715D">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xml:space="preserve">. The implementation of the safeguarding plan was constrained by a lack of resources and the plan had to be reviewed and updated to </w:t>
      </w:r>
      <w:r>
        <w:rPr>
          <w:bCs/>
          <w:lang w:val="en-GB"/>
        </w:rPr>
        <w:t>meet</w:t>
      </w:r>
      <w:r w:rsidRPr="00205A06">
        <w:rPr>
          <w:bCs/>
          <w:lang w:val="en-GB"/>
        </w:rPr>
        <w:t xml:space="preserve"> the funding realities. As reported, its implementation led to minimal results</w:t>
      </w:r>
      <w:r w:rsidR="00E21305">
        <w:rPr>
          <w:bCs/>
          <w:lang w:val="en-GB"/>
        </w:rPr>
        <w:t>;</w:t>
      </w:r>
      <w:r w:rsidRPr="00205A06">
        <w:rPr>
          <w:bCs/>
          <w:lang w:val="en-GB"/>
        </w:rPr>
        <w:t xml:space="preserve"> however</w:t>
      </w:r>
      <w:r w:rsidR="00E21305">
        <w:rPr>
          <w:bCs/>
          <w:lang w:val="en-GB"/>
        </w:rPr>
        <w:t>, it</w:t>
      </w:r>
      <w:r w:rsidRPr="00205A06">
        <w:rPr>
          <w:bCs/>
          <w:lang w:val="en-GB"/>
        </w:rPr>
        <w:t xml:space="preserve"> la</w:t>
      </w:r>
      <w:r>
        <w:rPr>
          <w:bCs/>
          <w:lang w:val="en-GB"/>
        </w:rPr>
        <w:t xml:space="preserve">id </w:t>
      </w:r>
      <w:r w:rsidR="00E21305">
        <w:rPr>
          <w:bCs/>
          <w:lang w:val="en-GB"/>
        </w:rPr>
        <w:t>the</w:t>
      </w:r>
      <w:r w:rsidR="00E21305" w:rsidRPr="00205A06">
        <w:rPr>
          <w:bCs/>
          <w:lang w:val="en-GB"/>
        </w:rPr>
        <w:t xml:space="preserve"> </w:t>
      </w:r>
      <w:r w:rsidRPr="00205A06">
        <w:rPr>
          <w:bCs/>
          <w:lang w:val="en-GB"/>
        </w:rPr>
        <w:t xml:space="preserve">foundation for a later full-scale implementation of the actions planned. </w:t>
      </w:r>
      <w:r>
        <w:rPr>
          <w:bCs/>
          <w:lang w:val="en-GB"/>
        </w:rPr>
        <w:t>A m</w:t>
      </w:r>
      <w:r w:rsidRPr="00205A06">
        <w:rPr>
          <w:bCs/>
          <w:lang w:val="en-GB"/>
        </w:rPr>
        <w:t xml:space="preserve">anagement committee for the implementation of the overall safeguarding plan </w:t>
      </w:r>
      <w:r>
        <w:rPr>
          <w:bCs/>
          <w:lang w:val="en-GB"/>
        </w:rPr>
        <w:t>was</w:t>
      </w:r>
      <w:r w:rsidRPr="00205A06">
        <w:rPr>
          <w:bCs/>
          <w:lang w:val="en-GB"/>
        </w:rPr>
        <w:t xml:space="preserve"> established immediately after </w:t>
      </w:r>
      <w:r w:rsidR="00E21305">
        <w:rPr>
          <w:bCs/>
          <w:lang w:val="en-GB"/>
        </w:rPr>
        <w:t xml:space="preserve">the </w:t>
      </w:r>
      <w:r w:rsidRPr="00205A06">
        <w:rPr>
          <w:bCs/>
          <w:lang w:val="en-GB"/>
        </w:rPr>
        <w:t xml:space="preserve">inscription. Mechanisms and strategies have been </w:t>
      </w:r>
      <w:r w:rsidR="00E21305">
        <w:rPr>
          <w:bCs/>
          <w:lang w:val="en-GB"/>
        </w:rPr>
        <w:t>developed</w:t>
      </w:r>
      <w:r w:rsidR="00E21305" w:rsidRPr="00205A06">
        <w:rPr>
          <w:bCs/>
          <w:lang w:val="en-GB"/>
        </w:rPr>
        <w:t xml:space="preserve"> </w:t>
      </w:r>
      <w:r w:rsidRPr="00205A06">
        <w:rPr>
          <w:bCs/>
          <w:lang w:val="en-GB"/>
        </w:rPr>
        <w:t>for raising resources and implementing the safeguarding plan</w:t>
      </w:r>
      <w:r>
        <w:rPr>
          <w:bCs/>
          <w:lang w:val="en-GB"/>
        </w:rPr>
        <w:t>;</w:t>
      </w:r>
      <w:r w:rsidRPr="00205A06">
        <w:rPr>
          <w:bCs/>
          <w:lang w:val="en-GB"/>
        </w:rPr>
        <w:t xml:space="preserve"> fundraising activities were prioritized and categorized</w:t>
      </w:r>
      <w:r>
        <w:rPr>
          <w:bCs/>
          <w:lang w:val="en-GB"/>
        </w:rPr>
        <w:t>;</w:t>
      </w:r>
      <w:r w:rsidRPr="00205A06">
        <w:rPr>
          <w:bCs/>
          <w:lang w:val="en-GB"/>
        </w:rPr>
        <w:t xml:space="preserve"> and funding proposals were developed. Minimal external resources were </w:t>
      </w:r>
      <w:r>
        <w:rPr>
          <w:bCs/>
          <w:lang w:val="en-GB"/>
        </w:rPr>
        <w:t>mobilized</w:t>
      </w:r>
      <w:r w:rsidRPr="00205A06">
        <w:rPr>
          <w:bCs/>
          <w:lang w:val="en-GB"/>
        </w:rPr>
        <w:t xml:space="preserve"> locally, and difficulties were met </w:t>
      </w:r>
      <w:r w:rsidR="00E21305">
        <w:rPr>
          <w:bCs/>
          <w:lang w:val="en-GB"/>
        </w:rPr>
        <w:t xml:space="preserve">in </w:t>
      </w:r>
      <w:r w:rsidRPr="00205A06">
        <w:rPr>
          <w:bCs/>
          <w:lang w:val="en-GB"/>
        </w:rPr>
        <w:t>coordinat</w:t>
      </w:r>
      <w:r w:rsidR="00E21305">
        <w:rPr>
          <w:bCs/>
          <w:lang w:val="en-GB"/>
        </w:rPr>
        <w:t>ing</w:t>
      </w:r>
      <w:r w:rsidRPr="00205A06">
        <w:rPr>
          <w:bCs/>
          <w:lang w:val="en-GB"/>
        </w:rPr>
        <w:t xml:space="preserve"> small donations into a systematic and cohesive safeguarding intervention. As reported, critically needed actions such as </w:t>
      </w:r>
      <w:r w:rsidRPr="00205A06">
        <w:rPr>
          <w:szCs w:val="22"/>
          <w:lang w:val="en-GB"/>
        </w:rPr>
        <w:t xml:space="preserve">research, capacity building and documentation do not sufficiently attract the attention </w:t>
      </w:r>
      <w:r>
        <w:rPr>
          <w:szCs w:val="22"/>
          <w:lang w:val="en-GB"/>
        </w:rPr>
        <w:t>of</w:t>
      </w:r>
      <w:r w:rsidRPr="00205A06">
        <w:rPr>
          <w:szCs w:val="22"/>
          <w:lang w:val="en-GB"/>
        </w:rPr>
        <w:t xml:space="preserve"> </w:t>
      </w:r>
      <w:r>
        <w:rPr>
          <w:szCs w:val="22"/>
          <w:lang w:val="en-GB"/>
        </w:rPr>
        <w:t xml:space="preserve">potential </w:t>
      </w:r>
      <w:r w:rsidRPr="00205A06">
        <w:rPr>
          <w:szCs w:val="22"/>
          <w:lang w:val="en-GB"/>
        </w:rPr>
        <w:t>external funders, while mass actions like festivals and media programmes seem to be more appealing.</w:t>
      </w:r>
      <w:r w:rsidRPr="00205A06">
        <w:rPr>
          <w:bCs/>
          <w:lang w:val="en-GB"/>
        </w:rPr>
        <w:t xml:space="preserve"> </w:t>
      </w:r>
      <w:r>
        <w:rPr>
          <w:bCs/>
          <w:lang w:val="en-GB"/>
        </w:rPr>
        <w:t xml:space="preserve">Nevertheless, </w:t>
      </w:r>
      <w:r w:rsidR="00E21305">
        <w:rPr>
          <w:bCs/>
          <w:lang w:val="en-GB"/>
        </w:rPr>
        <w:t xml:space="preserve">the </w:t>
      </w:r>
      <w:r>
        <w:rPr>
          <w:bCs/>
          <w:lang w:val="en-GB"/>
        </w:rPr>
        <w:t>a</w:t>
      </w:r>
      <w:r w:rsidRPr="00205A06">
        <w:rPr>
          <w:bCs/>
          <w:lang w:val="en-GB"/>
        </w:rPr>
        <w:t xml:space="preserve">ctivities implemented are assessed by the State Party as being effective </w:t>
      </w:r>
      <w:r>
        <w:rPr>
          <w:bCs/>
          <w:lang w:val="en-GB"/>
        </w:rPr>
        <w:t>under</w:t>
      </w:r>
      <w:r w:rsidRPr="00205A06">
        <w:rPr>
          <w:bCs/>
          <w:lang w:val="en-GB"/>
        </w:rPr>
        <w:t xml:space="preserve"> </w:t>
      </w:r>
      <w:r w:rsidR="00E21305">
        <w:rPr>
          <w:bCs/>
          <w:lang w:val="en-GB"/>
        </w:rPr>
        <w:t xml:space="preserve">the </w:t>
      </w:r>
      <w:r w:rsidRPr="00205A06">
        <w:rPr>
          <w:bCs/>
          <w:lang w:val="en-GB"/>
        </w:rPr>
        <w:t xml:space="preserve">circumstances </w:t>
      </w:r>
      <w:r>
        <w:rPr>
          <w:bCs/>
          <w:lang w:val="en-GB"/>
        </w:rPr>
        <w:t>with</w:t>
      </w:r>
      <w:r w:rsidRPr="00205A06">
        <w:rPr>
          <w:bCs/>
          <w:lang w:val="en-GB"/>
        </w:rPr>
        <w:t xml:space="preserve"> limited resources. The safeguarding activities </w:t>
      </w:r>
      <w:r>
        <w:rPr>
          <w:bCs/>
          <w:lang w:val="en-GB"/>
        </w:rPr>
        <w:t xml:space="preserve">that were </w:t>
      </w:r>
      <w:r w:rsidRPr="00205A06">
        <w:rPr>
          <w:bCs/>
          <w:lang w:val="en-GB"/>
        </w:rPr>
        <w:t xml:space="preserve">accomplished included recording the narrations of four elderly master story tellers, securing critical knowledge of the element that will further feed into comprehensive documentation. </w:t>
      </w:r>
      <w:r>
        <w:rPr>
          <w:lang w:val="en-GB"/>
        </w:rPr>
        <w:t xml:space="preserve">Furthermore, </w:t>
      </w:r>
      <w:r>
        <w:rPr>
          <w:bCs/>
          <w:lang w:val="en-GB"/>
        </w:rPr>
        <w:t>t</w:t>
      </w:r>
      <w:r w:rsidRPr="00205A06">
        <w:rPr>
          <w:bCs/>
          <w:lang w:val="en-GB"/>
        </w:rPr>
        <w:t xml:space="preserve">he updated safeguarding plan envisages </w:t>
      </w:r>
      <w:r>
        <w:rPr>
          <w:bCs/>
          <w:lang w:val="en-GB"/>
        </w:rPr>
        <w:t xml:space="preserve">activities for further </w:t>
      </w:r>
      <w:r w:rsidRPr="00205A06">
        <w:rPr>
          <w:bCs/>
          <w:lang w:val="en-GB"/>
        </w:rPr>
        <w:t xml:space="preserve">documentation, training, promotion and revitalization </w:t>
      </w:r>
      <w:r>
        <w:rPr>
          <w:bCs/>
          <w:lang w:val="en-GB"/>
        </w:rPr>
        <w:t>of cultural spaces for enactment and transmission</w:t>
      </w:r>
      <w:r w:rsidRPr="00205A06">
        <w:rPr>
          <w:bCs/>
          <w:lang w:val="en-GB"/>
        </w:rPr>
        <w:t xml:space="preserve">, and pays due attention to </w:t>
      </w:r>
      <w:r w:rsidR="00E21305">
        <w:rPr>
          <w:bCs/>
          <w:lang w:val="en-GB"/>
        </w:rPr>
        <w:t xml:space="preserve">the </w:t>
      </w:r>
      <w:r w:rsidRPr="00205A06">
        <w:rPr>
          <w:bCs/>
          <w:lang w:val="en-GB"/>
        </w:rPr>
        <w:t>continuous monitoring of the element.</w:t>
      </w:r>
      <w:r w:rsidRPr="005B256E">
        <w:rPr>
          <w:lang w:val="en-GB"/>
        </w:rPr>
        <w:t xml:space="preserve"> </w:t>
      </w:r>
      <w:r w:rsidRPr="0009024D">
        <w:rPr>
          <w:lang w:val="en-GB"/>
        </w:rPr>
        <w:t>The</w:t>
      </w:r>
      <w:r>
        <w:rPr>
          <w:lang w:val="en-GB"/>
        </w:rPr>
        <w:t>r</w:t>
      </w:r>
      <w:r w:rsidRPr="0009024D">
        <w:rPr>
          <w:lang w:val="en-GB"/>
        </w:rPr>
        <w:t xml:space="preserve">e </w:t>
      </w:r>
      <w:r>
        <w:rPr>
          <w:lang w:val="en-GB"/>
        </w:rPr>
        <w:t>are</w:t>
      </w:r>
      <w:r w:rsidRPr="0009024D">
        <w:rPr>
          <w:lang w:val="en-GB"/>
        </w:rPr>
        <w:t xml:space="preserve">, however, </w:t>
      </w:r>
      <w:r>
        <w:rPr>
          <w:lang w:val="en-GB"/>
        </w:rPr>
        <w:t xml:space="preserve">important </w:t>
      </w:r>
      <w:r w:rsidRPr="0009024D">
        <w:rPr>
          <w:lang w:val="en-GB"/>
        </w:rPr>
        <w:t xml:space="preserve">concerns </w:t>
      </w:r>
      <w:r>
        <w:rPr>
          <w:lang w:val="en-GB"/>
        </w:rPr>
        <w:t>that were</w:t>
      </w:r>
      <w:r w:rsidRPr="0009024D">
        <w:rPr>
          <w:lang w:val="en-GB"/>
        </w:rPr>
        <w:t xml:space="preserve"> not</w:t>
      </w:r>
      <w:r>
        <w:rPr>
          <w:lang w:val="en-GB"/>
        </w:rPr>
        <w:t xml:space="preserve"> </w:t>
      </w:r>
      <w:r w:rsidRPr="0009024D">
        <w:rPr>
          <w:lang w:val="en-GB"/>
        </w:rPr>
        <w:t>addressed in the present report</w:t>
      </w:r>
      <w:r>
        <w:rPr>
          <w:lang w:val="en-GB"/>
        </w:rPr>
        <w:t>, such as the d</w:t>
      </w:r>
      <w:r w:rsidRPr="00115595">
        <w:rPr>
          <w:lang w:val="en-GB"/>
        </w:rPr>
        <w:t xml:space="preserve">eclining use of </w:t>
      </w:r>
      <w:r>
        <w:rPr>
          <w:lang w:val="en-GB"/>
        </w:rPr>
        <w:t xml:space="preserve">the </w:t>
      </w:r>
      <w:r w:rsidRPr="00115595">
        <w:rPr>
          <w:lang w:val="en-GB"/>
        </w:rPr>
        <w:t xml:space="preserve">indigenous </w:t>
      </w:r>
      <w:r w:rsidRPr="005B256E">
        <w:rPr>
          <w:lang w:val="en-GB"/>
        </w:rPr>
        <w:t>language</w:t>
      </w:r>
      <w:r>
        <w:rPr>
          <w:lang w:val="en-GB"/>
        </w:rPr>
        <w:t xml:space="preserve">, </w:t>
      </w:r>
      <w:r w:rsidRPr="005B256E">
        <w:rPr>
          <w:lang w:val="en-GB"/>
        </w:rPr>
        <w:t>Runyakitara (Runyoro-Rutooro)</w:t>
      </w:r>
      <w:r>
        <w:rPr>
          <w:lang w:val="en-GB"/>
        </w:rPr>
        <w:t xml:space="preserve">, for the </w:t>
      </w:r>
      <w:r w:rsidRPr="005B256E">
        <w:rPr>
          <w:lang w:val="en-GB"/>
        </w:rPr>
        <w:t>Koogere stor</w:t>
      </w:r>
      <w:r>
        <w:rPr>
          <w:lang w:val="en-GB"/>
        </w:rPr>
        <w:t>ies which was considered as one of threat factors to the element’s continued enactment</w:t>
      </w:r>
      <w:r w:rsidRPr="005B256E">
        <w:rPr>
          <w:lang w:val="en-GB"/>
        </w:rPr>
        <w:t xml:space="preserve"> </w:t>
      </w:r>
      <w:r w:rsidRPr="00B3669C">
        <w:rPr>
          <w:lang w:val="en-GB"/>
        </w:rPr>
        <w:t xml:space="preserve">according to the Committee’s Decision </w:t>
      </w:r>
      <w:hyperlink r:id="rId79" w:history="1">
        <w:r w:rsidRPr="00B3669C">
          <w:rPr>
            <w:rStyle w:val="Lienhypertexte"/>
            <w:rFonts w:cs="Arial"/>
            <w:szCs w:val="22"/>
            <w:lang w:val="en-GB"/>
          </w:rPr>
          <w:t>10.COM 10.a.8</w:t>
        </w:r>
      </w:hyperlink>
      <w:r w:rsidRPr="00B3669C">
        <w:rPr>
          <w:lang w:val="en-GB"/>
        </w:rPr>
        <w:t xml:space="preserve"> for inscription.</w:t>
      </w:r>
    </w:p>
    <w:p w14:paraId="39F143ED" w14:textId="417840CC" w:rsidR="0007715D" w:rsidRPr="00205A06" w:rsidRDefault="0007715D" w:rsidP="0007715D">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A stakeholder participatory programme management committee was established for planning and monitoring the implementation of the safeguarding plan, and</w:t>
      </w:r>
      <w:r>
        <w:rPr>
          <w:bCs/>
          <w:lang w:val="en-GB"/>
        </w:rPr>
        <w:t xml:space="preserve"> the</w:t>
      </w:r>
      <w:r w:rsidRPr="00205A06">
        <w:rPr>
          <w:bCs/>
          <w:lang w:val="en-GB"/>
        </w:rPr>
        <w:t xml:space="preserve"> Basongora, Banyabindi and Batooro communities are represented therein through community institutions such as community associations, chiefdom institution</w:t>
      </w:r>
      <w:r>
        <w:rPr>
          <w:bCs/>
          <w:lang w:val="en-GB"/>
        </w:rPr>
        <w:t>s</w:t>
      </w:r>
      <w:r w:rsidRPr="00205A06">
        <w:rPr>
          <w:bCs/>
          <w:lang w:val="en-GB"/>
        </w:rPr>
        <w:t xml:space="preserve"> and the clans. </w:t>
      </w:r>
      <w:r>
        <w:rPr>
          <w:bCs/>
          <w:lang w:val="en-GB"/>
        </w:rPr>
        <w:t>The c</w:t>
      </w:r>
      <w:r w:rsidRPr="00205A06">
        <w:rPr>
          <w:bCs/>
          <w:lang w:val="en-GB"/>
        </w:rPr>
        <w:t>lans</w:t>
      </w:r>
      <w:r w:rsidR="00E21305">
        <w:rPr>
          <w:bCs/>
          <w:lang w:val="en-GB"/>
        </w:rPr>
        <w:t>’</w:t>
      </w:r>
      <w:r w:rsidRPr="00205A06">
        <w:rPr>
          <w:bCs/>
          <w:lang w:val="en-GB"/>
        </w:rPr>
        <w:t xml:space="preserve"> representative forum, which cuts across all communities, was established at the time of inventorying this element. Groups of practitioners have been identified in the communities, including writers, poets, folk dancers, storytellers and custodians of cultural sites, and their </w:t>
      </w:r>
      <w:r>
        <w:rPr>
          <w:bCs/>
          <w:lang w:val="en-GB"/>
        </w:rPr>
        <w:t xml:space="preserve">safeguarding </w:t>
      </w:r>
      <w:r w:rsidRPr="00205A06">
        <w:rPr>
          <w:bCs/>
          <w:lang w:val="en-GB"/>
        </w:rPr>
        <w:t xml:space="preserve">plans were </w:t>
      </w:r>
      <w:r>
        <w:rPr>
          <w:bCs/>
          <w:lang w:val="en-GB"/>
        </w:rPr>
        <w:t>incorporated into</w:t>
      </w:r>
      <w:r w:rsidRPr="00205A06">
        <w:rPr>
          <w:bCs/>
          <w:lang w:val="en-GB"/>
        </w:rPr>
        <w:t xml:space="preserve"> the overall safeguarding plan. Several community meetings were held in each of the communities</w:t>
      </w:r>
      <w:r>
        <w:rPr>
          <w:bCs/>
          <w:lang w:val="en-GB"/>
        </w:rPr>
        <w:t>,</w:t>
      </w:r>
      <w:r w:rsidRPr="00205A06">
        <w:rPr>
          <w:bCs/>
          <w:lang w:val="en-GB"/>
        </w:rPr>
        <w:t xml:space="preserve"> thus </w:t>
      </w:r>
      <w:r w:rsidR="00E21305">
        <w:rPr>
          <w:bCs/>
          <w:lang w:val="en-GB"/>
        </w:rPr>
        <w:t>ensuring</w:t>
      </w:r>
      <w:r w:rsidR="00E21305" w:rsidRPr="00205A06">
        <w:rPr>
          <w:bCs/>
          <w:lang w:val="en-GB"/>
        </w:rPr>
        <w:t xml:space="preserve"> </w:t>
      </w:r>
      <w:r w:rsidRPr="00205A06">
        <w:rPr>
          <w:bCs/>
          <w:lang w:val="en-GB"/>
        </w:rPr>
        <w:t xml:space="preserve">broader participation; and community practitioners and groups have been involved in updating the safeguarding plan, determining the priority activities and identifying resource people who would provide the </w:t>
      </w:r>
      <w:r w:rsidR="00E21305">
        <w:rPr>
          <w:bCs/>
          <w:lang w:val="en-GB"/>
        </w:rPr>
        <w:t>required</w:t>
      </w:r>
      <w:r w:rsidR="00E21305" w:rsidRPr="00205A06">
        <w:rPr>
          <w:bCs/>
          <w:lang w:val="en-GB"/>
        </w:rPr>
        <w:t xml:space="preserve"> </w:t>
      </w:r>
      <w:r w:rsidRPr="00205A06">
        <w:rPr>
          <w:bCs/>
          <w:lang w:val="en-GB"/>
        </w:rPr>
        <w:t xml:space="preserve">knowledge. Community and clan leaders facilitated the visitations to master story tellers, and volunteer coordinators from the community institutions were </w:t>
      </w:r>
      <w:r w:rsidR="003B5D84">
        <w:rPr>
          <w:bCs/>
          <w:lang w:val="en-GB"/>
        </w:rPr>
        <w:t>designated</w:t>
      </w:r>
      <w:r w:rsidRPr="00205A06">
        <w:rPr>
          <w:bCs/>
          <w:lang w:val="en-GB"/>
        </w:rPr>
        <w:t xml:space="preserve"> for coordinating the activities at </w:t>
      </w:r>
      <w:r w:rsidR="008200C1">
        <w:rPr>
          <w:bCs/>
          <w:lang w:val="en-GB"/>
        </w:rPr>
        <w:t xml:space="preserve">the </w:t>
      </w:r>
      <w:r w:rsidRPr="00205A06">
        <w:rPr>
          <w:bCs/>
          <w:lang w:val="en-GB"/>
        </w:rPr>
        <w:t xml:space="preserve">community level. </w:t>
      </w:r>
      <w:bookmarkStart w:id="16" w:name="_Hlk55840240"/>
      <w:r w:rsidR="00E21305">
        <w:rPr>
          <w:bCs/>
          <w:lang w:val="en-GB"/>
        </w:rPr>
        <w:t>The i</w:t>
      </w:r>
      <w:r w:rsidR="00E21305" w:rsidRPr="00205A06">
        <w:rPr>
          <w:bCs/>
          <w:lang w:val="en-GB"/>
        </w:rPr>
        <w:t xml:space="preserve">mplementation </w:t>
      </w:r>
      <w:r w:rsidRPr="00205A06">
        <w:rPr>
          <w:bCs/>
          <w:lang w:val="en-GB"/>
        </w:rPr>
        <w:t xml:space="preserve">of the updated safeguarding plan is </w:t>
      </w:r>
      <w:r>
        <w:rPr>
          <w:bCs/>
          <w:lang w:val="en-GB"/>
        </w:rPr>
        <w:t>expected</w:t>
      </w:r>
      <w:r w:rsidRPr="00205A06">
        <w:rPr>
          <w:bCs/>
          <w:lang w:val="en-GB"/>
        </w:rPr>
        <w:t xml:space="preserve"> to be community driven, with due attention to age and gender balance in the management and execution of </w:t>
      </w:r>
      <w:r w:rsidR="00E21305">
        <w:rPr>
          <w:bCs/>
          <w:lang w:val="en-GB"/>
        </w:rPr>
        <w:t xml:space="preserve">the </w:t>
      </w:r>
      <w:r w:rsidRPr="00205A06">
        <w:rPr>
          <w:bCs/>
          <w:lang w:val="en-GB"/>
        </w:rPr>
        <w:t xml:space="preserve">activities. </w:t>
      </w:r>
      <w:bookmarkEnd w:id="16"/>
      <w:r w:rsidRPr="00205A06">
        <w:rPr>
          <w:bCs/>
          <w:lang w:val="en-GB"/>
        </w:rPr>
        <w:t xml:space="preserve">The development of the </w:t>
      </w:r>
      <w:r w:rsidRPr="00205A06">
        <w:rPr>
          <w:bCs/>
          <w:lang w:val="en-GB"/>
        </w:rPr>
        <w:lastRenderedPageBreak/>
        <w:t xml:space="preserve">report was informed by community groups and individuals and the programme management committee </w:t>
      </w:r>
      <w:r w:rsidR="00983E30">
        <w:rPr>
          <w:bCs/>
          <w:lang w:val="en-GB"/>
        </w:rPr>
        <w:t xml:space="preserve">reviewed and </w:t>
      </w:r>
      <w:r w:rsidRPr="00205A06">
        <w:rPr>
          <w:bCs/>
          <w:lang w:val="en-GB"/>
        </w:rPr>
        <w:t>approved the draft report.</w:t>
      </w:r>
    </w:p>
    <w:p w14:paraId="77C79FBB" w14:textId="3D5AA50E" w:rsidR="0007715D" w:rsidRPr="00205A06" w:rsidRDefault="0007715D" w:rsidP="0007715D">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w:t>
      </w:r>
      <w:r w:rsidRPr="00205A06">
        <w:rPr>
          <w:bCs/>
          <w:lang w:val="en-GB"/>
        </w:rPr>
        <w:t>The level of viability and the threats for the safeguarding of the element have largely remained the same as at the time of inscription</w:t>
      </w:r>
      <w:r w:rsidRPr="00205A06">
        <w:rPr>
          <w:lang w:val="en-GB"/>
        </w:rPr>
        <w:t xml:space="preserve">. Since the inscription, one of </w:t>
      </w:r>
      <w:r>
        <w:rPr>
          <w:lang w:val="en-GB"/>
        </w:rPr>
        <w:t xml:space="preserve">the </w:t>
      </w:r>
      <w:r w:rsidRPr="00205A06">
        <w:rPr>
          <w:lang w:val="en-GB"/>
        </w:rPr>
        <w:t xml:space="preserve">practitioners with </w:t>
      </w:r>
      <w:r w:rsidR="00E21305">
        <w:rPr>
          <w:lang w:val="en-GB"/>
        </w:rPr>
        <w:t>considerable</w:t>
      </w:r>
      <w:r w:rsidR="00E21305" w:rsidRPr="00205A06">
        <w:rPr>
          <w:lang w:val="en-GB"/>
        </w:rPr>
        <w:t xml:space="preserve"> </w:t>
      </w:r>
      <w:r w:rsidRPr="00205A06">
        <w:rPr>
          <w:lang w:val="en-GB"/>
        </w:rPr>
        <w:t xml:space="preserve">knowledge </w:t>
      </w:r>
      <w:r w:rsidR="00E21305">
        <w:rPr>
          <w:lang w:val="en-GB"/>
        </w:rPr>
        <w:t xml:space="preserve">of </w:t>
      </w:r>
      <w:r w:rsidRPr="00205A06">
        <w:rPr>
          <w:lang w:val="en-GB"/>
        </w:rPr>
        <w:t xml:space="preserve">and skills </w:t>
      </w:r>
      <w:r w:rsidR="00E21305">
        <w:rPr>
          <w:lang w:val="en-GB"/>
        </w:rPr>
        <w:t>associated with</w:t>
      </w:r>
      <w:r w:rsidR="00E21305" w:rsidRPr="00205A06">
        <w:rPr>
          <w:lang w:val="en-GB"/>
        </w:rPr>
        <w:t xml:space="preserve"> </w:t>
      </w:r>
      <w:r w:rsidR="00E21305">
        <w:rPr>
          <w:lang w:val="en-GB"/>
        </w:rPr>
        <w:t xml:space="preserve">the </w:t>
      </w:r>
      <w:r w:rsidRPr="00205A06">
        <w:rPr>
          <w:lang w:val="en-GB"/>
        </w:rPr>
        <w:t xml:space="preserve">Koogere oral tradition has passed away, and the three remaining </w:t>
      </w:r>
      <w:r>
        <w:rPr>
          <w:lang w:val="en-GB"/>
        </w:rPr>
        <w:t>master storytellers</w:t>
      </w:r>
      <w:r w:rsidRPr="00205A06">
        <w:rPr>
          <w:lang w:val="en-GB"/>
        </w:rPr>
        <w:t xml:space="preserve"> are elderly. Oral transmission of the tradition to young people is no longer effective</w:t>
      </w:r>
      <w:r>
        <w:rPr>
          <w:lang w:val="en-GB"/>
        </w:rPr>
        <w:t xml:space="preserve"> as the use of the language of the </w:t>
      </w:r>
      <w:r w:rsidRPr="005B256E">
        <w:rPr>
          <w:lang w:val="en-GB"/>
        </w:rPr>
        <w:t>Runyakitara (Runyoro-Rutooro)</w:t>
      </w:r>
      <w:r>
        <w:rPr>
          <w:lang w:val="en-GB"/>
        </w:rPr>
        <w:t xml:space="preserve"> is also declining</w:t>
      </w:r>
      <w:r w:rsidRPr="00205A06">
        <w:rPr>
          <w:bCs/>
          <w:lang w:val="en-GB"/>
        </w:rPr>
        <w:t>. There is an increasing dominance of formal training and education, and the transmission of this tradition is not adapted to new methods of learning. Socio-economic practices</w:t>
      </w:r>
      <w:r>
        <w:rPr>
          <w:bCs/>
          <w:lang w:val="en-GB"/>
        </w:rPr>
        <w:t>,</w:t>
      </w:r>
      <w:r w:rsidRPr="00205A06">
        <w:rPr>
          <w:bCs/>
          <w:lang w:val="en-GB"/>
        </w:rPr>
        <w:t xml:space="preserve"> such as handicraft sessions for women in pastoralist communities, communal cattle grazing and long</w:t>
      </w:r>
      <w:r w:rsidR="00654919">
        <w:rPr>
          <w:bCs/>
          <w:lang w:val="en-GB"/>
        </w:rPr>
        <w:t>-</w:t>
      </w:r>
      <w:r w:rsidRPr="00205A06">
        <w:rPr>
          <w:bCs/>
          <w:lang w:val="en-GB"/>
        </w:rPr>
        <w:t xml:space="preserve">distance </w:t>
      </w:r>
      <w:r>
        <w:rPr>
          <w:bCs/>
          <w:lang w:val="en-GB"/>
        </w:rPr>
        <w:t xml:space="preserve">travelling </w:t>
      </w:r>
      <w:r w:rsidRPr="00205A06">
        <w:rPr>
          <w:bCs/>
          <w:lang w:val="en-GB"/>
        </w:rPr>
        <w:t>on foot</w:t>
      </w:r>
      <w:r>
        <w:rPr>
          <w:bCs/>
          <w:lang w:val="en-GB"/>
        </w:rPr>
        <w:t>,</w:t>
      </w:r>
      <w:r w:rsidRPr="00205A06">
        <w:rPr>
          <w:bCs/>
          <w:lang w:val="en-GB"/>
        </w:rPr>
        <w:t xml:space="preserve"> are disappearing, and thus occasions for traditional narration are diminishing. Social space</w:t>
      </w:r>
      <w:r>
        <w:rPr>
          <w:bCs/>
          <w:lang w:val="en-GB"/>
        </w:rPr>
        <w:t>s</w:t>
      </w:r>
      <w:r w:rsidRPr="00205A06">
        <w:rPr>
          <w:bCs/>
          <w:lang w:val="en-GB"/>
        </w:rPr>
        <w:t xml:space="preserve"> previously </w:t>
      </w:r>
      <w:r>
        <w:rPr>
          <w:bCs/>
          <w:lang w:val="en-GB"/>
        </w:rPr>
        <w:t>engaged for the enactment and transmission of</w:t>
      </w:r>
      <w:r w:rsidRPr="00205A06">
        <w:rPr>
          <w:bCs/>
          <w:lang w:val="en-GB"/>
        </w:rPr>
        <w:t xml:space="preserve"> </w:t>
      </w:r>
      <w:r>
        <w:rPr>
          <w:bCs/>
          <w:lang w:val="en-GB"/>
        </w:rPr>
        <w:t xml:space="preserve">the </w:t>
      </w:r>
      <w:r w:rsidRPr="00205A06">
        <w:rPr>
          <w:bCs/>
          <w:lang w:val="en-GB"/>
        </w:rPr>
        <w:t>Koogere oral tradition</w:t>
      </w:r>
      <w:r w:rsidR="00654919">
        <w:rPr>
          <w:bCs/>
          <w:lang w:val="en-GB"/>
        </w:rPr>
        <w:t xml:space="preserve"> have</w:t>
      </w:r>
      <w:r w:rsidRPr="00205A06">
        <w:rPr>
          <w:bCs/>
          <w:lang w:val="en-GB"/>
        </w:rPr>
        <w:t xml:space="preserve"> now </w:t>
      </w:r>
      <w:r w:rsidR="00654919">
        <w:rPr>
          <w:bCs/>
          <w:lang w:val="en-GB"/>
        </w:rPr>
        <w:t xml:space="preserve">been </w:t>
      </w:r>
      <w:r w:rsidRPr="00205A06">
        <w:rPr>
          <w:bCs/>
          <w:lang w:val="en-GB"/>
        </w:rPr>
        <w:t xml:space="preserve">taken over by other </w:t>
      </w:r>
      <w:r>
        <w:rPr>
          <w:bCs/>
          <w:lang w:val="en-GB"/>
        </w:rPr>
        <w:t>forms of recreation</w:t>
      </w:r>
      <w:r w:rsidRPr="00205A06">
        <w:rPr>
          <w:bCs/>
          <w:lang w:val="en-GB"/>
        </w:rPr>
        <w:t xml:space="preserve">. </w:t>
      </w:r>
      <w:r w:rsidRPr="00D83BB4">
        <w:rPr>
          <w:bCs/>
          <w:lang w:val="en-GB"/>
        </w:rPr>
        <w:t xml:space="preserve">Natural </w:t>
      </w:r>
      <w:r w:rsidR="00280F82" w:rsidRPr="00D83BB4">
        <w:rPr>
          <w:bCs/>
          <w:lang w:val="en-GB"/>
        </w:rPr>
        <w:t xml:space="preserve">and cultural </w:t>
      </w:r>
      <w:r w:rsidR="003F40F3">
        <w:rPr>
          <w:bCs/>
          <w:lang w:val="en-GB"/>
        </w:rPr>
        <w:t>spaces</w:t>
      </w:r>
      <w:r w:rsidR="003F40F3" w:rsidRPr="00205A06">
        <w:rPr>
          <w:bCs/>
          <w:lang w:val="en-GB"/>
        </w:rPr>
        <w:t xml:space="preserve"> </w:t>
      </w:r>
      <w:r w:rsidRPr="00205A06">
        <w:rPr>
          <w:bCs/>
          <w:lang w:val="en-GB"/>
        </w:rPr>
        <w:t xml:space="preserve">associated </w:t>
      </w:r>
      <w:r w:rsidR="00AB7608">
        <w:rPr>
          <w:bCs/>
          <w:lang w:val="en-GB"/>
        </w:rPr>
        <w:t>with</w:t>
      </w:r>
      <w:r w:rsidRPr="00205A06">
        <w:rPr>
          <w:bCs/>
          <w:lang w:val="en-GB"/>
        </w:rPr>
        <w:t xml:space="preserve"> tradition</w:t>
      </w:r>
      <w:r w:rsidR="003F40F3">
        <w:rPr>
          <w:bCs/>
          <w:lang w:val="en-GB"/>
        </w:rPr>
        <w:t>s</w:t>
      </w:r>
      <w:r w:rsidRPr="00205A06">
        <w:rPr>
          <w:bCs/>
          <w:lang w:val="en-GB"/>
        </w:rPr>
        <w:t xml:space="preserve"> are losing </w:t>
      </w:r>
      <w:r w:rsidR="00654919">
        <w:rPr>
          <w:bCs/>
          <w:lang w:val="en-GB"/>
        </w:rPr>
        <w:t xml:space="preserve">their </w:t>
      </w:r>
      <w:r w:rsidRPr="00205A06">
        <w:rPr>
          <w:bCs/>
          <w:lang w:val="en-GB"/>
        </w:rPr>
        <w:t>cultural meaning as the indigenous communities</w:t>
      </w:r>
      <w:r w:rsidR="00F5641B">
        <w:rPr>
          <w:bCs/>
          <w:lang w:val="en-GB"/>
        </w:rPr>
        <w:t xml:space="preserve"> and</w:t>
      </w:r>
      <w:r>
        <w:rPr>
          <w:bCs/>
          <w:lang w:val="en-GB"/>
        </w:rPr>
        <w:t xml:space="preserve"> </w:t>
      </w:r>
      <w:r w:rsidRPr="00205A06">
        <w:rPr>
          <w:bCs/>
          <w:lang w:val="en-GB"/>
        </w:rPr>
        <w:t xml:space="preserve">the </w:t>
      </w:r>
      <w:r>
        <w:rPr>
          <w:bCs/>
          <w:lang w:val="en-GB"/>
        </w:rPr>
        <w:t xml:space="preserve">tradition </w:t>
      </w:r>
      <w:r w:rsidRPr="00205A06">
        <w:rPr>
          <w:bCs/>
          <w:lang w:val="en-GB"/>
        </w:rPr>
        <w:t xml:space="preserve">bearers that used to live around </w:t>
      </w:r>
      <w:r>
        <w:rPr>
          <w:bCs/>
          <w:lang w:val="en-GB"/>
        </w:rPr>
        <w:t>the</w:t>
      </w:r>
      <w:r w:rsidR="00280F82">
        <w:rPr>
          <w:bCs/>
          <w:lang w:val="en-GB"/>
        </w:rPr>
        <w:t>se places</w:t>
      </w:r>
      <w:r w:rsidRPr="00205A06">
        <w:rPr>
          <w:bCs/>
          <w:lang w:val="en-GB"/>
        </w:rPr>
        <w:t xml:space="preserve">, </w:t>
      </w:r>
      <w:r>
        <w:rPr>
          <w:bCs/>
          <w:lang w:val="en-GB"/>
        </w:rPr>
        <w:t>as reported, are</w:t>
      </w:r>
      <w:r w:rsidRPr="00205A06">
        <w:rPr>
          <w:bCs/>
          <w:lang w:val="en-GB"/>
        </w:rPr>
        <w:t xml:space="preserve"> </w:t>
      </w:r>
      <w:r>
        <w:rPr>
          <w:bCs/>
          <w:lang w:val="en-GB"/>
        </w:rPr>
        <w:t>being displaced</w:t>
      </w:r>
      <w:r w:rsidRPr="00205A06">
        <w:rPr>
          <w:bCs/>
          <w:lang w:val="en-GB"/>
        </w:rPr>
        <w:t>.</w:t>
      </w:r>
    </w:p>
    <w:p w14:paraId="4047B175" w14:textId="77777777" w:rsidR="0007715D" w:rsidRPr="00205A06" w:rsidRDefault="0007715D" w:rsidP="0007715D">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205A06">
        <w:rPr>
          <w:bCs/>
          <w:lang w:val="en-GB"/>
        </w:rPr>
        <w:t>wish</w:t>
      </w:r>
      <w:r w:rsidRPr="00205A06">
        <w:rPr>
          <w:lang w:val="en-GB"/>
        </w:rPr>
        <w:t xml:space="preserve"> to adopt the following decision:</w:t>
      </w:r>
    </w:p>
    <w:p w14:paraId="196FBE55" w14:textId="5C8F5046" w:rsidR="0007715D" w:rsidRPr="00402403" w:rsidRDefault="0007715D" w:rsidP="0007715D">
      <w:pPr>
        <w:pStyle w:val="Titre4"/>
        <w:numPr>
          <w:ilvl w:val="0"/>
          <w:numId w:val="0"/>
        </w:numPr>
        <w:spacing w:before="240"/>
        <w:ind w:left="567"/>
        <w:rPr>
          <w:rFonts w:eastAsia="SimSun"/>
          <w:szCs w:val="22"/>
        </w:rPr>
      </w:pPr>
      <w:bookmarkStart w:id="17" w:name="Dec15COM7_8"/>
      <w:r w:rsidRPr="00205A06">
        <w:rPr>
          <w:szCs w:val="22"/>
        </w:rPr>
        <w:t>DRAFT DECISION 15.COM </w:t>
      </w:r>
      <w:r w:rsidR="00B40F86" w:rsidRPr="00402403">
        <w:rPr>
          <w:szCs w:val="22"/>
        </w:rPr>
        <w:t>7</w:t>
      </w:r>
      <w:r w:rsidRPr="00402403">
        <w:rPr>
          <w:szCs w:val="22"/>
        </w:rPr>
        <w:t>.8</w:t>
      </w:r>
      <w:bookmarkEnd w:id="17"/>
      <w:r w:rsidRPr="00402403">
        <w:rPr>
          <w:szCs w:val="22"/>
        </w:rPr>
        <w:tab/>
      </w:r>
      <w:r w:rsidR="00341EB2" w:rsidRPr="00402403">
        <w:rPr>
          <w:noProof/>
          <w:color w:val="0000FF"/>
        </w:rPr>
        <w:drawing>
          <wp:inline distT="0" distB="0" distL="0" distR="0" wp14:anchorId="01076F97" wp14:editId="1550A563">
            <wp:extent cx="104775" cy="104775"/>
            <wp:effectExtent l="0" t="0" r="9525" b="9525"/>
            <wp:docPr id="8"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6EE57AC6" w14:textId="77777777" w:rsidR="0007715D" w:rsidRPr="00402403" w:rsidRDefault="0007715D" w:rsidP="0007715D">
      <w:pPr>
        <w:pStyle w:val="Para"/>
        <w:keepNext/>
        <w:numPr>
          <w:ilvl w:val="0"/>
          <w:numId w:val="0"/>
        </w:numPr>
        <w:tabs>
          <w:tab w:val="left" w:pos="1134"/>
        </w:tabs>
        <w:spacing w:line="240" w:lineRule="auto"/>
        <w:ind w:left="567"/>
        <w:rPr>
          <w:rFonts w:cs="Arial"/>
          <w:sz w:val="22"/>
          <w:szCs w:val="22"/>
          <w:lang w:val="en-GB"/>
        </w:rPr>
      </w:pPr>
      <w:r w:rsidRPr="00402403">
        <w:rPr>
          <w:rFonts w:cs="Arial"/>
          <w:sz w:val="22"/>
          <w:szCs w:val="22"/>
          <w:lang w:val="en-GB"/>
        </w:rPr>
        <w:t>The Committee,</w:t>
      </w:r>
    </w:p>
    <w:p w14:paraId="74A3EB19" w14:textId="565D1F8C" w:rsidR="0007715D" w:rsidRPr="00402403" w:rsidRDefault="0007715D" w:rsidP="0007715D">
      <w:pPr>
        <w:pStyle w:val="Para"/>
        <w:numPr>
          <w:ilvl w:val="0"/>
          <w:numId w:val="38"/>
        </w:numPr>
        <w:tabs>
          <w:tab w:val="left" w:pos="1134"/>
        </w:tabs>
        <w:spacing w:line="240" w:lineRule="auto"/>
        <w:rPr>
          <w:rFonts w:cs="Arial"/>
          <w:sz w:val="22"/>
          <w:szCs w:val="22"/>
          <w:lang w:val="pt-PT"/>
        </w:rPr>
      </w:pPr>
      <w:r w:rsidRPr="00402403">
        <w:rPr>
          <w:rFonts w:cs="Arial"/>
          <w:sz w:val="22"/>
          <w:szCs w:val="22"/>
          <w:u w:val="single"/>
          <w:lang w:val="pt-PT"/>
        </w:rPr>
        <w:t>Having examined</w:t>
      </w:r>
      <w:r w:rsidRPr="00402403">
        <w:rPr>
          <w:rFonts w:cs="Arial"/>
          <w:sz w:val="22"/>
          <w:szCs w:val="22"/>
          <w:lang w:val="pt-PT"/>
        </w:rPr>
        <w:t xml:space="preserve"> document LHE/20/15.COM/</w:t>
      </w:r>
      <w:r w:rsidR="00B40F86" w:rsidRPr="00402403">
        <w:rPr>
          <w:rFonts w:cs="Arial"/>
          <w:sz w:val="22"/>
          <w:szCs w:val="22"/>
          <w:lang w:val="pt-PT"/>
        </w:rPr>
        <w:t>7</w:t>
      </w:r>
      <w:r w:rsidRPr="00402403">
        <w:rPr>
          <w:rFonts w:cs="Arial"/>
          <w:sz w:val="22"/>
          <w:szCs w:val="22"/>
          <w:lang w:val="pt-PT"/>
        </w:rPr>
        <w:t>,</w:t>
      </w:r>
    </w:p>
    <w:p w14:paraId="4F7F10F2" w14:textId="77777777" w:rsidR="0007715D" w:rsidRPr="0007715D" w:rsidRDefault="0007715D" w:rsidP="0007715D">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Recalling</w:t>
      </w:r>
      <w:r w:rsidRPr="0007715D">
        <w:rPr>
          <w:rFonts w:cs="Arial"/>
          <w:sz w:val="22"/>
          <w:szCs w:val="22"/>
          <w:lang w:val="en-GB"/>
        </w:rPr>
        <w:t xml:space="preserve"> Chapter V of the Operational Directives and its Decision </w:t>
      </w:r>
      <w:hyperlink r:id="rId80" w:history="1">
        <w:r w:rsidRPr="0007715D">
          <w:rPr>
            <w:rStyle w:val="Lienhypertexte"/>
            <w:rFonts w:cs="Arial"/>
            <w:sz w:val="22"/>
            <w:szCs w:val="22"/>
            <w:lang w:val="en-GB"/>
          </w:rPr>
          <w:t>10.COM 10.a.8</w:t>
        </w:r>
      </w:hyperlink>
      <w:r w:rsidRPr="0007715D">
        <w:rPr>
          <w:rFonts w:cs="Arial"/>
          <w:sz w:val="22"/>
          <w:szCs w:val="22"/>
          <w:lang w:val="en-GB"/>
        </w:rPr>
        <w:t>,</w:t>
      </w:r>
    </w:p>
    <w:p w14:paraId="58B9FF49" w14:textId="77777777" w:rsidR="0007715D" w:rsidRPr="0007715D" w:rsidRDefault="0007715D" w:rsidP="0007715D">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Expresses its thanks</w:t>
      </w:r>
      <w:r w:rsidRPr="0007715D">
        <w:rPr>
          <w:rFonts w:cs="Arial"/>
          <w:sz w:val="22"/>
          <w:szCs w:val="22"/>
          <w:lang w:val="en-GB"/>
        </w:rPr>
        <w:t xml:space="preserve"> to Uganda for submitting, on time, its report on the </w:t>
      </w:r>
      <w:r w:rsidRPr="0007715D">
        <w:rPr>
          <w:rFonts w:cs="Arial"/>
          <w:bCs/>
          <w:sz w:val="22"/>
          <w:szCs w:val="22"/>
          <w:lang w:val="en-GB"/>
        </w:rPr>
        <w:t xml:space="preserve">status of the </w:t>
      </w:r>
      <w:r w:rsidRPr="0007715D">
        <w:rPr>
          <w:rFonts w:cs="Arial"/>
          <w:sz w:val="22"/>
          <w:szCs w:val="22"/>
          <w:lang w:val="en-GB"/>
        </w:rPr>
        <w:t>element ‘</w:t>
      </w:r>
      <w:r w:rsidRPr="0007715D">
        <w:rPr>
          <w:sz w:val="22"/>
          <w:szCs w:val="22"/>
          <w:lang w:val="en-GB"/>
        </w:rPr>
        <w:t>Koogere oral tradition of the Basongora, Banyabindi and Batooro peoples</w:t>
      </w:r>
      <w:r w:rsidRPr="0007715D">
        <w:rPr>
          <w:rFonts w:cs="Arial"/>
          <w:sz w:val="22"/>
          <w:szCs w:val="22"/>
          <w:lang w:val="en-GB"/>
        </w:rPr>
        <w:t>’, inscribed</w:t>
      </w:r>
      <w:r w:rsidRPr="0007715D">
        <w:rPr>
          <w:rFonts w:cs="Arial"/>
          <w:bCs/>
          <w:sz w:val="22"/>
          <w:szCs w:val="22"/>
          <w:lang w:val="en-GB"/>
        </w:rPr>
        <w:t xml:space="preserve"> in 2015 on the List of Intangible Cultural Heritage in Need of Urgent Safeguarding;</w:t>
      </w:r>
    </w:p>
    <w:p w14:paraId="72837885" w14:textId="0C1DA368" w:rsidR="0007715D" w:rsidRPr="0007715D" w:rsidRDefault="0007715D" w:rsidP="0007715D">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Takes note</w:t>
      </w:r>
      <w:r w:rsidRPr="0007715D">
        <w:rPr>
          <w:rFonts w:cs="Arial"/>
          <w:sz w:val="22"/>
          <w:szCs w:val="22"/>
          <w:lang w:val="en-GB"/>
        </w:rPr>
        <w:t xml:space="preserve"> of the efforts of Uganda to support the transmission of the element, </w:t>
      </w:r>
      <w:r w:rsidR="00E80A34">
        <w:rPr>
          <w:rFonts w:cs="Arial"/>
          <w:sz w:val="22"/>
          <w:szCs w:val="22"/>
          <w:lang w:val="en-GB"/>
        </w:rPr>
        <w:t>especial</w:t>
      </w:r>
      <w:r w:rsidRPr="0007715D">
        <w:rPr>
          <w:rFonts w:cs="Arial"/>
          <w:sz w:val="22"/>
          <w:szCs w:val="22"/>
          <w:lang w:val="en-GB"/>
        </w:rPr>
        <w:t xml:space="preserve">ly through participatory safeguarding management and active community involvement, </w:t>
      </w:r>
      <w:r w:rsidR="00F407DD" w:rsidRPr="0007715D">
        <w:rPr>
          <w:rFonts w:cs="Arial"/>
          <w:sz w:val="22"/>
          <w:szCs w:val="22"/>
          <w:lang w:val="en-GB"/>
        </w:rPr>
        <w:t>a</w:t>
      </w:r>
      <w:r w:rsidR="00F407DD">
        <w:rPr>
          <w:rFonts w:cs="Arial"/>
          <w:sz w:val="22"/>
          <w:szCs w:val="22"/>
          <w:lang w:val="en-GB"/>
        </w:rPr>
        <w:t>s well as</w:t>
      </w:r>
      <w:r w:rsidR="00F407DD" w:rsidRPr="0007715D">
        <w:rPr>
          <w:rFonts w:cs="Arial"/>
          <w:sz w:val="22"/>
          <w:szCs w:val="22"/>
          <w:lang w:val="en-GB"/>
        </w:rPr>
        <w:t xml:space="preserve"> </w:t>
      </w:r>
      <w:r w:rsidR="00F407DD">
        <w:rPr>
          <w:rFonts w:cs="Arial"/>
          <w:sz w:val="22"/>
          <w:szCs w:val="22"/>
          <w:lang w:val="en-GB"/>
        </w:rPr>
        <w:t>through the implementation of</w:t>
      </w:r>
      <w:r w:rsidRPr="0007715D">
        <w:rPr>
          <w:rFonts w:cs="Arial"/>
          <w:sz w:val="22"/>
          <w:szCs w:val="22"/>
          <w:lang w:val="en-GB"/>
        </w:rPr>
        <w:t xml:space="preserve"> safeguarding activities </w:t>
      </w:r>
      <w:r w:rsidR="00690296">
        <w:rPr>
          <w:rFonts w:cs="Arial"/>
          <w:sz w:val="22"/>
          <w:szCs w:val="22"/>
          <w:lang w:val="en-GB"/>
        </w:rPr>
        <w:t>with</w:t>
      </w:r>
      <w:r w:rsidRPr="0007715D">
        <w:rPr>
          <w:rFonts w:cs="Arial"/>
          <w:sz w:val="22"/>
          <w:szCs w:val="22"/>
          <w:lang w:val="en-GB"/>
        </w:rPr>
        <w:t xml:space="preserve"> limited resources</w:t>
      </w:r>
      <w:r w:rsidR="00690296">
        <w:rPr>
          <w:rFonts w:cs="Arial"/>
          <w:sz w:val="22"/>
          <w:szCs w:val="22"/>
          <w:lang w:val="en-GB"/>
        </w:rPr>
        <w:t>,</w:t>
      </w:r>
      <w:r w:rsidRPr="0007715D">
        <w:rPr>
          <w:rFonts w:cs="Arial"/>
          <w:sz w:val="22"/>
          <w:szCs w:val="22"/>
          <w:lang w:val="en-GB"/>
        </w:rPr>
        <w:t xml:space="preserve"> such as the documentation of critical knowledge </w:t>
      </w:r>
      <w:r w:rsidR="00F407DD">
        <w:rPr>
          <w:rFonts w:cs="Arial"/>
          <w:sz w:val="22"/>
          <w:szCs w:val="22"/>
          <w:lang w:val="en-GB"/>
        </w:rPr>
        <w:t>relating to</w:t>
      </w:r>
      <w:r w:rsidR="00F407DD" w:rsidRPr="0007715D">
        <w:rPr>
          <w:rFonts w:cs="Arial"/>
          <w:sz w:val="22"/>
          <w:szCs w:val="22"/>
          <w:lang w:val="en-GB"/>
        </w:rPr>
        <w:t xml:space="preserve"> </w:t>
      </w:r>
      <w:r w:rsidRPr="0007715D">
        <w:rPr>
          <w:rFonts w:cs="Arial"/>
          <w:sz w:val="22"/>
          <w:szCs w:val="22"/>
          <w:lang w:val="en-GB"/>
        </w:rPr>
        <w:t>the element, a</w:t>
      </w:r>
      <w:r w:rsidR="00690296">
        <w:rPr>
          <w:rFonts w:cs="Arial"/>
          <w:sz w:val="22"/>
          <w:szCs w:val="22"/>
          <w:lang w:val="en-GB"/>
        </w:rPr>
        <w:t>nd</w:t>
      </w:r>
      <w:r w:rsidRPr="0007715D">
        <w:rPr>
          <w:rFonts w:cs="Arial"/>
          <w:sz w:val="22"/>
          <w:szCs w:val="22"/>
          <w:lang w:val="en-GB"/>
        </w:rPr>
        <w:t xml:space="preserve"> </w:t>
      </w:r>
      <w:r w:rsidR="00F407DD">
        <w:rPr>
          <w:rFonts w:cs="Arial"/>
          <w:sz w:val="22"/>
          <w:szCs w:val="22"/>
          <w:lang w:val="en-GB"/>
        </w:rPr>
        <w:t>the prioritization of</w:t>
      </w:r>
      <w:r w:rsidR="00F407DD" w:rsidRPr="0007715D">
        <w:rPr>
          <w:rFonts w:cs="Arial"/>
          <w:sz w:val="22"/>
          <w:szCs w:val="22"/>
          <w:lang w:val="en-GB"/>
        </w:rPr>
        <w:t xml:space="preserve"> </w:t>
      </w:r>
      <w:r w:rsidRPr="0007715D">
        <w:rPr>
          <w:rFonts w:cs="Arial"/>
          <w:sz w:val="22"/>
          <w:szCs w:val="22"/>
          <w:lang w:val="en-GB"/>
        </w:rPr>
        <w:t>fundraising activities for safeguarding needs;</w:t>
      </w:r>
    </w:p>
    <w:p w14:paraId="38B380D3" w14:textId="26F20B1E" w:rsidR="0007715D" w:rsidRPr="0007715D" w:rsidRDefault="0007715D" w:rsidP="0007715D">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Invites</w:t>
      </w:r>
      <w:r w:rsidRPr="0007715D">
        <w:rPr>
          <w:rFonts w:cs="Arial"/>
          <w:sz w:val="22"/>
          <w:szCs w:val="22"/>
          <w:lang w:val="en-GB"/>
        </w:rPr>
        <w:t xml:space="preserve"> the State Party to continue its efforts to implement the planned safeguarding activities, to mobilize the support of national institutions </w:t>
      </w:r>
      <w:r w:rsidR="00654919">
        <w:rPr>
          <w:rFonts w:cs="Arial"/>
          <w:sz w:val="22"/>
          <w:szCs w:val="22"/>
          <w:lang w:val="en-GB"/>
        </w:rPr>
        <w:t>for</w:t>
      </w:r>
      <w:r w:rsidR="00654919" w:rsidRPr="0007715D">
        <w:rPr>
          <w:rFonts w:cs="Arial"/>
          <w:sz w:val="22"/>
          <w:szCs w:val="22"/>
          <w:lang w:val="en-GB"/>
        </w:rPr>
        <w:t xml:space="preserve"> </w:t>
      </w:r>
      <w:r w:rsidRPr="0007715D">
        <w:rPr>
          <w:rFonts w:cs="Arial"/>
          <w:sz w:val="22"/>
          <w:szCs w:val="22"/>
          <w:lang w:val="en-GB"/>
        </w:rPr>
        <w:t xml:space="preserve">safeguarding activities, to enhance </w:t>
      </w:r>
      <w:r w:rsidR="00F407DD">
        <w:rPr>
          <w:rFonts w:cs="Arial"/>
          <w:sz w:val="22"/>
          <w:szCs w:val="22"/>
          <w:lang w:val="en-GB"/>
        </w:rPr>
        <w:t>the</w:t>
      </w:r>
      <w:r w:rsidRPr="0007715D">
        <w:rPr>
          <w:rFonts w:cs="Arial"/>
          <w:sz w:val="22"/>
          <w:szCs w:val="22"/>
          <w:lang w:val="en-GB"/>
        </w:rPr>
        <w:t xml:space="preserve"> sustained contribution of local governments and to continuously monitor the viability of the element and address threats to its safeguarding;</w:t>
      </w:r>
    </w:p>
    <w:p w14:paraId="5B2A3246" w14:textId="597AE6D9" w:rsidR="006B4BE6" w:rsidRPr="0007715D" w:rsidRDefault="006B4BE6" w:rsidP="006B4BE6">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Further invites</w:t>
      </w:r>
      <w:r w:rsidRPr="0007715D">
        <w:rPr>
          <w:rFonts w:cs="Arial"/>
          <w:sz w:val="22"/>
          <w:szCs w:val="22"/>
          <w:lang w:val="en-GB"/>
        </w:rPr>
        <w:t xml:space="preserve"> the State Party to address in its next report the issue of the declining use of </w:t>
      </w:r>
      <w:r w:rsidR="00654919">
        <w:rPr>
          <w:rFonts w:cs="Arial"/>
          <w:sz w:val="22"/>
          <w:szCs w:val="22"/>
          <w:lang w:val="en-GB"/>
        </w:rPr>
        <w:t xml:space="preserve">the </w:t>
      </w:r>
      <w:r w:rsidRPr="0007715D">
        <w:rPr>
          <w:rFonts w:cs="Arial"/>
          <w:sz w:val="22"/>
          <w:szCs w:val="22"/>
          <w:lang w:val="en-GB"/>
        </w:rPr>
        <w:t>Runyakitara (Runyoro-Rutooro) language as an important carrier of the values and knowledge practised and transmitted through the Koogere oral tradition;</w:t>
      </w:r>
    </w:p>
    <w:p w14:paraId="5961F7E4" w14:textId="6B061FC4" w:rsidR="0007715D" w:rsidRPr="00582908" w:rsidRDefault="0007715D" w:rsidP="0007715D">
      <w:pPr>
        <w:pStyle w:val="Para"/>
        <w:numPr>
          <w:ilvl w:val="0"/>
          <w:numId w:val="38"/>
        </w:numPr>
        <w:tabs>
          <w:tab w:val="left" w:pos="1134"/>
        </w:tabs>
        <w:spacing w:line="240" w:lineRule="auto"/>
        <w:rPr>
          <w:rFonts w:cs="Arial"/>
          <w:sz w:val="22"/>
          <w:szCs w:val="22"/>
          <w:lang w:val="en-GB"/>
        </w:rPr>
      </w:pPr>
      <w:r w:rsidRPr="00582908">
        <w:rPr>
          <w:rFonts w:cs="Arial"/>
          <w:sz w:val="22"/>
          <w:szCs w:val="22"/>
          <w:u w:val="single"/>
          <w:lang w:val="en-GB"/>
        </w:rPr>
        <w:t>Encourages</w:t>
      </w:r>
      <w:r w:rsidRPr="00FD4562">
        <w:rPr>
          <w:rFonts w:cs="Arial"/>
          <w:sz w:val="22"/>
          <w:szCs w:val="22"/>
          <w:lang w:val="en-GB"/>
        </w:rPr>
        <w:t xml:space="preserve"> </w:t>
      </w:r>
      <w:r w:rsidRPr="00582908">
        <w:rPr>
          <w:rFonts w:cs="Arial"/>
          <w:sz w:val="22"/>
          <w:szCs w:val="22"/>
          <w:lang w:val="en-GB"/>
        </w:rPr>
        <w:t xml:space="preserve">the State Party to continue its efforts to address the lack of financial resources for the safeguarding of the element by mobilizing funds at the national and local levels, and to explore other funding possibilities through international cooperation mechanisms, including </w:t>
      </w:r>
      <w:r w:rsidR="0027782E" w:rsidRPr="00582908">
        <w:rPr>
          <w:rFonts w:cs="Arial"/>
          <w:sz w:val="22"/>
          <w:szCs w:val="22"/>
          <w:lang w:val="en-GB"/>
        </w:rPr>
        <w:t xml:space="preserve">International Assistance from </w:t>
      </w:r>
      <w:r w:rsidRPr="00582908">
        <w:rPr>
          <w:rFonts w:cs="Arial"/>
          <w:sz w:val="22"/>
          <w:szCs w:val="22"/>
          <w:lang w:val="en-GB"/>
        </w:rPr>
        <w:t>the Intangible Cultural Heritage Fund;</w:t>
      </w:r>
    </w:p>
    <w:p w14:paraId="1E6FCC7B" w14:textId="7DA74B3A" w:rsidR="0007715D" w:rsidRPr="0007715D" w:rsidRDefault="0007715D" w:rsidP="0007715D">
      <w:pPr>
        <w:pStyle w:val="Para"/>
        <w:numPr>
          <w:ilvl w:val="0"/>
          <w:numId w:val="38"/>
        </w:numPr>
        <w:tabs>
          <w:tab w:val="left" w:pos="1134"/>
        </w:tabs>
        <w:spacing w:line="240" w:lineRule="auto"/>
        <w:rPr>
          <w:rFonts w:cs="Arial"/>
          <w:sz w:val="22"/>
          <w:szCs w:val="22"/>
          <w:lang w:val="en-GB"/>
        </w:rPr>
      </w:pPr>
      <w:r w:rsidRPr="0007715D">
        <w:rPr>
          <w:rFonts w:cs="Arial"/>
          <w:sz w:val="22"/>
          <w:szCs w:val="22"/>
          <w:u w:val="single"/>
          <w:lang w:val="en-GB"/>
        </w:rPr>
        <w:t>Further encourages</w:t>
      </w:r>
      <w:r w:rsidRPr="0007715D">
        <w:rPr>
          <w:rFonts w:cs="Arial"/>
          <w:sz w:val="22"/>
          <w:szCs w:val="22"/>
          <w:lang w:val="en-GB"/>
        </w:rPr>
        <w:t xml:space="preserve"> the State Party to develop </w:t>
      </w:r>
      <w:r w:rsidR="00654919">
        <w:rPr>
          <w:rFonts w:cs="Arial"/>
          <w:sz w:val="22"/>
          <w:szCs w:val="22"/>
          <w:lang w:val="en-GB"/>
        </w:rPr>
        <w:t>suitable</w:t>
      </w:r>
      <w:r w:rsidR="00654919" w:rsidRPr="0007715D">
        <w:rPr>
          <w:rFonts w:cs="Arial"/>
          <w:sz w:val="22"/>
          <w:szCs w:val="22"/>
          <w:lang w:val="en-GB"/>
        </w:rPr>
        <w:t xml:space="preserve"> </w:t>
      </w:r>
      <w:r w:rsidRPr="0007715D">
        <w:rPr>
          <w:rFonts w:cs="Arial"/>
          <w:sz w:val="22"/>
          <w:szCs w:val="22"/>
          <w:lang w:val="en-GB"/>
        </w:rPr>
        <w:t xml:space="preserve">education and training measures for </w:t>
      </w:r>
      <w:r w:rsidR="00654919">
        <w:rPr>
          <w:rFonts w:cs="Arial"/>
          <w:sz w:val="22"/>
          <w:szCs w:val="22"/>
          <w:lang w:val="en-GB"/>
        </w:rPr>
        <w:t>the</w:t>
      </w:r>
      <w:r w:rsidR="00654919" w:rsidRPr="0007715D">
        <w:rPr>
          <w:rFonts w:cs="Arial"/>
          <w:sz w:val="22"/>
          <w:szCs w:val="22"/>
          <w:lang w:val="en-GB"/>
        </w:rPr>
        <w:t xml:space="preserve"> </w:t>
      </w:r>
      <w:r w:rsidRPr="0007715D">
        <w:rPr>
          <w:rFonts w:cs="Arial"/>
          <w:sz w:val="22"/>
          <w:szCs w:val="22"/>
          <w:lang w:val="en-GB"/>
        </w:rPr>
        <w:t xml:space="preserve">sustained transmission of the diverse aspects of the </w:t>
      </w:r>
      <w:r w:rsidRPr="0007715D">
        <w:rPr>
          <w:sz w:val="22"/>
          <w:szCs w:val="22"/>
          <w:lang w:val="en-GB"/>
        </w:rPr>
        <w:t>element</w:t>
      </w:r>
      <w:r w:rsidRPr="0007715D">
        <w:rPr>
          <w:rFonts w:cs="Arial"/>
          <w:sz w:val="22"/>
          <w:szCs w:val="22"/>
          <w:lang w:val="en-GB"/>
        </w:rPr>
        <w:t xml:space="preserve">, including the knowledge </w:t>
      </w:r>
      <w:r w:rsidR="00276B52">
        <w:rPr>
          <w:rFonts w:cs="Arial"/>
          <w:sz w:val="22"/>
          <w:szCs w:val="22"/>
          <w:lang w:val="en-GB"/>
        </w:rPr>
        <w:t xml:space="preserve">and traditions </w:t>
      </w:r>
      <w:r w:rsidRPr="0007715D">
        <w:rPr>
          <w:rFonts w:cs="Arial"/>
          <w:sz w:val="22"/>
          <w:szCs w:val="22"/>
          <w:lang w:val="en-GB"/>
        </w:rPr>
        <w:t xml:space="preserve">associated </w:t>
      </w:r>
      <w:r w:rsidR="00276B52">
        <w:rPr>
          <w:rFonts w:cs="Arial"/>
          <w:sz w:val="22"/>
          <w:szCs w:val="22"/>
          <w:lang w:val="en-GB"/>
        </w:rPr>
        <w:t xml:space="preserve">with </w:t>
      </w:r>
      <w:r w:rsidR="00276B52" w:rsidRPr="0033403B">
        <w:rPr>
          <w:rFonts w:cs="Arial"/>
          <w:sz w:val="22"/>
          <w:szCs w:val="22"/>
          <w:lang w:val="en-GB"/>
        </w:rPr>
        <w:t xml:space="preserve">cultural and </w:t>
      </w:r>
      <w:r w:rsidRPr="0033403B">
        <w:rPr>
          <w:rFonts w:cs="Arial"/>
          <w:sz w:val="22"/>
          <w:szCs w:val="22"/>
          <w:lang w:val="en-GB"/>
        </w:rPr>
        <w:t xml:space="preserve">natural </w:t>
      </w:r>
      <w:r w:rsidR="0033403B">
        <w:rPr>
          <w:rFonts w:cs="Arial"/>
          <w:sz w:val="22"/>
          <w:szCs w:val="22"/>
          <w:lang w:val="en-GB"/>
        </w:rPr>
        <w:t>spaces</w:t>
      </w:r>
      <w:r w:rsidRPr="0007715D">
        <w:rPr>
          <w:rFonts w:cs="Arial"/>
          <w:sz w:val="22"/>
          <w:szCs w:val="22"/>
          <w:lang w:val="en-GB"/>
        </w:rPr>
        <w:t>;</w:t>
      </w:r>
    </w:p>
    <w:p w14:paraId="2782398B" w14:textId="0E3001F2" w:rsidR="00FA4117" w:rsidRPr="00FD2651" w:rsidRDefault="0007715D" w:rsidP="00BD550F">
      <w:pPr>
        <w:pStyle w:val="Para"/>
        <w:numPr>
          <w:ilvl w:val="0"/>
          <w:numId w:val="38"/>
        </w:numPr>
        <w:tabs>
          <w:tab w:val="left" w:pos="1134"/>
        </w:tabs>
        <w:spacing w:line="240" w:lineRule="auto"/>
        <w:rPr>
          <w:lang w:val="en-US"/>
        </w:rPr>
      </w:pPr>
      <w:r w:rsidRPr="00FD2651">
        <w:rPr>
          <w:rFonts w:cs="Arial"/>
          <w:sz w:val="22"/>
          <w:szCs w:val="22"/>
          <w:u w:val="single"/>
          <w:lang w:val="en-GB"/>
        </w:rPr>
        <w:t>Requests</w:t>
      </w:r>
      <w:r w:rsidRPr="00FD2651">
        <w:rPr>
          <w:rFonts w:cs="Arial"/>
          <w:sz w:val="22"/>
          <w:szCs w:val="22"/>
          <w:lang w:val="en-GB"/>
        </w:rPr>
        <w:t xml:space="preserve"> that the Secretariat inform the State Party at least nine months prior to the deadline of 15 December 2023 about the required submission of its next report on the status of this element.</w:t>
      </w:r>
      <w:r w:rsidR="00FA4117" w:rsidRPr="00FD2651">
        <w:rPr>
          <w:lang w:val="en-US"/>
        </w:rPr>
        <w:br w:type="page"/>
      </w:r>
    </w:p>
    <w:p w14:paraId="162742FD" w14:textId="2EC15AE0" w:rsidR="00FA4117" w:rsidRPr="00205A06" w:rsidRDefault="00FA4117" w:rsidP="00FA4117">
      <w:pPr>
        <w:pStyle w:val="COMTitleDecision"/>
        <w:pageBreakBefore/>
        <w:spacing w:before="480"/>
        <w:jc w:val="left"/>
      </w:pPr>
      <w:r w:rsidRPr="00205A06">
        <w:rPr>
          <w:bCs/>
        </w:rPr>
        <w:lastRenderedPageBreak/>
        <w:t>United Arab Emirates:</w:t>
      </w:r>
      <w:r w:rsidRPr="00205A06">
        <w:t xml:space="preserve"> ‘Al Sadu, traditional weaving skills in the United Arab Emirates’</w:t>
      </w:r>
      <w:r w:rsidRPr="00205A06">
        <w:rPr>
          <w:bCs/>
          <w:i/>
          <w:iCs/>
        </w:rPr>
        <w:t xml:space="preserve"> </w:t>
      </w:r>
      <w:r w:rsidRPr="00205A06">
        <w:rPr>
          <w:b w:val="0"/>
          <w:bCs/>
          <w:i/>
          <w:iCs/>
        </w:rPr>
        <w:t xml:space="preserve">(consult </w:t>
      </w:r>
      <w:r w:rsidRPr="00772039">
        <w:rPr>
          <w:b w:val="0"/>
          <w:bCs/>
          <w:i/>
          <w:iCs/>
        </w:rPr>
        <w:t xml:space="preserve">the </w:t>
      </w:r>
      <w:hyperlink r:id="rId81" w:history="1">
        <w:r w:rsidRPr="00772039">
          <w:rPr>
            <w:rStyle w:val="Lienhypertexte"/>
            <w:b w:val="0"/>
            <w:bCs/>
            <w:i/>
            <w:iCs/>
          </w:rPr>
          <w:t>report</w:t>
        </w:r>
      </w:hyperlink>
      <w:r w:rsidRPr="00772039">
        <w:rPr>
          <w:b w:val="0"/>
          <w:bCs/>
          <w:i/>
          <w:iCs/>
        </w:rPr>
        <w:t>)</w:t>
      </w:r>
    </w:p>
    <w:p w14:paraId="7B41B2F5" w14:textId="5AF6E7B9" w:rsidR="00FA4117" w:rsidRPr="00205A06" w:rsidRDefault="00FA4117" w:rsidP="00FA4117">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lang w:val="en-GB"/>
        </w:rPr>
        <w:t>Al Sadu, traditional weaving skills in the United Arab Emirates is a craft tradition practi</w:t>
      </w:r>
      <w:r>
        <w:rPr>
          <w:lang w:val="en-GB"/>
        </w:rPr>
        <w:t>s</w:t>
      </w:r>
      <w:r w:rsidRPr="00205A06">
        <w:rPr>
          <w:lang w:val="en-GB"/>
        </w:rPr>
        <w:t xml:space="preserve">ed by Bedouin women in </w:t>
      </w:r>
      <w:r w:rsidRPr="00205A06">
        <w:rPr>
          <w:rFonts w:cs="Arial"/>
          <w:bCs/>
          <w:szCs w:val="22"/>
          <w:lang w:val="en-GB"/>
        </w:rPr>
        <w:t>desert communities</w:t>
      </w:r>
      <w:r w:rsidRPr="00205A06">
        <w:rPr>
          <w:lang w:val="en-GB"/>
        </w:rPr>
        <w:t xml:space="preserve"> </w:t>
      </w:r>
      <w:r w:rsidR="00654919">
        <w:rPr>
          <w:lang w:val="en-GB"/>
        </w:rPr>
        <w:t>to</w:t>
      </w:r>
      <w:r w:rsidR="00654919" w:rsidRPr="00205A06">
        <w:rPr>
          <w:lang w:val="en-GB"/>
        </w:rPr>
        <w:t xml:space="preserve"> </w:t>
      </w:r>
      <w:r w:rsidRPr="00205A06">
        <w:rPr>
          <w:lang w:val="en-GB"/>
        </w:rPr>
        <w:t>meet family needs</w:t>
      </w:r>
      <w:r>
        <w:rPr>
          <w:lang w:val="en-GB"/>
        </w:rPr>
        <w:t>,</w:t>
      </w:r>
      <w:r w:rsidRPr="00205A06">
        <w:rPr>
          <w:lang w:val="en-GB"/>
        </w:rPr>
        <w:t xml:space="preserve"> and </w:t>
      </w:r>
      <w:r>
        <w:rPr>
          <w:lang w:val="en-GB"/>
        </w:rPr>
        <w:t>an</w:t>
      </w:r>
      <w:r w:rsidRPr="00205A06">
        <w:rPr>
          <w:lang w:val="en-GB"/>
        </w:rPr>
        <w:t xml:space="preserve"> economic activity based on locally available natural resources. </w:t>
      </w:r>
      <w:r w:rsidRPr="00205A06">
        <w:rPr>
          <w:rFonts w:cs="Arial"/>
          <w:lang w:val="en-GB"/>
        </w:rPr>
        <w:t xml:space="preserve">Raw materials are required for weaving, such as sheep wool, camel and goat hair and wood to make the traditional loom and spindle, later used to spin strong threads. </w:t>
      </w:r>
      <w:r>
        <w:rPr>
          <w:rFonts w:cs="Arial"/>
          <w:lang w:val="en-GB"/>
        </w:rPr>
        <w:t>M</w:t>
      </w:r>
      <w:r w:rsidRPr="00205A06">
        <w:rPr>
          <w:rFonts w:cs="Arial"/>
          <w:lang w:val="en-GB"/>
        </w:rPr>
        <w:t>en</w:t>
      </w:r>
      <w:r>
        <w:rPr>
          <w:rFonts w:cs="Arial"/>
          <w:lang w:val="en-GB"/>
        </w:rPr>
        <w:t xml:space="preserve"> also participate</w:t>
      </w:r>
      <w:r w:rsidRPr="00205A06">
        <w:rPr>
          <w:rFonts w:cs="Arial"/>
          <w:lang w:val="en-GB"/>
        </w:rPr>
        <w:t xml:space="preserve"> in shearing wool, cutting hair, collecting lint</w:t>
      </w:r>
      <w:r>
        <w:rPr>
          <w:rFonts w:cs="Arial"/>
          <w:lang w:val="en-GB"/>
        </w:rPr>
        <w:t xml:space="preserve"> and</w:t>
      </w:r>
      <w:r w:rsidRPr="00205A06">
        <w:rPr>
          <w:rFonts w:cs="Arial"/>
          <w:lang w:val="en-GB"/>
        </w:rPr>
        <w:t xml:space="preserve"> making ropes. Several stages </w:t>
      </w:r>
      <w:r>
        <w:rPr>
          <w:rFonts w:cs="Arial"/>
          <w:lang w:val="en-GB"/>
        </w:rPr>
        <w:t>of</w:t>
      </w:r>
      <w:r w:rsidRPr="00205A06">
        <w:rPr>
          <w:rFonts w:cs="Arial"/>
          <w:lang w:val="en-GB"/>
        </w:rPr>
        <w:t xml:space="preserve"> </w:t>
      </w:r>
      <w:r w:rsidR="00654919">
        <w:rPr>
          <w:rFonts w:cs="Arial"/>
          <w:lang w:val="en-GB"/>
        </w:rPr>
        <w:t>the m</w:t>
      </w:r>
      <w:r w:rsidRPr="00205A06">
        <w:rPr>
          <w:rFonts w:cs="Arial"/>
          <w:lang w:val="en-GB"/>
        </w:rPr>
        <w:t xml:space="preserve">anufacturing </w:t>
      </w:r>
      <w:r w:rsidR="00654919">
        <w:rPr>
          <w:rFonts w:cs="Arial"/>
          <w:lang w:val="en-GB"/>
        </w:rPr>
        <w:t xml:space="preserve">of </w:t>
      </w:r>
      <w:r>
        <w:rPr>
          <w:rFonts w:cs="Arial"/>
          <w:lang w:val="en-GB"/>
        </w:rPr>
        <w:t xml:space="preserve">Al </w:t>
      </w:r>
      <w:r w:rsidRPr="00205A06">
        <w:rPr>
          <w:rFonts w:cs="Arial"/>
          <w:lang w:val="en-GB"/>
        </w:rPr>
        <w:t xml:space="preserve">Sadu, such as </w:t>
      </w:r>
      <w:r w:rsidR="00654919">
        <w:rPr>
          <w:rFonts w:cs="Arial"/>
          <w:lang w:val="en-GB"/>
        </w:rPr>
        <w:t xml:space="preserve">the </w:t>
      </w:r>
      <w:r w:rsidRPr="00205A06">
        <w:rPr>
          <w:rFonts w:cs="Arial"/>
          <w:lang w:val="en-GB"/>
        </w:rPr>
        <w:t>wool</w:t>
      </w:r>
      <w:r>
        <w:rPr>
          <w:rFonts w:cs="Arial"/>
          <w:lang w:val="en-GB"/>
        </w:rPr>
        <w:t xml:space="preserve"> collecting</w:t>
      </w:r>
      <w:r w:rsidRPr="00205A06">
        <w:rPr>
          <w:rFonts w:cs="Arial"/>
          <w:lang w:val="en-GB"/>
        </w:rPr>
        <w:t xml:space="preserve">, cleaning, dyeing, colouring, spinning, and finally weaving, are accompanied by spontaneous gatherings, </w:t>
      </w:r>
      <w:r w:rsidR="00654919">
        <w:rPr>
          <w:rFonts w:cs="Arial"/>
          <w:lang w:val="en-GB"/>
        </w:rPr>
        <w:t>the exchange of</w:t>
      </w:r>
      <w:r w:rsidR="00654919" w:rsidRPr="00205A06">
        <w:rPr>
          <w:rFonts w:cs="Arial"/>
          <w:lang w:val="en-GB"/>
        </w:rPr>
        <w:t xml:space="preserve"> </w:t>
      </w:r>
      <w:r w:rsidRPr="00205A06">
        <w:rPr>
          <w:rFonts w:cs="Arial"/>
          <w:lang w:val="en-GB"/>
        </w:rPr>
        <w:t xml:space="preserve">experiences and information, and nurturing knowledge. </w:t>
      </w:r>
      <w:r w:rsidR="00654919" w:rsidRPr="00205A06">
        <w:rPr>
          <w:lang w:val="en-GB"/>
        </w:rPr>
        <w:t>Th</w:t>
      </w:r>
      <w:r w:rsidR="00654919">
        <w:rPr>
          <w:lang w:val="en-GB"/>
        </w:rPr>
        <w:t>e</w:t>
      </w:r>
      <w:r w:rsidR="00654919" w:rsidRPr="00205A06">
        <w:rPr>
          <w:lang w:val="en-GB"/>
        </w:rPr>
        <w:t xml:space="preserve"> </w:t>
      </w:r>
      <w:r w:rsidRPr="00205A06">
        <w:rPr>
          <w:lang w:val="en-GB"/>
        </w:rPr>
        <w:t>handicraft is used for producing traditional tents (Bait Al Shaar), cushions, mattresses, clothing, and gear and decorations for camels and horses</w:t>
      </w:r>
      <w:r w:rsidRPr="00205A06">
        <w:rPr>
          <w:rFonts w:cs="Arial"/>
          <w:lang w:val="en-GB"/>
        </w:rPr>
        <w:t>.</w:t>
      </w:r>
    </w:p>
    <w:p w14:paraId="227B530C" w14:textId="4D249CB1" w:rsidR="00FA4117" w:rsidRPr="00205A06" w:rsidRDefault="00FA4117" w:rsidP="00FA4117">
      <w:pPr>
        <w:pStyle w:val="Marge"/>
        <w:numPr>
          <w:ilvl w:val="0"/>
          <w:numId w:val="9"/>
        </w:numPr>
        <w:tabs>
          <w:tab w:val="clear" w:pos="567"/>
        </w:tabs>
        <w:autoSpaceDE w:val="0"/>
        <w:autoSpaceDN w:val="0"/>
        <w:adjustRightInd w:val="0"/>
        <w:spacing w:after="120"/>
        <w:ind w:left="567" w:hanging="567"/>
        <w:rPr>
          <w:rFonts w:cs="Arial"/>
          <w:bCs/>
          <w:szCs w:val="22"/>
          <w:lang w:val="en-GB"/>
        </w:rPr>
      </w:pPr>
      <w:r w:rsidRPr="00205A06">
        <w:rPr>
          <w:rFonts w:cs="Arial"/>
          <w:bCs/>
          <w:szCs w:val="22"/>
          <w:lang w:val="en-GB"/>
        </w:rPr>
        <w:t>The element was inscribed in 2011</w:t>
      </w:r>
      <w:r>
        <w:rPr>
          <w:rFonts w:cs="Arial"/>
          <w:bCs/>
          <w:szCs w:val="22"/>
          <w:lang w:val="en-GB"/>
        </w:rPr>
        <w:t xml:space="preserve"> (</w:t>
      </w:r>
      <w:hyperlink r:id="rId82" w:history="1">
        <w:r w:rsidRPr="00D003E2">
          <w:rPr>
            <w:rStyle w:val="Lienhypertexte"/>
            <w:rFonts w:cs="Arial"/>
            <w:bCs/>
            <w:szCs w:val="22"/>
            <w:lang w:val="en-GB"/>
          </w:rPr>
          <w:t xml:space="preserve">Decision </w:t>
        </w:r>
        <w:r w:rsidRPr="00D003E2">
          <w:rPr>
            <w:rStyle w:val="Lienhypertexte"/>
            <w:rFonts w:cs="Arial"/>
            <w:szCs w:val="22"/>
            <w:lang w:val="en-GB"/>
          </w:rPr>
          <w:t>6.COM 8.21</w:t>
        </w:r>
      </w:hyperlink>
      <w:r>
        <w:rPr>
          <w:rFonts w:cs="Arial"/>
          <w:bCs/>
          <w:szCs w:val="22"/>
          <w:lang w:val="en-GB"/>
        </w:rPr>
        <w:t>)</w:t>
      </w:r>
      <w:r w:rsidRPr="00205A06">
        <w:rPr>
          <w:rFonts w:cs="Arial"/>
          <w:bCs/>
          <w:szCs w:val="22"/>
          <w:lang w:val="en-GB"/>
        </w:rPr>
        <w:t xml:space="preserve"> and the first report was examined by the Committee in 2016</w:t>
      </w:r>
      <w:r>
        <w:rPr>
          <w:rFonts w:cs="Arial"/>
          <w:bCs/>
          <w:szCs w:val="22"/>
          <w:lang w:val="en-GB"/>
        </w:rPr>
        <w:t xml:space="preserve"> (</w:t>
      </w:r>
      <w:hyperlink r:id="rId83" w:history="1">
        <w:r w:rsidRPr="00410902">
          <w:rPr>
            <w:rStyle w:val="Lienhypertexte"/>
            <w:rFonts w:cs="Arial"/>
            <w:bCs/>
            <w:szCs w:val="22"/>
            <w:lang w:val="en-GB"/>
          </w:rPr>
          <w:t xml:space="preserve">Decision </w:t>
        </w:r>
        <w:r w:rsidRPr="00410902">
          <w:rPr>
            <w:rStyle w:val="Lienhypertexte"/>
            <w:rFonts w:cs="Arial"/>
            <w:szCs w:val="22"/>
            <w:lang w:val="en-GB"/>
          </w:rPr>
          <w:t>11.COM 9.b.6</w:t>
        </w:r>
      </w:hyperlink>
      <w:r>
        <w:rPr>
          <w:rFonts w:cs="Arial"/>
          <w:bCs/>
          <w:szCs w:val="22"/>
          <w:lang w:val="en-GB"/>
        </w:rPr>
        <w:t>)</w:t>
      </w:r>
      <w:r w:rsidRPr="00205A06">
        <w:rPr>
          <w:rFonts w:cs="Arial"/>
          <w:bCs/>
          <w:szCs w:val="22"/>
          <w:lang w:val="en-GB"/>
        </w:rPr>
        <w:t xml:space="preserve">. This is the second report </w:t>
      </w:r>
      <w:r w:rsidRPr="00205A06">
        <w:rPr>
          <w:rFonts w:cs="Arial"/>
          <w:lang w:val="en-GB"/>
        </w:rPr>
        <w:t xml:space="preserve">submitted by the State Party on the </w:t>
      </w:r>
      <w:r w:rsidRPr="00205A06">
        <w:rPr>
          <w:rFonts w:cs="Arial"/>
          <w:szCs w:val="22"/>
          <w:lang w:val="en-GB"/>
        </w:rPr>
        <w:t>status of the element</w:t>
      </w:r>
      <w:r w:rsidRPr="00205A06">
        <w:rPr>
          <w:rFonts w:cs="Arial"/>
          <w:bCs/>
          <w:szCs w:val="22"/>
          <w:lang w:val="en-GB"/>
        </w:rPr>
        <w:t>.</w:t>
      </w:r>
    </w:p>
    <w:p w14:paraId="702DB884" w14:textId="28FA656E" w:rsidR="00FA4117" w:rsidRPr="00205A06"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Effectiveness of the safeguarding plan</w:t>
      </w:r>
      <w:r w:rsidRPr="00205A06">
        <w:rPr>
          <w:bCs/>
          <w:lang w:val="en-GB"/>
        </w:rPr>
        <w:t>. Significant steps have been taken to safeguard the element, particular</w:t>
      </w:r>
      <w:r w:rsidR="009A7E2A">
        <w:rPr>
          <w:bCs/>
          <w:lang w:val="en-GB"/>
        </w:rPr>
        <w:t>ly</w:t>
      </w:r>
      <w:r w:rsidRPr="00205A06">
        <w:rPr>
          <w:bCs/>
          <w:lang w:val="en-GB"/>
        </w:rPr>
        <w:t xml:space="preserve"> </w:t>
      </w:r>
      <w:r w:rsidR="00EB762A">
        <w:rPr>
          <w:bCs/>
          <w:lang w:val="en-GB"/>
        </w:rPr>
        <w:t>through</w:t>
      </w:r>
      <w:r w:rsidRPr="00205A06">
        <w:rPr>
          <w:bCs/>
          <w:lang w:val="en-GB"/>
        </w:rPr>
        <w:t xml:space="preserve"> training</w:t>
      </w:r>
      <w:r>
        <w:rPr>
          <w:bCs/>
          <w:lang w:val="en-GB"/>
        </w:rPr>
        <w:t xml:space="preserve"> and </w:t>
      </w:r>
      <w:r w:rsidRPr="00205A06">
        <w:rPr>
          <w:bCs/>
          <w:lang w:val="en-GB"/>
        </w:rPr>
        <w:t xml:space="preserve">marketing </w:t>
      </w:r>
      <w:r>
        <w:rPr>
          <w:bCs/>
          <w:lang w:val="en-GB"/>
        </w:rPr>
        <w:t xml:space="preserve">Al </w:t>
      </w:r>
      <w:r w:rsidRPr="00205A06">
        <w:rPr>
          <w:bCs/>
          <w:lang w:val="en-GB"/>
        </w:rPr>
        <w:t xml:space="preserve">Sadu products, supporting practitioners and raising awareness. </w:t>
      </w:r>
      <w:r>
        <w:rPr>
          <w:bCs/>
          <w:lang w:val="en-GB"/>
        </w:rPr>
        <w:t>D</w:t>
      </w:r>
      <w:r w:rsidRPr="00205A06">
        <w:rPr>
          <w:bCs/>
          <w:lang w:val="en-GB"/>
        </w:rPr>
        <w:t xml:space="preserve">iverse training initiatives have been implemented, including at schools and during festivals. </w:t>
      </w:r>
      <w:r>
        <w:rPr>
          <w:bCs/>
          <w:lang w:val="en-GB"/>
        </w:rPr>
        <w:t>The i</w:t>
      </w:r>
      <w:r w:rsidRPr="00205A06">
        <w:rPr>
          <w:bCs/>
          <w:lang w:val="en-GB"/>
        </w:rPr>
        <w:t xml:space="preserve">nclusion of </w:t>
      </w:r>
      <w:r>
        <w:rPr>
          <w:bCs/>
          <w:lang w:val="en-GB"/>
        </w:rPr>
        <w:t xml:space="preserve">Al </w:t>
      </w:r>
      <w:r w:rsidRPr="00205A06">
        <w:rPr>
          <w:bCs/>
          <w:lang w:val="en-GB"/>
        </w:rPr>
        <w:t xml:space="preserve">Sadu learning in the curriculum at various </w:t>
      </w:r>
      <w:r w:rsidR="00654919">
        <w:rPr>
          <w:bCs/>
          <w:lang w:val="en-GB"/>
        </w:rPr>
        <w:t xml:space="preserve">educational </w:t>
      </w:r>
      <w:r w:rsidRPr="00205A06">
        <w:rPr>
          <w:bCs/>
          <w:lang w:val="en-GB"/>
        </w:rPr>
        <w:t xml:space="preserve">stages is also under way. </w:t>
      </w:r>
      <w:r w:rsidR="00654919">
        <w:rPr>
          <w:bCs/>
          <w:lang w:val="en-GB"/>
        </w:rPr>
        <w:t>The c</w:t>
      </w:r>
      <w:r w:rsidR="00654919" w:rsidRPr="00205A06">
        <w:rPr>
          <w:bCs/>
          <w:lang w:val="en-GB"/>
        </w:rPr>
        <w:t xml:space="preserve">apacities </w:t>
      </w:r>
      <w:r w:rsidRPr="00205A06">
        <w:rPr>
          <w:bCs/>
          <w:lang w:val="en-GB"/>
        </w:rPr>
        <w:t xml:space="preserve">of </w:t>
      </w:r>
      <w:r w:rsidR="00654919">
        <w:rPr>
          <w:bCs/>
          <w:lang w:val="en-GB"/>
        </w:rPr>
        <w:t xml:space="preserve">the </w:t>
      </w:r>
      <w:r w:rsidRPr="00205A06">
        <w:rPr>
          <w:bCs/>
          <w:lang w:val="en-GB"/>
        </w:rPr>
        <w:t xml:space="preserve">practitioners </w:t>
      </w:r>
      <w:r w:rsidR="00654919">
        <w:rPr>
          <w:bCs/>
          <w:lang w:val="en-GB"/>
        </w:rPr>
        <w:t>to</w:t>
      </w:r>
      <w:r w:rsidRPr="00205A06">
        <w:rPr>
          <w:bCs/>
          <w:lang w:val="en-GB"/>
        </w:rPr>
        <w:t xml:space="preserve"> market their produc</w:t>
      </w:r>
      <w:r>
        <w:rPr>
          <w:bCs/>
          <w:lang w:val="en-GB"/>
        </w:rPr>
        <w:t>ts</w:t>
      </w:r>
      <w:r w:rsidRPr="00205A06">
        <w:rPr>
          <w:bCs/>
          <w:lang w:val="en-GB"/>
        </w:rPr>
        <w:t xml:space="preserve"> </w:t>
      </w:r>
      <w:r w:rsidR="00654919">
        <w:rPr>
          <w:bCs/>
          <w:lang w:val="en-GB"/>
        </w:rPr>
        <w:t xml:space="preserve">have been raised </w:t>
      </w:r>
      <w:r w:rsidRPr="00205A06">
        <w:rPr>
          <w:bCs/>
          <w:lang w:val="en-GB"/>
        </w:rPr>
        <w:t>and promotion</w:t>
      </w:r>
      <w:r w:rsidR="00654919">
        <w:rPr>
          <w:bCs/>
          <w:lang w:val="en-GB"/>
        </w:rPr>
        <w:t>al</w:t>
      </w:r>
      <w:r w:rsidRPr="00205A06">
        <w:rPr>
          <w:bCs/>
          <w:lang w:val="en-GB"/>
        </w:rPr>
        <w:t xml:space="preserve"> activities have been carried out. </w:t>
      </w:r>
      <w:r>
        <w:rPr>
          <w:bCs/>
          <w:lang w:val="en-GB"/>
        </w:rPr>
        <w:t>The d</w:t>
      </w:r>
      <w:r w:rsidRPr="00205A06">
        <w:rPr>
          <w:bCs/>
          <w:lang w:val="en-GB"/>
        </w:rPr>
        <w:t xml:space="preserve">emand </w:t>
      </w:r>
      <w:r>
        <w:rPr>
          <w:bCs/>
          <w:lang w:val="en-GB"/>
        </w:rPr>
        <w:t>for</w:t>
      </w:r>
      <w:r w:rsidRPr="00205A06">
        <w:rPr>
          <w:bCs/>
          <w:lang w:val="en-GB"/>
        </w:rPr>
        <w:t xml:space="preserve"> </w:t>
      </w:r>
      <w:r>
        <w:rPr>
          <w:bCs/>
          <w:lang w:val="en-GB"/>
        </w:rPr>
        <w:t xml:space="preserve">Al </w:t>
      </w:r>
      <w:r w:rsidRPr="00205A06">
        <w:rPr>
          <w:bCs/>
          <w:lang w:val="en-GB"/>
        </w:rPr>
        <w:t xml:space="preserve">Sadu has </w:t>
      </w:r>
      <w:r>
        <w:rPr>
          <w:bCs/>
          <w:lang w:val="en-GB"/>
        </w:rPr>
        <w:t>increased</w:t>
      </w:r>
      <w:r w:rsidRPr="00205A06">
        <w:rPr>
          <w:bCs/>
          <w:lang w:val="en-GB"/>
        </w:rPr>
        <w:t xml:space="preserve">, </w:t>
      </w:r>
      <w:r w:rsidRPr="008359DD">
        <w:rPr>
          <w:bCs/>
          <w:lang w:val="en-GB"/>
        </w:rPr>
        <w:t>for instance</w:t>
      </w:r>
      <w:r>
        <w:rPr>
          <w:bCs/>
          <w:lang w:val="en-GB"/>
        </w:rPr>
        <w:t xml:space="preserve"> by</w:t>
      </w:r>
      <w:r w:rsidRPr="008359DD">
        <w:rPr>
          <w:bCs/>
          <w:lang w:val="en-GB"/>
        </w:rPr>
        <w:t xml:space="preserve"> requiring camel racers to use </w:t>
      </w:r>
      <w:r>
        <w:rPr>
          <w:bCs/>
          <w:lang w:val="en-GB"/>
        </w:rPr>
        <w:t xml:space="preserve">Al </w:t>
      </w:r>
      <w:r w:rsidRPr="008359DD">
        <w:rPr>
          <w:bCs/>
          <w:lang w:val="en-GB"/>
        </w:rPr>
        <w:t xml:space="preserve">Sadu products and </w:t>
      </w:r>
      <w:r>
        <w:rPr>
          <w:bCs/>
          <w:lang w:val="en-GB"/>
        </w:rPr>
        <w:t>using</w:t>
      </w:r>
      <w:r w:rsidRPr="008359DD">
        <w:rPr>
          <w:bCs/>
          <w:lang w:val="en-GB"/>
        </w:rPr>
        <w:t xml:space="preserve"> </w:t>
      </w:r>
      <w:r>
        <w:rPr>
          <w:bCs/>
          <w:lang w:val="en-GB"/>
        </w:rPr>
        <w:t xml:space="preserve">Al </w:t>
      </w:r>
      <w:r w:rsidRPr="008359DD">
        <w:rPr>
          <w:bCs/>
          <w:lang w:val="en-GB"/>
        </w:rPr>
        <w:t xml:space="preserve">Sadu products as gifts </w:t>
      </w:r>
      <w:r>
        <w:rPr>
          <w:bCs/>
          <w:lang w:val="en-GB"/>
        </w:rPr>
        <w:t xml:space="preserve">presented </w:t>
      </w:r>
      <w:r w:rsidRPr="008359DD">
        <w:rPr>
          <w:bCs/>
          <w:lang w:val="en-GB"/>
        </w:rPr>
        <w:t xml:space="preserve">by </w:t>
      </w:r>
      <w:r>
        <w:rPr>
          <w:bCs/>
          <w:lang w:val="en-GB"/>
        </w:rPr>
        <w:t xml:space="preserve">the </w:t>
      </w:r>
      <w:r w:rsidRPr="008359DD">
        <w:rPr>
          <w:bCs/>
          <w:lang w:val="en-GB"/>
        </w:rPr>
        <w:t>national airline</w:t>
      </w:r>
      <w:r>
        <w:rPr>
          <w:bCs/>
          <w:lang w:val="en-GB"/>
        </w:rPr>
        <w:t>. This</w:t>
      </w:r>
      <w:r w:rsidRPr="00205A06">
        <w:rPr>
          <w:bCs/>
          <w:lang w:val="en-GB"/>
        </w:rPr>
        <w:t xml:space="preserve"> has led to </w:t>
      </w:r>
      <w:r>
        <w:rPr>
          <w:bCs/>
          <w:lang w:val="en-GB"/>
        </w:rPr>
        <w:t>greater visibility for the element</w:t>
      </w:r>
      <w:r w:rsidRPr="00205A06">
        <w:rPr>
          <w:bCs/>
          <w:lang w:val="en-GB"/>
        </w:rPr>
        <w:t xml:space="preserve">, and </w:t>
      </w:r>
      <w:r w:rsidR="00654919">
        <w:rPr>
          <w:bCs/>
          <w:lang w:val="en-GB"/>
        </w:rPr>
        <w:t>this</w:t>
      </w:r>
      <w:r w:rsidR="00654919" w:rsidRPr="00205A06">
        <w:rPr>
          <w:bCs/>
          <w:lang w:val="en-GB"/>
        </w:rPr>
        <w:t xml:space="preserve"> </w:t>
      </w:r>
      <w:r w:rsidRPr="00205A06">
        <w:rPr>
          <w:bCs/>
          <w:lang w:val="en-GB"/>
        </w:rPr>
        <w:t xml:space="preserve">tendency is expected to continue. In addition, efforts have been made to legally protect the </w:t>
      </w:r>
      <w:r>
        <w:rPr>
          <w:bCs/>
          <w:lang w:val="en-GB"/>
        </w:rPr>
        <w:t xml:space="preserve">Al </w:t>
      </w:r>
      <w:r w:rsidRPr="00205A06">
        <w:rPr>
          <w:bCs/>
          <w:lang w:val="en-GB"/>
        </w:rPr>
        <w:t xml:space="preserve">Sadu designs and locally made products. Innovative ways </w:t>
      </w:r>
      <w:r w:rsidR="00654919">
        <w:rPr>
          <w:bCs/>
          <w:lang w:val="en-GB"/>
        </w:rPr>
        <w:t>of</w:t>
      </w:r>
      <w:r w:rsidR="00654919" w:rsidRPr="00205A06">
        <w:rPr>
          <w:bCs/>
          <w:lang w:val="en-GB"/>
        </w:rPr>
        <w:t xml:space="preserve"> </w:t>
      </w:r>
      <w:r w:rsidRPr="00205A06">
        <w:rPr>
          <w:bCs/>
          <w:lang w:val="en-GB"/>
        </w:rPr>
        <w:t>develop</w:t>
      </w:r>
      <w:r w:rsidR="00654919">
        <w:rPr>
          <w:bCs/>
          <w:lang w:val="en-GB"/>
        </w:rPr>
        <w:t>ing</w:t>
      </w:r>
      <w:r w:rsidRPr="00205A06">
        <w:rPr>
          <w:bCs/>
          <w:lang w:val="en-GB"/>
        </w:rPr>
        <w:t xml:space="preserve"> </w:t>
      </w:r>
      <w:r>
        <w:rPr>
          <w:bCs/>
          <w:lang w:val="en-GB"/>
        </w:rPr>
        <w:t xml:space="preserve">Al </w:t>
      </w:r>
      <w:r w:rsidRPr="00205A06">
        <w:rPr>
          <w:bCs/>
          <w:lang w:val="en-GB"/>
        </w:rPr>
        <w:t xml:space="preserve">Sadu have been </w:t>
      </w:r>
      <w:r w:rsidR="00525D92">
        <w:rPr>
          <w:bCs/>
          <w:lang w:val="en-GB"/>
        </w:rPr>
        <w:t>pursued</w:t>
      </w:r>
      <w:r w:rsidRPr="00205A06">
        <w:rPr>
          <w:bCs/>
          <w:lang w:val="en-GB"/>
        </w:rPr>
        <w:t>, including through new types of products (wallets, book bindings and other</w:t>
      </w:r>
      <w:r w:rsidR="00654919">
        <w:rPr>
          <w:bCs/>
          <w:lang w:val="en-GB"/>
        </w:rPr>
        <w:t>s</w:t>
      </w:r>
      <w:r w:rsidRPr="00205A06">
        <w:rPr>
          <w:bCs/>
          <w:lang w:val="en-GB"/>
        </w:rPr>
        <w:t>) and products for children. Support for practitioners has been provided by government institutions, foundations and other organizations, through grants, monthly salaries, in-kind</w:t>
      </w:r>
      <w:r>
        <w:rPr>
          <w:bCs/>
          <w:lang w:val="en-GB"/>
        </w:rPr>
        <w:t xml:space="preserve"> support</w:t>
      </w:r>
      <w:r w:rsidRPr="00205A06">
        <w:rPr>
          <w:bCs/>
          <w:lang w:val="en-GB"/>
        </w:rPr>
        <w:t xml:space="preserve">, </w:t>
      </w:r>
      <w:r w:rsidR="00654919">
        <w:rPr>
          <w:bCs/>
          <w:lang w:val="en-GB"/>
        </w:rPr>
        <w:t xml:space="preserve">and </w:t>
      </w:r>
      <w:r w:rsidRPr="00205A06">
        <w:rPr>
          <w:bCs/>
          <w:lang w:val="en-GB"/>
        </w:rPr>
        <w:t>selling and promotion</w:t>
      </w:r>
      <w:r w:rsidR="00654919">
        <w:rPr>
          <w:bCs/>
          <w:lang w:val="en-GB"/>
        </w:rPr>
        <w:t>al</w:t>
      </w:r>
      <w:r w:rsidRPr="00205A06">
        <w:rPr>
          <w:bCs/>
          <w:lang w:val="en-GB"/>
        </w:rPr>
        <w:t xml:space="preserve"> opportunities. Live demonstrations of the </w:t>
      </w:r>
      <w:r>
        <w:rPr>
          <w:bCs/>
          <w:lang w:val="en-GB"/>
        </w:rPr>
        <w:t xml:space="preserve">Al </w:t>
      </w:r>
      <w:r w:rsidRPr="00205A06">
        <w:rPr>
          <w:bCs/>
          <w:lang w:val="en-GB"/>
        </w:rPr>
        <w:t xml:space="preserve">Sadu have taken place in festivals and exhibitions, </w:t>
      </w:r>
      <w:r w:rsidR="00654919">
        <w:rPr>
          <w:bCs/>
          <w:lang w:val="en-GB"/>
        </w:rPr>
        <w:t xml:space="preserve">and </w:t>
      </w:r>
      <w:r w:rsidRPr="00205A06">
        <w:rPr>
          <w:bCs/>
          <w:lang w:val="en-GB"/>
        </w:rPr>
        <w:t>studies</w:t>
      </w:r>
      <w:r>
        <w:rPr>
          <w:bCs/>
          <w:lang w:val="en-GB"/>
        </w:rPr>
        <w:t xml:space="preserve">, </w:t>
      </w:r>
      <w:r w:rsidRPr="00205A06">
        <w:rPr>
          <w:bCs/>
          <w:lang w:val="en-GB"/>
        </w:rPr>
        <w:t xml:space="preserve">films and various publications on </w:t>
      </w:r>
      <w:r>
        <w:rPr>
          <w:bCs/>
          <w:lang w:val="en-GB"/>
        </w:rPr>
        <w:t xml:space="preserve">Al </w:t>
      </w:r>
      <w:r w:rsidRPr="00205A06">
        <w:rPr>
          <w:bCs/>
          <w:lang w:val="en-GB"/>
        </w:rPr>
        <w:t xml:space="preserve">Sadu have been released. </w:t>
      </w:r>
      <w:r>
        <w:rPr>
          <w:bCs/>
          <w:lang w:val="en-GB"/>
        </w:rPr>
        <w:t xml:space="preserve">The Al </w:t>
      </w:r>
      <w:r w:rsidRPr="00205A06">
        <w:rPr>
          <w:bCs/>
          <w:lang w:val="en-GB"/>
        </w:rPr>
        <w:t xml:space="preserve">Sadu Heritage database has been completed. In order to monitor the safeguarding of the element, a number of surveys and studies have </w:t>
      </w:r>
      <w:r>
        <w:rPr>
          <w:bCs/>
          <w:lang w:val="en-GB"/>
        </w:rPr>
        <w:t xml:space="preserve">also </w:t>
      </w:r>
      <w:r w:rsidRPr="00205A06">
        <w:rPr>
          <w:bCs/>
          <w:lang w:val="en-GB"/>
        </w:rPr>
        <w:t>been carried out.</w:t>
      </w:r>
    </w:p>
    <w:p w14:paraId="250C92E5" w14:textId="109C0F24" w:rsidR="00FA4117" w:rsidRPr="00205A06" w:rsidRDefault="00504BFA" w:rsidP="00FA4117">
      <w:pPr>
        <w:pStyle w:val="Marge"/>
        <w:numPr>
          <w:ilvl w:val="0"/>
          <w:numId w:val="9"/>
        </w:numPr>
        <w:tabs>
          <w:tab w:val="clear" w:pos="567"/>
        </w:tabs>
        <w:autoSpaceDE w:val="0"/>
        <w:autoSpaceDN w:val="0"/>
        <w:adjustRightInd w:val="0"/>
        <w:spacing w:after="120"/>
        <w:ind w:left="567" w:hanging="567"/>
        <w:rPr>
          <w:bCs/>
          <w:lang w:val="en-GB"/>
        </w:rPr>
      </w:pPr>
      <w:r>
        <w:rPr>
          <w:bCs/>
          <w:lang w:val="en-GB"/>
        </w:rPr>
        <w:t xml:space="preserve">In its </w:t>
      </w:r>
      <w:r w:rsidR="00FA4117" w:rsidRPr="00205A06">
        <w:rPr>
          <w:bCs/>
          <w:lang w:val="en-GB"/>
        </w:rPr>
        <w:t xml:space="preserve">previous decision </w:t>
      </w:r>
      <w:hyperlink r:id="rId84" w:history="1">
        <w:r w:rsidR="00FA4117" w:rsidRPr="00410902">
          <w:rPr>
            <w:rStyle w:val="Lienhypertexte"/>
            <w:rFonts w:cs="Arial"/>
            <w:szCs w:val="22"/>
            <w:lang w:val="en-GB"/>
          </w:rPr>
          <w:t>11.COM 9.b.6</w:t>
        </w:r>
      </w:hyperlink>
      <w:r w:rsidR="00FA4117" w:rsidRPr="00410902">
        <w:rPr>
          <w:rFonts w:cs="Arial"/>
          <w:color w:val="0000FF"/>
          <w:szCs w:val="22"/>
          <w:lang w:val="en-GB"/>
        </w:rPr>
        <w:t xml:space="preserve"> </w:t>
      </w:r>
      <w:r w:rsidR="00FA4117">
        <w:rPr>
          <w:lang w:val="en-GB"/>
        </w:rPr>
        <w:t>concerning the first report examined in 2016</w:t>
      </w:r>
      <w:r w:rsidR="00FA4117" w:rsidRPr="00205A06">
        <w:rPr>
          <w:bCs/>
          <w:lang w:val="en-GB"/>
        </w:rPr>
        <w:t xml:space="preserve">, </w:t>
      </w:r>
      <w:r w:rsidRPr="00205A06">
        <w:rPr>
          <w:bCs/>
          <w:lang w:val="en-GB"/>
        </w:rPr>
        <w:t>the Committee</w:t>
      </w:r>
      <w:r w:rsidRPr="00B230E7">
        <w:rPr>
          <w:lang w:val="en-GB"/>
        </w:rPr>
        <w:t xml:space="preserve"> </w:t>
      </w:r>
      <w:r w:rsidR="00FA4117" w:rsidRPr="00205A06">
        <w:rPr>
          <w:bCs/>
          <w:lang w:val="en-GB"/>
        </w:rPr>
        <w:t>invited the State Party to further develop the function of the element in contemporary society and encouraged it to expand its safeguarding activities to all seven emirates</w:t>
      </w:r>
      <w:r>
        <w:rPr>
          <w:bCs/>
          <w:lang w:val="en-GB"/>
        </w:rPr>
        <w:t>. In this regard</w:t>
      </w:r>
      <w:r w:rsidR="00FA4117" w:rsidRPr="00205A06">
        <w:rPr>
          <w:bCs/>
          <w:lang w:val="en-GB"/>
        </w:rPr>
        <w:t xml:space="preserve">, the report highlights that the </w:t>
      </w:r>
      <w:r w:rsidR="00FA4117">
        <w:rPr>
          <w:bCs/>
          <w:lang w:val="en-GB"/>
        </w:rPr>
        <w:t xml:space="preserve">Al </w:t>
      </w:r>
      <w:r w:rsidR="00FA4117" w:rsidRPr="00205A06">
        <w:rPr>
          <w:bCs/>
          <w:lang w:val="en-GB"/>
        </w:rPr>
        <w:t xml:space="preserve">Sadu Heritage Campaign has </w:t>
      </w:r>
      <w:r w:rsidR="00FA4117">
        <w:rPr>
          <w:bCs/>
          <w:lang w:val="en-GB"/>
        </w:rPr>
        <w:t xml:space="preserve">promoted the element </w:t>
      </w:r>
      <w:r w:rsidR="00FA4117" w:rsidRPr="00205A06">
        <w:rPr>
          <w:bCs/>
          <w:lang w:val="en-GB"/>
        </w:rPr>
        <w:t xml:space="preserve">across the entire geographical area of the </w:t>
      </w:r>
      <w:r w:rsidR="00FA4117" w:rsidRPr="00205A06">
        <w:rPr>
          <w:lang w:val="en-GB"/>
        </w:rPr>
        <w:t>United Arab Emirates</w:t>
      </w:r>
      <w:r w:rsidR="00FA4117" w:rsidRPr="00205A06">
        <w:rPr>
          <w:bCs/>
          <w:lang w:val="en-GB"/>
        </w:rPr>
        <w:t>, ensuring qualified practitioners across the country</w:t>
      </w:r>
      <w:r w:rsidR="00D33BAA">
        <w:rPr>
          <w:bCs/>
          <w:lang w:val="en-GB"/>
        </w:rPr>
        <w:t>. The</w:t>
      </w:r>
      <w:r w:rsidR="00FA4117" w:rsidRPr="00205A06">
        <w:rPr>
          <w:bCs/>
          <w:lang w:val="en-GB"/>
        </w:rPr>
        <w:t xml:space="preserve"> report </w:t>
      </w:r>
      <w:r w:rsidR="00D33BAA">
        <w:rPr>
          <w:bCs/>
          <w:lang w:val="en-GB"/>
        </w:rPr>
        <w:t xml:space="preserve">also </w:t>
      </w:r>
      <w:r w:rsidR="00654919">
        <w:rPr>
          <w:bCs/>
          <w:lang w:val="en-GB"/>
        </w:rPr>
        <w:t>attests to</w:t>
      </w:r>
      <w:r w:rsidR="00654919" w:rsidRPr="00205A06">
        <w:rPr>
          <w:bCs/>
          <w:lang w:val="en-GB"/>
        </w:rPr>
        <w:t xml:space="preserve"> </w:t>
      </w:r>
      <w:r w:rsidR="00FA4117" w:rsidRPr="00205A06">
        <w:rPr>
          <w:bCs/>
          <w:lang w:val="en-GB"/>
        </w:rPr>
        <w:t xml:space="preserve">the creativity and commitment of artisans and supporting organizations to respond to contemporary needs and tastes. The updated safeguarding plan envisages </w:t>
      </w:r>
      <w:r w:rsidR="00654919">
        <w:rPr>
          <w:bCs/>
          <w:lang w:val="en-GB"/>
        </w:rPr>
        <w:t>the</w:t>
      </w:r>
      <w:r w:rsidR="00654919" w:rsidRPr="00205A06">
        <w:rPr>
          <w:bCs/>
          <w:lang w:val="en-GB"/>
        </w:rPr>
        <w:t xml:space="preserve"> </w:t>
      </w:r>
      <w:r w:rsidR="00FA4117" w:rsidRPr="00205A06">
        <w:rPr>
          <w:bCs/>
          <w:lang w:val="en-GB"/>
        </w:rPr>
        <w:t xml:space="preserve">continuity of the </w:t>
      </w:r>
      <w:r w:rsidR="00B46C47">
        <w:rPr>
          <w:bCs/>
          <w:lang w:val="en-GB"/>
        </w:rPr>
        <w:t xml:space="preserve">existing </w:t>
      </w:r>
      <w:r w:rsidR="00FA4117" w:rsidRPr="00205A06">
        <w:rPr>
          <w:bCs/>
          <w:lang w:val="en-GB"/>
        </w:rPr>
        <w:t xml:space="preserve">safeguarding measures, </w:t>
      </w:r>
      <w:r w:rsidR="00B46C47">
        <w:rPr>
          <w:bCs/>
          <w:lang w:val="en-GB"/>
        </w:rPr>
        <w:t xml:space="preserve">with the </w:t>
      </w:r>
      <w:r w:rsidR="00FA4117" w:rsidRPr="00205A06">
        <w:rPr>
          <w:bCs/>
          <w:lang w:val="en-GB"/>
        </w:rPr>
        <w:t xml:space="preserve">objective </w:t>
      </w:r>
      <w:r w:rsidR="00654919">
        <w:rPr>
          <w:bCs/>
          <w:lang w:val="en-GB"/>
        </w:rPr>
        <w:t>of</w:t>
      </w:r>
      <w:r w:rsidR="00654919" w:rsidRPr="00205A06">
        <w:rPr>
          <w:bCs/>
          <w:lang w:val="en-GB"/>
        </w:rPr>
        <w:t xml:space="preserve"> </w:t>
      </w:r>
      <w:r w:rsidR="00FA4117" w:rsidRPr="00205A06">
        <w:rPr>
          <w:bCs/>
          <w:lang w:val="en-GB"/>
        </w:rPr>
        <w:t>further increas</w:t>
      </w:r>
      <w:r w:rsidR="00654919">
        <w:rPr>
          <w:bCs/>
          <w:lang w:val="en-GB"/>
        </w:rPr>
        <w:t>ing</w:t>
      </w:r>
      <w:r w:rsidR="00FA4117" w:rsidRPr="00205A06">
        <w:rPr>
          <w:bCs/>
          <w:lang w:val="en-GB"/>
        </w:rPr>
        <w:t xml:space="preserve"> the number of </w:t>
      </w:r>
      <w:r w:rsidR="00FA4117">
        <w:rPr>
          <w:bCs/>
          <w:lang w:val="en-GB"/>
        </w:rPr>
        <w:t xml:space="preserve">Al </w:t>
      </w:r>
      <w:r w:rsidR="00FA4117" w:rsidRPr="00205A06">
        <w:rPr>
          <w:bCs/>
          <w:lang w:val="en-GB"/>
        </w:rPr>
        <w:t xml:space="preserve">Sadu practitioners. In addition, a licencing system is planned to be launched </w:t>
      </w:r>
      <w:r w:rsidR="00654919">
        <w:rPr>
          <w:bCs/>
          <w:lang w:val="en-GB"/>
        </w:rPr>
        <w:t>to recognize</w:t>
      </w:r>
      <w:r w:rsidR="00FA4117" w:rsidRPr="00205A06">
        <w:rPr>
          <w:bCs/>
          <w:lang w:val="en-GB"/>
        </w:rPr>
        <w:t xml:space="preserve"> their </w:t>
      </w:r>
      <w:r w:rsidR="00654919" w:rsidRPr="00205A06">
        <w:rPr>
          <w:bCs/>
          <w:lang w:val="en-GB"/>
        </w:rPr>
        <w:t>competenc</w:t>
      </w:r>
      <w:r w:rsidR="00654919">
        <w:rPr>
          <w:bCs/>
          <w:lang w:val="en-GB"/>
        </w:rPr>
        <w:t>ies</w:t>
      </w:r>
      <w:r w:rsidR="00654919" w:rsidRPr="00205A06">
        <w:rPr>
          <w:bCs/>
          <w:lang w:val="en-GB"/>
        </w:rPr>
        <w:t xml:space="preserve"> </w:t>
      </w:r>
      <w:r w:rsidR="00FA4117" w:rsidRPr="00205A06">
        <w:rPr>
          <w:bCs/>
          <w:lang w:val="en-GB"/>
        </w:rPr>
        <w:t>and qualification</w:t>
      </w:r>
      <w:r w:rsidR="00654919">
        <w:rPr>
          <w:bCs/>
          <w:lang w:val="en-GB"/>
        </w:rPr>
        <w:t>s</w:t>
      </w:r>
      <w:r w:rsidR="00FA4117" w:rsidRPr="00205A06">
        <w:rPr>
          <w:bCs/>
          <w:lang w:val="en-GB"/>
        </w:rPr>
        <w:t>.</w:t>
      </w:r>
    </w:p>
    <w:p w14:paraId="6E6C273E" w14:textId="4DFD8D94" w:rsidR="00FA4117" w:rsidRPr="00205A06"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Community participation</w:t>
      </w:r>
      <w:r w:rsidRPr="00205A06">
        <w:rPr>
          <w:bCs/>
          <w:lang w:val="en-GB"/>
        </w:rPr>
        <w:t xml:space="preserve">. Individuals and groups, </w:t>
      </w:r>
      <w:r w:rsidR="00654919" w:rsidRPr="00205A06">
        <w:rPr>
          <w:bCs/>
          <w:lang w:val="en-GB"/>
        </w:rPr>
        <w:t>practi</w:t>
      </w:r>
      <w:r w:rsidR="00654919">
        <w:rPr>
          <w:bCs/>
          <w:lang w:val="en-GB"/>
        </w:rPr>
        <w:t>s</w:t>
      </w:r>
      <w:r w:rsidR="00654919" w:rsidRPr="00205A06">
        <w:rPr>
          <w:bCs/>
          <w:lang w:val="en-GB"/>
        </w:rPr>
        <w:t xml:space="preserve">ing </w:t>
      </w:r>
      <w:r w:rsidRPr="00205A06">
        <w:rPr>
          <w:bCs/>
          <w:lang w:val="en-GB"/>
        </w:rPr>
        <w:t xml:space="preserve">families, organizations and government bodies have carried out safeguarding initiatives. Some community members have provided material support, and several non-governmental organizations have ensured training. </w:t>
      </w:r>
      <w:r>
        <w:rPr>
          <w:bCs/>
          <w:lang w:val="en-GB"/>
        </w:rPr>
        <w:t xml:space="preserve">The </w:t>
      </w:r>
      <w:r w:rsidRPr="00205A06">
        <w:rPr>
          <w:bCs/>
          <w:lang w:val="en-GB"/>
        </w:rPr>
        <w:t xml:space="preserve">Houses of Artisans and Crafts Centres in various localities have served as space for </w:t>
      </w:r>
      <w:r>
        <w:rPr>
          <w:bCs/>
          <w:lang w:val="en-GB"/>
        </w:rPr>
        <w:t xml:space="preserve">Al </w:t>
      </w:r>
      <w:r w:rsidRPr="00205A06">
        <w:rPr>
          <w:bCs/>
          <w:lang w:val="en-GB"/>
        </w:rPr>
        <w:t xml:space="preserve">Sadu workshops. The report </w:t>
      </w:r>
      <w:r w:rsidR="00654919">
        <w:rPr>
          <w:bCs/>
          <w:lang w:val="en-GB"/>
        </w:rPr>
        <w:t>was</w:t>
      </w:r>
      <w:r w:rsidRPr="00205A06">
        <w:rPr>
          <w:bCs/>
          <w:lang w:val="en-GB"/>
        </w:rPr>
        <w:t xml:space="preserve"> prepared with </w:t>
      </w:r>
      <w:r>
        <w:rPr>
          <w:bCs/>
          <w:lang w:val="en-GB"/>
        </w:rPr>
        <w:t xml:space="preserve">the </w:t>
      </w:r>
      <w:r w:rsidRPr="00205A06">
        <w:rPr>
          <w:bCs/>
          <w:lang w:val="en-GB"/>
        </w:rPr>
        <w:t xml:space="preserve">participation of individual practitioners, governmental and non-governmental organizations, as well as a number of traders of </w:t>
      </w:r>
      <w:r>
        <w:rPr>
          <w:bCs/>
          <w:lang w:val="en-GB"/>
        </w:rPr>
        <w:t xml:space="preserve">Al </w:t>
      </w:r>
      <w:r w:rsidRPr="00205A06">
        <w:rPr>
          <w:bCs/>
          <w:lang w:val="en-GB"/>
        </w:rPr>
        <w:t>Sadu products and suppliers of raw materials; however, information is missing in the report on community participation in the process of updating the safeguarding plan.</w:t>
      </w:r>
    </w:p>
    <w:p w14:paraId="462A5D60" w14:textId="24BE6CFB" w:rsidR="00FA4117" w:rsidRPr="00205A06" w:rsidRDefault="00FA4117" w:rsidP="00FA4117">
      <w:pPr>
        <w:pStyle w:val="Marge"/>
        <w:numPr>
          <w:ilvl w:val="0"/>
          <w:numId w:val="9"/>
        </w:numPr>
        <w:tabs>
          <w:tab w:val="clear" w:pos="567"/>
        </w:tabs>
        <w:autoSpaceDE w:val="0"/>
        <w:autoSpaceDN w:val="0"/>
        <w:adjustRightInd w:val="0"/>
        <w:spacing w:after="120"/>
        <w:ind w:left="567" w:hanging="567"/>
        <w:rPr>
          <w:bCs/>
          <w:lang w:val="en-GB"/>
        </w:rPr>
      </w:pPr>
      <w:r w:rsidRPr="00205A06">
        <w:rPr>
          <w:b/>
          <w:bCs/>
          <w:lang w:val="en-GB"/>
        </w:rPr>
        <w:t>Viability and current risks</w:t>
      </w:r>
      <w:r w:rsidRPr="00205A06">
        <w:rPr>
          <w:bCs/>
          <w:lang w:val="en-GB"/>
        </w:rPr>
        <w:t>.</w:t>
      </w:r>
      <w:r w:rsidRPr="00205A06">
        <w:rPr>
          <w:lang w:val="en-GB"/>
        </w:rPr>
        <w:t xml:space="preserve"> </w:t>
      </w:r>
      <w:r>
        <w:rPr>
          <w:lang w:val="en-GB"/>
        </w:rPr>
        <w:t xml:space="preserve">Al </w:t>
      </w:r>
      <w:r w:rsidRPr="00205A06">
        <w:rPr>
          <w:lang w:val="en-GB"/>
        </w:rPr>
        <w:t>Sadu has become a viable element in terms of the numbers of practitioners</w:t>
      </w:r>
      <w:r w:rsidR="00654919">
        <w:rPr>
          <w:lang w:val="en-GB"/>
        </w:rPr>
        <w:t>,</w:t>
      </w:r>
      <w:r w:rsidRPr="00205A06">
        <w:rPr>
          <w:lang w:val="en-GB"/>
        </w:rPr>
        <w:t xml:space="preserve"> </w:t>
      </w:r>
      <w:r w:rsidR="00654919">
        <w:rPr>
          <w:lang w:val="en-GB"/>
        </w:rPr>
        <w:t>which</w:t>
      </w:r>
      <w:r w:rsidR="00654919" w:rsidRPr="00205A06">
        <w:rPr>
          <w:lang w:val="en-GB"/>
        </w:rPr>
        <w:t xml:space="preserve"> </w:t>
      </w:r>
      <w:r w:rsidRPr="00205A06">
        <w:rPr>
          <w:lang w:val="en-GB"/>
        </w:rPr>
        <w:t>have significantly increased,</w:t>
      </w:r>
      <w:r w:rsidRPr="00205A06">
        <w:rPr>
          <w:bCs/>
          <w:lang w:val="en-GB"/>
        </w:rPr>
        <w:t xml:space="preserve"> especially among youth,</w:t>
      </w:r>
      <w:r w:rsidRPr="00205A06">
        <w:rPr>
          <w:lang w:val="en-GB"/>
        </w:rPr>
        <w:t xml:space="preserve"> its intergenerational transmission, extensive training possibilities, </w:t>
      </w:r>
      <w:r w:rsidR="00654919">
        <w:rPr>
          <w:lang w:val="en-GB"/>
        </w:rPr>
        <w:t xml:space="preserve">the </w:t>
      </w:r>
      <w:r w:rsidRPr="00205A06">
        <w:rPr>
          <w:lang w:val="en-GB"/>
        </w:rPr>
        <w:t xml:space="preserve">geographic distribution of </w:t>
      </w:r>
      <w:r w:rsidR="00654919">
        <w:rPr>
          <w:lang w:val="en-GB"/>
        </w:rPr>
        <w:t xml:space="preserve">the </w:t>
      </w:r>
      <w:r w:rsidRPr="00205A06">
        <w:rPr>
          <w:lang w:val="en-GB"/>
        </w:rPr>
        <w:t xml:space="preserve">practices, and </w:t>
      </w:r>
      <w:r w:rsidRPr="00205A06">
        <w:rPr>
          <w:lang w:val="en-GB"/>
        </w:rPr>
        <w:lastRenderedPageBreak/>
        <w:t xml:space="preserve">public awareness. In addition to the role played by families in passing down the weaving skills, the means for transmitting this knowledge have been enhanced and diversified for both adults and youth through various institutions and organizations, including at community centres in schools. Nowadays, many residents in and around urban centres are keen to highlight their cultural association with the craft by erecting </w:t>
      </w:r>
      <w:r>
        <w:rPr>
          <w:lang w:val="en-GB"/>
        </w:rPr>
        <w:t xml:space="preserve">Al </w:t>
      </w:r>
      <w:r w:rsidRPr="00205A06">
        <w:rPr>
          <w:lang w:val="en-GB"/>
        </w:rPr>
        <w:t xml:space="preserve">Sadu tents in front of their modern homes and decorating them with traditional </w:t>
      </w:r>
      <w:r>
        <w:rPr>
          <w:lang w:val="en-GB"/>
        </w:rPr>
        <w:t xml:space="preserve">Al </w:t>
      </w:r>
      <w:r w:rsidRPr="00205A06">
        <w:rPr>
          <w:lang w:val="en-GB"/>
        </w:rPr>
        <w:t xml:space="preserve">Sadu furnishings. The practice of </w:t>
      </w:r>
      <w:r>
        <w:rPr>
          <w:lang w:val="en-GB"/>
        </w:rPr>
        <w:t xml:space="preserve">Al </w:t>
      </w:r>
      <w:r w:rsidRPr="00205A06">
        <w:rPr>
          <w:lang w:val="en-GB"/>
        </w:rPr>
        <w:t>Sadu skills has also responded to contemporary needs, and new and distinctive designs have been introduced by many artisans.</w:t>
      </w:r>
      <w:r w:rsidRPr="00205A06">
        <w:rPr>
          <w:rFonts w:cs="Arial"/>
          <w:lang w:val="en-GB"/>
        </w:rPr>
        <w:t xml:space="preserve"> </w:t>
      </w:r>
      <w:r>
        <w:rPr>
          <w:rFonts w:cs="Arial"/>
          <w:lang w:val="en-GB"/>
        </w:rPr>
        <w:t xml:space="preserve">In light of </w:t>
      </w:r>
      <w:r w:rsidRPr="00205A06">
        <w:rPr>
          <w:bCs/>
          <w:lang w:val="en-GB"/>
        </w:rPr>
        <w:t xml:space="preserve">the effectiveness of the safeguarding measures </w:t>
      </w:r>
      <w:r>
        <w:rPr>
          <w:bCs/>
          <w:lang w:val="en-GB"/>
        </w:rPr>
        <w:t xml:space="preserve">that have been </w:t>
      </w:r>
      <w:r w:rsidRPr="00205A06">
        <w:rPr>
          <w:bCs/>
          <w:lang w:val="en-GB"/>
        </w:rPr>
        <w:t xml:space="preserve">implemented and the </w:t>
      </w:r>
      <w:r>
        <w:rPr>
          <w:bCs/>
          <w:lang w:val="en-GB"/>
        </w:rPr>
        <w:t xml:space="preserve">enhanced </w:t>
      </w:r>
      <w:r w:rsidRPr="00205A06">
        <w:rPr>
          <w:bCs/>
          <w:lang w:val="en-GB"/>
        </w:rPr>
        <w:t xml:space="preserve">viability of the element, </w:t>
      </w:r>
      <w:r>
        <w:rPr>
          <w:bCs/>
          <w:lang w:val="en-GB"/>
        </w:rPr>
        <w:t xml:space="preserve">as </w:t>
      </w:r>
      <w:r w:rsidR="00633C7D">
        <w:rPr>
          <w:bCs/>
          <w:lang w:val="en-GB"/>
        </w:rPr>
        <w:t>presented</w:t>
      </w:r>
      <w:r>
        <w:rPr>
          <w:bCs/>
          <w:lang w:val="en-GB"/>
        </w:rPr>
        <w:t xml:space="preserve"> in the report, </w:t>
      </w:r>
      <w:r w:rsidRPr="00205A06">
        <w:rPr>
          <w:bCs/>
          <w:lang w:val="en-GB"/>
        </w:rPr>
        <w:t xml:space="preserve">the State Party proposes </w:t>
      </w:r>
      <w:r w:rsidR="009E7A42">
        <w:rPr>
          <w:bCs/>
          <w:lang w:val="en-GB"/>
        </w:rPr>
        <w:t>transferring</w:t>
      </w:r>
      <w:r w:rsidRPr="00205A06">
        <w:rPr>
          <w:bCs/>
          <w:lang w:val="en-GB"/>
        </w:rPr>
        <w:t xml:space="preserve"> the element </w:t>
      </w:r>
      <w:r>
        <w:rPr>
          <w:bCs/>
          <w:lang w:val="en-GB"/>
        </w:rPr>
        <w:t xml:space="preserve">from </w:t>
      </w:r>
      <w:r w:rsidRPr="00205A06">
        <w:rPr>
          <w:rFonts w:cs="Arial"/>
          <w:bCs/>
          <w:szCs w:val="22"/>
          <w:lang w:val="en-GB"/>
        </w:rPr>
        <w:t>the Urgent Safeguarding</w:t>
      </w:r>
      <w:r w:rsidRPr="00205A06">
        <w:rPr>
          <w:bCs/>
          <w:lang w:val="en-GB"/>
        </w:rPr>
        <w:t xml:space="preserve"> </w:t>
      </w:r>
      <w:r w:rsidR="00654919">
        <w:rPr>
          <w:bCs/>
          <w:lang w:val="en-GB"/>
        </w:rPr>
        <w:t xml:space="preserve">List </w:t>
      </w:r>
      <w:r w:rsidRPr="00205A06">
        <w:rPr>
          <w:bCs/>
          <w:lang w:val="en-GB"/>
        </w:rPr>
        <w:t>to the Representative List.</w:t>
      </w:r>
    </w:p>
    <w:p w14:paraId="624CFC6C" w14:textId="77777777" w:rsidR="00FA4117" w:rsidRPr="004D6019" w:rsidRDefault="00FA4117" w:rsidP="00FA4117">
      <w:pPr>
        <w:pStyle w:val="Marge"/>
        <w:keepNext/>
        <w:numPr>
          <w:ilvl w:val="0"/>
          <w:numId w:val="9"/>
        </w:numPr>
        <w:tabs>
          <w:tab w:val="clear" w:pos="567"/>
        </w:tabs>
        <w:autoSpaceDE w:val="0"/>
        <w:autoSpaceDN w:val="0"/>
        <w:adjustRightInd w:val="0"/>
        <w:spacing w:after="120"/>
        <w:ind w:left="567" w:hanging="567"/>
        <w:rPr>
          <w:lang w:val="en-GB"/>
        </w:rPr>
      </w:pPr>
      <w:r w:rsidRPr="00205A06">
        <w:rPr>
          <w:lang w:val="en-GB"/>
        </w:rPr>
        <w:t xml:space="preserve">The Committee may </w:t>
      </w:r>
      <w:r w:rsidRPr="004D6019">
        <w:rPr>
          <w:bCs/>
          <w:lang w:val="en-GB"/>
        </w:rPr>
        <w:t>wish</w:t>
      </w:r>
      <w:r w:rsidRPr="004D6019">
        <w:rPr>
          <w:lang w:val="en-GB"/>
        </w:rPr>
        <w:t xml:space="preserve"> to adopt the following decision:</w:t>
      </w:r>
    </w:p>
    <w:p w14:paraId="3E7C9F30" w14:textId="18597C5A" w:rsidR="00FA4117" w:rsidRPr="004D6019" w:rsidRDefault="00FA4117" w:rsidP="00FA4117">
      <w:pPr>
        <w:pStyle w:val="Titre4"/>
        <w:numPr>
          <w:ilvl w:val="0"/>
          <w:numId w:val="0"/>
        </w:numPr>
        <w:spacing w:before="240"/>
        <w:ind w:left="567"/>
        <w:rPr>
          <w:rFonts w:eastAsia="SimSun"/>
          <w:szCs w:val="22"/>
        </w:rPr>
      </w:pPr>
      <w:bookmarkStart w:id="18" w:name="Dec15COM7_9"/>
      <w:r w:rsidRPr="004D6019">
        <w:rPr>
          <w:szCs w:val="22"/>
        </w:rPr>
        <w:t>DRAFT DECISION 15.COM </w:t>
      </w:r>
      <w:r w:rsidR="00B40F86" w:rsidRPr="004D6019">
        <w:rPr>
          <w:szCs w:val="22"/>
        </w:rPr>
        <w:t>7</w:t>
      </w:r>
      <w:r w:rsidRPr="004D6019">
        <w:rPr>
          <w:szCs w:val="22"/>
        </w:rPr>
        <w:t>.9</w:t>
      </w:r>
      <w:bookmarkEnd w:id="18"/>
      <w:r w:rsidRPr="004D6019">
        <w:rPr>
          <w:szCs w:val="22"/>
        </w:rPr>
        <w:tab/>
      </w:r>
      <w:r w:rsidR="00B70B59" w:rsidRPr="004D6019">
        <w:rPr>
          <w:noProof/>
          <w:color w:val="0000FF"/>
        </w:rPr>
        <w:drawing>
          <wp:inline distT="0" distB="0" distL="0" distR="0" wp14:anchorId="3C043DD2" wp14:editId="09C472D1">
            <wp:extent cx="104775" cy="104775"/>
            <wp:effectExtent l="0" t="0" r="9525" b="9525"/>
            <wp:docPr id="10" name="Picture 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4DF3DA1D" w14:textId="77777777" w:rsidR="00FA4117" w:rsidRPr="004D6019" w:rsidRDefault="00FA4117" w:rsidP="00FA4117">
      <w:pPr>
        <w:pStyle w:val="Para"/>
        <w:keepNext/>
        <w:numPr>
          <w:ilvl w:val="0"/>
          <w:numId w:val="0"/>
        </w:numPr>
        <w:tabs>
          <w:tab w:val="left" w:pos="1134"/>
        </w:tabs>
        <w:spacing w:line="240" w:lineRule="auto"/>
        <w:ind w:left="567"/>
        <w:rPr>
          <w:rFonts w:cs="Arial"/>
          <w:sz w:val="22"/>
          <w:szCs w:val="22"/>
          <w:lang w:val="en-GB"/>
        </w:rPr>
      </w:pPr>
      <w:r w:rsidRPr="004D6019">
        <w:rPr>
          <w:rFonts w:cs="Arial"/>
          <w:sz w:val="22"/>
          <w:szCs w:val="22"/>
          <w:lang w:val="en-GB"/>
        </w:rPr>
        <w:t>The Committee,</w:t>
      </w:r>
    </w:p>
    <w:p w14:paraId="1F037709" w14:textId="3422DFF5" w:rsidR="00FA4117" w:rsidRPr="004D6019" w:rsidRDefault="00FA4117" w:rsidP="00080F48">
      <w:pPr>
        <w:pStyle w:val="Para"/>
        <w:numPr>
          <w:ilvl w:val="0"/>
          <w:numId w:val="34"/>
        </w:numPr>
        <w:tabs>
          <w:tab w:val="left" w:pos="1134"/>
        </w:tabs>
        <w:spacing w:line="240" w:lineRule="auto"/>
        <w:rPr>
          <w:rFonts w:cs="Arial"/>
          <w:sz w:val="22"/>
          <w:szCs w:val="22"/>
          <w:lang w:val="pt-PT"/>
        </w:rPr>
      </w:pPr>
      <w:r w:rsidRPr="004D6019">
        <w:rPr>
          <w:rFonts w:cs="Arial"/>
          <w:sz w:val="22"/>
          <w:szCs w:val="22"/>
          <w:u w:val="single"/>
          <w:lang w:val="pt-PT"/>
        </w:rPr>
        <w:t>Having examined</w:t>
      </w:r>
      <w:r w:rsidRPr="004D6019">
        <w:rPr>
          <w:rFonts w:cs="Arial"/>
          <w:sz w:val="22"/>
          <w:szCs w:val="22"/>
          <w:lang w:val="pt-PT"/>
        </w:rPr>
        <w:t xml:space="preserve"> document </w:t>
      </w:r>
      <w:r w:rsidR="00827F77" w:rsidRPr="004D6019">
        <w:rPr>
          <w:rFonts w:cs="Arial"/>
          <w:sz w:val="22"/>
          <w:szCs w:val="22"/>
          <w:lang w:val="pt-PT"/>
        </w:rPr>
        <w:t>LHE/20/15.COM/</w:t>
      </w:r>
      <w:r w:rsidR="00B40F86" w:rsidRPr="004D6019">
        <w:rPr>
          <w:rFonts w:cs="Arial"/>
          <w:sz w:val="22"/>
          <w:szCs w:val="22"/>
          <w:lang w:val="pt-PT"/>
        </w:rPr>
        <w:t>7</w:t>
      </w:r>
      <w:r w:rsidRPr="004D6019">
        <w:rPr>
          <w:rFonts w:cs="Arial"/>
          <w:sz w:val="22"/>
          <w:szCs w:val="22"/>
          <w:lang w:val="pt-PT"/>
        </w:rPr>
        <w:t>,</w:t>
      </w:r>
    </w:p>
    <w:p w14:paraId="62FA4858" w14:textId="132D34C5" w:rsidR="00FA4117" w:rsidRPr="004D6019" w:rsidRDefault="00FA4117" w:rsidP="00080F48">
      <w:pPr>
        <w:pStyle w:val="Para"/>
        <w:numPr>
          <w:ilvl w:val="0"/>
          <w:numId w:val="34"/>
        </w:numPr>
        <w:tabs>
          <w:tab w:val="left" w:pos="1134"/>
        </w:tabs>
        <w:spacing w:line="240" w:lineRule="auto"/>
        <w:rPr>
          <w:rFonts w:cs="Arial"/>
          <w:sz w:val="22"/>
          <w:szCs w:val="22"/>
          <w:lang w:val="en-GB"/>
        </w:rPr>
      </w:pPr>
      <w:r w:rsidRPr="004D6019">
        <w:rPr>
          <w:rFonts w:cs="Arial"/>
          <w:sz w:val="22"/>
          <w:szCs w:val="22"/>
          <w:u w:val="single"/>
          <w:lang w:val="en-GB"/>
        </w:rPr>
        <w:t>Recalling</w:t>
      </w:r>
      <w:r w:rsidRPr="004D6019">
        <w:rPr>
          <w:rFonts w:cs="Arial"/>
          <w:sz w:val="22"/>
          <w:szCs w:val="22"/>
          <w:lang w:val="en-GB"/>
        </w:rPr>
        <w:t xml:space="preserve"> Chapter V of the Operational Directives and its Decisions </w:t>
      </w:r>
      <w:hyperlink r:id="rId85" w:history="1">
        <w:r w:rsidRPr="004D6019">
          <w:rPr>
            <w:rStyle w:val="Lienhypertexte"/>
            <w:rFonts w:cs="Arial"/>
            <w:sz w:val="22"/>
            <w:szCs w:val="22"/>
            <w:lang w:val="en-GB"/>
          </w:rPr>
          <w:t>6.COM 8.21</w:t>
        </w:r>
      </w:hyperlink>
      <w:r w:rsidRPr="004D6019">
        <w:rPr>
          <w:rFonts w:cs="Arial"/>
          <w:sz w:val="22"/>
          <w:szCs w:val="22"/>
          <w:lang w:val="en-GB"/>
        </w:rPr>
        <w:t xml:space="preserve"> and </w:t>
      </w:r>
      <w:hyperlink r:id="rId86" w:history="1">
        <w:r w:rsidRPr="004D6019">
          <w:rPr>
            <w:rStyle w:val="Lienhypertexte"/>
            <w:rFonts w:cs="Arial"/>
            <w:sz w:val="22"/>
            <w:szCs w:val="22"/>
            <w:lang w:val="en-GB"/>
          </w:rPr>
          <w:t>11.COM 9.b.6</w:t>
        </w:r>
      </w:hyperlink>
      <w:r w:rsidRPr="004D6019">
        <w:rPr>
          <w:rFonts w:cs="Arial"/>
          <w:sz w:val="22"/>
          <w:szCs w:val="22"/>
          <w:lang w:val="en-GB"/>
        </w:rPr>
        <w:t>,</w:t>
      </w:r>
    </w:p>
    <w:p w14:paraId="36B63B06" w14:textId="77777777" w:rsidR="00FA4117" w:rsidRPr="00080F48" w:rsidRDefault="00FA4117" w:rsidP="00080F48">
      <w:pPr>
        <w:pStyle w:val="Para"/>
        <w:numPr>
          <w:ilvl w:val="0"/>
          <w:numId w:val="34"/>
        </w:numPr>
        <w:tabs>
          <w:tab w:val="left" w:pos="1134"/>
        </w:tabs>
        <w:spacing w:line="240" w:lineRule="auto"/>
        <w:rPr>
          <w:rFonts w:cs="Arial"/>
          <w:sz w:val="22"/>
          <w:szCs w:val="22"/>
          <w:lang w:val="en-GB"/>
        </w:rPr>
      </w:pPr>
      <w:r w:rsidRPr="004D6019">
        <w:rPr>
          <w:rFonts w:cs="Arial"/>
          <w:sz w:val="22"/>
          <w:szCs w:val="22"/>
          <w:u w:val="single"/>
          <w:lang w:val="en-GB"/>
        </w:rPr>
        <w:t>Expresses its thanks</w:t>
      </w:r>
      <w:r w:rsidRPr="004D6019">
        <w:rPr>
          <w:rFonts w:cs="Arial"/>
          <w:sz w:val="22"/>
          <w:szCs w:val="22"/>
          <w:lang w:val="en-GB"/>
        </w:rPr>
        <w:t xml:space="preserve"> to the United Arab Emirates for</w:t>
      </w:r>
      <w:r w:rsidRPr="00080F48">
        <w:rPr>
          <w:rFonts w:cs="Arial"/>
          <w:sz w:val="22"/>
          <w:szCs w:val="22"/>
          <w:lang w:val="en-GB"/>
        </w:rPr>
        <w:t xml:space="preserve"> submitting, on time, its report on the </w:t>
      </w:r>
      <w:r w:rsidRPr="00080F48">
        <w:rPr>
          <w:rFonts w:cs="Arial"/>
          <w:bCs/>
          <w:sz w:val="22"/>
          <w:szCs w:val="22"/>
          <w:lang w:val="en-GB"/>
        </w:rPr>
        <w:t xml:space="preserve">status of the </w:t>
      </w:r>
      <w:r w:rsidRPr="00080F48">
        <w:rPr>
          <w:rFonts w:cs="Arial"/>
          <w:sz w:val="22"/>
          <w:szCs w:val="22"/>
          <w:lang w:val="en-GB"/>
        </w:rPr>
        <w:t>element ‘</w:t>
      </w:r>
      <w:r w:rsidRPr="00080F48">
        <w:rPr>
          <w:sz w:val="22"/>
          <w:szCs w:val="22"/>
          <w:lang w:val="en-GB"/>
        </w:rPr>
        <w:t>Al Sadu, traditional weaving skills in the United Arab Emirates</w:t>
      </w:r>
      <w:r w:rsidRPr="00080F48">
        <w:rPr>
          <w:rFonts w:cs="Arial"/>
          <w:sz w:val="22"/>
          <w:szCs w:val="22"/>
          <w:lang w:val="en-GB"/>
        </w:rPr>
        <w:t>’, inscribed</w:t>
      </w:r>
      <w:r w:rsidRPr="00080F48">
        <w:rPr>
          <w:rFonts w:cs="Arial"/>
          <w:bCs/>
          <w:sz w:val="22"/>
          <w:szCs w:val="22"/>
          <w:lang w:val="en-GB"/>
        </w:rPr>
        <w:t xml:space="preserve"> in 2011 on the List of Intangible Cultural Heritage in Need of Urgent Safeguarding;</w:t>
      </w:r>
    </w:p>
    <w:p w14:paraId="0402542C" w14:textId="484E206A" w:rsidR="00250C16" w:rsidRDefault="00FA4117" w:rsidP="00080F48">
      <w:pPr>
        <w:pStyle w:val="Para"/>
        <w:numPr>
          <w:ilvl w:val="0"/>
          <w:numId w:val="34"/>
        </w:numPr>
        <w:tabs>
          <w:tab w:val="left" w:pos="1134"/>
        </w:tabs>
        <w:spacing w:line="240" w:lineRule="auto"/>
        <w:rPr>
          <w:rFonts w:cs="Arial"/>
          <w:sz w:val="22"/>
          <w:szCs w:val="22"/>
          <w:lang w:val="en-GB"/>
        </w:rPr>
      </w:pPr>
      <w:r w:rsidRPr="00080F48">
        <w:rPr>
          <w:rFonts w:cs="Arial"/>
          <w:sz w:val="22"/>
          <w:szCs w:val="22"/>
          <w:u w:val="single"/>
          <w:lang w:val="en-GB"/>
        </w:rPr>
        <w:t>Takes note</w:t>
      </w:r>
      <w:r w:rsidRPr="00080F48">
        <w:rPr>
          <w:rFonts w:cs="Arial"/>
          <w:sz w:val="22"/>
          <w:szCs w:val="22"/>
          <w:lang w:val="en-GB"/>
        </w:rPr>
        <w:t xml:space="preserve"> of the efforts undertaken by the State Party to safeguard the element, </w:t>
      </w:r>
      <w:r w:rsidR="00930805">
        <w:rPr>
          <w:rFonts w:cs="Arial"/>
          <w:sz w:val="22"/>
          <w:szCs w:val="22"/>
          <w:lang w:val="en-GB"/>
        </w:rPr>
        <w:t>especially</w:t>
      </w:r>
      <w:r w:rsidRPr="00080F48">
        <w:rPr>
          <w:rFonts w:cs="Arial"/>
          <w:sz w:val="22"/>
          <w:szCs w:val="22"/>
          <w:lang w:val="en-GB"/>
        </w:rPr>
        <w:t xml:space="preserve"> </w:t>
      </w:r>
      <w:r w:rsidR="00930805">
        <w:rPr>
          <w:rFonts w:cs="Arial"/>
          <w:sz w:val="22"/>
          <w:szCs w:val="22"/>
          <w:lang w:val="en-GB"/>
        </w:rPr>
        <w:t>by</w:t>
      </w:r>
      <w:r w:rsidRPr="00080F48">
        <w:rPr>
          <w:rFonts w:cs="Arial"/>
          <w:sz w:val="22"/>
          <w:szCs w:val="22"/>
          <w:lang w:val="en-GB"/>
        </w:rPr>
        <w:t xml:space="preserve"> strengthening the viability of the element in contemporary society, enhancing public </w:t>
      </w:r>
      <w:r w:rsidR="006039FD">
        <w:rPr>
          <w:rFonts w:cs="Arial"/>
          <w:sz w:val="22"/>
          <w:szCs w:val="22"/>
          <w:lang w:val="en-GB"/>
        </w:rPr>
        <w:t>awareness</w:t>
      </w:r>
      <w:r w:rsidRPr="00080F48">
        <w:rPr>
          <w:rFonts w:cs="Arial"/>
          <w:sz w:val="22"/>
          <w:szCs w:val="22"/>
          <w:lang w:val="en-GB"/>
        </w:rPr>
        <w:t>, supporting its practitioners, providing training possibilities and significantly increasing the number of bearers;</w:t>
      </w:r>
    </w:p>
    <w:p w14:paraId="080333F8" w14:textId="7957CFBA" w:rsidR="00FA4117" w:rsidRPr="00080F48" w:rsidRDefault="00250C16" w:rsidP="00080F48">
      <w:pPr>
        <w:pStyle w:val="Para"/>
        <w:numPr>
          <w:ilvl w:val="0"/>
          <w:numId w:val="34"/>
        </w:numPr>
        <w:tabs>
          <w:tab w:val="left" w:pos="1134"/>
        </w:tabs>
        <w:spacing w:line="240" w:lineRule="auto"/>
        <w:rPr>
          <w:rFonts w:cs="Arial"/>
          <w:sz w:val="22"/>
          <w:szCs w:val="22"/>
          <w:lang w:val="en-GB"/>
        </w:rPr>
      </w:pPr>
      <w:r>
        <w:rPr>
          <w:rFonts w:cs="Arial"/>
          <w:sz w:val="22"/>
          <w:szCs w:val="22"/>
          <w:u w:val="single"/>
          <w:lang w:val="en-GB"/>
        </w:rPr>
        <w:t>F</w:t>
      </w:r>
      <w:r w:rsidR="00FA4117" w:rsidRPr="00080F48">
        <w:rPr>
          <w:rFonts w:cs="Arial"/>
          <w:sz w:val="22"/>
          <w:szCs w:val="22"/>
          <w:u w:val="single"/>
          <w:lang w:val="en-GB"/>
        </w:rPr>
        <w:t>urther takes note</w:t>
      </w:r>
      <w:r w:rsidR="00FA4117" w:rsidRPr="00080F48">
        <w:rPr>
          <w:rFonts w:cs="Arial"/>
          <w:sz w:val="22"/>
          <w:szCs w:val="22"/>
          <w:lang w:val="en-GB"/>
        </w:rPr>
        <w:t xml:space="preserve"> of the </w:t>
      </w:r>
      <w:r w:rsidR="00654919" w:rsidRPr="00080F48">
        <w:rPr>
          <w:rFonts w:cs="Arial"/>
          <w:sz w:val="22"/>
          <w:szCs w:val="22"/>
          <w:lang w:val="en-GB"/>
        </w:rPr>
        <w:t>divers</w:t>
      </w:r>
      <w:r w:rsidR="00654919">
        <w:rPr>
          <w:rFonts w:cs="Arial"/>
          <w:sz w:val="22"/>
          <w:szCs w:val="22"/>
          <w:lang w:val="en-GB"/>
        </w:rPr>
        <w:t>e range</w:t>
      </w:r>
      <w:r w:rsidR="00654919" w:rsidRPr="00080F48">
        <w:rPr>
          <w:rFonts w:cs="Arial"/>
          <w:sz w:val="22"/>
          <w:szCs w:val="22"/>
          <w:lang w:val="en-GB"/>
        </w:rPr>
        <w:t xml:space="preserve"> </w:t>
      </w:r>
      <w:r w:rsidR="00FA4117" w:rsidRPr="00080F48">
        <w:rPr>
          <w:rFonts w:cs="Arial"/>
          <w:sz w:val="22"/>
          <w:szCs w:val="22"/>
          <w:lang w:val="en-GB"/>
        </w:rPr>
        <w:t xml:space="preserve">of governmental, non-governmental and private organizations and individuals </w:t>
      </w:r>
      <w:r w:rsidR="00F407DD">
        <w:rPr>
          <w:rFonts w:cs="Arial"/>
          <w:sz w:val="22"/>
          <w:szCs w:val="22"/>
          <w:lang w:val="en-GB"/>
        </w:rPr>
        <w:t>that contribute</w:t>
      </w:r>
      <w:r w:rsidR="00F407DD" w:rsidRPr="00080F48">
        <w:rPr>
          <w:rFonts w:cs="Arial"/>
          <w:sz w:val="22"/>
          <w:szCs w:val="22"/>
          <w:lang w:val="en-GB"/>
        </w:rPr>
        <w:t xml:space="preserve"> </w:t>
      </w:r>
      <w:r w:rsidR="00FA4117" w:rsidRPr="00080F48">
        <w:rPr>
          <w:rFonts w:cs="Arial"/>
          <w:sz w:val="22"/>
          <w:szCs w:val="22"/>
          <w:lang w:val="en-GB"/>
        </w:rPr>
        <w:t xml:space="preserve">to the safeguarding of the element and </w:t>
      </w:r>
      <w:r w:rsidR="00654919">
        <w:rPr>
          <w:rFonts w:cs="Arial"/>
          <w:sz w:val="22"/>
          <w:szCs w:val="22"/>
          <w:lang w:val="en-GB"/>
        </w:rPr>
        <w:t xml:space="preserve">the </w:t>
      </w:r>
      <w:r w:rsidR="00FA4117" w:rsidRPr="00080F48">
        <w:rPr>
          <w:rFonts w:cs="Arial"/>
          <w:sz w:val="22"/>
          <w:szCs w:val="22"/>
          <w:lang w:val="en-GB"/>
        </w:rPr>
        <w:t xml:space="preserve">continuous efforts of the State Party to monitor </w:t>
      </w:r>
      <w:r w:rsidR="00F407DD">
        <w:rPr>
          <w:rFonts w:cs="Arial"/>
          <w:sz w:val="22"/>
          <w:szCs w:val="22"/>
          <w:lang w:val="en-GB"/>
        </w:rPr>
        <w:t>its</w:t>
      </w:r>
      <w:r w:rsidR="00FA4117" w:rsidRPr="00080F48">
        <w:rPr>
          <w:rFonts w:cs="Arial"/>
          <w:sz w:val="22"/>
          <w:szCs w:val="22"/>
          <w:lang w:val="en-GB"/>
        </w:rPr>
        <w:t xml:space="preserve"> viability;</w:t>
      </w:r>
    </w:p>
    <w:p w14:paraId="7DED5BF3" w14:textId="783E5AD8" w:rsidR="00FA4117" w:rsidRPr="00080F48" w:rsidRDefault="00FA4117" w:rsidP="00080F48">
      <w:pPr>
        <w:pStyle w:val="Para"/>
        <w:numPr>
          <w:ilvl w:val="0"/>
          <w:numId w:val="34"/>
        </w:numPr>
        <w:tabs>
          <w:tab w:val="left" w:pos="1134"/>
        </w:tabs>
        <w:spacing w:line="240" w:lineRule="auto"/>
        <w:rPr>
          <w:rFonts w:cs="Arial"/>
          <w:sz w:val="22"/>
          <w:szCs w:val="22"/>
          <w:lang w:val="en-GB"/>
        </w:rPr>
      </w:pPr>
      <w:r w:rsidRPr="00080F48">
        <w:rPr>
          <w:rFonts w:cs="Arial"/>
          <w:sz w:val="22"/>
          <w:szCs w:val="22"/>
          <w:u w:val="single"/>
          <w:lang w:val="en-GB"/>
        </w:rPr>
        <w:t>Invites</w:t>
      </w:r>
      <w:r w:rsidRPr="00080F48">
        <w:rPr>
          <w:rFonts w:cs="Arial"/>
          <w:sz w:val="22"/>
          <w:szCs w:val="22"/>
          <w:lang w:val="en-GB"/>
        </w:rPr>
        <w:t xml:space="preserve"> the State Party to continue its efforts to integrate the learning of Al Sadu weaving skills in </w:t>
      </w:r>
      <w:r w:rsidR="00654919">
        <w:rPr>
          <w:rFonts w:cs="Arial"/>
          <w:sz w:val="22"/>
          <w:szCs w:val="22"/>
          <w:lang w:val="en-GB"/>
        </w:rPr>
        <w:t xml:space="preserve">the </w:t>
      </w:r>
      <w:r w:rsidRPr="00080F48">
        <w:rPr>
          <w:rFonts w:cs="Arial"/>
          <w:sz w:val="22"/>
          <w:szCs w:val="22"/>
          <w:lang w:val="en-GB"/>
        </w:rPr>
        <w:t>school curriculum at various levels of education, and to encompass in its safeguarding efforts associated aspects of the element, including access to raw materials and the knowledge and skills on natural dyeing;</w:t>
      </w:r>
    </w:p>
    <w:p w14:paraId="15ED7596" w14:textId="0F542863" w:rsidR="00FA4117" w:rsidRPr="00781DF0" w:rsidRDefault="00DD6116" w:rsidP="00080F48">
      <w:pPr>
        <w:pStyle w:val="Para"/>
        <w:numPr>
          <w:ilvl w:val="0"/>
          <w:numId w:val="34"/>
        </w:numPr>
        <w:tabs>
          <w:tab w:val="left" w:pos="1134"/>
        </w:tabs>
        <w:spacing w:line="240" w:lineRule="auto"/>
        <w:rPr>
          <w:rFonts w:cs="Arial"/>
          <w:sz w:val="22"/>
          <w:szCs w:val="22"/>
          <w:lang w:val="en-GB"/>
        </w:rPr>
      </w:pPr>
      <w:r>
        <w:rPr>
          <w:rFonts w:cs="Arial"/>
          <w:sz w:val="22"/>
          <w:szCs w:val="22"/>
          <w:u w:val="single"/>
          <w:lang w:val="en-GB"/>
        </w:rPr>
        <w:t>Further invites</w:t>
      </w:r>
      <w:r w:rsidR="00FA4117" w:rsidRPr="00080F48">
        <w:rPr>
          <w:rFonts w:cs="Arial"/>
          <w:sz w:val="22"/>
          <w:szCs w:val="22"/>
          <w:lang w:val="en-GB"/>
        </w:rPr>
        <w:t xml:space="preserve"> the State Party to sustain Al Sadu weaving across its territory, as traditionally </w:t>
      </w:r>
      <w:r w:rsidR="00654919" w:rsidRPr="00080F48">
        <w:rPr>
          <w:rFonts w:cs="Arial"/>
          <w:sz w:val="22"/>
          <w:szCs w:val="22"/>
          <w:lang w:val="en-GB"/>
        </w:rPr>
        <w:t>practi</w:t>
      </w:r>
      <w:r w:rsidR="00654919">
        <w:rPr>
          <w:rFonts w:cs="Arial"/>
          <w:sz w:val="22"/>
          <w:szCs w:val="22"/>
          <w:lang w:val="en-GB"/>
        </w:rPr>
        <w:t>s</w:t>
      </w:r>
      <w:r w:rsidR="00654919" w:rsidRPr="00080F48">
        <w:rPr>
          <w:rFonts w:cs="Arial"/>
          <w:sz w:val="22"/>
          <w:szCs w:val="22"/>
          <w:lang w:val="en-GB"/>
        </w:rPr>
        <w:t xml:space="preserve">ed </w:t>
      </w:r>
      <w:r w:rsidR="00FA4117" w:rsidRPr="00080F48">
        <w:rPr>
          <w:rFonts w:cs="Arial"/>
          <w:sz w:val="22"/>
          <w:szCs w:val="22"/>
          <w:lang w:val="en-GB"/>
        </w:rPr>
        <w:t xml:space="preserve">by </w:t>
      </w:r>
      <w:r w:rsidR="00FA4117" w:rsidRPr="00080F48">
        <w:rPr>
          <w:sz w:val="22"/>
          <w:szCs w:val="22"/>
          <w:lang w:val="en-GB"/>
        </w:rPr>
        <w:t xml:space="preserve">Bedouin </w:t>
      </w:r>
      <w:r w:rsidR="00FA4117" w:rsidRPr="00080F48">
        <w:rPr>
          <w:rFonts w:cs="Arial"/>
          <w:bCs/>
          <w:sz w:val="22"/>
          <w:szCs w:val="22"/>
          <w:lang w:val="en-GB"/>
        </w:rPr>
        <w:t>communities</w:t>
      </w:r>
      <w:r w:rsidR="00FA4117" w:rsidRPr="00080F48">
        <w:rPr>
          <w:rFonts w:cs="Arial"/>
          <w:sz w:val="22"/>
          <w:szCs w:val="22"/>
          <w:lang w:val="en-GB"/>
        </w:rPr>
        <w:t xml:space="preserve"> in the desert environment</w:t>
      </w:r>
      <w:r w:rsidR="0006623B">
        <w:rPr>
          <w:rFonts w:cs="Arial"/>
          <w:sz w:val="22"/>
          <w:szCs w:val="22"/>
          <w:lang w:val="en-GB"/>
        </w:rPr>
        <w:t xml:space="preserve"> and</w:t>
      </w:r>
      <w:r w:rsidR="00FA4117" w:rsidRPr="00080F48">
        <w:rPr>
          <w:rFonts w:cs="Arial"/>
          <w:sz w:val="22"/>
          <w:szCs w:val="22"/>
          <w:lang w:val="en-GB"/>
        </w:rPr>
        <w:t xml:space="preserve"> in urban </w:t>
      </w:r>
      <w:r w:rsidR="00FA4117" w:rsidRPr="000A5CFE">
        <w:rPr>
          <w:rFonts w:cs="Arial"/>
          <w:sz w:val="22"/>
          <w:szCs w:val="22"/>
          <w:lang w:val="en-GB"/>
        </w:rPr>
        <w:t xml:space="preserve">settings, and to ensure the participation of various </w:t>
      </w:r>
      <w:r w:rsidR="00654919" w:rsidRPr="000A5CFE">
        <w:rPr>
          <w:rFonts w:cs="Arial"/>
          <w:sz w:val="22"/>
          <w:szCs w:val="22"/>
          <w:lang w:val="en-GB"/>
        </w:rPr>
        <w:t>practi</w:t>
      </w:r>
      <w:r w:rsidR="00654919">
        <w:rPr>
          <w:rFonts w:cs="Arial"/>
          <w:sz w:val="22"/>
          <w:szCs w:val="22"/>
          <w:lang w:val="en-GB"/>
        </w:rPr>
        <w:t>s</w:t>
      </w:r>
      <w:r w:rsidR="00654919" w:rsidRPr="000A5CFE">
        <w:rPr>
          <w:rFonts w:cs="Arial"/>
          <w:sz w:val="22"/>
          <w:szCs w:val="22"/>
          <w:lang w:val="en-GB"/>
        </w:rPr>
        <w:t xml:space="preserve">ing </w:t>
      </w:r>
      <w:r w:rsidR="00FA4117" w:rsidRPr="000A5CFE">
        <w:rPr>
          <w:rFonts w:cs="Arial"/>
          <w:sz w:val="22"/>
          <w:szCs w:val="22"/>
          <w:lang w:val="en-GB"/>
        </w:rPr>
        <w:t>communities in developing safeguarding measures;</w:t>
      </w:r>
    </w:p>
    <w:p w14:paraId="0ADA2358" w14:textId="476C49C8" w:rsidR="003357DF" w:rsidRPr="00FD2651" w:rsidRDefault="00CF736F" w:rsidP="003357DF">
      <w:pPr>
        <w:pStyle w:val="Para"/>
        <w:numPr>
          <w:ilvl w:val="0"/>
          <w:numId w:val="34"/>
        </w:numPr>
        <w:tabs>
          <w:tab w:val="left" w:pos="1134"/>
        </w:tabs>
        <w:spacing w:line="240" w:lineRule="auto"/>
        <w:rPr>
          <w:rFonts w:cs="Arial"/>
          <w:sz w:val="22"/>
          <w:szCs w:val="22"/>
          <w:lang w:val="en-GB"/>
        </w:rPr>
      </w:pPr>
      <w:r w:rsidRPr="00FD2651">
        <w:rPr>
          <w:rFonts w:cs="Arial"/>
          <w:sz w:val="22"/>
          <w:szCs w:val="22"/>
          <w:u w:val="single"/>
          <w:lang w:val="en-GB"/>
        </w:rPr>
        <w:t>Encourages</w:t>
      </w:r>
      <w:r w:rsidRPr="00FD2651">
        <w:rPr>
          <w:rFonts w:cs="Arial"/>
          <w:sz w:val="22"/>
          <w:szCs w:val="22"/>
          <w:lang w:val="en-GB"/>
        </w:rPr>
        <w:t xml:space="preserve"> the State Party to take particular heed of the impact of over-commercialization on the safeguarding of the element</w:t>
      </w:r>
      <w:r w:rsidR="002459E6" w:rsidRPr="00FD2651">
        <w:rPr>
          <w:rFonts w:cs="Arial"/>
          <w:sz w:val="22"/>
          <w:szCs w:val="22"/>
          <w:lang w:val="en-GB"/>
        </w:rPr>
        <w:t xml:space="preserve"> in order to prevent its potential decontextualization</w:t>
      </w:r>
      <w:r w:rsidRPr="00FD2651">
        <w:rPr>
          <w:rFonts w:cs="Arial"/>
          <w:sz w:val="22"/>
          <w:szCs w:val="22"/>
          <w:lang w:val="en-GB"/>
        </w:rPr>
        <w:t xml:space="preserve"> </w:t>
      </w:r>
      <w:r w:rsidR="003357DF" w:rsidRPr="00FD2651">
        <w:rPr>
          <w:rFonts w:cs="Arial"/>
          <w:sz w:val="22"/>
          <w:szCs w:val="22"/>
          <w:lang w:val="en-GB"/>
        </w:rPr>
        <w:t>and to take due account in its safeguarding plan of any risks to the element as a result of increased market demands;</w:t>
      </w:r>
    </w:p>
    <w:p w14:paraId="51C4BC28" w14:textId="0B301698" w:rsidR="00FA4117" w:rsidRPr="00080F48" w:rsidRDefault="00FA4117" w:rsidP="00080F48">
      <w:pPr>
        <w:pStyle w:val="Para"/>
        <w:numPr>
          <w:ilvl w:val="0"/>
          <w:numId w:val="34"/>
        </w:numPr>
        <w:tabs>
          <w:tab w:val="left" w:pos="1134"/>
        </w:tabs>
        <w:spacing w:line="240" w:lineRule="auto"/>
        <w:rPr>
          <w:rFonts w:cs="Arial"/>
          <w:sz w:val="22"/>
          <w:szCs w:val="22"/>
          <w:lang w:val="en-GB"/>
        </w:rPr>
      </w:pPr>
      <w:r w:rsidRPr="000A5CFE">
        <w:rPr>
          <w:rFonts w:cs="Arial"/>
          <w:sz w:val="22"/>
          <w:szCs w:val="22"/>
          <w:u w:val="single"/>
          <w:lang w:val="en-GB"/>
        </w:rPr>
        <w:t>Also takes note</w:t>
      </w:r>
      <w:r w:rsidRPr="00781DF0">
        <w:rPr>
          <w:rFonts w:cs="Arial"/>
          <w:sz w:val="22"/>
          <w:szCs w:val="22"/>
          <w:lang w:val="en-GB"/>
        </w:rPr>
        <w:t xml:space="preserve"> of the </w:t>
      </w:r>
      <w:r w:rsidRPr="00781DF0">
        <w:rPr>
          <w:sz w:val="22"/>
          <w:szCs w:val="22"/>
          <w:shd w:val="clear" w:color="auto" w:fill="FFFFFF"/>
          <w:lang w:val="en-GB"/>
        </w:rPr>
        <w:t xml:space="preserve">strengthened viability to the element and the </w:t>
      </w:r>
      <w:r w:rsidRPr="004F57C8">
        <w:rPr>
          <w:rFonts w:cs="Arial"/>
          <w:sz w:val="22"/>
          <w:szCs w:val="22"/>
          <w:lang w:val="en-GB"/>
        </w:rPr>
        <w:t xml:space="preserve">intention of the State Party to propose </w:t>
      </w:r>
      <w:r w:rsidR="00654919">
        <w:rPr>
          <w:rFonts w:cs="Arial"/>
          <w:sz w:val="22"/>
          <w:szCs w:val="22"/>
          <w:lang w:val="en-GB"/>
        </w:rPr>
        <w:t xml:space="preserve">the </w:t>
      </w:r>
      <w:r w:rsidRPr="004F57C8">
        <w:rPr>
          <w:rFonts w:cs="Arial"/>
          <w:sz w:val="22"/>
          <w:szCs w:val="22"/>
          <w:lang w:val="en-GB"/>
        </w:rPr>
        <w:t>transfer of the element</w:t>
      </w:r>
      <w:r w:rsidRPr="00080F48">
        <w:rPr>
          <w:rFonts w:cs="Arial"/>
          <w:sz w:val="22"/>
          <w:szCs w:val="22"/>
          <w:lang w:val="en-GB"/>
        </w:rPr>
        <w:t xml:space="preserve"> from the</w:t>
      </w:r>
      <w:r w:rsidRPr="00080F48">
        <w:rPr>
          <w:rFonts w:cs="Arial"/>
          <w:bCs/>
          <w:sz w:val="22"/>
          <w:szCs w:val="22"/>
          <w:lang w:val="en-GB"/>
        </w:rPr>
        <w:t xml:space="preserve"> List of Intangible Cultural Heritage in Need of Urgent Safeguarding to the</w:t>
      </w:r>
      <w:r w:rsidRPr="00080F48">
        <w:rPr>
          <w:rFonts w:cs="Arial"/>
          <w:sz w:val="22"/>
          <w:szCs w:val="22"/>
          <w:lang w:val="en-GB"/>
        </w:rPr>
        <w:t xml:space="preserve"> </w:t>
      </w:r>
      <w:r w:rsidRPr="00080F48">
        <w:rPr>
          <w:bCs/>
          <w:sz w:val="22"/>
          <w:szCs w:val="22"/>
          <w:lang w:val="en-GB"/>
        </w:rPr>
        <w:t>Representative List of the Intangible Cultural Heritage of Humanity</w:t>
      </w:r>
      <w:r w:rsidRPr="00080F48">
        <w:rPr>
          <w:rFonts w:cs="Arial"/>
          <w:sz w:val="22"/>
          <w:szCs w:val="22"/>
          <w:lang w:val="en-GB"/>
        </w:rPr>
        <w:t>;</w:t>
      </w:r>
      <w:bookmarkStart w:id="19" w:name="_GoBack"/>
      <w:bookmarkEnd w:id="19"/>
    </w:p>
    <w:p w14:paraId="0A6F6096" w14:textId="38C90EA7" w:rsidR="00875B28" w:rsidRPr="009513BA" w:rsidRDefault="00FA4117" w:rsidP="00FD4562">
      <w:pPr>
        <w:pStyle w:val="Para"/>
        <w:numPr>
          <w:ilvl w:val="0"/>
          <w:numId w:val="34"/>
        </w:numPr>
        <w:tabs>
          <w:tab w:val="left" w:pos="1134"/>
        </w:tabs>
        <w:spacing w:line="240" w:lineRule="auto"/>
        <w:rPr>
          <w:sz w:val="22"/>
          <w:szCs w:val="22"/>
          <w:u w:val="single"/>
          <w:lang w:val="en-GB"/>
        </w:rPr>
      </w:pPr>
      <w:r w:rsidRPr="00F51684">
        <w:rPr>
          <w:sz w:val="22"/>
          <w:szCs w:val="22"/>
          <w:u w:val="single"/>
          <w:lang w:val="en-GB"/>
        </w:rPr>
        <w:t>Requests</w:t>
      </w:r>
      <w:r w:rsidRPr="00F51684">
        <w:rPr>
          <w:sz w:val="22"/>
          <w:szCs w:val="22"/>
          <w:lang w:val="en-GB"/>
        </w:rPr>
        <w:t xml:space="preserve"> that the Secretariat inform the State Party at least nine months prior to the deadline of 15 December 2023 about the required submission of its next report on the status of this element</w:t>
      </w:r>
      <w:r w:rsidRPr="00F51684">
        <w:rPr>
          <w:rFonts w:cs="Arial"/>
          <w:sz w:val="22"/>
          <w:szCs w:val="22"/>
          <w:lang w:val="en-GB"/>
        </w:rPr>
        <w:t>.</w:t>
      </w:r>
    </w:p>
    <w:sectPr w:rsidR="00875B28" w:rsidRPr="009513BA" w:rsidSect="009617B0">
      <w:headerReference w:type="even" r:id="rId87"/>
      <w:headerReference w:type="default" r:id="rId88"/>
      <w:headerReference w:type="first" r:id="rId89"/>
      <w:pgSz w:w="11906" w:h="16838" w:code="9"/>
      <w:pgMar w:top="1418" w:right="1134" w:bottom="709" w:left="1134" w:header="397" w:footer="28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BABFF" w16cex:dateUtc="2020-11-03T10:14:00Z"/>
  <w16cex:commentExtensible w16cex:durableId="234BF17C" w16cex:dateUtc="2020-11-03T15:10:00Z"/>
  <w16cex:commentExtensible w16cex:durableId="234BF298" w16cex:dateUtc="2020-11-03T15:15:00Z"/>
  <w16cex:commentExtensible w16cex:durableId="234BF426" w16cex:dateUtc="2020-11-03T15:22:00Z"/>
  <w16cex:commentExtensible w16cex:durableId="234BF53C" w16cex:dateUtc="2020-11-03T15:26:00Z"/>
  <w16cex:commentExtensible w16cex:durableId="234D12E4" w16cex:dateUtc="2020-11-04T11:45:00Z"/>
  <w16cex:commentExtensible w16cex:durableId="234D17C0" w16cex:dateUtc="2020-11-04T12:06:00Z"/>
  <w16cex:commentExtensible w16cex:durableId="234FAD94" w16cex:dateUtc="2020-11-06T11:10:00Z"/>
  <w16cex:commentExtensible w16cex:durableId="234D4380" w16cex:dateUtc="2020-11-04T15:13:00Z"/>
  <w16cex:commentExtensible w16cex:durableId="234FAE58" w16cex:dateUtc="2020-11-06T11:13:00Z"/>
  <w16cex:commentExtensible w16cex:durableId="234FAF2A" w16cex:dateUtc="2020-11-06T11:16:00Z"/>
  <w16cex:commentExtensible w16cex:durableId="234FAFA9" w16cex:dateUtc="2020-11-06T1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104B4" w14:textId="77777777" w:rsidR="00FD4562" w:rsidRDefault="00FD4562" w:rsidP="00655736">
      <w:r>
        <w:separator/>
      </w:r>
    </w:p>
    <w:p w14:paraId="207D051C" w14:textId="77777777" w:rsidR="00FD4562" w:rsidRDefault="00FD4562"/>
  </w:endnote>
  <w:endnote w:type="continuationSeparator" w:id="0">
    <w:p w14:paraId="736F0C9B" w14:textId="77777777" w:rsidR="00FD4562" w:rsidRDefault="00FD4562" w:rsidP="00655736">
      <w:r>
        <w:continuationSeparator/>
      </w:r>
    </w:p>
    <w:p w14:paraId="7E46CD5F" w14:textId="77777777" w:rsidR="00FD4562" w:rsidRDefault="00FD4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0D58D" w14:textId="77777777" w:rsidR="00FD4562" w:rsidRDefault="00FD4562" w:rsidP="00655736">
      <w:r>
        <w:separator/>
      </w:r>
    </w:p>
    <w:p w14:paraId="20CFCEFB" w14:textId="77777777" w:rsidR="00FD4562" w:rsidRDefault="00FD4562"/>
  </w:footnote>
  <w:footnote w:type="continuationSeparator" w:id="0">
    <w:p w14:paraId="43A9D11F" w14:textId="77777777" w:rsidR="00FD4562" w:rsidRDefault="00FD4562" w:rsidP="00655736">
      <w:r>
        <w:continuationSeparator/>
      </w:r>
    </w:p>
    <w:p w14:paraId="1F9CD4FE" w14:textId="77777777" w:rsidR="00FD4562" w:rsidRDefault="00FD4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52A18" w14:textId="70CA4788" w:rsidR="00FD4562" w:rsidRPr="00C23A97" w:rsidRDefault="00FD4562" w:rsidP="00C5776D">
    <w:pPr>
      <w:pStyle w:val="En-tte"/>
      <w:rPr>
        <w:rFonts w:ascii="Arial" w:hAnsi="Arial" w:cs="Arial"/>
        <w:lang w:val="en-GB"/>
      </w:rPr>
    </w:pPr>
    <w:r>
      <w:rPr>
        <w:rFonts w:ascii="Arial" w:hAnsi="Arial" w:cs="Arial"/>
        <w:sz w:val="20"/>
        <w:szCs w:val="20"/>
        <w:lang w:val="en-GB"/>
      </w:rPr>
      <w:t>LHE/20/15.COM</w:t>
    </w:r>
    <w:r w:rsidRPr="00C23A97">
      <w:rPr>
        <w:rFonts w:ascii="Arial" w:hAnsi="Arial" w:cs="Arial"/>
        <w:sz w:val="20"/>
        <w:szCs w:val="20"/>
        <w:lang w:val="en-GB"/>
      </w:rPr>
      <w:t>/</w:t>
    </w:r>
    <w:r>
      <w:rPr>
        <w:rFonts w:ascii="Arial" w:hAnsi="Arial" w:cs="Arial"/>
        <w:sz w:val="20"/>
        <w:szCs w:val="20"/>
        <w:lang w:val="en-GB"/>
      </w:rPr>
      <w:t>7</w:t>
    </w:r>
    <w:r w:rsidRPr="00C23A97">
      <w:rPr>
        <w:rFonts w:ascii="Arial" w:hAnsi="Arial" w:cs="Arial"/>
        <w:sz w:val="20"/>
        <w:szCs w:val="20"/>
        <w:lang w:val="en-GB"/>
      </w:rPr>
      <w:t xml:space="preserve"> – page </w:t>
    </w:r>
    <w:r w:rsidRPr="00C23A97">
      <w:rPr>
        <w:rStyle w:val="Numrodepage"/>
        <w:rFonts w:ascii="Arial" w:hAnsi="Arial" w:cs="Arial"/>
        <w:sz w:val="20"/>
        <w:szCs w:val="20"/>
        <w:lang w:val="en-GB"/>
      </w:rPr>
      <w:fldChar w:fldCharType="begin"/>
    </w:r>
    <w:r w:rsidRPr="00C23A97">
      <w:rPr>
        <w:rStyle w:val="Numrodepage"/>
        <w:rFonts w:ascii="Arial" w:hAnsi="Arial" w:cs="Arial"/>
        <w:sz w:val="20"/>
        <w:szCs w:val="20"/>
        <w:lang w:val="en-GB"/>
      </w:rPr>
      <w:instrText xml:space="preserve"> PAGE </w:instrText>
    </w:r>
    <w:r w:rsidRPr="00C23A97">
      <w:rPr>
        <w:rStyle w:val="Numrodepage"/>
        <w:rFonts w:ascii="Arial" w:hAnsi="Arial" w:cs="Arial"/>
        <w:sz w:val="20"/>
        <w:szCs w:val="20"/>
        <w:lang w:val="en-GB"/>
      </w:rPr>
      <w:fldChar w:fldCharType="separate"/>
    </w:r>
    <w:r>
      <w:rPr>
        <w:rStyle w:val="Numrodepage"/>
        <w:rFonts w:ascii="Arial" w:hAnsi="Arial" w:cs="Arial"/>
        <w:noProof/>
        <w:sz w:val="20"/>
        <w:szCs w:val="20"/>
        <w:lang w:val="en-GB"/>
      </w:rPr>
      <w:t>16</w:t>
    </w:r>
    <w:r w:rsidRPr="00C23A97">
      <w:rPr>
        <w:rStyle w:val="Numrodepage"/>
        <w:rFonts w:ascii="Arial" w:hAnsi="Arial" w:cs="Arial"/>
        <w:sz w:val="20"/>
        <w:szCs w:val="20"/>
        <w:lang w:val="en-GB"/>
      </w:rPr>
      <w:fldChar w:fldCharType="end"/>
    </w:r>
  </w:p>
  <w:p w14:paraId="4E2F1D19" w14:textId="77777777" w:rsidR="00FD4562" w:rsidRDefault="00FD45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477B" w14:textId="1B272AAA" w:rsidR="00FD4562" w:rsidRPr="0063300C" w:rsidRDefault="00FD4562" w:rsidP="00C5776D">
    <w:pPr>
      <w:pStyle w:val="En-tte"/>
      <w:jc w:val="right"/>
      <w:rPr>
        <w:rFonts w:ascii="Arial" w:hAnsi="Arial" w:cs="Arial"/>
        <w:lang w:val="en-GB"/>
      </w:rPr>
    </w:pPr>
    <w:r>
      <w:rPr>
        <w:rFonts w:ascii="Arial" w:hAnsi="Arial" w:cs="Arial"/>
        <w:sz w:val="20"/>
        <w:szCs w:val="20"/>
        <w:lang w:val="en-GB"/>
      </w:rPr>
      <w:t>LHE/20/15.COM</w:t>
    </w:r>
    <w:r w:rsidRPr="0063300C">
      <w:rPr>
        <w:rFonts w:ascii="Arial" w:hAnsi="Arial" w:cs="Arial"/>
        <w:sz w:val="20"/>
        <w:szCs w:val="20"/>
        <w:lang w:val="en-GB"/>
      </w:rPr>
      <w:t>/</w:t>
    </w:r>
    <w:r>
      <w:rPr>
        <w:rFonts w:ascii="Arial" w:hAnsi="Arial" w:cs="Arial"/>
        <w:sz w:val="20"/>
        <w:szCs w:val="20"/>
        <w:lang w:val="en-GB"/>
      </w:rPr>
      <w:t xml:space="preserve">7 </w:t>
    </w:r>
    <w:r w:rsidRPr="0063300C">
      <w:rPr>
        <w:rFonts w:ascii="Arial" w:hAnsi="Arial" w:cs="Arial"/>
        <w:sz w:val="20"/>
        <w:szCs w:val="20"/>
        <w:lang w:val="en-GB"/>
      </w:rPr>
      <w:t xml:space="preserve">– page </w:t>
    </w:r>
    <w:r w:rsidRPr="0063300C">
      <w:rPr>
        <w:rStyle w:val="Numrodepage"/>
        <w:rFonts w:ascii="Arial" w:hAnsi="Arial" w:cs="Arial"/>
        <w:sz w:val="20"/>
        <w:szCs w:val="20"/>
        <w:lang w:val="en-GB"/>
      </w:rPr>
      <w:fldChar w:fldCharType="begin"/>
    </w:r>
    <w:r w:rsidRPr="0063300C">
      <w:rPr>
        <w:rStyle w:val="Numrodepage"/>
        <w:rFonts w:ascii="Arial" w:hAnsi="Arial" w:cs="Arial"/>
        <w:sz w:val="20"/>
        <w:szCs w:val="20"/>
        <w:lang w:val="en-GB"/>
      </w:rPr>
      <w:instrText xml:space="preserve"> PAGE </w:instrText>
    </w:r>
    <w:r w:rsidRPr="0063300C">
      <w:rPr>
        <w:rStyle w:val="Numrodepage"/>
        <w:rFonts w:ascii="Arial" w:hAnsi="Arial" w:cs="Arial"/>
        <w:sz w:val="20"/>
        <w:szCs w:val="20"/>
        <w:lang w:val="en-GB"/>
      </w:rPr>
      <w:fldChar w:fldCharType="separate"/>
    </w:r>
    <w:r>
      <w:rPr>
        <w:rStyle w:val="Numrodepage"/>
        <w:rFonts w:ascii="Arial" w:hAnsi="Arial" w:cs="Arial"/>
        <w:noProof/>
        <w:sz w:val="20"/>
        <w:szCs w:val="20"/>
        <w:lang w:val="en-GB"/>
      </w:rPr>
      <w:t>15</w:t>
    </w:r>
    <w:r w:rsidRPr="0063300C">
      <w:rPr>
        <w:rStyle w:val="Numrodepage"/>
        <w:rFonts w:ascii="Arial" w:hAnsi="Arial" w:cs="Arial"/>
        <w:sz w:val="20"/>
        <w:szCs w:val="20"/>
        <w:lang w:val="en-GB"/>
      </w:rPr>
      <w:fldChar w:fldCharType="end"/>
    </w:r>
  </w:p>
  <w:p w14:paraId="29A8AFBA" w14:textId="77777777" w:rsidR="00FD4562" w:rsidRDefault="00FD45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728D4" w14:textId="77777777" w:rsidR="00FD4562" w:rsidRPr="00E95AE2" w:rsidRDefault="00FD4562">
    <w:pPr>
      <w:pStyle w:val="En-tte"/>
      <w:rPr>
        <w:sz w:val="22"/>
        <w:szCs w:val="22"/>
        <w:lang w:val="en-GB"/>
      </w:rPr>
    </w:pPr>
    <w:r>
      <w:rPr>
        <w:noProof/>
        <w:lang w:val="en-US" w:eastAsia="en-US"/>
      </w:rPr>
      <w:drawing>
        <wp:anchor distT="0" distB="0" distL="114300" distR="114300" simplePos="0" relativeHeight="251657728" behindDoc="0" locked="0" layoutInCell="1" allowOverlap="1" wp14:anchorId="18EB5926" wp14:editId="17C7B603">
          <wp:simplePos x="0" y="0"/>
          <wp:positionH relativeFrom="column">
            <wp:posOffset>-567690</wp:posOffset>
          </wp:positionH>
          <wp:positionV relativeFrom="paragraph">
            <wp:posOffset>3810</wp:posOffset>
          </wp:positionV>
          <wp:extent cx="2228215" cy="1367790"/>
          <wp:effectExtent l="0" t="0" r="635" b="3810"/>
          <wp:wrapNone/>
          <wp:docPr id="1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4632C5" w14:textId="0F111D0E" w:rsidR="00FD4562" w:rsidRPr="00D15D80" w:rsidRDefault="00FD4562" w:rsidP="00C5776D">
    <w:pPr>
      <w:pStyle w:val="En-tte"/>
      <w:spacing w:after="520"/>
      <w:jc w:val="right"/>
      <w:rPr>
        <w:rFonts w:ascii="Arial" w:hAnsi="Arial" w:cs="Arial"/>
        <w:b/>
        <w:sz w:val="44"/>
        <w:szCs w:val="44"/>
        <w:lang w:val="pt-PT"/>
      </w:rPr>
    </w:pPr>
    <w:r w:rsidRPr="00D15D80">
      <w:rPr>
        <w:rFonts w:ascii="Arial" w:hAnsi="Arial" w:cs="Arial"/>
        <w:b/>
        <w:sz w:val="44"/>
        <w:szCs w:val="44"/>
        <w:lang w:val="pt-PT"/>
      </w:rPr>
      <w:t>15 COM</w:t>
    </w:r>
  </w:p>
  <w:p w14:paraId="34167CAB" w14:textId="3DE247C5" w:rsidR="00FD4562" w:rsidRPr="00D15D80" w:rsidRDefault="00FD4562" w:rsidP="00C5776D">
    <w:pPr>
      <w:jc w:val="right"/>
      <w:rPr>
        <w:rFonts w:ascii="Arial" w:hAnsi="Arial" w:cs="Arial"/>
        <w:b/>
        <w:sz w:val="22"/>
        <w:szCs w:val="22"/>
        <w:lang w:val="pt-PT"/>
      </w:rPr>
    </w:pPr>
    <w:r w:rsidRPr="00D15D80">
      <w:rPr>
        <w:rFonts w:ascii="Arial" w:hAnsi="Arial" w:cs="Arial"/>
        <w:b/>
        <w:sz w:val="22"/>
        <w:szCs w:val="22"/>
        <w:lang w:val="pt-PT"/>
      </w:rPr>
      <w:t>LHE/20/15.COM/</w:t>
    </w:r>
    <w:r>
      <w:rPr>
        <w:rFonts w:ascii="Arial" w:hAnsi="Arial" w:cs="Arial"/>
        <w:b/>
        <w:sz w:val="22"/>
        <w:szCs w:val="22"/>
        <w:lang w:val="pt-PT"/>
      </w:rPr>
      <w:t>7</w:t>
    </w:r>
  </w:p>
  <w:p w14:paraId="5DB98270" w14:textId="193C29CA" w:rsidR="00FD4562" w:rsidRPr="00D15D80" w:rsidRDefault="00FD4562" w:rsidP="00655736">
    <w:pPr>
      <w:jc w:val="right"/>
      <w:rPr>
        <w:rFonts w:ascii="Arial" w:eastAsiaTheme="minorEastAsia" w:hAnsi="Arial" w:cs="Arial"/>
        <w:b/>
        <w:sz w:val="22"/>
        <w:szCs w:val="22"/>
        <w:lang w:val="pt-PT" w:eastAsia="ko-KR"/>
      </w:rPr>
    </w:pPr>
    <w:r w:rsidRPr="00D15D80">
      <w:rPr>
        <w:rFonts w:ascii="Arial" w:hAnsi="Arial" w:cs="Arial"/>
        <w:b/>
        <w:sz w:val="22"/>
        <w:szCs w:val="22"/>
        <w:lang w:val="pt-PT"/>
      </w:rPr>
      <w:t xml:space="preserve">Paris, </w:t>
    </w:r>
    <w:r w:rsidR="006F3E2C">
      <w:rPr>
        <w:rFonts w:ascii="Arial" w:hAnsi="Arial" w:cs="Arial"/>
        <w:b/>
        <w:sz w:val="22"/>
        <w:szCs w:val="22"/>
        <w:lang w:val="pt-PT"/>
      </w:rPr>
      <w:t>16 November 2020</w:t>
    </w:r>
  </w:p>
  <w:p w14:paraId="30CDE61E" w14:textId="77777777" w:rsidR="00FD4562" w:rsidRPr="00FD4562" w:rsidRDefault="00FD4562" w:rsidP="000048ED">
    <w:pPr>
      <w:jc w:val="right"/>
      <w:rPr>
        <w:rFonts w:ascii="Arial" w:hAnsi="Arial" w:cs="Arial"/>
        <w:b/>
        <w:sz w:val="22"/>
        <w:szCs w:val="22"/>
        <w:lang w:val="pt-PT"/>
      </w:rPr>
    </w:pPr>
    <w:r w:rsidRPr="00FD4562">
      <w:rPr>
        <w:rFonts w:ascii="Arial" w:hAnsi="Arial" w:cs="Arial"/>
        <w:b/>
        <w:sz w:val="22"/>
        <w:szCs w:val="22"/>
        <w:lang w:val="pt-PT"/>
      </w:rPr>
      <w:t>Original: English</w:t>
    </w:r>
  </w:p>
  <w:p w14:paraId="6601E829" w14:textId="77777777" w:rsidR="00FD4562" w:rsidRPr="00FD4562" w:rsidRDefault="00FD4562">
    <w:pPr>
      <w:pStyle w:val="En-tte"/>
      <w:rPr>
        <w:sz w:val="22"/>
        <w:szCs w:val="22"/>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AFC"/>
    <w:multiLevelType w:val="multilevel"/>
    <w:tmpl w:val="25EC51F2"/>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92203E5"/>
    <w:multiLevelType w:val="hybridMultilevel"/>
    <w:tmpl w:val="F60A80D2"/>
    <w:lvl w:ilvl="0" w:tplc="918ACE6A">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 w15:restartNumberingAfterBreak="0">
    <w:nsid w:val="0C001211"/>
    <w:multiLevelType w:val="multilevel"/>
    <w:tmpl w:val="A5BEE284"/>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003674"/>
    <w:multiLevelType w:val="hybridMultilevel"/>
    <w:tmpl w:val="E12029B8"/>
    <w:lvl w:ilvl="0" w:tplc="C3BEC8A0">
      <w:start w:val="1"/>
      <w:numFmt w:val="decimal"/>
      <w:lvlText w:val="%1."/>
      <w:lvlJc w:val="left"/>
      <w:pPr>
        <w:ind w:left="720" w:hanging="360"/>
      </w:pPr>
      <w:rPr>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012006"/>
    <w:multiLevelType w:val="hybridMultilevel"/>
    <w:tmpl w:val="63FC1A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9BE2696"/>
    <w:multiLevelType w:val="hybridMultilevel"/>
    <w:tmpl w:val="584CBB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EE4F9D"/>
    <w:multiLevelType w:val="hybridMultilevel"/>
    <w:tmpl w:val="F60A80D2"/>
    <w:lvl w:ilvl="0" w:tplc="918ACE6A">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5F07BFE"/>
    <w:multiLevelType w:val="hybridMultilevel"/>
    <w:tmpl w:val="FA4E154E"/>
    <w:lvl w:ilvl="0" w:tplc="B756F494">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7B474D"/>
    <w:multiLevelType w:val="multilevel"/>
    <w:tmpl w:val="1D3E4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397A4DB1"/>
    <w:multiLevelType w:val="hybridMultilevel"/>
    <w:tmpl w:val="F60A80D2"/>
    <w:lvl w:ilvl="0" w:tplc="918ACE6A">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E30FFC"/>
    <w:multiLevelType w:val="multilevel"/>
    <w:tmpl w:val="E70EBFFC"/>
    <w:lvl w:ilvl="0">
      <w:start w:val="1"/>
      <w:numFmt w:val="none"/>
      <w:suff w:val="nothing"/>
      <w:lvlText w:val="%1"/>
      <w:lvlJc w:val="left"/>
      <w:pPr>
        <w:ind w:left="0" w:firstLine="0"/>
      </w:pPr>
      <w:rPr>
        <w:rFonts w:ascii="Arial" w:hAnsi="Arial" w:hint="default"/>
        <w:color w:val="auto"/>
        <w:sz w:val="22"/>
        <w:lang w:val="en-US"/>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40CE7015"/>
    <w:multiLevelType w:val="hybridMultilevel"/>
    <w:tmpl w:val="2DF0C048"/>
    <w:lvl w:ilvl="0" w:tplc="3CD4F6DA">
      <w:start w:val="1"/>
      <w:numFmt w:val="decimal"/>
      <w:pStyle w:val="Para"/>
      <w:lvlText w:val="%1."/>
      <w:lvlJc w:val="left"/>
      <w:pPr>
        <w:ind w:left="1069" w:hanging="360"/>
      </w:pPr>
      <w:rPr>
        <w:b w:val="0"/>
        <w:color w:val="auto"/>
        <w:sz w:val="22"/>
        <w:szCs w:val="22"/>
        <w:lang w:val="en-US"/>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45A28CA"/>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C5527DE8"/>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9"/>
  </w:num>
  <w:num w:numId="2">
    <w:abstractNumId w:val="12"/>
  </w:num>
  <w:num w:numId="3">
    <w:abstractNumId w:val="5"/>
  </w:num>
  <w:num w:numId="4">
    <w:abstractNumId w:val="22"/>
  </w:num>
  <w:num w:numId="5">
    <w:abstractNumId w:val="21"/>
  </w:num>
  <w:num w:numId="6">
    <w:abstractNumId w:val="4"/>
  </w:num>
  <w:num w:numId="7">
    <w:abstractNumId w:val="6"/>
  </w:num>
  <w:num w:numId="8">
    <w:abstractNumId w:val="18"/>
  </w:num>
  <w:num w:numId="9">
    <w:abstractNumId w:val="10"/>
  </w:num>
  <w:num w:numId="10">
    <w:abstractNumId w:val="13"/>
  </w:num>
  <w:num w:numId="11">
    <w:abstractNumId w:val="17"/>
  </w:num>
  <w:num w:numId="12">
    <w:abstractNumId w:val="14"/>
  </w:num>
  <w:num w:numId="13">
    <w:abstractNumId w:val="23"/>
  </w:num>
  <w:num w:numId="14">
    <w:abstractNumId w:val="10"/>
    <w:lvlOverride w:ilvl="0">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num>
  <w:num w:numId="17">
    <w:abstractNumId w:val="3"/>
  </w:num>
  <w:num w:numId="18">
    <w:abstractNumId w:val="13"/>
  </w:num>
  <w:num w:numId="19">
    <w:abstractNumId w:val="7"/>
  </w:num>
  <w:num w:numId="20">
    <w:abstractNumId w:val="13"/>
    <w:lvlOverride w:ilvl="0">
      <w:startOverride w:val="1"/>
    </w:lvlOverride>
  </w:num>
  <w:num w:numId="21">
    <w:abstractNumId w:val="8"/>
  </w:num>
  <w:num w:numId="22">
    <w:abstractNumId w:val="1"/>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6"/>
    <w:lvlOverride w:ilvl="0">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num>
  <w:num w:numId="31">
    <w:abstractNumId w:val="16"/>
    <w:lvlOverride w:ilvl="0">
      <w:startOverride w:val="1"/>
    </w:lvlOverride>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num>
  <w:num w:numId="38">
    <w:abstractNumId w:val="16"/>
    <w:lvlOverride w:ilvl="0">
      <w:startOverride w:val="1"/>
    </w:lvlOverride>
  </w:num>
  <w:num w:numId="39">
    <w:abstractNumId w:val="20"/>
  </w:num>
  <w:num w:numId="40">
    <w:abstractNumId w:val="2"/>
  </w:num>
  <w:num w:numId="41">
    <w:abstractNumId w:val="0"/>
  </w:num>
  <w:num w:numId="42">
    <w:abstractNumId w:val="15"/>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activeWritingStyle w:appName="MSWord" w:lang="pt-PT"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544"/>
    <w:rsid w:val="0000201B"/>
    <w:rsid w:val="000038FB"/>
    <w:rsid w:val="00004046"/>
    <w:rsid w:val="00004750"/>
    <w:rsid w:val="000048ED"/>
    <w:rsid w:val="00007B7A"/>
    <w:rsid w:val="000110AF"/>
    <w:rsid w:val="000122AD"/>
    <w:rsid w:val="00016EAF"/>
    <w:rsid w:val="00021E51"/>
    <w:rsid w:val="00022C4E"/>
    <w:rsid w:val="00023498"/>
    <w:rsid w:val="00026356"/>
    <w:rsid w:val="00026CDE"/>
    <w:rsid w:val="00026DC2"/>
    <w:rsid w:val="00026F5B"/>
    <w:rsid w:val="00026FD5"/>
    <w:rsid w:val="00030491"/>
    <w:rsid w:val="0003225D"/>
    <w:rsid w:val="0003357A"/>
    <w:rsid w:val="00036C02"/>
    <w:rsid w:val="00040104"/>
    <w:rsid w:val="00040410"/>
    <w:rsid w:val="00040ABC"/>
    <w:rsid w:val="00041A66"/>
    <w:rsid w:val="00042D88"/>
    <w:rsid w:val="00044396"/>
    <w:rsid w:val="00044589"/>
    <w:rsid w:val="00045D17"/>
    <w:rsid w:val="0005055F"/>
    <w:rsid w:val="0005176E"/>
    <w:rsid w:val="00053D4E"/>
    <w:rsid w:val="00061274"/>
    <w:rsid w:val="00065406"/>
    <w:rsid w:val="0006623B"/>
    <w:rsid w:val="000667A8"/>
    <w:rsid w:val="000704D2"/>
    <w:rsid w:val="00070954"/>
    <w:rsid w:val="00070F4A"/>
    <w:rsid w:val="0007255D"/>
    <w:rsid w:val="00073686"/>
    <w:rsid w:val="00073AC1"/>
    <w:rsid w:val="00073F31"/>
    <w:rsid w:val="000765F7"/>
    <w:rsid w:val="0007715D"/>
    <w:rsid w:val="00077AB7"/>
    <w:rsid w:val="00080F3C"/>
    <w:rsid w:val="00080F48"/>
    <w:rsid w:val="00081CD8"/>
    <w:rsid w:val="00081F91"/>
    <w:rsid w:val="00082206"/>
    <w:rsid w:val="00083805"/>
    <w:rsid w:val="000841EE"/>
    <w:rsid w:val="00084E16"/>
    <w:rsid w:val="000854DB"/>
    <w:rsid w:val="00086D27"/>
    <w:rsid w:val="00094F48"/>
    <w:rsid w:val="00097BCD"/>
    <w:rsid w:val="000A0155"/>
    <w:rsid w:val="000A157E"/>
    <w:rsid w:val="000A15F5"/>
    <w:rsid w:val="000A2D61"/>
    <w:rsid w:val="000A5AC1"/>
    <w:rsid w:val="000A5AD6"/>
    <w:rsid w:val="000A5CFE"/>
    <w:rsid w:val="000A7BE0"/>
    <w:rsid w:val="000A7F0E"/>
    <w:rsid w:val="000B06DB"/>
    <w:rsid w:val="000B0B31"/>
    <w:rsid w:val="000B0E81"/>
    <w:rsid w:val="000B1712"/>
    <w:rsid w:val="000B1C8F"/>
    <w:rsid w:val="000B3BD1"/>
    <w:rsid w:val="000B4701"/>
    <w:rsid w:val="000B4C1B"/>
    <w:rsid w:val="000B5044"/>
    <w:rsid w:val="000B71DD"/>
    <w:rsid w:val="000B72B8"/>
    <w:rsid w:val="000B7719"/>
    <w:rsid w:val="000C0D61"/>
    <w:rsid w:val="000C30CD"/>
    <w:rsid w:val="000C3810"/>
    <w:rsid w:val="000C407A"/>
    <w:rsid w:val="000C61BC"/>
    <w:rsid w:val="000C677D"/>
    <w:rsid w:val="000C6E1E"/>
    <w:rsid w:val="000C6F3A"/>
    <w:rsid w:val="000D0413"/>
    <w:rsid w:val="000E0B74"/>
    <w:rsid w:val="000E1BA2"/>
    <w:rsid w:val="000E1E6D"/>
    <w:rsid w:val="000E1F8F"/>
    <w:rsid w:val="000E3DF4"/>
    <w:rsid w:val="000E718E"/>
    <w:rsid w:val="000F16D6"/>
    <w:rsid w:val="000F24D9"/>
    <w:rsid w:val="000F3A3F"/>
    <w:rsid w:val="000F6002"/>
    <w:rsid w:val="00102557"/>
    <w:rsid w:val="0010262A"/>
    <w:rsid w:val="00104948"/>
    <w:rsid w:val="001163C3"/>
    <w:rsid w:val="001166B2"/>
    <w:rsid w:val="00116F47"/>
    <w:rsid w:val="0012009E"/>
    <w:rsid w:val="001212C1"/>
    <w:rsid w:val="001227B5"/>
    <w:rsid w:val="0012389D"/>
    <w:rsid w:val="00123907"/>
    <w:rsid w:val="00123B3C"/>
    <w:rsid w:val="001252AE"/>
    <w:rsid w:val="00127D09"/>
    <w:rsid w:val="001301AC"/>
    <w:rsid w:val="001308F1"/>
    <w:rsid w:val="00134DCF"/>
    <w:rsid w:val="00135091"/>
    <w:rsid w:val="0013664F"/>
    <w:rsid w:val="00136CBE"/>
    <w:rsid w:val="001378CE"/>
    <w:rsid w:val="001417C7"/>
    <w:rsid w:val="00141C15"/>
    <w:rsid w:val="00143A23"/>
    <w:rsid w:val="00143ABE"/>
    <w:rsid w:val="00145D37"/>
    <w:rsid w:val="001469E7"/>
    <w:rsid w:val="00147168"/>
    <w:rsid w:val="00147932"/>
    <w:rsid w:val="0015084A"/>
    <w:rsid w:val="001535AC"/>
    <w:rsid w:val="001544DB"/>
    <w:rsid w:val="00155E6B"/>
    <w:rsid w:val="00156681"/>
    <w:rsid w:val="00160F16"/>
    <w:rsid w:val="00164D56"/>
    <w:rsid w:val="00164D6E"/>
    <w:rsid w:val="00165D09"/>
    <w:rsid w:val="00165DD9"/>
    <w:rsid w:val="00167B10"/>
    <w:rsid w:val="0017402F"/>
    <w:rsid w:val="001804C4"/>
    <w:rsid w:val="00181F76"/>
    <w:rsid w:val="00182B9F"/>
    <w:rsid w:val="00182C65"/>
    <w:rsid w:val="00186AF0"/>
    <w:rsid w:val="00186C3E"/>
    <w:rsid w:val="00187ED3"/>
    <w:rsid w:val="00190640"/>
    <w:rsid w:val="00190B7D"/>
    <w:rsid w:val="0019457C"/>
    <w:rsid w:val="00194DDB"/>
    <w:rsid w:val="00196BCF"/>
    <w:rsid w:val="00196C1B"/>
    <w:rsid w:val="001A0EAE"/>
    <w:rsid w:val="001A1764"/>
    <w:rsid w:val="001A276F"/>
    <w:rsid w:val="001A2DCB"/>
    <w:rsid w:val="001A4573"/>
    <w:rsid w:val="001A7686"/>
    <w:rsid w:val="001B0BD5"/>
    <w:rsid w:val="001B0F73"/>
    <w:rsid w:val="001B322E"/>
    <w:rsid w:val="001B4E9C"/>
    <w:rsid w:val="001B553E"/>
    <w:rsid w:val="001B6D0B"/>
    <w:rsid w:val="001B79A4"/>
    <w:rsid w:val="001B7D36"/>
    <w:rsid w:val="001C00E6"/>
    <w:rsid w:val="001C1EEB"/>
    <w:rsid w:val="001C28AC"/>
    <w:rsid w:val="001C2DB7"/>
    <w:rsid w:val="001C2E5D"/>
    <w:rsid w:val="001C3027"/>
    <w:rsid w:val="001C319E"/>
    <w:rsid w:val="001C4B16"/>
    <w:rsid w:val="001D14FE"/>
    <w:rsid w:val="001D5C04"/>
    <w:rsid w:val="001D690F"/>
    <w:rsid w:val="001D7EDE"/>
    <w:rsid w:val="001E4372"/>
    <w:rsid w:val="001E7590"/>
    <w:rsid w:val="001F0140"/>
    <w:rsid w:val="001F26CF"/>
    <w:rsid w:val="001F3088"/>
    <w:rsid w:val="001F42FD"/>
    <w:rsid w:val="001F44C3"/>
    <w:rsid w:val="001F44F2"/>
    <w:rsid w:val="001F6A55"/>
    <w:rsid w:val="001F7CBE"/>
    <w:rsid w:val="00200F86"/>
    <w:rsid w:val="00203B13"/>
    <w:rsid w:val="002054A6"/>
    <w:rsid w:val="0020656F"/>
    <w:rsid w:val="00206839"/>
    <w:rsid w:val="00206C8C"/>
    <w:rsid w:val="00210500"/>
    <w:rsid w:val="00210C37"/>
    <w:rsid w:val="00211B2E"/>
    <w:rsid w:val="002140E7"/>
    <w:rsid w:val="0021411F"/>
    <w:rsid w:val="00215516"/>
    <w:rsid w:val="0022017F"/>
    <w:rsid w:val="0022231E"/>
    <w:rsid w:val="00222A2D"/>
    <w:rsid w:val="00223029"/>
    <w:rsid w:val="0022459C"/>
    <w:rsid w:val="00224FEF"/>
    <w:rsid w:val="00225762"/>
    <w:rsid w:val="0023051C"/>
    <w:rsid w:val="00231B79"/>
    <w:rsid w:val="00232643"/>
    <w:rsid w:val="002345E2"/>
    <w:rsid w:val="00234745"/>
    <w:rsid w:val="002351A6"/>
    <w:rsid w:val="00235617"/>
    <w:rsid w:val="00236061"/>
    <w:rsid w:val="00240585"/>
    <w:rsid w:val="002407AF"/>
    <w:rsid w:val="002407EC"/>
    <w:rsid w:val="00242421"/>
    <w:rsid w:val="002459E6"/>
    <w:rsid w:val="00250060"/>
    <w:rsid w:val="00250559"/>
    <w:rsid w:val="00250863"/>
    <w:rsid w:val="00250C16"/>
    <w:rsid w:val="002511C0"/>
    <w:rsid w:val="00251E04"/>
    <w:rsid w:val="00255EAA"/>
    <w:rsid w:val="00256B0D"/>
    <w:rsid w:val="00260917"/>
    <w:rsid w:val="00262D59"/>
    <w:rsid w:val="002635E8"/>
    <w:rsid w:val="00265276"/>
    <w:rsid w:val="002658BF"/>
    <w:rsid w:val="0027466B"/>
    <w:rsid w:val="00276B52"/>
    <w:rsid w:val="0027782E"/>
    <w:rsid w:val="0028072B"/>
    <w:rsid w:val="00280F82"/>
    <w:rsid w:val="00282E5D"/>
    <w:rsid w:val="002838A5"/>
    <w:rsid w:val="00285BB4"/>
    <w:rsid w:val="0028692F"/>
    <w:rsid w:val="00286FF8"/>
    <w:rsid w:val="00294814"/>
    <w:rsid w:val="0029765D"/>
    <w:rsid w:val="00297DE3"/>
    <w:rsid w:val="002A038D"/>
    <w:rsid w:val="002A2901"/>
    <w:rsid w:val="002A5B75"/>
    <w:rsid w:val="002A7132"/>
    <w:rsid w:val="002A721F"/>
    <w:rsid w:val="002B11E9"/>
    <w:rsid w:val="002B3977"/>
    <w:rsid w:val="002C09E3"/>
    <w:rsid w:val="002C0BC3"/>
    <w:rsid w:val="002C31F9"/>
    <w:rsid w:val="002C50B5"/>
    <w:rsid w:val="002C5B6A"/>
    <w:rsid w:val="002C7CE2"/>
    <w:rsid w:val="002D3414"/>
    <w:rsid w:val="002D5457"/>
    <w:rsid w:val="002D6616"/>
    <w:rsid w:val="002D75C8"/>
    <w:rsid w:val="002E0129"/>
    <w:rsid w:val="002E4976"/>
    <w:rsid w:val="002E51B4"/>
    <w:rsid w:val="002F5287"/>
    <w:rsid w:val="002F65D4"/>
    <w:rsid w:val="002F7AEC"/>
    <w:rsid w:val="0030182B"/>
    <w:rsid w:val="00303464"/>
    <w:rsid w:val="00304ED6"/>
    <w:rsid w:val="00307669"/>
    <w:rsid w:val="00310326"/>
    <w:rsid w:val="0031229B"/>
    <w:rsid w:val="00313766"/>
    <w:rsid w:val="00314334"/>
    <w:rsid w:val="00317099"/>
    <w:rsid w:val="00322D83"/>
    <w:rsid w:val="00333192"/>
    <w:rsid w:val="0033403B"/>
    <w:rsid w:val="00335113"/>
    <w:rsid w:val="00335331"/>
    <w:rsid w:val="003357DF"/>
    <w:rsid w:val="00337CEB"/>
    <w:rsid w:val="003419F1"/>
    <w:rsid w:val="00341EB2"/>
    <w:rsid w:val="00344B58"/>
    <w:rsid w:val="0034539A"/>
    <w:rsid w:val="00345CB4"/>
    <w:rsid w:val="0034748B"/>
    <w:rsid w:val="00347BCF"/>
    <w:rsid w:val="00347D1E"/>
    <w:rsid w:val="00350253"/>
    <w:rsid w:val="00350CAD"/>
    <w:rsid w:val="00354237"/>
    <w:rsid w:val="003564BF"/>
    <w:rsid w:val="003600FE"/>
    <w:rsid w:val="00365F74"/>
    <w:rsid w:val="00372556"/>
    <w:rsid w:val="00375D42"/>
    <w:rsid w:val="00380AE5"/>
    <w:rsid w:val="00381CF9"/>
    <w:rsid w:val="003854F3"/>
    <w:rsid w:val="00386801"/>
    <w:rsid w:val="00390EE9"/>
    <w:rsid w:val="00391886"/>
    <w:rsid w:val="0039226A"/>
    <w:rsid w:val="0039554E"/>
    <w:rsid w:val="003A05EF"/>
    <w:rsid w:val="003A122B"/>
    <w:rsid w:val="003A2100"/>
    <w:rsid w:val="003A36FE"/>
    <w:rsid w:val="003B4F3A"/>
    <w:rsid w:val="003B5D84"/>
    <w:rsid w:val="003C1EF3"/>
    <w:rsid w:val="003C2882"/>
    <w:rsid w:val="003C3BF5"/>
    <w:rsid w:val="003C5E23"/>
    <w:rsid w:val="003C7871"/>
    <w:rsid w:val="003C7D09"/>
    <w:rsid w:val="003D069C"/>
    <w:rsid w:val="003D0C4A"/>
    <w:rsid w:val="003D0E74"/>
    <w:rsid w:val="003D4172"/>
    <w:rsid w:val="003D6438"/>
    <w:rsid w:val="003D6955"/>
    <w:rsid w:val="003D7646"/>
    <w:rsid w:val="003D7EDD"/>
    <w:rsid w:val="003E117B"/>
    <w:rsid w:val="003E1BFD"/>
    <w:rsid w:val="003F113A"/>
    <w:rsid w:val="003F241D"/>
    <w:rsid w:val="003F3E63"/>
    <w:rsid w:val="003F40F3"/>
    <w:rsid w:val="003F63A3"/>
    <w:rsid w:val="003F6662"/>
    <w:rsid w:val="00402403"/>
    <w:rsid w:val="00403052"/>
    <w:rsid w:val="004031CA"/>
    <w:rsid w:val="0040393D"/>
    <w:rsid w:val="0040546D"/>
    <w:rsid w:val="00406D04"/>
    <w:rsid w:val="00407480"/>
    <w:rsid w:val="00407A50"/>
    <w:rsid w:val="00414643"/>
    <w:rsid w:val="0041709D"/>
    <w:rsid w:val="00420A31"/>
    <w:rsid w:val="00425064"/>
    <w:rsid w:val="0042538C"/>
    <w:rsid w:val="004309CB"/>
    <w:rsid w:val="00434AF6"/>
    <w:rsid w:val="00437A5A"/>
    <w:rsid w:val="00441AE9"/>
    <w:rsid w:val="004421E5"/>
    <w:rsid w:val="0044221D"/>
    <w:rsid w:val="0044323E"/>
    <w:rsid w:val="004448E6"/>
    <w:rsid w:val="004452A6"/>
    <w:rsid w:val="0044796C"/>
    <w:rsid w:val="00452284"/>
    <w:rsid w:val="004541E4"/>
    <w:rsid w:val="004564A9"/>
    <w:rsid w:val="00457C8E"/>
    <w:rsid w:val="0046364A"/>
    <w:rsid w:val="0046633E"/>
    <w:rsid w:val="0046742B"/>
    <w:rsid w:val="00473295"/>
    <w:rsid w:val="00476568"/>
    <w:rsid w:val="00481487"/>
    <w:rsid w:val="004836D4"/>
    <w:rsid w:val="004856CA"/>
    <w:rsid w:val="00485B0B"/>
    <w:rsid w:val="00487E67"/>
    <w:rsid w:val="00490C43"/>
    <w:rsid w:val="00492E1A"/>
    <w:rsid w:val="00494842"/>
    <w:rsid w:val="00495914"/>
    <w:rsid w:val="0049705E"/>
    <w:rsid w:val="00497613"/>
    <w:rsid w:val="004A2010"/>
    <w:rsid w:val="004A2875"/>
    <w:rsid w:val="004A298F"/>
    <w:rsid w:val="004A319E"/>
    <w:rsid w:val="004A34A0"/>
    <w:rsid w:val="004A4936"/>
    <w:rsid w:val="004A5D9A"/>
    <w:rsid w:val="004A68B6"/>
    <w:rsid w:val="004A7E06"/>
    <w:rsid w:val="004B01D5"/>
    <w:rsid w:val="004B241A"/>
    <w:rsid w:val="004B2BF2"/>
    <w:rsid w:val="004B4C95"/>
    <w:rsid w:val="004B5F4B"/>
    <w:rsid w:val="004C1AAD"/>
    <w:rsid w:val="004C347F"/>
    <w:rsid w:val="004C4689"/>
    <w:rsid w:val="004C57C9"/>
    <w:rsid w:val="004C72AF"/>
    <w:rsid w:val="004D47B0"/>
    <w:rsid w:val="004D49D0"/>
    <w:rsid w:val="004D4A56"/>
    <w:rsid w:val="004D6019"/>
    <w:rsid w:val="004E0028"/>
    <w:rsid w:val="004E0200"/>
    <w:rsid w:val="004E0E4D"/>
    <w:rsid w:val="004E1424"/>
    <w:rsid w:val="004E17A8"/>
    <w:rsid w:val="004E1CD5"/>
    <w:rsid w:val="004E574F"/>
    <w:rsid w:val="004F17A8"/>
    <w:rsid w:val="004F22C5"/>
    <w:rsid w:val="004F306B"/>
    <w:rsid w:val="004F3C1A"/>
    <w:rsid w:val="004F551D"/>
    <w:rsid w:val="004F57C8"/>
    <w:rsid w:val="0050017B"/>
    <w:rsid w:val="005008A8"/>
    <w:rsid w:val="00503CC0"/>
    <w:rsid w:val="00504BFA"/>
    <w:rsid w:val="005136A5"/>
    <w:rsid w:val="00517D0C"/>
    <w:rsid w:val="00520872"/>
    <w:rsid w:val="0052117C"/>
    <w:rsid w:val="005212B9"/>
    <w:rsid w:val="005223B1"/>
    <w:rsid w:val="005227E6"/>
    <w:rsid w:val="005239FA"/>
    <w:rsid w:val="00525D92"/>
    <w:rsid w:val="00526B7B"/>
    <w:rsid w:val="0053056D"/>
    <w:rsid w:val="005308CE"/>
    <w:rsid w:val="00531ACA"/>
    <w:rsid w:val="0053318C"/>
    <w:rsid w:val="00534733"/>
    <w:rsid w:val="00534778"/>
    <w:rsid w:val="00536A83"/>
    <w:rsid w:val="0053781A"/>
    <w:rsid w:val="00540409"/>
    <w:rsid w:val="0054197B"/>
    <w:rsid w:val="00544911"/>
    <w:rsid w:val="00545F92"/>
    <w:rsid w:val="005462F6"/>
    <w:rsid w:val="0054700E"/>
    <w:rsid w:val="00551847"/>
    <w:rsid w:val="00564139"/>
    <w:rsid w:val="005650E2"/>
    <w:rsid w:val="0056629C"/>
    <w:rsid w:val="00567145"/>
    <w:rsid w:val="00570A70"/>
    <w:rsid w:val="005716C9"/>
    <w:rsid w:val="00571724"/>
    <w:rsid w:val="0057192B"/>
    <w:rsid w:val="00572F77"/>
    <w:rsid w:val="00573261"/>
    <w:rsid w:val="0057439C"/>
    <w:rsid w:val="0057647C"/>
    <w:rsid w:val="0057703F"/>
    <w:rsid w:val="005772BE"/>
    <w:rsid w:val="0058112E"/>
    <w:rsid w:val="00581404"/>
    <w:rsid w:val="00581924"/>
    <w:rsid w:val="00581C3C"/>
    <w:rsid w:val="00581CF4"/>
    <w:rsid w:val="00582908"/>
    <w:rsid w:val="00583A82"/>
    <w:rsid w:val="005844AA"/>
    <w:rsid w:val="00584ACB"/>
    <w:rsid w:val="00584D79"/>
    <w:rsid w:val="00585313"/>
    <w:rsid w:val="00590976"/>
    <w:rsid w:val="00591263"/>
    <w:rsid w:val="00591835"/>
    <w:rsid w:val="00591986"/>
    <w:rsid w:val="00592CED"/>
    <w:rsid w:val="0059326F"/>
    <w:rsid w:val="00593622"/>
    <w:rsid w:val="00594ADF"/>
    <w:rsid w:val="00594BD1"/>
    <w:rsid w:val="005957A2"/>
    <w:rsid w:val="00597547"/>
    <w:rsid w:val="00597E66"/>
    <w:rsid w:val="005A3D14"/>
    <w:rsid w:val="005A49EF"/>
    <w:rsid w:val="005A61CD"/>
    <w:rsid w:val="005A7BBE"/>
    <w:rsid w:val="005A7EC0"/>
    <w:rsid w:val="005B0127"/>
    <w:rsid w:val="005B4A35"/>
    <w:rsid w:val="005B6B08"/>
    <w:rsid w:val="005B7148"/>
    <w:rsid w:val="005B742B"/>
    <w:rsid w:val="005B7A35"/>
    <w:rsid w:val="005C09C3"/>
    <w:rsid w:val="005C4554"/>
    <w:rsid w:val="005C4B73"/>
    <w:rsid w:val="005C67F7"/>
    <w:rsid w:val="005D3B81"/>
    <w:rsid w:val="005D72A5"/>
    <w:rsid w:val="005E1D2B"/>
    <w:rsid w:val="005E7074"/>
    <w:rsid w:val="005F1611"/>
    <w:rsid w:val="005F2BAF"/>
    <w:rsid w:val="005F2EFF"/>
    <w:rsid w:val="005F5E27"/>
    <w:rsid w:val="00600D93"/>
    <w:rsid w:val="00601154"/>
    <w:rsid w:val="006039FD"/>
    <w:rsid w:val="0060436B"/>
    <w:rsid w:val="00605218"/>
    <w:rsid w:val="00606BD7"/>
    <w:rsid w:val="00606C10"/>
    <w:rsid w:val="00607099"/>
    <w:rsid w:val="0061021E"/>
    <w:rsid w:val="00610D8C"/>
    <w:rsid w:val="006116F5"/>
    <w:rsid w:val="006123C0"/>
    <w:rsid w:val="0061354B"/>
    <w:rsid w:val="006136A7"/>
    <w:rsid w:val="006166DC"/>
    <w:rsid w:val="006169D3"/>
    <w:rsid w:val="00617E72"/>
    <w:rsid w:val="00622CB9"/>
    <w:rsid w:val="00627984"/>
    <w:rsid w:val="00631D20"/>
    <w:rsid w:val="00632BA1"/>
    <w:rsid w:val="0063300C"/>
    <w:rsid w:val="0063300E"/>
    <w:rsid w:val="00633C7D"/>
    <w:rsid w:val="006367FD"/>
    <w:rsid w:val="00645DFE"/>
    <w:rsid w:val="006464FA"/>
    <w:rsid w:val="00647F84"/>
    <w:rsid w:val="00650C36"/>
    <w:rsid w:val="00650CCE"/>
    <w:rsid w:val="00651A5B"/>
    <w:rsid w:val="0065341E"/>
    <w:rsid w:val="00654919"/>
    <w:rsid w:val="00655736"/>
    <w:rsid w:val="00656999"/>
    <w:rsid w:val="00656B14"/>
    <w:rsid w:val="00657255"/>
    <w:rsid w:val="00661DEB"/>
    <w:rsid w:val="00662896"/>
    <w:rsid w:val="00663B8D"/>
    <w:rsid w:val="00667086"/>
    <w:rsid w:val="0067677A"/>
    <w:rsid w:val="00677880"/>
    <w:rsid w:val="00680F4A"/>
    <w:rsid w:val="00681770"/>
    <w:rsid w:val="00681802"/>
    <w:rsid w:val="006831D7"/>
    <w:rsid w:val="006845F6"/>
    <w:rsid w:val="006863CF"/>
    <w:rsid w:val="006878DB"/>
    <w:rsid w:val="0069019D"/>
    <w:rsid w:val="00690296"/>
    <w:rsid w:val="00694057"/>
    <w:rsid w:val="00695B05"/>
    <w:rsid w:val="0069688D"/>
    <w:rsid w:val="00696C8D"/>
    <w:rsid w:val="00697466"/>
    <w:rsid w:val="006A1F80"/>
    <w:rsid w:val="006A27C9"/>
    <w:rsid w:val="006A2AC2"/>
    <w:rsid w:val="006A3617"/>
    <w:rsid w:val="006A45BB"/>
    <w:rsid w:val="006A6E59"/>
    <w:rsid w:val="006A725F"/>
    <w:rsid w:val="006B29DA"/>
    <w:rsid w:val="006B4BE6"/>
    <w:rsid w:val="006B50BF"/>
    <w:rsid w:val="006B5DC0"/>
    <w:rsid w:val="006C030B"/>
    <w:rsid w:val="006C2D50"/>
    <w:rsid w:val="006C537D"/>
    <w:rsid w:val="006C5469"/>
    <w:rsid w:val="006D5D7E"/>
    <w:rsid w:val="006D6A5B"/>
    <w:rsid w:val="006D6BBD"/>
    <w:rsid w:val="006D7E8D"/>
    <w:rsid w:val="006E0920"/>
    <w:rsid w:val="006E263B"/>
    <w:rsid w:val="006E46E4"/>
    <w:rsid w:val="006E7478"/>
    <w:rsid w:val="006F0545"/>
    <w:rsid w:val="006F3D88"/>
    <w:rsid w:val="006F3E2C"/>
    <w:rsid w:val="006F5285"/>
    <w:rsid w:val="006F7D5D"/>
    <w:rsid w:val="00700986"/>
    <w:rsid w:val="00703845"/>
    <w:rsid w:val="007079A2"/>
    <w:rsid w:val="00707A71"/>
    <w:rsid w:val="00710AB1"/>
    <w:rsid w:val="0071105D"/>
    <w:rsid w:val="007148DC"/>
    <w:rsid w:val="00716963"/>
    <w:rsid w:val="00717A0B"/>
    <w:rsid w:val="00717DA5"/>
    <w:rsid w:val="00721F34"/>
    <w:rsid w:val="007245A3"/>
    <w:rsid w:val="00724FA1"/>
    <w:rsid w:val="007256F5"/>
    <w:rsid w:val="007261F0"/>
    <w:rsid w:val="00727BE3"/>
    <w:rsid w:val="00730541"/>
    <w:rsid w:val="00730DAA"/>
    <w:rsid w:val="00736193"/>
    <w:rsid w:val="00744301"/>
    <w:rsid w:val="00744484"/>
    <w:rsid w:val="007454E8"/>
    <w:rsid w:val="007456F4"/>
    <w:rsid w:val="00746128"/>
    <w:rsid w:val="00747566"/>
    <w:rsid w:val="007477E2"/>
    <w:rsid w:val="00750434"/>
    <w:rsid w:val="00753057"/>
    <w:rsid w:val="00753375"/>
    <w:rsid w:val="00756EAE"/>
    <w:rsid w:val="00760A85"/>
    <w:rsid w:val="00762619"/>
    <w:rsid w:val="0076277B"/>
    <w:rsid w:val="00765F81"/>
    <w:rsid w:val="00770579"/>
    <w:rsid w:val="00771052"/>
    <w:rsid w:val="00772039"/>
    <w:rsid w:val="00772475"/>
    <w:rsid w:val="00773188"/>
    <w:rsid w:val="00774779"/>
    <w:rsid w:val="00775DAD"/>
    <w:rsid w:val="00775E32"/>
    <w:rsid w:val="00781DF0"/>
    <w:rsid w:val="00782ABA"/>
    <w:rsid w:val="00782EDC"/>
    <w:rsid w:val="00783782"/>
    <w:rsid w:val="00783C2F"/>
    <w:rsid w:val="00784A8E"/>
    <w:rsid w:val="00784B8C"/>
    <w:rsid w:val="00785B11"/>
    <w:rsid w:val="007879E1"/>
    <w:rsid w:val="007907E3"/>
    <w:rsid w:val="00791CC2"/>
    <w:rsid w:val="00792DFD"/>
    <w:rsid w:val="00794168"/>
    <w:rsid w:val="00796936"/>
    <w:rsid w:val="007A260D"/>
    <w:rsid w:val="007A306A"/>
    <w:rsid w:val="007A4D01"/>
    <w:rsid w:val="007B246D"/>
    <w:rsid w:val="007B7755"/>
    <w:rsid w:val="007C182B"/>
    <w:rsid w:val="007C3AA3"/>
    <w:rsid w:val="007D2909"/>
    <w:rsid w:val="007D7D11"/>
    <w:rsid w:val="007E17B3"/>
    <w:rsid w:val="007E23E1"/>
    <w:rsid w:val="007E4022"/>
    <w:rsid w:val="007E6560"/>
    <w:rsid w:val="007E6660"/>
    <w:rsid w:val="007E79B2"/>
    <w:rsid w:val="007F0796"/>
    <w:rsid w:val="007F2274"/>
    <w:rsid w:val="007F2552"/>
    <w:rsid w:val="007F3ACF"/>
    <w:rsid w:val="007F4A8E"/>
    <w:rsid w:val="007F6487"/>
    <w:rsid w:val="007F7735"/>
    <w:rsid w:val="00804E24"/>
    <w:rsid w:val="008069DF"/>
    <w:rsid w:val="00812290"/>
    <w:rsid w:val="00813F8A"/>
    <w:rsid w:val="008140A0"/>
    <w:rsid w:val="008144CE"/>
    <w:rsid w:val="00814E34"/>
    <w:rsid w:val="00816F27"/>
    <w:rsid w:val="00817F2B"/>
    <w:rsid w:val="008200C1"/>
    <w:rsid w:val="00822AFC"/>
    <w:rsid w:val="00823A11"/>
    <w:rsid w:val="008253C5"/>
    <w:rsid w:val="00827F77"/>
    <w:rsid w:val="008300C5"/>
    <w:rsid w:val="008317E8"/>
    <w:rsid w:val="00831880"/>
    <w:rsid w:val="008342C3"/>
    <w:rsid w:val="00835538"/>
    <w:rsid w:val="00836A18"/>
    <w:rsid w:val="00846FE4"/>
    <w:rsid w:val="0085165F"/>
    <w:rsid w:val="00852E49"/>
    <w:rsid w:val="00853D81"/>
    <w:rsid w:val="0085405E"/>
    <w:rsid w:val="0085414A"/>
    <w:rsid w:val="00854FA3"/>
    <w:rsid w:val="008555EC"/>
    <w:rsid w:val="00855C61"/>
    <w:rsid w:val="00856BD9"/>
    <w:rsid w:val="00857E9F"/>
    <w:rsid w:val="00860DF0"/>
    <w:rsid w:val="0086269D"/>
    <w:rsid w:val="00862CF2"/>
    <w:rsid w:val="0086543A"/>
    <w:rsid w:val="00866A21"/>
    <w:rsid w:val="00870017"/>
    <w:rsid w:val="00871CD5"/>
    <w:rsid w:val="008724E5"/>
    <w:rsid w:val="00873CA6"/>
    <w:rsid w:val="00875B28"/>
    <w:rsid w:val="00877B23"/>
    <w:rsid w:val="00884A9D"/>
    <w:rsid w:val="0088512B"/>
    <w:rsid w:val="00890AB5"/>
    <w:rsid w:val="0089249D"/>
    <w:rsid w:val="00895880"/>
    <w:rsid w:val="008A0C78"/>
    <w:rsid w:val="008A1DF3"/>
    <w:rsid w:val="008A2B2D"/>
    <w:rsid w:val="008A3EA2"/>
    <w:rsid w:val="008A4E1E"/>
    <w:rsid w:val="008A7296"/>
    <w:rsid w:val="008B30AF"/>
    <w:rsid w:val="008B55DE"/>
    <w:rsid w:val="008B79CC"/>
    <w:rsid w:val="008C296C"/>
    <w:rsid w:val="008C3989"/>
    <w:rsid w:val="008C5869"/>
    <w:rsid w:val="008D04E6"/>
    <w:rsid w:val="008D0B29"/>
    <w:rsid w:val="008D20D7"/>
    <w:rsid w:val="008D2979"/>
    <w:rsid w:val="008D4305"/>
    <w:rsid w:val="008D554D"/>
    <w:rsid w:val="008D5952"/>
    <w:rsid w:val="008D6812"/>
    <w:rsid w:val="008D7BE8"/>
    <w:rsid w:val="008E00D2"/>
    <w:rsid w:val="008E0DD5"/>
    <w:rsid w:val="008E1A85"/>
    <w:rsid w:val="008E384C"/>
    <w:rsid w:val="008E3E48"/>
    <w:rsid w:val="008E54DB"/>
    <w:rsid w:val="008F0E2E"/>
    <w:rsid w:val="008F2F87"/>
    <w:rsid w:val="008F5C4E"/>
    <w:rsid w:val="008F66E6"/>
    <w:rsid w:val="00900CB4"/>
    <w:rsid w:val="00900E43"/>
    <w:rsid w:val="00902022"/>
    <w:rsid w:val="00905497"/>
    <w:rsid w:val="00906329"/>
    <w:rsid w:val="00907146"/>
    <w:rsid w:val="00907920"/>
    <w:rsid w:val="00910FD8"/>
    <w:rsid w:val="00914028"/>
    <w:rsid w:val="009163A7"/>
    <w:rsid w:val="0091741B"/>
    <w:rsid w:val="00924318"/>
    <w:rsid w:val="009265C6"/>
    <w:rsid w:val="00927EC3"/>
    <w:rsid w:val="00930805"/>
    <w:rsid w:val="009313FB"/>
    <w:rsid w:val="009364CE"/>
    <w:rsid w:val="009366FF"/>
    <w:rsid w:val="009408A4"/>
    <w:rsid w:val="009423F2"/>
    <w:rsid w:val="00942B6B"/>
    <w:rsid w:val="009448B3"/>
    <w:rsid w:val="009453CB"/>
    <w:rsid w:val="009466F7"/>
    <w:rsid w:val="00946D0B"/>
    <w:rsid w:val="00950C51"/>
    <w:rsid w:val="009513BA"/>
    <w:rsid w:val="009546C8"/>
    <w:rsid w:val="00954C1C"/>
    <w:rsid w:val="00955877"/>
    <w:rsid w:val="00955C28"/>
    <w:rsid w:val="00955C92"/>
    <w:rsid w:val="009561D0"/>
    <w:rsid w:val="00956CF8"/>
    <w:rsid w:val="00960EDF"/>
    <w:rsid w:val="009617B0"/>
    <w:rsid w:val="00961F25"/>
    <w:rsid w:val="00962219"/>
    <w:rsid w:val="00963952"/>
    <w:rsid w:val="009643F2"/>
    <w:rsid w:val="00966846"/>
    <w:rsid w:val="0097027E"/>
    <w:rsid w:val="00970D45"/>
    <w:rsid w:val="009723CF"/>
    <w:rsid w:val="00972ECE"/>
    <w:rsid w:val="00972FEF"/>
    <w:rsid w:val="00973E96"/>
    <w:rsid w:val="00974A14"/>
    <w:rsid w:val="0097547B"/>
    <w:rsid w:val="009831E0"/>
    <w:rsid w:val="00983E30"/>
    <w:rsid w:val="009840CB"/>
    <w:rsid w:val="0098525A"/>
    <w:rsid w:val="009852C5"/>
    <w:rsid w:val="009868D0"/>
    <w:rsid w:val="00995A6A"/>
    <w:rsid w:val="00997BFC"/>
    <w:rsid w:val="009A0C0B"/>
    <w:rsid w:val="009A1676"/>
    <w:rsid w:val="009A18CD"/>
    <w:rsid w:val="009A278E"/>
    <w:rsid w:val="009A2E25"/>
    <w:rsid w:val="009A3BEC"/>
    <w:rsid w:val="009A7E2A"/>
    <w:rsid w:val="009A7FCB"/>
    <w:rsid w:val="009B0EC2"/>
    <w:rsid w:val="009B44E3"/>
    <w:rsid w:val="009B4DFD"/>
    <w:rsid w:val="009B665A"/>
    <w:rsid w:val="009B6F90"/>
    <w:rsid w:val="009B787E"/>
    <w:rsid w:val="009C18A7"/>
    <w:rsid w:val="009C2A1F"/>
    <w:rsid w:val="009C5CEE"/>
    <w:rsid w:val="009D3B0A"/>
    <w:rsid w:val="009D5428"/>
    <w:rsid w:val="009D6830"/>
    <w:rsid w:val="009D69BC"/>
    <w:rsid w:val="009E0EA7"/>
    <w:rsid w:val="009E20FD"/>
    <w:rsid w:val="009E29CB"/>
    <w:rsid w:val="009E54D5"/>
    <w:rsid w:val="009E7A42"/>
    <w:rsid w:val="009F12E0"/>
    <w:rsid w:val="009F2F2D"/>
    <w:rsid w:val="009F356D"/>
    <w:rsid w:val="009F3972"/>
    <w:rsid w:val="009F6182"/>
    <w:rsid w:val="009F6713"/>
    <w:rsid w:val="009F6A0C"/>
    <w:rsid w:val="009F6C84"/>
    <w:rsid w:val="00A0076D"/>
    <w:rsid w:val="00A01F2E"/>
    <w:rsid w:val="00A04709"/>
    <w:rsid w:val="00A055A4"/>
    <w:rsid w:val="00A11619"/>
    <w:rsid w:val="00A12558"/>
    <w:rsid w:val="00A13903"/>
    <w:rsid w:val="00A13DAF"/>
    <w:rsid w:val="00A150EF"/>
    <w:rsid w:val="00A15B77"/>
    <w:rsid w:val="00A174E0"/>
    <w:rsid w:val="00A205D2"/>
    <w:rsid w:val="00A2226E"/>
    <w:rsid w:val="00A22BEB"/>
    <w:rsid w:val="00A25CE3"/>
    <w:rsid w:val="00A30E4C"/>
    <w:rsid w:val="00A310F3"/>
    <w:rsid w:val="00A3214B"/>
    <w:rsid w:val="00A341C3"/>
    <w:rsid w:val="00A3469B"/>
    <w:rsid w:val="00A34B7E"/>
    <w:rsid w:val="00A34ED5"/>
    <w:rsid w:val="00A35C24"/>
    <w:rsid w:val="00A360ED"/>
    <w:rsid w:val="00A41602"/>
    <w:rsid w:val="00A43844"/>
    <w:rsid w:val="00A45422"/>
    <w:rsid w:val="00A45DBF"/>
    <w:rsid w:val="00A47A14"/>
    <w:rsid w:val="00A52150"/>
    <w:rsid w:val="00A5490C"/>
    <w:rsid w:val="00A55250"/>
    <w:rsid w:val="00A555E2"/>
    <w:rsid w:val="00A6041E"/>
    <w:rsid w:val="00A63C0C"/>
    <w:rsid w:val="00A7130C"/>
    <w:rsid w:val="00A71896"/>
    <w:rsid w:val="00A73B0C"/>
    <w:rsid w:val="00A74D37"/>
    <w:rsid w:val="00A755A2"/>
    <w:rsid w:val="00A81529"/>
    <w:rsid w:val="00A82520"/>
    <w:rsid w:val="00A85FE5"/>
    <w:rsid w:val="00A867D7"/>
    <w:rsid w:val="00A86B2B"/>
    <w:rsid w:val="00A86C3B"/>
    <w:rsid w:val="00A87121"/>
    <w:rsid w:val="00A908E7"/>
    <w:rsid w:val="00A91BC3"/>
    <w:rsid w:val="00A9310F"/>
    <w:rsid w:val="00A94A82"/>
    <w:rsid w:val="00A94FFF"/>
    <w:rsid w:val="00A9779B"/>
    <w:rsid w:val="00AA3A0D"/>
    <w:rsid w:val="00AA48E0"/>
    <w:rsid w:val="00AA4E48"/>
    <w:rsid w:val="00AA60CC"/>
    <w:rsid w:val="00AA6660"/>
    <w:rsid w:val="00AA7AA4"/>
    <w:rsid w:val="00AB2226"/>
    <w:rsid w:val="00AB2675"/>
    <w:rsid w:val="00AB2C36"/>
    <w:rsid w:val="00AB6DDE"/>
    <w:rsid w:val="00AB70B6"/>
    <w:rsid w:val="00AB7608"/>
    <w:rsid w:val="00AB7C09"/>
    <w:rsid w:val="00AC1215"/>
    <w:rsid w:val="00AC2D7B"/>
    <w:rsid w:val="00AC2F5D"/>
    <w:rsid w:val="00AC2F76"/>
    <w:rsid w:val="00AC39E6"/>
    <w:rsid w:val="00AC67E4"/>
    <w:rsid w:val="00AD16B9"/>
    <w:rsid w:val="00AD1A86"/>
    <w:rsid w:val="00AD321B"/>
    <w:rsid w:val="00AD3ED0"/>
    <w:rsid w:val="00AD7A97"/>
    <w:rsid w:val="00AE0554"/>
    <w:rsid w:val="00AE103E"/>
    <w:rsid w:val="00AE35C2"/>
    <w:rsid w:val="00AE6EA1"/>
    <w:rsid w:val="00AE77E0"/>
    <w:rsid w:val="00AF0A07"/>
    <w:rsid w:val="00AF4AEC"/>
    <w:rsid w:val="00AF625E"/>
    <w:rsid w:val="00AF64D2"/>
    <w:rsid w:val="00AF6AAA"/>
    <w:rsid w:val="00AF741A"/>
    <w:rsid w:val="00B0076C"/>
    <w:rsid w:val="00B046FC"/>
    <w:rsid w:val="00B05CBB"/>
    <w:rsid w:val="00B063F0"/>
    <w:rsid w:val="00B06668"/>
    <w:rsid w:val="00B070B5"/>
    <w:rsid w:val="00B11970"/>
    <w:rsid w:val="00B139BE"/>
    <w:rsid w:val="00B1419F"/>
    <w:rsid w:val="00B159FB"/>
    <w:rsid w:val="00B20718"/>
    <w:rsid w:val="00B223C4"/>
    <w:rsid w:val="00B23299"/>
    <w:rsid w:val="00B24E21"/>
    <w:rsid w:val="00B24F44"/>
    <w:rsid w:val="00B24F7F"/>
    <w:rsid w:val="00B2686D"/>
    <w:rsid w:val="00B27514"/>
    <w:rsid w:val="00B275EC"/>
    <w:rsid w:val="00B30CB5"/>
    <w:rsid w:val="00B34357"/>
    <w:rsid w:val="00B35E39"/>
    <w:rsid w:val="00B3669C"/>
    <w:rsid w:val="00B40F86"/>
    <w:rsid w:val="00B422E6"/>
    <w:rsid w:val="00B426E1"/>
    <w:rsid w:val="00B4554D"/>
    <w:rsid w:val="00B458EC"/>
    <w:rsid w:val="00B45EF8"/>
    <w:rsid w:val="00B46C47"/>
    <w:rsid w:val="00B47472"/>
    <w:rsid w:val="00B47A4A"/>
    <w:rsid w:val="00B52338"/>
    <w:rsid w:val="00B55299"/>
    <w:rsid w:val="00B5772B"/>
    <w:rsid w:val="00B57EE0"/>
    <w:rsid w:val="00B61900"/>
    <w:rsid w:val="00B61CEF"/>
    <w:rsid w:val="00B674A7"/>
    <w:rsid w:val="00B67F85"/>
    <w:rsid w:val="00B70B59"/>
    <w:rsid w:val="00B72170"/>
    <w:rsid w:val="00B7277C"/>
    <w:rsid w:val="00B73914"/>
    <w:rsid w:val="00B764B0"/>
    <w:rsid w:val="00B808C5"/>
    <w:rsid w:val="00B81195"/>
    <w:rsid w:val="00B8203F"/>
    <w:rsid w:val="00B83639"/>
    <w:rsid w:val="00B84518"/>
    <w:rsid w:val="00B8568C"/>
    <w:rsid w:val="00B87D24"/>
    <w:rsid w:val="00B90FE0"/>
    <w:rsid w:val="00B93013"/>
    <w:rsid w:val="00B9449E"/>
    <w:rsid w:val="00BA0A8A"/>
    <w:rsid w:val="00BA0B12"/>
    <w:rsid w:val="00BA16CF"/>
    <w:rsid w:val="00BA241A"/>
    <w:rsid w:val="00BA3FD1"/>
    <w:rsid w:val="00BA51A1"/>
    <w:rsid w:val="00BA6B91"/>
    <w:rsid w:val="00BB04AF"/>
    <w:rsid w:val="00BB1091"/>
    <w:rsid w:val="00BB425C"/>
    <w:rsid w:val="00BC064A"/>
    <w:rsid w:val="00BC121D"/>
    <w:rsid w:val="00BC2684"/>
    <w:rsid w:val="00BC2E2F"/>
    <w:rsid w:val="00BC461C"/>
    <w:rsid w:val="00BC4ED7"/>
    <w:rsid w:val="00BC6C18"/>
    <w:rsid w:val="00BD02E3"/>
    <w:rsid w:val="00BD1B58"/>
    <w:rsid w:val="00BD3324"/>
    <w:rsid w:val="00BD3611"/>
    <w:rsid w:val="00BD52C9"/>
    <w:rsid w:val="00BD550F"/>
    <w:rsid w:val="00BD5DD7"/>
    <w:rsid w:val="00BD79A6"/>
    <w:rsid w:val="00BE39E5"/>
    <w:rsid w:val="00BE6354"/>
    <w:rsid w:val="00BF31BA"/>
    <w:rsid w:val="00BF4029"/>
    <w:rsid w:val="00BF591B"/>
    <w:rsid w:val="00BF6340"/>
    <w:rsid w:val="00C015E4"/>
    <w:rsid w:val="00C024A0"/>
    <w:rsid w:val="00C06432"/>
    <w:rsid w:val="00C06DCB"/>
    <w:rsid w:val="00C10ADB"/>
    <w:rsid w:val="00C1325F"/>
    <w:rsid w:val="00C138D1"/>
    <w:rsid w:val="00C176C2"/>
    <w:rsid w:val="00C21855"/>
    <w:rsid w:val="00C23A97"/>
    <w:rsid w:val="00C26976"/>
    <w:rsid w:val="00C27A48"/>
    <w:rsid w:val="00C27B4B"/>
    <w:rsid w:val="00C332D2"/>
    <w:rsid w:val="00C34476"/>
    <w:rsid w:val="00C34CFA"/>
    <w:rsid w:val="00C35E73"/>
    <w:rsid w:val="00C459DF"/>
    <w:rsid w:val="00C47616"/>
    <w:rsid w:val="00C51939"/>
    <w:rsid w:val="00C52762"/>
    <w:rsid w:val="00C5776D"/>
    <w:rsid w:val="00C6273A"/>
    <w:rsid w:val="00C62A3E"/>
    <w:rsid w:val="00C64855"/>
    <w:rsid w:val="00C64CF7"/>
    <w:rsid w:val="00C67643"/>
    <w:rsid w:val="00C705DF"/>
    <w:rsid w:val="00C70E1B"/>
    <w:rsid w:val="00C70EA7"/>
    <w:rsid w:val="00C72314"/>
    <w:rsid w:val="00C73F7D"/>
    <w:rsid w:val="00C7433F"/>
    <w:rsid w:val="00C7516E"/>
    <w:rsid w:val="00C75770"/>
    <w:rsid w:val="00C81314"/>
    <w:rsid w:val="00C83043"/>
    <w:rsid w:val="00C85A8B"/>
    <w:rsid w:val="00C85E1C"/>
    <w:rsid w:val="00C8616D"/>
    <w:rsid w:val="00C8772B"/>
    <w:rsid w:val="00C906AF"/>
    <w:rsid w:val="00C93115"/>
    <w:rsid w:val="00C93F54"/>
    <w:rsid w:val="00CA07D9"/>
    <w:rsid w:val="00CA0C03"/>
    <w:rsid w:val="00CA431E"/>
    <w:rsid w:val="00CA54BA"/>
    <w:rsid w:val="00CA56BB"/>
    <w:rsid w:val="00CA5901"/>
    <w:rsid w:val="00CB00A0"/>
    <w:rsid w:val="00CB04AA"/>
    <w:rsid w:val="00CB0542"/>
    <w:rsid w:val="00CB3243"/>
    <w:rsid w:val="00CB3985"/>
    <w:rsid w:val="00CC1DD8"/>
    <w:rsid w:val="00CC5B47"/>
    <w:rsid w:val="00CC7A38"/>
    <w:rsid w:val="00CC7CD4"/>
    <w:rsid w:val="00CD279D"/>
    <w:rsid w:val="00CD3246"/>
    <w:rsid w:val="00CD56E9"/>
    <w:rsid w:val="00CD5853"/>
    <w:rsid w:val="00CD5AB1"/>
    <w:rsid w:val="00CD643D"/>
    <w:rsid w:val="00CD7D2E"/>
    <w:rsid w:val="00CE0153"/>
    <w:rsid w:val="00CE20F7"/>
    <w:rsid w:val="00CE52D8"/>
    <w:rsid w:val="00CF736F"/>
    <w:rsid w:val="00D0045F"/>
    <w:rsid w:val="00D00B2B"/>
    <w:rsid w:val="00D00D28"/>
    <w:rsid w:val="00D02ADC"/>
    <w:rsid w:val="00D05DE7"/>
    <w:rsid w:val="00D06D30"/>
    <w:rsid w:val="00D10BB5"/>
    <w:rsid w:val="00D12E5F"/>
    <w:rsid w:val="00D132C6"/>
    <w:rsid w:val="00D15D80"/>
    <w:rsid w:val="00D223FA"/>
    <w:rsid w:val="00D22E82"/>
    <w:rsid w:val="00D22F46"/>
    <w:rsid w:val="00D24877"/>
    <w:rsid w:val="00D24F67"/>
    <w:rsid w:val="00D262B7"/>
    <w:rsid w:val="00D31855"/>
    <w:rsid w:val="00D33BAA"/>
    <w:rsid w:val="00D33FC5"/>
    <w:rsid w:val="00D35E60"/>
    <w:rsid w:val="00D36BD0"/>
    <w:rsid w:val="00D40637"/>
    <w:rsid w:val="00D40BF4"/>
    <w:rsid w:val="00D51806"/>
    <w:rsid w:val="00D5379F"/>
    <w:rsid w:val="00D54F3C"/>
    <w:rsid w:val="00D5586C"/>
    <w:rsid w:val="00D56D00"/>
    <w:rsid w:val="00D57EF9"/>
    <w:rsid w:val="00D603EB"/>
    <w:rsid w:val="00D60FF6"/>
    <w:rsid w:val="00D61EBE"/>
    <w:rsid w:val="00D64523"/>
    <w:rsid w:val="00D645C7"/>
    <w:rsid w:val="00D656B6"/>
    <w:rsid w:val="00D8146A"/>
    <w:rsid w:val="00D8250F"/>
    <w:rsid w:val="00D82589"/>
    <w:rsid w:val="00D83BB4"/>
    <w:rsid w:val="00D83CD4"/>
    <w:rsid w:val="00D86C7E"/>
    <w:rsid w:val="00D86CC7"/>
    <w:rsid w:val="00D95C4C"/>
    <w:rsid w:val="00D9627B"/>
    <w:rsid w:val="00D96528"/>
    <w:rsid w:val="00D96C76"/>
    <w:rsid w:val="00DA0AC6"/>
    <w:rsid w:val="00DA2D80"/>
    <w:rsid w:val="00DA36A9"/>
    <w:rsid w:val="00DA36ED"/>
    <w:rsid w:val="00DA5CA3"/>
    <w:rsid w:val="00DB7ACC"/>
    <w:rsid w:val="00DC2204"/>
    <w:rsid w:val="00DC2533"/>
    <w:rsid w:val="00DC35F2"/>
    <w:rsid w:val="00DC6EBF"/>
    <w:rsid w:val="00DC6FD4"/>
    <w:rsid w:val="00DD0120"/>
    <w:rsid w:val="00DD0482"/>
    <w:rsid w:val="00DD0FA3"/>
    <w:rsid w:val="00DD3E7D"/>
    <w:rsid w:val="00DD6116"/>
    <w:rsid w:val="00DE2663"/>
    <w:rsid w:val="00DE30EB"/>
    <w:rsid w:val="00DE34F1"/>
    <w:rsid w:val="00DE3584"/>
    <w:rsid w:val="00DE3DDA"/>
    <w:rsid w:val="00DE594F"/>
    <w:rsid w:val="00DE6160"/>
    <w:rsid w:val="00DF12BC"/>
    <w:rsid w:val="00DF25E1"/>
    <w:rsid w:val="00DF3C83"/>
    <w:rsid w:val="00DF3D62"/>
    <w:rsid w:val="00DF486A"/>
    <w:rsid w:val="00DF4942"/>
    <w:rsid w:val="00DF5196"/>
    <w:rsid w:val="00DF56E2"/>
    <w:rsid w:val="00E00CE4"/>
    <w:rsid w:val="00E01419"/>
    <w:rsid w:val="00E01E12"/>
    <w:rsid w:val="00E05561"/>
    <w:rsid w:val="00E134A2"/>
    <w:rsid w:val="00E13EA6"/>
    <w:rsid w:val="00E153A5"/>
    <w:rsid w:val="00E20DFA"/>
    <w:rsid w:val="00E21305"/>
    <w:rsid w:val="00E21F54"/>
    <w:rsid w:val="00E222F6"/>
    <w:rsid w:val="00E22A2D"/>
    <w:rsid w:val="00E244E1"/>
    <w:rsid w:val="00E27837"/>
    <w:rsid w:val="00E27BD2"/>
    <w:rsid w:val="00E3165C"/>
    <w:rsid w:val="00E34152"/>
    <w:rsid w:val="00E362C5"/>
    <w:rsid w:val="00E36BD3"/>
    <w:rsid w:val="00E36EC7"/>
    <w:rsid w:val="00E4150C"/>
    <w:rsid w:val="00E46430"/>
    <w:rsid w:val="00E466B8"/>
    <w:rsid w:val="00E4717C"/>
    <w:rsid w:val="00E476B3"/>
    <w:rsid w:val="00E51376"/>
    <w:rsid w:val="00E53943"/>
    <w:rsid w:val="00E55B9D"/>
    <w:rsid w:val="00E627B1"/>
    <w:rsid w:val="00E6397B"/>
    <w:rsid w:val="00E67950"/>
    <w:rsid w:val="00E70169"/>
    <w:rsid w:val="00E7413C"/>
    <w:rsid w:val="00E77592"/>
    <w:rsid w:val="00E80A34"/>
    <w:rsid w:val="00E908E0"/>
    <w:rsid w:val="00E9376C"/>
    <w:rsid w:val="00E951FF"/>
    <w:rsid w:val="00E953A3"/>
    <w:rsid w:val="00E95AE2"/>
    <w:rsid w:val="00EA0346"/>
    <w:rsid w:val="00EA272A"/>
    <w:rsid w:val="00EA335E"/>
    <w:rsid w:val="00EA4C53"/>
    <w:rsid w:val="00EA528C"/>
    <w:rsid w:val="00EA580C"/>
    <w:rsid w:val="00EA604C"/>
    <w:rsid w:val="00EB08AE"/>
    <w:rsid w:val="00EB6DBA"/>
    <w:rsid w:val="00EB762A"/>
    <w:rsid w:val="00EC39B1"/>
    <w:rsid w:val="00EC42E3"/>
    <w:rsid w:val="00EC6F8D"/>
    <w:rsid w:val="00EC7C0F"/>
    <w:rsid w:val="00ED0E64"/>
    <w:rsid w:val="00ED7B31"/>
    <w:rsid w:val="00EE3BA5"/>
    <w:rsid w:val="00EE4002"/>
    <w:rsid w:val="00EE4425"/>
    <w:rsid w:val="00EE49F4"/>
    <w:rsid w:val="00EE4C57"/>
    <w:rsid w:val="00EF05BD"/>
    <w:rsid w:val="00EF1EE0"/>
    <w:rsid w:val="00EF34E2"/>
    <w:rsid w:val="00EF3E78"/>
    <w:rsid w:val="00F003E6"/>
    <w:rsid w:val="00F040CF"/>
    <w:rsid w:val="00F05EC5"/>
    <w:rsid w:val="00F0618A"/>
    <w:rsid w:val="00F110E4"/>
    <w:rsid w:val="00F11DB1"/>
    <w:rsid w:val="00F128F9"/>
    <w:rsid w:val="00F143F7"/>
    <w:rsid w:val="00F14D58"/>
    <w:rsid w:val="00F1600C"/>
    <w:rsid w:val="00F23E21"/>
    <w:rsid w:val="00F24BAA"/>
    <w:rsid w:val="00F25280"/>
    <w:rsid w:val="00F30DC6"/>
    <w:rsid w:val="00F32600"/>
    <w:rsid w:val="00F32C23"/>
    <w:rsid w:val="00F33CC7"/>
    <w:rsid w:val="00F35BBB"/>
    <w:rsid w:val="00F407DD"/>
    <w:rsid w:val="00F425C4"/>
    <w:rsid w:val="00F42E26"/>
    <w:rsid w:val="00F459DF"/>
    <w:rsid w:val="00F45E72"/>
    <w:rsid w:val="00F51684"/>
    <w:rsid w:val="00F53DE9"/>
    <w:rsid w:val="00F53EE0"/>
    <w:rsid w:val="00F56369"/>
    <w:rsid w:val="00F5641B"/>
    <w:rsid w:val="00F56F35"/>
    <w:rsid w:val="00F576CB"/>
    <w:rsid w:val="00F57995"/>
    <w:rsid w:val="00F60DBA"/>
    <w:rsid w:val="00F60E7C"/>
    <w:rsid w:val="00F65B31"/>
    <w:rsid w:val="00F666C3"/>
    <w:rsid w:val="00F7035D"/>
    <w:rsid w:val="00F71A02"/>
    <w:rsid w:val="00F73389"/>
    <w:rsid w:val="00F82711"/>
    <w:rsid w:val="00F83D69"/>
    <w:rsid w:val="00F85447"/>
    <w:rsid w:val="00F9019D"/>
    <w:rsid w:val="00F90205"/>
    <w:rsid w:val="00F93EF2"/>
    <w:rsid w:val="00F95E63"/>
    <w:rsid w:val="00F963C1"/>
    <w:rsid w:val="00F97D5B"/>
    <w:rsid w:val="00F97F79"/>
    <w:rsid w:val="00FA0D63"/>
    <w:rsid w:val="00FA13BC"/>
    <w:rsid w:val="00FA4117"/>
    <w:rsid w:val="00FA53C9"/>
    <w:rsid w:val="00FA5AFE"/>
    <w:rsid w:val="00FA7C26"/>
    <w:rsid w:val="00FB3425"/>
    <w:rsid w:val="00FB5CB7"/>
    <w:rsid w:val="00FB6181"/>
    <w:rsid w:val="00FB735A"/>
    <w:rsid w:val="00FC0A9E"/>
    <w:rsid w:val="00FC18D7"/>
    <w:rsid w:val="00FC7347"/>
    <w:rsid w:val="00FD0013"/>
    <w:rsid w:val="00FD1226"/>
    <w:rsid w:val="00FD128A"/>
    <w:rsid w:val="00FD2651"/>
    <w:rsid w:val="00FD307A"/>
    <w:rsid w:val="00FD36A4"/>
    <w:rsid w:val="00FD3C5F"/>
    <w:rsid w:val="00FD4331"/>
    <w:rsid w:val="00FD4562"/>
    <w:rsid w:val="00FD53CA"/>
    <w:rsid w:val="00FD560B"/>
    <w:rsid w:val="00FE1FDC"/>
    <w:rsid w:val="00FE6506"/>
    <w:rsid w:val="00FE7531"/>
    <w:rsid w:val="00FF1728"/>
    <w:rsid w:val="00FF1F47"/>
    <w:rsid w:val="00FF4830"/>
    <w:rsid w:val="00FF7A8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5512CB1"/>
  <w15:docId w15:val="{C9D4F112-4423-4F5C-97D3-5A1EC71B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1">
    <w:name w:val="heading 1"/>
    <w:basedOn w:val="Normal"/>
    <w:link w:val="Titre1Car"/>
    <w:uiPriority w:val="9"/>
    <w:qFormat/>
    <w:rsid w:val="00FA13BC"/>
    <w:pPr>
      <w:spacing w:before="100" w:beforeAutospacing="1" w:after="100" w:afterAutospacing="1"/>
      <w:outlineLvl w:val="0"/>
    </w:pPr>
    <w:rPr>
      <w:b/>
      <w:bCs/>
      <w:kern w:val="36"/>
      <w:sz w:val="48"/>
      <w:szCs w:val="48"/>
      <w:lang w:val="en-US" w:eastAsia="en-US"/>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
    <w:semiHidden/>
    <w:unhideWhenUsed/>
    <w:rsid w:val="00570A70"/>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character" w:styleId="Lienhypertexte">
    <w:name w:val="Hyperlink"/>
    <w:uiPriority w:val="99"/>
    <w:unhideWhenUsed/>
    <w:rsid w:val="00F85447"/>
    <w:rPr>
      <w:color w:val="0000FF"/>
      <w:u w:val="single"/>
    </w:rPr>
  </w:style>
  <w:style w:type="character" w:styleId="Lienhypertextesuivivisit">
    <w:name w:val="FollowedHyperlink"/>
    <w:basedOn w:val="Policepardfaut"/>
    <w:uiPriority w:val="99"/>
    <w:semiHidden/>
    <w:unhideWhenUsed/>
    <w:rsid w:val="00F85447"/>
    <w:rPr>
      <w:color w:val="800080" w:themeColor="followedHyperlink"/>
      <w:u w:val="single"/>
    </w:rPr>
  </w:style>
  <w:style w:type="paragraph" w:customStyle="1" w:styleId="Para">
    <w:name w:val="Para"/>
    <w:basedOn w:val="Normal"/>
    <w:link w:val="ParaChar"/>
    <w:qFormat/>
    <w:rsid w:val="00116F47"/>
    <w:pPr>
      <w:numPr>
        <w:numId w:val="15"/>
      </w:numPr>
      <w:spacing w:after="120" w:line="240" w:lineRule="exact"/>
      <w:jc w:val="both"/>
    </w:pPr>
    <w:rPr>
      <w:rFonts w:ascii="Arial" w:eastAsia="SimSun" w:hAnsi="Arial"/>
      <w:sz w:val="20"/>
      <w:szCs w:val="20"/>
    </w:rPr>
  </w:style>
  <w:style w:type="character" w:styleId="Marquedecommentaire">
    <w:name w:val="annotation reference"/>
    <w:basedOn w:val="Policepardfaut"/>
    <w:uiPriority w:val="99"/>
    <w:semiHidden/>
    <w:unhideWhenUsed/>
    <w:rsid w:val="00551847"/>
    <w:rPr>
      <w:sz w:val="16"/>
      <w:szCs w:val="16"/>
    </w:rPr>
  </w:style>
  <w:style w:type="paragraph" w:styleId="Commentaire">
    <w:name w:val="annotation text"/>
    <w:basedOn w:val="Normal"/>
    <w:link w:val="CommentaireCar"/>
    <w:uiPriority w:val="99"/>
    <w:unhideWhenUsed/>
    <w:rsid w:val="00551847"/>
    <w:pPr>
      <w:spacing w:after="160"/>
    </w:pPr>
    <w:rPr>
      <w:rFonts w:asciiTheme="minorHAnsi" w:eastAsiaTheme="minorHAnsi" w:hAnsiTheme="minorHAnsi" w:cstheme="minorBidi"/>
      <w:sz w:val="20"/>
      <w:szCs w:val="20"/>
      <w:lang w:val="en-US" w:eastAsia="en-US"/>
    </w:rPr>
  </w:style>
  <w:style w:type="character" w:customStyle="1" w:styleId="CommentaireCar">
    <w:name w:val="Commentaire Car"/>
    <w:basedOn w:val="Policepardfaut"/>
    <w:link w:val="Commentaire"/>
    <w:uiPriority w:val="99"/>
    <w:rsid w:val="00551847"/>
    <w:rPr>
      <w:rFonts w:asciiTheme="minorHAnsi" w:eastAsiaTheme="minorHAnsi" w:hAnsiTheme="minorHAnsi" w:cstheme="minorBidi"/>
      <w:lang w:val="en-US" w:eastAsia="en-US"/>
    </w:rPr>
  </w:style>
  <w:style w:type="paragraph" w:styleId="Objetducommentaire">
    <w:name w:val="annotation subject"/>
    <w:basedOn w:val="Commentaire"/>
    <w:next w:val="Commentaire"/>
    <w:link w:val="ObjetducommentaireCar"/>
    <w:uiPriority w:val="99"/>
    <w:semiHidden/>
    <w:unhideWhenUsed/>
    <w:rsid w:val="00E476B3"/>
    <w:pPr>
      <w:spacing w:after="0"/>
    </w:pPr>
    <w:rPr>
      <w:rFonts w:ascii="Times New Roman" w:eastAsia="Times New Roman" w:hAnsi="Times New Roman" w:cs="Times New Roman"/>
      <w:b/>
      <w:bCs/>
      <w:lang w:val="fr-FR" w:eastAsia="fr-FR"/>
    </w:rPr>
  </w:style>
  <w:style w:type="character" w:customStyle="1" w:styleId="ObjetducommentaireCar">
    <w:name w:val="Objet du commentaire Car"/>
    <w:basedOn w:val="CommentaireCar"/>
    <w:link w:val="Objetducommentaire"/>
    <w:uiPriority w:val="99"/>
    <w:semiHidden/>
    <w:rsid w:val="00E476B3"/>
    <w:rPr>
      <w:rFonts w:ascii="Times New Roman" w:eastAsia="Times New Roman" w:hAnsi="Times New Roman" w:cstheme="minorBidi"/>
      <w:b/>
      <w:bCs/>
      <w:lang w:val="en-US" w:eastAsia="en-US"/>
    </w:rPr>
  </w:style>
  <w:style w:type="paragraph" w:styleId="Rvision">
    <w:name w:val="Revision"/>
    <w:hidden/>
    <w:uiPriority w:val="99"/>
    <w:semiHidden/>
    <w:rsid w:val="00A908E7"/>
    <w:rPr>
      <w:rFonts w:ascii="Times New Roman" w:eastAsia="Times New Roman" w:hAnsi="Times New Roman"/>
      <w:sz w:val="24"/>
      <w:szCs w:val="24"/>
    </w:rPr>
  </w:style>
  <w:style w:type="character" w:customStyle="1" w:styleId="Titre1Car">
    <w:name w:val="Titre 1 Car"/>
    <w:basedOn w:val="Policepardfaut"/>
    <w:link w:val="Titre1"/>
    <w:uiPriority w:val="9"/>
    <w:rsid w:val="00FA13BC"/>
    <w:rPr>
      <w:rFonts w:ascii="Times New Roman" w:eastAsia="Times New Roman" w:hAnsi="Times New Roman"/>
      <w:b/>
      <w:bCs/>
      <w:kern w:val="36"/>
      <w:sz w:val="48"/>
      <w:szCs w:val="48"/>
      <w:lang w:val="en-US" w:eastAsia="en-US"/>
    </w:rPr>
  </w:style>
  <w:style w:type="character" w:customStyle="1" w:styleId="hps">
    <w:name w:val="hps"/>
    <w:rsid w:val="0098525A"/>
  </w:style>
  <w:style w:type="character" w:customStyle="1" w:styleId="Titre3Car">
    <w:name w:val="Titre 3 Car"/>
    <w:basedOn w:val="Policepardfaut"/>
    <w:link w:val="Titre3"/>
    <w:uiPriority w:val="9"/>
    <w:semiHidden/>
    <w:rsid w:val="00570A70"/>
    <w:rPr>
      <w:rFonts w:asciiTheme="majorHAnsi" w:eastAsiaTheme="majorEastAsia" w:hAnsiTheme="majorHAnsi" w:cstheme="majorBidi"/>
      <w:color w:val="243F60" w:themeColor="accent1" w:themeShade="7F"/>
      <w:sz w:val="24"/>
      <w:szCs w:val="24"/>
    </w:rPr>
  </w:style>
  <w:style w:type="character" w:customStyle="1" w:styleId="ParaChar">
    <w:name w:val="Para Char"/>
    <w:link w:val="Para"/>
    <w:locked/>
    <w:rsid w:val="00570A70"/>
    <w:rPr>
      <w:rFonts w:ascii="Arial" w:hAnsi="Arial"/>
    </w:rPr>
  </w:style>
  <w:style w:type="paragraph" w:customStyle="1" w:styleId="wiki-list-item">
    <w:name w:val="wiki-list-item"/>
    <w:basedOn w:val="Normal"/>
    <w:rsid w:val="00570A70"/>
    <w:pPr>
      <w:spacing w:before="100" w:beforeAutospacing="1" w:after="100" w:afterAutospacing="1"/>
    </w:pPr>
    <w:rPr>
      <w:lang w:eastAsia="zh-CN"/>
    </w:rPr>
  </w:style>
  <w:style w:type="character" w:customStyle="1" w:styleId="atenuated">
    <w:name w:val="atenuated"/>
    <w:basedOn w:val="Policepardfaut"/>
    <w:rsid w:val="00570A70"/>
  </w:style>
  <w:style w:type="character" w:styleId="Mentionnonrsolue">
    <w:name w:val="Unresolved Mention"/>
    <w:basedOn w:val="Policepardfaut"/>
    <w:uiPriority w:val="99"/>
    <w:semiHidden/>
    <w:unhideWhenUsed/>
    <w:rsid w:val="00695B05"/>
    <w:rPr>
      <w:color w:val="605E5C"/>
      <w:shd w:val="clear" w:color="auto" w:fill="E1DFDD"/>
    </w:rPr>
  </w:style>
  <w:style w:type="paragraph" w:customStyle="1" w:styleId="Style1">
    <w:name w:val="Style1"/>
    <w:basedOn w:val="Normal"/>
    <w:link w:val="Style1Char"/>
    <w:qFormat/>
    <w:rsid w:val="00FD0013"/>
    <w:pPr>
      <w:numPr>
        <w:ilvl w:val="1"/>
        <w:numId w:val="40"/>
      </w:numPr>
      <w:tabs>
        <w:tab w:val="left" w:pos="1134"/>
        <w:tab w:val="left" w:pos="1701"/>
        <w:tab w:val="left" w:pos="2268"/>
      </w:tabs>
      <w:spacing w:before="120" w:after="120"/>
      <w:jc w:val="both"/>
    </w:pPr>
    <w:rPr>
      <w:rFonts w:ascii="Arial" w:hAnsi="Arial" w:cs="Arial"/>
      <w:sz w:val="22"/>
      <w:szCs w:val="22"/>
      <w:lang w:val="en-GB" w:eastAsia="ko-KR"/>
    </w:rPr>
  </w:style>
  <w:style w:type="character" w:customStyle="1" w:styleId="Style1Char">
    <w:name w:val="Style1 Char"/>
    <w:basedOn w:val="Policepardfaut"/>
    <w:link w:val="Style1"/>
    <w:rsid w:val="00FD0013"/>
    <w:rPr>
      <w:rFonts w:ascii="Arial" w:eastAsia="Times New Roman" w:hAnsi="Arial" w:cs="Arial"/>
      <w:sz w:val="2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17109">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460875407">
      <w:bodyDiv w:val="1"/>
      <w:marLeft w:val="0"/>
      <w:marRight w:val="0"/>
      <w:marTop w:val="0"/>
      <w:marBottom w:val="0"/>
      <w:divBdr>
        <w:top w:val="none" w:sz="0" w:space="0" w:color="auto"/>
        <w:left w:val="none" w:sz="0" w:space="0" w:color="auto"/>
        <w:bottom w:val="none" w:sz="0" w:space="0" w:color="auto"/>
        <w:right w:val="none" w:sz="0" w:space="0" w:color="auto"/>
      </w:divBdr>
    </w:div>
    <w:div w:id="151422254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1817408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05807028">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en/USL/wooden-movable-type-printing-of-china-00322" TargetMode="External"/><Relationship Id="rId18" Type="http://schemas.openxmlformats.org/officeDocument/2006/relationships/hyperlink" Target="https://ich.unesco.org/en/USL/eshuva-harakmbut-sung-prayers-of-perus-huachipaire-people-00531" TargetMode="External"/><Relationship Id="rId26" Type="http://schemas.openxmlformats.org/officeDocument/2006/relationships/hyperlink" Target="https://ich.unesco.org/en/USL/folk-long-song-performance-technique-of-limbe-performances-circular-breathing-00543" TargetMode="External"/><Relationship Id="rId39" Type="http://schemas.openxmlformats.org/officeDocument/2006/relationships/image" Target="media/image1.png"/><Relationship Id="rId21" Type="http://schemas.openxmlformats.org/officeDocument/2006/relationships/hyperlink" Target="https://ich.unesco.org/en/USL/yaokwa-the-enawene-nawe-people-s-ritual-for-the-maintenance-of-social-and-cosmic-order-00521" TargetMode="External"/><Relationship Id="rId34" Type="http://schemas.openxmlformats.org/officeDocument/2006/relationships/hyperlink" Target="https://ich.unesco.org/en/Decisions/8.COM/6.b" TargetMode="External"/><Relationship Id="rId42" Type="http://schemas.openxmlformats.org/officeDocument/2006/relationships/hyperlink" Target="https://ich.unesco.org/en/Decisions/13.COM/7.b.3" TargetMode="External"/><Relationship Id="rId47" Type="http://schemas.openxmlformats.org/officeDocument/2006/relationships/hyperlink" Target="https://ich.unesco.org/en/Decisions/6.COM/8.8" TargetMode="External"/><Relationship Id="rId50" Type="http://schemas.openxmlformats.org/officeDocument/2006/relationships/hyperlink" Target="https://ich.unesco.org/en/Decisions/6.COM/8.9" TargetMode="External"/><Relationship Id="rId55" Type="http://schemas.openxmlformats.org/officeDocument/2006/relationships/hyperlink" Target="https://ich.unesco.org/doc/download.php?versionID=57522" TargetMode="External"/><Relationship Id="rId63" Type="http://schemas.openxmlformats.org/officeDocument/2006/relationships/hyperlink" Target="https://ich.unesco.org/en/Decisions/11.COM/9.b.4" TargetMode="External"/><Relationship Id="rId68" Type="http://schemas.openxmlformats.org/officeDocument/2006/relationships/hyperlink" Target="https://ich.unesco.org/en/Decisions/6.COM/8.15" TargetMode="External"/><Relationship Id="rId76" Type="http://schemas.openxmlformats.org/officeDocument/2006/relationships/hyperlink" Target="https://ich.unesco.org/en/Decisions/10.COM/10.a.5" TargetMode="External"/><Relationship Id="rId84" Type="http://schemas.openxmlformats.org/officeDocument/2006/relationships/hyperlink" Target="https://ich.unesco.org/en/Decisions/11.COM/9.b.6" TargetMode="External"/><Relationship Id="rId89"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ich.unesco.org/en/Decisions/11.COM/9.b.5" TargetMode="External"/><Relationship Id="rId9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ich.unesco.org/en/USL/moorish-epic-theydinn-00524" TargetMode="External"/><Relationship Id="rId29" Type="http://schemas.openxmlformats.org/officeDocument/2006/relationships/hyperlink" Target="https://ich.unesco.org/en/USL/al-sadu-traditional-weaving-skills-in-the-united-arab-emirates-00517" TargetMode="External"/><Relationship Id="rId11" Type="http://schemas.openxmlformats.org/officeDocument/2006/relationships/hyperlink" Target="https://ich.unesco.org/en/USL/meshrep-00304" TargetMode="External"/><Relationship Id="rId24" Type="http://schemas.openxmlformats.org/officeDocument/2006/relationships/hyperlink" Target="https://ich.unesco.org/en/USL/traditional-skills-of-building-and-sailing-iranian-lenj-boats-in-the-persian-gulf-00534" TargetMode="External"/><Relationship Id="rId32" Type="http://schemas.openxmlformats.org/officeDocument/2006/relationships/hyperlink" Target="https://ich.unesco.org/doc/download.php?versionID=57519" TargetMode="External"/><Relationship Id="rId37" Type="http://schemas.openxmlformats.org/officeDocument/2006/relationships/hyperlink" Target="https://ich.unesco.org/en/Decisions/13.COM/7.b.3" TargetMode="External"/><Relationship Id="rId40" Type="http://schemas.openxmlformats.org/officeDocument/2006/relationships/hyperlink" Target="https://ich.unesco.org/en/Decisions/6.COM/8.3" TargetMode="External"/><Relationship Id="rId45" Type="http://schemas.openxmlformats.org/officeDocument/2006/relationships/hyperlink" Target="https://ich.unesco.org/en/Decisions/12.COM/8.c.9" TargetMode="External"/><Relationship Id="rId53" Type="http://schemas.openxmlformats.org/officeDocument/2006/relationships/hyperlink" Target="https://ich.unesco.org/en/Decisions/6.COM/8.9" TargetMode="External"/><Relationship Id="rId58" Type="http://schemas.openxmlformats.org/officeDocument/2006/relationships/hyperlink" Target="https://ich.unesco.org/en/Decisions/11.COM/9.b.2" TargetMode="External"/><Relationship Id="rId66" Type="http://schemas.openxmlformats.org/officeDocument/2006/relationships/hyperlink" Target="https://ich.unesco.org/en/Decisions/11.COM/9.b.4" TargetMode="External"/><Relationship Id="rId74" Type="http://schemas.openxmlformats.org/officeDocument/2006/relationships/hyperlink" Target="https://ich.unesco.org/doc/download.php?versionID=57517" TargetMode="External"/><Relationship Id="rId79" Type="http://schemas.openxmlformats.org/officeDocument/2006/relationships/hyperlink" Target="https://ich.unesco.org/en/Decisions/10.COM/10.a.8"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ich.unesco.org/doc/download.php?versionID=57910" TargetMode="External"/><Relationship Id="rId82" Type="http://schemas.openxmlformats.org/officeDocument/2006/relationships/hyperlink" Target="https://ich.unesco.org/en/Decisions/6.COM/8.21" TargetMode="External"/><Relationship Id="rId90" Type="http://schemas.openxmlformats.org/officeDocument/2006/relationships/fontTable" Target="fontTable.xml"/><Relationship Id="rId19" Type="http://schemas.openxmlformats.org/officeDocument/2006/relationships/hyperlink" Target="https://ich.unesco.org/en/USL/manufacture-of-cowbells-01065" TargetMode="External"/><Relationship Id="rId14" Type="http://schemas.openxmlformats.org/officeDocument/2006/relationships/hyperlink" Target="https://ich.unesco.org/en/USL/hezhen-yimakan-storytelling-00530" TargetMode="External"/><Relationship Id="rId22" Type="http://schemas.openxmlformats.org/officeDocument/2006/relationships/hyperlink" Target="https://ich.unesco.org/en/USL/saman-dance-00509" TargetMode="External"/><Relationship Id="rId27" Type="http://schemas.openxmlformats.org/officeDocument/2006/relationships/hyperlink" Target="https://ich.unesco.org/en/USL/coaxing-ritual-for-camels-01061" TargetMode="External"/><Relationship Id="rId30" Type="http://schemas.openxmlformats.org/officeDocument/2006/relationships/hyperlink" Target="https://ich.unesco.org/en/decisions/12.COM/14" TargetMode="External"/><Relationship Id="rId35" Type="http://schemas.openxmlformats.org/officeDocument/2006/relationships/hyperlink" Target="https://ich.unesco.org/en/Decisions/13.COM/7.b.3" TargetMode="External"/><Relationship Id="rId43" Type="http://schemas.openxmlformats.org/officeDocument/2006/relationships/hyperlink" Target="https://ich.unesco.org/doc/download.php?versionID=57521" TargetMode="External"/><Relationship Id="rId48" Type="http://schemas.openxmlformats.org/officeDocument/2006/relationships/hyperlink" Target="https://ich.unesco.org/en/Decisions/12.COM/8.c.9" TargetMode="External"/><Relationship Id="rId56" Type="http://schemas.openxmlformats.org/officeDocument/2006/relationships/hyperlink" Target="https://ich.unesco.org/en/Decisions/6.COM/8.10" TargetMode="External"/><Relationship Id="rId64" Type="http://schemas.openxmlformats.org/officeDocument/2006/relationships/hyperlink" Target="https://ich.unesco.org/en/Decisions/11.COM/9.b.4" TargetMode="External"/><Relationship Id="rId69" Type="http://schemas.openxmlformats.org/officeDocument/2006/relationships/hyperlink" Target="https://ich.unesco.org/en/Decisions/11.COM/9.b.5" TargetMode="External"/><Relationship Id="rId77" Type="http://schemas.openxmlformats.org/officeDocument/2006/relationships/hyperlink" Target="https://ich.unesco.org/doc/download.php?versionID=57534" TargetMode="External"/><Relationship Id="rId8" Type="http://schemas.openxmlformats.org/officeDocument/2006/relationships/hyperlink" Target="https://ich.unesco.org/en/USL/traditional-li-textile-techniques-spinning-dyeing-weaving-and-embroidering-00302" TargetMode="External"/><Relationship Id="rId51" Type="http://schemas.openxmlformats.org/officeDocument/2006/relationships/hyperlink" Target="https://ich.unesco.org/en/Decisions/11.COM/9.b.3" TargetMode="External"/><Relationship Id="rId72" Type="http://schemas.openxmlformats.org/officeDocument/2006/relationships/hyperlink" Target="https://ich.unesco.org/en/Decisions/6.COM/8.15" TargetMode="External"/><Relationship Id="rId80" Type="http://schemas.openxmlformats.org/officeDocument/2006/relationships/hyperlink" Target="https://ich.unesco.org/en/Decisions/10.COM/10.a.8" TargetMode="External"/><Relationship Id="rId85" Type="http://schemas.openxmlformats.org/officeDocument/2006/relationships/hyperlink" Target="https://ich.unesco.org/en/Decisions/6.COM/8.21" TargetMode="External"/><Relationship Id="rId3" Type="http://schemas.openxmlformats.org/officeDocument/2006/relationships/styles" Target="styles.xml"/><Relationship Id="rId12" Type="http://schemas.openxmlformats.org/officeDocument/2006/relationships/hyperlink" Target="https://ich.unesco.org/en/USL/watertight-bulkhead-technology-of-chinese-junks-00321" TargetMode="External"/><Relationship Id="rId17" Type="http://schemas.openxmlformats.org/officeDocument/2006/relationships/hyperlink" Target="https://ich.unesco.org/en/USL/glasoechko-male-two-part-singing-in-dolni-polog-01104" TargetMode="External"/><Relationship Id="rId25" Type="http://schemas.openxmlformats.org/officeDocument/2006/relationships/hyperlink" Target="https://ich.unesco.org/en/USL/secret-society-of-the-koredugaw-the-rite-of-wisdom-in-mali-00520" TargetMode="External"/><Relationship Id="rId33" Type="http://schemas.openxmlformats.org/officeDocument/2006/relationships/hyperlink" Target="https://ich.unesco.org/en/Decisions/6.COM/8.3" TargetMode="External"/><Relationship Id="rId38" Type="http://schemas.openxmlformats.org/officeDocument/2006/relationships/hyperlink" Target="#Draftdecision"/><Relationship Id="rId46" Type="http://schemas.openxmlformats.org/officeDocument/2006/relationships/hyperlink" Target="https://ich.unesco.org/en/Decisions/12.COM/8.c.9" TargetMode="External"/><Relationship Id="rId59" Type="http://schemas.openxmlformats.org/officeDocument/2006/relationships/hyperlink" Target="https://ich.unesco.org/en/Decisions/6.COM/8.10" TargetMode="External"/><Relationship Id="rId67" Type="http://schemas.openxmlformats.org/officeDocument/2006/relationships/hyperlink" Target="https://ich.unesco.org/doc/download.php?versionID=57518" TargetMode="External"/><Relationship Id="rId20" Type="http://schemas.openxmlformats.org/officeDocument/2006/relationships/hyperlink" Target="https://ich.unesco.org/en/7-periodic-reporting-usl-01144" TargetMode="External"/><Relationship Id="rId41" Type="http://schemas.openxmlformats.org/officeDocument/2006/relationships/hyperlink" Target="https://ich.unesco.org/en/Decisions/8.COM/6.b" TargetMode="External"/><Relationship Id="rId54" Type="http://schemas.openxmlformats.org/officeDocument/2006/relationships/hyperlink" Target="https://ich.unesco.org/en/Decisions/11.COM/9.b.3" TargetMode="External"/><Relationship Id="rId62" Type="http://schemas.openxmlformats.org/officeDocument/2006/relationships/hyperlink" Target="https://ich.unesco.org/en/Decisions/6.COM/8.12" TargetMode="External"/><Relationship Id="rId70" Type="http://schemas.openxmlformats.org/officeDocument/2006/relationships/hyperlink" Target="https://ich.unesco.org/doc/src/ITH-18-13.COM_3.BUR-Decisions-EN.docx" TargetMode="External"/><Relationship Id="rId75" Type="http://schemas.openxmlformats.org/officeDocument/2006/relationships/hyperlink" Target="https://ich.unesco.org/en/Decisions/10.COM/10.a.5" TargetMode="External"/><Relationship Id="rId83" Type="http://schemas.openxmlformats.org/officeDocument/2006/relationships/hyperlink" Target="https://ich.unesco.org/en/Decisions/11.COM/9.b.6"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en/USL/traditional-vallenato-music-of-the-greater-magdalena-region-01095" TargetMode="External"/><Relationship Id="rId23" Type="http://schemas.openxmlformats.org/officeDocument/2006/relationships/hyperlink" Target="https://ich.unesco.org/en/USL/naqqali-iranian-dramatic-story-telling-00535" TargetMode="External"/><Relationship Id="rId28" Type="http://schemas.openxmlformats.org/officeDocument/2006/relationships/hyperlink" Target="https://ich.unesco.org/en/USL/koogere-oral-tradition-of-the-basongora-banyabindi-and-batooro-peoples-00911" TargetMode="External"/><Relationship Id="rId36" Type="http://schemas.openxmlformats.org/officeDocument/2006/relationships/hyperlink" Target="https://ich.unesco.org/en/Decisions/8.COM/6.b" TargetMode="External"/><Relationship Id="rId49" Type="http://schemas.openxmlformats.org/officeDocument/2006/relationships/hyperlink" Target="https://ich.unesco.org/doc/download.php?versionID=57523" TargetMode="External"/><Relationship Id="rId57" Type="http://schemas.openxmlformats.org/officeDocument/2006/relationships/hyperlink" Target="https://ich.unesco.org/en/Decisions/11.COM/9.b.2" TargetMode="External"/><Relationship Id="rId10" Type="http://schemas.openxmlformats.org/officeDocument/2006/relationships/hyperlink" Target="https://ich.unesco.org/en/USL/qiang-new-year-festival-00305" TargetMode="External"/><Relationship Id="rId31" Type="http://schemas.openxmlformats.org/officeDocument/2006/relationships/hyperlink" Target="https://ich.unesco.org/en/decisions/12.COM/14" TargetMode="External"/><Relationship Id="rId44" Type="http://schemas.openxmlformats.org/officeDocument/2006/relationships/hyperlink" Target="https://ich.unesco.org/en/Decisions/6.COM/8.8" TargetMode="External"/><Relationship Id="rId52" Type="http://schemas.openxmlformats.org/officeDocument/2006/relationships/hyperlink" Target="https://ich.unesco.org/en/Decisions/11.COM/9.b.3" TargetMode="External"/><Relationship Id="rId60" Type="http://schemas.openxmlformats.org/officeDocument/2006/relationships/hyperlink" Target="https://ich.unesco.org/en/Decisions/11.COM/9.b.2" TargetMode="External"/><Relationship Id="rId65" Type="http://schemas.openxmlformats.org/officeDocument/2006/relationships/hyperlink" Target="https://ich.unesco.org/en/Decisions/6.COM/8.12" TargetMode="External"/><Relationship Id="rId73" Type="http://schemas.openxmlformats.org/officeDocument/2006/relationships/hyperlink" Target="https://ich.unesco.org/en/Decisions/11.COM/9.b.5" TargetMode="External"/><Relationship Id="rId78" Type="http://schemas.openxmlformats.org/officeDocument/2006/relationships/hyperlink" Target="https://ich.unesco.org/en/Decisions/10.COM/10.a.8" TargetMode="External"/><Relationship Id="rId81" Type="http://schemas.openxmlformats.org/officeDocument/2006/relationships/hyperlink" Target="https://ich.unesco.org/doc/download.php?versionID=57524" TargetMode="External"/><Relationship Id="rId86" Type="http://schemas.openxmlformats.org/officeDocument/2006/relationships/hyperlink" Target="https://ich.unesco.org/en/Decisions/11.COM/9.b.6" TargetMode="External"/><Relationship Id="rId4" Type="http://schemas.openxmlformats.org/officeDocument/2006/relationships/settings" Target="settings.xml"/><Relationship Id="rId9" Type="http://schemas.openxmlformats.org/officeDocument/2006/relationships/hyperlink" Target="https://ich.unesco.org/en/USL/traditional-design-and-practices-for-building-chinese-wooden-arch-bridges-0030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C1F42-B587-48EA-8F86-C40CEF47A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689</TotalTime>
  <Pages>25</Pages>
  <Words>15069</Words>
  <Characters>82882</Characters>
  <Application>Microsoft Office Word</Application>
  <DocSecurity>0</DocSecurity>
  <Lines>690</Lines>
  <Paragraphs>195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97756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Ohinata, Fumiko</cp:lastModifiedBy>
  <cp:revision>207</cp:revision>
  <cp:lastPrinted>2019-11-05T16:53:00Z</cp:lastPrinted>
  <dcterms:created xsi:type="dcterms:W3CDTF">2020-11-09T12:26:00Z</dcterms:created>
  <dcterms:modified xsi:type="dcterms:W3CDTF">2020-11-16T17:46:00Z</dcterms:modified>
</cp:coreProperties>
</file>