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433E3" w14:textId="0B2D5708" w:rsidR="005F3310" w:rsidRDefault="00EC6F8D" w:rsidP="00F30201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24C74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524C74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81F0D40" w14:textId="51D187F4" w:rsidR="00EC6F8D" w:rsidRPr="00524C74" w:rsidRDefault="00EC6F8D" w:rsidP="00113BA4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24C74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524C74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1A4C2260" w14:textId="0AAEE891" w:rsidR="00A22630" w:rsidRPr="00524C74" w:rsidRDefault="00A22630" w:rsidP="00F30201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24C74">
        <w:rPr>
          <w:rFonts w:ascii="Arial" w:hAnsi="Arial" w:cs="Arial"/>
          <w:b/>
          <w:sz w:val="22"/>
          <w:szCs w:val="22"/>
          <w:lang w:val="en-GB"/>
        </w:rPr>
        <w:t>Meeting of the Bureau</w:t>
      </w:r>
    </w:p>
    <w:p w14:paraId="75CF7358" w14:textId="4EC63127" w:rsidR="00A22630" w:rsidRPr="00725503" w:rsidRDefault="00A22630" w:rsidP="00B152BF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24C74">
        <w:rPr>
          <w:rFonts w:ascii="Arial" w:hAnsi="Arial" w:cs="Arial"/>
          <w:b/>
          <w:sz w:val="22"/>
          <w:szCs w:val="22"/>
          <w:lang w:val="en-GB"/>
        </w:rPr>
        <w:t xml:space="preserve">UNESCO Headquarters, Paris, </w:t>
      </w:r>
      <w:r w:rsidRPr="00725503">
        <w:rPr>
          <w:rFonts w:ascii="Arial" w:hAnsi="Arial" w:cs="Arial"/>
          <w:b/>
          <w:sz w:val="22"/>
          <w:szCs w:val="22"/>
          <w:lang w:val="en-GB"/>
        </w:rPr>
        <w:t xml:space="preserve">Room </w:t>
      </w:r>
      <w:r w:rsidR="002B0251" w:rsidRPr="00725503">
        <w:rPr>
          <w:rFonts w:ascii="Arial" w:hAnsi="Arial" w:cs="Arial"/>
          <w:b/>
          <w:sz w:val="22"/>
          <w:szCs w:val="22"/>
          <w:lang w:val="en-GB"/>
        </w:rPr>
        <w:t>VIII</w:t>
      </w:r>
    </w:p>
    <w:p w14:paraId="3288F932" w14:textId="4D41178C" w:rsidR="00EC6F8D" w:rsidRPr="00524C74" w:rsidRDefault="002B0251" w:rsidP="00567222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725503">
        <w:rPr>
          <w:rFonts w:ascii="Arial" w:hAnsi="Arial" w:cs="Arial"/>
          <w:b/>
          <w:sz w:val="22"/>
          <w:szCs w:val="22"/>
          <w:lang w:val="en-GB"/>
        </w:rPr>
        <w:t>18</w:t>
      </w:r>
      <w:r w:rsidR="00A22630" w:rsidRPr="0072550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725503">
        <w:rPr>
          <w:rFonts w:ascii="Arial" w:hAnsi="Arial" w:cs="Arial"/>
          <w:b/>
          <w:sz w:val="22"/>
          <w:szCs w:val="22"/>
          <w:lang w:val="en-GB"/>
        </w:rPr>
        <w:t xml:space="preserve">June 2019, </w:t>
      </w:r>
      <w:r w:rsidR="00567222" w:rsidRPr="00725503">
        <w:rPr>
          <w:rFonts w:ascii="Arial" w:hAnsi="Arial" w:cs="Arial"/>
          <w:b/>
          <w:sz w:val="22"/>
          <w:szCs w:val="22"/>
          <w:lang w:val="en-GB"/>
        </w:rPr>
        <w:t>10</w:t>
      </w:r>
      <w:r w:rsidRPr="00725503">
        <w:rPr>
          <w:rFonts w:ascii="Arial" w:hAnsi="Arial" w:cs="Arial"/>
          <w:b/>
          <w:sz w:val="22"/>
          <w:szCs w:val="22"/>
          <w:lang w:val="en-GB"/>
        </w:rPr>
        <w:t xml:space="preserve"> a.m. – </w:t>
      </w:r>
      <w:r w:rsidR="00567222" w:rsidRPr="00725503">
        <w:rPr>
          <w:rFonts w:ascii="Arial" w:hAnsi="Arial" w:cs="Arial"/>
          <w:b/>
          <w:sz w:val="22"/>
          <w:szCs w:val="22"/>
          <w:lang w:val="en-GB"/>
        </w:rPr>
        <w:t>1</w:t>
      </w:r>
      <w:r w:rsidRPr="00725503">
        <w:rPr>
          <w:rFonts w:ascii="Arial" w:hAnsi="Arial" w:cs="Arial"/>
          <w:b/>
          <w:sz w:val="22"/>
          <w:szCs w:val="22"/>
          <w:lang w:val="en-GB"/>
        </w:rPr>
        <w:t xml:space="preserve"> p.m.</w:t>
      </w:r>
    </w:p>
    <w:p w14:paraId="2554A156" w14:textId="174460DC" w:rsidR="005F3310" w:rsidRDefault="005F3310" w:rsidP="00113BA4">
      <w:pPr>
        <w:pStyle w:val="Sansinterligne2"/>
        <w:spacing w:before="1200" w:after="960"/>
        <w:jc w:val="center"/>
        <w:rPr>
          <w:rFonts w:ascii="Arial" w:hAnsi="Arial" w:cs="Arial"/>
          <w:b/>
          <w:cap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IMPLEMENTATION </w:t>
      </w:r>
      <w:r w:rsidRPr="00524C74">
        <w:rPr>
          <w:rFonts w:ascii="Arial" w:hAnsi="Arial" w:cs="Arial"/>
          <w:b/>
          <w:sz w:val="22"/>
          <w:szCs w:val="22"/>
          <w:u w:val="single"/>
          <w:lang w:val="en-GB"/>
        </w:rPr>
        <w:t>REPORT OF THE SPENDING PLAN</w:t>
      </w:r>
      <w:r w:rsidR="0046734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Pr="00524C74">
        <w:rPr>
          <w:rFonts w:ascii="Arial" w:hAnsi="Arial" w:cs="Arial"/>
          <w:b/>
          <w:sz w:val="22"/>
          <w:szCs w:val="22"/>
          <w:u w:val="single"/>
          <w:lang w:val="en-GB"/>
        </w:rPr>
        <w:br/>
        <w:t>FOR THE ‘OTHER FUNCTIONS OF THE COMMITTEE’</w:t>
      </w:r>
      <w:r w:rsidR="0046734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Pr="00524C74">
        <w:rPr>
          <w:rFonts w:ascii="Arial" w:hAnsi="Arial" w:cs="Arial"/>
          <w:b/>
          <w:sz w:val="22"/>
          <w:szCs w:val="22"/>
          <w:u w:val="single"/>
          <w:lang w:val="en-GB"/>
        </w:rPr>
        <w:br/>
      </w:r>
      <w:r w:rsidR="002B0251">
        <w:rPr>
          <w:rFonts w:ascii="Arial" w:hAnsi="Arial" w:cs="Arial"/>
          <w:b/>
          <w:caps/>
          <w:sz w:val="22"/>
          <w:szCs w:val="22"/>
          <w:u w:val="single"/>
          <w:lang w:val="en-GB"/>
        </w:rPr>
        <w:t>1 January 2018 – 31 December 2018</w:t>
      </w:r>
    </w:p>
    <w:tbl>
      <w:tblPr>
        <w:tblW w:w="5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</w:tblGrid>
      <w:tr w:rsidR="00F30201" w:rsidRPr="000C6CD9" w14:paraId="15A9F10D" w14:textId="77777777" w:rsidTr="00113BA4">
        <w:trPr>
          <w:trHeight w:val="29"/>
          <w:jc w:val="center"/>
        </w:trPr>
        <w:tc>
          <w:tcPr>
            <w:tcW w:w="6492" w:type="dxa"/>
            <w:vAlign w:val="center"/>
          </w:tcPr>
          <w:p w14:paraId="76C8D94F" w14:textId="77777777" w:rsidR="00F30201" w:rsidRPr="00524C74" w:rsidRDefault="00F30201" w:rsidP="00113BA4">
            <w:pPr>
              <w:pStyle w:val="Sansinterligne1"/>
              <w:spacing w:before="20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24C74">
              <w:rPr>
                <w:rFonts w:ascii="Arial" w:hAnsi="Arial" w:cs="Arial"/>
                <w:b/>
                <w:sz w:val="22"/>
                <w:szCs w:val="22"/>
                <w:lang w:val="en-GB"/>
              </w:rPr>
              <w:t>Summary</w:t>
            </w:r>
          </w:p>
          <w:p w14:paraId="1245AA7B" w14:textId="6491F552" w:rsidR="00F30201" w:rsidRPr="00524C74" w:rsidRDefault="00F30201" w:rsidP="00113BA4">
            <w:pPr>
              <w:pStyle w:val="NoSpacing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24C74">
              <w:rPr>
                <w:rFonts w:ascii="Arial" w:hAnsi="Arial" w:cs="Arial"/>
                <w:sz w:val="22"/>
                <w:szCs w:val="22"/>
                <w:lang w:val="en-GB"/>
              </w:rPr>
              <w:t xml:space="preserve">The Plan for the use of the resources of the Intangible Cultural Heritage Fund approved by the General Assembly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for the period 1 January 2018 to 31 December 2019</w:t>
            </w:r>
            <w:r w:rsidRPr="00524C74">
              <w:rPr>
                <w:rFonts w:ascii="Arial" w:hAnsi="Arial" w:cs="Arial"/>
                <w:sz w:val="22"/>
                <w:szCs w:val="22"/>
                <w:lang w:val="en-GB"/>
              </w:rPr>
              <w:t xml:space="preserve"> provided</w:t>
            </w:r>
            <w:r w:rsidR="00AB46CB" w:rsidRPr="00524C7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24C74">
              <w:rPr>
                <w:rFonts w:ascii="Arial" w:hAnsi="Arial" w:cs="Arial"/>
                <w:sz w:val="22"/>
                <w:szCs w:val="22"/>
                <w:lang w:val="en-GB"/>
              </w:rPr>
              <w:t>that 20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per cent</w:t>
            </w:r>
            <w:r w:rsidRPr="00524C74"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resourc</w:t>
            </w:r>
            <w:bookmarkStart w:id="0" w:name="_GoBack"/>
            <w:bookmarkEnd w:id="0"/>
            <w:r w:rsidRPr="00524C74">
              <w:rPr>
                <w:rFonts w:ascii="Arial" w:hAnsi="Arial" w:cs="Arial"/>
                <w:sz w:val="22"/>
                <w:szCs w:val="22"/>
                <w:lang w:val="en-GB"/>
              </w:rPr>
              <w:t>es be allocated to ‘other functions of the Committee’</w:t>
            </w:r>
            <w:r w:rsidR="00AB46CB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524C74">
              <w:rPr>
                <w:rFonts w:ascii="Arial" w:hAnsi="Arial" w:cs="Arial"/>
                <w:sz w:val="22"/>
                <w:szCs w:val="22"/>
                <w:lang w:val="en-GB"/>
              </w:rPr>
              <w:t xml:space="preserve"> as described in Article 7 of the Convention and the Operational Directives. Exercising the authority delegated to it by the Committee, the Bureau decided upon the utilization of these funds and requested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that </w:t>
            </w:r>
            <w:r w:rsidRPr="00524C74">
              <w:rPr>
                <w:rFonts w:ascii="Arial" w:hAnsi="Arial" w:cs="Arial"/>
                <w:sz w:val="22"/>
                <w:szCs w:val="22"/>
                <w:lang w:val="en-GB"/>
              </w:rPr>
              <w:t>the Secretariat report on the progress of</w:t>
            </w:r>
            <w:r w:rsidR="00AB46CB">
              <w:rPr>
                <w:rFonts w:ascii="Arial" w:hAnsi="Arial" w:cs="Arial"/>
                <w:sz w:val="22"/>
                <w:szCs w:val="22"/>
                <w:lang w:val="en-GB"/>
              </w:rPr>
              <w:t xml:space="preserve"> the</w:t>
            </w:r>
            <w:r w:rsidRPr="00524C74">
              <w:rPr>
                <w:rFonts w:ascii="Arial" w:hAnsi="Arial" w:cs="Arial"/>
                <w:sz w:val="22"/>
                <w:szCs w:val="22"/>
                <w:lang w:val="en-GB"/>
              </w:rPr>
              <w:t xml:space="preserve"> implementation and the way the funds are spent. The present document provides an Implementation Report for the peri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od 1 January to 31 December 2018</w:t>
            </w:r>
            <w:r w:rsidRPr="00524C74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</w:tbl>
    <w:p w14:paraId="503FD877" w14:textId="77777777" w:rsidR="005F3310" w:rsidRDefault="005F3310">
      <w:pPr>
        <w:rPr>
          <w:rFonts w:ascii="Arial" w:hAnsi="Arial" w:cs="Arial"/>
          <w:bCs/>
          <w:snapToGrid w:val="0"/>
          <w:sz w:val="22"/>
          <w:szCs w:val="22"/>
          <w:lang w:val="en-GB" w:eastAsia="en-US"/>
        </w:rPr>
      </w:pPr>
      <w:r w:rsidRPr="005F3310">
        <w:rPr>
          <w:lang w:val="en-US"/>
        </w:rPr>
        <w:br w:type="page"/>
      </w:r>
    </w:p>
    <w:p w14:paraId="179FD5F4" w14:textId="553137B7" w:rsidR="007729FF" w:rsidRDefault="007729FF" w:rsidP="00725503">
      <w:pPr>
        <w:pStyle w:val="5GAparabodytext"/>
        <w:ind w:hanging="567"/>
      </w:pPr>
      <w:r w:rsidRPr="00524C74">
        <w:lastRenderedPageBreak/>
        <w:t xml:space="preserve">The General Assembly, in its </w:t>
      </w:r>
      <w:hyperlink r:id="rId8" w:history="1">
        <w:r w:rsidR="001B7735" w:rsidRPr="008C0057">
          <w:rPr>
            <w:rStyle w:val="Hyperlink"/>
          </w:rPr>
          <w:t>Resolution 7.GA 8</w:t>
        </w:r>
      </w:hyperlink>
      <w:r w:rsidRPr="00524C74">
        <w:t xml:space="preserve">, approved a Plan for the use of the resources of the </w:t>
      </w:r>
      <w:r w:rsidR="003D12B5" w:rsidRPr="00524C74">
        <w:t xml:space="preserve">Intangible Cultural Heritage </w:t>
      </w:r>
      <w:r w:rsidRPr="00524C74">
        <w:t xml:space="preserve">Fund </w:t>
      </w:r>
      <w:r w:rsidR="003D12B5" w:rsidRPr="00524C74">
        <w:t xml:space="preserve">[hereafter the Fund] </w:t>
      </w:r>
      <w:r w:rsidR="006A0FDF" w:rsidRPr="00524C74">
        <w:t>for the period</w:t>
      </w:r>
      <w:r w:rsidR="00906482">
        <w:t xml:space="preserve"> </w:t>
      </w:r>
      <w:r w:rsidR="006A0FDF" w:rsidRPr="00524C74">
        <w:t>1 </w:t>
      </w:r>
      <w:r w:rsidRPr="00524C74">
        <w:t>January</w:t>
      </w:r>
      <w:r w:rsidR="00BB3419" w:rsidRPr="00524C74">
        <w:t> </w:t>
      </w:r>
      <w:r w:rsidRPr="00524C74">
        <w:t>201</w:t>
      </w:r>
      <w:r w:rsidR="000C3936">
        <w:t>8</w:t>
      </w:r>
      <w:r w:rsidRPr="00524C74">
        <w:t xml:space="preserve"> to 31</w:t>
      </w:r>
      <w:r w:rsidR="00BB3419" w:rsidRPr="00524C74">
        <w:t> </w:t>
      </w:r>
      <w:r w:rsidRPr="00524C74">
        <w:t>December</w:t>
      </w:r>
      <w:r w:rsidR="00BB3419" w:rsidRPr="00524C74">
        <w:t> </w:t>
      </w:r>
      <w:r w:rsidRPr="00524C74">
        <w:t>201</w:t>
      </w:r>
      <w:r w:rsidR="000C3936">
        <w:t>9</w:t>
      </w:r>
      <w:r w:rsidR="007F0F34">
        <w:t>.</w:t>
      </w:r>
      <w:r w:rsidRPr="00524C74">
        <w:t xml:space="preserve"> </w:t>
      </w:r>
      <w:r w:rsidR="007F0F34">
        <w:t>The Plan</w:t>
      </w:r>
      <w:r w:rsidR="007F0F34" w:rsidRPr="00524C74">
        <w:t xml:space="preserve"> </w:t>
      </w:r>
      <w:r w:rsidR="00AB46CB" w:rsidRPr="00524C74">
        <w:t>de</w:t>
      </w:r>
      <w:r w:rsidR="00AB46CB">
        <w:t>dicated</w:t>
      </w:r>
      <w:r w:rsidR="00AB46CB" w:rsidRPr="00524C74">
        <w:t xml:space="preserve"> </w:t>
      </w:r>
      <w:r w:rsidR="003C1A1C" w:rsidRPr="00524C74">
        <w:t>20</w:t>
      </w:r>
      <w:r w:rsidR="007F0F34">
        <w:t xml:space="preserve"> per cent</w:t>
      </w:r>
      <w:r w:rsidR="007F0F34" w:rsidRPr="00524C74">
        <w:t xml:space="preserve"> </w:t>
      </w:r>
      <w:r w:rsidR="003C1A1C" w:rsidRPr="00524C74">
        <w:t xml:space="preserve">of </w:t>
      </w:r>
      <w:r w:rsidRPr="00524C74">
        <w:t>the budget (US$</w:t>
      </w:r>
      <w:r w:rsidR="000C3936">
        <w:t>1,718,184</w:t>
      </w:r>
      <w:r w:rsidR="00305564" w:rsidRPr="00524C74">
        <w:t>)</w:t>
      </w:r>
      <w:r w:rsidRPr="00524C74">
        <w:t xml:space="preserve"> to the ‘other functions of the Committee’</w:t>
      </w:r>
      <w:r w:rsidR="007F0F34">
        <w:t>,</w:t>
      </w:r>
      <w:r w:rsidRPr="00524C74">
        <w:t xml:space="preserve"> as laid down in Article 7 of the Convention and </w:t>
      </w:r>
      <w:r w:rsidR="008103BA">
        <w:t>paragraph 67(</w:t>
      </w:r>
      <w:r w:rsidR="008C684B">
        <w:t xml:space="preserve">b) of </w:t>
      </w:r>
      <w:r w:rsidR="006A0FDF" w:rsidRPr="00524C74">
        <w:t>its</w:t>
      </w:r>
      <w:r w:rsidRPr="00524C74">
        <w:t xml:space="preserve"> Operational Directives. By delegation of authority from the Committee (</w:t>
      </w:r>
      <w:hyperlink r:id="rId9" w:history="1">
        <w:r w:rsidRPr="000C3936">
          <w:rPr>
            <w:rStyle w:val="Hyperlink"/>
          </w:rPr>
          <w:t>Decision</w:t>
        </w:r>
        <w:r w:rsidR="001D3EA8">
          <w:rPr>
            <w:rStyle w:val="Hyperlink"/>
          </w:rPr>
          <w:t> </w:t>
        </w:r>
        <w:r w:rsidR="000C3936" w:rsidRPr="000C3936">
          <w:rPr>
            <w:rStyle w:val="Hyperlink"/>
          </w:rPr>
          <w:t>12</w:t>
        </w:r>
        <w:r w:rsidR="00AF6EF6">
          <w:rPr>
            <w:rStyle w:val="Hyperlink"/>
          </w:rPr>
          <w:t>.COM </w:t>
        </w:r>
        <w:r w:rsidR="000C3936" w:rsidRPr="000C3936">
          <w:rPr>
            <w:rStyle w:val="Hyperlink"/>
          </w:rPr>
          <w:t>7</w:t>
        </w:r>
      </w:hyperlink>
      <w:r w:rsidRPr="00524C74">
        <w:t>), the Bureau was requested to decide on a specific proposal</w:t>
      </w:r>
      <w:r w:rsidR="003E5373">
        <w:t xml:space="preserve"> </w:t>
      </w:r>
      <w:r w:rsidRPr="00524C74">
        <w:t xml:space="preserve">prepared by the Secretariat for the use of the funds under </w:t>
      </w:r>
      <w:r w:rsidR="00906482">
        <w:t>this</w:t>
      </w:r>
      <w:r w:rsidR="007F0F34" w:rsidRPr="00524C74">
        <w:t xml:space="preserve"> </w:t>
      </w:r>
      <w:r w:rsidRPr="00524C74">
        <w:t>category for the above-mentioned period (</w:t>
      </w:r>
      <w:hyperlink r:id="rId10" w:history="1">
        <w:r w:rsidR="000C3936" w:rsidRPr="006F62E4">
          <w:rPr>
            <w:rStyle w:val="Hyperlink"/>
          </w:rPr>
          <w:t>Decision 13.COM 2.BUR 3</w:t>
        </w:r>
      </w:hyperlink>
      <w:r w:rsidRPr="00524C74">
        <w:t>)</w:t>
      </w:r>
      <w:r w:rsidR="00BB3419" w:rsidRPr="00524C74">
        <w:t xml:space="preserve">. </w:t>
      </w:r>
      <w:r w:rsidR="003E5373">
        <w:t>Continuing the approach of the previous exercise, the Bureau approved a spending plan</w:t>
      </w:r>
      <w:r w:rsidR="003E5373" w:rsidRPr="00524C74">
        <w:t xml:space="preserve"> </w:t>
      </w:r>
      <w:r w:rsidR="003E5373">
        <w:t xml:space="preserve">integrating </w:t>
      </w:r>
      <w:r w:rsidR="003E5373">
        <w:rPr>
          <w:rStyle w:val="hps"/>
        </w:rPr>
        <w:t>a results</w:t>
      </w:r>
      <w:r w:rsidR="00AB46CB">
        <w:rPr>
          <w:rStyle w:val="hps"/>
        </w:rPr>
        <w:t>-</w:t>
      </w:r>
      <w:r w:rsidR="003E5373">
        <w:rPr>
          <w:rStyle w:val="hps"/>
        </w:rPr>
        <w:t xml:space="preserve">based framework </w:t>
      </w:r>
      <w:r w:rsidR="003E5373">
        <w:t xml:space="preserve">fully aligned </w:t>
      </w:r>
      <w:r w:rsidR="00AB46CB">
        <w:t>with</w:t>
      </w:r>
      <w:r w:rsidR="00AB46CB" w:rsidRPr="00F05886">
        <w:t xml:space="preserve"> </w:t>
      </w:r>
      <w:r w:rsidR="003E5373" w:rsidRPr="00F05886">
        <w:t>the 39</w:t>
      </w:r>
      <w:r w:rsidR="003E5373">
        <w:t xml:space="preserve"> </w:t>
      </w:r>
      <w:r w:rsidR="003E5373" w:rsidRPr="00F05886">
        <w:t>C/5 for the Major Programme IV Culture, Main Line of Action 2, E</w:t>
      </w:r>
      <w:r w:rsidR="00D90428">
        <w:t xml:space="preserve">xpected </w:t>
      </w:r>
      <w:r w:rsidR="003E5373" w:rsidRPr="00F05886">
        <w:t>R</w:t>
      </w:r>
      <w:r w:rsidR="00D90428">
        <w:t>esult</w:t>
      </w:r>
      <w:r w:rsidR="003E5373" w:rsidRPr="00F05886">
        <w:t> 6 ‘Intangible cultural heritage identified and safeguarded by Member States and communities, in particular through the effective implementation of the 2003 Convention’.</w:t>
      </w:r>
      <w:r w:rsidR="003E5373">
        <w:t xml:space="preserve"> </w:t>
      </w:r>
      <w:r w:rsidR="00BB3419" w:rsidRPr="00524C74">
        <w:t xml:space="preserve">In </w:t>
      </w:r>
      <w:r w:rsidR="007F0F34" w:rsidRPr="00524C74">
        <w:t>th</w:t>
      </w:r>
      <w:r w:rsidR="007F0F34">
        <w:t>e</w:t>
      </w:r>
      <w:r w:rsidR="007F0F34" w:rsidRPr="00524C74">
        <w:t xml:space="preserve"> </w:t>
      </w:r>
      <w:r w:rsidR="00BB3419" w:rsidRPr="00524C74">
        <w:t>same decision, the Bureau requested</w:t>
      </w:r>
      <w:r w:rsidR="007F0F34">
        <w:t xml:space="preserve"> that</w:t>
      </w:r>
      <w:r w:rsidR="00BB3419" w:rsidRPr="00524C74">
        <w:t xml:space="preserve"> </w:t>
      </w:r>
      <w:r w:rsidR="005D229E" w:rsidRPr="00524C74">
        <w:t>the Secretariat ‘report on the progress of implementation an</w:t>
      </w:r>
      <w:r w:rsidR="00181B17" w:rsidRPr="00524C74">
        <w:t>d the way the funds are spent’.</w:t>
      </w:r>
    </w:p>
    <w:p w14:paraId="0BFB6C85" w14:textId="6DE8B864" w:rsidR="00DA30A9" w:rsidRPr="00BF7862" w:rsidRDefault="006F62E4" w:rsidP="000461D1">
      <w:pPr>
        <w:pStyle w:val="5GAparabodytext"/>
        <w:ind w:hanging="567"/>
      </w:pPr>
      <w:r w:rsidRPr="0022274F">
        <w:t xml:space="preserve">The present document is intended to inform States Parties of the </w:t>
      </w:r>
      <w:r w:rsidR="007F76CB">
        <w:t>progress of execution</w:t>
      </w:r>
      <w:r w:rsidR="00AB46CB">
        <w:t>,</w:t>
      </w:r>
      <w:r w:rsidRPr="00BF7862">
        <w:t xml:space="preserve"> </w:t>
      </w:r>
      <w:r w:rsidR="00AB46CB">
        <w:t xml:space="preserve">from </w:t>
      </w:r>
      <w:r w:rsidR="00946597" w:rsidRPr="0022274F">
        <w:t>1 January to 31 December 2018</w:t>
      </w:r>
      <w:r w:rsidR="00946597">
        <w:t xml:space="preserve">, </w:t>
      </w:r>
      <w:r w:rsidR="007F76CB" w:rsidRPr="00BF7862">
        <w:t xml:space="preserve">of the </w:t>
      </w:r>
      <w:r w:rsidR="007F76CB" w:rsidRPr="0022274F">
        <w:t>spending plan adopted in June 2018</w:t>
      </w:r>
      <w:r w:rsidRPr="0022274F">
        <w:t>. In particular, it provides</w:t>
      </w:r>
      <w:r w:rsidR="00AB46CB">
        <w:t xml:space="preserve"> an</w:t>
      </w:r>
      <w:r w:rsidRPr="0022274F">
        <w:t xml:space="preserve"> assessment of the programme implementation by </w:t>
      </w:r>
      <w:r w:rsidR="00A11871">
        <w:t>E</w:t>
      </w:r>
      <w:r w:rsidR="00A11871" w:rsidRPr="0022274F">
        <w:t xml:space="preserve">xpected </w:t>
      </w:r>
      <w:r w:rsidR="00A11871">
        <w:t>R</w:t>
      </w:r>
      <w:r w:rsidR="00A11871" w:rsidRPr="0022274F">
        <w:t>esult</w:t>
      </w:r>
      <w:r w:rsidRPr="0022274F">
        <w:t>, together with an analysis of the main challenges in delivering the outputs approved by the Bureau.</w:t>
      </w:r>
    </w:p>
    <w:p w14:paraId="66BB23E8" w14:textId="54C74951" w:rsidR="00CD123B" w:rsidRPr="00F30201" w:rsidRDefault="0022274F" w:rsidP="00CF17DB">
      <w:pPr>
        <w:pStyle w:val="5GAparabodytext"/>
        <w:ind w:hanging="567"/>
      </w:pPr>
      <w:r w:rsidRPr="00524C74">
        <w:t xml:space="preserve">The resources allocated by the General Assembly to ‘other functions of the Committee’ continue to provide unique and irreplaceable support </w:t>
      </w:r>
      <w:r>
        <w:t>to</w:t>
      </w:r>
      <w:r w:rsidRPr="0022274F">
        <w:t xml:space="preserve"> the Committee </w:t>
      </w:r>
      <w:r>
        <w:t>for the</w:t>
      </w:r>
      <w:r w:rsidRPr="0022274F">
        <w:t xml:space="preserve"> effective exercise </w:t>
      </w:r>
      <w:r>
        <w:t xml:space="preserve">of </w:t>
      </w:r>
      <w:r w:rsidRPr="0022274F">
        <w:t>its mandate beyond the strict conduct of its sessions and the examination of files submitted by States Parties</w:t>
      </w:r>
      <w:r w:rsidRPr="00BF7862">
        <w:t xml:space="preserve"> and decisions thereon.</w:t>
      </w:r>
      <w:r w:rsidR="00964A2A">
        <w:t xml:space="preserve"> </w:t>
      </w:r>
      <w:r w:rsidRPr="00BF7862">
        <w:t xml:space="preserve">In summary, </w:t>
      </w:r>
      <w:r w:rsidR="006A5F1E" w:rsidRPr="00BF7862">
        <w:t xml:space="preserve">during </w:t>
      </w:r>
      <w:r w:rsidR="006A5F1E">
        <w:t>the current biennium</w:t>
      </w:r>
      <w:r w:rsidR="006A5F1E" w:rsidRPr="00BF7862">
        <w:t xml:space="preserve"> </w:t>
      </w:r>
      <w:r w:rsidR="006A5F1E">
        <w:t xml:space="preserve">these </w:t>
      </w:r>
      <w:r w:rsidRPr="00BF7862">
        <w:t xml:space="preserve">funds </w:t>
      </w:r>
      <w:r w:rsidR="00964A2A">
        <w:t xml:space="preserve">continue </w:t>
      </w:r>
      <w:r w:rsidR="000A5A65">
        <w:t xml:space="preserve">to support the </w:t>
      </w:r>
      <w:r w:rsidR="00104613" w:rsidRPr="00F30201">
        <w:rPr>
          <w:b/>
        </w:rPr>
        <w:t xml:space="preserve">enhancement of the knowledge management services </w:t>
      </w:r>
      <w:r w:rsidR="00C74749">
        <w:t xml:space="preserve">and the implementation of the </w:t>
      </w:r>
      <w:r w:rsidR="00C74749" w:rsidRPr="00F30201">
        <w:rPr>
          <w:rStyle w:val="hps"/>
          <w:b/>
        </w:rPr>
        <w:t>overall results framework</w:t>
      </w:r>
      <w:r w:rsidR="00C74749" w:rsidRPr="00AC2A0B">
        <w:rPr>
          <w:rStyle w:val="hps"/>
        </w:rPr>
        <w:t xml:space="preserve"> for the Convention</w:t>
      </w:r>
      <w:r w:rsidR="00C74749">
        <w:rPr>
          <w:rStyle w:val="hps"/>
        </w:rPr>
        <w:t xml:space="preserve"> through</w:t>
      </w:r>
      <w:r w:rsidR="00C74749" w:rsidRPr="00BF7862" w:rsidDel="0022274F">
        <w:t xml:space="preserve"> </w:t>
      </w:r>
      <w:r w:rsidR="00C74749" w:rsidRPr="00AC2A0B">
        <w:rPr>
          <w:rStyle w:val="hps"/>
        </w:rPr>
        <w:t>the development of guidance notes</w:t>
      </w:r>
      <w:r w:rsidR="00C74749" w:rsidRPr="00BF7862" w:rsidDel="0022274F">
        <w:t xml:space="preserve"> </w:t>
      </w:r>
      <w:r w:rsidR="00CD6314">
        <w:t xml:space="preserve">(Expected Result 1), as well as to </w:t>
      </w:r>
      <w:r w:rsidR="00CD6314" w:rsidRPr="00B973F3">
        <w:t xml:space="preserve">provide essential support </w:t>
      </w:r>
      <w:r w:rsidR="00AB46CB">
        <w:t>with</w:t>
      </w:r>
      <w:r w:rsidR="00AB46CB" w:rsidRPr="00B973F3">
        <w:t xml:space="preserve"> </w:t>
      </w:r>
      <w:r w:rsidR="00CD6314" w:rsidRPr="00B973F3">
        <w:t xml:space="preserve">a number of cross-cutting needs of the </w:t>
      </w:r>
      <w:r w:rsidR="00CD6314" w:rsidRPr="007656F8">
        <w:rPr>
          <w:b/>
        </w:rPr>
        <w:t>capacity-building programme</w:t>
      </w:r>
      <w:r w:rsidR="00CD6314" w:rsidRPr="00B973F3">
        <w:t xml:space="preserve"> </w:t>
      </w:r>
      <w:r w:rsidR="00CD6314">
        <w:t>(Expected Result</w:t>
      </w:r>
      <w:r w:rsidR="000E56CE">
        <w:t> </w:t>
      </w:r>
      <w:r w:rsidR="00CD6314">
        <w:t>2)</w:t>
      </w:r>
      <w:r w:rsidR="00CD6314" w:rsidRPr="0045556F">
        <w:t xml:space="preserve">. </w:t>
      </w:r>
      <w:r w:rsidR="00CD6314">
        <w:t xml:space="preserve">Furthermore, </w:t>
      </w:r>
      <w:r w:rsidR="00CD6314" w:rsidRPr="006632EF">
        <w:rPr>
          <w:rStyle w:val="hps"/>
        </w:rPr>
        <w:t>in the context of the 2030 Sustainable Development Agenda</w:t>
      </w:r>
      <w:r w:rsidR="00CD6314" w:rsidRPr="00BF7862">
        <w:t xml:space="preserve">, funds were dedicated to the </w:t>
      </w:r>
      <w:r w:rsidR="006B1D0F" w:rsidRPr="00D90428">
        <w:rPr>
          <w:rFonts w:eastAsia="Calibri"/>
        </w:rPr>
        <w:t>integration of intangible cultural heritage into development plans, programmes and policies</w:t>
      </w:r>
      <w:r w:rsidR="00CD6314" w:rsidRPr="00BF7862">
        <w:t>,</w:t>
      </w:r>
      <w:r w:rsidR="00AB46CB">
        <w:t xml:space="preserve"> by</w:t>
      </w:r>
      <w:r w:rsidR="00394239">
        <w:t xml:space="preserve"> paying </w:t>
      </w:r>
      <w:r w:rsidR="00AB46CB">
        <w:t xml:space="preserve">clear </w:t>
      </w:r>
      <w:r w:rsidR="00394239">
        <w:t xml:space="preserve">attention to </w:t>
      </w:r>
      <w:r w:rsidR="00394239" w:rsidRPr="00D90428">
        <w:rPr>
          <w:b/>
        </w:rPr>
        <w:t>intangible cultural heritage and education</w:t>
      </w:r>
      <w:r w:rsidR="00394239">
        <w:t xml:space="preserve">, </w:t>
      </w:r>
      <w:r w:rsidR="004660FD">
        <w:t>by furthering interaction with other agencies</w:t>
      </w:r>
      <w:r w:rsidR="00CF17DB">
        <w:t xml:space="preserve"> of the United Nations system</w:t>
      </w:r>
      <w:r w:rsidR="004660FD">
        <w:t>,</w:t>
      </w:r>
      <w:r w:rsidR="00CD6314" w:rsidRPr="00394239">
        <w:t xml:space="preserve"> and</w:t>
      </w:r>
      <w:r w:rsidR="003C7975" w:rsidRPr="00394239">
        <w:t xml:space="preserve"> </w:t>
      </w:r>
      <w:r w:rsidR="00394239" w:rsidRPr="00394239">
        <w:t xml:space="preserve">by initiating </w:t>
      </w:r>
      <w:r w:rsidR="00CD6314" w:rsidRPr="00394239">
        <w:t xml:space="preserve">a reflection on the </w:t>
      </w:r>
      <w:r w:rsidR="00CD6314" w:rsidRPr="00D90428">
        <w:rPr>
          <w:rFonts w:eastAsia="Calibri"/>
        </w:rPr>
        <w:t>role of communities</w:t>
      </w:r>
      <w:r w:rsidR="006B1D0F" w:rsidRPr="00D90428">
        <w:rPr>
          <w:rFonts w:eastAsia="Calibri"/>
        </w:rPr>
        <w:t xml:space="preserve"> and </w:t>
      </w:r>
      <w:r w:rsidR="00DE2061" w:rsidRPr="00D90428">
        <w:rPr>
          <w:rFonts w:eastAsia="Calibri"/>
          <w:b/>
        </w:rPr>
        <w:t>intangible cultural heritage</w:t>
      </w:r>
      <w:r w:rsidR="00CD6314" w:rsidRPr="00DE2061">
        <w:rPr>
          <w:rFonts w:eastAsia="Calibri"/>
          <w:b/>
        </w:rPr>
        <w:t xml:space="preserve"> in situations of emergency</w:t>
      </w:r>
      <w:r w:rsidR="00CD6314">
        <w:rPr>
          <w:rFonts w:eastAsia="Calibri"/>
          <w:b/>
        </w:rPr>
        <w:t xml:space="preserve"> </w:t>
      </w:r>
      <w:r w:rsidR="00CD6314">
        <w:t>(Expected Result</w:t>
      </w:r>
      <w:r w:rsidR="00567222">
        <w:t> </w:t>
      </w:r>
      <w:r w:rsidR="00CD6314">
        <w:t>3)</w:t>
      </w:r>
      <w:r w:rsidR="00CD6314" w:rsidRPr="0045556F">
        <w:t xml:space="preserve">. </w:t>
      </w:r>
      <w:r w:rsidR="00CD6314">
        <w:t xml:space="preserve">Finally, </w:t>
      </w:r>
      <w:r w:rsidR="003C7975">
        <w:t xml:space="preserve">thanks to the funds allocated </w:t>
      </w:r>
      <w:r w:rsidR="006A5F1E">
        <w:t>to</w:t>
      </w:r>
      <w:r w:rsidR="003C7975">
        <w:t xml:space="preserve"> this budget line, </w:t>
      </w:r>
      <w:r w:rsidR="00AB46CB">
        <w:t xml:space="preserve">the Secretariat </w:t>
      </w:r>
      <w:r w:rsidR="003C7975">
        <w:t>was</w:t>
      </w:r>
      <w:r w:rsidR="00CD6314">
        <w:t xml:space="preserve"> able to </w:t>
      </w:r>
      <w:r w:rsidR="003C7975">
        <w:rPr>
          <w:rFonts w:eastAsia="Calibri"/>
        </w:rPr>
        <w:t xml:space="preserve">develop and undertake </w:t>
      </w:r>
      <w:r w:rsidR="006B1D0F">
        <w:rPr>
          <w:rFonts w:eastAsia="Calibri"/>
        </w:rPr>
        <w:t xml:space="preserve">new </w:t>
      </w:r>
      <w:r w:rsidR="003C7975">
        <w:rPr>
          <w:rFonts w:eastAsia="Calibri"/>
        </w:rPr>
        <w:t xml:space="preserve">comprehensive </w:t>
      </w:r>
      <w:r w:rsidR="003C7975" w:rsidRPr="00F30201">
        <w:rPr>
          <w:rFonts w:eastAsia="Calibri"/>
          <w:b/>
        </w:rPr>
        <w:t>awareness-raising and outreach actions</w:t>
      </w:r>
      <w:r w:rsidR="003C7975">
        <w:t xml:space="preserve"> as well as to initiate the consultation process </w:t>
      </w:r>
      <w:r w:rsidR="003C7975">
        <w:rPr>
          <w:rFonts w:eastAsia="Calibri"/>
        </w:rPr>
        <w:t>with a</w:t>
      </w:r>
      <w:r w:rsidR="003C7975" w:rsidRPr="006632EF">
        <w:rPr>
          <w:rFonts w:eastAsia="Calibri"/>
        </w:rPr>
        <w:t xml:space="preserve"> view</w:t>
      </w:r>
      <w:r w:rsidR="003C7975">
        <w:t xml:space="preserve"> to determin</w:t>
      </w:r>
      <w:r w:rsidR="000E56CE">
        <w:t>ing</w:t>
      </w:r>
      <w:r w:rsidR="003C7975">
        <w:t xml:space="preserve"> the </w:t>
      </w:r>
      <w:r w:rsidR="003C7975" w:rsidRPr="00F30201">
        <w:rPr>
          <w:b/>
        </w:rPr>
        <w:t>role of accredited NGOs under the 2003 Convention</w:t>
      </w:r>
      <w:r w:rsidR="00CD6314">
        <w:t xml:space="preserve"> (Expected Result 4).</w:t>
      </w:r>
    </w:p>
    <w:p w14:paraId="271EA422" w14:textId="77777777" w:rsidR="00A74D6C" w:rsidRPr="000C6CD9" w:rsidRDefault="00A74D6C" w:rsidP="000C6CD9">
      <w:pPr>
        <w:spacing w:before="360" w:after="120"/>
        <w:rPr>
          <w:rFonts w:ascii="Arial" w:hAnsi="Arial" w:cs="Arial"/>
          <w:b/>
          <w:bCs/>
          <w:caps/>
          <w:sz w:val="22"/>
          <w:szCs w:val="22"/>
          <w:lang w:val="en-US"/>
        </w:rPr>
      </w:pPr>
      <w:r w:rsidRPr="000C6CD9">
        <w:rPr>
          <w:rFonts w:ascii="Arial" w:hAnsi="Arial" w:cs="Arial"/>
          <w:b/>
          <w:bCs/>
          <w:caps/>
          <w:sz w:val="22"/>
          <w:szCs w:val="22"/>
          <w:lang w:val="en-US"/>
        </w:rPr>
        <w:t>Assessment by Expected Result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4083"/>
        <w:gridCol w:w="1700"/>
      </w:tblGrid>
      <w:tr w:rsidR="0032638E" w:rsidRPr="00904AEB" w14:paraId="06513377" w14:textId="77777777" w:rsidTr="00725503">
        <w:trPr>
          <w:trHeight w:val="465"/>
          <w:jc w:val="center"/>
        </w:trPr>
        <w:tc>
          <w:tcPr>
            <w:tcW w:w="2000" w:type="pct"/>
            <w:shd w:val="clear" w:color="auto" w:fill="C6D9F1"/>
            <w:vAlign w:val="center"/>
          </w:tcPr>
          <w:p w14:paraId="5D8B630C" w14:textId="77777777" w:rsidR="0032638E" w:rsidRPr="00904AEB" w:rsidRDefault="0032638E" w:rsidP="00A23C98">
            <w:pPr>
              <w:keepNext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904AE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Allocation</w:t>
            </w:r>
          </w:p>
        </w:tc>
        <w:tc>
          <w:tcPr>
            <w:tcW w:w="2118" w:type="pct"/>
            <w:shd w:val="clear" w:color="auto" w:fill="C6D9F1"/>
            <w:vAlign w:val="center"/>
          </w:tcPr>
          <w:p w14:paraId="4763B420" w14:textId="77777777" w:rsidR="0032638E" w:rsidRPr="00904AEB" w:rsidRDefault="0032638E">
            <w:pPr>
              <w:keepNext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904AE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Expenditures</w:t>
            </w:r>
          </w:p>
        </w:tc>
        <w:tc>
          <w:tcPr>
            <w:tcW w:w="882" w:type="pct"/>
            <w:shd w:val="clear" w:color="auto" w:fill="C6D9F1"/>
            <w:vAlign w:val="center"/>
          </w:tcPr>
          <w:p w14:paraId="570217A0" w14:textId="5ED28A28" w:rsidR="0032638E" w:rsidRPr="00904AEB" w:rsidRDefault="0032638E">
            <w:pPr>
              <w:keepNext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904AE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Exp. Rate %</w:t>
            </w:r>
            <w:r w:rsidR="00AF29D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br/>
              <w:t>at 31/12/2018</w:t>
            </w:r>
          </w:p>
        </w:tc>
      </w:tr>
      <w:tr w:rsidR="0032638E" w:rsidRPr="00524C74" w14:paraId="02966171" w14:textId="77777777" w:rsidTr="00D90428">
        <w:trPr>
          <w:trHeight w:val="465"/>
          <w:jc w:val="center"/>
        </w:trPr>
        <w:tc>
          <w:tcPr>
            <w:tcW w:w="2000" w:type="pct"/>
            <w:shd w:val="clear" w:color="auto" w:fill="auto"/>
          </w:tcPr>
          <w:p w14:paraId="743003A4" w14:textId="4DFE2334" w:rsidR="0032638E" w:rsidRPr="00904AEB" w:rsidRDefault="004B24D0" w:rsidP="0012712B">
            <w:pPr>
              <w:keepNext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1,718,184</w:t>
            </w:r>
            <w:r w:rsidR="0032638E" w:rsidRPr="00904AEB">
              <w:rPr>
                <w:rFonts w:ascii="Arial" w:eastAsia="Calibri" w:hAnsi="Arial" w:cs="Arial"/>
                <w:sz w:val="20"/>
                <w:szCs w:val="20"/>
                <w:lang w:val="en-GB"/>
              </w:rPr>
              <w:t>.00</w:t>
            </w:r>
            <w:r w:rsidR="0032638E" w:rsidRPr="00904AEB">
              <w:rPr>
                <w:rStyle w:val="FootnoteReference"/>
                <w:rFonts w:ascii="Arial" w:eastAsia="Calibri" w:hAnsi="Arial" w:cs="Arial"/>
                <w:sz w:val="20"/>
                <w:szCs w:val="20"/>
                <w:lang w:val="en-GB"/>
              </w:rPr>
              <w:footnoteReference w:id="1"/>
            </w:r>
          </w:p>
        </w:tc>
        <w:tc>
          <w:tcPr>
            <w:tcW w:w="2118" w:type="pct"/>
            <w:shd w:val="clear" w:color="auto" w:fill="auto"/>
          </w:tcPr>
          <w:p w14:paraId="7108993F" w14:textId="493DC98D" w:rsidR="0032638E" w:rsidRPr="00904AEB" w:rsidRDefault="004B24D0" w:rsidP="00FE3A07">
            <w:pPr>
              <w:keepNext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629,857.78</w:t>
            </w:r>
          </w:p>
        </w:tc>
        <w:tc>
          <w:tcPr>
            <w:tcW w:w="882" w:type="pct"/>
            <w:shd w:val="clear" w:color="auto" w:fill="auto"/>
          </w:tcPr>
          <w:p w14:paraId="71EBEAAA" w14:textId="658B355E" w:rsidR="0032638E" w:rsidRPr="00904AEB" w:rsidRDefault="004B24D0" w:rsidP="00FE3A07">
            <w:pPr>
              <w:keepNext/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36.7</w:t>
            </w:r>
            <w:r w:rsidR="0032638E" w:rsidRPr="00904AEB">
              <w:rPr>
                <w:rFonts w:ascii="Arial" w:eastAsia="Calibri" w:hAnsi="Arial" w:cs="Arial"/>
                <w:sz w:val="20"/>
                <w:szCs w:val="20"/>
                <w:lang w:val="en-GB"/>
              </w:rPr>
              <w:t>%</w:t>
            </w:r>
          </w:p>
        </w:tc>
      </w:tr>
    </w:tbl>
    <w:p w14:paraId="5E24CBE5" w14:textId="1DB2BD1A" w:rsidR="00A74D6C" w:rsidRPr="00524C74" w:rsidRDefault="00A74D6C" w:rsidP="00CE78C9">
      <w:pPr>
        <w:keepNext/>
        <w:spacing w:before="240" w:after="120"/>
        <w:ind w:left="851" w:hanging="85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524C74">
        <w:rPr>
          <w:rFonts w:ascii="Arial" w:hAnsi="Arial" w:cs="Arial"/>
          <w:b/>
          <w:sz w:val="22"/>
          <w:szCs w:val="22"/>
          <w:lang w:val="en-GB"/>
        </w:rPr>
        <w:t>ER 1:</w:t>
      </w:r>
      <w:r w:rsidRPr="00524C74">
        <w:rPr>
          <w:rFonts w:ascii="Arial" w:hAnsi="Arial" w:cs="Arial"/>
          <w:b/>
          <w:sz w:val="22"/>
          <w:szCs w:val="22"/>
          <w:lang w:val="en-GB"/>
        </w:rPr>
        <w:tab/>
      </w:r>
      <w:r w:rsidR="008A057C" w:rsidRPr="00524C74">
        <w:rPr>
          <w:rFonts w:ascii="Arial" w:hAnsi="Arial" w:cs="Arial"/>
          <w:b/>
          <w:bCs/>
          <w:sz w:val="22"/>
          <w:szCs w:val="22"/>
          <w:lang w:val="en-GB"/>
        </w:rPr>
        <w:t>Sound governance of the 2003 Convention facilitated by enhanced</w:t>
      </w:r>
      <w:r w:rsidR="00DB1367">
        <w:rPr>
          <w:rFonts w:ascii="Arial" w:hAnsi="Arial" w:cs="Arial"/>
          <w:b/>
          <w:bCs/>
          <w:sz w:val="22"/>
          <w:szCs w:val="22"/>
          <w:lang w:val="en-GB"/>
        </w:rPr>
        <w:t xml:space="preserve"> monitoring</w:t>
      </w:r>
      <w:r w:rsidR="008A057C" w:rsidRPr="00524C7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DB1367">
        <w:rPr>
          <w:rFonts w:ascii="Arial" w:hAnsi="Arial" w:cs="Arial"/>
          <w:b/>
          <w:bCs/>
          <w:sz w:val="22"/>
          <w:szCs w:val="22"/>
          <w:lang w:val="en-GB"/>
        </w:rPr>
        <w:t xml:space="preserve">and </w:t>
      </w:r>
      <w:r w:rsidR="008A057C" w:rsidRPr="00524C74">
        <w:rPr>
          <w:rFonts w:ascii="Arial" w:hAnsi="Arial" w:cs="Arial"/>
          <w:b/>
          <w:bCs/>
          <w:sz w:val="22"/>
          <w:szCs w:val="22"/>
          <w:lang w:val="en-GB"/>
        </w:rPr>
        <w:t>knowledge management services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2"/>
        <w:gridCol w:w="4081"/>
        <w:gridCol w:w="1702"/>
      </w:tblGrid>
      <w:tr w:rsidR="007C7A03" w:rsidRPr="00524C74" w14:paraId="2492AEAC" w14:textId="77777777" w:rsidTr="00725503">
        <w:trPr>
          <w:jc w:val="center"/>
        </w:trPr>
        <w:tc>
          <w:tcPr>
            <w:tcW w:w="1999" w:type="pct"/>
            <w:shd w:val="clear" w:color="auto" w:fill="C6D9F1"/>
            <w:vAlign w:val="center"/>
          </w:tcPr>
          <w:p w14:paraId="44AEF19A" w14:textId="77777777" w:rsidR="0032638E" w:rsidRPr="00524C74" w:rsidRDefault="0032638E" w:rsidP="00A23C98">
            <w:pPr>
              <w:keepNext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Allocation</w:t>
            </w:r>
          </w:p>
        </w:tc>
        <w:tc>
          <w:tcPr>
            <w:tcW w:w="2118" w:type="pct"/>
            <w:shd w:val="clear" w:color="auto" w:fill="C6D9F1"/>
            <w:vAlign w:val="center"/>
          </w:tcPr>
          <w:p w14:paraId="06777086" w14:textId="77777777" w:rsidR="0032638E" w:rsidRPr="00524C74" w:rsidRDefault="0032638E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Expenditures</w:t>
            </w:r>
          </w:p>
        </w:tc>
        <w:tc>
          <w:tcPr>
            <w:tcW w:w="883" w:type="pct"/>
            <w:shd w:val="clear" w:color="auto" w:fill="C6D9F1"/>
            <w:vAlign w:val="center"/>
          </w:tcPr>
          <w:p w14:paraId="2F247469" w14:textId="606B3789" w:rsidR="0032638E" w:rsidRPr="00524C74" w:rsidRDefault="0032638E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Exp. Rate %</w:t>
            </w:r>
            <w:r w:rsidR="00AF29D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br/>
              <w:t>at 31/12/2018</w:t>
            </w:r>
          </w:p>
        </w:tc>
      </w:tr>
      <w:tr w:rsidR="007C7A03" w:rsidRPr="00524C74" w14:paraId="799380B6" w14:textId="77777777" w:rsidTr="00D90428">
        <w:trPr>
          <w:jc w:val="center"/>
        </w:trPr>
        <w:tc>
          <w:tcPr>
            <w:tcW w:w="1999" w:type="pct"/>
            <w:shd w:val="clear" w:color="auto" w:fill="auto"/>
          </w:tcPr>
          <w:p w14:paraId="2A43BDC0" w14:textId="756B6056" w:rsidR="0032638E" w:rsidRPr="00524C74" w:rsidRDefault="004B24D0" w:rsidP="00FE3A07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338,512</w:t>
            </w:r>
            <w:r w:rsidR="0032638E" w:rsidRPr="00524C74">
              <w:rPr>
                <w:rFonts w:ascii="Arial" w:eastAsia="Calibri" w:hAnsi="Arial" w:cs="Arial"/>
                <w:sz w:val="20"/>
                <w:szCs w:val="20"/>
                <w:lang w:val="en-GB"/>
              </w:rPr>
              <w:t>.00</w:t>
            </w:r>
          </w:p>
        </w:tc>
        <w:tc>
          <w:tcPr>
            <w:tcW w:w="2118" w:type="pct"/>
            <w:shd w:val="clear" w:color="auto" w:fill="auto"/>
          </w:tcPr>
          <w:p w14:paraId="03D32A3F" w14:textId="19A9D821" w:rsidR="0032638E" w:rsidRPr="00524C74" w:rsidRDefault="004B24D0" w:rsidP="00FE3A07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254,925.39</w:t>
            </w:r>
          </w:p>
        </w:tc>
        <w:tc>
          <w:tcPr>
            <w:tcW w:w="883" w:type="pct"/>
            <w:shd w:val="clear" w:color="auto" w:fill="auto"/>
          </w:tcPr>
          <w:p w14:paraId="57086EE7" w14:textId="02C9E6DE" w:rsidR="0032638E" w:rsidRPr="00524C74" w:rsidRDefault="004B24D0" w:rsidP="00FE3A07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75.3</w:t>
            </w:r>
            <w:r w:rsidR="0032638E" w:rsidRPr="00524C74">
              <w:rPr>
                <w:rFonts w:ascii="Arial" w:eastAsia="Calibri" w:hAnsi="Arial" w:cs="Arial"/>
                <w:sz w:val="20"/>
                <w:szCs w:val="20"/>
                <w:lang w:val="en-GB"/>
              </w:rPr>
              <w:t>%</w:t>
            </w:r>
          </w:p>
        </w:tc>
      </w:tr>
    </w:tbl>
    <w:p w14:paraId="2ABDBC6E" w14:textId="77777777" w:rsidR="00A74D6C" w:rsidRPr="00D90428" w:rsidRDefault="00A74D6C" w:rsidP="00D9042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4082"/>
        <w:gridCol w:w="1701"/>
      </w:tblGrid>
      <w:tr w:rsidR="00C2282C" w:rsidRPr="00524C74" w14:paraId="1BAB7924" w14:textId="77777777" w:rsidTr="00D90428">
        <w:trPr>
          <w:tblHeader/>
          <w:jc w:val="center"/>
        </w:trPr>
        <w:tc>
          <w:tcPr>
            <w:tcW w:w="3855" w:type="dxa"/>
            <w:shd w:val="clear" w:color="auto" w:fill="D9D9D9"/>
            <w:vAlign w:val="center"/>
          </w:tcPr>
          <w:p w14:paraId="4BF29A9B" w14:textId="7BAE831C" w:rsidR="00C2282C" w:rsidRPr="00524C74" w:rsidRDefault="00C2282C" w:rsidP="0032638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lastRenderedPageBreak/>
              <w:t>Output</w:t>
            </w: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br/>
              <w:t>Indicators/Benchmark (B)</w:t>
            </w:r>
          </w:p>
        </w:tc>
        <w:tc>
          <w:tcPr>
            <w:tcW w:w="4082" w:type="dxa"/>
            <w:shd w:val="clear" w:color="auto" w:fill="D9D9D9"/>
            <w:vAlign w:val="center"/>
          </w:tcPr>
          <w:p w14:paraId="35221390" w14:textId="035D6A2F" w:rsidR="00C2282C" w:rsidRPr="00524C74" w:rsidRDefault="00C2282C" w:rsidP="0032638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Assessment of progress:</w:t>
            </w: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br/>
              <w:t>01/01/201</w:t>
            </w:r>
            <w:r w:rsidR="004B24D0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8</w:t>
            </w: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 xml:space="preserve"> to 31/12/201</w:t>
            </w:r>
            <w:r w:rsidR="004B24D0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7553A53" w14:textId="77777777" w:rsidR="00C2282C" w:rsidRPr="00524C74" w:rsidRDefault="00C2282C" w:rsidP="0032638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Assessment of implementation</w:t>
            </w:r>
          </w:p>
        </w:tc>
      </w:tr>
      <w:tr w:rsidR="0032638E" w:rsidRPr="002F0D44" w14:paraId="2CE51E86" w14:textId="77777777" w:rsidTr="00D90428">
        <w:trPr>
          <w:jc w:val="center"/>
        </w:trPr>
        <w:tc>
          <w:tcPr>
            <w:tcW w:w="3855" w:type="dxa"/>
            <w:shd w:val="clear" w:color="auto" w:fill="auto"/>
          </w:tcPr>
          <w:p w14:paraId="622D843A" w14:textId="70E8CCBE" w:rsidR="007C7A03" w:rsidRDefault="0032638E" w:rsidP="0012712B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</w:t>
            </w:r>
            <w:r w:rsidR="00065669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utput</w:t>
            </w:r>
            <w:r w:rsidR="00547439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 xml:space="preserve"> 1.1</w:t>
            </w: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1C531EA4" w14:textId="0B1C9284" w:rsidR="0032638E" w:rsidRPr="00524C74" w:rsidRDefault="00F961DE" w:rsidP="0032638E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F961DE">
              <w:rPr>
                <w:rFonts w:ascii="Arial" w:eastAsia="Calibri" w:hAnsi="Arial" w:cs="Arial"/>
                <w:sz w:val="20"/>
                <w:szCs w:val="20"/>
                <w:lang w:val="en-GB"/>
              </w:rPr>
              <w:t>Processes and response time optimized thanks to monitoring interfaces and online workflows</w:t>
            </w:r>
          </w:p>
          <w:p w14:paraId="7DB4566F" w14:textId="1D528B95" w:rsidR="0032638E" w:rsidRPr="00524C74" w:rsidRDefault="004B24D0" w:rsidP="0032638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 2018-2019</w:t>
            </w:r>
            <w:r w:rsidR="0032638E" w:rsidRPr="00524C74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0A64DD9C" w14:textId="3FA8D984" w:rsidR="00A516C0" w:rsidRPr="00524C74" w:rsidRDefault="00F961DE" w:rsidP="000461D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F961DE">
              <w:rPr>
                <w:rFonts w:ascii="Arial" w:eastAsia="Calibri" w:hAnsi="Arial" w:cs="Arial"/>
                <w:sz w:val="20"/>
                <w:szCs w:val="20"/>
                <w:lang w:val="en-GB"/>
              </w:rPr>
              <w:t>Three new monitoring interfaces and online workflows</w:t>
            </w:r>
          </w:p>
        </w:tc>
        <w:tc>
          <w:tcPr>
            <w:tcW w:w="4082" w:type="dxa"/>
            <w:shd w:val="clear" w:color="auto" w:fill="auto"/>
          </w:tcPr>
          <w:p w14:paraId="4D1E168A" w14:textId="06B52316" w:rsidR="002F0D44" w:rsidRPr="00D84425" w:rsidRDefault="00D84425" w:rsidP="00D90428">
            <w:pPr>
              <w:pStyle w:val="ListParagraph"/>
              <w:numPr>
                <w:ilvl w:val="0"/>
                <w:numId w:val="5"/>
              </w:numPr>
              <w:spacing w:before="32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Online system for </w:t>
            </w:r>
            <w:r w:rsidR="002F0D44" w:rsidRPr="00D84425">
              <w:rPr>
                <w:rFonts w:ascii="Arial" w:eastAsia="Calibri" w:hAnsi="Arial" w:cs="Arial"/>
                <w:sz w:val="20"/>
                <w:szCs w:val="20"/>
                <w:lang w:val="en-GB"/>
              </w:rPr>
              <w:t>NGO reaccreditation (</w:t>
            </w:r>
            <w:r w:rsidR="00841512" w:rsidRPr="00D84425">
              <w:rPr>
                <w:rFonts w:ascii="Arial" w:eastAsia="Calibri" w:hAnsi="Arial" w:cs="Arial"/>
                <w:sz w:val="20"/>
                <w:szCs w:val="20"/>
                <w:lang w:val="en-GB"/>
              </w:rPr>
              <w:t>quadrennial</w:t>
            </w:r>
            <w:r w:rsidR="002F0D44" w:rsidRPr="00D84425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reports) fully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operational</w:t>
            </w:r>
            <w:r w:rsidR="002F0D44" w:rsidRPr="00D84425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for 2019 submission</w:t>
            </w:r>
            <w:r w:rsidR="00AB46CB">
              <w:rPr>
                <w:rFonts w:ascii="Arial" w:eastAsia="Calibri" w:hAnsi="Arial" w:cs="Arial"/>
                <w:sz w:val="20"/>
                <w:szCs w:val="20"/>
                <w:lang w:val="en-GB"/>
              </w:rPr>
              <w:t>s</w:t>
            </w:r>
            <w:r w:rsidR="004A3CDB" w:rsidRPr="00D84425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53CB6022" w14:textId="6E0FB2DE" w:rsidR="0032638E" w:rsidRPr="00524C74" w:rsidRDefault="00392D30" w:rsidP="00D90428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I</w:t>
            </w:r>
            <w:r w:rsidR="008552F1">
              <w:rPr>
                <w:rFonts w:ascii="Arial" w:eastAsia="Calibri" w:hAnsi="Arial" w:cs="Arial"/>
                <w:sz w:val="20"/>
                <w:szCs w:val="20"/>
                <w:lang w:val="en-GB"/>
              </w:rPr>
              <w:t>n</w:t>
            </w:r>
            <w:r w:rsidR="0054743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coming and </w:t>
            </w:r>
            <w:r w:rsidR="002F0D44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outgoing correspondence </w:t>
            </w:r>
            <w:r w:rsidR="0054743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integrated into the ‘country pages’ of the </w:t>
            </w:r>
            <w:r w:rsidR="002F0D44">
              <w:rPr>
                <w:rFonts w:ascii="Arial" w:eastAsia="Calibri" w:hAnsi="Arial" w:cs="Arial"/>
                <w:sz w:val="20"/>
                <w:szCs w:val="20"/>
                <w:lang w:val="en-GB"/>
              </w:rPr>
              <w:t>internal interfaces</w:t>
            </w:r>
            <w:r w:rsidR="004A3CDB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701" w:type="dxa"/>
          </w:tcPr>
          <w:p w14:paraId="3C33DE54" w14:textId="5BE15E19" w:rsidR="0032638E" w:rsidRPr="00524C74" w:rsidRDefault="002F0D44" w:rsidP="00D90428">
            <w:pPr>
              <w:pStyle w:val="ListParagraph"/>
              <w:spacing w:before="320" w:after="60"/>
              <w:ind w:left="0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Partially accomplished</w:t>
            </w:r>
          </w:p>
        </w:tc>
      </w:tr>
      <w:tr w:rsidR="0032638E" w:rsidRPr="002F0D44" w14:paraId="54DBD66B" w14:textId="77777777" w:rsidTr="00D90428">
        <w:trPr>
          <w:jc w:val="center"/>
        </w:trPr>
        <w:tc>
          <w:tcPr>
            <w:tcW w:w="3855" w:type="dxa"/>
            <w:shd w:val="clear" w:color="auto" w:fill="auto"/>
          </w:tcPr>
          <w:p w14:paraId="6CD0C4A2" w14:textId="28DA5ABE" w:rsidR="0032638E" w:rsidRPr="00524C74" w:rsidRDefault="0032638E" w:rsidP="0032638E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</w:t>
            </w:r>
            <w:r w:rsidR="00547439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utput 1.2</w:t>
            </w: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533336FD" w14:textId="1E5630E3" w:rsidR="00F961DE" w:rsidRPr="00F961DE" w:rsidRDefault="00F961DE" w:rsidP="0032638E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F961DE">
              <w:rPr>
                <w:rFonts w:ascii="Arial" w:eastAsia="Calibri" w:hAnsi="Arial" w:cs="Arial"/>
                <w:sz w:val="20"/>
                <w:szCs w:val="20"/>
                <w:lang w:val="en-GB"/>
              </w:rPr>
              <w:t>Clearing-house function of the knowledge management system enhanced</w:t>
            </w:r>
          </w:p>
          <w:p w14:paraId="489CE9A1" w14:textId="39E36557" w:rsidR="0032638E" w:rsidRPr="00524C74" w:rsidRDefault="00F961DE" w:rsidP="0032638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 2018-2019</w:t>
            </w:r>
            <w:r w:rsidR="0032638E" w:rsidRPr="00524C74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26CDCBD6" w14:textId="5DB50EA7" w:rsidR="0032638E" w:rsidRPr="00524C74" w:rsidRDefault="00F961DE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F961DE">
              <w:rPr>
                <w:rFonts w:ascii="Arial" w:eastAsia="Calibri" w:hAnsi="Arial" w:cs="Arial"/>
                <w:sz w:val="20"/>
                <w:szCs w:val="20"/>
                <w:lang w:val="en-GB"/>
              </w:rPr>
              <w:t>Three new datasets made available online</w:t>
            </w:r>
          </w:p>
        </w:tc>
        <w:tc>
          <w:tcPr>
            <w:tcW w:w="4082" w:type="dxa"/>
            <w:shd w:val="clear" w:color="auto" w:fill="auto"/>
          </w:tcPr>
          <w:p w14:paraId="5CD95F75" w14:textId="4CEAA585" w:rsidR="002F0D44" w:rsidRDefault="002F0D44" w:rsidP="00D90428">
            <w:pPr>
              <w:pStyle w:val="ListParagraph"/>
              <w:numPr>
                <w:ilvl w:val="0"/>
                <w:numId w:val="5"/>
              </w:numPr>
              <w:spacing w:before="32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Open access granted to </w:t>
            </w:r>
            <w:r w:rsidR="00065669">
              <w:rPr>
                <w:rFonts w:ascii="Arial" w:eastAsia="Calibri" w:hAnsi="Arial" w:cs="Arial"/>
                <w:sz w:val="20"/>
                <w:szCs w:val="20"/>
                <w:lang w:val="en-GB"/>
              </w:rPr>
              <w:t>information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about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(1) inscribed elements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>;</w:t>
            </w:r>
            <w:r w:rsidR="009C0BF7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(2) 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accredited NGOs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>;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and (3) projects (downloadable files)</w:t>
            </w:r>
            <w:r w:rsidR="004A3CDB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7E0F6739" w14:textId="3BE1679E" w:rsidR="00734570" w:rsidRPr="00734570" w:rsidRDefault="00841512" w:rsidP="00734570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Data visualization</w:t>
            </w:r>
            <w:r w:rsidR="002F0D44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prototype developed</w:t>
            </w:r>
            <w:r w:rsidR="0006566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734570">
              <w:rPr>
                <w:rFonts w:ascii="Arial" w:eastAsia="Calibri" w:hAnsi="Arial" w:cs="Arial"/>
                <w:sz w:val="20"/>
                <w:szCs w:val="20"/>
                <w:lang w:val="en-GB"/>
              </w:rPr>
              <w:t>in preparation of the project</w:t>
            </w:r>
            <w:r w:rsidR="0006566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2F0D44">
              <w:rPr>
                <w:rFonts w:ascii="Arial" w:eastAsia="Calibri" w:hAnsi="Arial" w:cs="Arial"/>
                <w:sz w:val="20"/>
                <w:szCs w:val="20"/>
                <w:lang w:val="en-GB"/>
              </w:rPr>
              <w:t>‘Dive into Intangible Cultural</w:t>
            </w:r>
            <w:r w:rsidR="000E56CE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Heritage’</w:t>
            </w:r>
            <w:r w:rsidR="002E585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, which allows 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for </w:t>
            </w:r>
            <w:r w:rsidR="002E5859">
              <w:rPr>
                <w:rFonts w:ascii="Arial" w:eastAsia="Calibri" w:hAnsi="Arial" w:cs="Arial"/>
                <w:sz w:val="20"/>
                <w:szCs w:val="20"/>
                <w:lang w:val="en-GB"/>
              </w:rPr>
              <w:t>interactive visual navigation through inscribed elements on the Lists</w:t>
            </w:r>
            <w:r w:rsidR="004A3CDB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5728D763" w14:textId="6BEBCF70" w:rsidR="0032638E" w:rsidRPr="00524C74" w:rsidRDefault="002F0D44" w:rsidP="00D90428">
            <w:pPr>
              <w:spacing w:before="320" w:after="6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Accomplished</w:t>
            </w:r>
          </w:p>
        </w:tc>
      </w:tr>
      <w:tr w:rsidR="00C2282C" w:rsidRPr="002F0D44" w14:paraId="7B0B1562" w14:textId="77777777" w:rsidTr="00D90428">
        <w:trPr>
          <w:jc w:val="center"/>
        </w:trPr>
        <w:tc>
          <w:tcPr>
            <w:tcW w:w="3855" w:type="dxa"/>
            <w:shd w:val="clear" w:color="auto" w:fill="auto"/>
          </w:tcPr>
          <w:p w14:paraId="10BD9E77" w14:textId="5B16422C" w:rsidR="00C2282C" w:rsidRPr="00F961DE" w:rsidRDefault="00C2282C" w:rsidP="0032638E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F961DE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</w:t>
            </w:r>
            <w:r w:rsidR="00547439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utput 1.3</w:t>
            </w:r>
            <w:r w:rsidRPr="00F961DE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19A17D05" w14:textId="1FB1886F" w:rsidR="00F961DE" w:rsidRPr="00F961DE" w:rsidRDefault="00F961DE" w:rsidP="0032638E">
            <w:pPr>
              <w:keepNext/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F961DE">
              <w:rPr>
                <w:rFonts w:ascii="Arial" w:eastAsia="Calibri" w:hAnsi="Arial" w:cs="Arial"/>
                <w:sz w:val="20"/>
                <w:szCs w:val="20"/>
                <w:lang w:val="en-GB"/>
              </w:rPr>
              <w:t>Interaction with key stakeholders strengthened for improved synergies</w:t>
            </w:r>
          </w:p>
          <w:p w14:paraId="03E7B10E" w14:textId="78CBD2ED" w:rsidR="00C2282C" w:rsidRPr="00F961DE" w:rsidRDefault="00F961DE" w:rsidP="0032638E">
            <w:pPr>
              <w:keepNext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F961DE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B 2018-2019</w:t>
            </w:r>
            <w:r w:rsidR="00C2282C" w:rsidRPr="00F961DE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6A802912" w14:textId="700DE280" w:rsidR="00C2282C" w:rsidRPr="00524C74" w:rsidRDefault="00F961DE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F961DE">
              <w:rPr>
                <w:rFonts w:ascii="Arial" w:eastAsia="Calibri" w:hAnsi="Arial" w:cs="Arial"/>
                <w:sz w:val="20"/>
                <w:szCs w:val="20"/>
                <w:lang w:val="en-GB"/>
              </w:rPr>
              <w:t>Three ‘interconnections’ established</w:t>
            </w:r>
          </w:p>
        </w:tc>
        <w:tc>
          <w:tcPr>
            <w:tcW w:w="4082" w:type="dxa"/>
            <w:shd w:val="clear" w:color="auto" w:fill="auto"/>
          </w:tcPr>
          <w:p w14:paraId="70C056D3" w14:textId="28358E7E" w:rsidR="002F0D44" w:rsidRDefault="003B1562" w:rsidP="00D90428">
            <w:pPr>
              <w:pStyle w:val="ListParagraph"/>
              <w:numPr>
                <w:ilvl w:val="0"/>
                <w:numId w:val="5"/>
              </w:numPr>
              <w:spacing w:before="32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C</w:t>
            </w:r>
            <w:r w:rsidR="00734570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onnector </w:t>
            </w:r>
            <w:r w:rsidR="002F0D44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to the UNESCO Thesaurus </w:t>
            </w:r>
            <w:r w:rsidR="00734570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established for data </w:t>
            </w:r>
            <w:r w:rsidR="002F0D44">
              <w:rPr>
                <w:rFonts w:ascii="Arial" w:eastAsia="Calibri" w:hAnsi="Arial" w:cs="Arial"/>
                <w:sz w:val="20"/>
                <w:szCs w:val="20"/>
                <w:lang w:val="en-GB"/>
              </w:rPr>
              <w:t>indexing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51B48037" w14:textId="36F9E09C" w:rsidR="00734570" w:rsidRPr="0078594A" w:rsidRDefault="002F0D44" w:rsidP="0078594A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Single </w:t>
            </w:r>
            <w:r w:rsidR="0078594A">
              <w:rPr>
                <w:rFonts w:ascii="Arial" w:eastAsia="Calibri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ign</w:t>
            </w:r>
            <w:r w:rsidR="00065669">
              <w:rPr>
                <w:rFonts w:ascii="Arial" w:eastAsia="Calibri" w:hAnsi="Arial" w:cs="Arial"/>
                <w:sz w:val="20"/>
                <w:szCs w:val="20"/>
                <w:lang w:val="en-GB"/>
              </w:rPr>
              <w:t>-</w:t>
            </w:r>
            <w:r w:rsidR="0078594A">
              <w:rPr>
                <w:rFonts w:ascii="Arial" w:eastAsia="Calibri" w:hAnsi="Arial" w:cs="Arial"/>
                <w:sz w:val="20"/>
                <w:szCs w:val="20"/>
                <w:lang w:val="en-GB"/>
              </w:rPr>
              <w:t>o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n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bridge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78594A">
              <w:rPr>
                <w:rFonts w:ascii="Arial" w:eastAsia="Calibri" w:hAnsi="Arial" w:cs="Arial"/>
                <w:sz w:val="20"/>
                <w:szCs w:val="20"/>
                <w:lang w:val="en-GB"/>
              </w:rPr>
              <w:t>implemented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>,</w:t>
            </w:r>
            <w:r w:rsidR="0078594A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982C37">
              <w:rPr>
                <w:rFonts w:ascii="Arial" w:eastAsia="Calibri" w:hAnsi="Arial" w:cs="Arial"/>
                <w:sz w:val="20"/>
                <w:szCs w:val="20"/>
                <w:lang w:val="en-GB"/>
              </w:rPr>
              <w:t>allow</w:t>
            </w:r>
            <w:r w:rsidR="0078594A">
              <w:rPr>
                <w:rFonts w:ascii="Arial" w:eastAsia="Calibri" w:hAnsi="Arial" w:cs="Arial"/>
                <w:sz w:val="20"/>
                <w:szCs w:val="20"/>
                <w:lang w:val="en-GB"/>
              </w:rPr>
              <w:t>ing</w:t>
            </w:r>
            <w:r w:rsidR="00982C37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for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an </w:t>
            </w:r>
            <w:r w:rsidR="00841512">
              <w:rPr>
                <w:rFonts w:ascii="Arial" w:eastAsia="Calibri" w:hAnsi="Arial" w:cs="Arial"/>
                <w:sz w:val="20"/>
                <w:szCs w:val="20"/>
                <w:lang w:val="en-GB"/>
              </w:rPr>
              <w:t>authentication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on </w:t>
            </w:r>
            <w:r w:rsidR="0078594A">
              <w:rPr>
                <w:rFonts w:ascii="Arial" w:eastAsia="Calibri" w:hAnsi="Arial" w:cs="Arial"/>
                <w:sz w:val="20"/>
                <w:szCs w:val="20"/>
                <w:lang w:val="en-GB"/>
              </w:rPr>
              <w:t>the information system of the 2003 Convention</w:t>
            </w:r>
            <w:r w:rsidR="00982C37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using 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UNESCO Directory</w:t>
            </w:r>
            <w:r w:rsidR="004A3CDB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701" w:type="dxa"/>
          </w:tcPr>
          <w:p w14:paraId="14A78E4E" w14:textId="62665645" w:rsidR="00C2282C" w:rsidRPr="00524C74" w:rsidRDefault="002F0D44" w:rsidP="00D90428">
            <w:pPr>
              <w:spacing w:before="320" w:after="6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Partially accomplished</w:t>
            </w:r>
          </w:p>
        </w:tc>
      </w:tr>
      <w:tr w:rsidR="00C2282C" w:rsidRPr="004B3706" w14:paraId="6E4C2868" w14:textId="77777777" w:rsidTr="00D90428">
        <w:trPr>
          <w:jc w:val="center"/>
        </w:trPr>
        <w:tc>
          <w:tcPr>
            <w:tcW w:w="3855" w:type="dxa"/>
            <w:shd w:val="clear" w:color="auto" w:fill="auto"/>
          </w:tcPr>
          <w:p w14:paraId="734042A4" w14:textId="4AC2BC73" w:rsidR="00C2282C" w:rsidRPr="00524C74" w:rsidRDefault="00C2282C" w:rsidP="0032638E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</w:t>
            </w:r>
            <w:r w:rsidR="00547439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utput 1.4</w:t>
            </w:r>
            <w:r w:rsidR="007C7A03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58FC8741" w14:textId="408ABA1F" w:rsidR="0026684B" w:rsidRPr="0026684B" w:rsidRDefault="0026684B" w:rsidP="0032638E">
            <w:pPr>
              <w:keepNext/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26684B">
              <w:rPr>
                <w:rFonts w:ascii="Arial" w:eastAsia="Calibri" w:hAnsi="Arial" w:cs="Arial"/>
                <w:sz w:val="20"/>
                <w:szCs w:val="20"/>
                <w:lang w:val="en-GB"/>
              </w:rPr>
              <w:t>Overall results framework for the Convention complemented</w:t>
            </w:r>
          </w:p>
          <w:p w14:paraId="34B7A719" w14:textId="2BC46211" w:rsidR="00C2282C" w:rsidRPr="00524C74" w:rsidRDefault="00C2282C" w:rsidP="0032638E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hAnsi="Arial" w:cs="Arial"/>
                <w:b/>
                <w:sz w:val="20"/>
                <w:szCs w:val="20"/>
                <w:lang w:val="en-GB"/>
              </w:rPr>
              <w:t>B 201</w:t>
            </w:r>
            <w:r w:rsidR="0026684B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Pr="00524C74">
              <w:rPr>
                <w:rFonts w:ascii="Arial" w:hAnsi="Arial" w:cs="Arial"/>
                <w:b/>
                <w:sz w:val="20"/>
                <w:szCs w:val="20"/>
                <w:lang w:val="en-GB"/>
              </w:rPr>
              <w:t>-201</w:t>
            </w:r>
            <w:r w:rsidR="0026684B">
              <w:rPr>
                <w:rFonts w:ascii="Arial" w:hAnsi="Arial" w:cs="Arial"/>
                <w:b/>
                <w:sz w:val="20"/>
                <w:szCs w:val="20"/>
                <w:lang w:val="en-GB"/>
              </w:rPr>
              <w:t>9</w:t>
            </w:r>
            <w:r w:rsidRPr="00524C74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25C31DA3" w14:textId="2B2A80E3" w:rsidR="0032100F" w:rsidRPr="00524C74" w:rsidRDefault="0026684B" w:rsidP="000461D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26684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Twenty-six guidance notes developed to assist 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>with</w:t>
            </w:r>
            <w:r w:rsidR="003B1562" w:rsidRPr="0026684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26684B">
              <w:rPr>
                <w:rFonts w:ascii="Arial" w:eastAsia="Calibri" w:hAnsi="Arial" w:cs="Arial"/>
                <w:sz w:val="20"/>
                <w:szCs w:val="20"/>
                <w:lang w:val="en-GB"/>
              </w:rPr>
              <w:t>the collection of relevant information for each indicator of the results framework</w:t>
            </w:r>
          </w:p>
        </w:tc>
        <w:tc>
          <w:tcPr>
            <w:tcW w:w="4082" w:type="dxa"/>
            <w:shd w:val="clear" w:color="auto" w:fill="auto"/>
          </w:tcPr>
          <w:p w14:paraId="54AA872C" w14:textId="189F517E" w:rsidR="00C2282C" w:rsidRPr="00524C74" w:rsidRDefault="004B3706" w:rsidP="00D90428">
            <w:pPr>
              <w:pStyle w:val="ListParagraph"/>
              <w:numPr>
                <w:ilvl w:val="0"/>
                <w:numId w:val="5"/>
              </w:numPr>
              <w:spacing w:before="32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First sample guidance note developed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which will be used as the basis for all twenty-six guidance notes to be prepared </w:t>
            </w:r>
            <w:r w:rsidR="006A5F1E">
              <w:rPr>
                <w:rFonts w:ascii="Arial" w:eastAsia="Calibri" w:hAnsi="Arial" w:cs="Arial"/>
                <w:sz w:val="20"/>
                <w:szCs w:val="20"/>
                <w:lang w:val="en-GB"/>
              </w:rPr>
              <w:t>in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2019</w:t>
            </w:r>
            <w:r w:rsidR="004A3CDB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701" w:type="dxa"/>
          </w:tcPr>
          <w:p w14:paraId="2D10885D" w14:textId="78ABD1B7" w:rsidR="00C2282C" w:rsidRPr="00524C74" w:rsidRDefault="00841512" w:rsidP="00D90428">
            <w:pPr>
              <w:spacing w:before="320" w:after="6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Partially </w:t>
            </w:r>
            <w:r w:rsidR="004B3706" w:rsidRPr="004B3706">
              <w:rPr>
                <w:rFonts w:ascii="Arial" w:eastAsia="Calibri" w:hAnsi="Arial" w:cs="Arial"/>
                <w:sz w:val="20"/>
                <w:szCs w:val="20"/>
                <w:lang w:val="en-GB"/>
              </w:rPr>
              <w:t>accomplished</w:t>
            </w:r>
          </w:p>
        </w:tc>
      </w:tr>
      <w:tr w:rsidR="00C2282C" w:rsidRPr="007C5DBA" w14:paraId="4C32BE67" w14:textId="77777777" w:rsidTr="00D90428">
        <w:trPr>
          <w:jc w:val="center"/>
        </w:trPr>
        <w:tc>
          <w:tcPr>
            <w:tcW w:w="3855" w:type="dxa"/>
            <w:shd w:val="clear" w:color="auto" w:fill="auto"/>
          </w:tcPr>
          <w:p w14:paraId="7AB708B3" w14:textId="22133553" w:rsidR="00C2282C" w:rsidRPr="00524C74" w:rsidRDefault="00C2282C" w:rsidP="00316CCB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</w:t>
            </w:r>
            <w:r w:rsidR="00547439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utput 1.5</w:t>
            </w: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5B0115B0" w14:textId="27F2FB4C" w:rsidR="0026684B" w:rsidRPr="0026684B" w:rsidRDefault="0026684B" w:rsidP="0026684B">
            <w:pPr>
              <w:keepNext/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26684B">
              <w:rPr>
                <w:rFonts w:ascii="Arial" w:eastAsia="Calibri" w:hAnsi="Arial" w:cs="Arial"/>
                <w:sz w:val="20"/>
                <w:szCs w:val="20"/>
                <w:lang w:val="en-GB"/>
              </w:rPr>
              <w:t>Basic Texts of the Convention revised and published</w:t>
            </w:r>
          </w:p>
          <w:p w14:paraId="55A78ABB" w14:textId="2F9F5346" w:rsidR="00C2282C" w:rsidRPr="00524C74" w:rsidRDefault="00C2282C" w:rsidP="008969C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hAnsi="Arial" w:cs="Arial"/>
                <w:b/>
                <w:sz w:val="20"/>
                <w:szCs w:val="20"/>
                <w:lang w:val="en-GB"/>
              </w:rPr>
              <w:t>B 201</w:t>
            </w:r>
            <w:r w:rsidR="0026684B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Pr="00524C74">
              <w:rPr>
                <w:rFonts w:ascii="Arial" w:hAnsi="Arial" w:cs="Arial"/>
                <w:b/>
                <w:sz w:val="20"/>
                <w:szCs w:val="20"/>
                <w:lang w:val="en-GB"/>
              </w:rPr>
              <w:t>-201</w:t>
            </w:r>
            <w:r w:rsidR="0026684B">
              <w:rPr>
                <w:rFonts w:ascii="Arial" w:hAnsi="Arial" w:cs="Arial"/>
                <w:b/>
                <w:sz w:val="20"/>
                <w:szCs w:val="20"/>
                <w:lang w:val="en-GB"/>
              </w:rPr>
              <w:t>9</w:t>
            </w:r>
            <w:r w:rsidRPr="00524C74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7187FABA" w14:textId="2633F7C5" w:rsidR="00C2282C" w:rsidRPr="00524C74" w:rsidRDefault="0026684B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26684B">
              <w:rPr>
                <w:rFonts w:ascii="Arial" w:eastAsia="Calibri" w:hAnsi="Arial" w:cs="Arial"/>
                <w:sz w:val="20"/>
                <w:szCs w:val="20"/>
                <w:lang w:val="en-GB"/>
              </w:rPr>
              <w:t>One publication of the 2018 version of the Basic Texts</w:t>
            </w:r>
          </w:p>
        </w:tc>
        <w:tc>
          <w:tcPr>
            <w:tcW w:w="4082" w:type="dxa"/>
            <w:shd w:val="clear" w:color="auto" w:fill="auto"/>
          </w:tcPr>
          <w:p w14:paraId="17FFA444" w14:textId="3CDCDA37" w:rsidR="00670C3E" w:rsidRPr="00FB63E8" w:rsidRDefault="007C5DBA" w:rsidP="00D90428">
            <w:pPr>
              <w:pStyle w:val="ListParagraph"/>
              <w:numPr>
                <w:ilvl w:val="0"/>
                <w:numId w:val="5"/>
              </w:numPr>
              <w:spacing w:before="32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2018</w:t>
            </w:r>
            <w:r w:rsidRPr="00524C74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edition of the Basic Texts of the Convention</w:t>
            </w:r>
            <w:r w:rsidR="00FB63E8" w:rsidRPr="00630B0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designed, edited and published in the six working l</w:t>
            </w:r>
            <w:r w:rsidR="00FB63E8">
              <w:rPr>
                <w:rFonts w:ascii="Arial" w:eastAsia="Calibri" w:hAnsi="Arial" w:cs="Arial"/>
                <w:sz w:val="20"/>
                <w:szCs w:val="20"/>
                <w:lang w:val="en-GB"/>
              </w:rPr>
              <w:t>anguages of the General Assembly. This version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670C3E">
              <w:rPr>
                <w:rFonts w:ascii="Arial" w:eastAsia="Calibri" w:hAnsi="Arial" w:cs="Arial"/>
                <w:sz w:val="20"/>
                <w:szCs w:val="20"/>
                <w:lang w:val="en-GB"/>
              </w:rPr>
              <w:t>integrat</w:t>
            </w:r>
            <w:r w:rsidR="00FB63E8">
              <w:rPr>
                <w:rFonts w:ascii="Arial" w:eastAsia="Calibri" w:hAnsi="Arial" w:cs="Arial"/>
                <w:sz w:val="20"/>
                <w:szCs w:val="20"/>
                <w:lang w:val="en-GB"/>
              </w:rPr>
              <w:t>es</w:t>
            </w:r>
            <w:r w:rsidR="00670C3E" w:rsidRPr="00630B0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the amendments to the Operational Directives adopted by the </w:t>
            </w:r>
            <w:r w:rsidR="00670C3E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seventh </w:t>
            </w:r>
            <w:r w:rsidR="00670C3E" w:rsidRPr="00630B0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session of the General Assembly and amendments to the Committee’s Rules of Procedure adopted at its </w:t>
            </w:r>
            <w:r w:rsidR="00670C3E">
              <w:rPr>
                <w:rFonts w:ascii="Arial" w:eastAsia="Calibri" w:hAnsi="Arial" w:cs="Arial"/>
                <w:sz w:val="20"/>
                <w:szCs w:val="20"/>
                <w:lang w:val="en-GB"/>
              </w:rPr>
              <w:t>twelfth</w:t>
            </w:r>
            <w:r w:rsidR="00670C3E" w:rsidRPr="00630B0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session</w:t>
            </w:r>
            <w:r w:rsidR="00670C3E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For the first time</w:t>
            </w:r>
            <w:r w:rsidR="000C085B">
              <w:rPr>
                <w:rFonts w:ascii="Arial" w:eastAsia="Calibri" w:hAnsi="Arial" w:cs="Arial"/>
                <w:sz w:val="20"/>
                <w:szCs w:val="20"/>
                <w:lang w:val="en-GB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>gender-neutral language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is</w:t>
            </w:r>
            <w:r w:rsidR="000C085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used</w:t>
            </w:r>
            <w:r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throughout the versions of the publication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in all six languages.</w:t>
            </w:r>
          </w:p>
        </w:tc>
        <w:tc>
          <w:tcPr>
            <w:tcW w:w="1701" w:type="dxa"/>
          </w:tcPr>
          <w:p w14:paraId="454D93FA" w14:textId="2F0140D2" w:rsidR="00C2282C" w:rsidRPr="00524C74" w:rsidRDefault="00BF7862" w:rsidP="00D90428">
            <w:pPr>
              <w:spacing w:before="320" w:after="6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A</w:t>
            </w:r>
            <w:r w:rsidR="007C5DBA">
              <w:rPr>
                <w:rFonts w:ascii="Arial" w:eastAsia="Calibri" w:hAnsi="Arial" w:cs="Arial"/>
                <w:sz w:val="20"/>
                <w:szCs w:val="20"/>
                <w:lang w:val="en-GB"/>
              </w:rPr>
              <w:t>ccomplished</w:t>
            </w:r>
          </w:p>
        </w:tc>
      </w:tr>
    </w:tbl>
    <w:p w14:paraId="51BF546D" w14:textId="77777777" w:rsidR="00A74D6C" w:rsidRPr="00524C74" w:rsidRDefault="00A74D6C" w:rsidP="00C421B8">
      <w:pPr>
        <w:keepNext/>
        <w:spacing w:before="240" w:after="120"/>
        <w:rPr>
          <w:rFonts w:ascii="Arial" w:hAnsi="Arial" w:cs="Arial"/>
          <w:b/>
          <w:sz w:val="22"/>
          <w:szCs w:val="22"/>
          <w:lang w:val="en-GB"/>
        </w:rPr>
      </w:pPr>
      <w:r w:rsidRPr="00524C74">
        <w:rPr>
          <w:rFonts w:ascii="Arial" w:hAnsi="Arial" w:cs="Arial"/>
          <w:b/>
          <w:sz w:val="22"/>
          <w:szCs w:val="22"/>
          <w:lang w:val="en-GB"/>
        </w:rPr>
        <w:lastRenderedPageBreak/>
        <w:t>Challenges and risks in implementation and remedial actions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613A5E" w:rsidRPr="007C5DBA" w14:paraId="33CCF5E2" w14:textId="77777777" w:rsidTr="00D90428">
        <w:trPr>
          <w:tblHeader/>
          <w:jc w:val="center"/>
        </w:trPr>
        <w:tc>
          <w:tcPr>
            <w:tcW w:w="2500" w:type="pct"/>
            <w:shd w:val="clear" w:color="auto" w:fill="D9D9D9"/>
            <w:vAlign w:val="center"/>
          </w:tcPr>
          <w:p w14:paraId="3416BFBA" w14:textId="77777777" w:rsidR="00A74D6C" w:rsidRPr="00D71D21" w:rsidRDefault="00A74D6C" w:rsidP="005563A5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1D21">
              <w:rPr>
                <w:rFonts w:ascii="Arial" w:hAnsi="Arial" w:cs="Arial"/>
                <w:b/>
                <w:sz w:val="20"/>
                <w:szCs w:val="20"/>
                <w:lang w:val="en-GB"/>
              </w:rPr>
              <w:t>Key challenges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67C60C26" w14:textId="77777777" w:rsidR="00A74D6C" w:rsidRPr="00D71D21" w:rsidRDefault="00A74D6C" w:rsidP="005563A5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1D21">
              <w:rPr>
                <w:rFonts w:ascii="Arial" w:hAnsi="Arial" w:cs="Arial"/>
                <w:b/>
                <w:sz w:val="20"/>
                <w:szCs w:val="20"/>
                <w:lang w:val="en-GB"/>
              </w:rPr>
              <w:t>Remedial actions</w:t>
            </w:r>
          </w:p>
        </w:tc>
      </w:tr>
      <w:tr w:rsidR="00613A5E" w:rsidRPr="000C6CD9" w14:paraId="652B54B4" w14:textId="77777777" w:rsidTr="00D90428">
        <w:trPr>
          <w:jc w:val="center"/>
        </w:trPr>
        <w:tc>
          <w:tcPr>
            <w:tcW w:w="2500" w:type="pct"/>
            <w:shd w:val="clear" w:color="auto" w:fill="auto"/>
          </w:tcPr>
          <w:p w14:paraId="0650A785" w14:textId="25131CB7" w:rsidR="00B84606" w:rsidRPr="00D71D21" w:rsidRDefault="002F0D4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accumulation of </w:t>
            </w:r>
            <w:r w:rsidR="007A5BED">
              <w:rPr>
                <w:rFonts w:ascii="Arial" w:hAnsi="Arial" w:cs="Arial"/>
                <w:sz w:val="20"/>
                <w:szCs w:val="20"/>
                <w:lang w:val="en-GB"/>
              </w:rPr>
              <w:t>data</w:t>
            </w:r>
            <w:r w:rsidR="00AE0638">
              <w:rPr>
                <w:rFonts w:ascii="Arial" w:hAnsi="Arial" w:cs="Arial"/>
                <w:sz w:val="20"/>
                <w:szCs w:val="20"/>
                <w:lang w:val="en-GB"/>
              </w:rPr>
              <w:t xml:space="preserve"> over </w:t>
            </w:r>
            <w:r w:rsidR="003B1562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AE0638">
              <w:rPr>
                <w:rFonts w:ascii="Arial" w:hAnsi="Arial" w:cs="Arial"/>
                <w:sz w:val="20"/>
                <w:szCs w:val="20"/>
                <w:lang w:val="en-GB"/>
              </w:rPr>
              <w:t>years</w:t>
            </w:r>
            <w:r w:rsidR="003B1562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AE0638">
              <w:rPr>
                <w:rFonts w:ascii="Arial" w:hAnsi="Arial" w:cs="Arial"/>
                <w:sz w:val="20"/>
                <w:szCs w:val="20"/>
                <w:lang w:val="en-GB"/>
              </w:rPr>
              <w:t xml:space="preserve"> generated through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many different processes</w:t>
            </w:r>
            <w:r w:rsidR="003B1562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E0638">
              <w:rPr>
                <w:rFonts w:ascii="Arial" w:hAnsi="Arial" w:cs="Arial"/>
                <w:sz w:val="20"/>
                <w:szCs w:val="20"/>
                <w:lang w:val="en-GB"/>
              </w:rPr>
              <w:t xml:space="preserve">results in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silos of information</w:t>
            </w:r>
            <w:r w:rsidR="007A5BED">
              <w:rPr>
                <w:rFonts w:ascii="Arial" w:hAnsi="Arial" w:cs="Arial"/>
                <w:sz w:val="20"/>
                <w:szCs w:val="20"/>
                <w:lang w:val="en-GB"/>
              </w:rPr>
              <w:t xml:space="preserve"> where knowledge </w:t>
            </w:r>
            <w:r w:rsidR="009C2564">
              <w:rPr>
                <w:rFonts w:ascii="Arial" w:hAnsi="Arial" w:cs="Arial"/>
                <w:sz w:val="20"/>
                <w:szCs w:val="20"/>
                <w:lang w:val="en-GB"/>
              </w:rPr>
              <w:t>can</w:t>
            </w:r>
            <w:r w:rsidR="007A5BED">
              <w:rPr>
                <w:rFonts w:ascii="Arial" w:hAnsi="Arial" w:cs="Arial"/>
                <w:sz w:val="20"/>
                <w:szCs w:val="20"/>
                <w:lang w:val="en-GB"/>
              </w:rPr>
              <w:t xml:space="preserve">not </w:t>
            </w:r>
            <w:r w:rsidR="009C2564">
              <w:rPr>
                <w:rFonts w:ascii="Arial" w:hAnsi="Arial" w:cs="Arial"/>
                <w:sz w:val="20"/>
                <w:szCs w:val="20"/>
                <w:lang w:val="en-GB"/>
              </w:rPr>
              <w:t xml:space="preserve">be </w:t>
            </w:r>
            <w:r w:rsidR="007A5BED">
              <w:rPr>
                <w:rFonts w:ascii="Arial" w:hAnsi="Arial" w:cs="Arial"/>
                <w:sz w:val="20"/>
                <w:szCs w:val="20"/>
                <w:lang w:val="en-GB"/>
              </w:rPr>
              <w:t>easily accessed by stakeholders of the 2003 Convention or transferred beyond a specific context</w:t>
            </w:r>
            <w:r w:rsidR="00525F2A">
              <w:rPr>
                <w:rFonts w:ascii="Arial" w:hAnsi="Arial" w:cs="Arial"/>
                <w:sz w:val="20"/>
                <w:szCs w:val="20"/>
                <w:lang w:val="en-GB"/>
              </w:rPr>
              <w:t xml:space="preserve"> even </w:t>
            </w:r>
            <w:r w:rsidR="003B1562">
              <w:rPr>
                <w:rFonts w:ascii="Arial" w:hAnsi="Arial" w:cs="Arial"/>
                <w:sz w:val="20"/>
                <w:szCs w:val="20"/>
                <w:lang w:val="en-GB"/>
              </w:rPr>
              <w:t>when it is relevant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7A5BED">
              <w:rPr>
                <w:rFonts w:ascii="Arial" w:hAnsi="Arial" w:cs="Arial"/>
                <w:sz w:val="20"/>
                <w:szCs w:val="20"/>
                <w:lang w:val="en-GB"/>
              </w:rPr>
              <w:t>The challenge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is to </w:t>
            </w:r>
            <w:r w:rsidR="007A5BED">
              <w:rPr>
                <w:rFonts w:ascii="Arial" w:hAnsi="Arial" w:cs="Arial"/>
                <w:sz w:val="20"/>
                <w:szCs w:val="20"/>
                <w:lang w:val="en-GB"/>
              </w:rPr>
              <w:t xml:space="preserve">manage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7A5BED">
              <w:rPr>
                <w:rFonts w:ascii="Arial" w:hAnsi="Arial" w:cs="Arial"/>
                <w:sz w:val="20"/>
                <w:szCs w:val="20"/>
                <w:lang w:val="en-GB"/>
              </w:rPr>
              <w:t xml:space="preserve">multiple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sources to provide an integrated and coherent </w:t>
            </w:r>
            <w:r w:rsidR="007A5BED">
              <w:rPr>
                <w:rFonts w:ascii="Arial" w:hAnsi="Arial" w:cs="Arial"/>
                <w:sz w:val="20"/>
                <w:szCs w:val="20"/>
                <w:lang w:val="en-GB"/>
              </w:rPr>
              <w:t xml:space="preserve">body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information</w:t>
            </w:r>
            <w:r w:rsidR="0037386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14:paraId="5F373CFB" w14:textId="055389F9" w:rsidR="00B84606" w:rsidRPr="00D71D21" w:rsidRDefault="002F0D44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Secretariat has set up indexing mechanisms using generic (</w:t>
            </w:r>
            <w:r w:rsidR="000E45EB">
              <w:rPr>
                <w:rFonts w:ascii="Arial" w:hAnsi="Arial" w:cs="Arial"/>
                <w:sz w:val="20"/>
                <w:szCs w:val="20"/>
                <w:lang w:val="en-GB"/>
              </w:rPr>
              <w:t xml:space="preserve">based on </w:t>
            </w:r>
            <w:r w:rsidR="003B1562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UNESCO Thesaurus) and </w:t>
            </w:r>
            <w:r w:rsidR="000E45EB">
              <w:rPr>
                <w:rFonts w:ascii="Arial" w:hAnsi="Arial" w:cs="Arial"/>
                <w:sz w:val="20"/>
                <w:szCs w:val="20"/>
                <w:lang w:val="en-GB"/>
              </w:rPr>
              <w:t>intangible cultural heritage</w:t>
            </w:r>
            <w:r w:rsidR="003B1562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specific </w:t>
            </w:r>
            <w:r w:rsidR="005A050A">
              <w:rPr>
                <w:rFonts w:ascii="Arial" w:hAnsi="Arial" w:cs="Arial"/>
                <w:sz w:val="20"/>
                <w:szCs w:val="20"/>
                <w:lang w:val="en-GB"/>
              </w:rPr>
              <w:t xml:space="preserve">vocabulary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which </w:t>
            </w:r>
            <w:r w:rsidR="00C352E9">
              <w:rPr>
                <w:rFonts w:ascii="Arial" w:hAnsi="Arial" w:cs="Arial"/>
                <w:sz w:val="20"/>
                <w:szCs w:val="20"/>
                <w:lang w:val="en-GB"/>
              </w:rPr>
              <w:t>will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73861">
              <w:rPr>
                <w:rFonts w:ascii="Arial" w:hAnsi="Arial" w:cs="Arial"/>
                <w:sz w:val="20"/>
                <w:szCs w:val="20"/>
                <w:lang w:val="en-GB"/>
              </w:rPr>
              <w:t xml:space="preserve">ultimately </w:t>
            </w:r>
            <w:r w:rsidR="003B1562">
              <w:rPr>
                <w:rFonts w:ascii="Arial" w:hAnsi="Arial" w:cs="Arial"/>
                <w:sz w:val="20"/>
                <w:szCs w:val="20"/>
                <w:lang w:val="en-GB"/>
              </w:rPr>
              <w:t>make it possible to directly access</w:t>
            </w:r>
            <w:r w:rsidR="00C352E9" w:rsidRPr="0037386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25F2A">
              <w:rPr>
                <w:rFonts w:ascii="Arial" w:hAnsi="Arial" w:cs="Arial"/>
                <w:sz w:val="20"/>
                <w:szCs w:val="20"/>
                <w:lang w:val="en-GB"/>
              </w:rPr>
              <w:t>multiple</w:t>
            </w:r>
            <w:r w:rsidR="00525F2A" w:rsidRPr="0037386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352E9" w:rsidRPr="00373861">
              <w:rPr>
                <w:rFonts w:ascii="Arial" w:hAnsi="Arial" w:cs="Arial"/>
                <w:sz w:val="20"/>
                <w:szCs w:val="20"/>
                <w:lang w:val="en-GB"/>
              </w:rPr>
              <w:t>sources of information</w:t>
            </w:r>
            <w:r w:rsidR="005A050A">
              <w:rPr>
                <w:rFonts w:ascii="Arial" w:hAnsi="Arial" w:cs="Arial"/>
                <w:sz w:val="20"/>
                <w:szCs w:val="20"/>
                <w:lang w:val="en-GB"/>
              </w:rPr>
              <w:t xml:space="preserve"> on similar subjects</w:t>
            </w:r>
            <w:r w:rsidR="0037386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E83A1E" w:rsidRPr="000C6CD9" w14:paraId="7C693442" w14:textId="77777777" w:rsidTr="00D90428">
        <w:trPr>
          <w:jc w:val="center"/>
        </w:trPr>
        <w:tc>
          <w:tcPr>
            <w:tcW w:w="2500" w:type="pct"/>
            <w:shd w:val="clear" w:color="auto" w:fill="auto"/>
          </w:tcPr>
          <w:p w14:paraId="44031445" w14:textId="5C4896DE" w:rsidR="00E83A1E" w:rsidRDefault="00E83A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work of developing guidance notes for the twenty-six indicators of the </w:t>
            </w:r>
            <w:r w:rsidR="00C91B87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verall results framework for the 2003 Convention could </w:t>
            </w:r>
            <w:r w:rsidR="003B1562">
              <w:rPr>
                <w:rFonts w:ascii="Arial" w:hAnsi="Arial" w:cs="Arial"/>
                <w:sz w:val="20"/>
                <w:szCs w:val="20"/>
                <w:lang w:val="en-GB"/>
              </w:rPr>
              <w:t xml:space="preserve">only begin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after the latter </w:t>
            </w:r>
            <w:r w:rsidR="003B1562">
              <w:rPr>
                <w:rFonts w:ascii="Arial" w:hAnsi="Arial" w:cs="Arial"/>
                <w:sz w:val="20"/>
                <w:szCs w:val="20"/>
                <w:lang w:val="en-GB"/>
              </w:rPr>
              <w:t xml:space="preserve">was approved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by the General Assembly at its </w:t>
            </w:r>
            <w:r w:rsidR="005A050A" w:rsidRPr="00F30201">
              <w:rPr>
                <w:rFonts w:ascii="Arial" w:hAnsi="Arial" w:cs="Arial"/>
                <w:sz w:val="20"/>
                <w:szCs w:val="20"/>
                <w:lang w:val="en-GB"/>
              </w:rPr>
              <w:t>seventh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session in June 2018.</w:t>
            </w:r>
            <w:r w:rsidR="00BC6B74">
              <w:rPr>
                <w:rFonts w:ascii="Arial" w:hAnsi="Arial" w:cs="Arial"/>
                <w:sz w:val="20"/>
                <w:szCs w:val="20"/>
                <w:lang w:val="en-GB"/>
              </w:rPr>
              <w:t xml:space="preserve"> The production time for the guidance notes is consequently short.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91B87">
              <w:rPr>
                <w:rFonts w:ascii="Arial" w:hAnsi="Arial" w:cs="Arial"/>
                <w:sz w:val="20"/>
                <w:szCs w:val="20"/>
                <w:lang w:val="en-GB"/>
              </w:rPr>
              <w:t xml:space="preserve">The additional complication </w:t>
            </w:r>
            <w:r w:rsidR="003B1562">
              <w:rPr>
                <w:rFonts w:ascii="Arial" w:hAnsi="Arial" w:cs="Arial"/>
                <w:sz w:val="20"/>
                <w:szCs w:val="20"/>
                <w:lang w:val="en-GB"/>
              </w:rPr>
              <w:t xml:space="preserve">derives </w:t>
            </w:r>
            <w:r w:rsidR="00C91B87">
              <w:rPr>
                <w:rFonts w:ascii="Arial" w:hAnsi="Arial" w:cs="Arial"/>
                <w:sz w:val="20"/>
                <w:szCs w:val="20"/>
                <w:lang w:val="en-GB"/>
              </w:rPr>
              <w:t xml:space="preserve">from the fact that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guidance notes </w:t>
            </w:r>
            <w:r w:rsidR="00C91B87">
              <w:rPr>
                <w:rFonts w:ascii="Arial" w:hAnsi="Arial" w:cs="Arial"/>
                <w:sz w:val="20"/>
                <w:szCs w:val="20"/>
                <w:lang w:val="en-GB"/>
              </w:rPr>
              <w:t xml:space="preserve">need to be produced </w:t>
            </w:r>
            <w:r w:rsidR="00BC6B74">
              <w:rPr>
                <w:rFonts w:ascii="Arial" w:hAnsi="Arial" w:cs="Arial"/>
                <w:sz w:val="20"/>
                <w:szCs w:val="20"/>
                <w:lang w:val="en-GB"/>
              </w:rPr>
              <w:t xml:space="preserve">concomitantly and </w:t>
            </w:r>
            <w:r w:rsidR="00C91B87">
              <w:rPr>
                <w:rFonts w:ascii="Arial" w:hAnsi="Arial" w:cs="Arial"/>
                <w:sz w:val="20"/>
                <w:szCs w:val="20"/>
                <w:lang w:val="en-GB"/>
              </w:rPr>
              <w:t xml:space="preserve">in harmony </w:t>
            </w:r>
            <w:r w:rsidR="00BC6B74">
              <w:rPr>
                <w:rFonts w:ascii="Arial" w:hAnsi="Arial" w:cs="Arial"/>
                <w:sz w:val="20"/>
                <w:szCs w:val="20"/>
                <w:lang w:val="en-GB"/>
              </w:rPr>
              <w:t>with</w:t>
            </w:r>
            <w:r w:rsidR="00C91B87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reform of the periodic reporting mechanism given that two issues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are closely linked.</w:t>
            </w:r>
          </w:p>
        </w:tc>
        <w:tc>
          <w:tcPr>
            <w:tcW w:w="2500" w:type="pct"/>
            <w:shd w:val="clear" w:color="auto" w:fill="auto"/>
          </w:tcPr>
          <w:p w14:paraId="452D7834" w14:textId="3F289911" w:rsidR="00E83A1E" w:rsidRDefault="00E83A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 pair of consultants </w:t>
            </w:r>
            <w:r w:rsidR="003B1562">
              <w:rPr>
                <w:rFonts w:ascii="Arial" w:hAnsi="Arial" w:cs="Arial"/>
                <w:sz w:val="20"/>
                <w:szCs w:val="20"/>
                <w:lang w:val="en-GB"/>
              </w:rPr>
              <w:t xml:space="preserve">was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selected to </w:t>
            </w:r>
            <w:r w:rsidR="00BC6B74">
              <w:rPr>
                <w:rFonts w:ascii="Arial" w:hAnsi="Arial" w:cs="Arial"/>
                <w:sz w:val="20"/>
                <w:szCs w:val="20"/>
                <w:lang w:val="en-GB"/>
              </w:rPr>
              <w:t>revise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 </w:t>
            </w:r>
            <w:r w:rsidR="00BC6B74">
              <w:rPr>
                <w:rFonts w:ascii="Arial" w:hAnsi="Arial" w:cs="Arial"/>
                <w:sz w:val="20"/>
                <w:szCs w:val="20"/>
                <w:lang w:val="en-GB"/>
              </w:rPr>
              <w:t xml:space="preserve">periodic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reporting form and </w:t>
            </w:r>
            <w:r w:rsidR="00BC6B74">
              <w:rPr>
                <w:rFonts w:ascii="Arial" w:hAnsi="Arial" w:cs="Arial"/>
                <w:sz w:val="20"/>
                <w:szCs w:val="20"/>
                <w:lang w:val="en-GB"/>
              </w:rPr>
              <w:t xml:space="preserve">develop twenty-six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guidance notes in parallel, starting with the form. Based on the new version of the reporting form, it was possible to design a</w:t>
            </w:r>
            <w:r w:rsidR="003B1562">
              <w:rPr>
                <w:rFonts w:ascii="Arial" w:hAnsi="Arial" w:cs="Arial"/>
                <w:sz w:val="20"/>
                <w:szCs w:val="20"/>
                <w:lang w:val="en-GB"/>
              </w:rPr>
              <w:t xml:space="preserve">n initial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sample guidance note</w:t>
            </w:r>
            <w:r w:rsidR="005A050A">
              <w:rPr>
                <w:rFonts w:ascii="Arial" w:hAnsi="Arial" w:cs="Arial"/>
                <w:sz w:val="20"/>
                <w:szCs w:val="20"/>
                <w:lang w:val="en-GB"/>
              </w:rPr>
              <w:t>. The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A050A">
              <w:rPr>
                <w:rFonts w:ascii="Arial" w:hAnsi="Arial" w:cs="Arial"/>
                <w:sz w:val="20"/>
                <w:szCs w:val="20"/>
                <w:lang w:val="en-GB"/>
              </w:rPr>
              <w:t xml:space="preserve">rest </w:t>
            </w:r>
            <w:r w:rsidR="00BC6B74">
              <w:rPr>
                <w:rFonts w:ascii="Arial" w:hAnsi="Arial" w:cs="Arial"/>
                <w:sz w:val="20"/>
                <w:szCs w:val="20"/>
                <w:lang w:val="en-GB"/>
              </w:rPr>
              <w:t xml:space="preserve">is </w:t>
            </w:r>
            <w:r w:rsidR="005A050A">
              <w:rPr>
                <w:rFonts w:ascii="Arial" w:hAnsi="Arial" w:cs="Arial"/>
                <w:sz w:val="20"/>
                <w:szCs w:val="20"/>
                <w:lang w:val="en-GB"/>
              </w:rPr>
              <w:t>to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be developed in 2019 </w:t>
            </w:r>
            <w:r w:rsidR="003B1562">
              <w:rPr>
                <w:rFonts w:ascii="Arial" w:hAnsi="Arial" w:cs="Arial"/>
                <w:sz w:val="20"/>
                <w:szCs w:val="20"/>
                <w:lang w:val="en-GB"/>
              </w:rPr>
              <w:t>based on</w:t>
            </w:r>
            <w:r w:rsidR="00D745B9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first model.</w:t>
            </w:r>
          </w:p>
        </w:tc>
      </w:tr>
    </w:tbl>
    <w:p w14:paraId="4A5D7055" w14:textId="77777777" w:rsidR="00A74D6C" w:rsidRPr="00524C74" w:rsidRDefault="00A74D6C" w:rsidP="00D90428">
      <w:pPr>
        <w:keepNext/>
        <w:spacing w:before="240" w:after="120"/>
        <w:ind w:left="851" w:hanging="851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524C74">
        <w:rPr>
          <w:rFonts w:ascii="Arial" w:hAnsi="Arial" w:cs="Arial"/>
          <w:b/>
          <w:sz w:val="22"/>
          <w:szCs w:val="22"/>
          <w:lang w:val="en-GB"/>
        </w:rPr>
        <w:t>ER 2:</w:t>
      </w:r>
      <w:r w:rsidRPr="00524C74">
        <w:rPr>
          <w:rFonts w:ascii="Arial" w:hAnsi="Arial" w:cs="Arial"/>
          <w:b/>
          <w:sz w:val="22"/>
          <w:szCs w:val="22"/>
          <w:lang w:val="en-GB"/>
        </w:rPr>
        <w:tab/>
      </w:r>
      <w:r w:rsidR="0098372B" w:rsidRPr="00524C74">
        <w:rPr>
          <w:rFonts w:ascii="Arial" w:hAnsi="Arial" w:cs="Arial"/>
          <w:b/>
          <w:bCs/>
          <w:sz w:val="22"/>
          <w:szCs w:val="22"/>
          <w:lang w:val="en-GB"/>
        </w:rPr>
        <w:t>Implementation of the Convention in Member States encouraged through a strengthened capacity-building programme and guidance on safeguarding measures and good practices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4082"/>
        <w:gridCol w:w="1700"/>
      </w:tblGrid>
      <w:tr w:rsidR="0012712B" w:rsidRPr="00524C74" w14:paraId="1DFB177B" w14:textId="77777777" w:rsidTr="00725503">
        <w:trPr>
          <w:jc w:val="center"/>
        </w:trPr>
        <w:tc>
          <w:tcPr>
            <w:tcW w:w="2000" w:type="pct"/>
            <w:shd w:val="clear" w:color="auto" w:fill="C6D9F1"/>
            <w:vAlign w:val="center"/>
          </w:tcPr>
          <w:p w14:paraId="7DAB38C7" w14:textId="77777777" w:rsidR="00A74D6C" w:rsidRPr="00524C74" w:rsidRDefault="00A74D6C" w:rsidP="00A23C9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Allocation</w:t>
            </w:r>
          </w:p>
        </w:tc>
        <w:tc>
          <w:tcPr>
            <w:tcW w:w="2117" w:type="pct"/>
            <w:shd w:val="clear" w:color="auto" w:fill="C6D9F1"/>
            <w:vAlign w:val="center"/>
          </w:tcPr>
          <w:p w14:paraId="2CAE2A92" w14:textId="77777777" w:rsidR="00A74D6C" w:rsidRPr="00524C74" w:rsidRDefault="00A74D6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Expenditures</w:t>
            </w:r>
          </w:p>
        </w:tc>
        <w:tc>
          <w:tcPr>
            <w:tcW w:w="882" w:type="pct"/>
            <w:shd w:val="clear" w:color="auto" w:fill="C6D9F1"/>
            <w:vAlign w:val="center"/>
          </w:tcPr>
          <w:p w14:paraId="30A3FBAE" w14:textId="731639BB" w:rsidR="00A74D6C" w:rsidRPr="00524C74" w:rsidRDefault="00A74D6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Exp. Rate %</w:t>
            </w:r>
            <w:r w:rsidR="00AF29D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br/>
              <w:t>at 31/12/2018</w:t>
            </w:r>
          </w:p>
        </w:tc>
      </w:tr>
      <w:tr w:rsidR="0012712B" w:rsidRPr="00524C74" w14:paraId="4E6C1ECD" w14:textId="77777777" w:rsidTr="00D90428">
        <w:trPr>
          <w:jc w:val="center"/>
        </w:trPr>
        <w:tc>
          <w:tcPr>
            <w:tcW w:w="2000" w:type="pct"/>
            <w:shd w:val="clear" w:color="auto" w:fill="auto"/>
          </w:tcPr>
          <w:p w14:paraId="44C09849" w14:textId="7C45575B" w:rsidR="00A74D6C" w:rsidRPr="00524C74" w:rsidRDefault="00190FD8" w:rsidP="005F7CB2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619,150</w:t>
            </w:r>
          </w:p>
        </w:tc>
        <w:tc>
          <w:tcPr>
            <w:tcW w:w="2117" w:type="pct"/>
            <w:shd w:val="clear" w:color="auto" w:fill="auto"/>
          </w:tcPr>
          <w:p w14:paraId="2B9EF0C1" w14:textId="5E1A3B6B" w:rsidR="00A74D6C" w:rsidRPr="00524C74" w:rsidRDefault="00190FD8" w:rsidP="005F7CB2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179,669.60</w:t>
            </w:r>
          </w:p>
        </w:tc>
        <w:tc>
          <w:tcPr>
            <w:tcW w:w="882" w:type="pct"/>
            <w:shd w:val="clear" w:color="auto" w:fill="auto"/>
          </w:tcPr>
          <w:p w14:paraId="0B86D37D" w14:textId="6A60801A" w:rsidR="00A74D6C" w:rsidRPr="00524C74" w:rsidRDefault="00190FD8" w:rsidP="005F7CB2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29</w:t>
            </w:r>
            <w:r w:rsidR="00A74D6C" w:rsidRPr="00524C74">
              <w:rPr>
                <w:rFonts w:ascii="Arial" w:eastAsia="Calibri" w:hAnsi="Arial" w:cs="Arial"/>
                <w:sz w:val="20"/>
                <w:szCs w:val="20"/>
                <w:lang w:val="en-GB"/>
              </w:rPr>
              <w:t>%</w:t>
            </w:r>
          </w:p>
        </w:tc>
      </w:tr>
    </w:tbl>
    <w:p w14:paraId="24E687C0" w14:textId="77777777" w:rsidR="00A74D6C" w:rsidRPr="00D90428" w:rsidRDefault="00A74D6C" w:rsidP="00D90428">
      <w:pPr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4082"/>
        <w:gridCol w:w="1701"/>
      </w:tblGrid>
      <w:tr w:rsidR="00BA522B" w:rsidRPr="005563A5" w14:paraId="02520607" w14:textId="77777777" w:rsidTr="00D90428">
        <w:trPr>
          <w:tblHeader/>
          <w:jc w:val="center"/>
        </w:trPr>
        <w:tc>
          <w:tcPr>
            <w:tcW w:w="3855" w:type="dxa"/>
            <w:shd w:val="clear" w:color="auto" w:fill="D9D9D9"/>
          </w:tcPr>
          <w:p w14:paraId="3AF28C18" w14:textId="57F3D1C6" w:rsidR="00842D1A" w:rsidRPr="00316CCB" w:rsidRDefault="00842D1A" w:rsidP="00316CCB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316CC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Output</w:t>
            </w:r>
            <w:r w:rsidRPr="00316CC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br/>
              <w:t>Indicators/Benchmark (B)</w:t>
            </w:r>
          </w:p>
        </w:tc>
        <w:tc>
          <w:tcPr>
            <w:tcW w:w="4082" w:type="dxa"/>
            <w:shd w:val="clear" w:color="auto" w:fill="D9D9D9"/>
          </w:tcPr>
          <w:p w14:paraId="05F5492B" w14:textId="5E71EC21" w:rsidR="00842D1A" w:rsidRPr="008969C8" w:rsidRDefault="00842D1A" w:rsidP="009A1E0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9A1E0E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Assessment of progress:</w:t>
            </w:r>
            <w:r w:rsidRPr="009A1E0E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br/>
            </w:r>
            <w:r w:rsidR="00190FD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01/01/2018 to 31/12/2018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E049EEF" w14:textId="77777777" w:rsidR="00842D1A" w:rsidRPr="008969C8" w:rsidRDefault="00842D1A" w:rsidP="008969C8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8969C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Assessment of implementation</w:t>
            </w:r>
          </w:p>
        </w:tc>
      </w:tr>
      <w:tr w:rsidR="00996416" w:rsidRPr="00683FEE" w14:paraId="2ED6F7B4" w14:textId="77777777" w:rsidTr="00D90428">
        <w:trPr>
          <w:jc w:val="center"/>
        </w:trPr>
        <w:tc>
          <w:tcPr>
            <w:tcW w:w="3855" w:type="dxa"/>
            <w:shd w:val="clear" w:color="auto" w:fill="auto"/>
          </w:tcPr>
          <w:p w14:paraId="1FBDEDCC" w14:textId="3FC38042" w:rsidR="00996416" w:rsidRPr="00316CCB" w:rsidRDefault="00996416" w:rsidP="00316CCB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316CC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</w:t>
            </w:r>
            <w:r w:rsidR="002D5C29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utput 2.1</w:t>
            </w:r>
            <w:r w:rsidRPr="00316CC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545867E1" w14:textId="69417012" w:rsidR="00996416" w:rsidRPr="009A1E0E" w:rsidRDefault="00996416" w:rsidP="009A1E0E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A1E0E">
              <w:rPr>
                <w:rFonts w:ascii="Arial" w:eastAsia="Calibri" w:hAnsi="Arial" w:cs="Arial"/>
                <w:sz w:val="20"/>
                <w:szCs w:val="20"/>
                <w:lang w:val="en-GB"/>
              </w:rPr>
              <w:t>Facilitators’ network strengthened</w:t>
            </w:r>
          </w:p>
          <w:p w14:paraId="5E95F921" w14:textId="6228D034" w:rsidR="00996416" w:rsidRPr="008969C8" w:rsidRDefault="004C464B" w:rsidP="008969C8">
            <w:pPr>
              <w:keepNext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B 2018-2019</w:t>
            </w:r>
            <w:r w:rsidR="00996416" w:rsidRPr="008969C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44E9F429" w14:textId="0E754958" w:rsidR="004C464B" w:rsidRPr="004C464B" w:rsidRDefault="004C464B" w:rsidP="00725503">
            <w:pPr>
              <w:pStyle w:val="ListParagraph"/>
              <w:numPr>
                <w:ilvl w:val="0"/>
                <w:numId w:val="11"/>
              </w:numPr>
              <w:spacing w:before="60" w:after="60"/>
              <w:ind w:left="425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4C464B">
              <w:rPr>
                <w:rFonts w:ascii="Arial" w:eastAsia="Calibri" w:hAnsi="Arial" w:cs="Arial"/>
                <w:sz w:val="20"/>
                <w:szCs w:val="20"/>
                <w:lang w:val="en-GB"/>
              </w:rPr>
              <w:t>One redesigned webpage with search function online</w:t>
            </w:r>
          </w:p>
          <w:p w14:paraId="5E48B2D7" w14:textId="448B7089" w:rsidR="004C464B" w:rsidRPr="004C464B" w:rsidRDefault="004C464B" w:rsidP="00725503">
            <w:pPr>
              <w:pStyle w:val="ListParagraph"/>
              <w:numPr>
                <w:ilvl w:val="0"/>
                <w:numId w:val="11"/>
              </w:numPr>
              <w:spacing w:before="60" w:after="60"/>
              <w:ind w:left="425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4C464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Coordination group for network established and 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made </w:t>
            </w:r>
            <w:r w:rsidRPr="004C464B">
              <w:rPr>
                <w:rFonts w:ascii="Arial" w:eastAsia="Calibri" w:hAnsi="Arial" w:cs="Arial"/>
                <w:sz w:val="20"/>
                <w:szCs w:val="20"/>
                <w:lang w:val="en-GB"/>
              </w:rPr>
              <w:t>active</w:t>
            </w:r>
          </w:p>
          <w:p w14:paraId="2601DC2A" w14:textId="3469211F" w:rsidR="004C464B" w:rsidRPr="004C464B" w:rsidRDefault="004C464B" w:rsidP="00725503">
            <w:pPr>
              <w:pStyle w:val="ListParagraph"/>
              <w:numPr>
                <w:ilvl w:val="0"/>
                <w:numId w:val="11"/>
              </w:numPr>
              <w:spacing w:before="60" w:after="60"/>
              <w:ind w:left="425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E7636C">
              <w:rPr>
                <w:rFonts w:ascii="Arial" w:eastAsia="Calibri" w:hAnsi="Arial" w:cs="Arial"/>
                <w:sz w:val="20"/>
                <w:szCs w:val="20"/>
                <w:lang w:val="en-GB"/>
              </w:rPr>
              <w:t>100 facilitators’ profiles updated</w:t>
            </w:r>
          </w:p>
          <w:p w14:paraId="30680CFA" w14:textId="40286493" w:rsidR="004C464B" w:rsidRPr="004C464B" w:rsidRDefault="004C464B" w:rsidP="00725503">
            <w:pPr>
              <w:pStyle w:val="ListParagraph"/>
              <w:numPr>
                <w:ilvl w:val="0"/>
                <w:numId w:val="11"/>
              </w:numPr>
              <w:spacing w:before="60" w:after="60"/>
              <w:ind w:left="425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4C464B">
              <w:rPr>
                <w:rFonts w:ascii="Arial" w:eastAsia="Calibri" w:hAnsi="Arial" w:cs="Arial"/>
                <w:sz w:val="20"/>
                <w:szCs w:val="20"/>
                <w:lang w:val="en-GB"/>
              </w:rPr>
              <w:t>One feasibility study undertaken to explore partnerships for sustaining the network and programme in the long term</w:t>
            </w:r>
          </w:p>
          <w:p w14:paraId="22C6A4DE" w14:textId="68A72BB9" w:rsidR="004C464B" w:rsidRPr="004C464B" w:rsidRDefault="004C464B" w:rsidP="00725503">
            <w:pPr>
              <w:pStyle w:val="ListParagraph"/>
              <w:numPr>
                <w:ilvl w:val="0"/>
                <w:numId w:val="11"/>
              </w:numPr>
              <w:spacing w:before="60" w:after="60"/>
              <w:ind w:left="425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4C464B">
              <w:rPr>
                <w:rFonts w:ascii="Arial" w:eastAsia="Calibri" w:hAnsi="Arial" w:cs="Arial"/>
                <w:sz w:val="20"/>
                <w:szCs w:val="20"/>
                <w:lang w:val="en-GB"/>
              </w:rPr>
              <w:t>100 facilitators trained on the latest programme developments, including 30 new members (pending financing from</w:t>
            </w:r>
            <w:r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4C464B">
              <w:rPr>
                <w:rFonts w:ascii="Arial" w:eastAsia="Calibri" w:hAnsi="Arial" w:cs="Arial"/>
                <w:sz w:val="20"/>
                <w:szCs w:val="20"/>
                <w:lang w:val="en-GB"/>
              </w:rPr>
              <w:t>host countries)</w:t>
            </w:r>
          </w:p>
          <w:p w14:paraId="3D005C8D" w14:textId="70454D9E" w:rsidR="00996416" w:rsidRPr="00D25FF7" w:rsidRDefault="004C464B" w:rsidP="00725503">
            <w:pPr>
              <w:pStyle w:val="ListParagraph"/>
              <w:numPr>
                <w:ilvl w:val="0"/>
                <w:numId w:val="11"/>
              </w:numPr>
              <w:spacing w:before="60" w:after="60"/>
              <w:ind w:left="425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352E9">
              <w:rPr>
                <w:rFonts w:ascii="Arial" w:eastAsia="Calibri" w:hAnsi="Arial" w:cs="Arial"/>
                <w:sz w:val="20"/>
                <w:szCs w:val="20"/>
                <w:lang w:val="en-GB"/>
              </w:rPr>
              <w:t>Feedback from three users integrated into the workshop planning and reporting tool</w:t>
            </w:r>
          </w:p>
        </w:tc>
        <w:tc>
          <w:tcPr>
            <w:tcW w:w="4082" w:type="dxa"/>
            <w:shd w:val="clear" w:color="auto" w:fill="auto"/>
          </w:tcPr>
          <w:p w14:paraId="2D750EA8" w14:textId="27AB3A45" w:rsidR="00B52FCF" w:rsidRPr="00E7636C" w:rsidRDefault="00B52FCF" w:rsidP="00D90428">
            <w:pPr>
              <w:pStyle w:val="ListParagraph"/>
              <w:numPr>
                <w:ilvl w:val="0"/>
                <w:numId w:val="5"/>
              </w:numPr>
              <w:spacing w:before="32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E7636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Outline </w:t>
            </w:r>
            <w:r w:rsidR="00E7636C"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>prepared for presentation of facilitators’ network online</w:t>
            </w:r>
            <w:r w:rsidR="004A3CDB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38AA44A1" w14:textId="6EE73F15" w:rsidR="00996416" w:rsidRDefault="00304986" w:rsidP="00315F7C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Interregional working</w:t>
            </w:r>
            <w:r w:rsidR="004F445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group for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the development of the </w:t>
            </w:r>
            <w:r w:rsidR="001F4E4F">
              <w:rPr>
                <w:rFonts w:ascii="Arial" w:eastAsia="Calibri" w:hAnsi="Arial" w:cs="Arial"/>
                <w:sz w:val="20"/>
                <w:szCs w:val="20"/>
                <w:lang w:val="en-GB"/>
              </w:rPr>
              <w:t>facilitator’s</w:t>
            </w:r>
            <w:r w:rsidR="004F445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network established.</w:t>
            </w:r>
          </w:p>
          <w:p w14:paraId="08530EA3" w14:textId="1384EF08" w:rsidR="00B52FCF" w:rsidRPr="00E7636C" w:rsidRDefault="00DE7548" w:rsidP="00315F7C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>Online form prepared to update</w:t>
            </w:r>
            <w:r w:rsidR="00E7636C"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facilitators’ profiles</w:t>
            </w:r>
            <w:r w:rsidR="004A3CDB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4052CB9A" w14:textId="2DBF9871" w:rsidR="00CC1F41" w:rsidRDefault="00502B9E" w:rsidP="004F4451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Feasibility study </w:t>
            </w:r>
            <w:r w:rsidR="00DE754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commissioned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to explore partnerships for sustaining the network</w:t>
            </w:r>
            <w:r w:rsidR="00B52FCF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in the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long term.</w:t>
            </w:r>
          </w:p>
          <w:p w14:paraId="527B2101" w14:textId="77777777" w:rsidR="00B52FCF" w:rsidRDefault="00B52FCF" w:rsidP="00B52FCF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52 facilitators (61% women) trained from Asia and the Pacific and from Europe, including 20 new members (52% women).</w:t>
            </w:r>
          </w:p>
          <w:p w14:paraId="5435F425" w14:textId="6DD2AED1" w:rsidR="002F0D44" w:rsidRPr="00F30201" w:rsidRDefault="00B52FCF" w:rsidP="00E47BA1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352E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Feedback from three users </w:t>
            </w:r>
            <w:r w:rsidR="008C3A0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formed 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the </w:t>
            </w:r>
            <w:r w:rsidR="008C3A0D">
              <w:rPr>
                <w:rFonts w:ascii="Arial" w:eastAsia="Calibri" w:hAnsi="Arial" w:cs="Arial"/>
                <w:sz w:val="20"/>
                <w:szCs w:val="20"/>
                <w:lang w:val="en-GB"/>
              </w:rPr>
              <w:t>basis for</w:t>
            </w:r>
            <w:r w:rsidR="00310B20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identify</w:t>
            </w:r>
            <w:r w:rsidR="008C3A0D">
              <w:rPr>
                <w:rFonts w:ascii="Arial" w:eastAsia="Calibri" w:hAnsi="Arial" w:cs="Arial"/>
                <w:sz w:val="20"/>
                <w:szCs w:val="20"/>
                <w:lang w:val="en-GB"/>
              </w:rPr>
              <w:t>ing</w:t>
            </w:r>
            <w:r w:rsidR="00310B20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s</w:t>
            </w:r>
            <w:r w:rsidR="00DE7548"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everal bugs </w:t>
            </w:r>
            <w:r w:rsidR="00310B20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in the tool </w:t>
            </w:r>
            <w:r w:rsidR="00DE7548"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and </w:t>
            </w:r>
            <w:r w:rsidR="008C3A0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for </w:t>
            </w:r>
            <w:r w:rsidR="00DE7548"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>prepar</w:t>
            </w:r>
            <w:r w:rsidR="008C3A0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ing guidance </w:t>
            </w:r>
            <w:r w:rsidR="008C3A0D" w:rsidRPr="00725503">
              <w:rPr>
                <w:rFonts w:ascii="Arial" w:eastAsia="Calibri" w:hAnsi="Arial" w:cs="Arial"/>
                <w:sz w:val="20"/>
                <w:szCs w:val="20"/>
                <w:lang w:val="en-GB"/>
              </w:rPr>
              <w:t>notes</w:t>
            </w:r>
            <w:r w:rsidR="008C3A0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DE7548"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>for the different user groups (field offices, facilitators, Secretariat)</w:t>
            </w:r>
            <w:r w:rsidR="004A3CDB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701" w:type="dxa"/>
          </w:tcPr>
          <w:p w14:paraId="34E4211C" w14:textId="4167F701" w:rsidR="00996416" w:rsidRPr="009A1E0E" w:rsidRDefault="00CC1F41" w:rsidP="00D90428">
            <w:pPr>
              <w:spacing w:before="320" w:after="6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Partially </w:t>
            </w:r>
            <w:r w:rsidR="00F10E37">
              <w:rPr>
                <w:rFonts w:ascii="Arial" w:eastAsia="Calibri" w:hAnsi="Arial" w:cs="Arial"/>
                <w:sz w:val="20"/>
                <w:szCs w:val="20"/>
                <w:lang w:val="en-GB"/>
              </w:rPr>
              <w:t>accomplished</w:t>
            </w:r>
          </w:p>
        </w:tc>
      </w:tr>
      <w:tr w:rsidR="00996416" w:rsidRPr="003972D9" w14:paraId="500416E3" w14:textId="77777777" w:rsidTr="00D90428">
        <w:trPr>
          <w:jc w:val="center"/>
        </w:trPr>
        <w:tc>
          <w:tcPr>
            <w:tcW w:w="3855" w:type="dxa"/>
            <w:shd w:val="clear" w:color="auto" w:fill="auto"/>
          </w:tcPr>
          <w:p w14:paraId="07E987A4" w14:textId="660E172A" w:rsidR="00996416" w:rsidRPr="00315F7C" w:rsidRDefault="00996416" w:rsidP="00316CCB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315F7C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lastRenderedPageBreak/>
              <w:t>O</w:t>
            </w:r>
            <w:r w:rsidR="002D5C29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utput 2.2</w:t>
            </w:r>
            <w:r w:rsidRPr="00315F7C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5DE053BA" w14:textId="2A47EC36" w:rsidR="006D3DD0" w:rsidRPr="006D3DD0" w:rsidRDefault="006D3DD0" w:rsidP="008969C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6D3DD0">
              <w:rPr>
                <w:rFonts w:ascii="Arial" w:eastAsia="Calibri" w:hAnsi="Arial" w:cs="Arial"/>
                <w:sz w:val="20"/>
                <w:szCs w:val="20"/>
                <w:lang w:val="en-GB"/>
              </w:rPr>
              <w:t>Content and format of the capacity-building programme further developed to respond to major implementation challenges and decisions of statutory organs</w:t>
            </w:r>
          </w:p>
          <w:p w14:paraId="570761D2" w14:textId="32F15120" w:rsidR="00996416" w:rsidRPr="00315F7C" w:rsidRDefault="006D3DD0" w:rsidP="008969C8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315F7C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B 2018-2019</w:t>
            </w:r>
            <w:r w:rsidR="009C0BF7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0A354CE7" w14:textId="243DA032" w:rsidR="00315F7C" w:rsidRPr="00315F7C" w:rsidRDefault="00315F7C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15F7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Training approach with materials </w:t>
            </w:r>
            <w:r w:rsidR="003B1562" w:rsidRPr="00315F7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required </w:t>
            </w:r>
            <w:r w:rsidRPr="00315F7C">
              <w:rPr>
                <w:rFonts w:ascii="Arial" w:eastAsia="Calibri" w:hAnsi="Arial" w:cs="Arial"/>
                <w:sz w:val="20"/>
                <w:szCs w:val="20"/>
                <w:lang w:val="en-GB"/>
              </w:rPr>
              <w:t>on periodic reporting developed in two languages</w:t>
            </w:r>
          </w:p>
          <w:p w14:paraId="39D3E5D4" w14:textId="6B376A10" w:rsidR="00315F7C" w:rsidRPr="00315F7C" w:rsidRDefault="00315F7C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15F7C">
              <w:rPr>
                <w:rFonts w:ascii="Arial" w:eastAsia="Calibri" w:hAnsi="Arial" w:cs="Arial"/>
                <w:sz w:val="20"/>
                <w:szCs w:val="20"/>
                <w:lang w:val="en-GB"/>
              </w:rPr>
              <w:t>Training unit developed to integrate disaster risk management into capacity-building materials in two languages</w:t>
            </w:r>
          </w:p>
          <w:p w14:paraId="1124BA6E" w14:textId="47ECE817" w:rsidR="00315F7C" w:rsidRPr="00315F7C" w:rsidRDefault="00315F7C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15F7C">
              <w:rPr>
                <w:rFonts w:ascii="Arial" w:eastAsia="Calibri" w:hAnsi="Arial" w:cs="Arial"/>
                <w:sz w:val="20"/>
                <w:szCs w:val="20"/>
                <w:lang w:val="en-GB"/>
              </w:rPr>
              <w:t>Two thematic policy information briefs developed (gender and education)</w:t>
            </w:r>
          </w:p>
          <w:p w14:paraId="4910BB38" w14:textId="669092FE" w:rsidR="00315F7C" w:rsidRPr="00315F7C" w:rsidRDefault="00315F7C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15F7C">
              <w:rPr>
                <w:rFonts w:ascii="Arial" w:eastAsia="Calibri" w:hAnsi="Arial" w:cs="Arial"/>
                <w:sz w:val="20"/>
                <w:szCs w:val="20"/>
                <w:lang w:val="en-GB"/>
              </w:rPr>
              <w:t>Online tool developed to present examples on safeguarding intangible cultural heritage and sustainable development</w:t>
            </w:r>
          </w:p>
          <w:p w14:paraId="21EB2218" w14:textId="536415E7" w:rsidR="00315F7C" w:rsidRPr="00315F7C" w:rsidRDefault="00315F7C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15F7C">
              <w:rPr>
                <w:rFonts w:ascii="Arial" w:eastAsia="Calibri" w:hAnsi="Arial" w:cs="Arial"/>
                <w:sz w:val="20"/>
                <w:szCs w:val="20"/>
                <w:lang w:val="en-GB"/>
              </w:rPr>
              <w:t>Training materials developed in the previous biennium in five thematic areas made available in two languages</w:t>
            </w:r>
          </w:p>
          <w:p w14:paraId="56199C16" w14:textId="41A933E2" w:rsidR="00996416" w:rsidRPr="008969C8" w:rsidRDefault="00315F7C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0270C2">
              <w:rPr>
                <w:rFonts w:ascii="Arial" w:eastAsia="Calibri" w:hAnsi="Arial" w:cs="Arial"/>
                <w:sz w:val="20"/>
                <w:szCs w:val="20"/>
                <w:lang w:val="en-GB"/>
              </w:rPr>
              <w:t>Feedback from three users integrated into the materials browser</w:t>
            </w:r>
          </w:p>
        </w:tc>
        <w:tc>
          <w:tcPr>
            <w:tcW w:w="4082" w:type="dxa"/>
            <w:shd w:val="clear" w:color="auto" w:fill="auto"/>
          </w:tcPr>
          <w:p w14:paraId="282B4A42" w14:textId="2EE01DCC" w:rsidR="00B52FCF" w:rsidRDefault="00B52FCF" w:rsidP="00D90428">
            <w:pPr>
              <w:pStyle w:val="ListParagraph"/>
              <w:numPr>
                <w:ilvl w:val="0"/>
                <w:numId w:val="5"/>
              </w:numPr>
              <w:spacing w:before="32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Consultations with facilitators conducted to 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provide information on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the development of a training approach 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for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periodic reporting</w:t>
            </w:r>
            <w:r w:rsidR="004A3CDB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24ADDC85" w14:textId="68ED8A88" w:rsidR="00B52FCF" w:rsidRDefault="004D29E0" w:rsidP="00F30201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O</w:t>
            </w:r>
            <w:r w:rsidR="004F5AD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nline tool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under </w:t>
            </w:r>
            <w:r w:rsidR="004F5AD9">
              <w:rPr>
                <w:rFonts w:ascii="Arial" w:eastAsia="Calibri" w:hAnsi="Arial" w:cs="Arial"/>
                <w:sz w:val="20"/>
                <w:szCs w:val="20"/>
                <w:lang w:val="en-GB"/>
              </w:rPr>
              <w:t>develop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ment</w:t>
            </w:r>
            <w:r w:rsidR="004F5AD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to present examples on safeguarding intangible cultural heritage and sustainable development</w:t>
            </w:r>
            <w:r w:rsidR="004A3CDB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3BE2958D" w14:textId="61174DB4" w:rsidR="004F5AD9" w:rsidRDefault="004F5AD9" w:rsidP="004F5AD9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Training materials on policy development, gender, sustainable development and pilot inventorying activities made available in French</w:t>
            </w:r>
            <w:r w:rsidR="004A3CDB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6263F653" w14:textId="4023C468" w:rsidR="004F5AD9" w:rsidRPr="00F30201" w:rsidRDefault="00F344DF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problems </w:t>
            </w:r>
            <w:r w:rsidR="000270C2"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in the material browser tool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rectified 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>based on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use experiences </w:t>
            </w:r>
            <w:r w:rsidR="008C3A0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shared </w:t>
            </w:r>
            <w:r w:rsidR="000270C2"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>by facilitators (i.e.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>,</w:t>
            </w:r>
            <w:r w:rsidR="000270C2"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material download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>s</w:t>
            </w:r>
            <w:r w:rsidR="000270C2"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>, display order of units, multiple linguistic versions)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701" w:type="dxa"/>
          </w:tcPr>
          <w:p w14:paraId="2FEDC750" w14:textId="13382D56" w:rsidR="00996416" w:rsidRPr="009A1E0E" w:rsidRDefault="001F4E4F" w:rsidP="00D90428">
            <w:pPr>
              <w:spacing w:before="320" w:after="6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Partially accomplished</w:t>
            </w:r>
          </w:p>
        </w:tc>
      </w:tr>
      <w:tr w:rsidR="00996416" w:rsidRPr="003972D9" w14:paraId="287E27A5" w14:textId="77777777" w:rsidTr="00D90428">
        <w:trPr>
          <w:jc w:val="center"/>
        </w:trPr>
        <w:tc>
          <w:tcPr>
            <w:tcW w:w="3855" w:type="dxa"/>
            <w:shd w:val="clear" w:color="auto" w:fill="auto"/>
          </w:tcPr>
          <w:p w14:paraId="47EEDF9A" w14:textId="75B339BC" w:rsidR="00996416" w:rsidRPr="00316CCB" w:rsidRDefault="00996416" w:rsidP="00316CCB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316CC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</w:t>
            </w:r>
            <w:r w:rsidR="002D5C29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utput 2.3</w:t>
            </w:r>
            <w:r w:rsidRPr="00316CC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49290B8C" w14:textId="6D2FF39D" w:rsidR="00315F7C" w:rsidRPr="00315F7C" w:rsidRDefault="00315F7C" w:rsidP="008969C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15F7C">
              <w:rPr>
                <w:rFonts w:ascii="Arial" w:eastAsia="Calibri" w:hAnsi="Arial" w:cs="Arial"/>
                <w:sz w:val="20"/>
                <w:szCs w:val="20"/>
                <w:lang w:val="en-GB"/>
              </w:rPr>
              <w:t>Monitoring of the capacity-building programme ensured and information shared with relevant partners</w:t>
            </w:r>
          </w:p>
          <w:p w14:paraId="01514F4F" w14:textId="75553525" w:rsidR="00996416" w:rsidRPr="008969C8" w:rsidRDefault="00315F7C" w:rsidP="008969C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 2018-2019</w:t>
            </w:r>
            <w:r w:rsidR="00996416" w:rsidRPr="008969C8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2A48FD94" w14:textId="63A1B0CA" w:rsidR="00315F7C" w:rsidRPr="00315F7C" w:rsidRDefault="00315F7C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15F7C">
              <w:rPr>
                <w:rFonts w:ascii="Arial" w:eastAsia="Calibri" w:hAnsi="Arial" w:cs="Arial"/>
                <w:sz w:val="20"/>
                <w:szCs w:val="20"/>
                <w:lang w:val="en-GB"/>
              </w:rPr>
              <w:t>Analytical report prepared based on information gathered through new online workshop planning and reporting tool, contributing to the implementation of the Convention’s overall results framework</w:t>
            </w:r>
          </w:p>
          <w:p w14:paraId="4D34DFAC" w14:textId="4D081ECE" w:rsidR="00315F7C" w:rsidRPr="00315F7C" w:rsidRDefault="00315F7C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15F7C">
              <w:rPr>
                <w:rFonts w:ascii="Arial" w:eastAsia="Calibri" w:hAnsi="Arial" w:cs="Arial"/>
                <w:sz w:val="20"/>
                <w:szCs w:val="20"/>
                <w:lang w:val="en-GB"/>
              </w:rPr>
              <w:t>Knowledge consolidated and shared through one side event at a statutory meeting</w:t>
            </w:r>
          </w:p>
          <w:p w14:paraId="00759936" w14:textId="4B92B47B" w:rsidR="00315F7C" w:rsidRPr="00315F7C" w:rsidRDefault="00315F7C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15F7C">
              <w:rPr>
                <w:rFonts w:ascii="Arial" w:eastAsia="Calibri" w:hAnsi="Arial" w:cs="Arial"/>
                <w:sz w:val="20"/>
                <w:szCs w:val="20"/>
                <w:lang w:val="en-GB"/>
              </w:rPr>
              <w:t>Pamphlet on the capacity-building programme updated and shared in two languages</w:t>
            </w:r>
          </w:p>
          <w:p w14:paraId="195E909E" w14:textId="56229EE2" w:rsidR="00A516C0" w:rsidRPr="00F30201" w:rsidRDefault="00315F7C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0270C2">
              <w:rPr>
                <w:rFonts w:ascii="Arial" w:eastAsia="Calibri" w:hAnsi="Arial" w:cs="Arial"/>
                <w:sz w:val="20"/>
                <w:szCs w:val="20"/>
                <w:lang w:val="en-GB"/>
              </w:rPr>
              <w:t>One new IT functionality developed to better monitor the capacity-building programme</w:t>
            </w:r>
          </w:p>
        </w:tc>
        <w:tc>
          <w:tcPr>
            <w:tcW w:w="4082" w:type="dxa"/>
            <w:shd w:val="clear" w:color="auto" w:fill="auto"/>
          </w:tcPr>
          <w:p w14:paraId="5CF30682" w14:textId="2CF839B8" w:rsidR="00B007FF" w:rsidRDefault="00B007FF" w:rsidP="00D90428">
            <w:pPr>
              <w:pStyle w:val="ListParagraph"/>
              <w:numPr>
                <w:ilvl w:val="0"/>
                <w:numId w:val="5"/>
              </w:numPr>
              <w:spacing w:before="32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Side event 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organized </w:t>
            </w:r>
            <w:r w:rsidR="005A54F8">
              <w:rPr>
                <w:rFonts w:ascii="Arial" w:eastAsia="Calibri" w:hAnsi="Arial" w:cs="Arial"/>
                <w:sz w:val="20"/>
                <w:szCs w:val="20"/>
                <w:lang w:val="en-GB"/>
              </w:rPr>
              <w:t>at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the </w:t>
            </w:r>
            <w:r w:rsidR="00F765C5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thirteenth session of the </w:t>
            </w:r>
            <w:r w:rsidR="00CD4499">
              <w:rPr>
                <w:rFonts w:ascii="Arial" w:eastAsia="Calibri" w:hAnsi="Arial" w:cs="Arial"/>
                <w:sz w:val="20"/>
                <w:szCs w:val="20"/>
                <w:lang w:val="en-GB"/>
              </w:rPr>
              <w:t>I</w:t>
            </w:r>
            <w:r w:rsidR="00F765C5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ntergovernmental </w:t>
            </w:r>
            <w:r w:rsidR="00CD4499">
              <w:rPr>
                <w:rFonts w:ascii="Arial" w:eastAsia="Calibri" w:hAnsi="Arial" w:cs="Arial"/>
                <w:sz w:val="20"/>
                <w:szCs w:val="20"/>
                <w:lang w:val="en-GB"/>
              </w:rPr>
              <w:t>C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ommittee on the capacity-building programme’s global </w:t>
            </w:r>
            <w:r w:rsidR="00F765C5">
              <w:rPr>
                <w:rFonts w:ascii="Arial" w:eastAsia="Calibri" w:hAnsi="Arial" w:cs="Arial"/>
                <w:sz w:val="20"/>
                <w:szCs w:val="20"/>
                <w:lang w:val="en-GB"/>
              </w:rPr>
              <w:t>facilitator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network</w:t>
            </w:r>
            <w:r w:rsidR="00F765C5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0AF62ED0" w14:textId="0A99EAD2" w:rsidR="00B007FF" w:rsidRPr="00D90428" w:rsidRDefault="004F5AD9" w:rsidP="00D90428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Text for the pamphlet on the</w:t>
            </w:r>
            <w:r w:rsidR="00B007FF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capacity-building programme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developed</w:t>
            </w:r>
            <w:r w:rsidR="00F765C5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701" w:type="dxa"/>
          </w:tcPr>
          <w:p w14:paraId="216E88AD" w14:textId="3B5B219E" w:rsidR="00996416" w:rsidRPr="005563A5" w:rsidRDefault="003972D9" w:rsidP="00D90428">
            <w:pPr>
              <w:spacing w:before="320" w:after="6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Partially </w:t>
            </w:r>
            <w:r w:rsidR="00F10E37">
              <w:rPr>
                <w:rFonts w:ascii="Arial" w:eastAsia="Calibri" w:hAnsi="Arial" w:cs="Arial"/>
                <w:sz w:val="20"/>
                <w:szCs w:val="20"/>
                <w:lang w:val="en-GB"/>
              </w:rPr>
              <w:t>accomplished</w:t>
            </w:r>
          </w:p>
        </w:tc>
      </w:tr>
      <w:tr w:rsidR="00996416" w:rsidRPr="002F0D44" w14:paraId="46A5CF23" w14:textId="77777777" w:rsidTr="00D90428">
        <w:trPr>
          <w:jc w:val="center"/>
        </w:trPr>
        <w:tc>
          <w:tcPr>
            <w:tcW w:w="3855" w:type="dxa"/>
            <w:shd w:val="clear" w:color="auto" w:fill="auto"/>
          </w:tcPr>
          <w:p w14:paraId="0AC3B3C5" w14:textId="4DD23C60" w:rsidR="00996416" w:rsidRPr="00316CCB" w:rsidRDefault="00996416" w:rsidP="00316CCB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316CC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</w:t>
            </w:r>
            <w:r w:rsidR="002D5C29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utput 2.4</w:t>
            </w:r>
            <w:r w:rsidRPr="00316CC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43B2EF6C" w14:textId="093639E4" w:rsidR="005C2E95" w:rsidRPr="005C2E95" w:rsidRDefault="005C2E95" w:rsidP="008969C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5C2E95">
              <w:rPr>
                <w:rFonts w:ascii="Arial" w:eastAsia="Calibri" w:hAnsi="Arial" w:cs="Arial"/>
                <w:sz w:val="20"/>
                <w:szCs w:val="20"/>
                <w:lang w:val="en-GB"/>
              </w:rPr>
              <w:t>Lighter ways of sharing safeguarding practices developed</w:t>
            </w:r>
          </w:p>
          <w:p w14:paraId="3A2831FA" w14:textId="1482D872" w:rsidR="00996416" w:rsidRPr="008969C8" w:rsidRDefault="005C2E95" w:rsidP="008969C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 2018-2019</w:t>
            </w:r>
            <w:r w:rsidR="00996416" w:rsidRPr="008969C8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14F0D313" w14:textId="0057A7FD" w:rsidR="00A516C0" w:rsidRPr="00F30201" w:rsidRDefault="005C2E95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5C2E95">
              <w:rPr>
                <w:rFonts w:ascii="Arial" w:eastAsia="Calibri" w:hAnsi="Arial" w:cs="Arial"/>
                <w:sz w:val="20"/>
                <w:szCs w:val="20"/>
                <w:lang w:val="en-GB"/>
              </w:rPr>
              <w:lastRenderedPageBreak/>
              <w:t>Three alternative lighter ways of</w:t>
            </w:r>
            <w:r w:rsidRPr="006632E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C2E95">
              <w:rPr>
                <w:rFonts w:ascii="Arial" w:eastAsia="Calibri" w:hAnsi="Arial" w:cs="Arial"/>
                <w:sz w:val="20"/>
                <w:szCs w:val="20"/>
                <w:lang w:val="en-GB"/>
              </w:rPr>
              <w:t>sharing safeguarding experiences suggested to the Committee to complement the Register of Good Safeguarding Practices</w:t>
            </w:r>
          </w:p>
        </w:tc>
        <w:tc>
          <w:tcPr>
            <w:tcW w:w="4082" w:type="dxa"/>
            <w:shd w:val="clear" w:color="auto" w:fill="auto"/>
          </w:tcPr>
          <w:p w14:paraId="3EE7A661" w14:textId="47A93A5D" w:rsidR="00996416" w:rsidRPr="005563A5" w:rsidRDefault="002F0D44" w:rsidP="00D90428">
            <w:pPr>
              <w:pStyle w:val="ListParagraph"/>
              <w:numPr>
                <w:ilvl w:val="0"/>
                <w:numId w:val="5"/>
              </w:numPr>
              <w:spacing w:before="32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lastRenderedPageBreak/>
              <w:t>Online survey conducted about lighter ways of sharing safeguarding practices</w:t>
            </w:r>
            <w:r w:rsidR="00F344DF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, resulting in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225 contributions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lastRenderedPageBreak/>
              <w:t>by organizations and institutions</w:t>
            </w:r>
            <w:r w:rsidR="00F344DF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in the field of intangible cultural heritage</w:t>
            </w:r>
            <w:r w:rsidR="00F765C5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701" w:type="dxa"/>
          </w:tcPr>
          <w:p w14:paraId="57E6A71C" w14:textId="111774F3" w:rsidR="00996416" w:rsidRPr="005563A5" w:rsidRDefault="002F0D44" w:rsidP="00D90428">
            <w:pPr>
              <w:spacing w:before="320" w:after="6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lastRenderedPageBreak/>
              <w:t>Partially accomplished</w:t>
            </w:r>
          </w:p>
        </w:tc>
      </w:tr>
      <w:tr w:rsidR="00994DC2" w:rsidRPr="005F01D4" w14:paraId="3F34004A" w14:textId="77777777" w:rsidTr="00D90428">
        <w:trPr>
          <w:jc w:val="center"/>
        </w:trPr>
        <w:tc>
          <w:tcPr>
            <w:tcW w:w="3855" w:type="dxa"/>
            <w:shd w:val="clear" w:color="auto" w:fill="auto"/>
          </w:tcPr>
          <w:p w14:paraId="09F4F7C4" w14:textId="4230DE3F" w:rsidR="00994DC2" w:rsidRPr="00316CCB" w:rsidRDefault="00994DC2" w:rsidP="00994DC2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316CC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</w:t>
            </w:r>
            <w:r w:rsidR="002D5C29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utput 2.5</w:t>
            </w:r>
            <w:r w:rsidRPr="00316CC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00413361" w14:textId="3DD44550" w:rsidR="00994DC2" w:rsidRPr="00994DC2" w:rsidRDefault="00994DC2" w:rsidP="00316CCB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94DC2">
              <w:rPr>
                <w:rFonts w:ascii="Arial" w:eastAsia="Calibri" w:hAnsi="Arial" w:cs="Arial"/>
                <w:sz w:val="20"/>
                <w:szCs w:val="20"/>
                <w:lang w:val="en-GB"/>
              </w:rPr>
              <w:t>Networking and partnerships with tertiary educational institutions strengthened</w:t>
            </w:r>
          </w:p>
          <w:p w14:paraId="43921484" w14:textId="77777777" w:rsidR="00994DC2" w:rsidRDefault="00994DC2" w:rsidP="00316CC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DC2">
              <w:rPr>
                <w:rFonts w:ascii="Arial" w:hAnsi="Arial" w:cs="Arial"/>
                <w:b/>
                <w:sz w:val="20"/>
                <w:szCs w:val="20"/>
                <w:lang w:val="en-GB"/>
              </w:rPr>
              <w:t>B 2018-2019:</w:t>
            </w:r>
          </w:p>
          <w:p w14:paraId="2EC4E476" w14:textId="1373F4F2" w:rsidR="00994DC2" w:rsidRPr="00994DC2" w:rsidRDefault="00994DC2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94DC2">
              <w:rPr>
                <w:rFonts w:ascii="Arial" w:eastAsia="Calibri" w:hAnsi="Arial" w:cs="Arial"/>
                <w:sz w:val="20"/>
                <w:szCs w:val="20"/>
                <w:lang w:val="en-GB"/>
              </w:rPr>
              <w:t>15 additional universities engaged in networking</w:t>
            </w:r>
          </w:p>
          <w:p w14:paraId="635B5BEF" w14:textId="62889279" w:rsidR="00A516C0" w:rsidRPr="00D90428" w:rsidRDefault="00994DC2" w:rsidP="00D90428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994DC2">
              <w:rPr>
                <w:rFonts w:ascii="Arial" w:eastAsia="Calibri" w:hAnsi="Arial" w:cs="Arial"/>
                <w:sz w:val="20"/>
                <w:szCs w:val="20"/>
                <w:lang w:val="en-GB"/>
              </w:rPr>
              <w:t>Partnership for an online course on intangible cultural heritage established</w:t>
            </w:r>
          </w:p>
        </w:tc>
        <w:tc>
          <w:tcPr>
            <w:tcW w:w="4082" w:type="dxa"/>
            <w:shd w:val="clear" w:color="auto" w:fill="auto"/>
          </w:tcPr>
          <w:p w14:paraId="42E2DCA8" w14:textId="45057CD2" w:rsidR="002F0D44" w:rsidRPr="00F30201" w:rsidRDefault="004D29E0" w:rsidP="00D90428">
            <w:pPr>
              <w:pStyle w:val="ListParagraph"/>
              <w:numPr>
                <w:ilvl w:val="0"/>
                <w:numId w:val="5"/>
              </w:numPr>
              <w:spacing w:before="32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>29 additional universities engaged in networking through a s</w:t>
            </w:r>
            <w:r w:rsidR="001E0194" w:rsidRPr="0032100F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urvey </w:t>
            </w:r>
            <w:r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in </w:t>
            </w:r>
            <w:r w:rsidR="001E0194" w:rsidRPr="003A68F5">
              <w:rPr>
                <w:rFonts w:ascii="Arial" w:eastAsia="Calibri" w:hAnsi="Arial" w:cs="Arial"/>
                <w:sz w:val="20"/>
                <w:szCs w:val="20"/>
                <w:lang w:val="en-GB"/>
              </w:rPr>
              <w:t>Africa</w:t>
            </w:r>
            <w:r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(following similar activities in Asia and the Pacific and Latin America and the Caribbean); survey </w:t>
            </w:r>
            <w:r w:rsidR="00701DDC" w:rsidRPr="003A68F5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report disseminated during a side event at </w:t>
            </w:r>
            <w:r w:rsidR="00F765C5" w:rsidRPr="0018401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the </w:t>
            </w:r>
            <w:r w:rsidR="00B61885">
              <w:rPr>
                <w:rFonts w:ascii="Arial" w:eastAsia="Calibri" w:hAnsi="Arial" w:cs="Arial"/>
                <w:sz w:val="20"/>
                <w:szCs w:val="20"/>
                <w:lang w:val="en-GB"/>
              </w:rPr>
              <w:t>thirteenth session of the Intergovernmental C</w:t>
            </w:r>
            <w:r w:rsidR="004528F9">
              <w:rPr>
                <w:rFonts w:ascii="Arial" w:eastAsia="Calibri" w:hAnsi="Arial" w:cs="Arial"/>
                <w:sz w:val="20"/>
                <w:szCs w:val="20"/>
                <w:lang w:val="en-GB"/>
              </w:rPr>
              <w:t>ommittee</w:t>
            </w:r>
            <w:r w:rsidR="00701DDC" w:rsidRPr="0018401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and online.</w:t>
            </w:r>
          </w:p>
        </w:tc>
        <w:tc>
          <w:tcPr>
            <w:tcW w:w="1701" w:type="dxa"/>
          </w:tcPr>
          <w:p w14:paraId="1437E40A" w14:textId="128C2252" w:rsidR="00994DC2" w:rsidRPr="005563A5" w:rsidRDefault="001E0194" w:rsidP="00D90428">
            <w:pPr>
              <w:spacing w:before="320" w:after="6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Partially</w:t>
            </w:r>
            <w:r w:rsidR="005F01D4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accomplished</w:t>
            </w:r>
          </w:p>
        </w:tc>
      </w:tr>
    </w:tbl>
    <w:p w14:paraId="6208561E" w14:textId="0605E8BA" w:rsidR="00A74D6C" w:rsidRPr="00524C74" w:rsidRDefault="00A74D6C" w:rsidP="005F7CB2">
      <w:pPr>
        <w:keepNext/>
        <w:spacing w:before="240" w:after="120"/>
        <w:rPr>
          <w:rFonts w:ascii="Arial" w:hAnsi="Arial" w:cs="Arial"/>
          <w:b/>
          <w:sz w:val="22"/>
          <w:szCs w:val="22"/>
          <w:lang w:val="en-GB"/>
        </w:rPr>
      </w:pPr>
      <w:r w:rsidRPr="00524C74">
        <w:rPr>
          <w:rFonts w:ascii="Arial" w:hAnsi="Arial" w:cs="Arial"/>
          <w:b/>
          <w:sz w:val="22"/>
          <w:szCs w:val="22"/>
          <w:lang w:val="en-GB"/>
        </w:rPr>
        <w:t>Challenges and risks in implementation and remedial actions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613A5E" w:rsidRPr="00524C74" w14:paraId="7A6FD21C" w14:textId="77777777" w:rsidTr="00D90428">
        <w:trPr>
          <w:tblHeader/>
          <w:jc w:val="center"/>
        </w:trPr>
        <w:tc>
          <w:tcPr>
            <w:tcW w:w="2500" w:type="pct"/>
            <w:shd w:val="clear" w:color="auto" w:fill="D9D9D9"/>
          </w:tcPr>
          <w:p w14:paraId="74DCA605" w14:textId="77777777" w:rsidR="00A74D6C" w:rsidRPr="00D71D21" w:rsidRDefault="00A74D6C" w:rsidP="00D71D21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1D21">
              <w:rPr>
                <w:rFonts w:ascii="Arial" w:hAnsi="Arial" w:cs="Arial"/>
                <w:b/>
                <w:sz w:val="20"/>
                <w:szCs w:val="20"/>
                <w:lang w:val="en-GB"/>
              </w:rPr>
              <w:t>Key challenges</w:t>
            </w:r>
          </w:p>
        </w:tc>
        <w:tc>
          <w:tcPr>
            <w:tcW w:w="2500" w:type="pct"/>
            <w:shd w:val="clear" w:color="auto" w:fill="D9D9D9"/>
          </w:tcPr>
          <w:p w14:paraId="4FDA07F3" w14:textId="77777777" w:rsidR="00A74D6C" w:rsidRPr="00D71D21" w:rsidRDefault="00A74D6C" w:rsidP="00D71D21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1D21">
              <w:rPr>
                <w:rFonts w:ascii="Arial" w:hAnsi="Arial" w:cs="Arial"/>
                <w:b/>
                <w:sz w:val="20"/>
                <w:szCs w:val="20"/>
                <w:lang w:val="en-GB"/>
              </w:rPr>
              <w:t>Remedial actions</w:t>
            </w:r>
          </w:p>
        </w:tc>
      </w:tr>
      <w:tr w:rsidR="00613A5E" w:rsidRPr="000C6CD9" w14:paraId="35D7FF0A" w14:textId="77777777" w:rsidTr="00D90428">
        <w:trPr>
          <w:jc w:val="center"/>
        </w:trPr>
        <w:tc>
          <w:tcPr>
            <w:tcW w:w="2500" w:type="pct"/>
            <w:shd w:val="clear" w:color="auto" w:fill="auto"/>
          </w:tcPr>
          <w:p w14:paraId="2EDC7E66" w14:textId="2CDBB03E" w:rsidR="000051A5" w:rsidRPr="00443099" w:rsidRDefault="000051A5" w:rsidP="00F30201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44309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Expanding the number of universities engaged in networking around the topic of integrating intangible cultural heritage into their programmes 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>presented</w:t>
            </w:r>
            <w:r w:rsidR="003B1562" w:rsidRPr="0044309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443099">
              <w:rPr>
                <w:rFonts w:ascii="Arial" w:eastAsia="Calibri" w:hAnsi="Arial" w:cs="Arial"/>
                <w:sz w:val="20"/>
                <w:szCs w:val="20"/>
                <w:lang w:val="en-GB"/>
              </w:rPr>
              <w:t>a challenge</w:t>
            </w:r>
            <w:r w:rsidR="00401FDE" w:rsidRPr="0044309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because the </w:t>
            </w:r>
            <w:r w:rsidR="00D70421"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>survey</w:t>
            </w:r>
            <w:r w:rsidR="00401FDE" w:rsidRPr="0044309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designed for this purpose was not always understood by 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the </w:t>
            </w:r>
            <w:r w:rsidR="00D70421"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>universities</w:t>
            </w:r>
            <w:r w:rsidR="00401FDE" w:rsidRPr="0044309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concerned. </w:t>
            </w:r>
            <w:r w:rsidR="003B1562">
              <w:rPr>
                <w:rFonts w:ascii="Arial" w:eastAsia="Calibri" w:hAnsi="Arial" w:cs="Arial"/>
                <w:sz w:val="20"/>
                <w:szCs w:val="20"/>
                <w:lang w:val="en-GB"/>
              </w:rPr>
              <w:t>For example, s</w:t>
            </w:r>
            <w:r w:rsidR="003B1562" w:rsidRPr="0044309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ome </w:t>
            </w:r>
            <w:r w:rsidR="00401FDE" w:rsidRPr="0044309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universities which have programmes in areas that fall into the broad field of </w:t>
            </w:r>
            <w:r w:rsidR="00F80C92">
              <w:rPr>
                <w:rFonts w:ascii="Arial" w:eastAsia="Calibri" w:hAnsi="Arial" w:cs="Arial"/>
                <w:sz w:val="20"/>
                <w:szCs w:val="20"/>
                <w:lang w:val="en-GB"/>
              </w:rPr>
              <w:t>intangible cultural heritage</w:t>
            </w:r>
            <w:r w:rsidR="00401FDE" w:rsidRPr="0044309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were not aware that they would qualify as such.</w:t>
            </w:r>
          </w:p>
        </w:tc>
        <w:tc>
          <w:tcPr>
            <w:tcW w:w="2500" w:type="pct"/>
            <w:shd w:val="clear" w:color="auto" w:fill="auto"/>
          </w:tcPr>
          <w:p w14:paraId="5BE9DD34" w14:textId="0304F605" w:rsidR="000C6AF7" w:rsidRPr="00443099" w:rsidRDefault="000051A5" w:rsidP="00F3020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3099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="003A3C7E" w:rsidRPr="00443099">
              <w:rPr>
                <w:rFonts w:ascii="Arial" w:hAnsi="Arial" w:cs="Arial"/>
                <w:sz w:val="20"/>
                <w:szCs w:val="20"/>
                <w:lang w:val="en-GB"/>
              </w:rPr>
              <w:t xml:space="preserve"> Secretariat combined the</w:t>
            </w:r>
            <w:r w:rsidRPr="00443099">
              <w:rPr>
                <w:rFonts w:ascii="Arial" w:hAnsi="Arial" w:cs="Arial"/>
                <w:sz w:val="20"/>
                <w:szCs w:val="20"/>
                <w:lang w:val="en-GB"/>
              </w:rPr>
              <w:t xml:space="preserve"> online survey approach with </w:t>
            </w:r>
            <w:r w:rsidR="003A3C7E" w:rsidRPr="00443099">
              <w:rPr>
                <w:rFonts w:ascii="Arial" w:hAnsi="Arial" w:cs="Arial"/>
                <w:sz w:val="20"/>
                <w:szCs w:val="20"/>
                <w:lang w:val="en-GB"/>
              </w:rPr>
              <w:t xml:space="preserve">a person-to-person approach, where a consultant conducted telephone interviews to </w:t>
            </w:r>
            <w:r w:rsidR="007944FC" w:rsidRPr="00443099">
              <w:rPr>
                <w:rFonts w:ascii="Arial" w:hAnsi="Arial" w:cs="Arial"/>
                <w:sz w:val="20"/>
                <w:szCs w:val="20"/>
                <w:lang w:val="en-GB"/>
              </w:rPr>
              <w:t xml:space="preserve">explain the objectives of the survey </w:t>
            </w:r>
            <w:r w:rsidR="00E657B1" w:rsidRPr="00443099">
              <w:rPr>
                <w:rFonts w:ascii="Arial" w:hAnsi="Arial" w:cs="Arial"/>
                <w:sz w:val="20"/>
                <w:szCs w:val="20"/>
                <w:lang w:val="en-GB"/>
              </w:rPr>
              <w:t xml:space="preserve">in more detail </w:t>
            </w:r>
            <w:r w:rsidR="007944FC" w:rsidRPr="00443099">
              <w:rPr>
                <w:rFonts w:ascii="Arial" w:hAnsi="Arial" w:cs="Arial"/>
                <w:sz w:val="20"/>
                <w:szCs w:val="20"/>
                <w:lang w:val="en-GB"/>
              </w:rPr>
              <w:t xml:space="preserve">and </w:t>
            </w:r>
            <w:r w:rsidR="003A3C7E" w:rsidRPr="00443099">
              <w:rPr>
                <w:rFonts w:ascii="Arial" w:hAnsi="Arial" w:cs="Arial"/>
                <w:sz w:val="20"/>
                <w:szCs w:val="20"/>
                <w:lang w:val="en-GB"/>
              </w:rPr>
              <w:t xml:space="preserve">obtain the required information. Moreover, the Secretariat organized the work in such a way that </w:t>
            </w:r>
            <w:r w:rsidR="007944FC" w:rsidRPr="00443099">
              <w:rPr>
                <w:rFonts w:ascii="Arial" w:hAnsi="Arial" w:cs="Arial"/>
                <w:sz w:val="20"/>
                <w:szCs w:val="20"/>
                <w:lang w:val="en-GB"/>
              </w:rPr>
              <w:t>the different field offices in Africa could support the data collection for the countries under their responsibility, contacting them, if and as required, starting with Southern Africa.</w:t>
            </w:r>
          </w:p>
        </w:tc>
      </w:tr>
      <w:tr w:rsidR="007E32A1" w:rsidRPr="000C6CD9" w14:paraId="74F1932F" w14:textId="77777777" w:rsidTr="00D90428">
        <w:trPr>
          <w:jc w:val="center"/>
        </w:trPr>
        <w:tc>
          <w:tcPr>
            <w:tcW w:w="2500" w:type="pct"/>
            <w:shd w:val="clear" w:color="auto" w:fill="auto"/>
          </w:tcPr>
          <w:p w14:paraId="0E45F79B" w14:textId="2EB02967" w:rsidR="007E32A1" w:rsidRPr="00C93D96" w:rsidRDefault="00D70421" w:rsidP="004660FD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93D96">
              <w:rPr>
                <w:rFonts w:ascii="Arial" w:eastAsia="Calibri" w:hAnsi="Arial" w:cs="Arial"/>
                <w:sz w:val="20"/>
                <w:szCs w:val="20"/>
                <w:lang w:val="en-GB"/>
              </w:rPr>
              <w:t>Reviewing new content developed required more time and human resources than anticipated</w:t>
            </w:r>
            <w:r w:rsidR="004660FD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14:paraId="2D38BE84" w14:textId="0583A0AF" w:rsidR="007E32A1" w:rsidRPr="00C93D96" w:rsidRDefault="00D445AC" w:rsidP="00F30201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93D96">
              <w:rPr>
                <w:rFonts w:ascii="Arial" w:eastAsia="Calibri" w:hAnsi="Arial" w:cs="Arial"/>
                <w:sz w:val="20"/>
                <w:szCs w:val="20"/>
                <w:lang w:val="en-GB"/>
              </w:rPr>
              <w:t>The production and translation schedules had to be adjusted to ensure finalization within the two-year period of this spending plan.</w:t>
            </w:r>
          </w:p>
        </w:tc>
      </w:tr>
    </w:tbl>
    <w:p w14:paraId="72A86BFB" w14:textId="6D8A4DCE" w:rsidR="00A74D6C" w:rsidRPr="00524C74" w:rsidRDefault="00A74D6C" w:rsidP="00473C13">
      <w:pPr>
        <w:keepNext/>
        <w:spacing w:before="240" w:after="120"/>
        <w:ind w:left="851" w:hanging="851"/>
        <w:rPr>
          <w:rFonts w:ascii="Arial" w:hAnsi="Arial" w:cs="Arial"/>
          <w:b/>
          <w:sz w:val="22"/>
          <w:szCs w:val="22"/>
          <w:lang w:val="en-GB"/>
        </w:rPr>
      </w:pPr>
      <w:r w:rsidRPr="00524C74">
        <w:rPr>
          <w:rFonts w:ascii="Arial" w:hAnsi="Arial" w:cs="Arial"/>
          <w:b/>
          <w:sz w:val="22"/>
          <w:szCs w:val="22"/>
          <w:lang w:val="en-GB"/>
        </w:rPr>
        <w:t>ER 3:</w:t>
      </w:r>
      <w:r w:rsidRPr="00524C74">
        <w:rPr>
          <w:rFonts w:ascii="Arial" w:hAnsi="Arial" w:cs="Arial"/>
          <w:b/>
          <w:sz w:val="22"/>
          <w:szCs w:val="22"/>
          <w:lang w:val="en-GB"/>
        </w:rPr>
        <w:tab/>
      </w:r>
      <w:r w:rsidR="00A73684" w:rsidRPr="00903DF2">
        <w:rPr>
          <w:rFonts w:ascii="Arial" w:hAnsi="Arial" w:cs="Arial"/>
          <w:b/>
          <w:bCs/>
          <w:sz w:val="22"/>
          <w:szCs w:val="22"/>
          <w:lang w:val="en-GB"/>
        </w:rPr>
        <w:t xml:space="preserve">Integration of </w:t>
      </w:r>
      <w:r w:rsidR="00A73684">
        <w:rPr>
          <w:rFonts w:ascii="Arial" w:hAnsi="Arial" w:cs="Arial"/>
          <w:b/>
          <w:bCs/>
          <w:sz w:val="22"/>
          <w:szCs w:val="22"/>
          <w:lang w:val="en-GB"/>
        </w:rPr>
        <w:t>intangible cultural heritage</w:t>
      </w:r>
      <w:r w:rsidR="00A73684" w:rsidRPr="00903DF2">
        <w:rPr>
          <w:rFonts w:ascii="Arial" w:hAnsi="Arial" w:cs="Arial"/>
          <w:b/>
          <w:bCs/>
          <w:sz w:val="22"/>
          <w:szCs w:val="22"/>
          <w:lang w:val="en-GB"/>
        </w:rPr>
        <w:t xml:space="preserve"> into development plans, policies and programmes supported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0"/>
        <w:gridCol w:w="4084"/>
        <w:gridCol w:w="1702"/>
      </w:tblGrid>
      <w:tr w:rsidR="0012712B" w:rsidRPr="00524C74" w14:paraId="5B003AC2" w14:textId="77777777" w:rsidTr="00725503">
        <w:tc>
          <w:tcPr>
            <w:tcW w:w="1998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2436A67" w14:textId="77777777" w:rsidR="00A74D6C" w:rsidRPr="00524C74" w:rsidRDefault="00A74D6C" w:rsidP="00A460CA">
            <w:pPr>
              <w:keepNext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Allocation</w:t>
            </w:r>
          </w:p>
        </w:tc>
        <w:tc>
          <w:tcPr>
            <w:tcW w:w="2119" w:type="pct"/>
            <w:shd w:val="clear" w:color="auto" w:fill="C6D9F1"/>
            <w:vAlign w:val="center"/>
          </w:tcPr>
          <w:p w14:paraId="2F55D2C0" w14:textId="77777777" w:rsidR="00A74D6C" w:rsidRPr="00524C74" w:rsidRDefault="00A74D6C">
            <w:pPr>
              <w:keepNext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Expenditures</w:t>
            </w:r>
          </w:p>
        </w:tc>
        <w:tc>
          <w:tcPr>
            <w:tcW w:w="883" w:type="pct"/>
            <w:shd w:val="clear" w:color="auto" w:fill="C6D9F1"/>
            <w:vAlign w:val="center"/>
          </w:tcPr>
          <w:p w14:paraId="0A82E7B8" w14:textId="5A5B500D" w:rsidR="00A74D6C" w:rsidRPr="00524C74" w:rsidRDefault="00A74D6C">
            <w:pPr>
              <w:keepNext/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Exp. Rate %</w:t>
            </w:r>
            <w:r w:rsidR="00AF29D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br/>
              <w:t>at 31/12/2018</w:t>
            </w:r>
          </w:p>
        </w:tc>
      </w:tr>
      <w:tr w:rsidR="0012712B" w:rsidRPr="00524C74" w14:paraId="45BE9123" w14:textId="77777777" w:rsidTr="00D90428">
        <w:tc>
          <w:tcPr>
            <w:tcW w:w="1998" w:type="pct"/>
            <w:tcBorders>
              <w:bottom w:val="single" w:sz="4" w:space="0" w:color="auto"/>
            </w:tcBorders>
            <w:shd w:val="clear" w:color="auto" w:fill="auto"/>
          </w:tcPr>
          <w:p w14:paraId="32DB182B" w14:textId="5D5D0E55" w:rsidR="00A74D6C" w:rsidRPr="00524C74" w:rsidRDefault="00994DC2" w:rsidP="006F7D2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286,6</w:t>
            </w:r>
            <w:r w:rsidR="006F7D20" w:rsidRPr="00524C74">
              <w:rPr>
                <w:rFonts w:ascii="Arial" w:hAnsi="Arial" w:cs="Arial"/>
                <w:sz w:val="20"/>
                <w:szCs w:val="20"/>
                <w:lang w:val="en-GB"/>
              </w:rPr>
              <w:t>00.00</w:t>
            </w:r>
          </w:p>
        </w:tc>
        <w:tc>
          <w:tcPr>
            <w:tcW w:w="2119" w:type="pct"/>
            <w:shd w:val="clear" w:color="auto" w:fill="auto"/>
          </w:tcPr>
          <w:p w14:paraId="1A3AEE7C" w14:textId="11F8952C" w:rsidR="00A74D6C" w:rsidRPr="00524C74" w:rsidRDefault="00994DC2" w:rsidP="006F7D2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68,010.49</w:t>
            </w:r>
          </w:p>
        </w:tc>
        <w:tc>
          <w:tcPr>
            <w:tcW w:w="883" w:type="pct"/>
            <w:shd w:val="clear" w:color="auto" w:fill="auto"/>
          </w:tcPr>
          <w:p w14:paraId="61DBBBC0" w14:textId="4090F793" w:rsidR="00A74D6C" w:rsidRPr="00524C74" w:rsidRDefault="00994DC2" w:rsidP="006F7D2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  <w:r w:rsidR="00C30B14">
              <w:rPr>
                <w:rFonts w:ascii="Arial" w:hAnsi="Arial" w:cs="Arial"/>
                <w:sz w:val="20"/>
                <w:szCs w:val="20"/>
                <w:lang w:val="en-GB"/>
              </w:rPr>
              <w:t>.7</w:t>
            </w:r>
            <w:r w:rsidR="00A74D6C" w:rsidRPr="00524C74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</w:tr>
    </w:tbl>
    <w:p w14:paraId="3AD2C422" w14:textId="77777777" w:rsidR="00A74D6C" w:rsidRPr="00D90428" w:rsidRDefault="00A74D6C" w:rsidP="00D90428">
      <w:pPr>
        <w:ind w:left="851" w:hanging="851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4082"/>
        <w:gridCol w:w="1701"/>
      </w:tblGrid>
      <w:tr w:rsidR="00842D1A" w:rsidRPr="00524C74" w14:paraId="3EB3BD9E" w14:textId="77777777" w:rsidTr="00D90428">
        <w:trPr>
          <w:tblHeader/>
        </w:trPr>
        <w:tc>
          <w:tcPr>
            <w:tcW w:w="3855" w:type="dxa"/>
            <w:shd w:val="clear" w:color="auto" w:fill="D9D9D9"/>
          </w:tcPr>
          <w:p w14:paraId="42BB0CB7" w14:textId="3A94FA20" w:rsidR="00842D1A" w:rsidRPr="00524C74" w:rsidRDefault="00842D1A" w:rsidP="00316CCB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Output</w:t>
            </w: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br/>
              <w:t>Indicators/Benchmark (B)</w:t>
            </w:r>
          </w:p>
        </w:tc>
        <w:tc>
          <w:tcPr>
            <w:tcW w:w="4082" w:type="dxa"/>
            <w:shd w:val="clear" w:color="auto" w:fill="D9D9D9"/>
          </w:tcPr>
          <w:p w14:paraId="1CE3A372" w14:textId="17645E95" w:rsidR="00842D1A" w:rsidRPr="00524C74" w:rsidRDefault="00842D1A" w:rsidP="009A1E0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Assessment of progress:</w:t>
            </w: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br/>
            </w:r>
            <w:r w:rsidR="00994DC2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01/01/2018 to 31/12/2018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4021385" w14:textId="77777777" w:rsidR="00842D1A" w:rsidRPr="00524C74" w:rsidRDefault="00842D1A" w:rsidP="008969C8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Assessment of implementation</w:t>
            </w:r>
          </w:p>
        </w:tc>
      </w:tr>
      <w:tr w:rsidR="00842D1A" w:rsidRPr="005F01D4" w14:paraId="514AA2D5" w14:textId="77777777" w:rsidTr="00D90428">
        <w:tc>
          <w:tcPr>
            <w:tcW w:w="3855" w:type="dxa"/>
            <w:shd w:val="clear" w:color="auto" w:fill="auto"/>
          </w:tcPr>
          <w:p w14:paraId="107E2A3F" w14:textId="004C69C2" w:rsidR="00842D1A" w:rsidRPr="00F96B18" w:rsidRDefault="00842D1A" w:rsidP="00316CCB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F96B1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</w:t>
            </w:r>
            <w:r w:rsidR="0012712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utput 3.1</w:t>
            </w:r>
            <w:r w:rsidRPr="00F96B1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35A9CF0F" w14:textId="37311C6D" w:rsidR="006855EB" w:rsidRPr="006855EB" w:rsidRDefault="006855EB" w:rsidP="006855EB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6855EB">
              <w:rPr>
                <w:rFonts w:ascii="Arial" w:eastAsia="Calibri" w:hAnsi="Arial" w:cs="Arial"/>
                <w:sz w:val="20"/>
                <w:szCs w:val="20"/>
                <w:lang w:val="en-GB"/>
              </w:rPr>
              <w:t>Global clearing house for knowledge sharing, cooperation and innovation on intangible cultural heritage and education established and functioning</w:t>
            </w:r>
          </w:p>
          <w:p w14:paraId="2B075E84" w14:textId="56E54D37" w:rsidR="00842D1A" w:rsidRPr="00F96B18" w:rsidRDefault="00842D1A" w:rsidP="008969C8">
            <w:pPr>
              <w:keepNext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F96B1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B 201</w:t>
            </w:r>
            <w:r w:rsidR="006855EB" w:rsidRPr="00F96B1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8</w:t>
            </w:r>
            <w:r w:rsidRPr="00F96B1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-201</w:t>
            </w:r>
            <w:r w:rsidR="006855EB" w:rsidRPr="00F96B1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9</w:t>
            </w:r>
            <w:r w:rsidRPr="00F96B1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0ECB3D5F" w14:textId="721C4A6D" w:rsidR="006855EB" w:rsidRPr="00F96B18" w:rsidRDefault="006855EB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F96B18">
              <w:rPr>
                <w:rFonts w:ascii="Arial" w:eastAsia="Calibri" w:hAnsi="Arial" w:cs="Arial"/>
                <w:sz w:val="20"/>
                <w:szCs w:val="20"/>
                <w:lang w:val="en-GB"/>
              </w:rPr>
              <w:t>Webpage and resources for the clearing house developed</w:t>
            </w:r>
          </w:p>
          <w:p w14:paraId="25FE28CD" w14:textId="426026B7" w:rsidR="006855EB" w:rsidRPr="00F96B18" w:rsidRDefault="006855EB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F96B1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Two recommendations from the consultation held in 2017 with </w:t>
            </w:r>
            <w:r w:rsidRPr="00F96B18">
              <w:rPr>
                <w:rFonts w:ascii="Arial" w:eastAsia="Calibri" w:hAnsi="Arial" w:cs="Arial"/>
                <w:sz w:val="20"/>
                <w:szCs w:val="20"/>
                <w:lang w:val="en-GB"/>
              </w:rPr>
              <w:lastRenderedPageBreak/>
              <w:t>relevant educational institutions on integrating intangible cultural heritage into their programmes implemented</w:t>
            </w:r>
          </w:p>
          <w:p w14:paraId="226FF84C" w14:textId="7DBA22B4" w:rsidR="006855EB" w:rsidRPr="00F96B18" w:rsidRDefault="006855EB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A11871">
              <w:rPr>
                <w:rFonts w:ascii="Arial" w:eastAsia="Calibri" w:hAnsi="Arial" w:cs="Arial"/>
                <w:sz w:val="20"/>
                <w:szCs w:val="20"/>
                <w:lang w:val="en-GB"/>
              </w:rPr>
              <w:t>Knowledge consolidated and shared through one side event and participation in one</w:t>
            </w:r>
            <w:r w:rsidRPr="00F96B1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relevant meeting</w:t>
            </w:r>
          </w:p>
          <w:p w14:paraId="3C953B73" w14:textId="68D246A1" w:rsidR="006855EB" w:rsidRPr="00F96B18" w:rsidRDefault="006855EB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F96B18">
              <w:rPr>
                <w:rFonts w:ascii="Arial" w:eastAsia="Calibri" w:hAnsi="Arial" w:cs="Arial"/>
                <w:sz w:val="20"/>
                <w:szCs w:val="20"/>
                <w:lang w:val="en-GB"/>
              </w:rPr>
              <w:t>Programme information pamphlet produced in two languages</w:t>
            </w:r>
          </w:p>
          <w:p w14:paraId="741C80F6" w14:textId="65EC7669" w:rsidR="00842D1A" w:rsidRPr="00524C74" w:rsidRDefault="006855EB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F96B18">
              <w:rPr>
                <w:rFonts w:ascii="Arial" w:eastAsia="Calibri" w:hAnsi="Arial" w:cs="Arial"/>
                <w:sz w:val="20"/>
                <w:szCs w:val="20"/>
                <w:lang w:val="en-GB"/>
              </w:rPr>
              <w:t>Global working meeting organized with staff and experts involved in the implementation of operational activities</w:t>
            </w:r>
          </w:p>
        </w:tc>
        <w:tc>
          <w:tcPr>
            <w:tcW w:w="4082" w:type="dxa"/>
            <w:shd w:val="clear" w:color="auto" w:fill="auto"/>
          </w:tcPr>
          <w:p w14:paraId="7F81B73E" w14:textId="1BCBF95A" w:rsidR="004F5AD9" w:rsidRPr="0012712B" w:rsidRDefault="00443099" w:rsidP="00D90428">
            <w:pPr>
              <w:pStyle w:val="ListParagraph"/>
              <w:numPr>
                <w:ilvl w:val="0"/>
                <w:numId w:val="5"/>
              </w:numPr>
              <w:spacing w:before="32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0E56CE">
              <w:rPr>
                <w:rFonts w:ascii="Arial" w:eastAsia="Calibri" w:hAnsi="Arial" w:cs="Arial"/>
                <w:sz w:val="20"/>
                <w:szCs w:val="20"/>
                <w:lang w:val="en-GB"/>
              </w:rPr>
              <w:lastRenderedPageBreak/>
              <w:t>Work for the w</w:t>
            </w:r>
            <w:r w:rsidR="004F5AD9" w:rsidRPr="000E56CE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ebpage and resources for the clearinghouse </w:t>
            </w:r>
            <w:r w:rsidR="00122F91" w:rsidRPr="0012712B">
              <w:rPr>
                <w:rFonts w:ascii="Arial" w:eastAsia="Calibri" w:hAnsi="Arial" w:cs="Arial"/>
                <w:sz w:val="20"/>
                <w:szCs w:val="20"/>
                <w:lang w:val="en-GB"/>
              </w:rPr>
              <w:t>commission</w:t>
            </w:r>
            <w:r w:rsidRPr="0012712B">
              <w:rPr>
                <w:rFonts w:ascii="Arial" w:eastAsia="Calibri" w:hAnsi="Arial" w:cs="Arial"/>
                <w:sz w:val="20"/>
                <w:szCs w:val="20"/>
                <w:lang w:val="en-GB"/>
              </w:rPr>
              <w:t>ed</w:t>
            </w:r>
            <w:r w:rsidR="004F5AD9" w:rsidRPr="0012712B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375C8492" w14:textId="1EB9BA3A" w:rsidR="00443099" w:rsidRPr="0012712B" w:rsidRDefault="004F5AD9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12712B">
              <w:rPr>
                <w:rFonts w:ascii="Arial" w:eastAsia="Calibri" w:hAnsi="Arial" w:cs="Arial"/>
                <w:sz w:val="20"/>
                <w:szCs w:val="20"/>
                <w:lang w:val="en-GB"/>
              </w:rPr>
              <w:t>Joint virtual conference held with UNESCO-UNEVOC on ‘Safeguarding intangible cultural heritage through technical and vocational education and training’ with 302 participants from 83 countries</w:t>
            </w:r>
            <w:r w:rsidR="00E657B1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0CE34E6F" w14:textId="0786F23C" w:rsidR="00142985" w:rsidRPr="0012712B" w:rsidRDefault="00142985" w:rsidP="00315F7C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12712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Roundtable discussion held as a side event at </w:t>
            </w:r>
            <w:r w:rsidR="00491F2A" w:rsidRPr="0012712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the seventh session of the </w:t>
            </w:r>
            <w:r w:rsidR="00491F2A" w:rsidRPr="0012712B">
              <w:rPr>
                <w:rFonts w:ascii="Arial" w:eastAsia="Calibri" w:hAnsi="Arial" w:cs="Arial"/>
                <w:sz w:val="20"/>
                <w:szCs w:val="20"/>
                <w:lang w:val="en-GB"/>
              </w:rPr>
              <w:lastRenderedPageBreak/>
              <w:t>General Assembly</w:t>
            </w:r>
            <w:r w:rsidRPr="0012712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on ‘Safeguarding intangible cultural heritage for quality and relevance in education’.</w:t>
            </w:r>
          </w:p>
          <w:p w14:paraId="048C41DA" w14:textId="7B29BF51" w:rsidR="001709C0" w:rsidRPr="00D90428" w:rsidRDefault="00142985" w:rsidP="00D90428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12712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Information session held </w:t>
            </w:r>
            <w:r w:rsidR="006F79C8">
              <w:rPr>
                <w:rFonts w:ascii="Arial" w:eastAsia="Calibri" w:hAnsi="Arial" w:cs="Arial"/>
                <w:sz w:val="20"/>
                <w:szCs w:val="20"/>
                <w:lang w:val="en-GB"/>
              </w:rPr>
              <w:t>during</w:t>
            </w:r>
            <w:r w:rsidR="006F79C8" w:rsidRPr="0012712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CD4499" w:rsidRPr="0012712B">
              <w:rPr>
                <w:rFonts w:ascii="Arial" w:eastAsia="Calibri" w:hAnsi="Arial" w:cs="Arial"/>
                <w:sz w:val="20"/>
                <w:szCs w:val="20"/>
                <w:lang w:val="en-GB"/>
              </w:rPr>
              <w:t>the thirteenth session of the Intergovernmental Committee</w:t>
            </w:r>
            <w:r w:rsidRPr="0012712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to share and exchange on safeguarding intangible cultural heritage through formal and non-formal education.</w:t>
            </w:r>
          </w:p>
        </w:tc>
        <w:tc>
          <w:tcPr>
            <w:tcW w:w="1701" w:type="dxa"/>
          </w:tcPr>
          <w:p w14:paraId="13C6EBA4" w14:textId="4DFB178E" w:rsidR="00842D1A" w:rsidRPr="00524C74" w:rsidRDefault="001709C0" w:rsidP="00D90428">
            <w:pPr>
              <w:spacing w:before="320" w:after="6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lastRenderedPageBreak/>
              <w:t>Partially accomplished</w:t>
            </w:r>
          </w:p>
        </w:tc>
      </w:tr>
      <w:tr w:rsidR="00994DC2" w:rsidRPr="000C6CD9" w14:paraId="43790665" w14:textId="77777777" w:rsidTr="00D90428">
        <w:tc>
          <w:tcPr>
            <w:tcW w:w="3855" w:type="dxa"/>
            <w:shd w:val="clear" w:color="auto" w:fill="auto"/>
          </w:tcPr>
          <w:p w14:paraId="6D55429B" w14:textId="22B6E3E5" w:rsidR="00F96B18" w:rsidRPr="00F96B18" w:rsidRDefault="00F96B18" w:rsidP="00316CCB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F96B1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</w:t>
            </w:r>
            <w:r w:rsidR="0012712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utput 3.2</w:t>
            </w:r>
            <w:r w:rsidRPr="00F96B1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539A8BE5" w14:textId="3B8797E0" w:rsidR="00994DC2" w:rsidRDefault="00F96B18" w:rsidP="00316CCB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F96B18">
              <w:rPr>
                <w:rFonts w:ascii="Arial" w:eastAsia="Calibri" w:hAnsi="Arial" w:cs="Arial"/>
                <w:sz w:val="20"/>
                <w:szCs w:val="20"/>
                <w:lang w:val="en-GB"/>
              </w:rPr>
              <w:t>Synergies between the 2003 Convention and work of the UN system in the framework of the 2030 Agenda for sustainable development strengthened</w:t>
            </w:r>
          </w:p>
          <w:p w14:paraId="1A55A480" w14:textId="77777777" w:rsidR="00F96B18" w:rsidRPr="00F96B18" w:rsidRDefault="00F96B18" w:rsidP="00F96B18">
            <w:pPr>
              <w:keepNext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F96B1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B 2018-2019:</w:t>
            </w:r>
          </w:p>
          <w:p w14:paraId="76441428" w14:textId="5BDA3E45" w:rsidR="00F96B18" w:rsidRPr="00524C74" w:rsidRDefault="00F96B18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F96B18">
              <w:rPr>
                <w:rFonts w:ascii="Arial" w:eastAsia="Calibri" w:hAnsi="Arial" w:cs="Arial"/>
                <w:sz w:val="20"/>
                <w:szCs w:val="20"/>
                <w:lang w:val="en-GB"/>
              </w:rPr>
              <w:t>Participation in two meetings organized by UN and other development agencies</w:t>
            </w:r>
          </w:p>
        </w:tc>
        <w:tc>
          <w:tcPr>
            <w:tcW w:w="4082" w:type="dxa"/>
            <w:shd w:val="clear" w:color="auto" w:fill="auto"/>
          </w:tcPr>
          <w:p w14:paraId="2FC09F38" w14:textId="364B1457" w:rsidR="00683FEE" w:rsidRDefault="00193976" w:rsidP="00D90428">
            <w:pPr>
              <w:pStyle w:val="ListParagraph"/>
              <w:numPr>
                <w:ilvl w:val="0"/>
                <w:numId w:val="5"/>
              </w:numPr>
              <w:spacing w:before="32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Preparatory meetings</w:t>
            </w:r>
            <w:r w:rsidR="00B61885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6F79C8">
              <w:rPr>
                <w:rFonts w:ascii="Arial" w:eastAsia="Calibri" w:hAnsi="Arial" w:cs="Arial"/>
                <w:sz w:val="20"/>
                <w:szCs w:val="20"/>
                <w:lang w:val="en-GB"/>
              </w:rPr>
              <w:t>held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with </w:t>
            </w:r>
            <w:r w:rsidR="006F79C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Science </w:t>
            </w:r>
            <w:r w:rsidR="006F79C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Sector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(UNESCO focal point for indigenous peoples) to plan the Secretariat’s participation in the eighteenth session of the UN Permanent Forum on Indigenous Issues</w:t>
            </w:r>
            <w:r w:rsidR="00B61885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in May 2019</w:t>
            </w:r>
            <w:r w:rsidR="00491F2A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21FE3AB9" w14:textId="77777777" w:rsidR="00193976" w:rsidRDefault="00B31571" w:rsidP="00F30201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Exchanges</w:t>
            </w:r>
            <w:r w:rsidR="006F79C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made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with</w:t>
            </w:r>
            <w:r w:rsidR="00193976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World Intellectual Property Organisation</w:t>
            </w:r>
            <w:r w:rsidR="00491F2A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(WIPO)</w:t>
            </w:r>
            <w:r w:rsidR="00193976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regarding draft articles on ‘The Protection of Traditional Cultural Expressions’</w:t>
            </w:r>
            <w:r w:rsidR="00491F2A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2CC63BC4" w14:textId="28A9AF26" w:rsidR="004660FD" w:rsidRPr="00524C74" w:rsidRDefault="004660FD" w:rsidP="00F30201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A meeting convened on intangible cultural heritage in emergencies (see the Output 3.3 below).</w:t>
            </w:r>
          </w:p>
        </w:tc>
        <w:tc>
          <w:tcPr>
            <w:tcW w:w="1701" w:type="dxa"/>
          </w:tcPr>
          <w:p w14:paraId="4BEFA425" w14:textId="77777777" w:rsidR="00994DC2" w:rsidRPr="00524C74" w:rsidRDefault="00994DC2" w:rsidP="005563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994DC2" w:rsidRPr="001048CC" w14:paraId="5E9D4450" w14:textId="77777777" w:rsidTr="00D90428">
        <w:tc>
          <w:tcPr>
            <w:tcW w:w="3855" w:type="dxa"/>
            <w:shd w:val="clear" w:color="auto" w:fill="auto"/>
          </w:tcPr>
          <w:p w14:paraId="1CDC8882" w14:textId="2C4067C4" w:rsidR="00F96B18" w:rsidRPr="00F96B18" w:rsidRDefault="00F96B18" w:rsidP="00F96B18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F96B1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</w:t>
            </w:r>
            <w:r w:rsidR="001961B1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utput 3.3</w:t>
            </w:r>
            <w:r w:rsidRPr="00F96B1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429E7518" w14:textId="5E93CB5C" w:rsidR="00994DC2" w:rsidRDefault="00F96B18" w:rsidP="00316CCB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F96B18">
              <w:rPr>
                <w:rFonts w:ascii="Arial" w:eastAsia="Calibri" w:hAnsi="Arial" w:cs="Arial"/>
                <w:sz w:val="20"/>
                <w:szCs w:val="20"/>
                <w:lang w:val="en-GB"/>
              </w:rPr>
              <w:t>Framework established for the safeguarding of intangible cultural heritage in emergencies</w:t>
            </w:r>
          </w:p>
          <w:p w14:paraId="65DF63B7" w14:textId="77777777" w:rsidR="00F96B18" w:rsidRPr="00F96B18" w:rsidRDefault="00F96B18" w:rsidP="00F96B18">
            <w:pPr>
              <w:keepNext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F96B18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B 2018-2019:</w:t>
            </w:r>
          </w:p>
          <w:p w14:paraId="3B399305" w14:textId="66ED70A5" w:rsidR="00F96B18" w:rsidRDefault="009D6ECA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Two</w:t>
            </w:r>
            <w:r w:rsidR="001048CC" w:rsidRPr="00F96B1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F96B18" w:rsidRPr="00F96B18">
              <w:rPr>
                <w:rFonts w:ascii="Arial" w:eastAsia="Calibri" w:hAnsi="Arial" w:cs="Arial"/>
                <w:sz w:val="20"/>
                <w:szCs w:val="20"/>
                <w:lang w:val="en-GB"/>
              </w:rPr>
              <w:t>reference document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s</w:t>
            </w:r>
            <w:r w:rsidR="00F96B18" w:rsidRPr="00F96B1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developed on methodological approaches</w:t>
            </w:r>
          </w:p>
          <w:p w14:paraId="2AC9F1BF" w14:textId="3E075D2E" w:rsidR="00F96B18" w:rsidRPr="00F96B18" w:rsidRDefault="00F96B18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F96B18">
              <w:rPr>
                <w:rFonts w:ascii="Arial" w:eastAsia="Calibri" w:hAnsi="Arial" w:cs="Arial"/>
                <w:sz w:val="20"/>
                <w:szCs w:val="20"/>
                <w:lang w:val="en-GB"/>
              </w:rPr>
              <w:t>Cooperation with two institutions strengthened</w:t>
            </w:r>
          </w:p>
          <w:p w14:paraId="66DBFE6D" w14:textId="3B8E957D" w:rsidR="00F96B18" w:rsidRPr="00524C74" w:rsidRDefault="00F96B18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contextualSpacing w:val="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F96B18">
              <w:rPr>
                <w:rFonts w:ascii="Arial" w:eastAsia="Calibri" w:hAnsi="Arial" w:cs="Arial"/>
                <w:sz w:val="20"/>
                <w:szCs w:val="20"/>
                <w:lang w:val="en-GB"/>
              </w:rPr>
              <w:t>One expert meeting organized with a view to defining a strategy</w:t>
            </w:r>
          </w:p>
        </w:tc>
        <w:tc>
          <w:tcPr>
            <w:tcW w:w="4082" w:type="dxa"/>
            <w:shd w:val="clear" w:color="auto" w:fill="auto"/>
          </w:tcPr>
          <w:p w14:paraId="6507812A" w14:textId="4C722BD9" w:rsidR="001048CC" w:rsidRDefault="001048CC" w:rsidP="00D90428">
            <w:pPr>
              <w:pStyle w:val="ListParagraph"/>
              <w:numPr>
                <w:ilvl w:val="0"/>
                <w:numId w:val="5"/>
              </w:numPr>
              <w:spacing w:before="32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512C6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One study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carried out to </w:t>
            </w:r>
            <w:r w:rsidRPr="009C0EC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map and analyse different methodological approaches used worldwide with a view to safeguarding intangible cultural heritage </w:t>
            </w:r>
            <w:r w:rsidR="00B61885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in emergencies </w:t>
            </w:r>
            <w:r w:rsidRPr="009C0EC1">
              <w:rPr>
                <w:rFonts w:ascii="Arial" w:eastAsia="Calibri" w:hAnsi="Arial" w:cs="Arial"/>
                <w:sz w:val="20"/>
                <w:szCs w:val="20"/>
                <w:lang w:val="en-GB"/>
              </w:rPr>
              <w:t>and mobilizing it as a tool for resilience and recovery</w:t>
            </w:r>
            <w:r w:rsidR="00E270B4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6BF320AA" w14:textId="14854F12" w:rsidR="001048CC" w:rsidRPr="00512C68" w:rsidRDefault="001048CC" w:rsidP="00AF6EF6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C0EC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One brainstorming meeting held in Beirut (Lebanon) </w:t>
            </w:r>
            <w:r w:rsidR="00B61885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in October 2018 </w:t>
            </w:r>
            <w:r w:rsidRPr="009C0EC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with UN agencies and humanitarian stakeholders based in </w:t>
            </w:r>
            <w:r w:rsidR="00E270B4">
              <w:rPr>
                <w:rFonts w:ascii="Arial" w:eastAsia="Calibri" w:hAnsi="Arial" w:cs="Arial"/>
                <w:sz w:val="20"/>
                <w:szCs w:val="20"/>
                <w:lang w:val="en-GB"/>
              </w:rPr>
              <w:t>the country</w:t>
            </w:r>
            <w:r w:rsidRPr="009C0EC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, notably </w:t>
            </w:r>
            <w:r w:rsidR="00AF6EF6">
              <w:rPr>
                <w:rFonts w:ascii="Arial" w:eastAsia="Calibri" w:hAnsi="Arial" w:cs="Arial"/>
                <w:sz w:val="20"/>
                <w:szCs w:val="20"/>
                <w:lang w:val="en-GB"/>
              </w:rPr>
              <w:t>ESCWA, UNDP, UN Habitat,</w:t>
            </w:r>
            <w:r w:rsidR="006F79C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9C0EC1">
              <w:rPr>
                <w:rFonts w:ascii="Arial" w:eastAsia="Calibri" w:hAnsi="Arial" w:cs="Arial"/>
                <w:sz w:val="20"/>
                <w:szCs w:val="20"/>
                <w:lang w:val="en-GB"/>
              </w:rPr>
              <w:t>UNHCR</w:t>
            </w:r>
            <w:r w:rsidR="006429C4">
              <w:rPr>
                <w:rFonts w:ascii="Arial" w:eastAsia="Calibri" w:hAnsi="Arial" w:cs="Arial"/>
                <w:sz w:val="20"/>
                <w:szCs w:val="20"/>
                <w:lang w:val="en-GB"/>
              </w:rPr>
              <w:t>,</w:t>
            </w:r>
            <w:r w:rsidRPr="009C0EC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6429C4">
              <w:rPr>
                <w:rFonts w:ascii="Arial" w:eastAsia="Calibri" w:hAnsi="Arial" w:cs="Arial"/>
                <w:sz w:val="20"/>
                <w:szCs w:val="20"/>
                <w:lang w:val="en-GB"/>
              </w:rPr>
              <w:t>UNIFIL and WHO</w:t>
            </w:r>
            <w:r w:rsidRPr="009C0EC1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20BC98BB" w14:textId="79580C18" w:rsidR="00994DC2" w:rsidRPr="00F30201" w:rsidRDefault="001048CC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Funding partner identified to support the organization of an expert meeting</w:t>
            </w:r>
            <w:r w:rsidR="00E270B4">
              <w:rPr>
                <w:rFonts w:ascii="Arial" w:eastAsia="Calibri" w:hAnsi="Arial" w:cs="Arial"/>
                <w:sz w:val="20"/>
                <w:szCs w:val="20"/>
                <w:lang w:val="en-GB"/>
              </w:rPr>
              <w:t>, following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Decision 13.COM 11 of the Intergovernmental Committee requesting </w:t>
            </w:r>
            <w:r w:rsidR="006F79C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that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the Secretariat ‘</w:t>
            </w:r>
            <w:r w:rsidRPr="009C0EC1"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  <w:t>organize an individual expert meeting during the course of 2019 to conceptualize and transform the knowledge and experience acquired into methodological guidance for States Parties’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701" w:type="dxa"/>
          </w:tcPr>
          <w:p w14:paraId="7E3BFE72" w14:textId="1888427C" w:rsidR="00994DC2" w:rsidRPr="00524C74" w:rsidRDefault="001048CC" w:rsidP="00D90428">
            <w:pPr>
              <w:spacing w:before="320" w:after="6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Partially accomplished</w:t>
            </w:r>
          </w:p>
        </w:tc>
      </w:tr>
    </w:tbl>
    <w:p w14:paraId="37559E52" w14:textId="16C8E82B" w:rsidR="00A74D6C" w:rsidRPr="00524C74" w:rsidRDefault="00A74D6C" w:rsidP="005F7CB2">
      <w:pPr>
        <w:keepNext/>
        <w:spacing w:before="240" w:after="120"/>
        <w:rPr>
          <w:rFonts w:ascii="Arial" w:hAnsi="Arial" w:cs="Arial"/>
          <w:b/>
          <w:sz w:val="22"/>
          <w:szCs w:val="22"/>
          <w:lang w:val="en-GB"/>
        </w:rPr>
      </w:pPr>
      <w:r w:rsidRPr="00524C74">
        <w:rPr>
          <w:rFonts w:ascii="Arial" w:hAnsi="Arial" w:cs="Arial"/>
          <w:b/>
          <w:sz w:val="22"/>
          <w:szCs w:val="22"/>
          <w:lang w:val="en-GB"/>
        </w:rPr>
        <w:lastRenderedPageBreak/>
        <w:t>Challenges and risks in implementation and remedial actions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613A5E" w:rsidRPr="00524C74" w14:paraId="02D15544" w14:textId="77777777" w:rsidTr="00D90428">
        <w:trPr>
          <w:tblHeader/>
          <w:jc w:val="center"/>
        </w:trPr>
        <w:tc>
          <w:tcPr>
            <w:tcW w:w="2500" w:type="pct"/>
            <w:shd w:val="clear" w:color="auto" w:fill="D9D9D9"/>
          </w:tcPr>
          <w:p w14:paraId="6AA77A91" w14:textId="77777777" w:rsidR="00A74D6C" w:rsidRPr="00D71D21" w:rsidRDefault="00A74D6C" w:rsidP="00D71D21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1D21">
              <w:rPr>
                <w:rFonts w:ascii="Arial" w:hAnsi="Arial" w:cs="Arial"/>
                <w:b/>
                <w:sz w:val="20"/>
                <w:szCs w:val="20"/>
                <w:lang w:val="en-GB"/>
              </w:rPr>
              <w:t>Key challenges</w:t>
            </w:r>
          </w:p>
        </w:tc>
        <w:tc>
          <w:tcPr>
            <w:tcW w:w="2500" w:type="pct"/>
            <w:shd w:val="clear" w:color="auto" w:fill="D9D9D9"/>
          </w:tcPr>
          <w:p w14:paraId="3615F128" w14:textId="77777777" w:rsidR="00A74D6C" w:rsidRPr="00D71D21" w:rsidRDefault="00A74D6C" w:rsidP="00D71D21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1D21">
              <w:rPr>
                <w:rFonts w:ascii="Arial" w:hAnsi="Arial" w:cs="Arial"/>
                <w:b/>
                <w:sz w:val="20"/>
                <w:szCs w:val="20"/>
                <w:lang w:val="en-GB"/>
              </w:rPr>
              <w:t>Remedial actions</w:t>
            </w:r>
          </w:p>
        </w:tc>
      </w:tr>
      <w:tr w:rsidR="00613A5E" w:rsidRPr="000C6CD9" w14:paraId="35C95D81" w14:textId="77777777" w:rsidTr="00D90428">
        <w:trPr>
          <w:jc w:val="center"/>
        </w:trPr>
        <w:tc>
          <w:tcPr>
            <w:tcW w:w="2500" w:type="pct"/>
            <w:shd w:val="clear" w:color="auto" w:fill="auto"/>
          </w:tcPr>
          <w:p w14:paraId="03D258FA" w14:textId="7E511E36" w:rsidR="00A74D6C" w:rsidRPr="00235D1E" w:rsidRDefault="00560A5A" w:rsidP="00F3020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0201">
              <w:rPr>
                <w:rFonts w:ascii="Arial" w:hAnsi="Arial" w:cs="Arial"/>
                <w:sz w:val="20"/>
                <w:szCs w:val="20"/>
                <w:lang w:val="en-GB"/>
              </w:rPr>
              <w:t xml:space="preserve">One challenge </w:t>
            </w:r>
            <w:r w:rsidR="00235D1E" w:rsidRPr="00176DB4">
              <w:rPr>
                <w:rFonts w:ascii="Arial" w:hAnsi="Arial" w:cs="Arial"/>
                <w:sz w:val="20"/>
                <w:szCs w:val="20"/>
                <w:lang w:val="en-GB"/>
              </w:rPr>
              <w:t xml:space="preserve">for </w:t>
            </w:r>
            <w:r w:rsidR="00235D1E">
              <w:rPr>
                <w:rFonts w:ascii="Arial" w:hAnsi="Arial" w:cs="Arial"/>
                <w:sz w:val="20"/>
                <w:szCs w:val="20"/>
                <w:lang w:val="en-GB"/>
              </w:rPr>
              <w:t>the work related to intangible cultural heritage and education</w:t>
            </w:r>
            <w:r w:rsidR="00491F2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35D1E">
              <w:rPr>
                <w:rFonts w:ascii="Arial" w:hAnsi="Arial" w:cs="Arial"/>
                <w:sz w:val="20"/>
                <w:szCs w:val="20"/>
                <w:lang w:val="en-GB"/>
              </w:rPr>
              <w:t xml:space="preserve">has been </w:t>
            </w:r>
            <w:r w:rsidR="007944FC" w:rsidRPr="00235D1E">
              <w:rPr>
                <w:rFonts w:ascii="Arial" w:hAnsi="Arial" w:cs="Arial"/>
                <w:sz w:val="20"/>
                <w:szCs w:val="20"/>
                <w:lang w:val="en-GB"/>
              </w:rPr>
              <w:t>finding resource persons combin</w:t>
            </w:r>
            <w:r w:rsidR="00176DB4">
              <w:rPr>
                <w:rFonts w:ascii="Arial" w:hAnsi="Arial" w:cs="Arial"/>
                <w:sz w:val="20"/>
                <w:szCs w:val="20"/>
                <w:lang w:val="en-GB"/>
              </w:rPr>
              <w:t>ing</w:t>
            </w:r>
            <w:r w:rsidR="007944FC" w:rsidRPr="00235D1E">
              <w:rPr>
                <w:rFonts w:ascii="Arial" w:hAnsi="Arial" w:cs="Arial"/>
                <w:sz w:val="20"/>
                <w:szCs w:val="20"/>
                <w:lang w:val="en-GB"/>
              </w:rPr>
              <w:t xml:space="preserve"> competencies in </w:t>
            </w:r>
            <w:r w:rsidR="00235D1E">
              <w:rPr>
                <w:rFonts w:ascii="Arial" w:hAnsi="Arial" w:cs="Arial"/>
                <w:sz w:val="20"/>
                <w:szCs w:val="20"/>
                <w:lang w:val="en-GB"/>
              </w:rPr>
              <w:t>these two fields.</w:t>
            </w:r>
          </w:p>
        </w:tc>
        <w:tc>
          <w:tcPr>
            <w:tcW w:w="2500" w:type="pct"/>
            <w:shd w:val="clear" w:color="auto" w:fill="auto"/>
          </w:tcPr>
          <w:p w14:paraId="62CEE238" w14:textId="41D4E14A" w:rsidR="00B32E30" w:rsidRPr="00D71D21" w:rsidRDefault="00235D1E" w:rsidP="00F3020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Secretariat reflected on this challenge and decided that a concentrated effort would be required to identify and train resource persons with appropriate profiles for working on intangible cultural heritage and education. Options for a training of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trainers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F79C8">
              <w:rPr>
                <w:rFonts w:ascii="Arial" w:hAnsi="Arial" w:cs="Arial"/>
                <w:sz w:val="20"/>
                <w:szCs w:val="20"/>
                <w:lang w:val="en-GB"/>
              </w:rPr>
              <w:t xml:space="preserve">session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on the thematic area of intangible cultural heritage and education are being explored.</w:t>
            </w:r>
          </w:p>
        </w:tc>
      </w:tr>
      <w:tr w:rsidR="001048CC" w:rsidRPr="000C6CD9" w14:paraId="3C09CDF8" w14:textId="77777777" w:rsidTr="00D90428">
        <w:trPr>
          <w:jc w:val="center"/>
        </w:trPr>
        <w:tc>
          <w:tcPr>
            <w:tcW w:w="2500" w:type="pct"/>
            <w:shd w:val="clear" w:color="auto" w:fill="auto"/>
          </w:tcPr>
          <w:p w14:paraId="7EABEFD0" w14:textId="0B90F280" w:rsidR="001048CC" w:rsidRPr="00D90428" w:rsidDel="00235D1E" w:rsidRDefault="001048CC" w:rsidP="00AF29D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0FA">
              <w:rPr>
                <w:rFonts w:ascii="Arial" w:hAnsi="Arial" w:cs="Arial"/>
                <w:sz w:val="20"/>
                <w:szCs w:val="20"/>
                <w:lang w:val="en-GB"/>
              </w:rPr>
              <w:t xml:space="preserve">One key challenge </w:t>
            </w:r>
            <w:r w:rsidR="006F79C8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r w:rsidR="006F79C8" w:rsidRPr="006320F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320FA">
              <w:rPr>
                <w:rFonts w:ascii="Arial" w:hAnsi="Arial" w:cs="Arial"/>
                <w:sz w:val="20"/>
                <w:szCs w:val="20"/>
                <w:lang w:val="en-GB"/>
              </w:rPr>
              <w:t>carry</w:t>
            </w:r>
            <w:r w:rsidR="006F79C8">
              <w:rPr>
                <w:rFonts w:ascii="Arial" w:hAnsi="Arial" w:cs="Arial"/>
                <w:sz w:val="20"/>
                <w:szCs w:val="20"/>
                <w:lang w:val="en-GB"/>
              </w:rPr>
              <w:t>ing</w:t>
            </w:r>
            <w:r w:rsidRPr="006320FA">
              <w:rPr>
                <w:rFonts w:ascii="Arial" w:hAnsi="Arial" w:cs="Arial"/>
                <w:sz w:val="20"/>
                <w:szCs w:val="20"/>
                <w:lang w:val="en-GB"/>
              </w:rPr>
              <w:t xml:space="preserve"> out the study on methodological approaches to the safeguarding of intangible cultural heritage in emergencies was the lack of recorded experiences, especially </w:t>
            </w:r>
            <w:r w:rsidR="00AF29D4">
              <w:rPr>
                <w:rFonts w:ascii="Arial" w:hAnsi="Arial" w:cs="Arial"/>
                <w:sz w:val="20"/>
                <w:szCs w:val="20"/>
                <w:lang w:val="en-GB"/>
              </w:rPr>
              <w:t>in English, French or Spanish</w:t>
            </w:r>
            <w:r w:rsidRPr="006320FA">
              <w:rPr>
                <w:rFonts w:ascii="Arial" w:hAnsi="Arial" w:cs="Arial"/>
                <w:sz w:val="20"/>
                <w:szCs w:val="20"/>
                <w:lang w:val="en-GB"/>
              </w:rPr>
              <w:t xml:space="preserve">. At present, most experiences are recorded by researchers at </w:t>
            </w:r>
            <w:r w:rsidR="006F79C8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AF29D4">
              <w:rPr>
                <w:rFonts w:ascii="Arial" w:hAnsi="Arial" w:cs="Arial"/>
                <w:sz w:val="20"/>
                <w:szCs w:val="20"/>
                <w:lang w:val="en-GB"/>
              </w:rPr>
              <w:t xml:space="preserve">local </w:t>
            </w:r>
            <w:r w:rsidRPr="006320FA">
              <w:rPr>
                <w:rFonts w:ascii="Arial" w:hAnsi="Arial" w:cs="Arial"/>
                <w:sz w:val="20"/>
                <w:szCs w:val="20"/>
                <w:lang w:val="en-GB"/>
              </w:rPr>
              <w:t xml:space="preserve">level in </w:t>
            </w:r>
            <w:r w:rsidR="00176DB4" w:rsidRPr="006320FA">
              <w:rPr>
                <w:rFonts w:ascii="Arial" w:hAnsi="Arial" w:cs="Arial"/>
                <w:sz w:val="20"/>
                <w:szCs w:val="20"/>
                <w:lang w:val="en-GB"/>
              </w:rPr>
              <w:t xml:space="preserve">their own </w:t>
            </w:r>
            <w:r w:rsidRPr="006320FA">
              <w:rPr>
                <w:rFonts w:ascii="Arial" w:hAnsi="Arial" w:cs="Arial"/>
                <w:sz w:val="20"/>
                <w:szCs w:val="20"/>
                <w:lang w:val="en-GB"/>
              </w:rPr>
              <w:t>languages.</w:t>
            </w:r>
          </w:p>
        </w:tc>
        <w:tc>
          <w:tcPr>
            <w:tcW w:w="2500" w:type="pct"/>
            <w:shd w:val="clear" w:color="auto" w:fill="auto"/>
          </w:tcPr>
          <w:p w14:paraId="251BF16E" w14:textId="4A2B31CB" w:rsidR="001048CC" w:rsidRDefault="001048CC" w:rsidP="00E47BA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number and range of interviews </w:t>
            </w:r>
            <w:r w:rsidR="00E47BA1">
              <w:rPr>
                <w:rFonts w:ascii="Arial" w:hAnsi="Arial" w:cs="Arial"/>
                <w:sz w:val="20"/>
                <w:szCs w:val="20"/>
                <w:lang w:val="en-GB"/>
              </w:rPr>
              <w:t>were broadened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in order to gather </w:t>
            </w:r>
            <w:r w:rsidR="006F79C8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maximum </w:t>
            </w:r>
            <w:r w:rsidR="00E47BA1">
              <w:rPr>
                <w:rFonts w:ascii="Arial" w:hAnsi="Arial" w:cs="Arial"/>
                <w:sz w:val="20"/>
                <w:szCs w:val="20"/>
                <w:lang w:val="en-GB"/>
              </w:rPr>
              <w:t xml:space="preserve">amount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information</w:t>
            </w:r>
            <w:r w:rsidR="00E364A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F79C8">
              <w:rPr>
                <w:rFonts w:ascii="Arial" w:hAnsi="Arial" w:cs="Arial"/>
                <w:sz w:val="20"/>
                <w:szCs w:val="20"/>
                <w:lang w:val="en-GB"/>
              </w:rPr>
              <w:t xml:space="preserve">possible </w:t>
            </w:r>
            <w:r w:rsidR="00E364A9">
              <w:rPr>
                <w:rFonts w:ascii="Arial" w:hAnsi="Arial" w:cs="Arial"/>
                <w:sz w:val="20"/>
                <w:szCs w:val="20"/>
                <w:lang w:val="en-GB"/>
              </w:rPr>
              <w:t xml:space="preserve">beyond </w:t>
            </w:r>
            <w:r w:rsidR="006F79C8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E364A9">
              <w:rPr>
                <w:rFonts w:ascii="Arial" w:hAnsi="Arial" w:cs="Arial"/>
                <w:sz w:val="20"/>
                <w:szCs w:val="20"/>
                <w:lang w:val="en-GB"/>
              </w:rPr>
              <w:t>available literature-</w:t>
            </w:r>
            <w:r w:rsidR="00E47BA1">
              <w:rPr>
                <w:rFonts w:ascii="Arial" w:hAnsi="Arial" w:cs="Arial"/>
                <w:sz w:val="20"/>
                <w:szCs w:val="20"/>
                <w:lang w:val="en-GB"/>
              </w:rPr>
              <w:t>based</w:t>
            </w:r>
            <w:r w:rsidR="00E364A9">
              <w:rPr>
                <w:rFonts w:ascii="Arial" w:hAnsi="Arial" w:cs="Arial"/>
                <w:sz w:val="20"/>
                <w:szCs w:val="20"/>
                <w:lang w:val="en-GB"/>
              </w:rPr>
              <w:t xml:space="preserve"> materials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</w:tbl>
    <w:p w14:paraId="0914EB91" w14:textId="7B5EB8F9" w:rsidR="00A74D6C" w:rsidRPr="00524C74" w:rsidRDefault="00A74D6C" w:rsidP="005F7CB2">
      <w:pPr>
        <w:spacing w:before="240" w:after="120"/>
        <w:ind w:left="851" w:hanging="851"/>
        <w:rPr>
          <w:rFonts w:ascii="Arial" w:hAnsi="Arial" w:cs="Arial"/>
          <w:b/>
          <w:sz w:val="22"/>
          <w:szCs w:val="22"/>
          <w:lang w:val="en-GB"/>
        </w:rPr>
      </w:pPr>
      <w:r w:rsidRPr="00524C74">
        <w:rPr>
          <w:rFonts w:ascii="Arial" w:hAnsi="Arial" w:cs="Arial"/>
          <w:b/>
          <w:sz w:val="22"/>
          <w:szCs w:val="22"/>
          <w:lang w:val="en-GB"/>
        </w:rPr>
        <w:t>ER 4:</w:t>
      </w:r>
      <w:r w:rsidRPr="00524C74">
        <w:rPr>
          <w:rFonts w:ascii="Arial" w:hAnsi="Arial" w:cs="Arial"/>
          <w:b/>
          <w:sz w:val="22"/>
          <w:szCs w:val="22"/>
          <w:lang w:val="en-GB"/>
        </w:rPr>
        <w:tab/>
      </w:r>
      <w:r w:rsidR="00F14195" w:rsidRPr="00524C74">
        <w:rPr>
          <w:rFonts w:ascii="Arial" w:hAnsi="Arial" w:cs="Arial"/>
          <w:b/>
          <w:bCs/>
          <w:sz w:val="22"/>
          <w:szCs w:val="22"/>
          <w:lang w:val="en-GB"/>
        </w:rPr>
        <w:t>Objectives of the Convention promoted through awareness</w:t>
      </w:r>
      <w:r w:rsidR="006F79C8">
        <w:rPr>
          <w:rFonts w:ascii="Arial" w:hAnsi="Arial" w:cs="Arial"/>
          <w:b/>
          <w:bCs/>
          <w:sz w:val="22"/>
          <w:szCs w:val="22"/>
          <w:lang w:val="en-GB"/>
        </w:rPr>
        <w:t>-</w:t>
      </w:r>
      <w:r w:rsidR="006F79C8" w:rsidRPr="00524C74">
        <w:rPr>
          <w:rFonts w:ascii="Arial" w:hAnsi="Arial" w:cs="Arial"/>
          <w:b/>
          <w:bCs/>
          <w:sz w:val="22"/>
          <w:szCs w:val="22"/>
          <w:lang w:val="en-GB"/>
        </w:rPr>
        <w:t xml:space="preserve">raising </w:t>
      </w:r>
      <w:r w:rsidR="00F14195" w:rsidRPr="00524C74">
        <w:rPr>
          <w:rFonts w:ascii="Arial" w:hAnsi="Arial" w:cs="Arial"/>
          <w:b/>
          <w:bCs/>
          <w:sz w:val="22"/>
          <w:szCs w:val="22"/>
          <w:lang w:val="en-GB"/>
        </w:rPr>
        <w:t>and outreach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0"/>
        <w:gridCol w:w="4084"/>
        <w:gridCol w:w="1702"/>
      </w:tblGrid>
      <w:tr w:rsidR="001961B1" w:rsidRPr="00524C74" w14:paraId="78D3C1F3" w14:textId="77777777" w:rsidTr="00725503">
        <w:tc>
          <w:tcPr>
            <w:tcW w:w="1998" w:type="pct"/>
            <w:shd w:val="clear" w:color="auto" w:fill="C6D9F1"/>
            <w:vAlign w:val="center"/>
          </w:tcPr>
          <w:p w14:paraId="029DDB04" w14:textId="77777777" w:rsidR="00A74D6C" w:rsidRPr="00524C74" w:rsidRDefault="00A74D6C" w:rsidP="00A460CA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Allocation</w:t>
            </w:r>
          </w:p>
        </w:tc>
        <w:tc>
          <w:tcPr>
            <w:tcW w:w="2119" w:type="pct"/>
            <w:shd w:val="clear" w:color="auto" w:fill="C6D9F1"/>
            <w:vAlign w:val="center"/>
          </w:tcPr>
          <w:p w14:paraId="7CE7EAE9" w14:textId="77777777" w:rsidR="00A74D6C" w:rsidRPr="00524C74" w:rsidRDefault="00A74D6C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Expenditures</w:t>
            </w:r>
          </w:p>
        </w:tc>
        <w:tc>
          <w:tcPr>
            <w:tcW w:w="883" w:type="pct"/>
            <w:shd w:val="clear" w:color="auto" w:fill="C6D9F1"/>
            <w:vAlign w:val="center"/>
          </w:tcPr>
          <w:p w14:paraId="682BF145" w14:textId="638DA311" w:rsidR="00A74D6C" w:rsidRPr="00524C74" w:rsidRDefault="00A74D6C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Exp. Rate %</w:t>
            </w:r>
            <w:r w:rsidR="00AF29D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br/>
              <w:t>31/12/2018</w:t>
            </w:r>
          </w:p>
        </w:tc>
      </w:tr>
      <w:tr w:rsidR="001961B1" w:rsidRPr="00524C74" w14:paraId="4D8AFEE7" w14:textId="77777777" w:rsidTr="00D90428">
        <w:tc>
          <w:tcPr>
            <w:tcW w:w="1998" w:type="pct"/>
            <w:shd w:val="clear" w:color="auto" w:fill="auto"/>
          </w:tcPr>
          <w:p w14:paraId="6EC477F8" w14:textId="2853517C" w:rsidR="00A74D6C" w:rsidRPr="00524C74" w:rsidRDefault="00DC2D8A" w:rsidP="00F1419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473</w:t>
            </w:r>
            <w:r w:rsidR="00A74D6C" w:rsidRPr="00524C74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922</w:t>
            </w:r>
            <w:r w:rsidR="00A74D6C" w:rsidRPr="00524C74">
              <w:rPr>
                <w:rFonts w:ascii="Arial" w:hAnsi="Arial" w:cs="Arial"/>
                <w:sz w:val="20"/>
                <w:szCs w:val="20"/>
                <w:lang w:val="en-GB"/>
              </w:rPr>
              <w:t>.00</w:t>
            </w:r>
          </w:p>
        </w:tc>
        <w:tc>
          <w:tcPr>
            <w:tcW w:w="2119" w:type="pct"/>
            <w:shd w:val="clear" w:color="auto" w:fill="auto"/>
          </w:tcPr>
          <w:p w14:paraId="023B4621" w14:textId="4A2ED663" w:rsidR="00A74D6C" w:rsidRPr="00524C74" w:rsidRDefault="00DC2D8A" w:rsidP="00826FE8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127,252.3</w:t>
            </w:r>
            <w:r w:rsidR="000E2339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83" w:type="pct"/>
            <w:shd w:val="clear" w:color="auto" w:fill="auto"/>
          </w:tcPr>
          <w:p w14:paraId="36FE1C28" w14:textId="6CB2239A" w:rsidR="00A74D6C" w:rsidRPr="00524C74" w:rsidRDefault="00DC2D8A" w:rsidP="00826FE8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26.9</w:t>
            </w:r>
            <w:r w:rsidR="00A74D6C" w:rsidRPr="00524C74">
              <w:rPr>
                <w:rFonts w:ascii="Arial" w:eastAsia="Calibri" w:hAnsi="Arial" w:cs="Arial"/>
                <w:sz w:val="20"/>
                <w:szCs w:val="20"/>
                <w:lang w:val="en-GB"/>
              </w:rPr>
              <w:t>%</w:t>
            </w:r>
          </w:p>
        </w:tc>
      </w:tr>
    </w:tbl>
    <w:p w14:paraId="6861C2A0" w14:textId="77777777" w:rsidR="00A74D6C" w:rsidRPr="00D90428" w:rsidRDefault="00A74D6C" w:rsidP="00D90428">
      <w:pPr>
        <w:ind w:left="851" w:hanging="851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4081"/>
        <w:gridCol w:w="1701"/>
      </w:tblGrid>
      <w:tr w:rsidR="001961B1" w:rsidRPr="00524C74" w14:paraId="238FF711" w14:textId="77777777" w:rsidTr="00D90428">
        <w:trPr>
          <w:tblHeader/>
        </w:trPr>
        <w:tc>
          <w:tcPr>
            <w:tcW w:w="1997" w:type="pct"/>
            <w:shd w:val="clear" w:color="auto" w:fill="D9D9D9"/>
          </w:tcPr>
          <w:p w14:paraId="097464BF" w14:textId="5585A533" w:rsidR="00FF6586" w:rsidRPr="00524C74" w:rsidRDefault="00FF6586" w:rsidP="00316CCB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Output</w:t>
            </w: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br/>
              <w:t>Indicators/Benchmark (B)</w:t>
            </w:r>
          </w:p>
        </w:tc>
        <w:tc>
          <w:tcPr>
            <w:tcW w:w="2119" w:type="pct"/>
            <w:shd w:val="clear" w:color="auto" w:fill="D9D9D9"/>
          </w:tcPr>
          <w:p w14:paraId="5149A716" w14:textId="192081AE" w:rsidR="00FF6586" w:rsidRPr="00524C74" w:rsidRDefault="00FF6586" w:rsidP="009A1E0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Assessment of progress:</w:t>
            </w: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br/>
            </w:r>
            <w:r w:rsidR="00DC2D8A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01/01/2018 to 31/12/2018</w:t>
            </w:r>
          </w:p>
        </w:tc>
        <w:tc>
          <w:tcPr>
            <w:tcW w:w="883" w:type="pct"/>
            <w:shd w:val="clear" w:color="auto" w:fill="D9D9D9"/>
            <w:vAlign w:val="center"/>
          </w:tcPr>
          <w:p w14:paraId="119BDD92" w14:textId="77777777" w:rsidR="00FF6586" w:rsidRPr="00524C74" w:rsidRDefault="00FF6586" w:rsidP="008969C8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Assessment of implementation</w:t>
            </w:r>
          </w:p>
        </w:tc>
      </w:tr>
      <w:tr w:rsidR="001961B1" w:rsidRPr="00A10872" w14:paraId="21144D3E" w14:textId="77777777" w:rsidTr="00D90428">
        <w:tc>
          <w:tcPr>
            <w:tcW w:w="1997" w:type="pct"/>
            <w:shd w:val="clear" w:color="auto" w:fill="auto"/>
          </w:tcPr>
          <w:p w14:paraId="65061686" w14:textId="031F7571" w:rsidR="00FF6586" w:rsidRPr="00524C74" w:rsidRDefault="00FF6586" w:rsidP="000E56CE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O</w:t>
            </w:r>
            <w:r w:rsidR="001961B1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utput 4.1</w:t>
            </w:r>
            <w:r w:rsidRPr="00524C7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202D9DBD" w14:textId="52B3DB56" w:rsidR="00DC2D8A" w:rsidRPr="00DC2D8A" w:rsidRDefault="00DC2D8A" w:rsidP="00DC2D8A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C2D8A">
              <w:rPr>
                <w:rFonts w:ascii="Arial" w:eastAsia="Calibri" w:hAnsi="Arial" w:cs="Arial"/>
                <w:sz w:val="20"/>
                <w:szCs w:val="20"/>
                <w:lang w:val="en-GB"/>
              </w:rPr>
              <w:t>Communication and outreach tools developed and implemented to promote the objectives of the Convention</w:t>
            </w:r>
          </w:p>
          <w:p w14:paraId="157E8453" w14:textId="19C911D9" w:rsidR="00FF6586" w:rsidRPr="00524C74" w:rsidRDefault="00FF6586" w:rsidP="008969C8">
            <w:pPr>
              <w:keepNext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hAnsi="Arial" w:cs="Arial"/>
                <w:b/>
                <w:sz w:val="20"/>
                <w:szCs w:val="20"/>
                <w:lang w:val="en-GB"/>
              </w:rPr>
              <w:t>B 201</w:t>
            </w:r>
            <w:r w:rsidR="00DC2D8A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Pr="00524C74">
              <w:rPr>
                <w:rFonts w:ascii="Arial" w:hAnsi="Arial" w:cs="Arial"/>
                <w:b/>
                <w:sz w:val="20"/>
                <w:szCs w:val="20"/>
                <w:lang w:val="en-GB"/>
              </w:rPr>
              <w:t>-201</w:t>
            </w:r>
            <w:r w:rsidR="00DC2D8A">
              <w:rPr>
                <w:rFonts w:ascii="Arial" w:hAnsi="Arial" w:cs="Arial"/>
                <w:b/>
                <w:sz w:val="20"/>
                <w:szCs w:val="20"/>
                <w:lang w:val="en-GB"/>
              </w:rPr>
              <w:t>9</w:t>
            </w:r>
            <w:r w:rsidRPr="00524C74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7428174D" w14:textId="58F24CFB" w:rsidR="00FF6586" w:rsidRPr="00F30201" w:rsidRDefault="00DC2D8A" w:rsidP="00F30201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F30201">
              <w:rPr>
                <w:rFonts w:ascii="Arial" w:eastAsia="Calibri" w:hAnsi="Arial" w:cs="Arial"/>
                <w:sz w:val="20"/>
                <w:szCs w:val="20"/>
                <w:lang w:val="en-GB"/>
              </w:rPr>
              <w:t>Five outreach materials/tools produced and widely disseminated</w:t>
            </w:r>
          </w:p>
        </w:tc>
        <w:tc>
          <w:tcPr>
            <w:tcW w:w="2119" w:type="pct"/>
            <w:shd w:val="clear" w:color="auto" w:fill="auto"/>
          </w:tcPr>
          <w:p w14:paraId="51FA6400" w14:textId="05C06186" w:rsidR="00A10872" w:rsidRDefault="00A10872" w:rsidP="00D90428">
            <w:pPr>
              <w:pStyle w:val="ListParagraph"/>
              <w:numPr>
                <w:ilvl w:val="0"/>
                <w:numId w:val="6"/>
              </w:numPr>
              <w:spacing w:before="32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6A53">
              <w:rPr>
                <w:rFonts w:ascii="Arial" w:eastAsia="Calibri" w:hAnsi="Arial" w:cs="Arial"/>
                <w:sz w:val="20"/>
                <w:szCs w:val="20"/>
                <w:lang w:val="en-GB"/>
              </w:rPr>
              <w:t>Communication material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s</w:t>
            </w:r>
            <w:r w:rsidRPr="00826A53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(i.e.</w:t>
            </w:r>
            <w:r w:rsidR="006F79C8">
              <w:rPr>
                <w:rFonts w:ascii="Arial" w:eastAsia="Calibri" w:hAnsi="Arial" w:cs="Arial"/>
                <w:sz w:val="20"/>
                <w:szCs w:val="20"/>
                <w:lang w:val="en-GB"/>
              </w:rPr>
              <w:t>,</w:t>
            </w:r>
            <w:r w:rsidRPr="00826A53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four </w:t>
            </w:r>
            <w:r w:rsidRPr="00826A53">
              <w:rPr>
                <w:rFonts w:ascii="Arial" w:eastAsia="Calibri" w:hAnsi="Arial" w:cs="Arial"/>
                <w:sz w:val="20"/>
                <w:szCs w:val="20"/>
                <w:lang w:val="en-GB"/>
              </w:rPr>
              <w:t>youth video clip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s</w:t>
            </w:r>
            <w:r w:rsidRPr="00826A53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one </w:t>
            </w:r>
            <w:r w:rsidRPr="00826A53">
              <w:rPr>
                <w:rFonts w:ascii="Arial" w:eastAsia="Calibri" w:hAnsi="Arial" w:cs="Arial"/>
                <w:sz w:val="20"/>
                <w:szCs w:val="20"/>
                <w:lang w:val="en-GB"/>
              </w:rPr>
              <w:t>media kit for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the </w:t>
            </w:r>
            <w:r w:rsidRPr="00826A53">
              <w:rPr>
                <w:rFonts w:ascii="Arial" w:eastAsia="Calibri" w:hAnsi="Arial" w:cs="Arial"/>
                <w:sz w:val="20"/>
                <w:szCs w:val="20"/>
                <w:lang w:val="en-GB"/>
              </w:rPr>
              <w:t>press)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826A53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produced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to raise public and media awareness and </w:t>
            </w:r>
            <w:r w:rsidR="007C4BBD">
              <w:rPr>
                <w:rFonts w:ascii="Arial" w:eastAsia="Calibri" w:hAnsi="Arial" w:cs="Arial"/>
                <w:sz w:val="20"/>
                <w:szCs w:val="20"/>
                <w:lang w:val="en-GB"/>
              </w:rPr>
              <w:t>promote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the importance of </w:t>
            </w:r>
            <w:r w:rsidRPr="00826A53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safeguarding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intangible cultural heritage</w:t>
            </w:r>
            <w:r w:rsidR="006F79C8">
              <w:rPr>
                <w:rFonts w:ascii="Arial" w:eastAsia="Calibri" w:hAnsi="Arial" w:cs="Arial"/>
                <w:sz w:val="20"/>
                <w:szCs w:val="20"/>
                <w:lang w:val="en-GB"/>
              </w:rPr>
              <w:t>; these were</w:t>
            </w:r>
            <w:r w:rsidR="00E17A0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widely disseminated </w:t>
            </w:r>
            <w:r w:rsidR="006F79C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during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the </w:t>
            </w:r>
            <w:r w:rsidR="00E47BA1">
              <w:rPr>
                <w:rFonts w:ascii="Arial" w:eastAsia="Calibri" w:hAnsi="Arial" w:cs="Arial"/>
                <w:sz w:val="20"/>
                <w:szCs w:val="20"/>
                <w:lang w:val="en-GB"/>
              </w:rPr>
              <w:t>statutory meetings of the Convention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and through social media.</w:t>
            </w:r>
          </w:p>
          <w:p w14:paraId="0DDB42F9" w14:textId="406A0D8C" w:rsidR="00A10872" w:rsidRDefault="00A10872" w:rsidP="00A10872">
            <w:pPr>
              <w:pStyle w:val="ListParagraph"/>
              <w:numPr>
                <w:ilvl w:val="0"/>
                <w:numId w:val="6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Outreach activities (i.e.</w:t>
            </w:r>
            <w:r w:rsidR="006F79C8">
              <w:rPr>
                <w:rFonts w:ascii="Arial" w:eastAsia="Calibri" w:hAnsi="Arial" w:cs="Arial"/>
                <w:sz w:val="20"/>
                <w:szCs w:val="20"/>
                <w:lang w:val="en-GB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dialogue session on International Assistance, roundtable discussion to promote </w:t>
            </w:r>
            <w:r w:rsidR="00E47BA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intangible cultural heritage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and education, NGO networking platform) that promote the objectives of the Convention </w:t>
            </w:r>
            <w:r w:rsidR="003A29B2">
              <w:rPr>
                <w:rFonts w:ascii="Arial" w:eastAsia="Calibri" w:hAnsi="Arial" w:cs="Arial"/>
                <w:sz w:val="20"/>
                <w:szCs w:val="20"/>
                <w:lang w:val="en-GB"/>
              </w:rPr>
              <w:t>organized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6F79C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during </w:t>
            </w:r>
            <w:r w:rsidR="002F283E">
              <w:rPr>
                <w:rFonts w:ascii="Arial" w:eastAsia="Calibri" w:hAnsi="Arial" w:cs="Arial"/>
                <w:sz w:val="20"/>
                <w:szCs w:val="20"/>
                <w:lang w:val="en-GB"/>
              </w:rPr>
              <w:t>the seventh session of the General Assembly</w:t>
            </w:r>
            <w:r w:rsidR="003A29B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and </w:t>
            </w:r>
            <w:r w:rsidR="002F283E">
              <w:rPr>
                <w:rFonts w:ascii="Arial" w:eastAsia="Calibri" w:hAnsi="Arial" w:cs="Arial"/>
                <w:sz w:val="20"/>
                <w:szCs w:val="20"/>
                <w:lang w:val="en-GB"/>
              </w:rPr>
              <w:t>the thirteenth session of the Intergovernmental Committee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  <w:p w14:paraId="4112DECE" w14:textId="56E9D8D9" w:rsidR="00FF6586" w:rsidRPr="00524C74" w:rsidRDefault="00A10872">
            <w:pPr>
              <w:pStyle w:val="ListParagraph"/>
              <w:numPr>
                <w:ilvl w:val="0"/>
                <w:numId w:val="6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2E5859">
              <w:rPr>
                <w:rFonts w:ascii="Arial" w:eastAsia="Calibri" w:hAnsi="Arial" w:cs="Arial"/>
                <w:sz w:val="20"/>
                <w:szCs w:val="20"/>
                <w:lang w:val="en-GB"/>
              </w:rPr>
              <w:t>Launc</w:t>
            </w:r>
            <w:r w:rsidR="00A957C5" w:rsidRPr="002E5859">
              <w:rPr>
                <w:rFonts w:ascii="Arial" w:eastAsia="Calibri" w:hAnsi="Arial" w:cs="Arial"/>
                <w:sz w:val="20"/>
                <w:szCs w:val="20"/>
                <w:lang w:val="en-GB"/>
              </w:rPr>
              <w:t>h</w:t>
            </w:r>
            <w:r w:rsidRPr="002E585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and pilot demonstration of the web-based interface ‘Dive into Intangible Cultural Heritage’</w:t>
            </w:r>
            <w:r w:rsidR="002E5859" w:rsidRPr="00D9042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6F79C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held </w:t>
            </w:r>
            <w:r w:rsidR="002E5859" w:rsidRPr="00D90428">
              <w:rPr>
                <w:rFonts w:ascii="Arial" w:eastAsia="Calibri" w:hAnsi="Arial" w:cs="Arial"/>
                <w:sz w:val="20"/>
                <w:szCs w:val="20"/>
                <w:lang w:val="en-GB"/>
              </w:rPr>
              <w:t>during the thirteenth session of the Intergovernmental Committee</w:t>
            </w:r>
            <w:r w:rsidRPr="002E5859">
              <w:rPr>
                <w:rFonts w:ascii="Arial" w:eastAsia="Calibri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883" w:type="pct"/>
          </w:tcPr>
          <w:p w14:paraId="0BFA6C2A" w14:textId="3818A677" w:rsidR="00FF6586" w:rsidRPr="00524C74" w:rsidRDefault="00B55CED" w:rsidP="00D90428">
            <w:pPr>
              <w:pStyle w:val="ListParagraph"/>
              <w:spacing w:before="320" w:after="60"/>
              <w:ind w:left="0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Partially </w:t>
            </w:r>
            <w:r w:rsidR="00A10872">
              <w:rPr>
                <w:rFonts w:ascii="Arial" w:eastAsia="Calibri" w:hAnsi="Arial" w:cs="Arial"/>
                <w:sz w:val="20"/>
                <w:szCs w:val="20"/>
                <w:lang w:val="en-GB"/>
              </w:rPr>
              <w:t>accomplished</w:t>
            </w:r>
          </w:p>
        </w:tc>
      </w:tr>
      <w:tr w:rsidR="001961B1" w:rsidRPr="00B507BC" w14:paraId="34D8E939" w14:textId="77777777" w:rsidTr="00D90428">
        <w:tc>
          <w:tcPr>
            <w:tcW w:w="1997" w:type="pct"/>
            <w:shd w:val="clear" w:color="auto" w:fill="auto"/>
          </w:tcPr>
          <w:p w14:paraId="22E41007" w14:textId="2D88DF32" w:rsidR="00FF6586" w:rsidRPr="00524C74" w:rsidRDefault="00FF6586" w:rsidP="00316CC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O</w:t>
            </w:r>
            <w:r w:rsidR="001961B1">
              <w:rPr>
                <w:rFonts w:ascii="Arial" w:hAnsi="Arial" w:cs="Arial"/>
                <w:b/>
                <w:sz w:val="20"/>
                <w:szCs w:val="20"/>
                <w:lang w:val="en-GB"/>
              </w:rPr>
              <w:t>utput 4.2</w:t>
            </w:r>
            <w:r w:rsidRPr="00524C74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03ECD4EF" w14:textId="6635C10C" w:rsidR="00DC2D8A" w:rsidRPr="00DC2D8A" w:rsidRDefault="00DC2D8A" w:rsidP="008969C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C2D8A">
              <w:rPr>
                <w:rFonts w:ascii="Arial" w:eastAsia="Calibri" w:hAnsi="Arial" w:cs="Arial"/>
                <w:sz w:val="20"/>
                <w:szCs w:val="20"/>
                <w:lang w:val="en-GB"/>
              </w:rPr>
              <w:t>Additional advisory functions of accredited NGOs identified through an effective consultation process</w:t>
            </w:r>
          </w:p>
          <w:p w14:paraId="310AA35B" w14:textId="5D4CE39E" w:rsidR="00FF6586" w:rsidRPr="00524C74" w:rsidRDefault="00FF6586" w:rsidP="008969C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4C74">
              <w:rPr>
                <w:rFonts w:ascii="Arial" w:hAnsi="Arial" w:cs="Arial"/>
                <w:b/>
                <w:sz w:val="20"/>
                <w:szCs w:val="20"/>
                <w:lang w:val="en-GB"/>
              </w:rPr>
              <w:t>B 201</w:t>
            </w:r>
            <w:r w:rsidR="00DC2D8A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Pr="00524C74">
              <w:rPr>
                <w:rFonts w:ascii="Arial" w:hAnsi="Arial" w:cs="Arial"/>
                <w:b/>
                <w:sz w:val="20"/>
                <w:szCs w:val="20"/>
                <w:lang w:val="en-GB"/>
              </w:rPr>
              <w:t>-201</w:t>
            </w:r>
            <w:r w:rsidR="00DC2D8A">
              <w:rPr>
                <w:rFonts w:ascii="Arial" w:hAnsi="Arial" w:cs="Arial"/>
                <w:b/>
                <w:sz w:val="20"/>
                <w:szCs w:val="20"/>
                <w:lang w:val="en-GB"/>
              </w:rPr>
              <w:t>9</w:t>
            </w:r>
            <w:r w:rsidR="009C0BF7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0029B254" w14:textId="373BE272" w:rsidR="008E6F80" w:rsidRPr="00524C74" w:rsidRDefault="00DC2D8A" w:rsidP="00D90428">
            <w:pPr>
              <w:pStyle w:val="ListParagraph"/>
              <w:numPr>
                <w:ilvl w:val="0"/>
                <w:numId w:val="11"/>
              </w:numPr>
              <w:spacing w:before="60" w:after="60"/>
              <w:ind w:left="42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D8A">
              <w:rPr>
                <w:rFonts w:ascii="Arial" w:eastAsia="Calibri" w:hAnsi="Arial" w:cs="Arial"/>
                <w:sz w:val="20"/>
                <w:szCs w:val="20"/>
                <w:lang w:val="en-GB"/>
              </w:rPr>
              <w:t>One consultation meeting organized to reflect on the role of accredited NGOs under the 2003 Convention with the</w:t>
            </w:r>
            <w:r w:rsidRPr="00497806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r w:rsidRPr="00DC2D8A">
              <w:rPr>
                <w:rFonts w:ascii="Arial" w:eastAsia="Calibri" w:hAnsi="Arial" w:cs="Arial"/>
                <w:sz w:val="20"/>
                <w:szCs w:val="20"/>
                <w:lang w:val="en-GB"/>
              </w:rPr>
              <w:t>informal ad hoc working group and in cooperation with the ICH NGO</w:t>
            </w:r>
            <w:r w:rsidR="00A1187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DC2D8A">
              <w:rPr>
                <w:rFonts w:ascii="Arial" w:eastAsia="Calibri" w:hAnsi="Arial" w:cs="Arial"/>
                <w:sz w:val="20"/>
                <w:szCs w:val="20"/>
                <w:lang w:val="en-GB"/>
              </w:rPr>
              <w:t>Forum</w:t>
            </w:r>
          </w:p>
        </w:tc>
        <w:tc>
          <w:tcPr>
            <w:tcW w:w="2119" w:type="pct"/>
            <w:shd w:val="clear" w:color="auto" w:fill="auto"/>
          </w:tcPr>
          <w:p w14:paraId="25AA6C7C" w14:textId="08E11CF5" w:rsidR="00B507BC" w:rsidRDefault="00B507BC" w:rsidP="009C0BF7">
            <w:pPr>
              <w:pStyle w:val="ListParagraph"/>
              <w:keepLines/>
              <w:numPr>
                <w:ilvl w:val="0"/>
                <w:numId w:val="5"/>
              </w:numPr>
              <w:spacing w:before="32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C</w:t>
            </w:r>
            <w:r w:rsidRPr="00B507B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onsultation process </w:t>
            </w:r>
            <w:r w:rsidR="002F283E">
              <w:rPr>
                <w:rFonts w:ascii="Arial" w:eastAsia="Calibri" w:hAnsi="Arial" w:cs="Arial"/>
                <w:sz w:val="20"/>
                <w:szCs w:val="20"/>
                <w:lang w:val="en-GB"/>
              </w:rPr>
              <w:t>initiated</w:t>
            </w:r>
            <w:r w:rsidR="002F283E" w:rsidRPr="00B507B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B507BC">
              <w:rPr>
                <w:rFonts w:ascii="Arial" w:eastAsia="Calibri" w:hAnsi="Arial" w:cs="Arial"/>
                <w:sz w:val="20"/>
                <w:szCs w:val="20"/>
                <w:lang w:val="en-GB"/>
              </w:rPr>
              <w:t>with a view to identifying the inter alia advisory functions that accredited NGOs could provide to the governing bodies of the Convention.</w:t>
            </w:r>
          </w:p>
          <w:p w14:paraId="5AAAF2F1" w14:textId="0E87750A" w:rsidR="00B507BC" w:rsidRPr="005E706E" w:rsidRDefault="00B507BC" w:rsidP="005E706E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B507BC">
              <w:rPr>
                <w:rFonts w:ascii="Arial" w:eastAsia="Calibri" w:hAnsi="Arial" w:cs="Arial"/>
                <w:sz w:val="20"/>
                <w:szCs w:val="20"/>
                <w:lang w:val="en-GB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8</w:t>
            </w:r>
            <w:r w:rsidRPr="00B507B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accredited NGOs and 3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8</w:t>
            </w:r>
            <w:r w:rsidRPr="00B507BC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States participated in an electronic consultation in September</w:t>
            </w:r>
            <w:r w:rsidR="006F79C8">
              <w:rPr>
                <w:rFonts w:ascii="Arial" w:eastAsia="Calibri" w:hAnsi="Arial" w:cs="Arial"/>
                <w:sz w:val="20"/>
                <w:szCs w:val="20"/>
                <w:lang w:val="en-GB"/>
              </w:rPr>
              <w:t>–</w:t>
            </w:r>
            <w:r w:rsidRPr="00B507BC">
              <w:rPr>
                <w:rFonts w:ascii="Arial" w:eastAsia="Calibri" w:hAnsi="Arial" w:cs="Arial"/>
                <w:sz w:val="20"/>
                <w:szCs w:val="20"/>
                <w:lang w:val="en-GB"/>
              </w:rPr>
              <w:t>October 2018 in order to identify emerging ideas for the future accreditation system.</w:t>
            </w:r>
          </w:p>
        </w:tc>
        <w:tc>
          <w:tcPr>
            <w:tcW w:w="883" w:type="pct"/>
          </w:tcPr>
          <w:p w14:paraId="6B36EAC1" w14:textId="0E71DE6E" w:rsidR="00FF6586" w:rsidRPr="00524C74" w:rsidRDefault="00B55CED" w:rsidP="00D90428">
            <w:pPr>
              <w:pStyle w:val="ListParagraph"/>
              <w:spacing w:before="320" w:after="60"/>
              <w:ind w:left="0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Partially </w:t>
            </w:r>
            <w:r w:rsidR="00B507BC">
              <w:rPr>
                <w:rFonts w:ascii="Arial" w:eastAsia="Calibri" w:hAnsi="Arial" w:cs="Arial"/>
                <w:sz w:val="20"/>
                <w:szCs w:val="20"/>
                <w:lang w:val="en-GB"/>
              </w:rPr>
              <w:t>accomplished</w:t>
            </w:r>
          </w:p>
        </w:tc>
      </w:tr>
    </w:tbl>
    <w:p w14:paraId="0A6448A5" w14:textId="77777777" w:rsidR="00A74D6C" w:rsidRPr="00524C74" w:rsidRDefault="00A74D6C" w:rsidP="005F7CB2">
      <w:pPr>
        <w:keepNext/>
        <w:spacing w:before="240" w:after="120"/>
        <w:rPr>
          <w:rFonts w:ascii="Arial" w:hAnsi="Arial" w:cs="Arial"/>
          <w:b/>
          <w:sz w:val="22"/>
          <w:szCs w:val="22"/>
          <w:lang w:val="en-GB"/>
        </w:rPr>
      </w:pPr>
      <w:r w:rsidRPr="00524C74">
        <w:rPr>
          <w:rFonts w:ascii="Arial" w:hAnsi="Arial" w:cs="Arial"/>
          <w:b/>
          <w:sz w:val="22"/>
          <w:szCs w:val="22"/>
          <w:lang w:val="en-GB"/>
        </w:rPr>
        <w:t>Challenges and risks in implementation and remedial actions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613A5E" w:rsidRPr="00524C74" w14:paraId="7C0DAF8C" w14:textId="77777777" w:rsidTr="00D90428">
        <w:trPr>
          <w:tblHeader/>
          <w:jc w:val="center"/>
        </w:trPr>
        <w:tc>
          <w:tcPr>
            <w:tcW w:w="2500" w:type="pct"/>
            <w:shd w:val="clear" w:color="auto" w:fill="D9D9D9"/>
          </w:tcPr>
          <w:p w14:paraId="44438741" w14:textId="77777777" w:rsidR="00A74D6C" w:rsidRPr="00D71D21" w:rsidRDefault="00A74D6C" w:rsidP="005563A5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1D21">
              <w:rPr>
                <w:rFonts w:ascii="Arial" w:hAnsi="Arial" w:cs="Arial"/>
                <w:b/>
                <w:sz w:val="20"/>
                <w:szCs w:val="20"/>
                <w:lang w:val="en-GB"/>
              </w:rPr>
              <w:t>Key challenges</w:t>
            </w:r>
          </w:p>
        </w:tc>
        <w:tc>
          <w:tcPr>
            <w:tcW w:w="2500" w:type="pct"/>
            <w:shd w:val="clear" w:color="auto" w:fill="D9D9D9"/>
          </w:tcPr>
          <w:p w14:paraId="6DA8B3FC" w14:textId="77777777" w:rsidR="00A74D6C" w:rsidRPr="00D71D21" w:rsidRDefault="00A74D6C" w:rsidP="005563A5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1D21">
              <w:rPr>
                <w:rFonts w:ascii="Arial" w:hAnsi="Arial" w:cs="Arial"/>
                <w:b/>
                <w:sz w:val="20"/>
                <w:szCs w:val="20"/>
                <w:lang w:val="en-GB"/>
              </w:rPr>
              <w:t>Remedial actions</w:t>
            </w:r>
          </w:p>
        </w:tc>
      </w:tr>
      <w:tr w:rsidR="00C84E4F" w:rsidRPr="000C6CD9" w14:paraId="53DF142B" w14:textId="77777777" w:rsidTr="00D90428">
        <w:trPr>
          <w:jc w:val="center"/>
        </w:trPr>
        <w:tc>
          <w:tcPr>
            <w:tcW w:w="2500" w:type="pct"/>
          </w:tcPr>
          <w:p w14:paraId="345F1C65" w14:textId="6CA202DF" w:rsidR="00C84E4F" w:rsidRPr="00D71D21" w:rsidRDefault="00AA6850" w:rsidP="00147EA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While </w:t>
            </w:r>
            <w:r w:rsidR="00144C89">
              <w:rPr>
                <w:rFonts w:ascii="Arial" w:hAnsi="Arial" w:cs="Arial"/>
                <w:sz w:val="20"/>
                <w:szCs w:val="20"/>
                <w:lang w:val="en-GB"/>
              </w:rPr>
              <w:t xml:space="preserve">there was a need to </w:t>
            </w:r>
            <w:r w:rsidR="00BB776F">
              <w:rPr>
                <w:rFonts w:ascii="Arial" w:hAnsi="Arial" w:cs="Arial"/>
                <w:sz w:val="20"/>
                <w:szCs w:val="20"/>
                <w:lang w:val="en-GB"/>
              </w:rPr>
              <w:t xml:space="preserve">accelerate </w:t>
            </w:r>
            <w:r w:rsidR="00C84E4F"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the implementation of the pilot communication initiatives </w:t>
            </w:r>
            <w:r w:rsidR="00BB776F">
              <w:rPr>
                <w:rFonts w:ascii="Arial" w:hAnsi="Arial" w:cs="Arial"/>
                <w:sz w:val="20"/>
                <w:szCs w:val="20"/>
                <w:lang w:val="en-GB"/>
              </w:rPr>
              <w:t xml:space="preserve">proposed </w:t>
            </w:r>
            <w:r w:rsidR="00C84E4F" w:rsidRPr="00C84E4F">
              <w:rPr>
                <w:rFonts w:ascii="Arial" w:hAnsi="Arial" w:cs="Arial"/>
                <w:sz w:val="20"/>
                <w:szCs w:val="20"/>
                <w:lang w:val="en-GB"/>
              </w:rPr>
              <w:t>for the 2003 Convention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144C89" w:rsidRPr="00C84E4F">
              <w:rPr>
                <w:rFonts w:ascii="Arial" w:hAnsi="Arial" w:cs="Arial"/>
                <w:sz w:val="20"/>
                <w:szCs w:val="20"/>
                <w:lang w:val="en-GB"/>
              </w:rPr>
              <w:t>certain delay</w:t>
            </w:r>
            <w:r w:rsidR="00464CFE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144C89"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 w</w:t>
            </w:r>
            <w:r w:rsidR="00464CFE">
              <w:rPr>
                <w:rFonts w:ascii="Arial" w:hAnsi="Arial" w:cs="Arial"/>
                <w:sz w:val="20"/>
                <w:szCs w:val="20"/>
                <w:lang w:val="en-GB"/>
              </w:rPr>
              <w:t>ere</w:t>
            </w:r>
            <w:r w:rsidR="00144C89"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 encountered in </w:t>
            </w:r>
            <w:r w:rsidR="00BB776F">
              <w:rPr>
                <w:rFonts w:ascii="Arial" w:hAnsi="Arial" w:cs="Arial"/>
                <w:sz w:val="20"/>
                <w:szCs w:val="20"/>
                <w:lang w:val="en-GB"/>
              </w:rPr>
              <w:t>initiating the</w:t>
            </w:r>
            <w:r w:rsidR="00144C89">
              <w:rPr>
                <w:rFonts w:ascii="Arial" w:hAnsi="Arial" w:cs="Arial"/>
                <w:sz w:val="20"/>
                <w:szCs w:val="20"/>
                <w:lang w:val="en-GB"/>
              </w:rPr>
              <w:t xml:space="preserve"> implementation so that </w:t>
            </w:r>
            <w:r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the communication actions </w:t>
            </w:r>
            <w:r w:rsidR="00144C89">
              <w:rPr>
                <w:rFonts w:ascii="Arial" w:hAnsi="Arial" w:cs="Arial"/>
                <w:sz w:val="20"/>
                <w:szCs w:val="20"/>
                <w:lang w:val="en-GB"/>
              </w:rPr>
              <w:t xml:space="preserve">would </w:t>
            </w:r>
            <w:r w:rsidR="006F79C8">
              <w:rPr>
                <w:rFonts w:ascii="Arial" w:hAnsi="Arial" w:cs="Arial"/>
                <w:sz w:val="20"/>
                <w:szCs w:val="20"/>
                <w:lang w:val="en-GB"/>
              </w:rPr>
              <w:t>be</w:t>
            </w:r>
            <w:r w:rsidR="006F79C8"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44C89">
              <w:rPr>
                <w:rFonts w:ascii="Arial" w:hAnsi="Arial" w:cs="Arial"/>
                <w:sz w:val="20"/>
                <w:szCs w:val="20"/>
                <w:lang w:val="en-GB"/>
              </w:rPr>
              <w:t xml:space="preserve">fully </w:t>
            </w:r>
            <w:r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aligned with the strategic objectives and </w:t>
            </w:r>
            <w:r w:rsidR="00144C89">
              <w:rPr>
                <w:rFonts w:ascii="Arial" w:hAnsi="Arial" w:cs="Arial"/>
                <w:sz w:val="20"/>
                <w:szCs w:val="20"/>
                <w:lang w:val="en-GB"/>
              </w:rPr>
              <w:t xml:space="preserve">global </w:t>
            </w:r>
            <w:r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priorities set out </w:t>
            </w:r>
            <w:r w:rsidR="00144C89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r w:rsidR="00BB776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B0AD9">
              <w:rPr>
                <w:rFonts w:ascii="Arial" w:hAnsi="Arial" w:cs="Arial"/>
                <w:sz w:val="20"/>
                <w:szCs w:val="20"/>
                <w:lang w:val="en-GB"/>
              </w:rPr>
              <w:t>UNESCO</w:t>
            </w:r>
            <w:r w:rsidR="00144C89">
              <w:rPr>
                <w:rFonts w:ascii="Arial" w:hAnsi="Arial" w:cs="Arial"/>
                <w:sz w:val="20"/>
                <w:szCs w:val="20"/>
                <w:lang w:val="en-GB"/>
              </w:rPr>
              <w:t>’s communication</w:t>
            </w:r>
            <w:r w:rsidRPr="00C84E4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2500" w:type="pct"/>
          </w:tcPr>
          <w:p w14:paraId="3FD119FF" w14:textId="53EDBA01" w:rsidR="00C84E4F" w:rsidRPr="00C84E4F" w:rsidRDefault="007E0786" w:rsidP="001F2B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C84E4F" w:rsidRPr="00C84E4F">
              <w:rPr>
                <w:rFonts w:ascii="Arial" w:hAnsi="Arial" w:cs="Arial"/>
                <w:sz w:val="20"/>
                <w:szCs w:val="20"/>
                <w:lang w:val="en-GB"/>
              </w:rPr>
              <w:t>nternal coordination and consultation</w:t>
            </w:r>
            <w:r w:rsidR="00B53A3D">
              <w:rPr>
                <w:rFonts w:ascii="Arial" w:hAnsi="Arial" w:cs="Arial"/>
                <w:sz w:val="20"/>
                <w:szCs w:val="20"/>
                <w:lang w:val="en-GB"/>
              </w:rPr>
              <w:t>s are ongoing</w:t>
            </w:r>
            <w:r w:rsidR="00C84E4F"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with the web and media relation sections of the Division of Public Information</w:t>
            </w:r>
            <w:r w:rsidR="00B53A3D">
              <w:rPr>
                <w:rFonts w:ascii="Arial" w:hAnsi="Arial" w:cs="Arial"/>
                <w:sz w:val="20"/>
                <w:szCs w:val="20"/>
                <w:lang w:val="en-GB"/>
              </w:rPr>
              <w:t>, as well as with</w:t>
            </w:r>
            <w:r w:rsidR="00B53A3D"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53A3D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he </w:t>
            </w:r>
            <w:r w:rsidRPr="007E0786">
              <w:rPr>
                <w:rFonts w:ascii="Arial" w:hAnsi="Arial" w:cs="Arial"/>
                <w:sz w:val="20"/>
                <w:szCs w:val="20"/>
                <w:lang w:val="en-GB"/>
              </w:rPr>
              <w:t>Partnerships, Communication and Meetings Unit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Culture Sector</w:t>
            </w:r>
            <w:r w:rsidR="00B53A3D">
              <w:rPr>
                <w:rFonts w:ascii="Arial" w:hAnsi="Arial" w:cs="Arial"/>
                <w:sz w:val="20"/>
                <w:szCs w:val="20"/>
                <w:lang w:val="en-GB"/>
              </w:rPr>
              <w:t xml:space="preserve">. In addition, an informative meeting </w:t>
            </w:r>
            <w:r w:rsidR="00C84E4F"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was held in September 2018 with one of the senior managers leading the </w:t>
            </w:r>
            <w:r w:rsidR="00B53A3D">
              <w:rPr>
                <w:rFonts w:ascii="Arial" w:hAnsi="Arial" w:cs="Arial"/>
                <w:sz w:val="20"/>
                <w:szCs w:val="20"/>
                <w:lang w:val="en-GB"/>
              </w:rPr>
              <w:t xml:space="preserve">working group of </w:t>
            </w:r>
            <w:r w:rsidR="007D04DD" w:rsidRPr="00C84E4F">
              <w:rPr>
                <w:rFonts w:ascii="Arial" w:hAnsi="Arial" w:cs="Arial"/>
                <w:sz w:val="20"/>
                <w:szCs w:val="20"/>
                <w:lang w:val="en-GB"/>
              </w:rPr>
              <w:t>Strategic Transformation f</w:t>
            </w:r>
            <w:r w:rsidR="007D04DD">
              <w:rPr>
                <w:rFonts w:ascii="Arial" w:hAnsi="Arial" w:cs="Arial"/>
                <w:sz w:val="20"/>
                <w:szCs w:val="20"/>
                <w:lang w:val="en-GB"/>
              </w:rPr>
              <w:t xml:space="preserve">or </w:t>
            </w:r>
            <w:r w:rsidR="0057058C">
              <w:rPr>
                <w:rFonts w:ascii="Arial" w:hAnsi="Arial" w:cs="Arial"/>
                <w:sz w:val="20"/>
                <w:szCs w:val="20"/>
                <w:lang w:val="en-GB"/>
              </w:rPr>
              <w:t xml:space="preserve">communication </w:t>
            </w:r>
            <w:r w:rsidR="008D2806">
              <w:rPr>
                <w:rFonts w:ascii="Arial" w:hAnsi="Arial" w:cs="Arial"/>
                <w:sz w:val="20"/>
                <w:szCs w:val="20"/>
                <w:lang w:val="en-GB"/>
              </w:rPr>
              <w:t xml:space="preserve">in order to </w:t>
            </w:r>
            <w:r w:rsidR="001F2B00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 an </w:t>
            </w:r>
            <w:r w:rsidR="008D2806">
              <w:rPr>
                <w:rFonts w:ascii="Arial" w:hAnsi="Arial" w:cs="Arial"/>
                <w:sz w:val="20"/>
                <w:szCs w:val="20"/>
                <w:lang w:val="en-GB"/>
              </w:rPr>
              <w:t xml:space="preserve">update on </w:t>
            </w:r>
            <w:r w:rsidR="00C84E4F" w:rsidRPr="00C84E4F">
              <w:rPr>
                <w:rFonts w:ascii="Arial" w:hAnsi="Arial" w:cs="Arial"/>
                <w:sz w:val="20"/>
                <w:szCs w:val="20"/>
                <w:lang w:val="en-GB"/>
              </w:rPr>
              <w:t>the proposed communication and outreach actions for the 2003 Convention.</w:t>
            </w:r>
          </w:p>
        </w:tc>
      </w:tr>
      <w:tr w:rsidR="00C84E4F" w:rsidRPr="000C6CD9" w14:paraId="098EBFFA" w14:textId="77777777" w:rsidTr="00D90428">
        <w:trPr>
          <w:jc w:val="center"/>
        </w:trPr>
        <w:tc>
          <w:tcPr>
            <w:tcW w:w="2500" w:type="pct"/>
          </w:tcPr>
          <w:p w14:paraId="15272BFA" w14:textId="4079BE48" w:rsidR="00C84E4F" w:rsidRPr="007D5F20" w:rsidRDefault="00FB4A4D" w:rsidP="00FB4A4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 c</w:t>
            </w:r>
            <w:r w:rsidR="00C84E4F"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ertain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number of </w:t>
            </w:r>
            <w:r w:rsidR="00C84E4F"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challenges were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also identified</w:t>
            </w:r>
            <w:r w:rsidR="00C84E4F"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 due to the lack of human resources within the Secretariat specializ</w:t>
            </w:r>
            <w:r w:rsidR="006F79C8">
              <w:rPr>
                <w:rFonts w:ascii="Arial" w:hAnsi="Arial" w:cs="Arial"/>
                <w:sz w:val="20"/>
                <w:szCs w:val="20"/>
                <w:lang w:val="en-GB"/>
              </w:rPr>
              <w:t>ing</w:t>
            </w:r>
            <w:r w:rsidR="00C84E4F"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field of communication. Based on the experience of implementing outreach actions and developing communication material</w:t>
            </w:r>
            <w:r w:rsidR="006F79C8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C84E4F"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 in 2018, the Secretariat </w:t>
            </w:r>
            <w:r w:rsidR="007C035C">
              <w:rPr>
                <w:rFonts w:ascii="Arial" w:hAnsi="Arial" w:cs="Arial"/>
                <w:sz w:val="20"/>
                <w:szCs w:val="20"/>
                <w:lang w:val="en-GB"/>
              </w:rPr>
              <w:t>confirmed</w:t>
            </w:r>
            <w:r w:rsidR="00C84E4F" w:rsidRPr="00C84E4F">
              <w:rPr>
                <w:rFonts w:ascii="Arial" w:hAnsi="Arial" w:cs="Arial"/>
                <w:sz w:val="20"/>
                <w:szCs w:val="20"/>
                <w:lang w:val="en-GB"/>
              </w:rPr>
              <w:t xml:space="preserve"> the need to engage </w:t>
            </w:r>
            <w:r w:rsidR="00622F60">
              <w:rPr>
                <w:rFonts w:ascii="Arial" w:hAnsi="Arial" w:cs="Arial"/>
                <w:sz w:val="20"/>
                <w:szCs w:val="20"/>
                <w:lang w:val="en-GB"/>
              </w:rPr>
              <w:t xml:space="preserve">the necessary </w:t>
            </w:r>
            <w:r w:rsidR="00C84E4F" w:rsidRPr="00C84E4F">
              <w:rPr>
                <w:rFonts w:ascii="Arial" w:hAnsi="Arial" w:cs="Arial"/>
                <w:sz w:val="20"/>
                <w:szCs w:val="20"/>
                <w:lang w:val="en-GB"/>
              </w:rPr>
              <w:t>human resources with experience in communications.</w:t>
            </w:r>
          </w:p>
        </w:tc>
        <w:tc>
          <w:tcPr>
            <w:tcW w:w="2500" w:type="pct"/>
          </w:tcPr>
          <w:p w14:paraId="1ACEC600" w14:textId="33D2025D" w:rsidR="00C84E4F" w:rsidRPr="007D5F20" w:rsidRDefault="00C84E4F" w:rsidP="000E56C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F20">
              <w:rPr>
                <w:rFonts w:ascii="Arial" w:hAnsi="Arial" w:cs="Arial"/>
                <w:sz w:val="20"/>
                <w:szCs w:val="20"/>
                <w:lang w:val="en-GB"/>
              </w:rPr>
              <w:t>The Secretariat identified and engaged a</w:t>
            </w:r>
            <w:r w:rsidR="008250C6">
              <w:rPr>
                <w:rFonts w:ascii="Arial" w:hAnsi="Arial" w:cs="Arial"/>
                <w:sz w:val="20"/>
                <w:szCs w:val="20"/>
                <w:lang w:val="en-GB"/>
              </w:rPr>
              <w:t xml:space="preserve"> specialist</w:t>
            </w:r>
            <w:r w:rsidRPr="007D5F20">
              <w:rPr>
                <w:rFonts w:ascii="Arial" w:hAnsi="Arial" w:cs="Arial"/>
                <w:sz w:val="20"/>
                <w:szCs w:val="20"/>
                <w:lang w:val="en-GB"/>
              </w:rPr>
              <w:t xml:space="preserve"> with p</w:t>
            </w:r>
            <w:r w:rsidRPr="00CA2809">
              <w:rPr>
                <w:rFonts w:ascii="Arial" w:hAnsi="Arial" w:cs="Arial"/>
                <w:sz w:val="20"/>
                <w:szCs w:val="20"/>
                <w:lang w:val="en-GB"/>
              </w:rPr>
              <w:t xml:space="preserve">roven expertise in developing successful communication </w:t>
            </w:r>
            <w:r w:rsidRPr="00C84E4F">
              <w:rPr>
                <w:rFonts w:ascii="Arial" w:hAnsi="Arial" w:cs="Arial"/>
                <w:sz w:val="20"/>
                <w:szCs w:val="20"/>
                <w:lang w:val="en-GB"/>
              </w:rPr>
              <w:t>actions at</w:t>
            </w:r>
            <w:r w:rsidRPr="00CA2809">
              <w:rPr>
                <w:rFonts w:ascii="Arial" w:hAnsi="Arial" w:cs="Arial"/>
                <w:sz w:val="20"/>
                <w:szCs w:val="20"/>
                <w:lang w:val="en-GB"/>
              </w:rPr>
              <w:t xml:space="preserve"> the international level</w:t>
            </w:r>
            <w:r w:rsidR="00593C35">
              <w:rPr>
                <w:rFonts w:ascii="Arial" w:hAnsi="Arial" w:cs="Arial"/>
                <w:sz w:val="20"/>
                <w:szCs w:val="20"/>
                <w:lang w:val="en-GB"/>
              </w:rPr>
              <w:t xml:space="preserve">. This specialist </w:t>
            </w:r>
            <w:r w:rsidRPr="007D5F20">
              <w:rPr>
                <w:rFonts w:ascii="Arial" w:hAnsi="Arial" w:cs="Arial"/>
                <w:sz w:val="20"/>
                <w:szCs w:val="20"/>
                <w:lang w:val="en-GB"/>
              </w:rPr>
              <w:t xml:space="preserve">has been providing steady </w:t>
            </w:r>
            <w:r w:rsidR="00E21E28">
              <w:rPr>
                <w:rFonts w:ascii="Arial" w:hAnsi="Arial" w:cs="Arial"/>
                <w:sz w:val="20"/>
                <w:szCs w:val="20"/>
                <w:lang w:val="en-GB"/>
              </w:rPr>
              <w:t xml:space="preserve">and substantial </w:t>
            </w:r>
            <w:r w:rsidRPr="007D5F20">
              <w:rPr>
                <w:rFonts w:ascii="Arial" w:hAnsi="Arial" w:cs="Arial"/>
                <w:sz w:val="20"/>
                <w:szCs w:val="20"/>
                <w:lang w:val="en-GB"/>
              </w:rPr>
              <w:t>support to the Secretariat since December 2018 for the</w:t>
            </w:r>
            <w:r w:rsidR="008E2600">
              <w:rPr>
                <w:rFonts w:ascii="Arial" w:hAnsi="Arial" w:cs="Arial"/>
                <w:sz w:val="20"/>
                <w:szCs w:val="20"/>
                <w:lang w:val="en-GB"/>
              </w:rPr>
              <w:t xml:space="preserve"> implementation of</w:t>
            </w:r>
            <w:r w:rsidRPr="007D5F2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E2600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7D5F20">
              <w:rPr>
                <w:rFonts w:ascii="Arial" w:hAnsi="Arial" w:cs="Arial"/>
                <w:sz w:val="20"/>
                <w:szCs w:val="20"/>
                <w:lang w:val="en-GB"/>
              </w:rPr>
              <w:t>communication work of the 2003 Convention.</w:t>
            </w:r>
          </w:p>
        </w:tc>
      </w:tr>
      <w:tr w:rsidR="009B5DAC" w:rsidRPr="000C6CD9" w14:paraId="03ED7999" w14:textId="77777777" w:rsidTr="00D90428">
        <w:trPr>
          <w:trHeight w:val="1836"/>
          <w:jc w:val="center"/>
        </w:trPr>
        <w:tc>
          <w:tcPr>
            <w:tcW w:w="2500" w:type="pct"/>
          </w:tcPr>
          <w:p w14:paraId="0F861AF9" w14:textId="1AB17504" w:rsidR="009B5DAC" w:rsidRPr="00C84E4F" w:rsidRDefault="009B5DAC" w:rsidP="00C616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initially low response rate of the electronic consultation, among </w:t>
            </w:r>
            <w:r w:rsidR="00C61628">
              <w:rPr>
                <w:rFonts w:ascii="Arial" w:hAnsi="Arial" w:cs="Arial"/>
                <w:sz w:val="20"/>
                <w:szCs w:val="20"/>
                <w:lang w:val="en-GB"/>
              </w:rPr>
              <w:t xml:space="preserve">both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States Parties and accredited NGOs, raised some concerns as its findings were </w:t>
            </w:r>
            <w:r w:rsidR="00C61628">
              <w:rPr>
                <w:rFonts w:ascii="Arial" w:hAnsi="Arial" w:cs="Arial"/>
                <w:sz w:val="20"/>
                <w:szCs w:val="20"/>
                <w:lang w:val="en-GB"/>
              </w:rPr>
              <w:t>foreseen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to</w:t>
            </w:r>
            <w:r w:rsidR="00C61628">
              <w:rPr>
                <w:rFonts w:ascii="Arial" w:hAnsi="Arial" w:cs="Arial"/>
                <w:sz w:val="20"/>
                <w:szCs w:val="20"/>
                <w:lang w:val="en-GB"/>
              </w:rPr>
              <w:t xml:space="preserve"> provide the basis for the reflection on the role of accredited NGOs.</w:t>
            </w:r>
          </w:p>
        </w:tc>
        <w:tc>
          <w:tcPr>
            <w:tcW w:w="2500" w:type="pct"/>
          </w:tcPr>
          <w:p w14:paraId="26C58E36" w14:textId="4A74F153" w:rsidR="009B5DAC" w:rsidRPr="007D5F20" w:rsidRDefault="00C61628" w:rsidP="00C616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Partners, such as the ICH NGO Forum, were mobilized to draw the attention of accredited NGOs </w:t>
            </w:r>
            <w:r w:rsidR="00E217A7">
              <w:rPr>
                <w:rFonts w:ascii="Arial" w:hAnsi="Arial" w:cs="Arial"/>
                <w:sz w:val="20"/>
                <w:szCs w:val="20"/>
                <w:lang w:val="en-GB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importance of the electronic consultation in the reflection process. In addition, announcements were made through the websites of the Convention, the ICH NGO Forum and a network of experts involved in the implementation of the Convention.</w:t>
            </w:r>
          </w:p>
        </w:tc>
      </w:tr>
    </w:tbl>
    <w:p w14:paraId="301588DE" w14:textId="77777777" w:rsidR="001E21CE" w:rsidRPr="00D90428" w:rsidRDefault="001E21CE" w:rsidP="005F7CB2">
      <w:pPr>
        <w:pStyle w:val="Marge"/>
        <w:spacing w:before="120" w:after="120"/>
        <w:rPr>
          <w:rFonts w:cs="Arial"/>
          <w:szCs w:val="22"/>
          <w:lang w:val="en-GB"/>
        </w:rPr>
      </w:pPr>
    </w:p>
    <w:sectPr w:rsidR="001E21CE" w:rsidRPr="00D90428" w:rsidSect="00C26996">
      <w:headerReference w:type="even" r:id="rId11"/>
      <w:headerReference w:type="default" r:id="rId12"/>
      <w:headerReference w:type="first" r:id="rId13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6F712" w14:textId="77777777" w:rsidR="00CF1F94" w:rsidRDefault="00CF1F94" w:rsidP="00655736">
      <w:r>
        <w:separator/>
      </w:r>
    </w:p>
  </w:endnote>
  <w:endnote w:type="continuationSeparator" w:id="0">
    <w:p w14:paraId="7BC53BD2" w14:textId="77777777" w:rsidR="00CF1F94" w:rsidRDefault="00CF1F94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818B8" w14:textId="77777777" w:rsidR="00CF1F94" w:rsidRDefault="00CF1F94" w:rsidP="00655736">
      <w:r>
        <w:separator/>
      </w:r>
    </w:p>
  </w:footnote>
  <w:footnote w:type="continuationSeparator" w:id="0">
    <w:p w14:paraId="309B14CA" w14:textId="77777777" w:rsidR="00CF1F94" w:rsidRDefault="00CF1F94" w:rsidP="00655736">
      <w:r>
        <w:continuationSeparator/>
      </w:r>
    </w:p>
  </w:footnote>
  <w:footnote w:id="1">
    <w:p w14:paraId="343DFAF5" w14:textId="7D9901C7" w:rsidR="0032638E" w:rsidRPr="000461D1" w:rsidRDefault="0032638E" w:rsidP="0032638E">
      <w:pPr>
        <w:pStyle w:val="FootnoteText"/>
        <w:ind w:left="567" w:hanging="567"/>
        <w:rPr>
          <w:sz w:val="18"/>
          <w:szCs w:val="18"/>
        </w:rPr>
      </w:pPr>
      <w:r w:rsidRPr="000461D1">
        <w:rPr>
          <w:rStyle w:val="FootnoteReference"/>
          <w:rFonts w:cs="Arial"/>
          <w:sz w:val="18"/>
          <w:szCs w:val="18"/>
          <w:vertAlign w:val="baseline"/>
        </w:rPr>
        <w:footnoteRef/>
      </w:r>
      <w:r w:rsidRPr="000461D1">
        <w:rPr>
          <w:rFonts w:cs="Arial"/>
          <w:sz w:val="18"/>
          <w:szCs w:val="18"/>
        </w:rPr>
        <w:t>.</w:t>
      </w:r>
      <w:r w:rsidRPr="000461D1">
        <w:rPr>
          <w:rStyle w:val="FootnoteReference"/>
          <w:rFonts w:cs="Arial"/>
          <w:sz w:val="18"/>
          <w:szCs w:val="18"/>
          <w:vertAlign w:val="baseline"/>
        </w:rPr>
        <w:tab/>
        <w:t xml:space="preserve">All figures in the tables below are expressed in </w:t>
      </w:r>
      <w:r w:rsidR="00567222">
        <w:rPr>
          <w:rStyle w:val="FootnoteReference"/>
          <w:rFonts w:cs="Arial"/>
          <w:sz w:val="18"/>
          <w:szCs w:val="18"/>
          <w:vertAlign w:val="baseline"/>
        </w:rPr>
        <w:t xml:space="preserve">US </w:t>
      </w:r>
      <w:r w:rsidRPr="000461D1">
        <w:rPr>
          <w:rStyle w:val="FootnoteReference"/>
          <w:rFonts w:cs="Arial"/>
          <w:sz w:val="18"/>
          <w:szCs w:val="18"/>
          <w:vertAlign w:val="baseline"/>
        </w:rPr>
        <w:t>dollars</w:t>
      </w:r>
      <w:r w:rsidR="00AB46CB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F6210" w14:textId="553A1506" w:rsidR="000A435E" w:rsidRPr="000C6CD9" w:rsidRDefault="0017391B">
    <w:pPr>
      <w:pStyle w:val="Header"/>
      <w:rPr>
        <w:rFonts w:ascii="Arial" w:hAnsi="Arial" w:cs="Arial"/>
        <w:sz w:val="20"/>
        <w:szCs w:val="20"/>
        <w:lang w:val="en-GB"/>
      </w:rPr>
    </w:pPr>
    <w:r w:rsidRPr="000C6CD9">
      <w:rPr>
        <w:rFonts w:ascii="Arial" w:hAnsi="Arial" w:cs="Arial"/>
        <w:sz w:val="20"/>
        <w:szCs w:val="20"/>
        <w:lang w:val="en-GB"/>
      </w:rPr>
      <w:t>LHE</w:t>
    </w:r>
    <w:r w:rsidR="000A435E" w:rsidRPr="000C6CD9">
      <w:rPr>
        <w:rFonts w:ascii="Arial" w:hAnsi="Arial" w:cs="Arial"/>
        <w:sz w:val="20"/>
        <w:szCs w:val="20"/>
        <w:lang w:val="en-GB"/>
      </w:rPr>
      <w:t>/1</w:t>
    </w:r>
    <w:r w:rsidRPr="000C6CD9">
      <w:rPr>
        <w:rFonts w:ascii="Arial" w:hAnsi="Arial" w:cs="Arial"/>
        <w:sz w:val="20"/>
        <w:szCs w:val="20"/>
        <w:lang w:val="en-GB"/>
      </w:rPr>
      <w:t>9</w:t>
    </w:r>
    <w:r w:rsidR="000A435E" w:rsidRPr="000C6CD9">
      <w:rPr>
        <w:rFonts w:ascii="Arial" w:hAnsi="Arial" w:cs="Arial"/>
        <w:sz w:val="20"/>
        <w:szCs w:val="20"/>
        <w:lang w:val="en-GB"/>
      </w:rPr>
      <w:t>/1</w:t>
    </w:r>
    <w:r w:rsidRPr="000C6CD9">
      <w:rPr>
        <w:rFonts w:ascii="Arial" w:hAnsi="Arial" w:cs="Arial"/>
        <w:sz w:val="20"/>
        <w:szCs w:val="20"/>
        <w:lang w:val="en-GB"/>
      </w:rPr>
      <w:t>4</w:t>
    </w:r>
    <w:r w:rsidR="000A435E" w:rsidRPr="000C6CD9">
      <w:rPr>
        <w:rFonts w:ascii="Arial" w:hAnsi="Arial" w:cs="Arial"/>
        <w:sz w:val="20"/>
        <w:szCs w:val="20"/>
        <w:lang w:val="en-GB"/>
      </w:rPr>
      <w:t>.COM </w:t>
    </w:r>
    <w:r w:rsidR="00613A5E" w:rsidRPr="000C6CD9">
      <w:rPr>
        <w:rFonts w:ascii="Arial" w:hAnsi="Arial" w:cs="Arial"/>
        <w:sz w:val="20"/>
        <w:szCs w:val="20"/>
        <w:lang w:val="en-GB"/>
      </w:rPr>
      <w:t>2</w:t>
    </w:r>
    <w:r w:rsidR="000A435E" w:rsidRPr="000C6CD9">
      <w:rPr>
        <w:rFonts w:ascii="Arial" w:hAnsi="Arial" w:cs="Arial"/>
        <w:sz w:val="20"/>
        <w:szCs w:val="20"/>
        <w:lang w:val="en-GB"/>
      </w:rPr>
      <w:t>.BUR/INF.</w:t>
    </w:r>
    <w:r w:rsidR="00E84F98" w:rsidRPr="000C6CD9">
      <w:rPr>
        <w:rFonts w:ascii="Arial" w:hAnsi="Arial" w:cs="Arial"/>
        <w:sz w:val="20"/>
        <w:szCs w:val="20"/>
        <w:lang w:val="en-GB"/>
      </w:rPr>
      <w:t>3</w:t>
    </w:r>
    <w:r w:rsidR="000A435E" w:rsidRPr="000C6CD9">
      <w:rPr>
        <w:rFonts w:ascii="Arial" w:hAnsi="Arial" w:cs="Arial"/>
        <w:sz w:val="20"/>
        <w:szCs w:val="20"/>
        <w:lang w:val="en-GB"/>
      </w:rPr>
      <w:t xml:space="preserve"> – page </w:t>
    </w:r>
    <w:r w:rsidR="000A435E" w:rsidRPr="000C6CD9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0A435E" w:rsidRPr="000C6CD9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0A435E" w:rsidRPr="000C6CD9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0C6CD9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="000A435E" w:rsidRPr="000C6CD9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2FE28" w14:textId="41DBEDA0" w:rsidR="000A435E" w:rsidRPr="000C6CD9" w:rsidRDefault="0017391B" w:rsidP="00C26996">
    <w:pPr>
      <w:pStyle w:val="Header"/>
      <w:jc w:val="right"/>
      <w:rPr>
        <w:rFonts w:ascii="Arial" w:hAnsi="Arial" w:cs="Arial"/>
        <w:sz w:val="20"/>
        <w:szCs w:val="20"/>
        <w:lang w:val="en-GB"/>
      </w:rPr>
    </w:pPr>
    <w:r w:rsidRPr="000C6CD9">
      <w:rPr>
        <w:rFonts w:ascii="Arial" w:hAnsi="Arial" w:cs="Arial"/>
        <w:sz w:val="20"/>
        <w:szCs w:val="20"/>
        <w:lang w:val="en-GB"/>
      </w:rPr>
      <w:t>LHE/19/14</w:t>
    </w:r>
    <w:r w:rsidR="00076302" w:rsidRPr="000C6CD9">
      <w:rPr>
        <w:rFonts w:ascii="Arial" w:hAnsi="Arial" w:cs="Arial"/>
        <w:sz w:val="20"/>
        <w:szCs w:val="20"/>
        <w:lang w:val="en-GB"/>
      </w:rPr>
      <w:t>.COM </w:t>
    </w:r>
    <w:r w:rsidR="00613A5E" w:rsidRPr="000C6CD9">
      <w:rPr>
        <w:rFonts w:ascii="Arial" w:hAnsi="Arial" w:cs="Arial"/>
        <w:sz w:val="20"/>
        <w:szCs w:val="20"/>
        <w:lang w:val="en-GB"/>
      </w:rPr>
      <w:t>2</w:t>
    </w:r>
    <w:r w:rsidR="00D9195D" w:rsidRPr="000C6CD9">
      <w:rPr>
        <w:rFonts w:ascii="Arial" w:hAnsi="Arial" w:cs="Arial"/>
        <w:sz w:val="20"/>
        <w:szCs w:val="20"/>
        <w:lang w:val="en-GB"/>
      </w:rPr>
      <w:t>.BUR/INF.3</w:t>
    </w:r>
    <w:r w:rsidR="000A435E" w:rsidRPr="000C6CD9">
      <w:rPr>
        <w:rFonts w:ascii="Arial" w:hAnsi="Arial" w:cs="Arial"/>
        <w:sz w:val="20"/>
        <w:szCs w:val="20"/>
        <w:lang w:val="en-GB"/>
      </w:rPr>
      <w:t xml:space="preserve"> – page </w:t>
    </w:r>
    <w:r w:rsidR="000A435E" w:rsidRPr="000C6CD9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0A435E" w:rsidRPr="000C6CD9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0A435E" w:rsidRPr="000C6CD9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0C6CD9">
      <w:rPr>
        <w:rStyle w:val="PageNumber"/>
        <w:rFonts w:ascii="Arial" w:hAnsi="Arial" w:cs="Arial"/>
        <w:noProof/>
        <w:sz w:val="20"/>
        <w:szCs w:val="20"/>
        <w:lang w:val="en-GB"/>
      </w:rPr>
      <w:t>9</w:t>
    </w:r>
    <w:r w:rsidR="000A435E" w:rsidRPr="000C6CD9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304BD" w14:textId="77777777" w:rsidR="000A435E" w:rsidRPr="00F32C23" w:rsidRDefault="0064666F">
    <w:pPr>
      <w:pStyle w:val="Header"/>
      <w:rPr>
        <w:lang w:val="en-GB"/>
      </w:rPr>
    </w:pPr>
    <w:r>
      <w:rPr>
        <w:noProof/>
        <w:lang w:val="en-US" w:eastAsia="ko-KR"/>
      </w:rPr>
      <w:drawing>
        <wp:anchor distT="0" distB="0" distL="114300" distR="114300" simplePos="0" relativeHeight="251657728" behindDoc="0" locked="0" layoutInCell="1" allowOverlap="1" wp14:anchorId="4320AB79" wp14:editId="575F0883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1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D99676" w14:textId="393CBAAF" w:rsidR="000A435E" w:rsidRPr="00F30DC6" w:rsidRDefault="002B0251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>
      <w:rPr>
        <w:rFonts w:ascii="Arial" w:hAnsi="Arial" w:cs="Arial"/>
        <w:b/>
        <w:sz w:val="44"/>
        <w:szCs w:val="44"/>
        <w:lang w:val="en-GB"/>
      </w:rPr>
      <w:t>14</w:t>
    </w:r>
    <w:r w:rsidR="000A435E">
      <w:rPr>
        <w:rFonts w:ascii="Arial" w:hAnsi="Arial" w:cs="Arial"/>
        <w:b/>
        <w:sz w:val="44"/>
        <w:szCs w:val="44"/>
        <w:lang w:val="en-GB"/>
      </w:rPr>
      <w:t> </w:t>
    </w:r>
    <w:r w:rsidR="000A435E" w:rsidRPr="00F30DC6">
      <w:rPr>
        <w:rFonts w:ascii="Arial" w:hAnsi="Arial" w:cs="Arial"/>
        <w:b/>
        <w:sz w:val="44"/>
        <w:szCs w:val="44"/>
        <w:lang w:val="en-GB"/>
      </w:rPr>
      <w:t>COM</w:t>
    </w:r>
    <w:r w:rsidR="000A435E">
      <w:rPr>
        <w:rFonts w:ascii="Arial" w:hAnsi="Arial" w:cs="Arial"/>
        <w:b/>
        <w:sz w:val="44"/>
        <w:szCs w:val="44"/>
        <w:lang w:val="en-GB"/>
      </w:rPr>
      <w:t> </w:t>
    </w:r>
    <w:r w:rsidR="00613A5E">
      <w:rPr>
        <w:rFonts w:ascii="Arial" w:hAnsi="Arial" w:cs="Arial"/>
        <w:b/>
        <w:sz w:val="44"/>
        <w:szCs w:val="44"/>
        <w:lang w:val="en-GB"/>
      </w:rPr>
      <w:t>2</w:t>
    </w:r>
    <w:r w:rsidR="000A435E">
      <w:rPr>
        <w:rFonts w:ascii="Arial" w:hAnsi="Arial" w:cs="Arial"/>
        <w:b/>
        <w:sz w:val="44"/>
        <w:szCs w:val="44"/>
        <w:lang w:val="en-GB"/>
      </w:rPr>
      <w:t> BUR</w:t>
    </w:r>
  </w:p>
  <w:p w14:paraId="496DF180" w14:textId="6A4E136F" w:rsidR="000A435E" w:rsidRPr="00A53C89" w:rsidRDefault="008C684B" w:rsidP="00655736">
    <w:pPr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LHE</w:t>
    </w:r>
    <w:r w:rsidR="00567222">
      <w:rPr>
        <w:rFonts w:ascii="Arial" w:hAnsi="Arial" w:cs="Arial"/>
        <w:b/>
        <w:sz w:val="22"/>
        <w:szCs w:val="22"/>
        <w:lang w:val="en-GB"/>
      </w:rPr>
      <w:t>/</w:t>
    </w:r>
    <w:r w:rsidR="000A435E" w:rsidRPr="00A53C89">
      <w:rPr>
        <w:rFonts w:ascii="Arial" w:hAnsi="Arial" w:cs="Arial"/>
        <w:b/>
        <w:sz w:val="22"/>
        <w:szCs w:val="22"/>
        <w:lang w:val="en-GB"/>
      </w:rPr>
      <w:t>1</w:t>
    </w:r>
    <w:r w:rsidR="002B0251">
      <w:rPr>
        <w:rFonts w:ascii="Arial" w:hAnsi="Arial" w:cs="Arial"/>
        <w:b/>
        <w:sz w:val="22"/>
        <w:szCs w:val="22"/>
        <w:lang w:val="en-GB"/>
      </w:rPr>
      <w:t>9</w:t>
    </w:r>
    <w:r w:rsidR="000A435E" w:rsidRPr="00A53C89">
      <w:rPr>
        <w:rFonts w:ascii="Arial" w:hAnsi="Arial" w:cs="Arial"/>
        <w:b/>
        <w:sz w:val="22"/>
        <w:szCs w:val="22"/>
        <w:lang w:val="en-GB"/>
      </w:rPr>
      <w:t>/</w:t>
    </w:r>
    <w:r w:rsidR="002B0251">
      <w:rPr>
        <w:rFonts w:ascii="Arial" w:hAnsi="Arial" w:cs="Arial"/>
        <w:b/>
        <w:sz w:val="22"/>
        <w:szCs w:val="22"/>
        <w:lang w:val="en-GB"/>
      </w:rPr>
      <w:t>14</w:t>
    </w:r>
    <w:r w:rsidR="00076302" w:rsidRPr="00A53C89">
      <w:rPr>
        <w:rFonts w:ascii="Arial" w:hAnsi="Arial" w:cs="Arial"/>
        <w:b/>
        <w:sz w:val="22"/>
        <w:szCs w:val="22"/>
        <w:lang w:val="en-GB"/>
      </w:rPr>
      <w:t>.</w:t>
    </w:r>
    <w:r w:rsidR="000A435E" w:rsidRPr="00A53C89">
      <w:rPr>
        <w:rFonts w:ascii="Arial" w:hAnsi="Arial" w:cs="Arial"/>
        <w:b/>
        <w:sz w:val="22"/>
        <w:szCs w:val="22"/>
        <w:lang w:val="en-GB"/>
      </w:rPr>
      <w:t>COM </w:t>
    </w:r>
    <w:r w:rsidR="00613A5E" w:rsidRPr="00A53C89">
      <w:rPr>
        <w:rFonts w:ascii="Arial" w:hAnsi="Arial" w:cs="Arial"/>
        <w:b/>
        <w:sz w:val="22"/>
        <w:szCs w:val="22"/>
        <w:lang w:val="en-GB"/>
      </w:rPr>
      <w:t>2</w:t>
    </w:r>
    <w:r w:rsidR="000A435E" w:rsidRPr="00A53C89">
      <w:rPr>
        <w:rFonts w:ascii="Arial" w:hAnsi="Arial" w:cs="Arial"/>
        <w:b/>
        <w:sz w:val="22"/>
        <w:szCs w:val="22"/>
        <w:lang w:val="en-GB"/>
      </w:rPr>
      <w:t>.BUR/INF.</w:t>
    </w:r>
    <w:r w:rsidR="00D9195D" w:rsidRPr="00A53C89">
      <w:rPr>
        <w:rFonts w:ascii="Arial" w:hAnsi="Arial" w:cs="Arial"/>
        <w:b/>
        <w:sz w:val="22"/>
        <w:szCs w:val="22"/>
        <w:lang w:val="en-GB"/>
      </w:rPr>
      <w:t>3</w:t>
    </w:r>
  </w:p>
  <w:p w14:paraId="19D6A407" w14:textId="62059593" w:rsidR="000A435E" w:rsidRPr="00A53C89" w:rsidRDefault="000A435E" w:rsidP="00725503">
    <w:pPr>
      <w:jc w:val="right"/>
      <w:rPr>
        <w:rFonts w:ascii="Arial" w:hAnsi="Arial" w:cs="Arial"/>
        <w:b/>
        <w:sz w:val="22"/>
        <w:szCs w:val="22"/>
        <w:lang w:val="en-GB"/>
      </w:rPr>
    </w:pPr>
    <w:r w:rsidRPr="00A53C89">
      <w:rPr>
        <w:rFonts w:ascii="Arial" w:hAnsi="Arial" w:cs="Arial"/>
        <w:b/>
        <w:sz w:val="22"/>
        <w:szCs w:val="22"/>
        <w:lang w:val="en-GB"/>
      </w:rPr>
      <w:t xml:space="preserve">Paris, </w:t>
    </w:r>
    <w:r w:rsidR="001D3EA8">
      <w:rPr>
        <w:rFonts w:ascii="Arial" w:hAnsi="Arial" w:cs="Arial"/>
        <w:b/>
        <w:sz w:val="22"/>
        <w:szCs w:val="22"/>
        <w:lang w:val="en-GB"/>
      </w:rPr>
      <w:t>4 June</w:t>
    </w:r>
    <w:r w:rsidR="002B0251">
      <w:rPr>
        <w:rFonts w:ascii="Arial" w:hAnsi="Arial" w:cs="Arial"/>
        <w:b/>
        <w:sz w:val="22"/>
        <w:szCs w:val="22"/>
        <w:lang w:val="en-GB"/>
      </w:rPr>
      <w:t xml:space="preserve"> 2019</w:t>
    </w:r>
  </w:p>
  <w:p w14:paraId="5A5F62EE" w14:textId="406F7937" w:rsidR="000A435E" w:rsidRDefault="000A435E" w:rsidP="000048ED">
    <w:pPr>
      <w:jc w:val="right"/>
      <w:rPr>
        <w:rFonts w:ascii="Arial" w:hAnsi="Arial" w:cs="Arial"/>
        <w:b/>
        <w:sz w:val="22"/>
        <w:szCs w:val="22"/>
        <w:lang w:val="en-GB"/>
      </w:rPr>
    </w:pPr>
    <w:r w:rsidRPr="00A53C89">
      <w:rPr>
        <w:rFonts w:ascii="Arial" w:hAnsi="Arial" w:cs="Arial"/>
        <w:b/>
        <w:sz w:val="22"/>
        <w:szCs w:val="22"/>
        <w:lang w:val="en-GB"/>
      </w:rPr>
      <w:t>Original: English</w:t>
    </w:r>
  </w:p>
  <w:p w14:paraId="0F89F824" w14:textId="77777777" w:rsidR="001D3EA8" w:rsidRPr="00113BA4" w:rsidRDefault="001D3EA8" w:rsidP="00725503">
    <w:pPr>
      <w:rPr>
        <w:b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75EA"/>
    <w:multiLevelType w:val="hybridMultilevel"/>
    <w:tmpl w:val="AE326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7F8F"/>
    <w:multiLevelType w:val="hybridMultilevel"/>
    <w:tmpl w:val="EDD82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17762FF8"/>
    <w:multiLevelType w:val="hybridMultilevel"/>
    <w:tmpl w:val="E0DCF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C30BD2"/>
    <w:multiLevelType w:val="hybridMultilevel"/>
    <w:tmpl w:val="27C40886"/>
    <w:lvl w:ilvl="0" w:tplc="F2A68DC4">
      <w:start w:val="1"/>
      <w:numFmt w:val="upperRoman"/>
      <w:pStyle w:val="Heading4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40D93"/>
    <w:multiLevelType w:val="hybridMultilevel"/>
    <w:tmpl w:val="F0269746"/>
    <w:lvl w:ilvl="0" w:tplc="07B04652">
      <w:start w:val="1"/>
      <w:numFmt w:val="decimal"/>
      <w:pStyle w:val="5GAparabodytext"/>
      <w:lvlText w:val="%1."/>
      <w:lvlJc w:val="left"/>
      <w:pPr>
        <w:ind w:left="1287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6B35355"/>
    <w:multiLevelType w:val="hybridMultilevel"/>
    <w:tmpl w:val="FC3C304A"/>
    <w:lvl w:ilvl="0" w:tplc="AD4CBB60">
      <w:start w:val="1"/>
      <w:numFmt w:val="decimal"/>
      <w:pStyle w:val="Numberedparagraph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1ACF9E8">
      <w:start w:val="1"/>
      <w:numFmt w:val="bullet"/>
      <w:lvlText w:val=""/>
      <w:lvlJc w:val="left"/>
      <w:pPr>
        <w:tabs>
          <w:tab w:val="num" w:pos="-621"/>
        </w:tabs>
        <w:ind w:left="1647" w:hanging="567"/>
      </w:pPr>
      <w:rPr>
        <w:rFonts w:ascii="Symbol" w:hAnsi="Symbol" w:hint="default"/>
      </w:rPr>
    </w:lvl>
    <w:lvl w:ilvl="2" w:tplc="D09477B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C778C2"/>
    <w:multiLevelType w:val="hybridMultilevel"/>
    <w:tmpl w:val="08B2D8F0"/>
    <w:lvl w:ilvl="0" w:tplc="24D08236">
      <w:start w:val="1"/>
      <w:numFmt w:val="decimal"/>
      <w:pStyle w:val="Paragraph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447DA"/>
    <w:multiLevelType w:val="hybridMultilevel"/>
    <w:tmpl w:val="84B48F76"/>
    <w:lvl w:ilvl="0" w:tplc="20EC74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83D2A"/>
    <w:multiLevelType w:val="hybridMultilevel"/>
    <w:tmpl w:val="4AC6FCC2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42"/>
    <w:rsid w:val="00001AAF"/>
    <w:rsid w:val="00002FAE"/>
    <w:rsid w:val="000043D7"/>
    <w:rsid w:val="000048ED"/>
    <w:rsid w:val="000051A5"/>
    <w:rsid w:val="000065CC"/>
    <w:rsid w:val="000112C6"/>
    <w:rsid w:val="000156ED"/>
    <w:rsid w:val="00015F5D"/>
    <w:rsid w:val="000203AD"/>
    <w:rsid w:val="0002088D"/>
    <w:rsid w:val="000246D0"/>
    <w:rsid w:val="00024861"/>
    <w:rsid w:val="000270C2"/>
    <w:rsid w:val="0003153A"/>
    <w:rsid w:val="00032764"/>
    <w:rsid w:val="00041A66"/>
    <w:rsid w:val="00041E0D"/>
    <w:rsid w:val="00043D8B"/>
    <w:rsid w:val="0004543D"/>
    <w:rsid w:val="0004617D"/>
    <w:rsid w:val="000461D1"/>
    <w:rsid w:val="00050402"/>
    <w:rsid w:val="000505B3"/>
    <w:rsid w:val="00050F5B"/>
    <w:rsid w:val="0005176E"/>
    <w:rsid w:val="0005488C"/>
    <w:rsid w:val="000563F5"/>
    <w:rsid w:val="00056942"/>
    <w:rsid w:val="00062AE4"/>
    <w:rsid w:val="00062F60"/>
    <w:rsid w:val="00062FEC"/>
    <w:rsid w:val="0006522B"/>
    <w:rsid w:val="00065669"/>
    <w:rsid w:val="00065CFA"/>
    <w:rsid w:val="0006752C"/>
    <w:rsid w:val="00067608"/>
    <w:rsid w:val="00067A73"/>
    <w:rsid w:val="00072F12"/>
    <w:rsid w:val="00076302"/>
    <w:rsid w:val="000765F7"/>
    <w:rsid w:val="00077748"/>
    <w:rsid w:val="00077AB7"/>
    <w:rsid w:val="00081CD8"/>
    <w:rsid w:val="00082649"/>
    <w:rsid w:val="00084948"/>
    <w:rsid w:val="00092512"/>
    <w:rsid w:val="00093285"/>
    <w:rsid w:val="00094696"/>
    <w:rsid w:val="00096476"/>
    <w:rsid w:val="000A0F97"/>
    <w:rsid w:val="000A435E"/>
    <w:rsid w:val="000A5A65"/>
    <w:rsid w:val="000A7F0E"/>
    <w:rsid w:val="000B1C8F"/>
    <w:rsid w:val="000B764C"/>
    <w:rsid w:val="000C085B"/>
    <w:rsid w:val="000C0D61"/>
    <w:rsid w:val="000C1FBA"/>
    <w:rsid w:val="000C3936"/>
    <w:rsid w:val="000C503A"/>
    <w:rsid w:val="000C6AF7"/>
    <w:rsid w:val="000C6CD9"/>
    <w:rsid w:val="000C7204"/>
    <w:rsid w:val="000E054F"/>
    <w:rsid w:val="000E1621"/>
    <w:rsid w:val="000E2339"/>
    <w:rsid w:val="000E3F49"/>
    <w:rsid w:val="000E45EB"/>
    <w:rsid w:val="000E56CE"/>
    <w:rsid w:val="000F3A3F"/>
    <w:rsid w:val="000F4094"/>
    <w:rsid w:val="00101408"/>
    <w:rsid w:val="00101464"/>
    <w:rsid w:val="00102156"/>
    <w:rsid w:val="00102557"/>
    <w:rsid w:val="001026A2"/>
    <w:rsid w:val="00104613"/>
    <w:rsid w:val="001048CC"/>
    <w:rsid w:val="0010511F"/>
    <w:rsid w:val="001105E4"/>
    <w:rsid w:val="00113BA4"/>
    <w:rsid w:val="00122F91"/>
    <w:rsid w:val="0012620F"/>
    <w:rsid w:val="0012712B"/>
    <w:rsid w:val="00133FA7"/>
    <w:rsid w:val="00134671"/>
    <w:rsid w:val="00135185"/>
    <w:rsid w:val="00135385"/>
    <w:rsid w:val="0013608A"/>
    <w:rsid w:val="0013706C"/>
    <w:rsid w:val="00140EE4"/>
    <w:rsid w:val="00141864"/>
    <w:rsid w:val="00142985"/>
    <w:rsid w:val="00143F74"/>
    <w:rsid w:val="00144C30"/>
    <w:rsid w:val="00144C89"/>
    <w:rsid w:val="00147685"/>
    <w:rsid w:val="00147EA5"/>
    <w:rsid w:val="001503B3"/>
    <w:rsid w:val="00152C17"/>
    <w:rsid w:val="00154EA6"/>
    <w:rsid w:val="0016268A"/>
    <w:rsid w:val="00164D56"/>
    <w:rsid w:val="00167B10"/>
    <w:rsid w:val="0017049D"/>
    <w:rsid w:val="001709C0"/>
    <w:rsid w:val="0017391B"/>
    <w:rsid w:val="00173B49"/>
    <w:rsid w:val="0017402F"/>
    <w:rsid w:val="00176D9F"/>
    <w:rsid w:val="00176DB4"/>
    <w:rsid w:val="0018028D"/>
    <w:rsid w:val="00181B17"/>
    <w:rsid w:val="001828B7"/>
    <w:rsid w:val="0018401C"/>
    <w:rsid w:val="00184CCF"/>
    <w:rsid w:val="00185209"/>
    <w:rsid w:val="0018643A"/>
    <w:rsid w:val="00190FD8"/>
    <w:rsid w:val="00192337"/>
    <w:rsid w:val="00192A4A"/>
    <w:rsid w:val="00192E04"/>
    <w:rsid w:val="00193976"/>
    <w:rsid w:val="001961B1"/>
    <w:rsid w:val="00196C1B"/>
    <w:rsid w:val="00197D64"/>
    <w:rsid w:val="001A5BDE"/>
    <w:rsid w:val="001B0620"/>
    <w:rsid w:val="001B0F73"/>
    <w:rsid w:val="001B285F"/>
    <w:rsid w:val="001B4D5A"/>
    <w:rsid w:val="001B647E"/>
    <w:rsid w:val="001B649A"/>
    <w:rsid w:val="001B7735"/>
    <w:rsid w:val="001C2DB7"/>
    <w:rsid w:val="001C6031"/>
    <w:rsid w:val="001D3EA8"/>
    <w:rsid w:val="001D5C04"/>
    <w:rsid w:val="001E0194"/>
    <w:rsid w:val="001E124E"/>
    <w:rsid w:val="001E21CE"/>
    <w:rsid w:val="001E732E"/>
    <w:rsid w:val="001F2154"/>
    <w:rsid w:val="001F2B00"/>
    <w:rsid w:val="001F4384"/>
    <w:rsid w:val="001F4E4F"/>
    <w:rsid w:val="001F5905"/>
    <w:rsid w:val="001F71D4"/>
    <w:rsid w:val="001F75DB"/>
    <w:rsid w:val="0020272E"/>
    <w:rsid w:val="00203F98"/>
    <w:rsid w:val="00210A86"/>
    <w:rsid w:val="00210DF2"/>
    <w:rsid w:val="00213273"/>
    <w:rsid w:val="00213885"/>
    <w:rsid w:val="0021580D"/>
    <w:rsid w:val="00217C28"/>
    <w:rsid w:val="0022274F"/>
    <w:rsid w:val="00222A2D"/>
    <w:rsid w:val="00223029"/>
    <w:rsid w:val="00233D9A"/>
    <w:rsid w:val="00234745"/>
    <w:rsid w:val="00235D1E"/>
    <w:rsid w:val="002407AF"/>
    <w:rsid w:val="00240833"/>
    <w:rsid w:val="00242FDE"/>
    <w:rsid w:val="00246E0A"/>
    <w:rsid w:val="00251542"/>
    <w:rsid w:val="00251B6F"/>
    <w:rsid w:val="00257BB2"/>
    <w:rsid w:val="00261C9E"/>
    <w:rsid w:val="0026684B"/>
    <w:rsid w:val="00267C8A"/>
    <w:rsid w:val="0027466B"/>
    <w:rsid w:val="002749C5"/>
    <w:rsid w:val="002810A7"/>
    <w:rsid w:val="00281D74"/>
    <w:rsid w:val="00282CE8"/>
    <w:rsid w:val="002838A5"/>
    <w:rsid w:val="00283E93"/>
    <w:rsid w:val="00285BB4"/>
    <w:rsid w:val="00285CCF"/>
    <w:rsid w:val="00286A27"/>
    <w:rsid w:val="002A0427"/>
    <w:rsid w:val="002B013B"/>
    <w:rsid w:val="002B0251"/>
    <w:rsid w:val="002B16B9"/>
    <w:rsid w:val="002C09E3"/>
    <w:rsid w:val="002C1265"/>
    <w:rsid w:val="002C61D7"/>
    <w:rsid w:val="002C7285"/>
    <w:rsid w:val="002D03A7"/>
    <w:rsid w:val="002D5C29"/>
    <w:rsid w:val="002E5859"/>
    <w:rsid w:val="002E6755"/>
    <w:rsid w:val="002F0D44"/>
    <w:rsid w:val="002F175B"/>
    <w:rsid w:val="002F283E"/>
    <w:rsid w:val="002F363D"/>
    <w:rsid w:val="002F5994"/>
    <w:rsid w:val="002F7AFB"/>
    <w:rsid w:val="002F7F54"/>
    <w:rsid w:val="003006FE"/>
    <w:rsid w:val="0030444F"/>
    <w:rsid w:val="00304986"/>
    <w:rsid w:val="00305564"/>
    <w:rsid w:val="00310B20"/>
    <w:rsid w:val="00310E10"/>
    <w:rsid w:val="00315F7C"/>
    <w:rsid w:val="00316CCB"/>
    <w:rsid w:val="0031746E"/>
    <w:rsid w:val="0032100F"/>
    <w:rsid w:val="0032638E"/>
    <w:rsid w:val="003277CE"/>
    <w:rsid w:val="0033050C"/>
    <w:rsid w:val="00331CBB"/>
    <w:rsid w:val="00334D91"/>
    <w:rsid w:val="0033515B"/>
    <w:rsid w:val="0034072B"/>
    <w:rsid w:val="00340E07"/>
    <w:rsid w:val="00342D17"/>
    <w:rsid w:val="00342E28"/>
    <w:rsid w:val="00344B58"/>
    <w:rsid w:val="00345CB4"/>
    <w:rsid w:val="00350080"/>
    <w:rsid w:val="00353BFA"/>
    <w:rsid w:val="00357ABE"/>
    <w:rsid w:val="00364052"/>
    <w:rsid w:val="00364492"/>
    <w:rsid w:val="00373861"/>
    <w:rsid w:val="003758EA"/>
    <w:rsid w:val="0037592C"/>
    <w:rsid w:val="00375D42"/>
    <w:rsid w:val="003774E5"/>
    <w:rsid w:val="00385066"/>
    <w:rsid w:val="00392D30"/>
    <w:rsid w:val="0039320E"/>
    <w:rsid w:val="00394239"/>
    <w:rsid w:val="00396D86"/>
    <w:rsid w:val="003972D9"/>
    <w:rsid w:val="003A29B2"/>
    <w:rsid w:val="003A3114"/>
    <w:rsid w:val="003A3A61"/>
    <w:rsid w:val="003A3C7E"/>
    <w:rsid w:val="003A68F5"/>
    <w:rsid w:val="003A6EC6"/>
    <w:rsid w:val="003A7B01"/>
    <w:rsid w:val="003B1562"/>
    <w:rsid w:val="003B4563"/>
    <w:rsid w:val="003B51C0"/>
    <w:rsid w:val="003B664F"/>
    <w:rsid w:val="003B76AE"/>
    <w:rsid w:val="003C06A4"/>
    <w:rsid w:val="003C13FD"/>
    <w:rsid w:val="003C1A1C"/>
    <w:rsid w:val="003C20E2"/>
    <w:rsid w:val="003C2E2E"/>
    <w:rsid w:val="003C5C8F"/>
    <w:rsid w:val="003C7975"/>
    <w:rsid w:val="003D069C"/>
    <w:rsid w:val="003D12B5"/>
    <w:rsid w:val="003D1593"/>
    <w:rsid w:val="003D2477"/>
    <w:rsid w:val="003D7646"/>
    <w:rsid w:val="003E199B"/>
    <w:rsid w:val="003E20BB"/>
    <w:rsid w:val="003E347B"/>
    <w:rsid w:val="003E5373"/>
    <w:rsid w:val="003E67E0"/>
    <w:rsid w:val="003F113A"/>
    <w:rsid w:val="003F1A2D"/>
    <w:rsid w:val="003F1D48"/>
    <w:rsid w:val="003F238A"/>
    <w:rsid w:val="003F3E63"/>
    <w:rsid w:val="003F77D7"/>
    <w:rsid w:val="003F77FF"/>
    <w:rsid w:val="00401FDE"/>
    <w:rsid w:val="00407480"/>
    <w:rsid w:val="00407C71"/>
    <w:rsid w:val="0041162A"/>
    <w:rsid w:val="004123A3"/>
    <w:rsid w:val="00412AFB"/>
    <w:rsid w:val="004132AA"/>
    <w:rsid w:val="00414643"/>
    <w:rsid w:val="00415F4F"/>
    <w:rsid w:val="00416AAC"/>
    <w:rsid w:val="00422D9F"/>
    <w:rsid w:val="00423A2F"/>
    <w:rsid w:val="00423D33"/>
    <w:rsid w:val="00430FB2"/>
    <w:rsid w:val="0043160E"/>
    <w:rsid w:val="00434E6B"/>
    <w:rsid w:val="00441FE1"/>
    <w:rsid w:val="004421E5"/>
    <w:rsid w:val="00443099"/>
    <w:rsid w:val="0044796A"/>
    <w:rsid w:val="00451B6E"/>
    <w:rsid w:val="00452284"/>
    <w:rsid w:val="004528F9"/>
    <w:rsid w:val="00452B0E"/>
    <w:rsid w:val="004562B3"/>
    <w:rsid w:val="00456731"/>
    <w:rsid w:val="00457C8E"/>
    <w:rsid w:val="00462B9E"/>
    <w:rsid w:val="0046331B"/>
    <w:rsid w:val="00464CFE"/>
    <w:rsid w:val="004652E3"/>
    <w:rsid w:val="00465D94"/>
    <w:rsid w:val="004660FD"/>
    <w:rsid w:val="00467340"/>
    <w:rsid w:val="00471F54"/>
    <w:rsid w:val="00473C13"/>
    <w:rsid w:val="00484AFA"/>
    <w:rsid w:val="00484E0F"/>
    <w:rsid w:val="004856CA"/>
    <w:rsid w:val="004863FE"/>
    <w:rsid w:val="00487E67"/>
    <w:rsid w:val="00491F2A"/>
    <w:rsid w:val="0049290C"/>
    <w:rsid w:val="0049498B"/>
    <w:rsid w:val="00495239"/>
    <w:rsid w:val="00496A19"/>
    <w:rsid w:val="0049705E"/>
    <w:rsid w:val="004A34A0"/>
    <w:rsid w:val="004A3CDB"/>
    <w:rsid w:val="004A548C"/>
    <w:rsid w:val="004A69F1"/>
    <w:rsid w:val="004A6E00"/>
    <w:rsid w:val="004B04E9"/>
    <w:rsid w:val="004B24D0"/>
    <w:rsid w:val="004B3706"/>
    <w:rsid w:val="004B47C3"/>
    <w:rsid w:val="004B5D2A"/>
    <w:rsid w:val="004C030C"/>
    <w:rsid w:val="004C2611"/>
    <w:rsid w:val="004C464B"/>
    <w:rsid w:val="004C720B"/>
    <w:rsid w:val="004D0C87"/>
    <w:rsid w:val="004D29E0"/>
    <w:rsid w:val="004D3D08"/>
    <w:rsid w:val="004D4BCD"/>
    <w:rsid w:val="004D65B0"/>
    <w:rsid w:val="004E3497"/>
    <w:rsid w:val="004E355A"/>
    <w:rsid w:val="004F250E"/>
    <w:rsid w:val="004F4451"/>
    <w:rsid w:val="004F5AD9"/>
    <w:rsid w:val="004F69A4"/>
    <w:rsid w:val="005008A8"/>
    <w:rsid w:val="00502207"/>
    <w:rsid w:val="00502B9E"/>
    <w:rsid w:val="00505C8A"/>
    <w:rsid w:val="00510674"/>
    <w:rsid w:val="0051576E"/>
    <w:rsid w:val="00524579"/>
    <w:rsid w:val="00524C74"/>
    <w:rsid w:val="00525F2A"/>
    <w:rsid w:val="00526B7B"/>
    <w:rsid w:val="00526EAE"/>
    <w:rsid w:val="005274E0"/>
    <w:rsid w:val="005308CE"/>
    <w:rsid w:val="00530C4B"/>
    <w:rsid w:val="00531E84"/>
    <w:rsid w:val="0054530B"/>
    <w:rsid w:val="00545847"/>
    <w:rsid w:val="00547439"/>
    <w:rsid w:val="005526F9"/>
    <w:rsid w:val="005543E8"/>
    <w:rsid w:val="00555701"/>
    <w:rsid w:val="005563A5"/>
    <w:rsid w:val="00560A5A"/>
    <w:rsid w:val="00560FA0"/>
    <w:rsid w:val="005619B2"/>
    <w:rsid w:val="00562523"/>
    <w:rsid w:val="00562DC9"/>
    <w:rsid w:val="00566A6C"/>
    <w:rsid w:val="00567222"/>
    <w:rsid w:val="0057058C"/>
    <w:rsid w:val="0057439C"/>
    <w:rsid w:val="005745D8"/>
    <w:rsid w:val="005756E5"/>
    <w:rsid w:val="005771E7"/>
    <w:rsid w:val="00580B48"/>
    <w:rsid w:val="005813BE"/>
    <w:rsid w:val="00590D24"/>
    <w:rsid w:val="00592521"/>
    <w:rsid w:val="0059328E"/>
    <w:rsid w:val="00593C35"/>
    <w:rsid w:val="00594FE8"/>
    <w:rsid w:val="005A050A"/>
    <w:rsid w:val="005A54F8"/>
    <w:rsid w:val="005B0127"/>
    <w:rsid w:val="005B24C1"/>
    <w:rsid w:val="005B663B"/>
    <w:rsid w:val="005B7A35"/>
    <w:rsid w:val="005C2E95"/>
    <w:rsid w:val="005C3833"/>
    <w:rsid w:val="005C38F1"/>
    <w:rsid w:val="005C4B73"/>
    <w:rsid w:val="005C6752"/>
    <w:rsid w:val="005C7BD8"/>
    <w:rsid w:val="005D229E"/>
    <w:rsid w:val="005D4CDD"/>
    <w:rsid w:val="005D6603"/>
    <w:rsid w:val="005D72F7"/>
    <w:rsid w:val="005E1D2B"/>
    <w:rsid w:val="005E3BB5"/>
    <w:rsid w:val="005E3FCA"/>
    <w:rsid w:val="005E706E"/>
    <w:rsid w:val="005E7074"/>
    <w:rsid w:val="005E7872"/>
    <w:rsid w:val="005F01D4"/>
    <w:rsid w:val="005F1373"/>
    <w:rsid w:val="005F16D1"/>
    <w:rsid w:val="005F24B0"/>
    <w:rsid w:val="005F2BAF"/>
    <w:rsid w:val="005F3310"/>
    <w:rsid w:val="005F7CB2"/>
    <w:rsid w:val="00600D93"/>
    <w:rsid w:val="00602C96"/>
    <w:rsid w:val="00604676"/>
    <w:rsid w:val="00606161"/>
    <w:rsid w:val="00613A5E"/>
    <w:rsid w:val="00614FA8"/>
    <w:rsid w:val="00622D78"/>
    <w:rsid w:val="00622F60"/>
    <w:rsid w:val="00623D79"/>
    <w:rsid w:val="00624E26"/>
    <w:rsid w:val="00624EBA"/>
    <w:rsid w:val="00625E96"/>
    <w:rsid w:val="00627EF9"/>
    <w:rsid w:val="00631B64"/>
    <w:rsid w:val="006320FA"/>
    <w:rsid w:val="0063300C"/>
    <w:rsid w:val="006376AF"/>
    <w:rsid w:val="006408A8"/>
    <w:rsid w:val="006429C4"/>
    <w:rsid w:val="0064304A"/>
    <w:rsid w:val="006454F3"/>
    <w:rsid w:val="00645E7F"/>
    <w:rsid w:val="0064666F"/>
    <w:rsid w:val="006514DA"/>
    <w:rsid w:val="00655435"/>
    <w:rsid w:val="00655736"/>
    <w:rsid w:val="00663B8D"/>
    <w:rsid w:val="00664588"/>
    <w:rsid w:val="00664F13"/>
    <w:rsid w:val="006671C0"/>
    <w:rsid w:val="00670C3E"/>
    <w:rsid w:val="00670DC3"/>
    <w:rsid w:val="006717E4"/>
    <w:rsid w:val="006722E8"/>
    <w:rsid w:val="00672763"/>
    <w:rsid w:val="006808EB"/>
    <w:rsid w:val="00682B9D"/>
    <w:rsid w:val="00683FEE"/>
    <w:rsid w:val="006855EB"/>
    <w:rsid w:val="00687019"/>
    <w:rsid w:val="00690C2E"/>
    <w:rsid w:val="006937FD"/>
    <w:rsid w:val="00696C8D"/>
    <w:rsid w:val="006A0994"/>
    <w:rsid w:val="006A0A33"/>
    <w:rsid w:val="006A0FDF"/>
    <w:rsid w:val="006A2AC2"/>
    <w:rsid w:val="006A3617"/>
    <w:rsid w:val="006A3A70"/>
    <w:rsid w:val="006A51C2"/>
    <w:rsid w:val="006A5F1E"/>
    <w:rsid w:val="006A6032"/>
    <w:rsid w:val="006B0AD9"/>
    <w:rsid w:val="006B1D0F"/>
    <w:rsid w:val="006C0EF1"/>
    <w:rsid w:val="006C1FC0"/>
    <w:rsid w:val="006C5F2C"/>
    <w:rsid w:val="006C7EE5"/>
    <w:rsid w:val="006D3D83"/>
    <w:rsid w:val="006D3DD0"/>
    <w:rsid w:val="006D52FA"/>
    <w:rsid w:val="006D60C3"/>
    <w:rsid w:val="006D7FCD"/>
    <w:rsid w:val="006E2DF6"/>
    <w:rsid w:val="006E46E4"/>
    <w:rsid w:val="006E7962"/>
    <w:rsid w:val="006F2D5B"/>
    <w:rsid w:val="006F62E4"/>
    <w:rsid w:val="006F79C8"/>
    <w:rsid w:val="006F7D20"/>
    <w:rsid w:val="00701DDC"/>
    <w:rsid w:val="00704551"/>
    <w:rsid w:val="007049B4"/>
    <w:rsid w:val="007054D1"/>
    <w:rsid w:val="00707531"/>
    <w:rsid w:val="007169FF"/>
    <w:rsid w:val="00717DA5"/>
    <w:rsid w:val="00723ABC"/>
    <w:rsid w:val="00725503"/>
    <w:rsid w:val="00727689"/>
    <w:rsid w:val="007307C6"/>
    <w:rsid w:val="00731C06"/>
    <w:rsid w:val="00732E13"/>
    <w:rsid w:val="00734570"/>
    <w:rsid w:val="00734984"/>
    <w:rsid w:val="00737DFD"/>
    <w:rsid w:val="00744484"/>
    <w:rsid w:val="00747566"/>
    <w:rsid w:val="00754D9F"/>
    <w:rsid w:val="00755B0F"/>
    <w:rsid w:val="00756644"/>
    <w:rsid w:val="007577B6"/>
    <w:rsid w:val="007605FA"/>
    <w:rsid w:val="00766291"/>
    <w:rsid w:val="007729FF"/>
    <w:rsid w:val="00773188"/>
    <w:rsid w:val="007736E0"/>
    <w:rsid w:val="00774268"/>
    <w:rsid w:val="00783782"/>
    <w:rsid w:val="00784B8C"/>
    <w:rsid w:val="0078594A"/>
    <w:rsid w:val="00786729"/>
    <w:rsid w:val="007879E1"/>
    <w:rsid w:val="00791943"/>
    <w:rsid w:val="007944FC"/>
    <w:rsid w:val="00796BD3"/>
    <w:rsid w:val="007976D4"/>
    <w:rsid w:val="007A3F67"/>
    <w:rsid w:val="007A5BED"/>
    <w:rsid w:val="007B07E9"/>
    <w:rsid w:val="007B33D7"/>
    <w:rsid w:val="007B3802"/>
    <w:rsid w:val="007B41C8"/>
    <w:rsid w:val="007B61A5"/>
    <w:rsid w:val="007C035C"/>
    <w:rsid w:val="007C4BBD"/>
    <w:rsid w:val="007C5A77"/>
    <w:rsid w:val="007C5CA9"/>
    <w:rsid w:val="007C5DBA"/>
    <w:rsid w:val="007C7A03"/>
    <w:rsid w:val="007D04DD"/>
    <w:rsid w:val="007D3D24"/>
    <w:rsid w:val="007D450F"/>
    <w:rsid w:val="007D5F20"/>
    <w:rsid w:val="007E0786"/>
    <w:rsid w:val="007E279C"/>
    <w:rsid w:val="007E32A1"/>
    <w:rsid w:val="007E5106"/>
    <w:rsid w:val="007E5202"/>
    <w:rsid w:val="007F0F34"/>
    <w:rsid w:val="007F3B6E"/>
    <w:rsid w:val="007F424A"/>
    <w:rsid w:val="007F49DB"/>
    <w:rsid w:val="007F76CB"/>
    <w:rsid w:val="008103BA"/>
    <w:rsid w:val="008105A5"/>
    <w:rsid w:val="00810CC0"/>
    <w:rsid w:val="00812A0A"/>
    <w:rsid w:val="00823A11"/>
    <w:rsid w:val="008250C6"/>
    <w:rsid w:val="00825F36"/>
    <w:rsid w:val="00826FE8"/>
    <w:rsid w:val="00830DA2"/>
    <w:rsid w:val="00830DE1"/>
    <w:rsid w:val="008346A6"/>
    <w:rsid w:val="00841512"/>
    <w:rsid w:val="00842051"/>
    <w:rsid w:val="00842D1A"/>
    <w:rsid w:val="0084376D"/>
    <w:rsid w:val="00852FB3"/>
    <w:rsid w:val="008539E2"/>
    <w:rsid w:val="00853D6F"/>
    <w:rsid w:val="0085405E"/>
    <w:rsid w:val="008540C8"/>
    <w:rsid w:val="0085414A"/>
    <w:rsid w:val="008552F1"/>
    <w:rsid w:val="00861A16"/>
    <w:rsid w:val="0086269D"/>
    <w:rsid w:val="0086543A"/>
    <w:rsid w:val="0086689B"/>
    <w:rsid w:val="008673A0"/>
    <w:rsid w:val="008724E5"/>
    <w:rsid w:val="008737BF"/>
    <w:rsid w:val="00876EB0"/>
    <w:rsid w:val="00881E0F"/>
    <w:rsid w:val="00882DAE"/>
    <w:rsid w:val="00882EA1"/>
    <w:rsid w:val="00884A9D"/>
    <w:rsid w:val="0088512B"/>
    <w:rsid w:val="00894D80"/>
    <w:rsid w:val="008969C8"/>
    <w:rsid w:val="00897CF5"/>
    <w:rsid w:val="008A057C"/>
    <w:rsid w:val="008A2B2D"/>
    <w:rsid w:val="008A4E1E"/>
    <w:rsid w:val="008A6593"/>
    <w:rsid w:val="008B1EFF"/>
    <w:rsid w:val="008B6927"/>
    <w:rsid w:val="008C003B"/>
    <w:rsid w:val="008C0057"/>
    <w:rsid w:val="008C296C"/>
    <w:rsid w:val="008C3A0D"/>
    <w:rsid w:val="008C462B"/>
    <w:rsid w:val="008C5A86"/>
    <w:rsid w:val="008C684B"/>
    <w:rsid w:val="008C6950"/>
    <w:rsid w:val="008D2806"/>
    <w:rsid w:val="008D4305"/>
    <w:rsid w:val="008D61A1"/>
    <w:rsid w:val="008D6B8A"/>
    <w:rsid w:val="008E112E"/>
    <w:rsid w:val="008E1A85"/>
    <w:rsid w:val="008E2600"/>
    <w:rsid w:val="008E5E9A"/>
    <w:rsid w:val="008E6F80"/>
    <w:rsid w:val="008E724D"/>
    <w:rsid w:val="008E77E1"/>
    <w:rsid w:val="008E7832"/>
    <w:rsid w:val="008F21F7"/>
    <w:rsid w:val="008F7E7B"/>
    <w:rsid w:val="0090044D"/>
    <w:rsid w:val="009020AA"/>
    <w:rsid w:val="00906482"/>
    <w:rsid w:val="00907D3B"/>
    <w:rsid w:val="009126F0"/>
    <w:rsid w:val="009136C6"/>
    <w:rsid w:val="009163A7"/>
    <w:rsid w:val="0093365E"/>
    <w:rsid w:val="00934549"/>
    <w:rsid w:val="00940A2D"/>
    <w:rsid w:val="00942E3A"/>
    <w:rsid w:val="009444C9"/>
    <w:rsid w:val="0094465E"/>
    <w:rsid w:val="00945534"/>
    <w:rsid w:val="00946597"/>
    <w:rsid w:val="009467E7"/>
    <w:rsid w:val="00946D0B"/>
    <w:rsid w:val="009505EF"/>
    <w:rsid w:val="00955877"/>
    <w:rsid w:val="00961B14"/>
    <w:rsid w:val="00963A19"/>
    <w:rsid w:val="00964A2A"/>
    <w:rsid w:val="00965CE0"/>
    <w:rsid w:val="009678CD"/>
    <w:rsid w:val="00967F3D"/>
    <w:rsid w:val="00970C61"/>
    <w:rsid w:val="00976FC5"/>
    <w:rsid w:val="009775BF"/>
    <w:rsid w:val="00977B77"/>
    <w:rsid w:val="0098007C"/>
    <w:rsid w:val="00982C37"/>
    <w:rsid w:val="0098372B"/>
    <w:rsid w:val="00983862"/>
    <w:rsid w:val="00991802"/>
    <w:rsid w:val="00994DC2"/>
    <w:rsid w:val="00996416"/>
    <w:rsid w:val="009A0313"/>
    <w:rsid w:val="009A18CD"/>
    <w:rsid w:val="009A1E0E"/>
    <w:rsid w:val="009A3C4D"/>
    <w:rsid w:val="009A5EAA"/>
    <w:rsid w:val="009A7994"/>
    <w:rsid w:val="009B04D6"/>
    <w:rsid w:val="009B0D36"/>
    <w:rsid w:val="009B1A47"/>
    <w:rsid w:val="009B2031"/>
    <w:rsid w:val="009B5B8E"/>
    <w:rsid w:val="009B5DAC"/>
    <w:rsid w:val="009C0BF7"/>
    <w:rsid w:val="009C2564"/>
    <w:rsid w:val="009C2601"/>
    <w:rsid w:val="009C74EA"/>
    <w:rsid w:val="009D02DE"/>
    <w:rsid w:val="009D27E9"/>
    <w:rsid w:val="009D5428"/>
    <w:rsid w:val="009D6ECA"/>
    <w:rsid w:val="009F1F16"/>
    <w:rsid w:val="009F436D"/>
    <w:rsid w:val="009F7180"/>
    <w:rsid w:val="00A009C8"/>
    <w:rsid w:val="00A1044B"/>
    <w:rsid w:val="00A10872"/>
    <w:rsid w:val="00A10AA6"/>
    <w:rsid w:val="00A11871"/>
    <w:rsid w:val="00A12558"/>
    <w:rsid w:val="00A13903"/>
    <w:rsid w:val="00A13C18"/>
    <w:rsid w:val="00A1492B"/>
    <w:rsid w:val="00A14DE5"/>
    <w:rsid w:val="00A157D1"/>
    <w:rsid w:val="00A1735E"/>
    <w:rsid w:val="00A22630"/>
    <w:rsid w:val="00A226E6"/>
    <w:rsid w:val="00A23C98"/>
    <w:rsid w:val="00A2614A"/>
    <w:rsid w:val="00A34ED5"/>
    <w:rsid w:val="00A379BE"/>
    <w:rsid w:val="00A405C0"/>
    <w:rsid w:val="00A45DBF"/>
    <w:rsid w:val="00A460CA"/>
    <w:rsid w:val="00A46EA6"/>
    <w:rsid w:val="00A5064C"/>
    <w:rsid w:val="00A516C0"/>
    <w:rsid w:val="00A53C89"/>
    <w:rsid w:val="00A54DE6"/>
    <w:rsid w:val="00A55D6E"/>
    <w:rsid w:val="00A573D8"/>
    <w:rsid w:val="00A57444"/>
    <w:rsid w:val="00A619AB"/>
    <w:rsid w:val="00A62574"/>
    <w:rsid w:val="00A720E1"/>
    <w:rsid w:val="00A73556"/>
    <w:rsid w:val="00A73684"/>
    <w:rsid w:val="00A739A9"/>
    <w:rsid w:val="00A74D6C"/>
    <w:rsid w:val="00A7512D"/>
    <w:rsid w:val="00A755A2"/>
    <w:rsid w:val="00A77F82"/>
    <w:rsid w:val="00A90929"/>
    <w:rsid w:val="00A936F9"/>
    <w:rsid w:val="00A957C5"/>
    <w:rsid w:val="00AA36AE"/>
    <w:rsid w:val="00AA5528"/>
    <w:rsid w:val="00AA6660"/>
    <w:rsid w:val="00AA6850"/>
    <w:rsid w:val="00AB04D2"/>
    <w:rsid w:val="00AB2C36"/>
    <w:rsid w:val="00AB42FF"/>
    <w:rsid w:val="00AB46CB"/>
    <w:rsid w:val="00AB6DDE"/>
    <w:rsid w:val="00AB70B6"/>
    <w:rsid w:val="00AC0598"/>
    <w:rsid w:val="00AC2E44"/>
    <w:rsid w:val="00AC5CA1"/>
    <w:rsid w:val="00AD1A86"/>
    <w:rsid w:val="00AD2D7D"/>
    <w:rsid w:val="00AD4DC2"/>
    <w:rsid w:val="00AE0638"/>
    <w:rsid w:val="00AE103E"/>
    <w:rsid w:val="00AE39D2"/>
    <w:rsid w:val="00AE4967"/>
    <w:rsid w:val="00AE78A0"/>
    <w:rsid w:val="00AF0A07"/>
    <w:rsid w:val="00AF1F1E"/>
    <w:rsid w:val="00AF29D4"/>
    <w:rsid w:val="00AF4AEC"/>
    <w:rsid w:val="00AF57D9"/>
    <w:rsid w:val="00AF625E"/>
    <w:rsid w:val="00AF6EF6"/>
    <w:rsid w:val="00B007FF"/>
    <w:rsid w:val="00B00D9A"/>
    <w:rsid w:val="00B04E85"/>
    <w:rsid w:val="00B056F0"/>
    <w:rsid w:val="00B11C66"/>
    <w:rsid w:val="00B12010"/>
    <w:rsid w:val="00B1315D"/>
    <w:rsid w:val="00B152BF"/>
    <w:rsid w:val="00B159C9"/>
    <w:rsid w:val="00B26464"/>
    <w:rsid w:val="00B31571"/>
    <w:rsid w:val="00B32D1E"/>
    <w:rsid w:val="00B32E30"/>
    <w:rsid w:val="00B35C91"/>
    <w:rsid w:val="00B470CA"/>
    <w:rsid w:val="00B47300"/>
    <w:rsid w:val="00B507BC"/>
    <w:rsid w:val="00B52891"/>
    <w:rsid w:val="00B52FCF"/>
    <w:rsid w:val="00B53A3D"/>
    <w:rsid w:val="00B5433F"/>
    <w:rsid w:val="00B55CED"/>
    <w:rsid w:val="00B61885"/>
    <w:rsid w:val="00B63BFE"/>
    <w:rsid w:val="00B77FFB"/>
    <w:rsid w:val="00B834E4"/>
    <w:rsid w:val="00B84606"/>
    <w:rsid w:val="00B84C09"/>
    <w:rsid w:val="00B95B3A"/>
    <w:rsid w:val="00BA24AA"/>
    <w:rsid w:val="00BA522B"/>
    <w:rsid w:val="00BA6D29"/>
    <w:rsid w:val="00BB04AF"/>
    <w:rsid w:val="00BB3419"/>
    <w:rsid w:val="00BB5955"/>
    <w:rsid w:val="00BB5EE0"/>
    <w:rsid w:val="00BB5F55"/>
    <w:rsid w:val="00BB776F"/>
    <w:rsid w:val="00BC2BEC"/>
    <w:rsid w:val="00BC5E22"/>
    <w:rsid w:val="00BC6B74"/>
    <w:rsid w:val="00BD2324"/>
    <w:rsid w:val="00BD2C9D"/>
    <w:rsid w:val="00BD2CA0"/>
    <w:rsid w:val="00BD4F95"/>
    <w:rsid w:val="00BD52C9"/>
    <w:rsid w:val="00BE077B"/>
    <w:rsid w:val="00BE1862"/>
    <w:rsid w:val="00BE6354"/>
    <w:rsid w:val="00BF7862"/>
    <w:rsid w:val="00C01C46"/>
    <w:rsid w:val="00C02163"/>
    <w:rsid w:val="00C04185"/>
    <w:rsid w:val="00C044BB"/>
    <w:rsid w:val="00C107CD"/>
    <w:rsid w:val="00C138D1"/>
    <w:rsid w:val="00C16B41"/>
    <w:rsid w:val="00C2282C"/>
    <w:rsid w:val="00C235C1"/>
    <w:rsid w:val="00C23894"/>
    <w:rsid w:val="00C23A97"/>
    <w:rsid w:val="00C23C45"/>
    <w:rsid w:val="00C258FC"/>
    <w:rsid w:val="00C26996"/>
    <w:rsid w:val="00C30B14"/>
    <w:rsid w:val="00C320E6"/>
    <w:rsid w:val="00C33BD2"/>
    <w:rsid w:val="00C352E9"/>
    <w:rsid w:val="00C421B8"/>
    <w:rsid w:val="00C43B04"/>
    <w:rsid w:val="00C44E3C"/>
    <w:rsid w:val="00C45015"/>
    <w:rsid w:val="00C5550E"/>
    <w:rsid w:val="00C56B0C"/>
    <w:rsid w:val="00C61628"/>
    <w:rsid w:val="00C61B57"/>
    <w:rsid w:val="00C63C67"/>
    <w:rsid w:val="00C64855"/>
    <w:rsid w:val="00C70EA7"/>
    <w:rsid w:val="00C71DA8"/>
    <w:rsid w:val="00C74749"/>
    <w:rsid w:val="00C74AA8"/>
    <w:rsid w:val="00C7516E"/>
    <w:rsid w:val="00C75770"/>
    <w:rsid w:val="00C829C2"/>
    <w:rsid w:val="00C84E4F"/>
    <w:rsid w:val="00C852FB"/>
    <w:rsid w:val="00C91B87"/>
    <w:rsid w:val="00C92BFD"/>
    <w:rsid w:val="00C93D96"/>
    <w:rsid w:val="00C97651"/>
    <w:rsid w:val="00C97AF7"/>
    <w:rsid w:val="00CA28DC"/>
    <w:rsid w:val="00CA4AE8"/>
    <w:rsid w:val="00CA56BB"/>
    <w:rsid w:val="00CA65FC"/>
    <w:rsid w:val="00CA72B0"/>
    <w:rsid w:val="00CB0542"/>
    <w:rsid w:val="00CB43C9"/>
    <w:rsid w:val="00CB4943"/>
    <w:rsid w:val="00CB4A29"/>
    <w:rsid w:val="00CC0E12"/>
    <w:rsid w:val="00CC1992"/>
    <w:rsid w:val="00CC1BB8"/>
    <w:rsid w:val="00CC1F41"/>
    <w:rsid w:val="00CC3B58"/>
    <w:rsid w:val="00CC6A05"/>
    <w:rsid w:val="00CC79E5"/>
    <w:rsid w:val="00CD123B"/>
    <w:rsid w:val="00CD1899"/>
    <w:rsid w:val="00CD4499"/>
    <w:rsid w:val="00CD540F"/>
    <w:rsid w:val="00CD6314"/>
    <w:rsid w:val="00CE25BD"/>
    <w:rsid w:val="00CE61DD"/>
    <w:rsid w:val="00CE64BF"/>
    <w:rsid w:val="00CE78C9"/>
    <w:rsid w:val="00CF0596"/>
    <w:rsid w:val="00CF17DB"/>
    <w:rsid w:val="00CF1F94"/>
    <w:rsid w:val="00CF678B"/>
    <w:rsid w:val="00D00B2B"/>
    <w:rsid w:val="00D051D8"/>
    <w:rsid w:val="00D12A35"/>
    <w:rsid w:val="00D24877"/>
    <w:rsid w:val="00D25FF7"/>
    <w:rsid w:val="00D3625D"/>
    <w:rsid w:val="00D37DDC"/>
    <w:rsid w:val="00D40005"/>
    <w:rsid w:val="00D445AC"/>
    <w:rsid w:val="00D46EA3"/>
    <w:rsid w:val="00D64601"/>
    <w:rsid w:val="00D67974"/>
    <w:rsid w:val="00D67F63"/>
    <w:rsid w:val="00D70421"/>
    <w:rsid w:val="00D71D21"/>
    <w:rsid w:val="00D73717"/>
    <w:rsid w:val="00D745B9"/>
    <w:rsid w:val="00D76393"/>
    <w:rsid w:val="00D80CD8"/>
    <w:rsid w:val="00D8250F"/>
    <w:rsid w:val="00D8390E"/>
    <w:rsid w:val="00D84425"/>
    <w:rsid w:val="00D90428"/>
    <w:rsid w:val="00D9195D"/>
    <w:rsid w:val="00D92F2A"/>
    <w:rsid w:val="00D95AE2"/>
    <w:rsid w:val="00D95C4C"/>
    <w:rsid w:val="00DA30A9"/>
    <w:rsid w:val="00DA30F3"/>
    <w:rsid w:val="00DA36ED"/>
    <w:rsid w:val="00DA3BBD"/>
    <w:rsid w:val="00DA49F7"/>
    <w:rsid w:val="00DA518C"/>
    <w:rsid w:val="00DA59F5"/>
    <w:rsid w:val="00DA6982"/>
    <w:rsid w:val="00DB1367"/>
    <w:rsid w:val="00DB167A"/>
    <w:rsid w:val="00DB2021"/>
    <w:rsid w:val="00DB6F0C"/>
    <w:rsid w:val="00DC2D8A"/>
    <w:rsid w:val="00DC458B"/>
    <w:rsid w:val="00DD5889"/>
    <w:rsid w:val="00DD6576"/>
    <w:rsid w:val="00DE0899"/>
    <w:rsid w:val="00DE199F"/>
    <w:rsid w:val="00DE2061"/>
    <w:rsid w:val="00DE33B5"/>
    <w:rsid w:val="00DE34F1"/>
    <w:rsid w:val="00DE6160"/>
    <w:rsid w:val="00DE7548"/>
    <w:rsid w:val="00DE7D01"/>
    <w:rsid w:val="00DF10C5"/>
    <w:rsid w:val="00DF336C"/>
    <w:rsid w:val="00DF4942"/>
    <w:rsid w:val="00DF7006"/>
    <w:rsid w:val="00E0054C"/>
    <w:rsid w:val="00E00893"/>
    <w:rsid w:val="00E00C73"/>
    <w:rsid w:val="00E03F77"/>
    <w:rsid w:val="00E1075E"/>
    <w:rsid w:val="00E141C2"/>
    <w:rsid w:val="00E17629"/>
    <w:rsid w:val="00E17A02"/>
    <w:rsid w:val="00E217A7"/>
    <w:rsid w:val="00E21E28"/>
    <w:rsid w:val="00E244E1"/>
    <w:rsid w:val="00E270B4"/>
    <w:rsid w:val="00E314F8"/>
    <w:rsid w:val="00E333A3"/>
    <w:rsid w:val="00E34183"/>
    <w:rsid w:val="00E364A9"/>
    <w:rsid w:val="00E40F3C"/>
    <w:rsid w:val="00E42717"/>
    <w:rsid w:val="00E45D47"/>
    <w:rsid w:val="00E46833"/>
    <w:rsid w:val="00E47BA1"/>
    <w:rsid w:val="00E51119"/>
    <w:rsid w:val="00E62554"/>
    <w:rsid w:val="00E627B1"/>
    <w:rsid w:val="00E657B1"/>
    <w:rsid w:val="00E70169"/>
    <w:rsid w:val="00E708B2"/>
    <w:rsid w:val="00E74893"/>
    <w:rsid w:val="00E755E0"/>
    <w:rsid w:val="00E7636C"/>
    <w:rsid w:val="00E768E0"/>
    <w:rsid w:val="00E83A1E"/>
    <w:rsid w:val="00E84F98"/>
    <w:rsid w:val="00E87B11"/>
    <w:rsid w:val="00E91D45"/>
    <w:rsid w:val="00E92B69"/>
    <w:rsid w:val="00E92FD3"/>
    <w:rsid w:val="00E9376C"/>
    <w:rsid w:val="00E95E90"/>
    <w:rsid w:val="00EA169E"/>
    <w:rsid w:val="00EA233D"/>
    <w:rsid w:val="00EA2BC9"/>
    <w:rsid w:val="00EA335E"/>
    <w:rsid w:val="00EA528C"/>
    <w:rsid w:val="00EA580C"/>
    <w:rsid w:val="00EB1FFB"/>
    <w:rsid w:val="00EB55AB"/>
    <w:rsid w:val="00EC0EF1"/>
    <w:rsid w:val="00EC36FC"/>
    <w:rsid w:val="00EC6D7B"/>
    <w:rsid w:val="00EC6F8D"/>
    <w:rsid w:val="00EC75E2"/>
    <w:rsid w:val="00ED04CE"/>
    <w:rsid w:val="00ED0917"/>
    <w:rsid w:val="00ED0DDA"/>
    <w:rsid w:val="00ED1CED"/>
    <w:rsid w:val="00ED5FF1"/>
    <w:rsid w:val="00EE126D"/>
    <w:rsid w:val="00EE1BC1"/>
    <w:rsid w:val="00EE4DA9"/>
    <w:rsid w:val="00EE5AFD"/>
    <w:rsid w:val="00EE65F9"/>
    <w:rsid w:val="00EE7209"/>
    <w:rsid w:val="00EF34E2"/>
    <w:rsid w:val="00F03BD6"/>
    <w:rsid w:val="00F0753B"/>
    <w:rsid w:val="00F10670"/>
    <w:rsid w:val="00F10E37"/>
    <w:rsid w:val="00F1280B"/>
    <w:rsid w:val="00F12D64"/>
    <w:rsid w:val="00F135CD"/>
    <w:rsid w:val="00F14195"/>
    <w:rsid w:val="00F1575B"/>
    <w:rsid w:val="00F264FD"/>
    <w:rsid w:val="00F27459"/>
    <w:rsid w:val="00F30201"/>
    <w:rsid w:val="00F30DC6"/>
    <w:rsid w:val="00F32C23"/>
    <w:rsid w:val="00F344DF"/>
    <w:rsid w:val="00F37BFA"/>
    <w:rsid w:val="00F41FBC"/>
    <w:rsid w:val="00F4350E"/>
    <w:rsid w:val="00F53DE9"/>
    <w:rsid w:val="00F576CB"/>
    <w:rsid w:val="00F624EA"/>
    <w:rsid w:val="00F62698"/>
    <w:rsid w:val="00F667A7"/>
    <w:rsid w:val="00F7035D"/>
    <w:rsid w:val="00F71A02"/>
    <w:rsid w:val="00F71F1D"/>
    <w:rsid w:val="00F728B8"/>
    <w:rsid w:val="00F7394B"/>
    <w:rsid w:val="00F765C5"/>
    <w:rsid w:val="00F76987"/>
    <w:rsid w:val="00F806FC"/>
    <w:rsid w:val="00F80C92"/>
    <w:rsid w:val="00F86EDF"/>
    <w:rsid w:val="00F9494E"/>
    <w:rsid w:val="00F961DE"/>
    <w:rsid w:val="00F96B18"/>
    <w:rsid w:val="00FA02D6"/>
    <w:rsid w:val="00FA07E1"/>
    <w:rsid w:val="00FA0D63"/>
    <w:rsid w:val="00FA2879"/>
    <w:rsid w:val="00FA7FAD"/>
    <w:rsid w:val="00FB1D5A"/>
    <w:rsid w:val="00FB4A4D"/>
    <w:rsid w:val="00FB63E8"/>
    <w:rsid w:val="00FC0318"/>
    <w:rsid w:val="00FC5105"/>
    <w:rsid w:val="00FD110F"/>
    <w:rsid w:val="00FD1226"/>
    <w:rsid w:val="00FD790F"/>
    <w:rsid w:val="00FE1295"/>
    <w:rsid w:val="00FE3A07"/>
    <w:rsid w:val="00FE46E1"/>
    <w:rsid w:val="00FF3509"/>
    <w:rsid w:val="00FF402B"/>
    <w:rsid w:val="00FF4830"/>
    <w:rsid w:val="00FF6586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C907B38"/>
  <w15:docId w15:val="{985AC26B-76D5-4075-8BA3-953D9114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0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2282C"/>
    <w:pPr>
      <w:keepNext/>
      <w:keepLines/>
      <w:spacing w:before="40"/>
      <w:outlineLvl w:val="2"/>
    </w:pPr>
    <w:rPr>
      <w:rFonts w:ascii="Cambria" w:eastAsia="MS Gothic" w:hAnsi="Cambria"/>
      <w:color w:val="243F60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E42717"/>
    <w:pPr>
      <w:keepNext/>
      <w:keepLines/>
      <w:numPr>
        <w:numId w:val="3"/>
      </w:numPr>
      <w:tabs>
        <w:tab w:val="left" w:pos="567"/>
      </w:tabs>
      <w:snapToGrid w:val="0"/>
      <w:spacing w:before="360" w:after="120"/>
      <w:outlineLvl w:val="3"/>
    </w:pPr>
    <w:rPr>
      <w:rFonts w:ascii="Arial" w:hAnsi="Arial"/>
      <w:b/>
      <w:bCs/>
      <w:cap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E42717"/>
    <w:rPr>
      <w:rFonts w:ascii="Arial" w:eastAsia="Times New Roman" w:hAnsi="Arial"/>
      <w:b/>
      <w:bCs/>
      <w:cap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link w:val="MargeCh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1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COMPara">
    <w:name w:val="COM Para"/>
    <w:basedOn w:val="5GAparabodytext"/>
    <w:qFormat/>
    <w:rsid w:val="00A1044B"/>
    <w:pPr>
      <w:tabs>
        <w:tab w:val="left" w:pos="567"/>
      </w:tabs>
      <w:ind w:hanging="567"/>
    </w:p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2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Sansinterligne3">
    <w:name w:val="Sans interligne3"/>
    <w:uiPriority w:val="1"/>
    <w:qFormat/>
    <w:rsid w:val="00350080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Spacing">
    <w:name w:val="No Spacing"/>
    <w:uiPriority w:val="1"/>
    <w:qFormat/>
    <w:rsid w:val="00350080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ing1Char">
    <w:name w:val="Heading 1 Char"/>
    <w:link w:val="Heading1"/>
    <w:uiPriority w:val="9"/>
    <w:rsid w:val="00350080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Paragraph">
    <w:name w:val="Paragraph"/>
    <w:basedOn w:val="Normal"/>
    <w:link w:val="ParagraphChar"/>
    <w:qFormat/>
    <w:rsid w:val="00350080"/>
    <w:pPr>
      <w:numPr>
        <w:numId w:val="4"/>
      </w:numPr>
      <w:spacing w:before="240"/>
      <w:ind w:left="567" w:hanging="567"/>
      <w:jc w:val="both"/>
    </w:pPr>
    <w:rPr>
      <w:rFonts w:ascii="Arial" w:hAnsi="Arial" w:cs="Arial"/>
      <w:sz w:val="22"/>
      <w:szCs w:val="22"/>
      <w:lang w:val="en-GB"/>
    </w:rPr>
  </w:style>
  <w:style w:type="character" w:customStyle="1" w:styleId="ParagraphChar">
    <w:name w:val="Paragraph Char"/>
    <w:link w:val="Paragraph"/>
    <w:rsid w:val="00350080"/>
    <w:rPr>
      <w:rFonts w:ascii="Arial" w:eastAsia="Times New Roman" w:hAnsi="Arial" w:cs="Arial"/>
      <w:sz w:val="22"/>
      <w:szCs w:val="22"/>
      <w:lang w:val="en-GB"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350080"/>
    <w:pPr>
      <w:spacing w:before="60" w:after="60"/>
      <w:jc w:val="both"/>
    </w:pPr>
    <w:rPr>
      <w:rFonts w:ascii="Arial" w:hAnsi="Arial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350080"/>
    <w:rPr>
      <w:rFonts w:ascii="Arial" w:eastAsia="Times New Roman" w:hAnsi="Arial"/>
      <w:lang w:val="en-GB"/>
    </w:rPr>
  </w:style>
  <w:style w:type="character" w:styleId="FootnoteReference">
    <w:name w:val="footnote reference"/>
    <w:uiPriority w:val="99"/>
    <w:unhideWhenUsed/>
    <w:rsid w:val="00350080"/>
    <w:rPr>
      <w:vertAlign w:val="superscript"/>
    </w:rPr>
  </w:style>
  <w:style w:type="character" w:customStyle="1" w:styleId="atenuated">
    <w:name w:val="atenuated"/>
    <w:rsid w:val="00350080"/>
  </w:style>
  <w:style w:type="character" w:customStyle="1" w:styleId="hps">
    <w:name w:val="hps"/>
    <w:rsid w:val="008E77E1"/>
  </w:style>
  <w:style w:type="paragraph" w:customStyle="1" w:styleId="5GAparabodytext">
    <w:name w:val="5GA para body text"/>
    <w:basedOn w:val="Marge"/>
    <w:autoRedefine/>
    <w:uiPriority w:val="99"/>
    <w:qFormat/>
    <w:rsid w:val="000461D1"/>
    <w:pPr>
      <w:numPr>
        <w:numId w:val="7"/>
      </w:numPr>
      <w:tabs>
        <w:tab w:val="clear" w:pos="567"/>
      </w:tabs>
      <w:spacing w:after="120"/>
      <w:ind w:left="567" w:hanging="709"/>
    </w:pPr>
    <w:rPr>
      <w:rFonts w:cs="Arial"/>
      <w:bCs/>
      <w:szCs w:val="22"/>
      <w:lang w:val="en-GB"/>
    </w:rPr>
  </w:style>
  <w:style w:type="character" w:styleId="Hyperlink">
    <w:name w:val="Hyperlink"/>
    <w:uiPriority w:val="99"/>
    <w:unhideWhenUsed/>
    <w:rsid w:val="00E42717"/>
    <w:rPr>
      <w:color w:val="0000FF"/>
      <w:u w:val="single"/>
    </w:rPr>
  </w:style>
  <w:style w:type="character" w:customStyle="1" w:styleId="MargeChar">
    <w:name w:val="Marge Char"/>
    <w:link w:val="Marge"/>
    <w:rsid w:val="00C852FB"/>
    <w:rPr>
      <w:rFonts w:ascii="Arial" w:eastAsia="Times New Roman" w:hAnsi="Arial"/>
      <w:snapToGrid w:val="0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D2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32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232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3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2324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961B14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C2282C"/>
    <w:rPr>
      <w:rFonts w:ascii="Cambria" w:eastAsia="MS Gothic" w:hAnsi="Cambria" w:cs="Times New Roman"/>
      <w:color w:val="243F60"/>
      <w:sz w:val="24"/>
      <w:szCs w:val="24"/>
    </w:rPr>
  </w:style>
  <w:style w:type="character" w:styleId="IntenseEmphasis">
    <w:name w:val="Intense Emphasis"/>
    <w:aliases w:val="Texte"/>
    <w:uiPriority w:val="21"/>
    <w:rsid w:val="00AD4DC2"/>
    <w:rPr>
      <w:rFonts w:ascii="Arial" w:hAnsi="Arial" w:cs="Arial"/>
      <w:sz w:val="22"/>
    </w:rPr>
  </w:style>
  <w:style w:type="paragraph" w:customStyle="1" w:styleId="Introparagraph">
    <w:name w:val="Intro paragraph"/>
    <w:basedOn w:val="Marge"/>
    <w:link w:val="IntroparagraphChar"/>
    <w:qFormat/>
    <w:rsid w:val="00AD4DC2"/>
    <w:pPr>
      <w:tabs>
        <w:tab w:val="left" w:pos="709"/>
      </w:tabs>
      <w:autoSpaceDE w:val="0"/>
      <w:autoSpaceDN w:val="0"/>
      <w:adjustRightInd w:val="0"/>
      <w:spacing w:before="240"/>
    </w:pPr>
  </w:style>
  <w:style w:type="character" w:customStyle="1" w:styleId="IntroparagraphChar">
    <w:name w:val="Intro paragraph Char"/>
    <w:link w:val="Introparagraph"/>
    <w:rsid w:val="00AD4DC2"/>
    <w:rPr>
      <w:rFonts w:ascii="Arial" w:eastAsia="Times New Roman" w:hAnsi="Arial"/>
      <w:snapToGrid w:val="0"/>
      <w:sz w:val="22"/>
      <w:szCs w:val="24"/>
      <w:lang w:eastAsia="en-US"/>
    </w:rPr>
  </w:style>
  <w:style w:type="paragraph" w:customStyle="1" w:styleId="Default">
    <w:name w:val="Default"/>
    <w:rsid w:val="001C60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styleId="Revision">
    <w:name w:val="Revision"/>
    <w:hidden/>
    <w:uiPriority w:val="99"/>
    <w:semiHidden/>
    <w:rsid w:val="00DB6F0C"/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FollowedHyperlink">
    <w:name w:val="FollowedHyperlink"/>
    <w:uiPriority w:val="99"/>
    <w:semiHidden/>
    <w:unhideWhenUsed/>
    <w:rsid w:val="00076302"/>
    <w:rPr>
      <w:color w:val="800080"/>
      <w:u w:val="single"/>
    </w:rPr>
  </w:style>
  <w:style w:type="character" w:styleId="Strong">
    <w:name w:val="Strong"/>
    <w:uiPriority w:val="22"/>
    <w:qFormat/>
    <w:rsid w:val="00B52891"/>
    <w:rPr>
      <w:b/>
      <w:bCs/>
    </w:rPr>
  </w:style>
  <w:style w:type="paragraph" w:customStyle="1" w:styleId="Numberedparagraphs">
    <w:name w:val="Numbered paragraphs"/>
    <w:basedOn w:val="Normal"/>
    <w:rsid w:val="003D2477"/>
    <w:pPr>
      <w:numPr>
        <w:numId w:val="10"/>
      </w:numPr>
      <w:spacing w:after="120"/>
      <w:jc w:val="both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Resolutions/7.GA/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ch.unesco.org/en/decisions-bureau/13.COM%202.BUR/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en/Decisions/12.COM/7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BE2A3-2D61-4727-BD94-F6272149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14</TotalTime>
  <Pages>9</Pages>
  <Words>3447</Words>
  <Characters>19650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23051</CharactersWithSpaces>
  <SharedDoc>false</SharedDoc>
  <HLinks>
    <vt:vector size="90" baseType="variant">
      <vt:variant>
        <vt:i4>5374037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http://www.unesco.org/culture/ich/en/Decisions/10.COM/10</vt:lpwstr>
      </vt:variant>
      <vt:variant>
        <vt:lpwstr/>
      </vt:variant>
      <vt:variant>
        <vt:i4>7077940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http://www.unesco.org/culture/ich/en/Decisions/8.COM/5.c.1</vt:lpwstr>
      </vt:variant>
      <vt:variant>
        <vt:lpwstr/>
      </vt:variant>
      <vt:variant>
        <vt:i4>655450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http://www.unesco.org/culture/ich/en/submissions-and-deadlines-00861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http://unesdoc.unesco.org/images/0022/002230/223095e.pdf</vt:lpwstr>
      </vt:variant>
      <vt:variant>
        <vt:lpwstr/>
      </vt:variant>
      <vt:variant>
        <vt:i4>6226031</vt:i4>
      </vt:variant>
      <vt:variant>
        <vt:i4>9</vt:i4>
      </vt:variant>
      <vt:variant>
        <vt:i4>0</vt:i4>
      </vt:variant>
      <vt:variant>
        <vt:i4>5</vt:i4>
      </vt:variant>
      <vt:variant>
        <vt:lpwstr>http://www.unesco.org/culture/ich/doc/src/ITH-16-11.COM_2.BUR-Decisions-EN.docx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http://www.unesco.org/culture/ich/doc/src/ITH-16-11.COM_2.BUR-Decisions-EN.docx</vt:lpwstr>
      </vt:variant>
      <vt:variant>
        <vt:lpwstr/>
      </vt:variant>
      <vt:variant>
        <vt:i4>3801140</vt:i4>
      </vt:variant>
      <vt:variant>
        <vt:i4>3</vt:i4>
      </vt:variant>
      <vt:variant>
        <vt:i4>0</vt:i4>
      </vt:variant>
      <vt:variant>
        <vt:i4>5</vt:i4>
      </vt:variant>
      <vt:variant>
        <vt:lpwstr>http://www.unesco.org/culture/ich/en/Decisions/8.COM/11</vt:lpwstr>
      </vt:variant>
      <vt:variant>
        <vt:lpwstr/>
      </vt:variant>
      <vt:variant>
        <vt:i4>3014758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http://www.unesco.org/culture/ich/en/Resolutions/6.GA/9</vt:lpwstr>
      </vt:variant>
      <vt:variant>
        <vt:lpwstr/>
      </vt:variant>
      <vt:variant>
        <vt:i4>5636180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http://www.unesco.org/culture/ich/en/Decisions/11.COM/14</vt:lpwstr>
      </vt:variant>
      <vt:variant>
        <vt:lpwstr/>
      </vt:variant>
      <vt:variant>
        <vt:i4>7602278</vt:i4>
      </vt:variant>
      <vt:variant>
        <vt:i4>15</vt:i4>
      </vt:variant>
      <vt:variant>
        <vt:i4>0</vt:i4>
      </vt:variant>
      <vt:variant>
        <vt:i4>5</vt:i4>
      </vt:variant>
      <vt:variant>
        <vt:lpwstr>http://www.uneval.org/document/detail/1484</vt:lpwstr>
      </vt:variant>
      <vt:variant>
        <vt:lpwstr/>
      </vt:variant>
      <vt:variant>
        <vt:i4>6422628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http://www.unesco.org/culture/ich/en/Decisions/10.COM/9</vt:lpwstr>
      </vt:variant>
      <vt:variant>
        <vt:lpwstr/>
      </vt:variant>
      <vt:variant>
        <vt:i4>5636180</vt:i4>
      </vt:variant>
      <vt:variant>
        <vt:i4>9</vt:i4>
      </vt:variant>
      <vt:variant>
        <vt:i4>0</vt:i4>
      </vt:variant>
      <vt:variant>
        <vt:i4>5</vt:i4>
      </vt:variant>
      <vt:variant>
        <vt:lpwstr>http://www.unesco.org/culture/ich/en/Decisions/11.COM/14</vt:lpwstr>
      </vt:variant>
      <vt:variant>
        <vt:lpwstr/>
      </vt:variant>
      <vt:variant>
        <vt:i4>5374037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http://www.unesco.org/culture/ich/en/Decisions/10.COM/10</vt:lpwstr>
      </vt:variant>
      <vt:variant>
        <vt:lpwstr/>
      </vt:variant>
      <vt:variant>
        <vt:i4>6422629</vt:i4>
      </vt:variant>
      <vt:variant>
        <vt:i4>3</vt:i4>
      </vt:variant>
      <vt:variant>
        <vt:i4>0</vt:i4>
      </vt:variant>
      <vt:variant>
        <vt:i4>5</vt:i4>
      </vt:variant>
      <vt:variant>
        <vt:lpwstr>http://www.unesco.org/culture/ich/en/Decisions/11.COM/6</vt:lpwstr>
      </vt:variant>
      <vt:variant>
        <vt:lpwstr/>
      </vt:variant>
      <vt:variant>
        <vt:i4>655450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http://www.unesco.org/culture/ich/en/submissions-and-deadlines-00861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Shin, Eunkyung</cp:lastModifiedBy>
  <cp:revision>5</cp:revision>
  <cp:lastPrinted>2019-05-10T14:57:00Z</cp:lastPrinted>
  <dcterms:created xsi:type="dcterms:W3CDTF">2019-06-04T13:32:00Z</dcterms:created>
  <dcterms:modified xsi:type="dcterms:W3CDTF">2019-06-04T14:04:00Z</dcterms:modified>
</cp:coreProperties>
</file>